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B7C" w:rsidRPr="008B2B7C" w:rsidRDefault="008B2B7C" w:rsidP="008B2B7C">
      <w:pPr>
        <w:jc w:val="both"/>
        <w:rPr>
          <w:rFonts w:ascii="Calibri" w:hAnsi="Calibri" w:cs="Calibri"/>
        </w:rPr>
      </w:pPr>
    </w:p>
    <w:p w:rsidR="00BF27A0" w:rsidRPr="00041146" w:rsidRDefault="00F77265" w:rsidP="00E17B91">
      <w:pPr>
        <w:ind w:left="720" w:hanging="720"/>
        <w:outlineLvl w:val="0"/>
        <w:rPr>
          <w:rFonts w:ascii="Calibri" w:eastAsia="Calibri" w:hAnsi="Calibri"/>
          <w:b/>
          <w:sz w:val="36"/>
          <w:szCs w:val="36"/>
          <w:lang w:eastAsia="en-US"/>
        </w:rPr>
      </w:pPr>
      <w:r w:rsidRPr="00041146">
        <w:rPr>
          <w:rFonts w:ascii="Calibri" w:eastAsia="Calibri" w:hAnsi="Calibri"/>
          <w:b/>
          <w:sz w:val="36"/>
          <w:szCs w:val="36"/>
          <w:lang w:eastAsia="en-US"/>
        </w:rPr>
        <w:t>5.24</w:t>
      </w:r>
      <w:r w:rsidRPr="00041146">
        <w:rPr>
          <w:rFonts w:ascii="Calibri" w:eastAsia="Calibri" w:hAnsi="Calibri"/>
          <w:b/>
          <w:sz w:val="36"/>
          <w:szCs w:val="36"/>
          <w:lang w:eastAsia="en-US"/>
        </w:rPr>
        <w:tab/>
        <w:t>SALBUTAMOL</w:t>
      </w:r>
      <w:r w:rsidR="00BF27A0" w:rsidRPr="00041146">
        <w:rPr>
          <w:rFonts w:ascii="Calibri" w:eastAsia="Calibri" w:hAnsi="Calibri"/>
          <w:b/>
          <w:sz w:val="36"/>
          <w:szCs w:val="36"/>
          <w:lang w:eastAsia="en-US"/>
        </w:rPr>
        <w:t>,</w:t>
      </w:r>
      <w:r w:rsidR="00A03581" w:rsidRPr="00041146">
        <w:rPr>
          <w:rFonts w:ascii="Calibri" w:eastAsia="Calibri" w:hAnsi="Calibri"/>
          <w:b/>
          <w:sz w:val="36"/>
          <w:szCs w:val="36"/>
          <w:lang w:eastAsia="en-US"/>
        </w:rPr>
        <w:t xml:space="preserve"> </w:t>
      </w:r>
      <w:r w:rsidR="00A03581" w:rsidRPr="00041146">
        <w:rPr>
          <w:rFonts w:ascii="Calibri" w:eastAsia="Calibri" w:hAnsi="Calibri"/>
          <w:b/>
          <w:sz w:val="36"/>
          <w:szCs w:val="36"/>
          <w:lang w:eastAsia="en-US"/>
        </w:rPr>
        <w:br/>
      </w:r>
      <w:r w:rsidRPr="00041146">
        <w:rPr>
          <w:rFonts w:ascii="Calibri" w:eastAsia="Calibri" w:hAnsi="Calibri"/>
          <w:b/>
          <w:sz w:val="36"/>
          <w:szCs w:val="36"/>
          <w:lang w:eastAsia="en-US"/>
        </w:rPr>
        <w:t xml:space="preserve">Pressurised inhalation 100 micrograms (as </w:t>
      </w:r>
      <w:proofErr w:type="spellStart"/>
      <w:r w:rsidRPr="00041146">
        <w:rPr>
          <w:rFonts w:ascii="Calibri" w:eastAsia="Calibri" w:hAnsi="Calibri"/>
          <w:b/>
          <w:sz w:val="36"/>
          <w:szCs w:val="36"/>
          <w:lang w:eastAsia="en-US"/>
        </w:rPr>
        <w:t>sulfate</w:t>
      </w:r>
      <w:proofErr w:type="spellEnd"/>
      <w:r w:rsidRPr="00041146">
        <w:rPr>
          <w:rFonts w:ascii="Calibri" w:eastAsia="Calibri" w:hAnsi="Calibri"/>
          <w:b/>
          <w:sz w:val="36"/>
          <w:szCs w:val="36"/>
          <w:lang w:eastAsia="en-US"/>
        </w:rPr>
        <w:t>) per dose with dose counter, 200 doses (CFC-free formulation),</w:t>
      </w:r>
      <w:r w:rsidR="00A03581" w:rsidRPr="00041146">
        <w:rPr>
          <w:rFonts w:ascii="Calibri" w:eastAsia="Calibri" w:hAnsi="Calibri"/>
          <w:b/>
          <w:sz w:val="36"/>
          <w:szCs w:val="36"/>
          <w:lang w:eastAsia="en-US"/>
        </w:rPr>
        <w:t xml:space="preserve"> </w:t>
      </w:r>
      <w:r w:rsidR="00A03581" w:rsidRPr="00041146">
        <w:rPr>
          <w:rFonts w:ascii="Calibri" w:eastAsia="Calibri" w:hAnsi="Calibri"/>
          <w:b/>
          <w:sz w:val="36"/>
          <w:szCs w:val="36"/>
          <w:lang w:eastAsia="en-US"/>
        </w:rPr>
        <w:br/>
      </w:r>
      <w:r w:rsidRPr="00041146">
        <w:rPr>
          <w:rFonts w:ascii="Calibri" w:eastAsia="Calibri" w:hAnsi="Calibri"/>
          <w:b/>
          <w:sz w:val="36"/>
          <w:szCs w:val="36"/>
          <w:lang w:eastAsia="en-US"/>
        </w:rPr>
        <w:t>Ventolin</w:t>
      </w:r>
      <w:r w:rsidR="00A4646C" w:rsidRPr="00041146">
        <w:rPr>
          <w:rFonts w:ascii="Calibri" w:eastAsia="Calibri" w:hAnsi="Calibri"/>
          <w:b/>
          <w:sz w:val="36"/>
          <w:szCs w:val="36"/>
          <w:lang w:eastAsia="en-US"/>
        </w:rPr>
        <w:t>®</w:t>
      </w:r>
      <w:r w:rsidR="00BF27A0" w:rsidRPr="00041146">
        <w:rPr>
          <w:rFonts w:ascii="Calibri" w:eastAsia="Calibri" w:hAnsi="Calibri"/>
          <w:b/>
          <w:sz w:val="36"/>
          <w:szCs w:val="36"/>
          <w:lang w:eastAsia="en-US"/>
        </w:rPr>
        <w:t>,</w:t>
      </w:r>
      <w:r w:rsidR="00A03581" w:rsidRPr="00041146">
        <w:rPr>
          <w:rFonts w:ascii="Calibri" w:eastAsia="Calibri" w:hAnsi="Calibri"/>
          <w:b/>
          <w:sz w:val="36"/>
          <w:szCs w:val="36"/>
          <w:lang w:eastAsia="en-US"/>
        </w:rPr>
        <w:t xml:space="preserve"> </w:t>
      </w:r>
      <w:r w:rsidR="00A03581" w:rsidRPr="00041146">
        <w:rPr>
          <w:rFonts w:ascii="Calibri" w:eastAsia="Calibri" w:hAnsi="Calibri"/>
          <w:b/>
          <w:sz w:val="36"/>
          <w:szCs w:val="36"/>
          <w:lang w:eastAsia="en-US"/>
        </w:rPr>
        <w:br/>
      </w:r>
      <w:r w:rsidRPr="00041146">
        <w:rPr>
          <w:rFonts w:ascii="Calibri" w:eastAsia="Calibri" w:hAnsi="Calibri"/>
          <w:b/>
          <w:sz w:val="36"/>
          <w:szCs w:val="36"/>
          <w:lang w:eastAsia="en-US"/>
        </w:rPr>
        <w:t>GlaxoSmithKline Australia Pty Ltd.</w:t>
      </w:r>
    </w:p>
    <w:p w:rsidR="006552E6" w:rsidRPr="00041146" w:rsidRDefault="006552E6" w:rsidP="00E17B91">
      <w:pPr>
        <w:rPr>
          <w:color w:val="000000" w:themeColor="text1"/>
        </w:rPr>
      </w:pPr>
      <w:r w:rsidRPr="00041146">
        <w:tab/>
      </w:r>
    </w:p>
    <w:p w:rsidR="00BA2DA8" w:rsidRPr="00041146" w:rsidRDefault="00CE10C4" w:rsidP="00E17B91">
      <w:pPr>
        <w:pStyle w:val="2Sections"/>
        <w:numPr>
          <w:ilvl w:val="0"/>
          <w:numId w:val="19"/>
        </w:numPr>
      </w:pPr>
      <w:r w:rsidRPr="00041146">
        <w:t xml:space="preserve">Purpose of </w:t>
      </w:r>
      <w:r w:rsidR="0004240E" w:rsidRPr="00041146">
        <w:t>Application</w:t>
      </w:r>
      <w:r w:rsidR="00034905" w:rsidRPr="00041146">
        <w:t xml:space="preserve"> </w:t>
      </w:r>
    </w:p>
    <w:p w:rsidR="00EF44A0" w:rsidRPr="00041146" w:rsidRDefault="00EF44A0" w:rsidP="00E17B91">
      <w:pPr>
        <w:pStyle w:val="ListParagraph"/>
        <w:widowControl/>
        <w:numPr>
          <w:ilvl w:val="1"/>
          <w:numId w:val="1"/>
        </w:numPr>
        <w:spacing w:after="120"/>
        <w:contextualSpacing w:val="0"/>
        <w:rPr>
          <w:rFonts w:asciiTheme="minorHAnsi" w:hAnsiTheme="minorHAnsi"/>
          <w:sz w:val="24"/>
          <w:szCs w:val="24"/>
        </w:rPr>
      </w:pPr>
      <w:r w:rsidRPr="00041146">
        <w:rPr>
          <w:rFonts w:asciiTheme="minorHAnsi" w:eastAsiaTheme="minorHAnsi" w:hAnsiTheme="minorHAnsi" w:cstheme="minorBidi"/>
          <w:snapToGrid/>
          <w:sz w:val="24"/>
          <w:szCs w:val="22"/>
        </w:rPr>
        <w:t>The mi</w:t>
      </w:r>
      <w:r w:rsidR="00FF2801" w:rsidRPr="00041146">
        <w:rPr>
          <w:rFonts w:asciiTheme="minorHAnsi" w:eastAsiaTheme="minorHAnsi" w:hAnsiTheme="minorHAnsi" w:cstheme="minorBidi"/>
          <w:snapToGrid/>
          <w:sz w:val="24"/>
          <w:szCs w:val="22"/>
        </w:rPr>
        <w:t>nor submission requested</w:t>
      </w:r>
      <w:r w:rsidR="00895D2E" w:rsidRPr="00041146">
        <w:rPr>
          <w:rFonts w:asciiTheme="minorHAnsi" w:eastAsiaTheme="minorHAnsi" w:hAnsiTheme="minorHAnsi" w:cstheme="minorBidi"/>
          <w:snapToGrid/>
          <w:sz w:val="24"/>
          <w:szCs w:val="22"/>
        </w:rPr>
        <w:t xml:space="preserve"> </w:t>
      </w:r>
      <w:r w:rsidR="00895D2E" w:rsidRPr="00041146">
        <w:rPr>
          <w:rFonts w:asciiTheme="minorHAnsi" w:hAnsiTheme="minorHAnsi"/>
          <w:sz w:val="24"/>
          <w:szCs w:val="24"/>
        </w:rPr>
        <w:t>an Unrestricted Benefit listing of a</w:t>
      </w:r>
      <w:r w:rsidR="00660DAF" w:rsidRPr="00041146">
        <w:rPr>
          <w:rFonts w:asciiTheme="minorHAnsi" w:hAnsiTheme="minorHAnsi"/>
          <w:sz w:val="24"/>
          <w:szCs w:val="24"/>
        </w:rPr>
        <w:t xml:space="preserve"> new presentation of salbutamol</w:t>
      </w:r>
      <w:r w:rsidR="00895D2E" w:rsidRPr="00041146">
        <w:rPr>
          <w:rFonts w:asciiTheme="minorHAnsi" w:hAnsiTheme="minorHAnsi"/>
          <w:sz w:val="24"/>
          <w:szCs w:val="24"/>
        </w:rPr>
        <w:t xml:space="preserve"> </w:t>
      </w:r>
      <w:r w:rsidR="00660DAF" w:rsidRPr="00041146">
        <w:rPr>
          <w:rFonts w:asciiTheme="minorHAnsi" w:hAnsiTheme="minorHAnsi"/>
          <w:sz w:val="24"/>
          <w:szCs w:val="24"/>
        </w:rPr>
        <w:t xml:space="preserve">(Ventolin®) </w:t>
      </w:r>
      <w:r w:rsidR="00895D2E" w:rsidRPr="00041146">
        <w:rPr>
          <w:rFonts w:asciiTheme="minorHAnsi" w:hAnsiTheme="minorHAnsi"/>
          <w:sz w:val="24"/>
          <w:szCs w:val="24"/>
        </w:rPr>
        <w:t>metered dose inhaler (MDI) 100 micrograms per dose with</w:t>
      </w:r>
      <w:r w:rsidR="00FB71AF" w:rsidRPr="00041146">
        <w:rPr>
          <w:rFonts w:asciiTheme="minorHAnsi" w:hAnsiTheme="minorHAnsi"/>
          <w:sz w:val="24"/>
          <w:szCs w:val="24"/>
        </w:rPr>
        <w:t xml:space="preserve"> an integrated dose counter </w:t>
      </w:r>
      <w:r w:rsidR="00E028F5" w:rsidRPr="00041146">
        <w:rPr>
          <w:rFonts w:asciiTheme="minorHAnsi" w:hAnsiTheme="minorHAnsi"/>
          <w:sz w:val="24"/>
          <w:szCs w:val="24"/>
        </w:rPr>
        <w:t xml:space="preserve">(DC) </w:t>
      </w:r>
      <w:r w:rsidR="00FB71AF" w:rsidRPr="00041146">
        <w:rPr>
          <w:rFonts w:asciiTheme="minorHAnsi" w:hAnsiTheme="minorHAnsi"/>
          <w:sz w:val="24"/>
          <w:szCs w:val="24"/>
        </w:rPr>
        <w:t>(hereafter referred to as Ventolin DC)</w:t>
      </w:r>
      <w:r w:rsidR="00895D2E" w:rsidRPr="00041146">
        <w:rPr>
          <w:rFonts w:asciiTheme="minorHAnsi" w:hAnsiTheme="minorHAnsi"/>
          <w:sz w:val="24"/>
          <w:szCs w:val="24"/>
        </w:rPr>
        <w:t>. The current presentation of Ventolin M</w:t>
      </w:r>
      <w:r w:rsidR="00762C1B" w:rsidRPr="00041146">
        <w:rPr>
          <w:rFonts w:asciiTheme="minorHAnsi" w:hAnsiTheme="minorHAnsi"/>
          <w:sz w:val="24"/>
          <w:szCs w:val="24"/>
        </w:rPr>
        <w:t>DI on the PBS does not have a dose counter</w:t>
      </w:r>
      <w:r w:rsidR="00895D2E" w:rsidRPr="00041146">
        <w:rPr>
          <w:rFonts w:asciiTheme="minorHAnsi" w:hAnsiTheme="minorHAnsi"/>
          <w:sz w:val="24"/>
          <w:szCs w:val="24"/>
        </w:rPr>
        <w:t>. The submission</w:t>
      </w:r>
      <w:r w:rsidR="00256299" w:rsidRPr="00041146">
        <w:rPr>
          <w:rFonts w:asciiTheme="minorHAnsi" w:hAnsiTheme="minorHAnsi"/>
          <w:sz w:val="24"/>
          <w:szCs w:val="24"/>
        </w:rPr>
        <w:t xml:space="preserve"> requested</w:t>
      </w:r>
      <w:r w:rsidR="00895D2E" w:rsidRPr="00041146">
        <w:rPr>
          <w:rFonts w:asciiTheme="minorHAnsi" w:hAnsiTheme="minorHAnsi"/>
          <w:sz w:val="24"/>
          <w:szCs w:val="24"/>
        </w:rPr>
        <w:t xml:space="preserve"> an agreed ex-manufacturer price (AEMP) of $</w:t>
      </w:r>
      <w:r w:rsidR="0088138D">
        <w:rPr>
          <w:rFonts w:asciiTheme="minorHAnsi" w:hAnsiTheme="minorHAnsi"/>
          <w:noProof/>
          <w:color w:val="000000"/>
          <w:sz w:val="24"/>
          <w:szCs w:val="24"/>
          <w:highlight w:val="black"/>
        </w:rPr>
        <w:t>''''''''</w:t>
      </w:r>
      <w:r w:rsidR="00660DAF" w:rsidRPr="00041146">
        <w:rPr>
          <w:rFonts w:asciiTheme="minorHAnsi" w:hAnsiTheme="minorHAnsi"/>
          <w:sz w:val="24"/>
          <w:szCs w:val="24"/>
        </w:rPr>
        <w:t xml:space="preserve"> higher than the current presentation of Ventolin MDI</w:t>
      </w:r>
      <w:r w:rsidR="00256299" w:rsidRPr="00041146">
        <w:rPr>
          <w:rFonts w:asciiTheme="minorHAnsi" w:hAnsiTheme="minorHAnsi"/>
          <w:sz w:val="24"/>
          <w:szCs w:val="24"/>
        </w:rPr>
        <w:t>.</w:t>
      </w:r>
      <w:r w:rsidR="00895D2E" w:rsidRPr="00041146">
        <w:rPr>
          <w:rFonts w:asciiTheme="minorHAnsi" w:hAnsiTheme="minorHAnsi"/>
          <w:sz w:val="24"/>
          <w:szCs w:val="24"/>
        </w:rPr>
        <w:t xml:space="preserve"> </w:t>
      </w:r>
    </w:p>
    <w:p w:rsidR="001A76FB" w:rsidRPr="00041146" w:rsidRDefault="006A12A5" w:rsidP="00E17B91">
      <w:pPr>
        <w:pStyle w:val="2Sections"/>
      </w:pPr>
      <w:r w:rsidRPr="00041146">
        <w:t>Requested listing</w:t>
      </w:r>
    </w:p>
    <w:p w:rsidR="00294D62" w:rsidRPr="00041146" w:rsidRDefault="00EF44A0" w:rsidP="00294D62">
      <w:pPr>
        <w:pStyle w:val="3Bodytext"/>
        <w:jc w:val="both"/>
      </w:pPr>
      <w:r w:rsidRPr="00041146">
        <w:t xml:space="preserve">The submission </w:t>
      </w:r>
      <w:r w:rsidR="00FF2801" w:rsidRPr="00041146">
        <w:t>requested</w:t>
      </w:r>
      <w:r w:rsidRPr="00041146">
        <w:t xml:space="preserve"> the </w:t>
      </w:r>
      <w:r w:rsidR="00256299" w:rsidRPr="00041146">
        <w:t>same restriction</w:t>
      </w:r>
      <w:r w:rsidRPr="00041146">
        <w:rPr>
          <w:color w:val="FF0000"/>
        </w:rPr>
        <w:t xml:space="preserve"> </w:t>
      </w:r>
      <w:r w:rsidR="00256299" w:rsidRPr="00041146">
        <w:t>as</w:t>
      </w:r>
      <w:r w:rsidRPr="00041146">
        <w:t xml:space="preserve"> the existing listing</w:t>
      </w:r>
      <w:r w:rsidR="00B31F6C" w:rsidRPr="00041146">
        <w:t>s</w:t>
      </w:r>
      <w:r w:rsidR="00256299" w:rsidRPr="00041146">
        <w:t xml:space="preserve"> of Ventolin MDI.</w:t>
      </w:r>
      <w:r w:rsidRPr="00041146">
        <w:t xml:space="preserve"> </w:t>
      </w:r>
      <w:proofErr w:type="spellStart"/>
      <w:r w:rsidR="00112142" w:rsidRPr="00041146">
        <w:t>A</w:t>
      </w:r>
      <w:r w:rsidR="008365A4" w:rsidRPr="00041146">
        <w:t>smol</w:t>
      </w:r>
      <w:proofErr w:type="spellEnd"/>
      <w:r w:rsidR="008365A4" w:rsidRPr="00041146">
        <w:t xml:space="preserve">® MDI is listed on the PBS </w:t>
      </w:r>
      <w:r w:rsidR="00294D62" w:rsidRPr="00041146">
        <w:t xml:space="preserve">and that, all three presentations (i.e. Ventolin MDI, </w:t>
      </w:r>
      <w:proofErr w:type="spellStart"/>
      <w:r w:rsidR="00294D62" w:rsidRPr="00041146">
        <w:t>Asmol</w:t>
      </w:r>
      <w:proofErr w:type="spellEnd"/>
      <w:r w:rsidR="00294D62" w:rsidRPr="00041146">
        <w:t xml:space="preserve"> MDI and Ventolin DC) be considered equivalent for the purposes of substitution (i.e., ’a’ flagged in the Schedule). </w:t>
      </w:r>
    </w:p>
    <w:p w:rsidR="00BA2DA8" w:rsidRPr="00041146" w:rsidRDefault="0067747D" w:rsidP="00E17B91">
      <w:pPr>
        <w:pStyle w:val="Bodytextitalics"/>
        <w:jc w:val="both"/>
        <w:rPr>
          <w:i w:val="0"/>
        </w:rPr>
      </w:pPr>
      <w:r w:rsidRPr="00041146">
        <w:rPr>
          <w:i w:val="0"/>
        </w:rPr>
        <w:t>Suggestions and additions proposed by the Secretariat to the requested listing</w:t>
      </w:r>
      <w:r w:rsidR="00D07A8A" w:rsidRPr="00041146">
        <w:rPr>
          <w:i w:val="0"/>
        </w:rPr>
        <w:t xml:space="preserve"> are in italics and deletions are in strikethrough</w:t>
      </w:r>
      <w:r w:rsidRPr="00041146">
        <w:rPr>
          <w:i w:val="0"/>
        </w:rPr>
        <w:t>.</w:t>
      </w:r>
    </w:p>
    <w:tbl>
      <w:tblPr>
        <w:tblW w:w="9214" w:type="dxa"/>
        <w:tblLayout w:type="fixed"/>
        <w:tblLook w:val="0000" w:firstRow="0" w:lastRow="0" w:firstColumn="0" w:lastColumn="0" w:noHBand="0" w:noVBand="0"/>
      </w:tblPr>
      <w:tblGrid>
        <w:gridCol w:w="2835"/>
        <w:gridCol w:w="426"/>
        <w:gridCol w:w="567"/>
        <w:gridCol w:w="850"/>
        <w:gridCol w:w="1701"/>
        <w:gridCol w:w="1276"/>
        <w:gridCol w:w="1559"/>
      </w:tblGrid>
      <w:tr w:rsidR="009324A6" w:rsidRPr="00041146" w:rsidTr="002B388A">
        <w:trPr>
          <w:cantSplit/>
          <w:trHeight w:val="471"/>
        </w:trPr>
        <w:tc>
          <w:tcPr>
            <w:tcW w:w="3261" w:type="dxa"/>
            <w:gridSpan w:val="2"/>
            <w:tcBorders>
              <w:bottom w:val="single" w:sz="4" w:space="0" w:color="auto"/>
            </w:tcBorders>
          </w:tcPr>
          <w:p w:rsidR="009324A6" w:rsidRPr="00041146" w:rsidRDefault="009324A6" w:rsidP="00E17B91">
            <w:pPr>
              <w:keepNext/>
              <w:ind w:left="-108"/>
              <w:jc w:val="both"/>
              <w:rPr>
                <w:rFonts w:ascii="Arial Narrow" w:hAnsi="Arial Narrow" w:cs="Arial"/>
                <w:sz w:val="20"/>
                <w:szCs w:val="20"/>
              </w:rPr>
            </w:pPr>
            <w:r w:rsidRPr="00041146">
              <w:rPr>
                <w:rFonts w:ascii="Arial Narrow" w:hAnsi="Arial Narrow" w:cs="Arial"/>
                <w:sz w:val="20"/>
                <w:szCs w:val="20"/>
              </w:rPr>
              <w:t>Name, Restriction,</w:t>
            </w:r>
          </w:p>
          <w:p w:rsidR="009324A6" w:rsidRPr="00041146" w:rsidRDefault="009324A6" w:rsidP="00E17B91">
            <w:pPr>
              <w:keepNext/>
              <w:ind w:left="-108"/>
              <w:jc w:val="both"/>
              <w:rPr>
                <w:rFonts w:ascii="Arial Narrow" w:hAnsi="Arial Narrow" w:cs="Arial"/>
                <w:sz w:val="20"/>
                <w:szCs w:val="20"/>
              </w:rPr>
            </w:pPr>
            <w:r w:rsidRPr="00041146">
              <w:rPr>
                <w:rFonts w:ascii="Arial Narrow" w:hAnsi="Arial Narrow" w:cs="Arial"/>
                <w:sz w:val="20"/>
                <w:szCs w:val="20"/>
              </w:rPr>
              <w:t>Manner of administration and form</w:t>
            </w:r>
          </w:p>
        </w:tc>
        <w:tc>
          <w:tcPr>
            <w:tcW w:w="567" w:type="dxa"/>
            <w:tcBorders>
              <w:bottom w:val="single" w:sz="4" w:space="0" w:color="auto"/>
            </w:tcBorders>
          </w:tcPr>
          <w:p w:rsidR="009324A6" w:rsidRPr="00041146" w:rsidRDefault="009324A6" w:rsidP="00E17B91">
            <w:pPr>
              <w:keepNext/>
              <w:ind w:left="-108"/>
              <w:jc w:val="both"/>
              <w:rPr>
                <w:rFonts w:ascii="Arial Narrow" w:hAnsi="Arial Narrow" w:cs="Arial"/>
                <w:sz w:val="20"/>
                <w:szCs w:val="20"/>
              </w:rPr>
            </w:pPr>
            <w:r w:rsidRPr="00041146">
              <w:rPr>
                <w:rFonts w:ascii="Arial Narrow" w:hAnsi="Arial Narrow" w:cs="Arial"/>
                <w:sz w:val="20"/>
                <w:szCs w:val="20"/>
              </w:rPr>
              <w:t>Max.</w:t>
            </w:r>
          </w:p>
          <w:p w:rsidR="009324A6" w:rsidRPr="00041146" w:rsidRDefault="009324A6" w:rsidP="00E17B91">
            <w:pPr>
              <w:keepNext/>
              <w:ind w:left="-108"/>
              <w:jc w:val="both"/>
              <w:rPr>
                <w:rFonts w:ascii="Arial Narrow" w:hAnsi="Arial Narrow" w:cs="Arial"/>
                <w:sz w:val="20"/>
                <w:szCs w:val="20"/>
              </w:rPr>
            </w:pPr>
            <w:proofErr w:type="spellStart"/>
            <w:r w:rsidRPr="00041146">
              <w:rPr>
                <w:rFonts w:ascii="Arial Narrow" w:hAnsi="Arial Narrow" w:cs="Arial"/>
                <w:sz w:val="20"/>
                <w:szCs w:val="20"/>
              </w:rPr>
              <w:t>Qty</w:t>
            </w:r>
            <w:proofErr w:type="spellEnd"/>
          </w:p>
        </w:tc>
        <w:tc>
          <w:tcPr>
            <w:tcW w:w="850" w:type="dxa"/>
            <w:tcBorders>
              <w:bottom w:val="single" w:sz="4" w:space="0" w:color="auto"/>
            </w:tcBorders>
          </w:tcPr>
          <w:p w:rsidR="009324A6" w:rsidRPr="00041146" w:rsidRDefault="009324A6" w:rsidP="00E17B91">
            <w:pPr>
              <w:keepNext/>
              <w:ind w:left="-108"/>
              <w:jc w:val="both"/>
              <w:rPr>
                <w:rFonts w:ascii="Arial Narrow" w:hAnsi="Arial Narrow" w:cs="Arial"/>
                <w:sz w:val="20"/>
                <w:szCs w:val="20"/>
              </w:rPr>
            </w:pPr>
            <w:r w:rsidRPr="00041146">
              <w:rPr>
                <w:rFonts w:ascii="Arial Narrow" w:hAnsi="Arial Narrow" w:cs="Arial"/>
                <w:sz w:val="20"/>
                <w:szCs w:val="20"/>
              </w:rPr>
              <w:t>№.of</w:t>
            </w:r>
          </w:p>
          <w:p w:rsidR="009324A6" w:rsidRPr="00041146" w:rsidRDefault="009324A6" w:rsidP="00E17B91">
            <w:pPr>
              <w:keepNext/>
              <w:ind w:left="-108"/>
              <w:jc w:val="both"/>
              <w:rPr>
                <w:rFonts w:ascii="Arial Narrow" w:hAnsi="Arial Narrow" w:cs="Arial"/>
                <w:sz w:val="20"/>
                <w:szCs w:val="20"/>
              </w:rPr>
            </w:pPr>
            <w:proofErr w:type="spellStart"/>
            <w:r w:rsidRPr="00041146">
              <w:rPr>
                <w:rFonts w:ascii="Arial Narrow" w:hAnsi="Arial Narrow" w:cs="Arial"/>
                <w:sz w:val="20"/>
                <w:szCs w:val="20"/>
              </w:rPr>
              <w:t>Rpts</w:t>
            </w:r>
            <w:proofErr w:type="spellEnd"/>
          </w:p>
        </w:tc>
        <w:tc>
          <w:tcPr>
            <w:tcW w:w="1701" w:type="dxa"/>
            <w:tcBorders>
              <w:bottom w:val="single" w:sz="4" w:space="0" w:color="auto"/>
            </w:tcBorders>
          </w:tcPr>
          <w:p w:rsidR="009324A6" w:rsidRPr="00041146" w:rsidRDefault="009324A6" w:rsidP="00E17B91">
            <w:pPr>
              <w:keepNext/>
              <w:ind w:left="-108"/>
              <w:jc w:val="both"/>
              <w:rPr>
                <w:rFonts w:ascii="Arial Narrow" w:hAnsi="Arial Narrow" w:cs="Arial"/>
                <w:sz w:val="20"/>
                <w:szCs w:val="20"/>
              </w:rPr>
            </w:pPr>
            <w:r w:rsidRPr="00041146">
              <w:rPr>
                <w:rFonts w:ascii="Arial Narrow" w:hAnsi="Arial Narrow" w:cs="Arial"/>
                <w:sz w:val="20"/>
                <w:szCs w:val="20"/>
              </w:rPr>
              <w:t xml:space="preserve">Dispensed Price for Max. </w:t>
            </w:r>
            <w:proofErr w:type="spellStart"/>
            <w:r w:rsidRPr="00041146">
              <w:rPr>
                <w:rFonts w:ascii="Arial Narrow" w:hAnsi="Arial Narrow" w:cs="Arial"/>
                <w:sz w:val="20"/>
                <w:szCs w:val="20"/>
              </w:rPr>
              <w:t>Qty</w:t>
            </w:r>
            <w:proofErr w:type="spellEnd"/>
          </w:p>
        </w:tc>
        <w:tc>
          <w:tcPr>
            <w:tcW w:w="2835" w:type="dxa"/>
            <w:gridSpan w:val="2"/>
            <w:tcBorders>
              <w:bottom w:val="single" w:sz="4" w:space="0" w:color="auto"/>
            </w:tcBorders>
          </w:tcPr>
          <w:p w:rsidR="009324A6" w:rsidRPr="008B2B7C" w:rsidRDefault="009324A6" w:rsidP="00E17B91">
            <w:pPr>
              <w:keepNext/>
              <w:jc w:val="both"/>
              <w:rPr>
                <w:rFonts w:ascii="Arial Narrow" w:hAnsi="Arial Narrow" w:cs="Arial"/>
                <w:sz w:val="20"/>
                <w:szCs w:val="20"/>
              </w:rPr>
            </w:pPr>
            <w:r w:rsidRPr="00041146">
              <w:rPr>
                <w:rFonts w:ascii="Arial Narrow" w:hAnsi="Arial Narrow" w:cs="Arial"/>
                <w:sz w:val="20"/>
                <w:szCs w:val="20"/>
              </w:rPr>
              <w:t>Proprietary Name and Manufacturer</w:t>
            </w:r>
          </w:p>
        </w:tc>
      </w:tr>
      <w:tr w:rsidR="009324A6" w:rsidRPr="00041146" w:rsidTr="00DC04A1">
        <w:trPr>
          <w:cantSplit/>
          <w:trHeight w:val="577"/>
        </w:trPr>
        <w:tc>
          <w:tcPr>
            <w:tcW w:w="3261" w:type="dxa"/>
            <w:gridSpan w:val="2"/>
          </w:tcPr>
          <w:p w:rsidR="009324A6" w:rsidRPr="00041146" w:rsidRDefault="00256299" w:rsidP="00E17B91">
            <w:pPr>
              <w:keepNext/>
              <w:ind w:left="-108"/>
              <w:jc w:val="both"/>
              <w:rPr>
                <w:rFonts w:ascii="Arial Narrow" w:hAnsi="Arial Narrow" w:cs="Arial"/>
                <w:sz w:val="20"/>
                <w:szCs w:val="20"/>
              </w:rPr>
            </w:pPr>
            <w:r w:rsidRPr="00041146">
              <w:rPr>
                <w:rFonts w:ascii="Arial Narrow" w:hAnsi="Arial Narrow" w:cs="Arial"/>
                <w:smallCaps/>
                <w:sz w:val="20"/>
                <w:szCs w:val="20"/>
              </w:rPr>
              <w:t>SALBUTAMOL</w:t>
            </w:r>
          </w:p>
          <w:p w:rsidR="00DC04A1" w:rsidRPr="00041146" w:rsidRDefault="00DC04A1" w:rsidP="00E17B91">
            <w:pPr>
              <w:keepNext/>
              <w:ind w:left="-108"/>
              <w:rPr>
                <w:rFonts w:ascii="Arial Narrow" w:hAnsi="Arial Narrow" w:cs="Arial"/>
                <w:color w:val="FF0000"/>
                <w:sz w:val="20"/>
                <w:szCs w:val="20"/>
              </w:rPr>
            </w:pPr>
            <w:r w:rsidRPr="00041146">
              <w:rPr>
                <w:rFonts w:ascii="Arial Narrow" w:hAnsi="Arial Narrow"/>
                <w:sz w:val="20"/>
                <w:szCs w:val="20"/>
              </w:rPr>
              <w:t>100 microgram/actuation inhalation with dose counter, 200 actuations</w:t>
            </w:r>
          </w:p>
        </w:tc>
        <w:tc>
          <w:tcPr>
            <w:tcW w:w="567" w:type="dxa"/>
          </w:tcPr>
          <w:p w:rsidR="009324A6" w:rsidRPr="00041146" w:rsidRDefault="009324A6" w:rsidP="00E17B91">
            <w:pPr>
              <w:keepNext/>
              <w:ind w:left="-108"/>
              <w:jc w:val="both"/>
              <w:rPr>
                <w:rFonts w:ascii="Arial Narrow" w:hAnsi="Arial Narrow" w:cs="Arial"/>
                <w:sz w:val="20"/>
                <w:szCs w:val="20"/>
              </w:rPr>
            </w:pPr>
          </w:p>
          <w:p w:rsidR="009324A6" w:rsidRPr="00041146" w:rsidRDefault="00DC04A1" w:rsidP="00E17B91">
            <w:pPr>
              <w:keepNext/>
              <w:ind w:left="-108"/>
              <w:jc w:val="both"/>
              <w:rPr>
                <w:rFonts w:ascii="Arial Narrow" w:hAnsi="Arial Narrow" w:cs="Arial"/>
                <w:sz w:val="20"/>
                <w:szCs w:val="20"/>
              </w:rPr>
            </w:pPr>
            <w:r w:rsidRPr="00041146">
              <w:rPr>
                <w:rFonts w:ascii="Arial Narrow" w:hAnsi="Arial Narrow" w:cs="Arial"/>
                <w:sz w:val="20"/>
                <w:szCs w:val="20"/>
              </w:rPr>
              <w:t>2</w:t>
            </w:r>
          </w:p>
        </w:tc>
        <w:tc>
          <w:tcPr>
            <w:tcW w:w="850" w:type="dxa"/>
          </w:tcPr>
          <w:p w:rsidR="009324A6" w:rsidRPr="00041146" w:rsidRDefault="009324A6" w:rsidP="00E17B91">
            <w:pPr>
              <w:keepNext/>
              <w:ind w:left="-108"/>
              <w:jc w:val="both"/>
              <w:rPr>
                <w:rFonts w:ascii="Arial Narrow" w:hAnsi="Arial Narrow" w:cs="Arial"/>
                <w:sz w:val="20"/>
                <w:szCs w:val="20"/>
              </w:rPr>
            </w:pPr>
          </w:p>
          <w:p w:rsidR="009324A6" w:rsidRPr="00041146" w:rsidRDefault="00DC04A1" w:rsidP="00E17B91">
            <w:pPr>
              <w:keepNext/>
              <w:ind w:left="-108"/>
              <w:jc w:val="both"/>
              <w:rPr>
                <w:rFonts w:ascii="Arial Narrow" w:hAnsi="Arial Narrow" w:cs="Arial"/>
                <w:sz w:val="20"/>
                <w:szCs w:val="20"/>
              </w:rPr>
            </w:pPr>
            <w:r w:rsidRPr="00041146">
              <w:rPr>
                <w:rFonts w:ascii="Arial Narrow" w:hAnsi="Arial Narrow" w:cs="Arial"/>
                <w:sz w:val="20"/>
                <w:szCs w:val="20"/>
              </w:rPr>
              <w:t>5</w:t>
            </w:r>
          </w:p>
        </w:tc>
        <w:tc>
          <w:tcPr>
            <w:tcW w:w="1701" w:type="dxa"/>
          </w:tcPr>
          <w:p w:rsidR="009324A6" w:rsidRPr="00041146" w:rsidRDefault="009324A6" w:rsidP="00E17B91">
            <w:pPr>
              <w:keepNext/>
              <w:ind w:left="-108"/>
              <w:jc w:val="both"/>
              <w:rPr>
                <w:rFonts w:ascii="Arial Narrow" w:hAnsi="Arial Narrow" w:cs="Arial"/>
                <w:sz w:val="20"/>
                <w:szCs w:val="20"/>
              </w:rPr>
            </w:pPr>
          </w:p>
          <w:p w:rsidR="009324A6" w:rsidRPr="00041146" w:rsidRDefault="000D3C68" w:rsidP="00E17B91">
            <w:pPr>
              <w:keepNext/>
              <w:ind w:left="-108"/>
              <w:jc w:val="both"/>
              <w:rPr>
                <w:rFonts w:ascii="Arial Narrow" w:hAnsi="Arial Narrow" w:cs="Arial"/>
                <w:sz w:val="20"/>
                <w:szCs w:val="20"/>
              </w:rPr>
            </w:pPr>
            <w:r w:rsidRPr="00041146">
              <w:rPr>
                <w:rFonts w:ascii="Arial Narrow" w:hAnsi="Arial Narrow" w:cs="Arial"/>
                <w:sz w:val="20"/>
                <w:szCs w:val="20"/>
              </w:rPr>
              <w:t>$</w:t>
            </w:r>
            <w:r w:rsidR="0088138D">
              <w:rPr>
                <w:rFonts w:ascii="Arial Narrow" w:hAnsi="Arial Narrow" w:cs="Arial"/>
                <w:noProof/>
                <w:color w:val="000000"/>
                <w:sz w:val="20"/>
                <w:szCs w:val="20"/>
                <w:highlight w:val="black"/>
              </w:rPr>
              <w:t>''''''''''''</w:t>
            </w:r>
          </w:p>
        </w:tc>
        <w:tc>
          <w:tcPr>
            <w:tcW w:w="1276" w:type="dxa"/>
          </w:tcPr>
          <w:p w:rsidR="009324A6" w:rsidRPr="00041146" w:rsidRDefault="00DC04A1" w:rsidP="00E17B91">
            <w:pPr>
              <w:keepNext/>
              <w:jc w:val="both"/>
              <w:rPr>
                <w:rFonts w:ascii="Arial Narrow" w:hAnsi="Arial Narrow" w:cs="Arial"/>
                <w:sz w:val="20"/>
                <w:szCs w:val="20"/>
              </w:rPr>
            </w:pPr>
            <w:r w:rsidRPr="00041146">
              <w:rPr>
                <w:rFonts w:ascii="Arial Narrow" w:hAnsi="Arial Narrow" w:cs="Arial"/>
                <w:sz w:val="20"/>
                <w:szCs w:val="20"/>
              </w:rPr>
              <w:t>Ventolin</w:t>
            </w:r>
          </w:p>
        </w:tc>
        <w:tc>
          <w:tcPr>
            <w:tcW w:w="1559" w:type="dxa"/>
          </w:tcPr>
          <w:p w:rsidR="009324A6" w:rsidRPr="00041146" w:rsidRDefault="00DC04A1" w:rsidP="00E17B91">
            <w:pPr>
              <w:keepNext/>
              <w:jc w:val="both"/>
              <w:rPr>
                <w:rFonts w:ascii="Arial Narrow" w:hAnsi="Arial Narrow" w:cs="Arial"/>
                <w:sz w:val="20"/>
                <w:szCs w:val="20"/>
              </w:rPr>
            </w:pPr>
            <w:r w:rsidRPr="00041146">
              <w:rPr>
                <w:rFonts w:ascii="Arial Narrow" w:hAnsi="Arial Narrow" w:cs="Arial"/>
                <w:sz w:val="20"/>
                <w:szCs w:val="20"/>
              </w:rPr>
              <w:t>GlaxoSmithKline Australia Pty Ltd</w:t>
            </w:r>
          </w:p>
        </w:tc>
      </w:tr>
      <w:tr w:rsidR="009324A6" w:rsidRPr="00041146" w:rsidTr="002B388A">
        <w:trPr>
          <w:cantSplit/>
          <w:trHeight w:val="360"/>
        </w:trPr>
        <w:tc>
          <w:tcPr>
            <w:tcW w:w="9214" w:type="dxa"/>
            <w:gridSpan w:val="7"/>
            <w:tcBorders>
              <w:bottom w:val="single" w:sz="4" w:space="0" w:color="auto"/>
            </w:tcBorders>
          </w:tcPr>
          <w:p w:rsidR="009324A6" w:rsidRPr="00041146" w:rsidRDefault="009324A6" w:rsidP="00E17B91">
            <w:pPr>
              <w:jc w:val="both"/>
              <w:rPr>
                <w:rFonts w:ascii="Arial Narrow" w:hAnsi="Arial Narrow" w:cs="Arial"/>
                <w:sz w:val="20"/>
                <w:szCs w:val="20"/>
              </w:rPr>
            </w:pPr>
          </w:p>
        </w:tc>
      </w:tr>
      <w:tr w:rsidR="009324A6" w:rsidRPr="00041146"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041146" w:rsidRDefault="009324A6" w:rsidP="00E17B91">
            <w:pPr>
              <w:jc w:val="both"/>
              <w:rPr>
                <w:rFonts w:ascii="Arial Narrow" w:hAnsi="Arial Narrow" w:cs="Arial"/>
                <w:b/>
                <w:sz w:val="20"/>
                <w:szCs w:val="20"/>
              </w:rPr>
            </w:pPr>
            <w:r w:rsidRPr="00041146">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9324A6" w:rsidRPr="00041146" w:rsidRDefault="009324A6" w:rsidP="00E17B91">
            <w:pPr>
              <w:jc w:val="both"/>
              <w:rPr>
                <w:rFonts w:ascii="Arial Narrow" w:hAnsi="Arial Narrow" w:cs="Arial"/>
                <w:sz w:val="20"/>
                <w:szCs w:val="20"/>
              </w:rPr>
            </w:pPr>
            <w:r w:rsidRPr="00041146">
              <w:rPr>
                <w:rFonts w:ascii="Arial Narrow" w:hAnsi="Arial Narrow" w:cs="Arial"/>
                <w:sz w:val="20"/>
                <w:szCs w:val="20"/>
              </w:rPr>
              <w:t>GENERAL – General Schedule (Code GE)</w:t>
            </w:r>
          </w:p>
        </w:tc>
      </w:tr>
      <w:tr w:rsidR="009324A6" w:rsidRPr="00041146"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9324A6" w:rsidRPr="00041146" w:rsidRDefault="009324A6" w:rsidP="00E17B91">
            <w:pPr>
              <w:jc w:val="both"/>
              <w:rPr>
                <w:rFonts w:ascii="Arial Narrow" w:hAnsi="Arial Narrow" w:cs="Arial"/>
                <w:b/>
                <w:sz w:val="20"/>
                <w:szCs w:val="20"/>
              </w:rPr>
            </w:pPr>
            <w:r w:rsidRPr="00041146">
              <w:rPr>
                <w:rFonts w:ascii="Arial Narrow" w:hAnsi="Arial Narrow" w:cs="Arial"/>
                <w:b/>
                <w:sz w:val="20"/>
                <w:szCs w:val="20"/>
              </w:rPr>
              <w:t>Prescriber type:</w:t>
            </w:r>
          </w:p>
          <w:p w:rsidR="009324A6" w:rsidRPr="00041146" w:rsidRDefault="009324A6" w:rsidP="00E17B91">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9324A6" w:rsidRPr="00041146" w:rsidRDefault="009324A6" w:rsidP="00E17B91">
            <w:pPr>
              <w:jc w:val="both"/>
              <w:rPr>
                <w:rFonts w:ascii="Arial Narrow" w:hAnsi="Arial Narrow" w:cs="Arial"/>
                <w:sz w:val="20"/>
                <w:szCs w:val="20"/>
              </w:rPr>
            </w:pPr>
            <w:r w:rsidRPr="00AA7881">
              <w:rPr>
                <w:rFonts w:ascii="Arial Narrow" w:hAnsi="Arial Narrow" w:cs="Arial"/>
                <w:sz w:val="20"/>
                <w:szCs w:val="20"/>
              </w:rPr>
              <w:fldChar w:fldCharType="begin">
                <w:ffData>
                  <w:name w:val="Check1"/>
                  <w:enabled/>
                  <w:calcOnExit w:val="0"/>
                  <w:checkBox>
                    <w:sizeAuto/>
                    <w:default w:val="0"/>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AA7881">
              <w:rPr>
                <w:rFonts w:ascii="Arial Narrow" w:hAnsi="Arial Narrow" w:cs="Arial"/>
                <w:sz w:val="20"/>
                <w:szCs w:val="20"/>
              </w:rPr>
              <w:fldChar w:fldCharType="end"/>
            </w:r>
            <w:r w:rsidRPr="00041146">
              <w:rPr>
                <w:rFonts w:ascii="Arial Narrow" w:hAnsi="Arial Narrow" w:cs="Arial"/>
                <w:sz w:val="20"/>
                <w:szCs w:val="20"/>
              </w:rPr>
              <w:t>Dental</w:t>
            </w:r>
            <w:r w:rsidR="0044267E" w:rsidRPr="00041146">
              <w:rPr>
                <w:rFonts w:ascii="Arial Narrow" w:hAnsi="Arial Narrow" w:cs="Arial"/>
                <w:sz w:val="20"/>
                <w:szCs w:val="20"/>
              </w:rPr>
              <w:t xml:space="preserve"> </w:t>
            </w:r>
            <w:r w:rsidR="00DC04A1" w:rsidRPr="00AA7881">
              <w:rPr>
                <w:rFonts w:ascii="Arial Narrow" w:hAnsi="Arial Narrow" w:cs="Arial"/>
                <w:sz w:val="20"/>
                <w:szCs w:val="20"/>
              </w:rPr>
              <w:fldChar w:fldCharType="begin">
                <w:ffData>
                  <w:name w:val=""/>
                  <w:enabled/>
                  <w:calcOnExit w:val="0"/>
                  <w:checkBox>
                    <w:sizeAuto/>
                    <w:default w:val="1"/>
                  </w:checkBox>
                </w:ffData>
              </w:fldChar>
            </w:r>
            <w:r w:rsidR="00DC04A1"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00DC04A1" w:rsidRPr="00AA7881">
              <w:rPr>
                <w:rFonts w:ascii="Arial Narrow" w:hAnsi="Arial Narrow" w:cs="Arial"/>
                <w:sz w:val="20"/>
                <w:szCs w:val="20"/>
              </w:rPr>
              <w:fldChar w:fldCharType="end"/>
            </w:r>
            <w:r w:rsidRPr="00041146">
              <w:rPr>
                <w:rFonts w:ascii="Arial Narrow" w:hAnsi="Arial Narrow" w:cs="Arial"/>
                <w:sz w:val="20"/>
                <w:szCs w:val="20"/>
              </w:rPr>
              <w:t>Medical Practitioners</w:t>
            </w:r>
            <w:r w:rsidR="0044267E" w:rsidRPr="00041146">
              <w:rPr>
                <w:rFonts w:ascii="Arial Narrow" w:hAnsi="Arial Narrow" w:cs="Arial"/>
                <w:sz w:val="20"/>
                <w:szCs w:val="20"/>
              </w:rPr>
              <w:t xml:space="preserve"> </w:t>
            </w:r>
            <w:r w:rsidR="00B31F6C" w:rsidRPr="00AA7881">
              <w:rPr>
                <w:rFonts w:ascii="Arial Narrow" w:hAnsi="Arial Narrow" w:cs="Arial"/>
                <w:i/>
                <w:sz w:val="20"/>
                <w:szCs w:val="20"/>
              </w:rPr>
              <w:fldChar w:fldCharType="begin">
                <w:ffData>
                  <w:name w:val="Check3"/>
                  <w:enabled/>
                  <w:calcOnExit w:val="0"/>
                  <w:checkBox>
                    <w:sizeAuto/>
                    <w:default w:val="1"/>
                  </w:checkBox>
                </w:ffData>
              </w:fldChar>
            </w:r>
            <w:bookmarkStart w:id="0" w:name="Check3"/>
            <w:r w:rsidR="00B31F6C" w:rsidRPr="00041146">
              <w:rPr>
                <w:rFonts w:ascii="Arial Narrow" w:hAnsi="Arial Narrow" w:cs="Arial"/>
                <w:i/>
                <w:sz w:val="20"/>
                <w:szCs w:val="20"/>
              </w:rPr>
              <w:instrText xml:space="preserve"> FORMCHECKBOX </w:instrText>
            </w:r>
            <w:r w:rsidR="00171FE9">
              <w:rPr>
                <w:rFonts w:ascii="Arial Narrow" w:hAnsi="Arial Narrow" w:cs="Arial"/>
                <w:i/>
                <w:sz w:val="20"/>
                <w:szCs w:val="20"/>
              </w:rPr>
            </w:r>
            <w:r w:rsidR="00171FE9">
              <w:rPr>
                <w:rFonts w:ascii="Arial Narrow" w:hAnsi="Arial Narrow" w:cs="Arial"/>
                <w:i/>
                <w:sz w:val="20"/>
                <w:szCs w:val="20"/>
              </w:rPr>
              <w:fldChar w:fldCharType="separate"/>
            </w:r>
            <w:r w:rsidR="00B31F6C" w:rsidRPr="00AA7881">
              <w:rPr>
                <w:rFonts w:ascii="Arial Narrow" w:hAnsi="Arial Narrow" w:cs="Arial"/>
                <w:i/>
                <w:sz w:val="20"/>
                <w:szCs w:val="20"/>
              </w:rPr>
              <w:fldChar w:fldCharType="end"/>
            </w:r>
            <w:bookmarkEnd w:id="0"/>
            <w:r w:rsidRPr="00041146">
              <w:rPr>
                <w:rFonts w:ascii="Arial Narrow" w:hAnsi="Arial Narrow" w:cs="Arial"/>
                <w:i/>
                <w:sz w:val="20"/>
                <w:szCs w:val="20"/>
              </w:rPr>
              <w:t>Nurse practitioners</w:t>
            </w:r>
            <w:r w:rsidR="0044267E" w:rsidRPr="00041146">
              <w:rPr>
                <w:rFonts w:ascii="Arial Narrow" w:hAnsi="Arial Narrow" w:cs="Arial"/>
                <w:sz w:val="20"/>
                <w:szCs w:val="20"/>
              </w:rPr>
              <w:t xml:space="preserve"> </w:t>
            </w:r>
            <w:r w:rsidRPr="00AA7881">
              <w:rPr>
                <w:rFonts w:ascii="Arial Narrow" w:hAnsi="Arial Narrow" w:cs="Arial"/>
                <w:sz w:val="20"/>
                <w:szCs w:val="20"/>
              </w:rPr>
              <w:fldChar w:fldCharType="begin">
                <w:ffData>
                  <w:name w:val=""/>
                  <w:enabled/>
                  <w:calcOnExit w:val="0"/>
                  <w:checkBox>
                    <w:sizeAuto/>
                    <w:default w:val="0"/>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AA7881">
              <w:rPr>
                <w:rFonts w:ascii="Arial Narrow" w:hAnsi="Arial Narrow" w:cs="Arial"/>
                <w:sz w:val="20"/>
                <w:szCs w:val="20"/>
              </w:rPr>
              <w:fldChar w:fldCharType="end"/>
            </w:r>
            <w:r w:rsidRPr="00041146">
              <w:rPr>
                <w:rFonts w:ascii="Arial Narrow" w:hAnsi="Arial Narrow" w:cs="Arial"/>
                <w:sz w:val="20"/>
                <w:szCs w:val="20"/>
              </w:rPr>
              <w:t>Optometrists</w:t>
            </w:r>
          </w:p>
          <w:p w:rsidR="009324A6" w:rsidRPr="00041146" w:rsidRDefault="009324A6" w:rsidP="00E17B91">
            <w:pPr>
              <w:jc w:val="both"/>
              <w:rPr>
                <w:rFonts w:ascii="Arial Narrow" w:hAnsi="Arial Narrow" w:cs="Arial"/>
                <w:sz w:val="20"/>
                <w:szCs w:val="20"/>
              </w:rPr>
            </w:pPr>
            <w:r w:rsidRPr="00AA7881">
              <w:rPr>
                <w:rFonts w:ascii="Arial Narrow" w:hAnsi="Arial Narrow" w:cs="Arial"/>
                <w:sz w:val="20"/>
                <w:szCs w:val="20"/>
              </w:rPr>
              <w:fldChar w:fldCharType="begin">
                <w:ffData>
                  <w:name w:val="Check5"/>
                  <w:enabled/>
                  <w:calcOnExit w:val="0"/>
                  <w:checkBox>
                    <w:sizeAuto/>
                    <w:default w:val="0"/>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AA7881">
              <w:rPr>
                <w:rFonts w:ascii="Arial Narrow" w:hAnsi="Arial Narrow" w:cs="Arial"/>
                <w:sz w:val="20"/>
                <w:szCs w:val="20"/>
              </w:rPr>
              <w:fldChar w:fldCharType="end"/>
            </w:r>
            <w:r w:rsidRPr="00041146">
              <w:rPr>
                <w:rFonts w:ascii="Arial Narrow" w:hAnsi="Arial Narrow" w:cs="Arial"/>
                <w:sz w:val="20"/>
                <w:szCs w:val="20"/>
              </w:rPr>
              <w:t>Midwives</w:t>
            </w:r>
          </w:p>
        </w:tc>
      </w:tr>
      <w:tr w:rsidR="00360A17" w:rsidRPr="00041146" w:rsidTr="002B388A">
        <w:trPr>
          <w:cantSplit/>
          <w:trHeight w:val="360"/>
        </w:trPr>
        <w:tc>
          <w:tcPr>
            <w:tcW w:w="2835" w:type="dxa"/>
            <w:tcBorders>
              <w:top w:val="single" w:sz="4" w:space="0" w:color="auto"/>
              <w:left w:val="single" w:sz="4" w:space="0" w:color="auto"/>
              <w:bottom w:val="single" w:sz="4" w:space="0" w:color="auto"/>
              <w:right w:val="single" w:sz="4" w:space="0" w:color="auto"/>
            </w:tcBorders>
          </w:tcPr>
          <w:p w:rsidR="00360A17" w:rsidRPr="00041146" w:rsidRDefault="00360A17" w:rsidP="00E17B91">
            <w:pPr>
              <w:jc w:val="both"/>
              <w:rPr>
                <w:rFonts w:ascii="Arial Narrow" w:hAnsi="Arial Narrow" w:cs="Arial"/>
                <w:b/>
                <w:i/>
                <w:sz w:val="20"/>
                <w:szCs w:val="20"/>
              </w:rPr>
            </w:pPr>
            <w:r w:rsidRPr="00041146">
              <w:rPr>
                <w:rFonts w:ascii="Arial Narrow" w:hAnsi="Arial Narrow" w:cs="Arial"/>
                <w:b/>
                <w:i/>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360A17" w:rsidRPr="00041146" w:rsidRDefault="00360A17" w:rsidP="00E17B91">
            <w:pPr>
              <w:jc w:val="both"/>
              <w:rPr>
                <w:rFonts w:ascii="Arial Narrow" w:hAnsi="Arial Narrow" w:cs="Arial"/>
                <w:i/>
                <w:sz w:val="20"/>
                <w:szCs w:val="20"/>
              </w:rPr>
            </w:pPr>
            <w:r w:rsidRPr="00041146">
              <w:rPr>
                <w:rFonts w:ascii="Arial Narrow" w:hAnsi="Arial Narrow" w:cs="Arial"/>
                <w:i/>
                <w:sz w:val="20"/>
                <w:szCs w:val="20"/>
              </w:rPr>
              <w:t>Pharmaceutical ben</w:t>
            </w:r>
            <w:r w:rsidR="005D6462" w:rsidRPr="00041146">
              <w:rPr>
                <w:rFonts w:ascii="Arial Narrow" w:hAnsi="Arial Narrow" w:cs="Arial"/>
                <w:i/>
                <w:sz w:val="20"/>
                <w:szCs w:val="20"/>
              </w:rPr>
              <w:t>efits that have the form salbutamol</w:t>
            </w:r>
            <w:r w:rsidRPr="00041146">
              <w:rPr>
                <w:rFonts w:ascii="Arial Narrow" w:hAnsi="Arial Narrow" w:cs="Arial"/>
                <w:i/>
                <w:sz w:val="20"/>
                <w:szCs w:val="20"/>
              </w:rPr>
              <w:t xml:space="preserve"> 100 microgram/actuation inhalation with dose counter, 200 actuations and pharmaceuti</w:t>
            </w:r>
            <w:r w:rsidR="005D6462" w:rsidRPr="00041146">
              <w:rPr>
                <w:rFonts w:ascii="Arial Narrow" w:hAnsi="Arial Narrow" w:cs="Arial"/>
                <w:i/>
                <w:sz w:val="20"/>
                <w:szCs w:val="20"/>
              </w:rPr>
              <w:t>cal benefits that have the form salbutamol</w:t>
            </w:r>
            <w:r w:rsidRPr="00041146">
              <w:rPr>
                <w:rFonts w:ascii="Arial Narrow" w:hAnsi="Arial Narrow" w:cs="Arial"/>
                <w:i/>
                <w:sz w:val="20"/>
                <w:szCs w:val="20"/>
              </w:rPr>
              <w:t xml:space="preserve"> 100 microgram/actuation inhalation, 200 actuations</w:t>
            </w:r>
            <w:r w:rsidR="005F498F" w:rsidRPr="00041146">
              <w:rPr>
                <w:rFonts w:ascii="Arial Narrow" w:hAnsi="Arial Narrow" w:cs="Arial"/>
                <w:i/>
                <w:sz w:val="20"/>
                <w:szCs w:val="20"/>
              </w:rPr>
              <w:t xml:space="preserve"> are equivalent for the purposes of substitution. </w:t>
            </w:r>
          </w:p>
        </w:tc>
      </w:tr>
    </w:tbl>
    <w:p w:rsidR="00234252" w:rsidRPr="00041146" w:rsidRDefault="00234252" w:rsidP="00E17B91">
      <w:pPr>
        <w:spacing w:after="120"/>
        <w:jc w:val="both"/>
        <w:rPr>
          <w:rFonts w:asciiTheme="minorHAnsi" w:eastAsiaTheme="minorHAnsi" w:hAnsiTheme="minorHAnsi" w:cstheme="minorBidi"/>
          <w:b/>
          <w:i/>
          <w:color w:val="000000" w:themeColor="text1"/>
          <w:lang w:eastAsia="en-US"/>
        </w:rPr>
      </w:pPr>
    </w:p>
    <w:tbl>
      <w:tblPr>
        <w:tblW w:w="9214" w:type="dxa"/>
        <w:tblLayout w:type="fixed"/>
        <w:tblLook w:val="0000" w:firstRow="0" w:lastRow="0" w:firstColumn="0" w:lastColumn="0" w:noHBand="0" w:noVBand="0"/>
      </w:tblPr>
      <w:tblGrid>
        <w:gridCol w:w="2835"/>
        <w:gridCol w:w="426"/>
        <w:gridCol w:w="567"/>
        <w:gridCol w:w="850"/>
        <w:gridCol w:w="1701"/>
        <w:gridCol w:w="1276"/>
        <w:gridCol w:w="1559"/>
      </w:tblGrid>
      <w:tr w:rsidR="00DC04A1" w:rsidRPr="00041146" w:rsidTr="00FB71AF">
        <w:trPr>
          <w:cantSplit/>
          <w:trHeight w:val="471"/>
        </w:trPr>
        <w:tc>
          <w:tcPr>
            <w:tcW w:w="3261" w:type="dxa"/>
            <w:gridSpan w:val="2"/>
            <w:tcBorders>
              <w:bottom w:val="single" w:sz="4" w:space="0" w:color="auto"/>
            </w:tcBorders>
          </w:tcPr>
          <w:p w:rsidR="00DC04A1" w:rsidRPr="00041146" w:rsidRDefault="00DC04A1" w:rsidP="00E17B91">
            <w:pPr>
              <w:keepNext/>
              <w:ind w:left="-108"/>
              <w:jc w:val="both"/>
              <w:rPr>
                <w:rFonts w:ascii="Arial Narrow" w:hAnsi="Arial Narrow" w:cs="Arial"/>
                <w:sz w:val="20"/>
                <w:szCs w:val="20"/>
              </w:rPr>
            </w:pPr>
            <w:r w:rsidRPr="00041146">
              <w:rPr>
                <w:rFonts w:ascii="Arial Narrow" w:hAnsi="Arial Narrow" w:cs="Arial"/>
                <w:sz w:val="20"/>
                <w:szCs w:val="20"/>
              </w:rPr>
              <w:lastRenderedPageBreak/>
              <w:t>Name, Restriction,</w:t>
            </w:r>
          </w:p>
          <w:p w:rsidR="00DC04A1" w:rsidRPr="00041146" w:rsidRDefault="00DC04A1" w:rsidP="00E17B91">
            <w:pPr>
              <w:keepNext/>
              <w:ind w:left="-108"/>
              <w:jc w:val="both"/>
              <w:rPr>
                <w:rFonts w:ascii="Arial Narrow" w:hAnsi="Arial Narrow" w:cs="Arial"/>
                <w:sz w:val="20"/>
                <w:szCs w:val="20"/>
              </w:rPr>
            </w:pPr>
            <w:r w:rsidRPr="00041146">
              <w:rPr>
                <w:rFonts w:ascii="Arial Narrow" w:hAnsi="Arial Narrow" w:cs="Arial"/>
                <w:sz w:val="20"/>
                <w:szCs w:val="20"/>
              </w:rPr>
              <w:t>Manner of administration and form</w:t>
            </w:r>
          </w:p>
        </w:tc>
        <w:tc>
          <w:tcPr>
            <w:tcW w:w="567" w:type="dxa"/>
            <w:tcBorders>
              <w:bottom w:val="single" w:sz="4" w:space="0" w:color="auto"/>
            </w:tcBorders>
          </w:tcPr>
          <w:p w:rsidR="00DC04A1" w:rsidRPr="00041146" w:rsidRDefault="00DC04A1" w:rsidP="00E17B91">
            <w:pPr>
              <w:keepNext/>
              <w:ind w:left="-108"/>
              <w:jc w:val="both"/>
              <w:rPr>
                <w:rFonts w:ascii="Arial Narrow" w:hAnsi="Arial Narrow" w:cs="Arial"/>
                <w:sz w:val="20"/>
                <w:szCs w:val="20"/>
              </w:rPr>
            </w:pPr>
            <w:r w:rsidRPr="00041146">
              <w:rPr>
                <w:rFonts w:ascii="Arial Narrow" w:hAnsi="Arial Narrow" w:cs="Arial"/>
                <w:sz w:val="20"/>
                <w:szCs w:val="20"/>
              </w:rPr>
              <w:t>Max.</w:t>
            </w:r>
          </w:p>
          <w:p w:rsidR="00DC04A1" w:rsidRPr="00041146" w:rsidRDefault="00DC04A1" w:rsidP="00E17B91">
            <w:pPr>
              <w:keepNext/>
              <w:ind w:left="-108"/>
              <w:jc w:val="both"/>
              <w:rPr>
                <w:rFonts w:ascii="Arial Narrow" w:hAnsi="Arial Narrow" w:cs="Arial"/>
                <w:sz w:val="20"/>
                <w:szCs w:val="20"/>
              </w:rPr>
            </w:pPr>
            <w:proofErr w:type="spellStart"/>
            <w:r w:rsidRPr="00041146">
              <w:rPr>
                <w:rFonts w:ascii="Arial Narrow" w:hAnsi="Arial Narrow" w:cs="Arial"/>
                <w:sz w:val="20"/>
                <w:szCs w:val="20"/>
              </w:rPr>
              <w:t>Qty</w:t>
            </w:r>
            <w:proofErr w:type="spellEnd"/>
          </w:p>
        </w:tc>
        <w:tc>
          <w:tcPr>
            <w:tcW w:w="850" w:type="dxa"/>
            <w:tcBorders>
              <w:bottom w:val="single" w:sz="4" w:space="0" w:color="auto"/>
            </w:tcBorders>
          </w:tcPr>
          <w:p w:rsidR="00DC04A1" w:rsidRPr="00041146" w:rsidRDefault="00DC04A1" w:rsidP="00E17B91">
            <w:pPr>
              <w:keepNext/>
              <w:ind w:left="-108"/>
              <w:jc w:val="both"/>
              <w:rPr>
                <w:rFonts w:ascii="Arial Narrow" w:hAnsi="Arial Narrow" w:cs="Arial"/>
                <w:sz w:val="20"/>
                <w:szCs w:val="20"/>
              </w:rPr>
            </w:pPr>
            <w:r w:rsidRPr="00041146">
              <w:rPr>
                <w:rFonts w:ascii="Arial Narrow" w:hAnsi="Arial Narrow" w:cs="Arial"/>
                <w:sz w:val="20"/>
                <w:szCs w:val="20"/>
              </w:rPr>
              <w:t>№.of</w:t>
            </w:r>
          </w:p>
          <w:p w:rsidR="00DC04A1" w:rsidRPr="00041146" w:rsidRDefault="00DC04A1" w:rsidP="00E17B91">
            <w:pPr>
              <w:keepNext/>
              <w:ind w:left="-108"/>
              <w:jc w:val="both"/>
              <w:rPr>
                <w:rFonts w:ascii="Arial Narrow" w:hAnsi="Arial Narrow" w:cs="Arial"/>
                <w:sz w:val="20"/>
                <w:szCs w:val="20"/>
              </w:rPr>
            </w:pPr>
            <w:proofErr w:type="spellStart"/>
            <w:r w:rsidRPr="00041146">
              <w:rPr>
                <w:rFonts w:ascii="Arial Narrow" w:hAnsi="Arial Narrow" w:cs="Arial"/>
                <w:sz w:val="20"/>
                <w:szCs w:val="20"/>
              </w:rPr>
              <w:t>Rpts</w:t>
            </w:r>
            <w:proofErr w:type="spellEnd"/>
          </w:p>
        </w:tc>
        <w:tc>
          <w:tcPr>
            <w:tcW w:w="1701" w:type="dxa"/>
            <w:tcBorders>
              <w:bottom w:val="single" w:sz="4" w:space="0" w:color="auto"/>
            </w:tcBorders>
          </w:tcPr>
          <w:p w:rsidR="00DC04A1" w:rsidRPr="00041146" w:rsidRDefault="00DC04A1" w:rsidP="00E17B91">
            <w:pPr>
              <w:keepNext/>
              <w:ind w:left="-108"/>
              <w:jc w:val="both"/>
              <w:rPr>
                <w:rFonts w:ascii="Arial Narrow" w:hAnsi="Arial Narrow" w:cs="Arial"/>
                <w:sz w:val="20"/>
                <w:szCs w:val="20"/>
              </w:rPr>
            </w:pPr>
            <w:r w:rsidRPr="00041146">
              <w:rPr>
                <w:rFonts w:ascii="Arial Narrow" w:hAnsi="Arial Narrow" w:cs="Arial"/>
                <w:sz w:val="20"/>
                <w:szCs w:val="20"/>
              </w:rPr>
              <w:t xml:space="preserve">Dispensed Price for Max. </w:t>
            </w:r>
            <w:proofErr w:type="spellStart"/>
            <w:r w:rsidRPr="00041146">
              <w:rPr>
                <w:rFonts w:ascii="Arial Narrow" w:hAnsi="Arial Narrow" w:cs="Arial"/>
                <w:sz w:val="20"/>
                <w:szCs w:val="20"/>
              </w:rPr>
              <w:t>Qty</w:t>
            </w:r>
            <w:proofErr w:type="spellEnd"/>
          </w:p>
        </w:tc>
        <w:tc>
          <w:tcPr>
            <w:tcW w:w="2835" w:type="dxa"/>
            <w:gridSpan w:val="2"/>
            <w:tcBorders>
              <w:bottom w:val="single" w:sz="4" w:space="0" w:color="auto"/>
            </w:tcBorders>
          </w:tcPr>
          <w:p w:rsidR="00DC04A1" w:rsidRPr="008B2B7C" w:rsidRDefault="00DC04A1" w:rsidP="00E17B91">
            <w:pPr>
              <w:keepNext/>
              <w:jc w:val="both"/>
              <w:rPr>
                <w:rFonts w:ascii="Arial Narrow" w:hAnsi="Arial Narrow" w:cs="Arial"/>
                <w:sz w:val="20"/>
                <w:szCs w:val="20"/>
              </w:rPr>
            </w:pPr>
            <w:r w:rsidRPr="00041146">
              <w:rPr>
                <w:rFonts w:ascii="Arial Narrow" w:hAnsi="Arial Narrow" w:cs="Arial"/>
                <w:sz w:val="20"/>
                <w:szCs w:val="20"/>
              </w:rPr>
              <w:t>Proprietary Name and Manufacturer</w:t>
            </w:r>
          </w:p>
        </w:tc>
      </w:tr>
      <w:tr w:rsidR="00DC04A1" w:rsidRPr="00041146" w:rsidTr="00FB71AF">
        <w:trPr>
          <w:cantSplit/>
          <w:trHeight w:val="577"/>
        </w:trPr>
        <w:tc>
          <w:tcPr>
            <w:tcW w:w="3261" w:type="dxa"/>
            <w:gridSpan w:val="2"/>
          </w:tcPr>
          <w:p w:rsidR="00DC04A1" w:rsidRPr="00041146" w:rsidRDefault="00DC04A1" w:rsidP="00E17B91">
            <w:pPr>
              <w:keepNext/>
              <w:ind w:left="-108"/>
              <w:jc w:val="both"/>
              <w:rPr>
                <w:rFonts w:ascii="Arial Narrow" w:hAnsi="Arial Narrow" w:cs="Arial"/>
                <w:sz w:val="20"/>
                <w:szCs w:val="20"/>
              </w:rPr>
            </w:pPr>
            <w:r w:rsidRPr="00041146">
              <w:rPr>
                <w:rFonts w:ascii="Arial Narrow" w:hAnsi="Arial Narrow" w:cs="Arial"/>
                <w:smallCaps/>
                <w:sz w:val="20"/>
                <w:szCs w:val="20"/>
              </w:rPr>
              <w:t>SALBUTAMOL</w:t>
            </w:r>
          </w:p>
          <w:p w:rsidR="00DC04A1" w:rsidRPr="00041146" w:rsidRDefault="00DC04A1" w:rsidP="00E17B91">
            <w:pPr>
              <w:keepNext/>
              <w:ind w:left="-108"/>
              <w:rPr>
                <w:rFonts w:ascii="Arial Narrow" w:hAnsi="Arial Narrow" w:cs="Arial"/>
                <w:color w:val="FF0000"/>
                <w:sz w:val="20"/>
                <w:szCs w:val="20"/>
              </w:rPr>
            </w:pPr>
            <w:r w:rsidRPr="00041146">
              <w:rPr>
                <w:rFonts w:ascii="Arial Narrow" w:hAnsi="Arial Narrow"/>
                <w:sz w:val="20"/>
                <w:szCs w:val="20"/>
              </w:rPr>
              <w:t>100 microgram/actuation inhalation with dose counter, 200 actuations</w:t>
            </w:r>
          </w:p>
        </w:tc>
        <w:tc>
          <w:tcPr>
            <w:tcW w:w="567" w:type="dxa"/>
          </w:tcPr>
          <w:p w:rsidR="00DC04A1" w:rsidRPr="00041146" w:rsidRDefault="00DC04A1" w:rsidP="00E17B91">
            <w:pPr>
              <w:keepNext/>
              <w:ind w:left="-108"/>
              <w:jc w:val="both"/>
              <w:rPr>
                <w:rFonts w:ascii="Arial Narrow" w:hAnsi="Arial Narrow" w:cs="Arial"/>
                <w:sz w:val="20"/>
                <w:szCs w:val="20"/>
              </w:rPr>
            </w:pPr>
          </w:p>
          <w:p w:rsidR="00DC04A1" w:rsidRPr="00041146" w:rsidRDefault="00360A17" w:rsidP="00E17B91">
            <w:pPr>
              <w:keepNext/>
              <w:ind w:left="-108"/>
              <w:jc w:val="both"/>
              <w:rPr>
                <w:rFonts w:ascii="Arial Narrow" w:hAnsi="Arial Narrow" w:cs="Arial"/>
                <w:sz w:val="20"/>
                <w:szCs w:val="20"/>
              </w:rPr>
            </w:pPr>
            <w:r w:rsidRPr="00041146">
              <w:rPr>
                <w:rFonts w:ascii="Arial Narrow" w:hAnsi="Arial Narrow" w:cs="Arial"/>
                <w:sz w:val="20"/>
                <w:szCs w:val="20"/>
              </w:rPr>
              <w:t>1</w:t>
            </w:r>
          </w:p>
        </w:tc>
        <w:tc>
          <w:tcPr>
            <w:tcW w:w="850" w:type="dxa"/>
          </w:tcPr>
          <w:p w:rsidR="00DC04A1" w:rsidRPr="00041146" w:rsidRDefault="00DC04A1" w:rsidP="00E17B91">
            <w:pPr>
              <w:keepNext/>
              <w:ind w:left="-108"/>
              <w:jc w:val="both"/>
              <w:rPr>
                <w:rFonts w:ascii="Arial Narrow" w:hAnsi="Arial Narrow" w:cs="Arial"/>
                <w:sz w:val="20"/>
                <w:szCs w:val="20"/>
              </w:rPr>
            </w:pPr>
          </w:p>
          <w:p w:rsidR="00DC04A1" w:rsidRPr="00041146" w:rsidRDefault="00360A17" w:rsidP="00E17B91">
            <w:pPr>
              <w:keepNext/>
              <w:ind w:left="-108"/>
              <w:jc w:val="both"/>
              <w:rPr>
                <w:rFonts w:ascii="Arial Narrow" w:hAnsi="Arial Narrow" w:cs="Arial"/>
                <w:sz w:val="20"/>
                <w:szCs w:val="20"/>
              </w:rPr>
            </w:pPr>
            <w:r w:rsidRPr="00041146">
              <w:rPr>
                <w:rFonts w:ascii="Arial Narrow" w:hAnsi="Arial Narrow" w:cs="Arial"/>
                <w:sz w:val="20"/>
                <w:szCs w:val="20"/>
              </w:rPr>
              <w:t>0</w:t>
            </w:r>
          </w:p>
        </w:tc>
        <w:tc>
          <w:tcPr>
            <w:tcW w:w="1701" w:type="dxa"/>
          </w:tcPr>
          <w:p w:rsidR="00DC04A1" w:rsidRPr="00041146" w:rsidRDefault="00DC04A1" w:rsidP="00E17B91">
            <w:pPr>
              <w:keepNext/>
              <w:ind w:left="-108"/>
              <w:jc w:val="both"/>
              <w:rPr>
                <w:rFonts w:ascii="Arial Narrow" w:hAnsi="Arial Narrow" w:cs="Arial"/>
                <w:sz w:val="20"/>
                <w:szCs w:val="20"/>
              </w:rPr>
            </w:pPr>
          </w:p>
          <w:p w:rsidR="00DC04A1" w:rsidRPr="00041146" w:rsidRDefault="00360A17" w:rsidP="00E17B91">
            <w:pPr>
              <w:keepNext/>
              <w:ind w:left="-108"/>
              <w:jc w:val="both"/>
              <w:rPr>
                <w:rFonts w:ascii="Arial Narrow" w:hAnsi="Arial Narrow" w:cs="Arial"/>
                <w:sz w:val="20"/>
                <w:szCs w:val="20"/>
              </w:rPr>
            </w:pPr>
            <w:r w:rsidRPr="00041146">
              <w:rPr>
                <w:rFonts w:ascii="Arial Narrow" w:hAnsi="Arial Narrow" w:cs="Arial"/>
                <w:sz w:val="20"/>
                <w:szCs w:val="20"/>
              </w:rPr>
              <w:t>$</w:t>
            </w:r>
            <w:r w:rsidR="0088138D">
              <w:rPr>
                <w:rFonts w:ascii="Arial Narrow" w:hAnsi="Arial Narrow" w:cs="Arial"/>
                <w:noProof/>
                <w:color w:val="000000"/>
                <w:sz w:val="20"/>
                <w:szCs w:val="20"/>
                <w:highlight w:val="black"/>
              </w:rPr>
              <w:t>'''''''''''''</w:t>
            </w:r>
          </w:p>
        </w:tc>
        <w:tc>
          <w:tcPr>
            <w:tcW w:w="1276" w:type="dxa"/>
          </w:tcPr>
          <w:p w:rsidR="00DC04A1" w:rsidRPr="00041146" w:rsidRDefault="00DC04A1" w:rsidP="00E17B91">
            <w:pPr>
              <w:keepNext/>
              <w:jc w:val="both"/>
              <w:rPr>
                <w:rFonts w:ascii="Arial Narrow" w:hAnsi="Arial Narrow" w:cs="Arial"/>
                <w:sz w:val="20"/>
                <w:szCs w:val="20"/>
              </w:rPr>
            </w:pPr>
            <w:r w:rsidRPr="00041146">
              <w:rPr>
                <w:rFonts w:ascii="Arial Narrow" w:hAnsi="Arial Narrow" w:cs="Arial"/>
                <w:sz w:val="20"/>
                <w:szCs w:val="20"/>
              </w:rPr>
              <w:t>Ventolin</w:t>
            </w:r>
          </w:p>
        </w:tc>
        <w:tc>
          <w:tcPr>
            <w:tcW w:w="1559" w:type="dxa"/>
          </w:tcPr>
          <w:p w:rsidR="00DC04A1" w:rsidRPr="00041146" w:rsidRDefault="00DC04A1" w:rsidP="00E17B91">
            <w:pPr>
              <w:keepNext/>
              <w:jc w:val="both"/>
              <w:rPr>
                <w:rFonts w:ascii="Arial Narrow" w:hAnsi="Arial Narrow" w:cs="Arial"/>
                <w:sz w:val="20"/>
                <w:szCs w:val="20"/>
              </w:rPr>
            </w:pPr>
            <w:r w:rsidRPr="00041146">
              <w:rPr>
                <w:rFonts w:ascii="Arial Narrow" w:hAnsi="Arial Narrow" w:cs="Arial"/>
                <w:sz w:val="20"/>
                <w:szCs w:val="20"/>
              </w:rPr>
              <w:t>GlaxoSmithKline Australia Pty Ltd</w:t>
            </w:r>
          </w:p>
        </w:tc>
      </w:tr>
      <w:tr w:rsidR="00DC04A1" w:rsidRPr="00041146" w:rsidTr="00FB71AF">
        <w:trPr>
          <w:cantSplit/>
          <w:trHeight w:val="360"/>
        </w:trPr>
        <w:tc>
          <w:tcPr>
            <w:tcW w:w="9214" w:type="dxa"/>
            <w:gridSpan w:val="7"/>
            <w:tcBorders>
              <w:bottom w:val="single" w:sz="4" w:space="0" w:color="auto"/>
            </w:tcBorders>
          </w:tcPr>
          <w:p w:rsidR="00DC04A1" w:rsidRPr="00041146" w:rsidRDefault="00DC04A1" w:rsidP="00E17B91">
            <w:pPr>
              <w:jc w:val="both"/>
              <w:rPr>
                <w:rFonts w:ascii="Arial Narrow" w:hAnsi="Arial Narrow" w:cs="Arial"/>
                <w:sz w:val="20"/>
                <w:szCs w:val="20"/>
              </w:rPr>
            </w:pPr>
          </w:p>
        </w:tc>
      </w:tr>
      <w:tr w:rsidR="00DC04A1" w:rsidRPr="00041146" w:rsidTr="00FB71AF">
        <w:trPr>
          <w:cantSplit/>
          <w:trHeight w:val="360"/>
        </w:trPr>
        <w:tc>
          <w:tcPr>
            <w:tcW w:w="2835" w:type="dxa"/>
            <w:tcBorders>
              <w:top w:val="single" w:sz="4" w:space="0" w:color="auto"/>
              <w:left w:val="single" w:sz="4" w:space="0" w:color="auto"/>
              <w:bottom w:val="single" w:sz="4" w:space="0" w:color="auto"/>
              <w:right w:val="single" w:sz="4" w:space="0" w:color="auto"/>
            </w:tcBorders>
          </w:tcPr>
          <w:p w:rsidR="00DC04A1" w:rsidRPr="00041146" w:rsidRDefault="00DC04A1" w:rsidP="00E17B91">
            <w:pPr>
              <w:jc w:val="both"/>
              <w:rPr>
                <w:rFonts w:ascii="Arial Narrow" w:hAnsi="Arial Narrow" w:cs="Arial"/>
                <w:b/>
                <w:sz w:val="20"/>
                <w:szCs w:val="20"/>
              </w:rPr>
            </w:pPr>
            <w:r w:rsidRPr="00041146">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DC04A1" w:rsidRPr="00041146" w:rsidRDefault="00DC04A1" w:rsidP="00E17B91">
            <w:pPr>
              <w:jc w:val="both"/>
              <w:rPr>
                <w:rFonts w:ascii="Arial Narrow" w:hAnsi="Arial Narrow" w:cs="Arial"/>
                <w:sz w:val="20"/>
                <w:szCs w:val="20"/>
              </w:rPr>
            </w:pPr>
            <w:r w:rsidRPr="00041146">
              <w:rPr>
                <w:rFonts w:ascii="Arial Narrow" w:hAnsi="Arial Narrow" w:cs="Arial"/>
                <w:sz w:val="20"/>
                <w:szCs w:val="20"/>
              </w:rPr>
              <w:t>GEN</w:t>
            </w:r>
            <w:r w:rsidR="00360A17" w:rsidRPr="00041146">
              <w:rPr>
                <w:rFonts w:ascii="Arial Narrow" w:hAnsi="Arial Narrow" w:cs="Arial"/>
                <w:sz w:val="20"/>
                <w:szCs w:val="20"/>
              </w:rPr>
              <w:t>ERAL – General Schedule (Code DB Prescribers Bag</w:t>
            </w:r>
            <w:r w:rsidRPr="00041146">
              <w:rPr>
                <w:rFonts w:ascii="Arial Narrow" w:hAnsi="Arial Narrow" w:cs="Arial"/>
                <w:sz w:val="20"/>
                <w:szCs w:val="20"/>
              </w:rPr>
              <w:t>)</w:t>
            </w:r>
          </w:p>
        </w:tc>
      </w:tr>
      <w:tr w:rsidR="00DC04A1" w:rsidRPr="00041146" w:rsidTr="00FB71AF">
        <w:trPr>
          <w:cantSplit/>
          <w:trHeight w:val="360"/>
        </w:trPr>
        <w:tc>
          <w:tcPr>
            <w:tcW w:w="2835" w:type="dxa"/>
            <w:tcBorders>
              <w:top w:val="single" w:sz="4" w:space="0" w:color="auto"/>
              <w:left w:val="single" w:sz="4" w:space="0" w:color="auto"/>
              <w:bottom w:val="single" w:sz="4" w:space="0" w:color="auto"/>
              <w:right w:val="single" w:sz="4" w:space="0" w:color="auto"/>
            </w:tcBorders>
          </w:tcPr>
          <w:p w:rsidR="00DC04A1" w:rsidRPr="00041146" w:rsidRDefault="00DC04A1" w:rsidP="00E17B91">
            <w:pPr>
              <w:jc w:val="both"/>
              <w:rPr>
                <w:rFonts w:ascii="Arial Narrow" w:hAnsi="Arial Narrow" w:cs="Arial"/>
                <w:b/>
                <w:sz w:val="20"/>
                <w:szCs w:val="20"/>
              </w:rPr>
            </w:pPr>
            <w:r w:rsidRPr="00041146">
              <w:rPr>
                <w:rFonts w:ascii="Arial Narrow" w:hAnsi="Arial Narrow" w:cs="Arial"/>
                <w:b/>
                <w:sz w:val="20"/>
                <w:szCs w:val="20"/>
              </w:rPr>
              <w:t>Prescriber type:</w:t>
            </w:r>
          </w:p>
          <w:p w:rsidR="00DC04A1" w:rsidRPr="00041146" w:rsidRDefault="00DC04A1" w:rsidP="00E17B91">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DC04A1" w:rsidRPr="00041146" w:rsidRDefault="00DC04A1" w:rsidP="00E17B91">
            <w:pPr>
              <w:jc w:val="both"/>
              <w:rPr>
                <w:rFonts w:ascii="Arial Narrow" w:hAnsi="Arial Narrow" w:cs="Arial"/>
                <w:sz w:val="20"/>
                <w:szCs w:val="20"/>
              </w:rPr>
            </w:pPr>
            <w:r w:rsidRPr="00AA7881">
              <w:rPr>
                <w:rFonts w:ascii="Arial Narrow" w:hAnsi="Arial Narrow" w:cs="Arial"/>
                <w:sz w:val="20"/>
                <w:szCs w:val="20"/>
              </w:rPr>
              <w:fldChar w:fldCharType="begin">
                <w:ffData>
                  <w:name w:val="Check1"/>
                  <w:enabled/>
                  <w:calcOnExit w:val="0"/>
                  <w:checkBox>
                    <w:sizeAuto/>
                    <w:default w:val="0"/>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AA7881">
              <w:rPr>
                <w:rFonts w:ascii="Arial Narrow" w:hAnsi="Arial Narrow" w:cs="Arial"/>
                <w:sz w:val="20"/>
                <w:szCs w:val="20"/>
              </w:rPr>
              <w:fldChar w:fldCharType="end"/>
            </w:r>
            <w:r w:rsidRPr="00041146">
              <w:rPr>
                <w:rFonts w:ascii="Arial Narrow" w:hAnsi="Arial Narrow" w:cs="Arial"/>
                <w:sz w:val="20"/>
                <w:szCs w:val="20"/>
              </w:rPr>
              <w:t>Dental</w:t>
            </w:r>
            <w:r w:rsidR="0044267E" w:rsidRPr="00041146">
              <w:rPr>
                <w:rFonts w:ascii="Arial Narrow" w:hAnsi="Arial Narrow" w:cs="Arial"/>
                <w:sz w:val="20"/>
                <w:szCs w:val="20"/>
              </w:rPr>
              <w:t xml:space="preserve"> </w:t>
            </w:r>
            <w:r w:rsidRPr="00AA7881">
              <w:rPr>
                <w:rFonts w:ascii="Arial Narrow" w:hAnsi="Arial Narrow" w:cs="Arial"/>
                <w:sz w:val="20"/>
                <w:szCs w:val="20"/>
              </w:rPr>
              <w:fldChar w:fldCharType="begin">
                <w:ffData>
                  <w:name w:val=""/>
                  <w:enabled/>
                  <w:calcOnExit w:val="0"/>
                  <w:checkBox>
                    <w:sizeAuto/>
                    <w:default w:val="1"/>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AA7881">
              <w:rPr>
                <w:rFonts w:ascii="Arial Narrow" w:hAnsi="Arial Narrow" w:cs="Arial"/>
                <w:sz w:val="20"/>
                <w:szCs w:val="20"/>
              </w:rPr>
              <w:fldChar w:fldCharType="end"/>
            </w:r>
            <w:r w:rsidRPr="00041146">
              <w:rPr>
                <w:rFonts w:ascii="Arial Narrow" w:hAnsi="Arial Narrow" w:cs="Arial"/>
                <w:sz w:val="20"/>
                <w:szCs w:val="20"/>
              </w:rPr>
              <w:t>Medical Practitioners</w:t>
            </w:r>
            <w:r w:rsidR="0044267E" w:rsidRPr="00041146">
              <w:rPr>
                <w:rFonts w:ascii="Arial Narrow" w:hAnsi="Arial Narrow" w:cs="Arial"/>
                <w:sz w:val="20"/>
                <w:szCs w:val="20"/>
              </w:rPr>
              <w:t xml:space="preserve"> </w:t>
            </w:r>
            <w:r w:rsidR="00B31F6C" w:rsidRPr="00AA7881">
              <w:rPr>
                <w:rFonts w:ascii="Arial Narrow" w:hAnsi="Arial Narrow" w:cs="Arial"/>
                <w:i/>
                <w:sz w:val="20"/>
                <w:szCs w:val="20"/>
              </w:rPr>
              <w:fldChar w:fldCharType="begin">
                <w:ffData>
                  <w:name w:val=""/>
                  <w:enabled/>
                  <w:calcOnExit w:val="0"/>
                  <w:checkBox>
                    <w:sizeAuto/>
                    <w:default w:val="1"/>
                  </w:checkBox>
                </w:ffData>
              </w:fldChar>
            </w:r>
            <w:r w:rsidR="00B31F6C" w:rsidRPr="00041146">
              <w:rPr>
                <w:rFonts w:ascii="Arial Narrow" w:hAnsi="Arial Narrow" w:cs="Arial"/>
                <w:i/>
                <w:sz w:val="20"/>
                <w:szCs w:val="20"/>
              </w:rPr>
              <w:instrText xml:space="preserve"> FORMCHECKBOX </w:instrText>
            </w:r>
            <w:r w:rsidR="00171FE9">
              <w:rPr>
                <w:rFonts w:ascii="Arial Narrow" w:hAnsi="Arial Narrow" w:cs="Arial"/>
                <w:i/>
                <w:sz w:val="20"/>
                <w:szCs w:val="20"/>
              </w:rPr>
            </w:r>
            <w:r w:rsidR="00171FE9">
              <w:rPr>
                <w:rFonts w:ascii="Arial Narrow" w:hAnsi="Arial Narrow" w:cs="Arial"/>
                <w:i/>
                <w:sz w:val="20"/>
                <w:szCs w:val="20"/>
              </w:rPr>
              <w:fldChar w:fldCharType="separate"/>
            </w:r>
            <w:r w:rsidR="00B31F6C" w:rsidRPr="00AA7881">
              <w:rPr>
                <w:rFonts w:ascii="Arial Narrow" w:hAnsi="Arial Narrow" w:cs="Arial"/>
                <w:i/>
                <w:sz w:val="20"/>
                <w:szCs w:val="20"/>
              </w:rPr>
              <w:fldChar w:fldCharType="end"/>
            </w:r>
            <w:r w:rsidRPr="00041146">
              <w:rPr>
                <w:rFonts w:ascii="Arial Narrow" w:hAnsi="Arial Narrow" w:cs="Arial"/>
                <w:i/>
                <w:sz w:val="20"/>
                <w:szCs w:val="20"/>
              </w:rPr>
              <w:t>Nurse practitioners</w:t>
            </w:r>
            <w:r w:rsidR="0044267E" w:rsidRPr="00041146">
              <w:rPr>
                <w:rFonts w:ascii="Arial Narrow" w:hAnsi="Arial Narrow" w:cs="Arial"/>
                <w:sz w:val="20"/>
                <w:szCs w:val="20"/>
              </w:rPr>
              <w:t xml:space="preserve"> </w:t>
            </w:r>
            <w:r w:rsidRPr="00AA7881">
              <w:rPr>
                <w:rFonts w:ascii="Arial Narrow" w:hAnsi="Arial Narrow" w:cs="Arial"/>
                <w:sz w:val="20"/>
                <w:szCs w:val="20"/>
              </w:rPr>
              <w:fldChar w:fldCharType="begin">
                <w:ffData>
                  <w:name w:val=""/>
                  <w:enabled/>
                  <w:calcOnExit w:val="0"/>
                  <w:checkBox>
                    <w:sizeAuto/>
                    <w:default w:val="0"/>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AA7881">
              <w:rPr>
                <w:rFonts w:ascii="Arial Narrow" w:hAnsi="Arial Narrow" w:cs="Arial"/>
                <w:sz w:val="20"/>
                <w:szCs w:val="20"/>
              </w:rPr>
              <w:fldChar w:fldCharType="end"/>
            </w:r>
            <w:r w:rsidRPr="00041146">
              <w:rPr>
                <w:rFonts w:ascii="Arial Narrow" w:hAnsi="Arial Narrow" w:cs="Arial"/>
                <w:sz w:val="20"/>
                <w:szCs w:val="20"/>
              </w:rPr>
              <w:t>Optometrists</w:t>
            </w:r>
          </w:p>
          <w:p w:rsidR="00DC04A1" w:rsidRPr="00041146" w:rsidRDefault="00DC04A1" w:rsidP="00E17B91">
            <w:pPr>
              <w:jc w:val="both"/>
              <w:rPr>
                <w:rFonts w:ascii="Arial Narrow" w:hAnsi="Arial Narrow" w:cs="Arial"/>
                <w:sz w:val="20"/>
                <w:szCs w:val="20"/>
              </w:rPr>
            </w:pPr>
            <w:r w:rsidRPr="00AA7881">
              <w:rPr>
                <w:rFonts w:ascii="Arial Narrow" w:hAnsi="Arial Narrow" w:cs="Arial"/>
                <w:sz w:val="20"/>
                <w:szCs w:val="20"/>
              </w:rPr>
              <w:fldChar w:fldCharType="begin">
                <w:ffData>
                  <w:name w:val="Check5"/>
                  <w:enabled/>
                  <w:calcOnExit w:val="0"/>
                  <w:checkBox>
                    <w:sizeAuto/>
                    <w:default w:val="0"/>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AA7881">
              <w:rPr>
                <w:rFonts w:ascii="Arial Narrow" w:hAnsi="Arial Narrow" w:cs="Arial"/>
                <w:sz w:val="20"/>
                <w:szCs w:val="20"/>
              </w:rPr>
              <w:fldChar w:fldCharType="end"/>
            </w:r>
            <w:r w:rsidRPr="00041146">
              <w:rPr>
                <w:rFonts w:ascii="Arial Narrow" w:hAnsi="Arial Narrow" w:cs="Arial"/>
                <w:sz w:val="20"/>
                <w:szCs w:val="20"/>
              </w:rPr>
              <w:t>Midwives</w:t>
            </w:r>
          </w:p>
        </w:tc>
      </w:tr>
      <w:tr w:rsidR="005F498F" w:rsidRPr="00041146" w:rsidTr="005F498F">
        <w:trPr>
          <w:cantSplit/>
          <w:trHeight w:val="360"/>
        </w:trPr>
        <w:tc>
          <w:tcPr>
            <w:tcW w:w="2835" w:type="dxa"/>
            <w:tcBorders>
              <w:top w:val="single" w:sz="4" w:space="0" w:color="auto"/>
              <w:left w:val="single" w:sz="4" w:space="0" w:color="auto"/>
              <w:bottom w:val="single" w:sz="4" w:space="0" w:color="auto"/>
              <w:right w:val="single" w:sz="4" w:space="0" w:color="auto"/>
            </w:tcBorders>
          </w:tcPr>
          <w:p w:rsidR="005F498F" w:rsidRPr="00041146" w:rsidRDefault="005F498F" w:rsidP="00E17B91">
            <w:pPr>
              <w:jc w:val="both"/>
              <w:rPr>
                <w:rFonts w:ascii="Arial Narrow" w:hAnsi="Arial Narrow" w:cs="Arial"/>
                <w:b/>
                <w:i/>
                <w:sz w:val="20"/>
                <w:szCs w:val="20"/>
              </w:rPr>
            </w:pPr>
            <w:r w:rsidRPr="00041146">
              <w:rPr>
                <w:rFonts w:ascii="Arial Narrow" w:hAnsi="Arial Narrow" w:cs="Arial"/>
                <w:b/>
                <w:i/>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5F498F" w:rsidRPr="00041146" w:rsidRDefault="005D6462" w:rsidP="00E17B91">
            <w:pPr>
              <w:jc w:val="both"/>
              <w:rPr>
                <w:rFonts w:ascii="Arial Narrow" w:hAnsi="Arial Narrow" w:cs="Arial"/>
                <w:i/>
                <w:sz w:val="20"/>
                <w:szCs w:val="20"/>
              </w:rPr>
            </w:pPr>
            <w:r w:rsidRPr="00041146">
              <w:rPr>
                <w:rFonts w:ascii="Arial Narrow" w:hAnsi="Arial Narrow" w:cs="Arial"/>
                <w:i/>
                <w:sz w:val="20"/>
                <w:szCs w:val="20"/>
              </w:rPr>
              <w:t>Pharmaceutical benefits that have the form salbutamol 100 microgram/actuation inhalation with dose counter, 200 actuations and pharmaceutical benefits that have the form salbutamol 100 microgram/actuation inhalation, 200 actuations are equivalent for the purposes of substitution.</w:t>
            </w:r>
          </w:p>
        </w:tc>
      </w:tr>
    </w:tbl>
    <w:p w:rsidR="00234252" w:rsidRPr="00041146" w:rsidRDefault="00234252" w:rsidP="00E17B91">
      <w:pPr>
        <w:spacing w:after="120"/>
        <w:jc w:val="both"/>
        <w:rPr>
          <w:rFonts w:asciiTheme="minorHAnsi" w:eastAsiaTheme="minorHAnsi" w:hAnsiTheme="minorHAnsi" w:cstheme="minorBidi"/>
          <w:b/>
          <w:i/>
          <w:color w:val="000000" w:themeColor="text1"/>
          <w:lang w:eastAsia="en-US"/>
        </w:rPr>
      </w:pPr>
    </w:p>
    <w:p w:rsidR="00A31991" w:rsidRPr="00041146" w:rsidRDefault="00A31991" w:rsidP="00E17B91">
      <w:pPr>
        <w:pStyle w:val="ListParagraph"/>
        <w:widowControl/>
        <w:ind w:left="709"/>
        <w:rPr>
          <w:rFonts w:asciiTheme="minorHAnsi" w:hAnsiTheme="minorHAnsi"/>
          <w:i/>
          <w:sz w:val="24"/>
          <w:szCs w:val="24"/>
        </w:rPr>
      </w:pPr>
      <w:r w:rsidRPr="00041146">
        <w:rPr>
          <w:rFonts w:asciiTheme="minorHAnsi" w:hAnsiTheme="minorHAnsi"/>
          <w:i/>
          <w:sz w:val="24"/>
          <w:szCs w:val="24"/>
        </w:rPr>
        <w:t>For more detail</w:t>
      </w:r>
      <w:r w:rsidR="00676569" w:rsidRPr="00041146">
        <w:rPr>
          <w:rFonts w:asciiTheme="minorHAnsi" w:hAnsiTheme="minorHAnsi"/>
          <w:i/>
          <w:sz w:val="24"/>
          <w:szCs w:val="24"/>
        </w:rPr>
        <w:t xml:space="preserve"> on PBAC’s view, see section 6</w:t>
      </w:r>
      <w:r w:rsidRPr="00041146">
        <w:rPr>
          <w:rFonts w:asciiTheme="minorHAnsi" w:hAnsiTheme="minorHAnsi"/>
          <w:i/>
          <w:sz w:val="24"/>
          <w:szCs w:val="24"/>
        </w:rPr>
        <w:t xml:space="preserve"> PBAC outcome.</w:t>
      </w:r>
    </w:p>
    <w:p w:rsidR="0012749D" w:rsidRPr="00041146" w:rsidRDefault="00CE10C4" w:rsidP="00E17B91">
      <w:pPr>
        <w:pStyle w:val="2Sections"/>
      </w:pPr>
      <w:r w:rsidRPr="00041146">
        <w:t>Background</w:t>
      </w:r>
      <w:r w:rsidR="00771D07" w:rsidRPr="00041146">
        <w:t xml:space="preserve"> </w:t>
      </w:r>
    </w:p>
    <w:p w:rsidR="00762C1B" w:rsidRPr="00041146" w:rsidRDefault="000C74A2" w:rsidP="00E17B91">
      <w:pPr>
        <w:pStyle w:val="3Bodytext"/>
        <w:jc w:val="both"/>
        <w:rPr>
          <w:rFonts w:cstheme="minorHAnsi"/>
          <w:iCs/>
        </w:rPr>
      </w:pPr>
      <w:r w:rsidRPr="00041146">
        <w:rPr>
          <w:rFonts w:cstheme="minorHAnsi"/>
          <w:iCs/>
        </w:rPr>
        <w:t xml:space="preserve">Two brands of salbutamol pressurised inhalation 100 micrograms (as </w:t>
      </w:r>
      <w:proofErr w:type="spellStart"/>
      <w:r w:rsidRPr="00041146">
        <w:rPr>
          <w:rFonts w:cstheme="minorHAnsi"/>
          <w:iCs/>
        </w:rPr>
        <w:t>sulfate</w:t>
      </w:r>
      <w:proofErr w:type="spellEnd"/>
      <w:r w:rsidRPr="00041146">
        <w:rPr>
          <w:rFonts w:cstheme="minorHAnsi"/>
          <w:iCs/>
        </w:rPr>
        <w:t xml:space="preserve">) per dose, 200 doses (CFC-free formulations) are currently listed on the PBS </w:t>
      </w:r>
      <w:r w:rsidR="004606E5" w:rsidRPr="00041146">
        <w:rPr>
          <w:rFonts w:cstheme="minorHAnsi"/>
          <w:iCs/>
        </w:rPr>
        <w:t xml:space="preserve">and are also available over-the-counter </w:t>
      </w:r>
      <w:r w:rsidRPr="00041146">
        <w:rPr>
          <w:rFonts w:cstheme="minorHAnsi"/>
          <w:iCs/>
        </w:rPr>
        <w:t xml:space="preserve">(Ventolin and </w:t>
      </w:r>
      <w:proofErr w:type="spellStart"/>
      <w:r w:rsidRPr="00041146">
        <w:rPr>
          <w:rFonts w:cstheme="minorHAnsi"/>
          <w:iCs/>
        </w:rPr>
        <w:t>Asmol</w:t>
      </w:r>
      <w:proofErr w:type="spellEnd"/>
      <w:r w:rsidRPr="00041146">
        <w:rPr>
          <w:rFonts w:cstheme="minorHAnsi"/>
          <w:iCs/>
        </w:rPr>
        <w:t>).</w:t>
      </w:r>
      <w:r w:rsidR="0044267E" w:rsidRPr="00041146">
        <w:rPr>
          <w:rFonts w:cstheme="minorHAnsi"/>
          <w:iCs/>
        </w:rPr>
        <w:t xml:space="preserve"> </w:t>
      </w:r>
      <w:proofErr w:type="spellStart"/>
      <w:r w:rsidR="00762C1B" w:rsidRPr="00041146">
        <w:rPr>
          <w:rFonts w:cstheme="minorHAnsi"/>
          <w:iCs/>
        </w:rPr>
        <w:t>Asmol</w:t>
      </w:r>
      <w:proofErr w:type="spellEnd"/>
      <w:r w:rsidR="00762C1B" w:rsidRPr="00041146">
        <w:rPr>
          <w:rFonts w:cstheme="minorHAnsi"/>
          <w:iCs/>
        </w:rPr>
        <w:t xml:space="preserve"> inhaler, is manufactured by the sponsor (GlaxoSmithKline Australia Pty Ltd) on behalf of </w:t>
      </w:r>
      <w:proofErr w:type="spellStart"/>
      <w:r w:rsidR="00762C1B" w:rsidRPr="00041146">
        <w:rPr>
          <w:rFonts w:cstheme="minorHAnsi"/>
          <w:iCs/>
        </w:rPr>
        <w:t>Alphapharm</w:t>
      </w:r>
      <w:proofErr w:type="spellEnd"/>
      <w:r w:rsidR="00A4646C" w:rsidRPr="00041146">
        <w:rPr>
          <w:rFonts w:cstheme="minorHAnsi"/>
          <w:iCs/>
        </w:rPr>
        <w:t xml:space="preserve"> Pty Ltd</w:t>
      </w:r>
      <w:r w:rsidR="00762C1B" w:rsidRPr="00041146">
        <w:rPr>
          <w:rFonts w:cstheme="minorHAnsi"/>
          <w:iCs/>
        </w:rPr>
        <w:t xml:space="preserve">. The current presentations of Ventolin and </w:t>
      </w:r>
      <w:proofErr w:type="spellStart"/>
      <w:r w:rsidR="00762C1B" w:rsidRPr="00041146">
        <w:rPr>
          <w:rFonts w:cstheme="minorHAnsi"/>
          <w:iCs/>
        </w:rPr>
        <w:t>Asmol</w:t>
      </w:r>
      <w:proofErr w:type="spellEnd"/>
      <w:r w:rsidR="00762C1B" w:rsidRPr="00041146">
        <w:rPr>
          <w:rFonts w:cstheme="minorHAnsi"/>
          <w:iCs/>
        </w:rPr>
        <w:t xml:space="preserve"> MDIs do not have a dose counter</w:t>
      </w:r>
      <w:r w:rsidR="004606E5" w:rsidRPr="00041146">
        <w:rPr>
          <w:rFonts w:cstheme="minorHAnsi"/>
          <w:iCs/>
        </w:rPr>
        <w:t>.</w:t>
      </w:r>
    </w:p>
    <w:p w:rsidR="00762C1B" w:rsidRPr="00041146" w:rsidRDefault="00762C1B" w:rsidP="00E17B91">
      <w:pPr>
        <w:pStyle w:val="3Bodytext"/>
        <w:jc w:val="both"/>
        <w:rPr>
          <w:rFonts w:cstheme="minorHAnsi"/>
          <w:iCs/>
        </w:rPr>
      </w:pPr>
      <w:proofErr w:type="spellStart"/>
      <w:r w:rsidRPr="00041146">
        <w:rPr>
          <w:rFonts w:cstheme="minorHAnsi"/>
          <w:iCs/>
        </w:rPr>
        <w:t>Airomir</w:t>
      </w:r>
      <w:proofErr w:type="spellEnd"/>
      <w:r w:rsidRPr="00041146">
        <w:rPr>
          <w:rFonts w:cstheme="minorHAnsi"/>
          <w:iCs/>
        </w:rPr>
        <w:t xml:space="preserve">® </w:t>
      </w:r>
      <w:proofErr w:type="spellStart"/>
      <w:r w:rsidRPr="00041146">
        <w:rPr>
          <w:rFonts w:cstheme="minorHAnsi"/>
          <w:iCs/>
        </w:rPr>
        <w:t>Autohaler</w:t>
      </w:r>
      <w:proofErr w:type="spellEnd"/>
      <w:r w:rsidRPr="00041146">
        <w:rPr>
          <w:rFonts w:cstheme="minorHAnsi"/>
          <w:iCs/>
        </w:rPr>
        <w:t xml:space="preserve">, a salbutamol pressurised inhalation in breath actuated device 100 micrograms (as </w:t>
      </w:r>
      <w:proofErr w:type="spellStart"/>
      <w:r w:rsidRPr="00041146">
        <w:rPr>
          <w:rFonts w:cstheme="minorHAnsi"/>
          <w:iCs/>
        </w:rPr>
        <w:t>sulfate</w:t>
      </w:r>
      <w:proofErr w:type="spellEnd"/>
      <w:r w:rsidRPr="00041146">
        <w:rPr>
          <w:rFonts w:cstheme="minorHAnsi"/>
          <w:iCs/>
        </w:rPr>
        <w:t>) per dose, 200 doses (CFC-free formulation) is also currently listed on the PBS</w:t>
      </w:r>
      <w:r w:rsidR="004606E5" w:rsidRPr="00041146">
        <w:rPr>
          <w:rFonts w:cstheme="minorHAnsi"/>
          <w:iCs/>
        </w:rPr>
        <w:t xml:space="preserve"> as a Restricted Benefit for patients unable to achieve co-ordinated use of other MDIs containing this drug</w:t>
      </w:r>
      <w:r w:rsidRPr="00041146">
        <w:rPr>
          <w:rFonts w:cstheme="minorHAnsi"/>
          <w:iCs/>
        </w:rPr>
        <w:t xml:space="preserve">. </w:t>
      </w:r>
      <w:r w:rsidR="004606E5" w:rsidRPr="00041146">
        <w:rPr>
          <w:rFonts w:cstheme="minorHAnsi"/>
          <w:iCs/>
        </w:rPr>
        <w:t xml:space="preserve">The current presentation of </w:t>
      </w:r>
      <w:proofErr w:type="spellStart"/>
      <w:r w:rsidR="004606E5" w:rsidRPr="00041146">
        <w:rPr>
          <w:rFonts w:cstheme="minorHAnsi"/>
          <w:iCs/>
        </w:rPr>
        <w:t>Airomir</w:t>
      </w:r>
      <w:proofErr w:type="spellEnd"/>
      <w:r w:rsidR="004606E5" w:rsidRPr="00041146">
        <w:rPr>
          <w:rFonts w:cstheme="minorHAnsi"/>
          <w:iCs/>
        </w:rPr>
        <w:t xml:space="preserve"> </w:t>
      </w:r>
      <w:proofErr w:type="spellStart"/>
      <w:r w:rsidR="004606E5" w:rsidRPr="00041146">
        <w:rPr>
          <w:rFonts w:cstheme="minorHAnsi"/>
          <w:iCs/>
        </w:rPr>
        <w:t>Autohaler</w:t>
      </w:r>
      <w:proofErr w:type="spellEnd"/>
      <w:r w:rsidR="004606E5" w:rsidRPr="00041146">
        <w:rPr>
          <w:rFonts w:cstheme="minorHAnsi"/>
          <w:iCs/>
        </w:rPr>
        <w:t xml:space="preserve"> does not have a dose counter.</w:t>
      </w:r>
    </w:p>
    <w:p w:rsidR="000C74A2" w:rsidRPr="00041146" w:rsidRDefault="004606E5" w:rsidP="00E17B91">
      <w:pPr>
        <w:pStyle w:val="3Bodytext"/>
        <w:jc w:val="both"/>
        <w:rPr>
          <w:rFonts w:cstheme="minorHAnsi"/>
          <w:iCs/>
        </w:rPr>
      </w:pPr>
      <w:r w:rsidRPr="00041146">
        <w:rPr>
          <w:rFonts w:cstheme="minorHAnsi"/>
          <w:iCs/>
        </w:rPr>
        <w:t>Ventolin DC was TGA registered on 31</w:t>
      </w:r>
      <w:r w:rsidRPr="00041146">
        <w:rPr>
          <w:rFonts w:cstheme="minorHAnsi"/>
          <w:iCs/>
          <w:vertAlign w:val="superscript"/>
        </w:rPr>
        <w:t>st</w:t>
      </w:r>
      <w:r w:rsidRPr="00041146">
        <w:rPr>
          <w:rFonts w:cstheme="minorHAnsi"/>
          <w:iCs/>
        </w:rPr>
        <w:t xml:space="preserve"> </w:t>
      </w:r>
      <w:r w:rsidR="00597134" w:rsidRPr="00041146">
        <w:rPr>
          <w:rFonts w:cstheme="minorHAnsi"/>
          <w:iCs/>
        </w:rPr>
        <w:t xml:space="preserve">July 2019 for </w:t>
      </w:r>
      <w:r w:rsidR="00597134" w:rsidRPr="00041146">
        <w:t>the relief of bronchospasm in patients with asthma or COPD, and for acute prophylaxis against exercise-induced asthma and other stimuli known to induce bronchospasm.</w:t>
      </w:r>
      <w:r w:rsidR="00597134" w:rsidRPr="00041146">
        <w:rPr>
          <w:rFonts w:cstheme="minorHAnsi"/>
          <w:iCs/>
        </w:rPr>
        <w:t xml:space="preserve"> The ARTG Summary specifies the product as Ventolin inhaler CFC-Free Salbutamol 100 microgram (as </w:t>
      </w:r>
      <w:proofErr w:type="spellStart"/>
      <w:r w:rsidR="00597134" w:rsidRPr="00041146">
        <w:rPr>
          <w:rFonts w:cstheme="minorHAnsi"/>
          <w:iCs/>
        </w:rPr>
        <w:t>sulfate</w:t>
      </w:r>
      <w:proofErr w:type="spellEnd"/>
      <w:r w:rsidR="00597134" w:rsidRPr="00041146">
        <w:rPr>
          <w:rFonts w:cstheme="minorHAnsi"/>
          <w:iCs/>
        </w:rPr>
        <w:t>) pressurised inhaler metered dose (with counter). The TGA approval letter states ‘Ventolin (with counter) (AUST R – 317221) is also supplied as Ventolin (AUST R – 62695). The two products are the same, apart from their container, which will not affect rate and extent of absorption. On this basis, they are bioequivalent.’</w:t>
      </w:r>
    </w:p>
    <w:p w:rsidR="005C03ED" w:rsidRPr="00857A63" w:rsidRDefault="009B3685" w:rsidP="00E17B91">
      <w:pPr>
        <w:pStyle w:val="3Bodytext"/>
        <w:jc w:val="both"/>
        <w:rPr>
          <w:rFonts w:cstheme="minorHAnsi"/>
          <w:iCs/>
        </w:rPr>
      </w:pPr>
      <w:r w:rsidRPr="00041146">
        <w:rPr>
          <w:rFonts w:eastAsia="Times New Roman" w:cs="Calibri"/>
          <w:szCs w:val="24"/>
        </w:rPr>
        <w:t>The submission argued that for MDIs without a reliable and practical means of gauging how many effective doses are left, patients have relied on various methods to estimate remaining medication</w:t>
      </w:r>
      <w:r w:rsidR="00074672" w:rsidRPr="00041146">
        <w:rPr>
          <w:rFonts w:eastAsia="Times New Roman" w:cs="Calibri"/>
          <w:szCs w:val="24"/>
        </w:rPr>
        <w:t>. These include shaking or canister flota</w:t>
      </w:r>
      <w:r w:rsidR="005A015D" w:rsidRPr="00041146">
        <w:rPr>
          <w:rFonts w:eastAsia="Times New Roman" w:cs="Calibri"/>
          <w:szCs w:val="24"/>
        </w:rPr>
        <w:t xml:space="preserve">tion, which </w:t>
      </w:r>
      <w:r w:rsidR="00074672" w:rsidRPr="00041146">
        <w:rPr>
          <w:rFonts w:eastAsia="Times New Roman" w:cs="Calibri"/>
          <w:szCs w:val="24"/>
        </w:rPr>
        <w:lastRenderedPageBreak/>
        <w:t>have been shown to be unreliable (Connor 2013)</w:t>
      </w:r>
      <w:r w:rsidR="00990058" w:rsidRPr="00041146">
        <w:rPr>
          <w:rStyle w:val="FootnoteReference"/>
          <w:rFonts w:eastAsia="Times New Roman" w:cs="Calibri"/>
          <w:szCs w:val="24"/>
        </w:rPr>
        <w:footnoteReference w:id="1"/>
      </w:r>
      <w:r w:rsidRPr="00041146">
        <w:rPr>
          <w:rFonts w:eastAsia="Times New Roman" w:cs="Calibri"/>
          <w:szCs w:val="24"/>
        </w:rPr>
        <w:t xml:space="preserve">. </w:t>
      </w:r>
      <w:r w:rsidR="005A015D" w:rsidRPr="00041146">
        <w:rPr>
          <w:rFonts w:eastAsia="Times New Roman" w:cs="Calibri"/>
          <w:szCs w:val="24"/>
        </w:rPr>
        <w:t xml:space="preserve">The submission stated </w:t>
      </w:r>
      <w:r w:rsidR="00074672" w:rsidRPr="00041146">
        <w:rPr>
          <w:rFonts w:eastAsia="Times New Roman" w:cs="Calibri"/>
          <w:szCs w:val="24"/>
        </w:rPr>
        <w:t xml:space="preserve">that </w:t>
      </w:r>
      <w:r w:rsidR="005A015D" w:rsidRPr="00041146">
        <w:rPr>
          <w:rFonts w:eastAsia="Times New Roman" w:cs="Calibri"/>
          <w:szCs w:val="24"/>
        </w:rPr>
        <w:t xml:space="preserve">many patients are not aware </w:t>
      </w:r>
      <w:r w:rsidR="00074672" w:rsidRPr="00041146">
        <w:rPr>
          <w:rFonts w:eastAsia="Times New Roman" w:cs="Calibri"/>
          <w:szCs w:val="24"/>
        </w:rPr>
        <w:t xml:space="preserve">that with </w:t>
      </w:r>
      <w:r w:rsidRPr="00041146">
        <w:rPr>
          <w:rFonts w:eastAsia="Times New Roman" w:cs="Calibri"/>
          <w:szCs w:val="24"/>
        </w:rPr>
        <w:t xml:space="preserve">continued use beyond the labelled number of doses, the </w:t>
      </w:r>
      <w:r w:rsidRPr="00857A63">
        <w:rPr>
          <w:rFonts w:eastAsia="Times New Roman" w:cs="Calibri"/>
          <w:szCs w:val="24"/>
        </w:rPr>
        <w:t xml:space="preserve">amount of drug delivered per actuation becomes inaccurate as the MDI begins to run out of formulation – a phenomenon known as ‘tail off’ </w:t>
      </w:r>
      <w:sdt>
        <w:sdtPr>
          <w:rPr>
            <w:rFonts w:eastAsia="Times New Roman" w:cs="Calibri"/>
            <w:szCs w:val="24"/>
          </w:rPr>
          <w:id w:val="970947664"/>
          <w:citation/>
        </w:sdtPr>
        <w:sdtEndPr/>
        <w:sdtContent>
          <w:r w:rsidRPr="00041146">
            <w:rPr>
              <w:rFonts w:eastAsia="Times New Roman" w:cs="Calibri"/>
              <w:szCs w:val="24"/>
            </w:rPr>
            <w:fldChar w:fldCharType="begin"/>
          </w:r>
          <w:r w:rsidRPr="00041146">
            <w:rPr>
              <w:rFonts w:eastAsia="Times New Roman" w:cs="Calibri"/>
              <w:szCs w:val="24"/>
            </w:rPr>
            <w:instrText xml:space="preserve"> CITATION Sch94 \l 3081 </w:instrText>
          </w:r>
          <w:r w:rsidRPr="00041146">
            <w:rPr>
              <w:rFonts w:eastAsia="Times New Roman" w:cs="Calibri"/>
              <w:szCs w:val="24"/>
            </w:rPr>
            <w:fldChar w:fldCharType="separate"/>
          </w:r>
          <w:r w:rsidRPr="008B2B7C">
            <w:rPr>
              <w:rFonts w:eastAsia="Times New Roman" w:cs="Calibri"/>
              <w:szCs w:val="24"/>
            </w:rPr>
            <w:t>(Schultz 1994)</w:t>
          </w:r>
          <w:r w:rsidR="0088138D" w:rsidRPr="0088138D">
            <w:rPr>
              <w:rFonts w:eastAsia="Times New Roman" w:cs="Calibri"/>
              <w:noProof/>
              <w:szCs w:val="24"/>
            </w:rPr>
            <w:t>(Schultz, 1994)</w:t>
          </w:r>
          <w:r w:rsidRPr="00041146">
            <w:rPr>
              <w:rFonts w:eastAsia="Times New Roman" w:cs="Calibri"/>
              <w:szCs w:val="24"/>
            </w:rPr>
            <w:fldChar w:fldCharType="end"/>
          </w:r>
        </w:sdtContent>
      </w:sdt>
      <w:r w:rsidR="00990058" w:rsidRPr="00041146">
        <w:rPr>
          <w:rStyle w:val="FootnoteReference"/>
          <w:rFonts w:eastAsia="Times New Roman" w:cs="Calibri"/>
          <w:szCs w:val="24"/>
        </w:rPr>
        <w:footnoteReference w:id="2"/>
      </w:r>
      <w:r w:rsidRPr="00041146">
        <w:rPr>
          <w:rFonts w:eastAsia="Times New Roman" w:cs="Calibri"/>
          <w:szCs w:val="24"/>
        </w:rPr>
        <w:t xml:space="preserve">. </w:t>
      </w:r>
      <w:r w:rsidR="005A015D" w:rsidRPr="00041146">
        <w:rPr>
          <w:rFonts w:eastAsia="Times New Roman" w:cs="Calibri"/>
          <w:szCs w:val="24"/>
        </w:rPr>
        <w:t xml:space="preserve">Consequently, the submission argued that patients are </w:t>
      </w:r>
      <w:r w:rsidRPr="00041146">
        <w:rPr>
          <w:rFonts w:eastAsia="Times New Roman" w:cs="Calibri"/>
          <w:szCs w:val="24"/>
        </w:rPr>
        <w:t xml:space="preserve">placed at potential risk of having sub-therapeutic or negligible drug being available at a critical time of acute bronchospasm. </w:t>
      </w:r>
    </w:p>
    <w:p w:rsidR="009855A8" w:rsidRPr="00041146" w:rsidRDefault="0047119B" w:rsidP="00E17B91">
      <w:pPr>
        <w:pStyle w:val="3Bodytext"/>
        <w:jc w:val="both"/>
        <w:rPr>
          <w:rFonts w:cstheme="minorHAnsi"/>
          <w:iCs/>
        </w:rPr>
      </w:pPr>
      <w:r w:rsidRPr="00041146">
        <w:rPr>
          <w:rFonts w:cstheme="minorHAnsi"/>
          <w:iCs/>
        </w:rPr>
        <w:t>The submission stated that in February 2017, the TGA initiated dialogue with the sponsor to understand the potential for Ventolin DC to be marketed in Australia.</w:t>
      </w:r>
      <w:r w:rsidR="0044267E" w:rsidRPr="00041146">
        <w:rPr>
          <w:rFonts w:cstheme="minorHAnsi"/>
          <w:iCs/>
        </w:rPr>
        <w:t xml:space="preserve"> </w:t>
      </w:r>
      <w:r w:rsidRPr="00041146">
        <w:rPr>
          <w:rFonts w:cstheme="minorHAnsi"/>
          <w:iCs/>
        </w:rPr>
        <w:t>The submission stated that the TGA was concerned with the issue of ‘inadvertent non-adherence’, where patients continue to use their salbutamol MDI despite their MDI being without any effective doses remaining. In their correspondence with the sponsor, the TGA referred to a review by Connor et al</w:t>
      </w:r>
      <w:r w:rsidR="00D26E91" w:rsidRPr="00041146">
        <w:rPr>
          <w:rFonts w:cstheme="minorHAnsi"/>
          <w:iCs/>
        </w:rPr>
        <w:t xml:space="preserve"> (2013)</w:t>
      </w:r>
      <w:r w:rsidR="00E028F5" w:rsidRPr="00041146">
        <w:rPr>
          <w:rFonts w:cstheme="minorHAnsi"/>
          <w:iCs/>
          <w:vertAlign w:val="superscript"/>
        </w:rPr>
        <w:t>1</w:t>
      </w:r>
      <w:r w:rsidRPr="00041146">
        <w:rPr>
          <w:rFonts w:cstheme="minorHAnsi"/>
          <w:iCs/>
        </w:rPr>
        <w:t>, which estimated that the extent of this inadvertent non-adherence with MDIs to be up to 40%.</w:t>
      </w:r>
    </w:p>
    <w:p w:rsidR="00A31991" w:rsidRPr="00041146" w:rsidRDefault="00A31991" w:rsidP="00E17B91">
      <w:pPr>
        <w:pStyle w:val="3Bodytext"/>
        <w:numPr>
          <w:ilvl w:val="0"/>
          <w:numId w:val="0"/>
        </w:numPr>
        <w:ind w:left="720"/>
        <w:jc w:val="both"/>
        <w:rPr>
          <w:rFonts w:cstheme="minorHAnsi"/>
          <w:iCs/>
        </w:rPr>
      </w:pPr>
      <w:r w:rsidRPr="00041146">
        <w:rPr>
          <w:i/>
          <w:szCs w:val="24"/>
        </w:rPr>
        <w:t>For more detail</w:t>
      </w:r>
      <w:r w:rsidR="00676569" w:rsidRPr="00041146">
        <w:rPr>
          <w:i/>
          <w:szCs w:val="24"/>
        </w:rPr>
        <w:t xml:space="preserve"> on PBAC’s view, see section 6</w:t>
      </w:r>
      <w:r w:rsidRPr="00041146">
        <w:rPr>
          <w:i/>
          <w:szCs w:val="24"/>
        </w:rPr>
        <w:t xml:space="preserve"> PBAC outcome.</w:t>
      </w:r>
    </w:p>
    <w:p w:rsidR="005A3173" w:rsidRPr="00041146" w:rsidRDefault="005A3173" w:rsidP="00E17B91">
      <w:pPr>
        <w:pStyle w:val="2Sections"/>
        <w:rPr>
          <w:color w:val="FF0000"/>
        </w:rPr>
      </w:pPr>
      <w:r w:rsidRPr="00041146">
        <w:t>C</w:t>
      </w:r>
      <w:r w:rsidR="00C41D03" w:rsidRPr="00041146">
        <w:t xml:space="preserve">urrent situation </w:t>
      </w:r>
    </w:p>
    <w:p w:rsidR="00111AF8" w:rsidRPr="00041146" w:rsidRDefault="00FC75B9" w:rsidP="00E17B91">
      <w:pPr>
        <w:pStyle w:val="3Bodytext"/>
        <w:jc w:val="both"/>
        <w:rPr>
          <w:rFonts w:cstheme="minorHAnsi"/>
          <w:iCs/>
        </w:rPr>
      </w:pPr>
      <w:r w:rsidRPr="00041146">
        <w:rPr>
          <w:rFonts w:cstheme="minorHAnsi"/>
          <w:iCs/>
        </w:rPr>
        <w:t xml:space="preserve">The </w:t>
      </w:r>
      <w:r w:rsidR="00C41D03" w:rsidRPr="00041146">
        <w:rPr>
          <w:rFonts w:cstheme="minorHAnsi"/>
          <w:iCs/>
        </w:rPr>
        <w:t xml:space="preserve">submission requested listing of a new presentation of salbutamol </w:t>
      </w:r>
      <w:r w:rsidRPr="00041146">
        <w:rPr>
          <w:rFonts w:cstheme="minorHAnsi"/>
          <w:iCs/>
        </w:rPr>
        <w:t>MDI</w:t>
      </w:r>
      <w:r w:rsidR="00C41D03" w:rsidRPr="00041146">
        <w:rPr>
          <w:rFonts w:cstheme="minorHAnsi"/>
          <w:iCs/>
        </w:rPr>
        <w:t xml:space="preserve"> 100 micrograms per dose</w:t>
      </w:r>
      <w:r w:rsidR="00990058" w:rsidRPr="00041146">
        <w:rPr>
          <w:rFonts w:cstheme="minorHAnsi"/>
          <w:iCs/>
        </w:rPr>
        <w:t xml:space="preserve"> (</w:t>
      </w:r>
      <w:r w:rsidRPr="00041146">
        <w:rPr>
          <w:rFonts w:cstheme="minorHAnsi"/>
          <w:iCs/>
        </w:rPr>
        <w:t>Ventolin DC</w:t>
      </w:r>
      <w:r w:rsidR="00990058" w:rsidRPr="00041146">
        <w:rPr>
          <w:rFonts w:cstheme="minorHAnsi"/>
          <w:iCs/>
        </w:rPr>
        <w:t>),</w:t>
      </w:r>
      <w:r w:rsidR="00111AF8" w:rsidRPr="00041146">
        <w:rPr>
          <w:rFonts w:cstheme="minorHAnsi"/>
          <w:iCs/>
        </w:rPr>
        <w:t xml:space="preserve"> which the submission stated would replace the current Ventolin inhaler</w:t>
      </w:r>
      <w:r w:rsidRPr="00041146">
        <w:rPr>
          <w:rFonts w:cstheme="minorHAnsi"/>
          <w:iCs/>
        </w:rPr>
        <w:t>.</w:t>
      </w:r>
      <w:r w:rsidR="0044267E" w:rsidRPr="00041146">
        <w:rPr>
          <w:rFonts w:cstheme="minorHAnsi"/>
          <w:iCs/>
        </w:rPr>
        <w:t xml:space="preserve"> </w:t>
      </w:r>
      <w:r w:rsidRPr="00041146">
        <w:rPr>
          <w:rFonts w:cstheme="minorHAnsi"/>
          <w:iCs/>
        </w:rPr>
        <w:t xml:space="preserve">The submission stated that </w:t>
      </w:r>
      <w:r w:rsidR="00111AF8" w:rsidRPr="00041146">
        <w:rPr>
          <w:rFonts w:cstheme="minorHAnsi"/>
          <w:iCs/>
        </w:rPr>
        <w:t>a phasing-in approach to supply is required, which would see both presentations being available on the PBS concurrently in Year 1 (2020), followed by 100% supply of Ventolin DC from Year 2 (2021) and beyond. The submiss</w:t>
      </w:r>
      <w:r w:rsidR="00990058" w:rsidRPr="00041146">
        <w:rPr>
          <w:rFonts w:cstheme="minorHAnsi"/>
          <w:iCs/>
        </w:rPr>
        <w:t>ion stated that Ventolin MDI</w:t>
      </w:r>
      <w:r w:rsidR="00111AF8" w:rsidRPr="00041146">
        <w:rPr>
          <w:rFonts w:cstheme="minorHAnsi"/>
          <w:iCs/>
        </w:rPr>
        <w:t xml:space="preserve"> will be de-listed as of Year 2.</w:t>
      </w:r>
      <w:r w:rsidR="0044267E" w:rsidRPr="00041146">
        <w:rPr>
          <w:rFonts w:cstheme="minorHAnsi"/>
          <w:iCs/>
        </w:rPr>
        <w:t xml:space="preserve"> </w:t>
      </w:r>
      <w:r w:rsidR="00111AF8" w:rsidRPr="00041146">
        <w:rPr>
          <w:rFonts w:cstheme="minorHAnsi"/>
          <w:iCs/>
        </w:rPr>
        <w:t xml:space="preserve">The submission anticipated that a DC version of the </w:t>
      </w:r>
      <w:proofErr w:type="spellStart"/>
      <w:r w:rsidR="00111AF8" w:rsidRPr="00041146">
        <w:rPr>
          <w:rFonts w:cstheme="minorHAnsi"/>
          <w:iCs/>
        </w:rPr>
        <w:t>Asmol</w:t>
      </w:r>
      <w:proofErr w:type="spellEnd"/>
      <w:r w:rsidR="00990058" w:rsidRPr="00041146">
        <w:rPr>
          <w:rFonts w:cstheme="minorHAnsi"/>
          <w:iCs/>
        </w:rPr>
        <w:t xml:space="preserve"> MDI</w:t>
      </w:r>
      <w:r w:rsidR="00111AF8" w:rsidRPr="00041146">
        <w:rPr>
          <w:rFonts w:cstheme="minorHAnsi"/>
          <w:iCs/>
        </w:rPr>
        <w:t xml:space="preserve"> will also become available.</w:t>
      </w:r>
    </w:p>
    <w:p w:rsidR="006A0A6A" w:rsidRPr="00041146" w:rsidRDefault="006A0A6A" w:rsidP="00E17B91">
      <w:pPr>
        <w:pStyle w:val="3Bodytext"/>
        <w:jc w:val="both"/>
      </w:pPr>
      <w:r w:rsidRPr="00041146">
        <w:t>The submission requested that</w:t>
      </w:r>
      <w:r w:rsidR="00294D62" w:rsidRPr="00041146">
        <w:t xml:space="preserve"> </w:t>
      </w:r>
      <w:r w:rsidRPr="00041146">
        <w:t xml:space="preserve">all three presentations (i.e. Ventolin MDI, </w:t>
      </w:r>
      <w:proofErr w:type="spellStart"/>
      <w:r w:rsidRPr="00041146">
        <w:t>Asmol</w:t>
      </w:r>
      <w:proofErr w:type="spellEnd"/>
      <w:r w:rsidRPr="00041146">
        <w:t xml:space="preserve"> MDI and Ventolin DC) be considered equivalent for the purposes of substitution (i.e., ’a’ flagged) to facilitate transition of patients to Ventolin DC, given the imminent removal of </w:t>
      </w:r>
      <w:r w:rsidR="002D7C4A" w:rsidRPr="00041146">
        <w:t>Ventolin MDI</w:t>
      </w:r>
      <w:r w:rsidR="00294D62" w:rsidRPr="00041146">
        <w:t xml:space="preserve"> from the Schedule</w:t>
      </w:r>
      <w:r w:rsidRPr="00041146">
        <w:t xml:space="preserve">. </w:t>
      </w:r>
    </w:p>
    <w:p w:rsidR="00676569" w:rsidRPr="00041146" w:rsidRDefault="00676569" w:rsidP="00E17B91">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041146">
        <w:rPr>
          <w:rFonts w:asciiTheme="minorHAnsi" w:hAnsiTheme="minorHAnsi"/>
          <w:sz w:val="32"/>
          <w:szCs w:val="32"/>
        </w:rPr>
        <w:t>Consideration of the evidence</w:t>
      </w:r>
    </w:p>
    <w:p w:rsidR="00676569" w:rsidRPr="00041146" w:rsidRDefault="00676569" w:rsidP="00A026B4">
      <w:pPr>
        <w:pStyle w:val="Heading2"/>
        <w:keepLines/>
        <w:spacing w:before="240" w:after="120"/>
        <w:rPr>
          <w:rFonts w:asciiTheme="minorHAnsi" w:eastAsiaTheme="majorEastAsia" w:hAnsiTheme="minorHAnsi" w:cstheme="majorBidi"/>
          <w:b w:val="0"/>
          <w:i w:val="0"/>
          <w:sz w:val="28"/>
          <w:szCs w:val="28"/>
          <w:lang w:eastAsia="en-US"/>
        </w:rPr>
      </w:pPr>
      <w:r w:rsidRPr="00041146">
        <w:rPr>
          <w:rFonts w:asciiTheme="minorHAnsi" w:eastAsiaTheme="majorEastAsia" w:hAnsiTheme="minorHAnsi" w:cstheme="majorBidi"/>
          <w:sz w:val="28"/>
          <w:szCs w:val="28"/>
          <w:lang w:eastAsia="en-US"/>
        </w:rPr>
        <w:t>Sponsor hearing</w:t>
      </w:r>
    </w:p>
    <w:p w:rsidR="00676569" w:rsidRPr="00041146" w:rsidRDefault="00676569" w:rsidP="00E17B91">
      <w:pPr>
        <w:numPr>
          <w:ilvl w:val="1"/>
          <w:numId w:val="1"/>
        </w:numPr>
        <w:spacing w:after="120"/>
        <w:jc w:val="both"/>
        <w:rPr>
          <w:rFonts w:asciiTheme="minorHAnsi" w:hAnsiTheme="minorHAnsi" w:cs="Arial"/>
          <w:bCs/>
          <w:snapToGrid w:val="0"/>
        </w:rPr>
      </w:pPr>
      <w:r w:rsidRPr="00041146">
        <w:rPr>
          <w:rFonts w:asciiTheme="minorHAnsi" w:hAnsiTheme="minorHAnsi" w:cs="Arial"/>
          <w:bCs/>
          <w:snapToGrid w:val="0"/>
        </w:rPr>
        <w:t>There was no hearing for this item as it was a minor submission.</w:t>
      </w:r>
    </w:p>
    <w:p w:rsidR="00676569" w:rsidRPr="00041146" w:rsidRDefault="00676569" w:rsidP="00A026B4">
      <w:pPr>
        <w:pStyle w:val="Heading2"/>
        <w:keepLines/>
        <w:spacing w:before="240" w:after="120"/>
        <w:rPr>
          <w:rFonts w:asciiTheme="minorHAnsi" w:eastAsiaTheme="majorEastAsia" w:hAnsiTheme="minorHAnsi" w:cstheme="majorBidi"/>
          <w:b w:val="0"/>
          <w:i w:val="0"/>
          <w:sz w:val="28"/>
          <w:szCs w:val="28"/>
          <w:lang w:eastAsia="en-US"/>
        </w:rPr>
      </w:pPr>
      <w:r w:rsidRPr="00041146">
        <w:rPr>
          <w:rFonts w:asciiTheme="minorHAnsi" w:eastAsiaTheme="majorEastAsia" w:hAnsiTheme="minorHAnsi" w:cstheme="majorBidi"/>
          <w:sz w:val="28"/>
          <w:szCs w:val="28"/>
          <w:lang w:eastAsia="en-US"/>
        </w:rPr>
        <w:lastRenderedPageBreak/>
        <w:t>Consumer comments</w:t>
      </w:r>
    </w:p>
    <w:p w:rsidR="00676569" w:rsidRPr="00041146" w:rsidRDefault="00676569" w:rsidP="00E17B91">
      <w:pPr>
        <w:numPr>
          <w:ilvl w:val="1"/>
          <w:numId w:val="1"/>
        </w:numPr>
        <w:spacing w:after="120"/>
        <w:jc w:val="both"/>
        <w:rPr>
          <w:rFonts w:asciiTheme="minorHAnsi" w:hAnsiTheme="minorHAnsi" w:cs="Arial"/>
          <w:bCs/>
          <w:snapToGrid w:val="0"/>
        </w:rPr>
      </w:pPr>
      <w:r w:rsidRPr="00041146">
        <w:rPr>
          <w:rFonts w:asciiTheme="minorHAnsi" w:hAnsiTheme="minorHAnsi" w:cs="Arial"/>
          <w:bCs/>
          <w:snapToGrid w:val="0"/>
        </w:rPr>
        <w:t>The PBAC noted and welcom</w:t>
      </w:r>
      <w:r w:rsidR="00270E25" w:rsidRPr="00041146">
        <w:rPr>
          <w:rFonts w:asciiTheme="minorHAnsi" w:hAnsiTheme="minorHAnsi" w:cs="Arial"/>
          <w:bCs/>
          <w:snapToGrid w:val="0"/>
        </w:rPr>
        <w:t>ed the input from individuals (7) and organisations (2</w:t>
      </w:r>
      <w:r w:rsidRPr="00041146">
        <w:rPr>
          <w:rFonts w:asciiTheme="minorHAnsi" w:hAnsiTheme="minorHAnsi" w:cs="Arial"/>
          <w:bCs/>
          <w:snapToGrid w:val="0"/>
        </w:rPr>
        <w:t>) via the Consumer Comments facility on the PBS website</w:t>
      </w:r>
      <w:r w:rsidR="00041146">
        <w:rPr>
          <w:rFonts w:asciiTheme="minorHAnsi" w:hAnsiTheme="minorHAnsi" w:cs="Arial"/>
          <w:bCs/>
          <w:snapToGrid w:val="0"/>
        </w:rPr>
        <w:t xml:space="preserve">. </w:t>
      </w:r>
      <w:r w:rsidRPr="00041146">
        <w:rPr>
          <w:rFonts w:asciiTheme="minorHAnsi" w:hAnsiTheme="minorHAnsi" w:cs="Arial"/>
          <w:bCs/>
          <w:snapToGrid w:val="0"/>
        </w:rPr>
        <w:t xml:space="preserve">The comments described a range of benefits of treatment with </w:t>
      </w:r>
      <w:r w:rsidR="00270E25" w:rsidRPr="00041146">
        <w:rPr>
          <w:rFonts w:asciiTheme="minorHAnsi" w:hAnsiTheme="minorHAnsi" w:cs="Arial"/>
          <w:bCs/>
          <w:snapToGrid w:val="0"/>
        </w:rPr>
        <w:t>salbutamol including improved quality</w:t>
      </w:r>
      <w:r w:rsidR="00B73CED" w:rsidRPr="00041146">
        <w:rPr>
          <w:rFonts w:asciiTheme="minorHAnsi" w:hAnsiTheme="minorHAnsi" w:cs="Arial"/>
          <w:bCs/>
          <w:snapToGrid w:val="0"/>
        </w:rPr>
        <w:t xml:space="preserve"> of life. The comments </w:t>
      </w:r>
      <w:r w:rsidR="00356495" w:rsidRPr="00041146">
        <w:rPr>
          <w:rFonts w:asciiTheme="minorHAnsi" w:hAnsiTheme="minorHAnsi" w:cs="Arial"/>
          <w:bCs/>
          <w:snapToGrid w:val="0"/>
        </w:rPr>
        <w:t xml:space="preserve">of Asthma Australia and The Lung Foundation </w:t>
      </w:r>
      <w:r w:rsidR="00270E25" w:rsidRPr="00041146">
        <w:rPr>
          <w:rFonts w:asciiTheme="minorHAnsi" w:hAnsiTheme="minorHAnsi" w:cs="Arial"/>
          <w:bCs/>
          <w:snapToGrid w:val="0"/>
        </w:rPr>
        <w:t xml:space="preserve">highlighted the importance of </w:t>
      </w:r>
      <w:r w:rsidR="00270E25" w:rsidRPr="00857A63">
        <w:rPr>
          <w:rFonts w:asciiTheme="minorHAnsi" w:hAnsiTheme="minorHAnsi" w:cs="Arial"/>
          <w:bCs/>
          <w:snapToGrid w:val="0"/>
        </w:rPr>
        <w:t>patients receiving accurate metered doses of salbutamol when required to relieve bronchoconstriction</w:t>
      </w:r>
      <w:r w:rsidRPr="00857A63">
        <w:rPr>
          <w:rFonts w:asciiTheme="minorHAnsi" w:hAnsiTheme="minorHAnsi" w:cs="Arial"/>
          <w:bCs/>
          <w:snapToGrid w:val="0"/>
        </w:rPr>
        <w:t xml:space="preserve"> </w:t>
      </w:r>
      <w:r w:rsidR="00270E25" w:rsidRPr="00857A63">
        <w:rPr>
          <w:rFonts w:asciiTheme="minorHAnsi" w:hAnsiTheme="minorHAnsi" w:cs="Arial"/>
          <w:bCs/>
          <w:snapToGrid w:val="0"/>
        </w:rPr>
        <w:t>and suggested the addition of a dose counter may assist patients to understand and monitor medication us</w:t>
      </w:r>
      <w:r w:rsidR="00270E25" w:rsidRPr="00041146">
        <w:rPr>
          <w:rFonts w:asciiTheme="minorHAnsi" w:hAnsiTheme="minorHAnsi" w:cs="Arial"/>
          <w:bCs/>
          <w:snapToGrid w:val="0"/>
        </w:rPr>
        <w:t xml:space="preserve">e and act as a reminder to replace medication. </w:t>
      </w:r>
    </w:p>
    <w:p w:rsidR="00676569" w:rsidRPr="00041146" w:rsidRDefault="00676569" w:rsidP="00E17B91">
      <w:pPr>
        <w:pStyle w:val="Heading2"/>
        <w:keepLines/>
        <w:spacing w:before="240" w:after="120"/>
        <w:rPr>
          <w:rFonts w:asciiTheme="minorHAnsi" w:eastAsiaTheme="majorEastAsia" w:hAnsiTheme="minorHAnsi" w:cstheme="majorBidi"/>
          <w:sz w:val="28"/>
          <w:szCs w:val="28"/>
          <w:lang w:eastAsia="en-US"/>
        </w:rPr>
      </w:pPr>
      <w:r w:rsidRPr="00041146">
        <w:rPr>
          <w:rFonts w:asciiTheme="minorHAnsi" w:eastAsiaTheme="majorEastAsia" w:hAnsiTheme="minorHAnsi" w:cstheme="majorBidi"/>
          <w:sz w:val="28"/>
          <w:szCs w:val="28"/>
          <w:lang w:eastAsia="en-US"/>
        </w:rPr>
        <w:t>Clinical trials</w:t>
      </w:r>
    </w:p>
    <w:p w:rsidR="00676569" w:rsidRPr="00041146" w:rsidRDefault="00676569" w:rsidP="00E17B91">
      <w:pPr>
        <w:pStyle w:val="3Bodytext"/>
        <w:jc w:val="both"/>
        <w:rPr>
          <w:rFonts w:cstheme="minorHAnsi"/>
          <w:iCs/>
        </w:rPr>
      </w:pPr>
      <w:r w:rsidRPr="00041146">
        <w:t>As a minor submission, no clinical trials were presented in the submission.</w:t>
      </w:r>
    </w:p>
    <w:p w:rsidR="00111AF8" w:rsidRPr="00041146" w:rsidRDefault="0040740E" w:rsidP="00E17B91">
      <w:pPr>
        <w:pStyle w:val="3Bodytext"/>
        <w:jc w:val="both"/>
        <w:rPr>
          <w:rFonts w:cstheme="minorHAnsi"/>
          <w:iCs/>
        </w:rPr>
      </w:pPr>
      <w:r w:rsidRPr="00041146">
        <w:rPr>
          <w:rFonts w:cstheme="minorHAnsi"/>
          <w:iCs/>
        </w:rPr>
        <w:t>The submission conducted a literature review to provide evidence relating to the implementation of a dose counter in an MDI device and the consequent outcomes on patient safety, patient satisfaction and the impact on clinical outcomes such as healthcare utilisation.</w:t>
      </w:r>
      <w:r w:rsidR="0044267E" w:rsidRPr="00041146">
        <w:rPr>
          <w:rFonts w:cstheme="minorHAnsi"/>
          <w:iCs/>
        </w:rPr>
        <w:t xml:space="preserve"> </w:t>
      </w:r>
      <w:r w:rsidRPr="00041146">
        <w:rPr>
          <w:rFonts w:cstheme="minorHAnsi"/>
          <w:iCs/>
        </w:rPr>
        <w:t>One study</w:t>
      </w:r>
      <w:r w:rsidR="00D26E91" w:rsidRPr="00041146">
        <w:rPr>
          <w:rFonts w:cstheme="minorHAnsi"/>
          <w:iCs/>
        </w:rPr>
        <w:t xml:space="preserve"> (Wasserman 2006</w:t>
      </w:r>
      <w:r w:rsidRPr="00041146">
        <w:rPr>
          <w:rStyle w:val="FootnoteReference"/>
          <w:rFonts w:cstheme="minorHAnsi"/>
          <w:iCs/>
        </w:rPr>
        <w:footnoteReference w:id="3"/>
      </w:r>
      <w:r w:rsidR="00D26E91" w:rsidRPr="00041146">
        <w:rPr>
          <w:rFonts w:cstheme="minorHAnsi"/>
          <w:iCs/>
        </w:rPr>
        <w:t>)</w:t>
      </w:r>
      <w:r w:rsidR="00A00C29" w:rsidRPr="00041146">
        <w:rPr>
          <w:rFonts w:cstheme="minorHAnsi"/>
          <w:iCs/>
        </w:rPr>
        <w:t xml:space="preserve"> related to patient satis</w:t>
      </w:r>
      <w:r w:rsidR="007E0AFD" w:rsidRPr="00041146">
        <w:rPr>
          <w:rFonts w:cstheme="minorHAnsi"/>
          <w:iCs/>
        </w:rPr>
        <w:t>faction</w:t>
      </w:r>
      <w:r w:rsidRPr="00041146">
        <w:rPr>
          <w:rFonts w:cstheme="minorHAnsi"/>
          <w:iCs/>
        </w:rPr>
        <w:t xml:space="preserve"> and four studies</w:t>
      </w:r>
      <w:r w:rsidR="00D26E91" w:rsidRPr="00041146">
        <w:rPr>
          <w:rFonts w:cstheme="minorHAnsi"/>
          <w:iCs/>
        </w:rPr>
        <w:t xml:space="preserve"> (</w:t>
      </w:r>
      <w:proofErr w:type="spellStart"/>
      <w:r w:rsidR="00D26E91" w:rsidRPr="00041146">
        <w:rPr>
          <w:rFonts w:cstheme="minorHAnsi"/>
          <w:iCs/>
        </w:rPr>
        <w:t>Chipps</w:t>
      </w:r>
      <w:proofErr w:type="spellEnd"/>
      <w:r w:rsidR="00D26E91" w:rsidRPr="00041146">
        <w:rPr>
          <w:rFonts w:cstheme="minorHAnsi"/>
          <w:iCs/>
        </w:rPr>
        <w:t xml:space="preserve"> 2017</w:t>
      </w:r>
      <w:r w:rsidRPr="00041146">
        <w:rPr>
          <w:rStyle w:val="FootnoteReference"/>
          <w:rFonts w:cstheme="minorHAnsi"/>
          <w:iCs/>
        </w:rPr>
        <w:footnoteReference w:id="4"/>
      </w:r>
      <w:r w:rsidR="00D26E91" w:rsidRPr="00041146">
        <w:rPr>
          <w:rFonts w:cstheme="minorHAnsi"/>
          <w:iCs/>
        </w:rPr>
        <w:t xml:space="preserve">, </w:t>
      </w:r>
      <w:proofErr w:type="spellStart"/>
      <w:r w:rsidR="00D26E91" w:rsidRPr="00041146">
        <w:rPr>
          <w:rFonts w:cstheme="minorHAnsi"/>
          <w:iCs/>
        </w:rPr>
        <w:t>Kerwin</w:t>
      </w:r>
      <w:proofErr w:type="spellEnd"/>
      <w:r w:rsidR="00D26E91" w:rsidRPr="00041146">
        <w:rPr>
          <w:rFonts w:cstheme="minorHAnsi"/>
          <w:iCs/>
        </w:rPr>
        <w:t xml:space="preserve"> 2017</w:t>
      </w:r>
      <w:r w:rsidRPr="00041146">
        <w:rPr>
          <w:rStyle w:val="FootnoteReference"/>
          <w:rFonts w:cstheme="minorHAnsi"/>
          <w:iCs/>
        </w:rPr>
        <w:footnoteReference w:id="5"/>
      </w:r>
      <w:r w:rsidR="00D26E91" w:rsidRPr="00041146">
        <w:rPr>
          <w:rFonts w:cstheme="minorHAnsi"/>
          <w:iCs/>
        </w:rPr>
        <w:t xml:space="preserve">, </w:t>
      </w:r>
      <w:proofErr w:type="spellStart"/>
      <w:r w:rsidR="00D26E91" w:rsidRPr="00041146">
        <w:rPr>
          <w:rFonts w:cstheme="minorHAnsi"/>
          <w:iCs/>
        </w:rPr>
        <w:t>Lachmann</w:t>
      </w:r>
      <w:proofErr w:type="spellEnd"/>
      <w:r w:rsidR="00D26E91" w:rsidRPr="00041146">
        <w:rPr>
          <w:rFonts w:cstheme="minorHAnsi"/>
          <w:iCs/>
        </w:rPr>
        <w:t xml:space="preserve"> 2018</w:t>
      </w:r>
      <w:r w:rsidR="00D26E91" w:rsidRPr="00041146">
        <w:rPr>
          <w:rStyle w:val="FootnoteReference"/>
          <w:rFonts w:cstheme="minorHAnsi"/>
          <w:iCs/>
        </w:rPr>
        <w:footnoteReference w:id="6"/>
      </w:r>
      <w:r w:rsidR="00C57615">
        <w:rPr>
          <w:rFonts w:cstheme="minorHAnsi"/>
          <w:iCs/>
        </w:rPr>
        <w:t>, Pri</w:t>
      </w:r>
      <w:r w:rsidR="00D26E91" w:rsidRPr="00041146">
        <w:rPr>
          <w:rFonts w:cstheme="minorHAnsi"/>
          <w:iCs/>
        </w:rPr>
        <w:t>ce 2016</w:t>
      </w:r>
      <w:r w:rsidR="00D26E91" w:rsidRPr="00041146">
        <w:rPr>
          <w:rStyle w:val="FootnoteReference"/>
          <w:rFonts w:cstheme="minorHAnsi"/>
          <w:iCs/>
        </w:rPr>
        <w:footnoteReference w:id="7"/>
      </w:r>
      <w:r w:rsidR="00D26E91" w:rsidRPr="00041146">
        <w:rPr>
          <w:rFonts w:cstheme="minorHAnsi"/>
          <w:iCs/>
        </w:rPr>
        <w:t>)</w:t>
      </w:r>
      <w:r w:rsidR="007C2303" w:rsidRPr="00041146">
        <w:rPr>
          <w:rFonts w:cstheme="minorHAnsi"/>
          <w:iCs/>
        </w:rPr>
        <w:t xml:space="preserve"> refer</w:t>
      </w:r>
      <w:r w:rsidR="00990058" w:rsidRPr="00041146">
        <w:rPr>
          <w:rFonts w:cstheme="minorHAnsi"/>
          <w:iCs/>
        </w:rPr>
        <w:t>ring</w:t>
      </w:r>
      <w:r w:rsidRPr="00041146">
        <w:rPr>
          <w:rFonts w:cstheme="minorHAnsi"/>
          <w:iCs/>
        </w:rPr>
        <w:t xml:space="preserve"> to healthcare utilisation were identified. </w:t>
      </w:r>
      <w:r w:rsidR="00071953" w:rsidRPr="00041146">
        <w:rPr>
          <w:rFonts w:cstheme="minorHAnsi"/>
          <w:iCs/>
        </w:rPr>
        <w:t>Two of the studies were in abstract form only (</w:t>
      </w:r>
      <w:proofErr w:type="spellStart"/>
      <w:r w:rsidR="00071953" w:rsidRPr="00041146">
        <w:rPr>
          <w:rFonts w:cstheme="minorHAnsi"/>
          <w:iCs/>
        </w:rPr>
        <w:t>Chipps</w:t>
      </w:r>
      <w:proofErr w:type="spellEnd"/>
      <w:r w:rsidR="00071953" w:rsidRPr="00041146">
        <w:rPr>
          <w:rFonts w:cstheme="minorHAnsi"/>
          <w:iCs/>
        </w:rPr>
        <w:t xml:space="preserve"> 2017, </w:t>
      </w:r>
      <w:proofErr w:type="spellStart"/>
      <w:r w:rsidR="00071953" w:rsidRPr="00041146">
        <w:rPr>
          <w:rFonts w:cstheme="minorHAnsi"/>
          <w:iCs/>
        </w:rPr>
        <w:t>Lachmann</w:t>
      </w:r>
      <w:proofErr w:type="spellEnd"/>
      <w:r w:rsidR="00071953" w:rsidRPr="00041146">
        <w:rPr>
          <w:rFonts w:cstheme="minorHAnsi"/>
          <w:iCs/>
        </w:rPr>
        <w:t xml:space="preserve"> 2018).</w:t>
      </w:r>
      <w:r w:rsidR="00D26E91" w:rsidRPr="00857A63">
        <w:rPr>
          <w:rFonts w:cstheme="minorHAnsi"/>
          <w:iCs/>
        </w:rPr>
        <w:t xml:space="preserve"> </w:t>
      </w:r>
      <w:r w:rsidRPr="00857A63">
        <w:rPr>
          <w:rFonts w:cstheme="minorHAnsi"/>
          <w:iCs/>
        </w:rPr>
        <w:t>As a minor submission an independent search to identify other relevant studies was not conducted</w:t>
      </w:r>
      <w:r w:rsidRPr="00041146">
        <w:rPr>
          <w:rFonts w:cstheme="minorHAnsi"/>
          <w:iCs/>
        </w:rPr>
        <w:t>.</w:t>
      </w:r>
    </w:p>
    <w:p w:rsidR="00CD4A6C" w:rsidRPr="00041146" w:rsidRDefault="007E0AFD" w:rsidP="00E17B91">
      <w:pPr>
        <w:pStyle w:val="3Bodytext"/>
        <w:jc w:val="both"/>
        <w:rPr>
          <w:rFonts w:cstheme="minorHAnsi"/>
          <w:iCs/>
        </w:rPr>
      </w:pPr>
      <w:r w:rsidRPr="00041146">
        <w:rPr>
          <w:rFonts w:cstheme="minorHAnsi"/>
          <w:iCs/>
        </w:rPr>
        <w:t>Patient satisfaction was assessed as one of the secondary endpoints in an open-label single-arm study that included 268 patients aged ≥ 4 years with asthma or chronic obstructive pulmonary disease (COPD) (Wasserman 2006). Patients who required a short-acting beta2-agonist for relief of respiratory symptoms at least 3 times per week over the two weeks before the study were eligible to participate. After screening, patients were assigned to receive a fixed twice-daily dose regim</w:t>
      </w:r>
      <w:r w:rsidR="00990058" w:rsidRPr="00041146">
        <w:rPr>
          <w:rFonts w:cstheme="minorHAnsi"/>
          <w:iCs/>
        </w:rPr>
        <w:t>en from a Ventolin MDI with a dose counter</w:t>
      </w:r>
      <w:r w:rsidRPr="00041146">
        <w:rPr>
          <w:rFonts w:cstheme="minorHAnsi"/>
          <w:iCs/>
        </w:rPr>
        <w:t xml:space="preserve"> until completion of 200 doses. </w:t>
      </w:r>
      <w:r w:rsidR="00183533" w:rsidRPr="00041146">
        <w:rPr>
          <w:rFonts w:cstheme="minorHAnsi"/>
          <w:iCs/>
        </w:rPr>
        <w:t>The submission stated that after use of the Ventolin</w:t>
      </w:r>
      <w:r w:rsidRPr="00041146">
        <w:rPr>
          <w:rFonts w:cstheme="minorHAnsi"/>
          <w:iCs/>
        </w:rPr>
        <w:t xml:space="preserve"> DC at study completion, 80% </w:t>
      </w:r>
      <w:r w:rsidR="00183533" w:rsidRPr="00041146">
        <w:rPr>
          <w:rFonts w:cstheme="minorHAnsi"/>
          <w:iCs/>
        </w:rPr>
        <w:t xml:space="preserve">of patients </w:t>
      </w:r>
      <w:r w:rsidRPr="00041146">
        <w:rPr>
          <w:rFonts w:cstheme="minorHAnsi"/>
          <w:iCs/>
        </w:rPr>
        <w:t>were mor</w:t>
      </w:r>
      <w:r w:rsidR="00990058" w:rsidRPr="00041146">
        <w:rPr>
          <w:rFonts w:cstheme="minorHAnsi"/>
          <w:iCs/>
        </w:rPr>
        <w:t xml:space="preserve">e satisfied </w:t>
      </w:r>
      <w:r w:rsidR="00990058" w:rsidRPr="00041146">
        <w:rPr>
          <w:rFonts w:cstheme="minorHAnsi"/>
          <w:iCs/>
        </w:rPr>
        <w:lastRenderedPageBreak/>
        <w:t>with the MDI with a dose counter</w:t>
      </w:r>
      <w:r w:rsidRPr="00041146">
        <w:rPr>
          <w:rFonts w:cstheme="minorHAnsi"/>
          <w:iCs/>
        </w:rPr>
        <w:t xml:space="preserve"> when compared with other MDI dev</w:t>
      </w:r>
      <w:r w:rsidR="00990058" w:rsidRPr="00041146">
        <w:rPr>
          <w:rFonts w:cstheme="minorHAnsi"/>
          <w:iCs/>
        </w:rPr>
        <w:t>ices without a dose counter</w:t>
      </w:r>
      <w:r w:rsidR="00183533" w:rsidRPr="00041146">
        <w:rPr>
          <w:rFonts w:cstheme="minorHAnsi"/>
          <w:iCs/>
        </w:rPr>
        <w:t xml:space="preserve"> used in the past and </w:t>
      </w:r>
      <w:r w:rsidR="00990058" w:rsidRPr="00041146">
        <w:rPr>
          <w:rFonts w:cstheme="minorHAnsi"/>
          <w:iCs/>
        </w:rPr>
        <w:t>93% agreed that the MDI with a dose counter</w:t>
      </w:r>
      <w:r w:rsidRPr="00041146">
        <w:rPr>
          <w:rFonts w:cstheme="minorHAnsi"/>
          <w:iCs/>
        </w:rPr>
        <w:t xml:space="preserve"> would let them know when to refill medication</w:t>
      </w:r>
      <w:r w:rsidR="00183533" w:rsidRPr="00041146">
        <w:rPr>
          <w:rFonts w:cstheme="minorHAnsi"/>
          <w:iCs/>
        </w:rPr>
        <w:t>.</w:t>
      </w:r>
      <w:r w:rsidR="00B8278C" w:rsidRPr="00041146">
        <w:rPr>
          <w:rFonts w:cstheme="minorHAnsi"/>
          <w:iCs/>
        </w:rPr>
        <w:t xml:space="preserve"> </w:t>
      </w:r>
    </w:p>
    <w:p w:rsidR="00C066A2" w:rsidRPr="00041146" w:rsidRDefault="00CD4A6C" w:rsidP="00E17B91">
      <w:pPr>
        <w:pStyle w:val="3Bodytext"/>
        <w:jc w:val="both"/>
        <w:rPr>
          <w:rFonts w:cstheme="minorHAnsi"/>
          <w:iCs/>
        </w:rPr>
      </w:pPr>
      <w:r w:rsidRPr="00041146">
        <w:rPr>
          <w:rFonts w:cstheme="minorHAnsi"/>
          <w:iCs/>
        </w:rPr>
        <w:t>Four retrospective claims-based studies conducted in the United States were identified in the literature review to evaluat</w:t>
      </w:r>
      <w:r w:rsidR="00990058" w:rsidRPr="00041146">
        <w:rPr>
          <w:rFonts w:cstheme="minorHAnsi"/>
          <w:iCs/>
        </w:rPr>
        <w:t>e the impact of introducing a dose counter</w:t>
      </w:r>
      <w:r w:rsidRPr="00041146">
        <w:rPr>
          <w:rFonts w:cstheme="minorHAnsi"/>
          <w:iCs/>
        </w:rPr>
        <w:t xml:space="preserve"> to the salbutamol MDI on asthma control and healthcare resource utilisation</w:t>
      </w:r>
      <w:r w:rsidR="006C2709" w:rsidRPr="00041146">
        <w:rPr>
          <w:rFonts w:cstheme="minorHAnsi"/>
          <w:iCs/>
        </w:rPr>
        <w:t xml:space="preserve"> (Table 1)</w:t>
      </w:r>
      <w:r w:rsidRPr="00041146">
        <w:rPr>
          <w:rFonts w:cstheme="minorHAnsi"/>
          <w:iCs/>
        </w:rPr>
        <w:t xml:space="preserve">. </w:t>
      </w:r>
    </w:p>
    <w:p w:rsidR="00990058" w:rsidRPr="00041146" w:rsidRDefault="00CD4A6C" w:rsidP="00E17B91">
      <w:pPr>
        <w:pStyle w:val="3Bodytext"/>
        <w:jc w:val="both"/>
        <w:rPr>
          <w:i/>
        </w:rPr>
      </w:pPr>
      <w:r w:rsidRPr="00041146">
        <w:rPr>
          <w:rFonts w:cstheme="minorHAnsi"/>
          <w:iCs/>
        </w:rPr>
        <w:t xml:space="preserve">The submission noted that while </w:t>
      </w:r>
      <w:proofErr w:type="spellStart"/>
      <w:r w:rsidR="006C2709" w:rsidRPr="00041146">
        <w:t>Chipps</w:t>
      </w:r>
      <w:proofErr w:type="spellEnd"/>
      <w:r w:rsidR="006C2709" w:rsidRPr="00041146">
        <w:t xml:space="preserve"> 2017 identified a significantly higher proportion of patients who experienced n</w:t>
      </w:r>
      <w:r w:rsidR="00990058" w:rsidRPr="00041146">
        <w:t>o severe exacerbations in the dose counter group compared with no dose counter</w:t>
      </w:r>
      <w:r w:rsidR="006C2709" w:rsidRPr="00041146">
        <w:t xml:space="preserve"> group, this difference was not observed in Price 2016, where the rates of severe exace</w:t>
      </w:r>
      <w:r w:rsidR="00990058" w:rsidRPr="00041146">
        <w:t>rbations were similar between dose counter and no dose counter</w:t>
      </w:r>
      <w:r w:rsidR="006C2709" w:rsidRPr="00041146">
        <w:t xml:space="preserve"> groups. The submission stated that, notwithstanding the limitations of observational retrospective studies, the consistency of results across the four studies sugge</w:t>
      </w:r>
      <w:r w:rsidR="00990058" w:rsidRPr="00041146">
        <w:t>st that the introduction of a dose counter</w:t>
      </w:r>
      <w:r w:rsidR="006C2709" w:rsidRPr="00041146">
        <w:t xml:space="preserve"> to salbutamol MDI is associated with a reduction in respiratory-related ED visits. </w:t>
      </w:r>
    </w:p>
    <w:p w:rsidR="00054AB1" w:rsidRPr="00041146" w:rsidRDefault="00054AB1" w:rsidP="00E17B91">
      <w:pPr>
        <w:pStyle w:val="Tabletitles"/>
        <w:keepNext/>
        <w:keepLines/>
      </w:pPr>
      <w:r w:rsidRPr="00041146">
        <w:t>T</w:t>
      </w:r>
      <w:r w:rsidR="009D6A5E" w:rsidRPr="00041146">
        <w:t>able 1:</w:t>
      </w:r>
      <w:r w:rsidR="00CD4A6C" w:rsidRPr="00041146">
        <w:t xml:space="preserve"> Overview of studies evaluating the impact of DC on asthma control and healthcare resource utilisation.</w:t>
      </w:r>
    </w:p>
    <w:tbl>
      <w:tblPr>
        <w:tblStyle w:val="TableGrid"/>
        <w:tblW w:w="0" w:type="auto"/>
        <w:tblLook w:val="04A0" w:firstRow="1" w:lastRow="0" w:firstColumn="1" w:lastColumn="0" w:noHBand="0" w:noVBand="1"/>
        <w:tblCaption w:val="Table 1: Overview of studies evaluating the impact of DC on asthma control and healthcare resource utilisation."/>
      </w:tblPr>
      <w:tblGrid>
        <w:gridCol w:w="1493"/>
        <w:gridCol w:w="2330"/>
        <w:gridCol w:w="1818"/>
        <w:gridCol w:w="3375"/>
      </w:tblGrid>
      <w:tr w:rsidR="00054AB1" w:rsidRPr="00041146" w:rsidTr="00171FE9">
        <w:trPr>
          <w:tblHeader/>
        </w:trPr>
        <w:tc>
          <w:tcPr>
            <w:tcW w:w="1493" w:type="dxa"/>
            <w:shd w:val="clear" w:color="auto" w:fill="auto"/>
          </w:tcPr>
          <w:p w:rsidR="00054AB1" w:rsidRPr="00041146" w:rsidRDefault="00054AB1" w:rsidP="00E17B91">
            <w:pPr>
              <w:keepNext/>
              <w:keepLines/>
              <w:rPr>
                <w:rFonts w:ascii="Arial Narrow" w:hAnsi="Arial Narrow"/>
                <w:b/>
                <w:sz w:val="20"/>
                <w:szCs w:val="20"/>
              </w:rPr>
            </w:pPr>
            <w:r w:rsidRPr="00041146">
              <w:rPr>
                <w:rFonts w:ascii="Arial Narrow" w:hAnsi="Arial Narrow"/>
                <w:b/>
                <w:sz w:val="20"/>
                <w:szCs w:val="20"/>
              </w:rPr>
              <w:t>Reference</w:t>
            </w:r>
          </w:p>
          <w:p w:rsidR="00054AB1" w:rsidRPr="00041146" w:rsidRDefault="00054AB1" w:rsidP="00E17B91">
            <w:pPr>
              <w:keepNext/>
              <w:keepLines/>
              <w:rPr>
                <w:rFonts w:ascii="Arial Narrow" w:hAnsi="Arial Narrow"/>
                <w:b/>
                <w:sz w:val="20"/>
                <w:szCs w:val="20"/>
              </w:rPr>
            </w:pPr>
            <w:r w:rsidRPr="00041146">
              <w:rPr>
                <w:rFonts w:ascii="Arial Narrow" w:hAnsi="Arial Narrow"/>
                <w:b/>
                <w:sz w:val="20"/>
                <w:szCs w:val="20"/>
              </w:rPr>
              <w:t>Design/Location</w:t>
            </w:r>
          </w:p>
        </w:tc>
        <w:tc>
          <w:tcPr>
            <w:tcW w:w="2330" w:type="dxa"/>
            <w:shd w:val="clear" w:color="auto" w:fill="auto"/>
          </w:tcPr>
          <w:p w:rsidR="00054AB1" w:rsidRPr="00041146" w:rsidRDefault="00054AB1" w:rsidP="00E17B91">
            <w:pPr>
              <w:keepNext/>
              <w:keepLines/>
              <w:rPr>
                <w:rFonts w:ascii="Arial Narrow" w:hAnsi="Arial Narrow"/>
                <w:b/>
                <w:sz w:val="20"/>
                <w:szCs w:val="20"/>
              </w:rPr>
            </w:pPr>
            <w:r w:rsidRPr="00041146">
              <w:rPr>
                <w:rFonts w:ascii="Arial Narrow" w:hAnsi="Arial Narrow"/>
                <w:b/>
                <w:sz w:val="20"/>
                <w:szCs w:val="20"/>
              </w:rPr>
              <w:t>N</w:t>
            </w:r>
          </w:p>
          <w:p w:rsidR="00054AB1" w:rsidRPr="00041146" w:rsidRDefault="00054AB1" w:rsidP="00E17B91">
            <w:pPr>
              <w:keepNext/>
              <w:keepLines/>
              <w:rPr>
                <w:rFonts w:ascii="Arial Narrow" w:hAnsi="Arial Narrow"/>
                <w:b/>
                <w:sz w:val="20"/>
                <w:szCs w:val="20"/>
              </w:rPr>
            </w:pPr>
            <w:r w:rsidRPr="00041146">
              <w:rPr>
                <w:rFonts w:ascii="Arial Narrow" w:hAnsi="Arial Narrow"/>
                <w:b/>
                <w:sz w:val="20"/>
                <w:szCs w:val="20"/>
              </w:rPr>
              <w:t xml:space="preserve">Patient population </w:t>
            </w:r>
          </w:p>
        </w:tc>
        <w:tc>
          <w:tcPr>
            <w:tcW w:w="1818" w:type="dxa"/>
            <w:shd w:val="clear" w:color="auto" w:fill="auto"/>
          </w:tcPr>
          <w:p w:rsidR="00054AB1" w:rsidRPr="00041146" w:rsidRDefault="00054AB1" w:rsidP="00E17B91">
            <w:pPr>
              <w:keepNext/>
              <w:keepLines/>
              <w:rPr>
                <w:rFonts w:ascii="Arial Narrow" w:hAnsi="Arial Narrow"/>
                <w:b/>
                <w:sz w:val="20"/>
                <w:szCs w:val="20"/>
              </w:rPr>
            </w:pPr>
            <w:r w:rsidRPr="00041146">
              <w:rPr>
                <w:rFonts w:ascii="Arial Narrow" w:hAnsi="Arial Narrow"/>
                <w:b/>
                <w:sz w:val="20"/>
                <w:szCs w:val="20"/>
              </w:rPr>
              <w:t>Outcomes</w:t>
            </w:r>
          </w:p>
        </w:tc>
        <w:tc>
          <w:tcPr>
            <w:tcW w:w="3375" w:type="dxa"/>
            <w:shd w:val="clear" w:color="auto" w:fill="auto"/>
          </w:tcPr>
          <w:p w:rsidR="00054AB1" w:rsidRPr="00041146" w:rsidRDefault="00054AB1" w:rsidP="00E17B91">
            <w:pPr>
              <w:keepNext/>
              <w:keepLines/>
              <w:rPr>
                <w:rFonts w:ascii="Arial Narrow" w:hAnsi="Arial Narrow"/>
                <w:b/>
                <w:sz w:val="20"/>
                <w:szCs w:val="20"/>
              </w:rPr>
            </w:pPr>
            <w:r w:rsidRPr="00041146">
              <w:rPr>
                <w:rFonts w:ascii="Arial Narrow" w:hAnsi="Arial Narrow"/>
                <w:b/>
                <w:sz w:val="20"/>
                <w:szCs w:val="20"/>
              </w:rPr>
              <w:t>Key Results</w:t>
            </w:r>
          </w:p>
        </w:tc>
      </w:tr>
      <w:tr w:rsidR="00054AB1" w:rsidRPr="00041146" w:rsidTr="00054AB1">
        <w:tc>
          <w:tcPr>
            <w:tcW w:w="1493" w:type="dxa"/>
          </w:tcPr>
          <w:p w:rsidR="00054AB1" w:rsidRPr="00041146" w:rsidRDefault="00054AB1" w:rsidP="00E17B91">
            <w:pPr>
              <w:keepNext/>
              <w:keepLines/>
              <w:rPr>
                <w:rFonts w:ascii="Arial Narrow" w:hAnsi="Arial Narrow"/>
                <w:sz w:val="20"/>
                <w:szCs w:val="20"/>
              </w:rPr>
            </w:pPr>
            <w:proofErr w:type="spellStart"/>
            <w:r w:rsidRPr="00041146">
              <w:rPr>
                <w:rFonts w:ascii="Arial Narrow" w:hAnsi="Arial Narrow"/>
                <w:sz w:val="20"/>
                <w:szCs w:val="20"/>
              </w:rPr>
              <w:t>Chipps</w:t>
            </w:r>
            <w:proofErr w:type="spellEnd"/>
            <w:r w:rsidRPr="00041146">
              <w:rPr>
                <w:rFonts w:ascii="Arial Narrow" w:hAnsi="Arial Narrow"/>
                <w:sz w:val="20"/>
                <w:szCs w:val="20"/>
              </w:rPr>
              <w:t xml:space="preserve"> 2017</w:t>
            </w:r>
          </w:p>
          <w:p w:rsidR="00054AB1" w:rsidRPr="00041146" w:rsidRDefault="00054AB1" w:rsidP="00E17B91">
            <w:pPr>
              <w:keepNext/>
              <w:keepLines/>
              <w:rPr>
                <w:rFonts w:ascii="Arial Narrow" w:hAnsi="Arial Narrow"/>
                <w:sz w:val="20"/>
                <w:szCs w:val="20"/>
              </w:rPr>
            </w:pPr>
            <w:r w:rsidRPr="00041146">
              <w:rPr>
                <w:rFonts w:ascii="Arial Narrow" w:hAnsi="Arial Narrow"/>
                <w:sz w:val="20"/>
                <w:szCs w:val="20"/>
              </w:rPr>
              <w:t>(Abstract only)</w:t>
            </w:r>
          </w:p>
          <w:p w:rsidR="00054AB1" w:rsidRPr="00041146" w:rsidRDefault="00054AB1" w:rsidP="00E17B91">
            <w:pPr>
              <w:keepNext/>
              <w:keepLines/>
              <w:rPr>
                <w:rFonts w:ascii="Arial Narrow" w:hAnsi="Arial Narrow"/>
                <w:sz w:val="20"/>
                <w:szCs w:val="20"/>
              </w:rPr>
            </w:pPr>
          </w:p>
          <w:p w:rsidR="00054AB1" w:rsidRPr="00041146" w:rsidRDefault="00054AB1" w:rsidP="00E17B91">
            <w:pPr>
              <w:keepNext/>
              <w:keepLines/>
              <w:rPr>
                <w:rFonts w:ascii="Arial Narrow" w:hAnsi="Arial Narrow"/>
                <w:sz w:val="20"/>
                <w:szCs w:val="20"/>
              </w:rPr>
            </w:pPr>
            <w:r w:rsidRPr="00041146">
              <w:rPr>
                <w:rFonts w:ascii="Arial Narrow" w:hAnsi="Arial Narrow"/>
                <w:sz w:val="20"/>
                <w:szCs w:val="20"/>
              </w:rPr>
              <w:t>Retrospective claims study (USA)</w:t>
            </w:r>
          </w:p>
        </w:tc>
        <w:tc>
          <w:tcPr>
            <w:tcW w:w="2330" w:type="dxa"/>
          </w:tcPr>
          <w:p w:rsidR="00054AB1" w:rsidRPr="00041146" w:rsidRDefault="00054AB1" w:rsidP="00E17B91">
            <w:pPr>
              <w:keepNext/>
              <w:keepLines/>
              <w:rPr>
                <w:rFonts w:ascii="Arial Narrow" w:hAnsi="Arial Narrow"/>
                <w:sz w:val="20"/>
                <w:szCs w:val="20"/>
              </w:rPr>
            </w:pPr>
            <w:r w:rsidRPr="00041146">
              <w:rPr>
                <w:rFonts w:ascii="Arial Narrow" w:hAnsi="Arial Narrow"/>
                <w:sz w:val="20"/>
                <w:szCs w:val="20"/>
              </w:rPr>
              <w:t>13,339 (No DC)</w:t>
            </w:r>
          </w:p>
          <w:p w:rsidR="00054AB1" w:rsidRPr="00041146" w:rsidRDefault="00054AB1" w:rsidP="00E17B91">
            <w:pPr>
              <w:keepNext/>
              <w:keepLines/>
              <w:rPr>
                <w:rFonts w:ascii="Arial Narrow" w:hAnsi="Arial Narrow"/>
                <w:sz w:val="20"/>
                <w:szCs w:val="20"/>
              </w:rPr>
            </w:pPr>
            <w:r w:rsidRPr="00041146">
              <w:rPr>
                <w:rFonts w:ascii="Arial Narrow" w:hAnsi="Arial Narrow"/>
                <w:sz w:val="20"/>
                <w:szCs w:val="20"/>
              </w:rPr>
              <w:t>13,339 (DC)</w:t>
            </w:r>
          </w:p>
          <w:p w:rsidR="00054AB1" w:rsidRPr="00041146" w:rsidRDefault="00054AB1" w:rsidP="00E17B91">
            <w:pPr>
              <w:keepNext/>
              <w:keepLines/>
              <w:rPr>
                <w:rFonts w:ascii="Arial Narrow" w:hAnsi="Arial Narrow"/>
                <w:sz w:val="20"/>
                <w:szCs w:val="20"/>
              </w:rPr>
            </w:pPr>
          </w:p>
          <w:p w:rsidR="00054AB1" w:rsidRPr="00041146" w:rsidRDefault="00054AB1" w:rsidP="00E17B91">
            <w:pPr>
              <w:pStyle w:val="ListParagraph"/>
              <w:keepNext/>
              <w:keepLines/>
              <w:widowControl/>
              <w:numPr>
                <w:ilvl w:val="0"/>
                <w:numId w:val="34"/>
              </w:numPr>
              <w:jc w:val="left"/>
              <w:rPr>
                <w:rFonts w:ascii="Arial Narrow" w:hAnsi="Arial Narrow"/>
                <w:sz w:val="20"/>
              </w:rPr>
            </w:pPr>
            <w:r w:rsidRPr="00041146">
              <w:rPr>
                <w:rFonts w:ascii="Arial Narrow" w:hAnsi="Arial Narrow"/>
                <w:sz w:val="20"/>
              </w:rPr>
              <w:t xml:space="preserve">Aged ≥65 years </w:t>
            </w:r>
          </w:p>
          <w:p w:rsidR="00054AB1" w:rsidRPr="00041146" w:rsidRDefault="00054AB1" w:rsidP="00E17B91">
            <w:pPr>
              <w:pStyle w:val="ListParagraph"/>
              <w:keepNext/>
              <w:keepLines/>
              <w:widowControl/>
              <w:numPr>
                <w:ilvl w:val="0"/>
                <w:numId w:val="34"/>
              </w:numPr>
              <w:jc w:val="left"/>
              <w:rPr>
                <w:rFonts w:ascii="Arial Narrow" w:hAnsi="Arial Narrow"/>
                <w:sz w:val="20"/>
              </w:rPr>
            </w:pPr>
            <w:r w:rsidRPr="00041146">
              <w:rPr>
                <w:rFonts w:ascii="Arial Narrow" w:hAnsi="Arial Narrow"/>
                <w:sz w:val="20"/>
              </w:rPr>
              <w:t xml:space="preserve">≥1 prescription claim for </w:t>
            </w:r>
            <w:proofErr w:type="spellStart"/>
            <w:r w:rsidRPr="00041146">
              <w:rPr>
                <w:rFonts w:ascii="Arial Narrow" w:hAnsi="Arial Narrow"/>
                <w:sz w:val="20"/>
              </w:rPr>
              <w:t>albuterol</w:t>
            </w:r>
            <w:proofErr w:type="spellEnd"/>
            <w:r w:rsidRPr="00041146">
              <w:rPr>
                <w:rFonts w:ascii="Arial Narrow" w:hAnsi="Arial Narrow"/>
                <w:sz w:val="20"/>
                <w:vertAlign w:val="superscript"/>
              </w:rPr>
              <w:t>†</w:t>
            </w:r>
            <w:r w:rsidRPr="00041146">
              <w:rPr>
                <w:rFonts w:ascii="Arial Narrow" w:hAnsi="Arial Narrow"/>
                <w:sz w:val="20"/>
              </w:rPr>
              <w:t xml:space="preserve"> inhalation aerosol (</w:t>
            </w:r>
            <w:proofErr w:type="spellStart"/>
            <w:r w:rsidRPr="00041146">
              <w:rPr>
                <w:rFonts w:ascii="Arial Narrow" w:hAnsi="Arial Narrow"/>
                <w:sz w:val="20"/>
              </w:rPr>
              <w:t>ProAir</w:t>
            </w:r>
            <w:proofErr w:type="spellEnd"/>
            <w:r w:rsidRPr="00041146">
              <w:rPr>
                <w:rFonts w:ascii="Arial Narrow" w:hAnsi="Arial Narrow"/>
                <w:sz w:val="20"/>
              </w:rPr>
              <w:t xml:space="preserve"> HFA*, with or without dose counter) over Jan 1 2011- Dec 31 2013</w:t>
            </w:r>
          </w:p>
          <w:p w:rsidR="00054AB1" w:rsidRPr="00041146" w:rsidRDefault="00054AB1" w:rsidP="00E17B91">
            <w:pPr>
              <w:pStyle w:val="ListParagraph"/>
              <w:keepNext/>
              <w:keepLines/>
              <w:widowControl/>
              <w:numPr>
                <w:ilvl w:val="0"/>
                <w:numId w:val="34"/>
              </w:numPr>
              <w:jc w:val="left"/>
              <w:rPr>
                <w:rFonts w:ascii="Arial Narrow" w:hAnsi="Arial Narrow"/>
                <w:sz w:val="20"/>
              </w:rPr>
            </w:pPr>
            <w:r w:rsidRPr="00041146">
              <w:rPr>
                <w:rFonts w:ascii="Arial Narrow" w:hAnsi="Arial Narrow"/>
                <w:sz w:val="20"/>
              </w:rPr>
              <w:t>≥1 diagnostic medical claim for asthma and/or COPD</w:t>
            </w:r>
          </w:p>
          <w:p w:rsidR="00054AB1" w:rsidRPr="00AA7881" w:rsidRDefault="00054AB1" w:rsidP="00E17B91">
            <w:pPr>
              <w:pStyle w:val="ListParagraph"/>
              <w:keepNext/>
              <w:keepLines/>
              <w:widowControl/>
              <w:numPr>
                <w:ilvl w:val="0"/>
                <w:numId w:val="34"/>
              </w:numPr>
              <w:jc w:val="left"/>
              <w:rPr>
                <w:rFonts w:ascii="Arial Narrow" w:hAnsi="Arial Narrow"/>
                <w:sz w:val="20"/>
              </w:rPr>
            </w:pPr>
            <w:r w:rsidRPr="00AA7881">
              <w:rPr>
                <w:rFonts w:ascii="Arial Narrow" w:hAnsi="Arial Narrow"/>
                <w:sz w:val="20"/>
              </w:rPr>
              <w:t>Continuous enrolment for 12 months pre- and post- index date</w:t>
            </w:r>
          </w:p>
        </w:tc>
        <w:tc>
          <w:tcPr>
            <w:tcW w:w="1818" w:type="dxa"/>
          </w:tcPr>
          <w:p w:rsidR="00054AB1" w:rsidRPr="00041146" w:rsidRDefault="00054AB1" w:rsidP="00E17B91">
            <w:pPr>
              <w:pStyle w:val="ListParagraph"/>
              <w:keepNext/>
              <w:keepLines/>
              <w:widowControl/>
              <w:numPr>
                <w:ilvl w:val="0"/>
                <w:numId w:val="34"/>
              </w:numPr>
              <w:jc w:val="left"/>
              <w:rPr>
                <w:rFonts w:ascii="Arial Narrow" w:hAnsi="Arial Narrow"/>
                <w:sz w:val="20"/>
              </w:rPr>
            </w:pPr>
            <w:r w:rsidRPr="00041146">
              <w:rPr>
                <w:rFonts w:ascii="Arial Narrow" w:hAnsi="Arial Narrow"/>
                <w:sz w:val="20"/>
              </w:rPr>
              <w:t>Moderate exacerbations</w:t>
            </w:r>
          </w:p>
          <w:p w:rsidR="00054AB1" w:rsidRPr="00041146" w:rsidRDefault="00054AB1" w:rsidP="00E17B91">
            <w:pPr>
              <w:pStyle w:val="ListParagraph"/>
              <w:keepNext/>
              <w:keepLines/>
              <w:widowControl/>
              <w:numPr>
                <w:ilvl w:val="0"/>
                <w:numId w:val="34"/>
              </w:numPr>
              <w:jc w:val="left"/>
              <w:rPr>
                <w:rFonts w:ascii="Arial Narrow" w:hAnsi="Arial Narrow"/>
                <w:sz w:val="20"/>
              </w:rPr>
            </w:pPr>
            <w:r w:rsidRPr="00041146">
              <w:rPr>
                <w:rFonts w:ascii="Arial Narrow" w:hAnsi="Arial Narrow"/>
                <w:sz w:val="20"/>
              </w:rPr>
              <w:t>Severe exacerbations</w:t>
            </w:r>
          </w:p>
          <w:p w:rsidR="00054AB1" w:rsidRPr="00857A63" w:rsidRDefault="00054AB1" w:rsidP="00E17B91">
            <w:pPr>
              <w:pStyle w:val="ListParagraph"/>
              <w:keepNext/>
              <w:keepLines/>
              <w:widowControl/>
              <w:numPr>
                <w:ilvl w:val="0"/>
                <w:numId w:val="35"/>
              </w:numPr>
              <w:jc w:val="left"/>
              <w:rPr>
                <w:rFonts w:ascii="Arial Narrow" w:hAnsi="Arial Narrow"/>
                <w:sz w:val="20"/>
              </w:rPr>
            </w:pPr>
            <w:r w:rsidRPr="00857A63">
              <w:rPr>
                <w:rFonts w:ascii="Arial Narrow" w:hAnsi="Arial Narrow"/>
                <w:sz w:val="20"/>
              </w:rPr>
              <w:t>All-cause healthcare utilisation</w:t>
            </w:r>
          </w:p>
          <w:p w:rsidR="00054AB1" w:rsidRPr="00041146" w:rsidRDefault="00054AB1" w:rsidP="00E17B91">
            <w:pPr>
              <w:pStyle w:val="ListParagraph"/>
              <w:keepNext/>
              <w:keepLines/>
              <w:widowControl/>
              <w:numPr>
                <w:ilvl w:val="0"/>
                <w:numId w:val="35"/>
              </w:numPr>
              <w:jc w:val="left"/>
              <w:rPr>
                <w:rFonts w:ascii="Arial Narrow" w:hAnsi="Arial Narrow"/>
                <w:sz w:val="20"/>
              </w:rPr>
            </w:pPr>
            <w:r w:rsidRPr="00041146">
              <w:rPr>
                <w:rFonts w:ascii="Arial Narrow" w:hAnsi="Arial Narrow"/>
                <w:sz w:val="20"/>
              </w:rPr>
              <w:t>Respiratory healthcare utilisation</w:t>
            </w:r>
          </w:p>
        </w:tc>
        <w:tc>
          <w:tcPr>
            <w:tcW w:w="3375" w:type="dxa"/>
          </w:tcPr>
          <w:p w:rsidR="00054AB1" w:rsidRPr="00041146" w:rsidRDefault="00054AB1" w:rsidP="00E17B91">
            <w:pPr>
              <w:pStyle w:val="ListParagraph"/>
              <w:keepNext/>
              <w:keepLines/>
              <w:widowControl/>
              <w:numPr>
                <w:ilvl w:val="0"/>
                <w:numId w:val="35"/>
              </w:numPr>
              <w:jc w:val="left"/>
              <w:rPr>
                <w:rFonts w:ascii="Arial Narrow" w:hAnsi="Arial Narrow"/>
                <w:sz w:val="20"/>
              </w:rPr>
            </w:pPr>
            <w:r w:rsidRPr="00041146">
              <w:rPr>
                <w:rFonts w:ascii="Arial Narrow" w:hAnsi="Arial Narrow"/>
                <w:sz w:val="20"/>
              </w:rPr>
              <w:t>Significantly higher proportion with no severe exacerbations in DC vs. no DC (60.15% vs. 55.99%, p&lt;0.0001)</w:t>
            </w:r>
          </w:p>
          <w:p w:rsidR="00054AB1" w:rsidRPr="00041146" w:rsidRDefault="00054AB1" w:rsidP="00E17B91">
            <w:pPr>
              <w:pStyle w:val="ListParagraph"/>
              <w:keepNext/>
              <w:keepLines/>
              <w:widowControl/>
              <w:numPr>
                <w:ilvl w:val="0"/>
                <w:numId w:val="35"/>
              </w:numPr>
              <w:jc w:val="left"/>
              <w:rPr>
                <w:rFonts w:ascii="Arial Narrow" w:hAnsi="Arial Narrow"/>
                <w:sz w:val="20"/>
              </w:rPr>
            </w:pPr>
            <w:r w:rsidRPr="00041146">
              <w:rPr>
                <w:rFonts w:ascii="Arial Narrow" w:hAnsi="Arial Narrow"/>
                <w:sz w:val="20"/>
              </w:rPr>
              <w:t xml:space="preserve">Significantly lower proportion with DC vs. no DC for 2-3 (14.24% vs. 15.93%, p=0.0001) or ≥4 (8.08% vs. 9.78%, p&lt;0.0001) severe exacerbations </w:t>
            </w:r>
          </w:p>
          <w:p w:rsidR="00054AB1" w:rsidRPr="00041146" w:rsidRDefault="00054AB1" w:rsidP="00E17B91">
            <w:pPr>
              <w:pStyle w:val="ListParagraph"/>
              <w:keepNext/>
              <w:keepLines/>
              <w:widowControl/>
              <w:numPr>
                <w:ilvl w:val="0"/>
                <w:numId w:val="35"/>
              </w:numPr>
              <w:jc w:val="left"/>
              <w:rPr>
                <w:rFonts w:ascii="Arial Narrow" w:hAnsi="Arial Narrow"/>
                <w:sz w:val="20"/>
              </w:rPr>
            </w:pPr>
            <w:r w:rsidRPr="00041146">
              <w:rPr>
                <w:rFonts w:ascii="Arial Narrow" w:hAnsi="Arial Narrow"/>
                <w:sz w:val="20"/>
              </w:rPr>
              <w:t xml:space="preserve">Significantly lower risk of all-cause inpatient services (DC vs. no DC, RR 0.84, 95% CI 0.81-0.87) and ED services (RR 0.98 (0.95-1.01) </w:t>
            </w:r>
          </w:p>
          <w:p w:rsidR="00054AB1" w:rsidRPr="00041146" w:rsidRDefault="00054AB1" w:rsidP="00E17B91">
            <w:pPr>
              <w:pStyle w:val="ListParagraph"/>
              <w:keepNext/>
              <w:keepLines/>
              <w:widowControl/>
              <w:numPr>
                <w:ilvl w:val="0"/>
                <w:numId w:val="35"/>
              </w:numPr>
              <w:jc w:val="left"/>
              <w:rPr>
                <w:rFonts w:ascii="Arial Narrow" w:hAnsi="Arial Narrow"/>
                <w:sz w:val="20"/>
              </w:rPr>
            </w:pPr>
            <w:r w:rsidRPr="00041146">
              <w:rPr>
                <w:rFonts w:ascii="Arial Narrow" w:hAnsi="Arial Narrow"/>
                <w:sz w:val="20"/>
              </w:rPr>
              <w:t>Significantly lower risk of respiratory-related inpatient utilisation (RR 0.84, 95% CI 0.81-0.87) and ED visits (RR 0.90, 95% CI 0.87-0.93)</w:t>
            </w:r>
          </w:p>
          <w:p w:rsidR="00054AB1" w:rsidRPr="00041146" w:rsidRDefault="00054AB1" w:rsidP="00E17B91">
            <w:pPr>
              <w:keepNext/>
              <w:keepLines/>
              <w:rPr>
                <w:rFonts w:ascii="Arial Narrow" w:hAnsi="Arial Narrow"/>
                <w:sz w:val="20"/>
                <w:szCs w:val="20"/>
              </w:rPr>
            </w:pPr>
          </w:p>
        </w:tc>
      </w:tr>
      <w:tr w:rsidR="00054AB1" w:rsidRPr="00041146" w:rsidTr="00054AB1">
        <w:tc>
          <w:tcPr>
            <w:tcW w:w="1493" w:type="dxa"/>
          </w:tcPr>
          <w:p w:rsidR="00054AB1" w:rsidRPr="00041146" w:rsidRDefault="00054AB1" w:rsidP="00E17B91">
            <w:pPr>
              <w:rPr>
                <w:rFonts w:ascii="Arial Narrow" w:hAnsi="Arial Narrow"/>
                <w:sz w:val="20"/>
                <w:szCs w:val="20"/>
              </w:rPr>
            </w:pPr>
            <w:proofErr w:type="spellStart"/>
            <w:r w:rsidRPr="00041146">
              <w:rPr>
                <w:rFonts w:ascii="Arial Narrow" w:hAnsi="Arial Narrow"/>
                <w:sz w:val="20"/>
                <w:szCs w:val="20"/>
              </w:rPr>
              <w:t>Kerwin</w:t>
            </w:r>
            <w:proofErr w:type="spellEnd"/>
            <w:r w:rsidRPr="00041146">
              <w:rPr>
                <w:rFonts w:ascii="Arial Narrow" w:hAnsi="Arial Narrow"/>
                <w:sz w:val="20"/>
                <w:szCs w:val="20"/>
              </w:rPr>
              <w:t xml:space="preserve"> 2017</w:t>
            </w:r>
          </w:p>
          <w:p w:rsidR="00054AB1" w:rsidRPr="00041146" w:rsidRDefault="00054AB1" w:rsidP="00E17B91">
            <w:pPr>
              <w:rPr>
                <w:rFonts w:ascii="Arial Narrow" w:hAnsi="Arial Narrow"/>
                <w:sz w:val="20"/>
                <w:szCs w:val="20"/>
              </w:rPr>
            </w:pPr>
          </w:p>
          <w:p w:rsidR="00054AB1" w:rsidRPr="00041146" w:rsidRDefault="00054AB1" w:rsidP="00E17B91">
            <w:pPr>
              <w:rPr>
                <w:rFonts w:ascii="Arial Narrow" w:hAnsi="Arial Narrow"/>
                <w:sz w:val="20"/>
                <w:szCs w:val="20"/>
              </w:rPr>
            </w:pPr>
            <w:r w:rsidRPr="00041146">
              <w:rPr>
                <w:rFonts w:ascii="Arial Narrow" w:hAnsi="Arial Narrow"/>
                <w:sz w:val="20"/>
                <w:szCs w:val="20"/>
              </w:rPr>
              <w:t>Retrospective claims study (USA)</w:t>
            </w:r>
          </w:p>
        </w:tc>
        <w:tc>
          <w:tcPr>
            <w:tcW w:w="2330" w:type="dxa"/>
          </w:tcPr>
          <w:p w:rsidR="00054AB1" w:rsidRPr="00041146" w:rsidRDefault="008C2F9D" w:rsidP="00E17B91">
            <w:pPr>
              <w:rPr>
                <w:rFonts w:ascii="Arial Narrow" w:hAnsi="Arial Narrow"/>
                <w:sz w:val="20"/>
                <w:szCs w:val="20"/>
              </w:rPr>
            </w:pPr>
            <w:r w:rsidRPr="00041146">
              <w:rPr>
                <w:rFonts w:ascii="Arial Narrow" w:hAnsi="Arial Narrow"/>
                <w:sz w:val="20"/>
                <w:szCs w:val="20"/>
              </w:rPr>
              <w:t>287,</w:t>
            </w:r>
            <w:r w:rsidR="00054AB1" w:rsidRPr="00041146">
              <w:rPr>
                <w:rFonts w:ascii="Arial Narrow" w:hAnsi="Arial Narrow"/>
                <w:sz w:val="20"/>
                <w:szCs w:val="20"/>
              </w:rPr>
              <w:t>2</w:t>
            </w:r>
            <w:r w:rsidRPr="00041146">
              <w:rPr>
                <w:rFonts w:ascii="Arial Narrow" w:hAnsi="Arial Narrow"/>
                <w:sz w:val="20"/>
                <w:szCs w:val="20"/>
              </w:rPr>
              <w:t>4</w:t>
            </w:r>
            <w:r w:rsidR="00054AB1" w:rsidRPr="00041146">
              <w:rPr>
                <w:rFonts w:ascii="Arial Narrow" w:hAnsi="Arial Narrow"/>
                <w:sz w:val="20"/>
                <w:szCs w:val="20"/>
              </w:rPr>
              <w:t>3 (No DC)</w:t>
            </w:r>
          </w:p>
          <w:p w:rsidR="00054AB1" w:rsidRPr="00041146" w:rsidRDefault="00054AB1" w:rsidP="00E17B91">
            <w:pPr>
              <w:rPr>
                <w:rFonts w:ascii="Arial Narrow" w:hAnsi="Arial Narrow"/>
                <w:sz w:val="20"/>
                <w:szCs w:val="20"/>
              </w:rPr>
            </w:pPr>
            <w:r w:rsidRPr="00041146">
              <w:rPr>
                <w:rFonts w:ascii="Arial Narrow" w:hAnsi="Arial Narrow"/>
                <w:sz w:val="20"/>
                <w:szCs w:val="20"/>
              </w:rPr>
              <w:t>135,305 (DC)</w:t>
            </w:r>
          </w:p>
          <w:p w:rsidR="00054AB1" w:rsidRPr="00041146" w:rsidRDefault="00054AB1" w:rsidP="00E17B91">
            <w:pPr>
              <w:rPr>
                <w:rFonts w:ascii="Arial Narrow" w:hAnsi="Arial Narrow"/>
                <w:sz w:val="20"/>
                <w:szCs w:val="20"/>
              </w:rPr>
            </w:pPr>
          </w:p>
          <w:p w:rsidR="00054AB1" w:rsidRPr="00041146" w:rsidRDefault="00054AB1" w:rsidP="00E17B91">
            <w:pPr>
              <w:pStyle w:val="ListParagraph"/>
              <w:widowControl/>
              <w:numPr>
                <w:ilvl w:val="0"/>
                <w:numId w:val="36"/>
              </w:numPr>
              <w:jc w:val="left"/>
              <w:rPr>
                <w:rFonts w:ascii="Arial Narrow" w:hAnsi="Arial Narrow"/>
                <w:sz w:val="20"/>
              </w:rPr>
            </w:pPr>
            <w:r w:rsidRPr="00041146">
              <w:rPr>
                <w:rFonts w:ascii="Arial Narrow" w:hAnsi="Arial Narrow"/>
                <w:sz w:val="20"/>
              </w:rPr>
              <w:t>Aged 4-64 years</w:t>
            </w:r>
          </w:p>
          <w:p w:rsidR="00054AB1" w:rsidRPr="00041146" w:rsidRDefault="00054AB1" w:rsidP="00E17B91">
            <w:pPr>
              <w:pStyle w:val="ListParagraph"/>
              <w:widowControl/>
              <w:numPr>
                <w:ilvl w:val="0"/>
                <w:numId w:val="36"/>
              </w:numPr>
              <w:jc w:val="left"/>
              <w:rPr>
                <w:rFonts w:ascii="Arial Narrow" w:hAnsi="Arial Narrow"/>
                <w:sz w:val="20"/>
              </w:rPr>
            </w:pPr>
            <w:r w:rsidRPr="00041146">
              <w:rPr>
                <w:rFonts w:ascii="Arial Narrow" w:hAnsi="Arial Narrow"/>
                <w:sz w:val="20"/>
              </w:rPr>
              <w:t xml:space="preserve">≥1 prescription claim for </w:t>
            </w:r>
            <w:proofErr w:type="spellStart"/>
            <w:r w:rsidRPr="00041146">
              <w:rPr>
                <w:rFonts w:ascii="Arial Narrow" w:hAnsi="Arial Narrow"/>
                <w:sz w:val="20"/>
              </w:rPr>
              <w:t>albuterol</w:t>
            </w:r>
            <w:proofErr w:type="spellEnd"/>
            <w:r w:rsidRPr="00041146">
              <w:rPr>
                <w:rFonts w:ascii="Arial Narrow" w:hAnsi="Arial Narrow"/>
                <w:sz w:val="20"/>
              </w:rPr>
              <w:t xml:space="preserve"> inhalation aerosol (</w:t>
            </w:r>
            <w:proofErr w:type="spellStart"/>
            <w:r w:rsidRPr="00041146">
              <w:rPr>
                <w:rFonts w:ascii="Arial Narrow" w:hAnsi="Arial Narrow"/>
                <w:sz w:val="20"/>
              </w:rPr>
              <w:t>ProAir</w:t>
            </w:r>
            <w:proofErr w:type="spellEnd"/>
            <w:r w:rsidRPr="00041146">
              <w:rPr>
                <w:rFonts w:ascii="Arial Narrow" w:hAnsi="Arial Narrow"/>
                <w:sz w:val="20"/>
              </w:rPr>
              <w:t xml:space="preserve"> HFA, with or without dose counter) over Jan 1 2011 – Jul 31 2014</w:t>
            </w:r>
          </w:p>
          <w:p w:rsidR="00054AB1" w:rsidRPr="00041146" w:rsidRDefault="00054AB1" w:rsidP="00E17B91">
            <w:pPr>
              <w:pStyle w:val="ListParagraph"/>
              <w:widowControl/>
              <w:numPr>
                <w:ilvl w:val="0"/>
                <w:numId w:val="36"/>
              </w:numPr>
              <w:jc w:val="left"/>
              <w:rPr>
                <w:rFonts w:ascii="Arial Narrow" w:hAnsi="Arial Narrow"/>
                <w:sz w:val="20"/>
              </w:rPr>
            </w:pPr>
            <w:r w:rsidRPr="00041146">
              <w:rPr>
                <w:rFonts w:ascii="Arial Narrow" w:hAnsi="Arial Narrow"/>
                <w:sz w:val="20"/>
              </w:rPr>
              <w:t xml:space="preserve">≥1 </w:t>
            </w:r>
            <w:proofErr w:type="spellStart"/>
            <w:r w:rsidRPr="00041146">
              <w:rPr>
                <w:rFonts w:ascii="Arial Narrow" w:hAnsi="Arial Narrow"/>
                <w:sz w:val="20"/>
              </w:rPr>
              <w:t>nonrule</w:t>
            </w:r>
            <w:proofErr w:type="spellEnd"/>
            <w:r w:rsidRPr="00041146">
              <w:rPr>
                <w:rFonts w:ascii="Arial Narrow" w:hAnsi="Arial Narrow"/>
                <w:sz w:val="20"/>
              </w:rPr>
              <w:t xml:space="preserve">-out diagnosis indicative of asthma </w:t>
            </w:r>
          </w:p>
          <w:p w:rsidR="00054AB1" w:rsidRPr="00041146" w:rsidRDefault="00054AB1" w:rsidP="00E17B91">
            <w:pPr>
              <w:pStyle w:val="ListParagraph"/>
              <w:widowControl/>
              <w:numPr>
                <w:ilvl w:val="0"/>
                <w:numId w:val="36"/>
              </w:numPr>
              <w:jc w:val="left"/>
              <w:rPr>
                <w:rFonts w:ascii="Arial Narrow" w:hAnsi="Arial Narrow"/>
                <w:sz w:val="20"/>
              </w:rPr>
            </w:pPr>
            <w:r w:rsidRPr="00041146">
              <w:rPr>
                <w:rFonts w:ascii="Arial Narrow" w:hAnsi="Arial Narrow"/>
                <w:sz w:val="20"/>
              </w:rPr>
              <w:lastRenderedPageBreak/>
              <w:t>Continuous enrolment for 6 months pre- and post- index date</w:t>
            </w:r>
          </w:p>
        </w:tc>
        <w:tc>
          <w:tcPr>
            <w:tcW w:w="1818" w:type="dxa"/>
          </w:tcPr>
          <w:p w:rsidR="00054AB1" w:rsidRPr="00041146" w:rsidRDefault="00054AB1" w:rsidP="00E17B91">
            <w:pPr>
              <w:pStyle w:val="ListParagraph"/>
              <w:widowControl/>
              <w:numPr>
                <w:ilvl w:val="0"/>
                <w:numId w:val="36"/>
              </w:numPr>
              <w:jc w:val="left"/>
              <w:rPr>
                <w:rFonts w:ascii="Arial Narrow" w:hAnsi="Arial Narrow"/>
                <w:sz w:val="20"/>
              </w:rPr>
            </w:pPr>
            <w:r w:rsidRPr="00041146">
              <w:rPr>
                <w:rFonts w:ascii="Arial Narrow" w:hAnsi="Arial Narrow"/>
                <w:sz w:val="20"/>
              </w:rPr>
              <w:lastRenderedPageBreak/>
              <w:t>Respiratory-related hospitalisations</w:t>
            </w:r>
          </w:p>
          <w:p w:rsidR="00054AB1" w:rsidRPr="00041146" w:rsidRDefault="00054AB1" w:rsidP="00E17B91">
            <w:pPr>
              <w:pStyle w:val="ListParagraph"/>
              <w:widowControl/>
              <w:numPr>
                <w:ilvl w:val="0"/>
                <w:numId w:val="36"/>
              </w:numPr>
              <w:jc w:val="left"/>
              <w:rPr>
                <w:rFonts w:ascii="Arial Narrow" w:hAnsi="Arial Narrow"/>
                <w:sz w:val="20"/>
              </w:rPr>
            </w:pPr>
            <w:r w:rsidRPr="00041146">
              <w:rPr>
                <w:rFonts w:ascii="Arial Narrow" w:hAnsi="Arial Narrow"/>
                <w:sz w:val="20"/>
              </w:rPr>
              <w:t>ED visits</w:t>
            </w:r>
          </w:p>
        </w:tc>
        <w:tc>
          <w:tcPr>
            <w:tcW w:w="3375" w:type="dxa"/>
          </w:tcPr>
          <w:p w:rsidR="00054AB1" w:rsidRPr="00041146" w:rsidRDefault="00054AB1" w:rsidP="00E17B91">
            <w:pPr>
              <w:pStyle w:val="ListParagraph"/>
              <w:widowControl/>
              <w:numPr>
                <w:ilvl w:val="0"/>
                <w:numId w:val="36"/>
              </w:numPr>
              <w:jc w:val="left"/>
              <w:rPr>
                <w:rFonts w:ascii="Arial Narrow" w:hAnsi="Arial Narrow"/>
                <w:sz w:val="20"/>
              </w:rPr>
            </w:pPr>
            <w:r w:rsidRPr="00041146">
              <w:rPr>
                <w:rFonts w:ascii="Arial Narrow" w:hAnsi="Arial Narrow"/>
                <w:sz w:val="20"/>
              </w:rPr>
              <w:t>Significantly lower odds of experiencing a respiratory-related hospitalisation (DC vs. no DC, adjusted OR 0.92; 95% CI 0.88-0.96) and ED visit (adjusted OR 0.92; 95% CI 0.90-0.94)</w:t>
            </w:r>
          </w:p>
          <w:p w:rsidR="00054AB1" w:rsidRPr="00041146" w:rsidRDefault="00054AB1" w:rsidP="00E17B91">
            <w:pPr>
              <w:pStyle w:val="ListParagraph"/>
              <w:widowControl/>
              <w:numPr>
                <w:ilvl w:val="0"/>
                <w:numId w:val="36"/>
              </w:numPr>
              <w:jc w:val="left"/>
              <w:rPr>
                <w:rFonts w:ascii="Arial Narrow" w:hAnsi="Arial Narrow"/>
                <w:sz w:val="20"/>
              </w:rPr>
            </w:pPr>
            <w:r w:rsidRPr="00041146">
              <w:rPr>
                <w:rFonts w:ascii="Arial Narrow" w:hAnsi="Arial Narrow"/>
                <w:sz w:val="20"/>
              </w:rPr>
              <w:t>Significantly lower number of respiratory-related hospitalisations (DC vs. no DC, adjusted per-patient no. of respiratory-related hospitalisations 0.024 vs. 0.026, p&lt;0.05) and ED visits (adjusted per-patient number of ED visits (0.082 vs. 0.088, p&lt;0.05)</w:t>
            </w:r>
          </w:p>
        </w:tc>
      </w:tr>
      <w:tr w:rsidR="00054AB1" w:rsidRPr="00041146" w:rsidTr="00054AB1">
        <w:tc>
          <w:tcPr>
            <w:tcW w:w="1493" w:type="dxa"/>
          </w:tcPr>
          <w:p w:rsidR="00054AB1" w:rsidRPr="00041146" w:rsidRDefault="00054AB1" w:rsidP="00E17B91">
            <w:pPr>
              <w:rPr>
                <w:rFonts w:ascii="Arial Narrow" w:hAnsi="Arial Narrow"/>
                <w:sz w:val="20"/>
                <w:szCs w:val="20"/>
              </w:rPr>
            </w:pPr>
            <w:r w:rsidRPr="00041146">
              <w:rPr>
                <w:rFonts w:ascii="Arial Narrow" w:hAnsi="Arial Narrow"/>
                <w:sz w:val="20"/>
                <w:szCs w:val="20"/>
              </w:rPr>
              <w:t>Lachman 2018</w:t>
            </w:r>
          </w:p>
          <w:p w:rsidR="00054AB1" w:rsidRPr="00041146" w:rsidRDefault="00054AB1" w:rsidP="00E17B91">
            <w:pPr>
              <w:rPr>
                <w:rFonts w:ascii="Arial Narrow" w:hAnsi="Arial Narrow"/>
                <w:sz w:val="20"/>
                <w:szCs w:val="20"/>
              </w:rPr>
            </w:pPr>
            <w:r w:rsidRPr="00041146">
              <w:rPr>
                <w:rFonts w:ascii="Arial Narrow" w:hAnsi="Arial Narrow"/>
                <w:sz w:val="20"/>
                <w:szCs w:val="20"/>
              </w:rPr>
              <w:t>(Abstract only)</w:t>
            </w:r>
          </w:p>
          <w:p w:rsidR="00054AB1" w:rsidRPr="00041146" w:rsidRDefault="00054AB1" w:rsidP="00E17B91">
            <w:pPr>
              <w:rPr>
                <w:rFonts w:ascii="Arial Narrow" w:hAnsi="Arial Narrow"/>
                <w:sz w:val="20"/>
                <w:szCs w:val="20"/>
              </w:rPr>
            </w:pPr>
          </w:p>
          <w:p w:rsidR="00054AB1" w:rsidRPr="00041146" w:rsidRDefault="00054AB1" w:rsidP="00E17B91">
            <w:pPr>
              <w:rPr>
                <w:rFonts w:ascii="Arial Narrow" w:hAnsi="Arial Narrow"/>
                <w:sz w:val="20"/>
                <w:szCs w:val="20"/>
              </w:rPr>
            </w:pPr>
            <w:r w:rsidRPr="00041146">
              <w:rPr>
                <w:rFonts w:ascii="Arial Narrow" w:hAnsi="Arial Narrow"/>
                <w:sz w:val="20"/>
                <w:szCs w:val="20"/>
              </w:rPr>
              <w:t>Retrospective claims study (USA)</w:t>
            </w:r>
          </w:p>
        </w:tc>
        <w:tc>
          <w:tcPr>
            <w:tcW w:w="2330" w:type="dxa"/>
          </w:tcPr>
          <w:p w:rsidR="00054AB1" w:rsidRPr="00041146" w:rsidRDefault="00054AB1" w:rsidP="00E17B91">
            <w:pPr>
              <w:rPr>
                <w:rFonts w:ascii="Arial Narrow" w:hAnsi="Arial Narrow"/>
                <w:sz w:val="20"/>
                <w:szCs w:val="20"/>
              </w:rPr>
            </w:pPr>
            <w:r w:rsidRPr="00041146">
              <w:rPr>
                <w:rFonts w:ascii="Arial Narrow" w:hAnsi="Arial Narrow"/>
                <w:sz w:val="20"/>
                <w:szCs w:val="20"/>
              </w:rPr>
              <w:t>Not reported</w:t>
            </w:r>
          </w:p>
          <w:p w:rsidR="00054AB1" w:rsidRPr="00041146" w:rsidRDefault="00054AB1" w:rsidP="00E17B91">
            <w:pPr>
              <w:rPr>
                <w:rFonts w:ascii="Arial Narrow" w:hAnsi="Arial Narrow"/>
                <w:sz w:val="20"/>
                <w:szCs w:val="20"/>
              </w:rPr>
            </w:pPr>
          </w:p>
          <w:p w:rsidR="00054AB1" w:rsidRPr="00041146" w:rsidRDefault="00054AB1" w:rsidP="00E17B91">
            <w:pPr>
              <w:pStyle w:val="ListParagraph"/>
              <w:widowControl/>
              <w:numPr>
                <w:ilvl w:val="0"/>
                <w:numId w:val="36"/>
              </w:numPr>
              <w:jc w:val="left"/>
              <w:rPr>
                <w:rFonts w:ascii="Arial Narrow" w:hAnsi="Arial Narrow"/>
                <w:sz w:val="20"/>
              </w:rPr>
            </w:pPr>
            <w:r w:rsidRPr="00041146">
              <w:rPr>
                <w:rFonts w:ascii="Arial Narrow" w:hAnsi="Arial Narrow"/>
                <w:sz w:val="20"/>
              </w:rPr>
              <w:t>Medicaid children</w:t>
            </w:r>
          </w:p>
        </w:tc>
        <w:tc>
          <w:tcPr>
            <w:tcW w:w="1818" w:type="dxa"/>
          </w:tcPr>
          <w:p w:rsidR="00054AB1" w:rsidRPr="00041146" w:rsidRDefault="00054AB1" w:rsidP="00E17B91">
            <w:pPr>
              <w:pStyle w:val="ListParagraph"/>
              <w:widowControl/>
              <w:numPr>
                <w:ilvl w:val="0"/>
                <w:numId w:val="37"/>
              </w:numPr>
              <w:jc w:val="left"/>
              <w:rPr>
                <w:rFonts w:ascii="Arial Narrow" w:hAnsi="Arial Narrow"/>
                <w:sz w:val="20"/>
              </w:rPr>
            </w:pPr>
            <w:r w:rsidRPr="00041146">
              <w:rPr>
                <w:rFonts w:ascii="Arial Narrow" w:hAnsi="Arial Narrow"/>
                <w:sz w:val="20"/>
              </w:rPr>
              <w:t>Hospital admission</w:t>
            </w:r>
          </w:p>
          <w:p w:rsidR="00054AB1" w:rsidRPr="00041146" w:rsidRDefault="00054AB1" w:rsidP="00E17B91">
            <w:pPr>
              <w:pStyle w:val="ListParagraph"/>
              <w:widowControl/>
              <w:numPr>
                <w:ilvl w:val="0"/>
                <w:numId w:val="37"/>
              </w:numPr>
              <w:jc w:val="left"/>
              <w:rPr>
                <w:rFonts w:ascii="Arial Narrow" w:hAnsi="Arial Narrow"/>
                <w:sz w:val="20"/>
              </w:rPr>
            </w:pPr>
            <w:r w:rsidRPr="00041146">
              <w:rPr>
                <w:rFonts w:ascii="Arial Narrow" w:hAnsi="Arial Narrow"/>
                <w:sz w:val="20"/>
              </w:rPr>
              <w:t>ER visits</w:t>
            </w:r>
          </w:p>
          <w:p w:rsidR="00054AB1" w:rsidRPr="00041146" w:rsidRDefault="00054AB1" w:rsidP="00E17B91">
            <w:pPr>
              <w:pStyle w:val="ListParagraph"/>
              <w:widowControl/>
              <w:numPr>
                <w:ilvl w:val="0"/>
                <w:numId w:val="37"/>
              </w:numPr>
              <w:jc w:val="left"/>
              <w:rPr>
                <w:rFonts w:ascii="Arial Narrow" w:hAnsi="Arial Narrow"/>
                <w:sz w:val="20"/>
              </w:rPr>
            </w:pPr>
            <w:r w:rsidRPr="00041146">
              <w:rPr>
                <w:rFonts w:ascii="Arial Narrow" w:hAnsi="Arial Narrow"/>
                <w:sz w:val="20"/>
              </w:rPr>
              <w:t>Health care costs</w:t>
            </w:r>
          </w:p>
        </w:tc>
        <w:tc>
          <w:tcPr>
            <w:tcW w:w="3375" w:type="dxa"/>
          </w:tcPr>
          <w:p w:rsidR="00054AB1" w:rsidRPr="00041146" w:rsidRDefault="00054AB1" w:rsidP="00E17B91">
            <w:pPr>
              <w:pStyle w:val="ListParagraph"/>
              <w:widowControl/>
              <w:numPr>
                <w:ilvl w:val="0"/>
                <w:numId w:val="37"/>
              </w:numPr>
              <w:jc w:val="left"/>
              <w:rPr>
                <w:rFonts w:ascii="Arial Narrow" w:hAnsi="Arial Narrow"/>
                <w:sz w:val="20"/>
              </w:rPr>
            </w:pPr>
            <w:r w:rsidRPr="00041146">
              <w:rPr>
                <w:rFonts w:ascii="Arial Narrow" w:hAnsi="Arial Narrow"/>
                <w:sz w:val="20"/>
              </w:rPr>
              <w:t>Lower number of hospital admissions (DC vs. no DC, 4.36 per 1000 vs. 7.91 per 1000)</w:t>
            </w:r>
          </w:p>
          <w:p w:rsidR="00054AB1" w:rsidRPr="00041146" w:rsidRDefault="00054AB1" w:rsidP="00E17B91">
            <w:pPr>
              <w:pStyle w:val="ListParagraph"/>
              <w:widowControl/>
              <w:numPr>
                <w:ilvl w:val="0"/>
                <w:numId w:val="37"/>
              </w:numPr>
              <w:jc w:val="left"/>
              <w:rPr>
                <w:rFonts w:ascii="Arial Narrow" w:hAnsi="Arial Narrow"/>
                <w:sz w:val="20"/>
              </w:rPr>
            </w:pPr>
            <w:r w:rsidRPr="00041146">
              <w:rPr>
                <w:rFonts w:ascii="Arial Narrow" w:hAnsi="Arial Narrow"/>
                <w:sz w:val="20"/>
              </w:rPr>
              <w:t>Lower number of ED visits (101.44 per 1000 vs. 149.36 per 1000)</w:t>
            </w:r>
          </w:p>
        </w:tc>
      </w:tr>
      <w:tr w:rsidR="00054AB1" w:rsidRPr="00041146" w:rsidTr="00054AB1">
        <w:tc>
          <w:tcPr>
            <w:tcW w:w="1493" w:type="dxa"/>
          </w:tcPr>
          <w:p w:rsidR="00054AB1" w:rsidRPr="00041146" w:rsidRDefault="00054AB1" w:rsidP="00E17B91">
            <w:pPr>
              <w:rPr>
                <w:rFonts w:ascii="Arial Narrow" w:hAnsi="Arial Narrow"/>
                <w:sz w:val="20"/>
                <w:szCs w:val="20"/>
              </w:rPr>
            </w:pPr>
            <w:r w:rsidRPr="00041146">
              <w:rPr>
                <w:rFonts w:ascii="Arial Narrow" w:hAnsi="Arial Narrow"/>
                <w:sz w:val="20"/>
                <w:szCs w:val="20"/>
              </w:rPr>
              <w:t>Price 2016</w:t>
            </w:r>
          </w:p>
          <w:p w:rsidR="00054AB1" w:rsidRPr="00041146" w:rsidRDefault="00054AB1" w:rsidP="00E17B91">
            <w:pPr>
              <w:rPr>
                <w:rFonts w:ascii="Arial Narrow" w:hAnsi="Arial Narrow"/>
                <w:sz w:val="20"/>
                <w:szCs w:val="20"/>
              </w:rPr>
            </w:pPr>
          </w:p>
          <w:p w:rsidR="00054AB1" w:rsidRPr="00041146" w:rsidRDefault="00054AB1" w:rsidP="00E17B91">
            <w:pPr>
              <w:rPr>
                <w:rFonts w:ascii="Arial Narrow" w:hAnsi="Arial Narrow"/>
                <w:sz w:val="20"/>
                <w:szCs w:val="20"/>
              </w:rPr>
            </w:pPr>
            <w:r w:rsidRPr="00041146">
              <w:rPr>
                <w:rFonts w:ascii="Arial Narrow" w:hAnsi="Arial Narrow"/>
                <w:sz w:val="20"/>
                <w:szCs w:val="20"/>
              </w:rPr>
              <w:t>Retrospective claims study (USA)</w:t>
            </w:r>
          </w:p>
        </w:tc>
        <w:tc>
          <w:tcPr>
            <w:tcW w:w="2330" w:type="dxa"/>
          </w:tcPr>
          <w:p w:rsidR="00054AB1" w:rsidRPr="00041146" w:rsidRDefault="00054AB1" w:rsidP="00E17B91">
            <w:pPr>
              <w:rPr>
                <w:rFonts w:ascii="Arial Narrow" w:hAnsi="Arial Narrow"/>
                <w:sz w:val="20"/>
                <w:szCs w:val="20"/>
              </w:rPr>
            </w:pPr>
            <w:r w:rsidRPr="00041146">
              <w:rPr>
                <w:rFonts w:ascii="Arial Narrow" w:hAnsi="Arial Narrow"/>
                <w:sz w:val="20"/>
                <w:szCs w:val="20"/>
              </w:rPr>
              <w:t>26,729 (No DC)</w:t>
            </w:r>
          </w:p>
          <w:p w:rsidR="00054AB1" w:rsidRPr="00041146" w:rsidRDefault="00054AB1" w:rsidP="00E17B91">
            <w:pPr>
              <w:rPr>
                <w:rFonts w:ascii="Arial Narrow" w:hAnsi="Arial Narrow"/>
                <w:sz w:val="20"/>
                <w:szCs w:val="20"/>
              </w:rPr>
            </w:pPr>
            <w:r w:rsidRPr="00041146">
              <w:rPr>
                <w:rFonts w:ascii="Arial Narrow" w:hAnsi="Arial Narrow"/>
                <w:sz w:val="20"/>
                <w:szCs w:val="20"/>
              </w:rPr>
              <w:t>67,251 (DC)</w:t>
            </w:r>
          </w:p>
          <w:p w:rsidR="00054AB1" w:rsidRPr="00041146" w:rsidRDefault="00054AB1" w:rsidP="00E17B91">
            <w:pPr>
              <w:rPr>
                <w:rFonts w:ascii="Arial Narrow" w:hAnsi="Arial Narrow"/>
                <w:sz w:val="20"/>
                <w:szCs w:val="20"/>
              </w:rPr>
            </w:pPr>
          </w:p>
          <w:p w:rsidR="00054AB1" w:rsidRPr="00041146" w:rsidRDefault="00054AB1" w:rsidP="00E17B91">
            <w:pPr>
              <w:rPr>
                <w:rFonts w:ascii="Arial Narrow" w:hAnsi="Arial Narrow"/>
                <w:sz w:val="20"/>
                <w:szCs w:val="20"/>
              </w:rPr>
            </w:pPr>
            <w:r w:rsidRPr="00041146">
              <w:rPr>
                <w:rFonts w:ascii="Arial Narrow" w:hAnsi="Arial Narrow"/>
                <w:sz w:val="20"/>
                <w:szCs w:val="20"/>
              </w:rPr>
              <w:t>Asthma subpopulation</w:t>
            </w:r>
          </w:p>
          <w:p w:rsidR="00054AB1" w:rsidRPr="00041146" w:rsidRDefault="00054AB1" w:rsidP="00E17B91">
            <w:pPr>
              <w:rPr>
                <w:rFonts w:ascii="Arial Narrow" w:hAnsi="Arial Narrow"/>
                <w:sz w:val="20"/>
                <w:szCs w:val="20"/>
              </w:rPr>
            </w:pPr>
            <w:r w:rsidRPr="00041146">
              <w:rPr>
                <w:rFonts w:ascii="Arial Narrow" w:hAnsi="Arial Narrow"/>
                <w:sz w:val="20"/>
                <w:szCs w:val="20"/>
              </w:rPr>
              <w:t>21,823 (No DC)</w:t>
            </w:r>
          </w:p>
          <w:p w:rsidR="00054AB1" w:rsidRPr="00041146" w:rsidRDefault="00054AB1" w:rsidP="00E17B91">
            <w:pPr>
              <w:rPr>
                <w:rFonts w:ascii="Arial Narrow" w:hAnsi="Arial Narrow"/>
                <w:sz w:val="20"/>
                <w:szCs w:val="20"/>
              </w:rPr>
            </w:pPr>
            <w:r w:rsidRPr="00041146">
              <w:rPr>
                <w:rFonts w:ascii="Arial Narrow" w:hAnsi="Arial Narrow"/>
                <w:sz w:val="20"/>
                <w:szCs w:val="20"/>
              </w:rPr>
              <w:t>75,787 (DC)</w:t>
            </w:r>
          </w:p>
          <w:p w:rsidR="00054AB1" w:rsidRPr="00041146" w:rsidRDefault="00054AB1" w:rsidP="00E17B91">
            <w:pPr>
              <w:rPr>
                <w:rFonts w:ascii="Arial Narrow" w:hAnsi="Arial Narrow"/>
                <w:sz w:val="20"/>
                <w:szCs w:val="20"/>
              </w:rPr>
            </w:pPr>
          </w:p>
          <w:p w:rsidR="00054AB1" w:rsidRPr="00041146" w:rsidRDefault="00054AB1" w:rsidP="00E17B91">
            <w:pPr>
              <w:pStyle w:val="ListParagraph"/>
              <w:widowControl/>
              <w:numPr>
                <w:ilvl w:val="0"/>
                <w:numId w:val="38"/>
              </w:numPr>
              <w:jc w:val="left"/>
              <w:rPr>
                <w:rFonts w:ascii="Arial Narrow" w:hAnsi="Arial Narrow"/>
                <w:sz w:val="20"/>
              </w:rPr>
            </w:pPr>
            <w:r w:rsidRPr="00041146">
              <w:rPr>
                <w:rFonts w:ascii="Arial Narrow" w:hAnsi="Arial Narrow"/>
                <w:sz w:val="20"/>
              </w:rPr>
              <w:t>Aged 4-64 years</w:t>
            </w:r>
          </w:p>
          <w:p w:rsidR="00054AB1" w:rsidRPr="00041146" w:rsidRDefault="00054AB1" w:rsidP="00E17B91">
            <w:pPr>
              <w:pStyle w:val="ListParagraph"/>
              <w:widowControl/>
              <w:numPr>
                <w:ilvl w:val="0"/>
                <w:numId w:val="38"/>
              </w:numPr>
              <w:jc w:val="left"/>
              <w:rPr>
                <w:rFonts w:ascii="Arial Narrow" w:hAnsi="Arial Narrow"/>
                <w:sz w:val="20"/>
              </w:rPr>
            </w:pPr>
            <w:r w:rsidRPr="00041146">
              <w:rPr>
                <w:rFonts w:ascii="Arial Narrow" w:hAnsi="Arial Narrow"/>
                <w:sz w:val="20"/>
              </w:rPr>
              <w:t xml:space="preserve">≥1 prescription claim for </w:t>
            </w:r>
            <w:proofErr w:type="spellStart"/>
            <w:r w:rsidRPr="00041146">
              <w:rPr>
                <w:rFonts w:ascii="Arial Narrow" w:hAnsi="Arial Narrow"/>
                <w:sz w:val="20"/>
              </w:rPr>
              <w:t>albuterol</w:t>
            </w:r>
            <w:proofErr w:type="spellEnd"/>
            <w:r w:rsidRPr="00041146">
              <w:rPr>
                <w:rFonts w:ascii="Arial Narrow" w:hAnsi="Arial Narrow"/>
                <w:sz w:val="20"/>
              </w:rPr>
              <w:t xml:space="preserve"> inhalation aerosol (Ventolin HFA with dose counter or </w:t>
            </w:r>
            <w:proofErr w:type="spellStart"/>
            <w:r w:rsidRPr="00041146">
              <w:rPr>
                <w:rFonts w:ascii="Arial Narrow" w:hAnsi="Arial Narrow"/>
                <w:sz w:val="20"/>
              </w:rPr>
              <w:t>ProAir</w:t>
            </w:r>
            <w:proofErr w:type="spellEnd"/>
            <w:r w:rsidRPr="00041146">
              <w:rPr>
                <w:rFonts w:ascii="Arial Narrow" w:hAnsi="Arial Narrow"/>
                <w:sz w:val="20"/>
              </w:rPr>
              <w:t xml:space="preserve"> HFA/Proventil HFA without dose counter) over Jan 1 2010 – Sept 30 2011</w:t>
            </w:r>
          </w:p>
          <w:p w:rsidR="00054AB1" w:rsidRPr="00041146" w:rsidRDefault="00054AB1" w:rsidP="00E17B91">
            <w:pPr>
              <w:pStyle w:val="ListParagraph"/>
              <w:widowControl/>
              <w:numPr>
                <w:ilvl w:val="0"/>
                <w:numId w:val="38"/>
              </w:numPr>
              <w:jc w:val="left"/>
              <w:rPr>
                <w:rFonts w:ascii="Arial Narrow" w:hAnsi="Arial Narrow"/>
                <w:sz w:val="20"/>
              </w:rPr>
            </w:pPr>
            <w:r w:rsidRPr="00041146">
              <w:rPr>
                <w:rFonts w:ascii="Arial Narrow" w:hAnsi="Arial Narrow"/>
                <w:sz w:val="20"/>
              </w:rPr>
              <w:t>Diagnosis of asthma and/or COPD and/or exercise-induced bronchospasm</w:t>
            </w:r>
          </w:p>
          <w:p w:rsidR="00054AB1" w:rsidRPr="00041146" w:rsidRDefault="00054AB1" w:rsidP="00E17B91">
            <w:pPr>
              <w:pStyle w:val="ListParagraph"/>
              <w:widowControl/>
              <w:numPr>
                <w:ilvl w:val="0"/>
                <w:numId w:val="38"/>
              </w:numPr>
              <w:jc w:val="left"/>
              <w:rPr>
                <w:rFonts w:ascii="Arial Narrow" w:hAnsi="Arial Narrow"/>
                <w:sz w:val="20"/>
              </w:rPr>
            </w:pPr>
            <w:r w:rsidRPr="00041146">
              <w:rPr>
                <w:rFonts w:ascii="Arial Narrow" w:hAnsi="Arial Narrow"/>
                <w:sz w:val="20"/>
              </w:rPr>
              <w:t>Continuous insurance coverage for 1 year pre- and post-index date</w:t>
            </w:r>
          </w:p>
          <w:p w:rsidR="00054AB1" w:rsidRPr="00041146" w:rsidRDefault="00054AB1" w:rsidP="00E17B91">
            <w:pPr>
              <w:rPr>
                <w:rFonts w:ascii="Arial Narrow" w:hAnsi="Arial Narrow"/>
                <w:sz w:val="20"/>
                <w:szCs w:val="20"/>
              </w:rPr>
            </w:pPr>
          </w:p>
          <w:p w:rsidR="00054AB1" w:rsidRPr="00AA7881" w:rsidRDefault="00054AB1" w:rsidP="00E17B91">
            <w:pPr>
              <w:rPr>
                <w:rFonts w:ascii="Arial Narrow" w:hAnsi="Arial Narrow"/>
                <w:sz w:val="20"/>
                <w:szCs w:val="20"/>
              </w:rPr>
            </w:pPr>
            <w:r w:rsidRPr="00AA7881">
              <w:rPr>
                <w:rFonts w:ascii="Arial Narrow" w:hAnsi="Arial Narrow"/>
                <w:sz w:val="20"/>
                <w:szCs w:val="20"/>
              </w:rPr>
              <w:t>Asthma subpopulation</w:t>
            </w:r>
          </w:p>
          <w:p w:rsidR="00054AB1" w:rsidRPr="00041146" w:rsidRDefault="00054AB1" w:rsidP="00E17B91">
            <w:pPr>
              <w:pStyle w:val="ListParagraph"/>
              <w:widowControl/>
              <w:numPr>
                <w:ilvl w:val="0"/>
                <w:numId w:val="38"/>
              </w:numPr>
              <w:jc w:val="left"/>
              <w:rPr>
                <w:rFonts w:ascii="Arial Narrow" w:hAnsi="Arial Narrow"/>
                <w:sz w:val="20"/>
              </w:rPr>
            </w:pPr>
            <w:r w:rsidRPr="00041146">
              <w:rPr>
                <w:rFonts w:ascii="Arial Narrow" w:hAnsi="Arial Narrow"/>
                <w:sz w:val="20"/>
              </w:rPr>
              <w:t>≥1 consultation, inpatient admission, or ED visit for asthma recorded at any time during the study period</w:t>
            </w:r>
          </w:p>
        </w:tc>
        <w:tc>
          <w:tcPr>
            <w:tcW w:w="1818" w:type="dxa"/>
          </w:tcPr>
          <w:p w:rsidR="00054AB1" w:rsidRPr="00041146" w:rsidRDefault="00054AB1" w:rsidP="00E17B91">
            <w:pPr>
              <w:rPr>
                <w:rFonts w:ascii="Arial Narrow" w:hAnsi="Arial Narrow"/>
                <w:sz w:val="20"/>
                <w:szCs w:val="20"/>
              </w:rPr>
            </w:pPr>
            <w:r w:rsidRPr="00041146">
              <w:rPr>
                <w:rFonts w:ascii="Arial Narrow" w:hAnsi="Arial Narrow"/>
                <w:sz w:val="20"/>
                <w:szCs w:val="20"/>
              </w:rPr>
              <w:t xml:space="preserve">Primary endpoint: </w:t>
            </w:r>
          </w:p>
          <w:p w:rsidR="00054AB1" w:rsidRPr="00857A63" w:rsidRDefault="00054AB1" w:rsidP="00E17B91">
            <w:pPr>
              <w:pStyle w:val="ListParagraph"/>
              <w:widowControl/>
              <w:numPr>
                <w:ilvl w:val="0"/>
                <w:numId w:val="39"/>
              </w:numPr>
              <w:jc w:val="left"/>
              <w:rPr>
                <w:rFonts w:ascii="Arial Narrow" w:hAnsi="Arial Narrow"/>
                <w:sz w:val="20"/>
              </w:rPr>
            </w:pPr>
            <w:r w:rsidRPr="00857A63">
              <w:rPr>
                <w:rFonts w:ascii="Arial Narrow" w:hAnsi="Arial Narrow"/>
                <w:sz w:val="20"/>
              </w:rPr>
              <w:t>Incidence rate of respiratory-related ED visits</w:t>
            </w:r>
          </w:p>
          <w:p w:rsidR="00054AB1" w:rsidRPr="00041146" w:rsidRDefault="00054AB1" w:rsidP="00E17B91">
            <w:pPr>
              <w:rPr>
                <w:rFonts w:ascii="Arial Narrow" w:hAnsi="Arial Narrow"/>
                <w:sz w:val="20"/>
                <w:szCs w:val="20"/>
              </w:rPr>
            </w:pPr>
          </w:p>
          <w:p w:rsidR="00054AB1" w:rsidRPr="00041146" w:rsidRDefault="00054AB1" w:rsidP="00E17B91">
            <w:pPr>
              <w:rPr>
                <w:rFonts w:ascii="Arial Narrow" w:hAnsi="Arial Narrow"/>
                <w:sz w:val="20"/>
                <w:szCs w:val="20"/>
              </w:rPr>
            </w:pPr>
            <w:r w:rsidRPr="00041146">
              <w:rPr>
                <w:rFonts w:ascii="Arial Narrow" w:hAnsi="Arial Narrow"/>
                <w:sz w:val="20"/>
                <w:szCs w:val="20"/>
              </w:rPr>
              <w:t>Secondary endpoints:</w:t>
            </w:r>
          </w:p>
          <w:p w:rsidR="00054AB1" w:rsidRPr="00041146" w:rsidRDefault="00054AB1" w:rsidP="00E17B91">
            <w:pPr>
              <w:pStyle w:val="ListParagraph"/>
              <w:widowControl/>
              <w:numPr>
                <w:ilvl w:val="0"/>
                <w:numId w:val="39"/>
              </w:numPr>
              <w:jc w:val="left"/>
              <w:rPr>
                <w:rFonts w:ascii="Arial Narrow" w:hAnsi="Arial Narrow"/>
                <w:sz w:val="20"/>
              </w:rPr>
            </w:pPr>
            <w:r w:rsidRPr="00041146">
              <w:rPr>
                <w:rFonts w:ascii="Arial Narrow" w:hAnsi="Arial Narrow"/>
                <w:sz w:val="20"/>
              </w:rPr>
              <w:t xml:space="preserve">Incidence rate of severe exacerbations </w:t>
            </w:r>
          </w:p>
          <w:p w:rsidR="00054AB1" w:rsidRPr="00041146" w:rsidRDefault="00054AB1" w:rsidP="00E17B91">
            <w:pPr>
              <w:pStyle w:val="ListParagraph"/>
              <w:widowControl/>
              <w:numPr>
                <w:ilvl w:val="0"/>
                <w:numId w:val="39"/>
              </w:numPr>
              <w:jc w:val="left"/>
              <w:rPr>
                <w:rFonts w:ascii="Arial Narrow" w:hAnsi="Arial Narrow"/>
                <w:sz w:val="20"/>
              </w:rPr>
            </w:pPr>
            <w:r w:rsidRPr="00041146">
              <w:rPr>
                <w:rFonts w:ascii="Arial Narrow" w:hAnsi="Arial Narrow"/>
                <w:sz w:val="20"/>
              </w:rPr>
              <w:t xml:space="preserve">Incidence rate of acute respiratory events </w:t>
            </w:r>
          </w:p>
          <w:p w:rsidR="00054AB1" w:rsidRPr="00041146" w:rsidRDefault="00054AB1" w:rsidP="00E17B91">
            <w:pPr>
              <w:rPr>
                <w:rFonts w:ascii="Arial Narrow" w:hAnsi="Arial Narrow"/>
                <w:sz w:val="20"/>
                <w:szCs w:val="20"/>
              </w:rPr>
            </w:pPr>
          </w:p>
        </w:tc>
        <w:tc>
          <w:tcPr>
            <w:tcW w:w="3375" w:type="dxa"/>
          </w:tcPr>
          <w:p w:rsidR="00054AB1" w:rsidRPr="00041146" w:rsidRDefault="00054AB1" w:rsidP="00E17B91">
            <w:pPr>
              <w:pStyle w:val="ListParagraph"/>
              <w:widowControl/>
              <w:numPr>
                <w:ilvl w:val="0"/>
                <w:numId w:val="39"/>
              </w:numPr>
              <w:jc w:val="left"/>
              <w:rPr>
                <w:rFonts w:ascii="Arial Narrow" w:hAnsi="Arial Narrow"/>
                <w:sz w:val="20"/>
              </w:rPr>
            </w:pPr>
            <w:r w:rsidRPr="00041146">
              <w:rPr>
                <w:rFonts w:ascii="Arial Narrow" w:hAnsi="Arial Narrow"/>
                <w:sz w:val="20"/>
              </w:rPr>
              <w:t xml:space="preserve">Significantly lower risk of respiratory-related ED visits (DC vs. no DC, adjusted RR 0.55, 95% CI 0.47-0.65) </w:t>
            </w:r>
          </w:p>
          <w:p w:rsidR="00054AB1" w:rsidRPr="00041146" w:rsidRDefault="00054AB1" w:rsidP="00E17B91">
            <w:pPr>
              <w:rPr>
                <w:rFonts w:ascii="Arial Narrow" w:hAnsi="Arial Narrow"/>
                <w:sz w:val="20"/>
                <w:szCs w:val="20"/>
              </w:rPr>
            </w:pPr>
          </w:p>
          <w:p w:rsidR="00054AB1" w:rsidRPr="00041146" w:rsidRDefault="00054AB1" w:rsidP="00E17B91">
            <w:pPr>
              <w:rPr>
                <w:rFonts w:ascii="Arial Narrow" w:hAnsi="Arial Narrow"/>
                <w:sz w:val="20"/>
                <w:szCs w:val="20"/>
              </w:rPr>
            </w:pPr>
            <w:r w:rsidRPr="00041146">
              <w:rPr>
                <w:rFonts w:ascii="Arial Narrow" w:hAnsi="Arial Narrow"/>
                <w:sz w:val="20"/>
                <w:szCs w:val="20"/>
              </w:rPr>
              <w:t>Asthma subpopulation</w:t>
            </w:r>
          </w:p>
          <w:p w:rsidR="00054AB1" w:rsidRPr="00041146" w:rsidRDefault="00054AB1" w:rsidP="00E17B91">
            <w:pPr>
              <w:pStyle w:val="ListParagraph"/>
              <w:widowControl/>
              <w:numPr>
                <w:ilvl w:val="0"/>
                <w:numId w:val="40"/>
              </w:numPr>
              <w:jc w:val="left"/>
              <w:rPr>
                <w:rFonts w:ascii="Arial Narrow" w:hAnsi="Arial Narrow"/>
                <w:sz w:val="20"/>
              </w:rPr>
            </w:pPr>
            <w:r w:rsidRPr="00041146">
              <w:rPr>
                <w:rFonts w:ascii="Arial Narrow" w:hAnsi="Arial Narrow"/>
                <w:sz w:val="20"/>
              </w:rPr>
              <w:t xml:space="preserve">Significantly lower incidence of respiratory-related ED visits (adjusted RR 0.49; 95% CI 0.41-0.59) </w:t>
            </w:r>
          </w:p>
          <w:p w:rsidR="00054AB1" w:rsidRPr="00041146" w:rsidRDefault="00054AB1" w:rsidP="00E17B91">
            <w:pPr>
              <w:pStyle w:val="ListParagraph"/>
              <w:widowControl/>
              <w:numPr>
                <w:ilvl w:val="0"/>
                <w:numId w:val="40"/>
              </w:numPr>
              <w:jc w:val="left"/>
              <w:rPr>
                <w:rFonts w:ascii="Arial Narrow" w:hAnsi="Arial Narrow"/>
                <w:sz w:val="20"/>
              </w:rPr>
            </w:pPr>
            <w:r w:rsidRPr="00041146">
              <w:rPr>
                <w:rFonts w:ascii="Arial Narrow" w:hAnsi="Arial Narrow"/>
                <w:sz w:val="20"/>
              </w:rPr>
              <w:t xml:space="preserve">Rates of severe exacerbations were similar between DC vs. no DC </w:t>
            </w:r>
          </w:p>
          <w:p w:rsidR="00054AB1" w:rsidRPr="00041146" w:rsidRDefault="00054AB1" w:rsidP="00E17B91">
            <w:pPr>
              <w:pStyle w:val="ListParagraph"/>
              <w:widowControl/>
              <w:numPr>
                <w:ilvl w:val="0"/>
                <w:numId w:val="40"/>
              </w:numPr>
              <w:jc w:val="left"/>
              <w:rPr>
                <w:rFonts w:ascii="Arial Narrow" w:hAnsi="Arial Narrow"/>
                <w:sz w:val="20"/>
              </w:rPr>
            </w:pPr>
            <w:r w:rsidRPr="00041146">
              <w:rPr>
                <w:rFonts w:ascii="Arial Narrow" w:hAnsi="Arial Narrow"/>
                <w:sz w:val="20"/>
              </w:rPr>
              <w:t>Rates of acute respiratory events were similar between DC vs. no DC</w:t>
            </w:r>
          </w:p>
          <w:p w:rsidR="00054AB1" w:rsidRPr="00041146" w:rsidRDefault="00054AB1" w:rsidP="00E17B91">
            <w:pPr>
              <w:rPr>
                <w:rFonts w:ascii="Arial Narrow" w:hAnsi="Arial Narrow"/>
                <w:sz w:val="20"/>
                <w:szCs w:val="20"/>
              </w:rPr>
            </w:pPr>
          </w:p>
        </w:tc>
      </w:tr>
    </w:tbl>
    <w:p w:rsidR="00B8278C" w:rsidRPr="00041146" w:rsidRDefault="00B8278C" w:rsidP="00E17B91">
      <w:pPr>
        <w:pStyle w:val="TableFooter"/>
        <w:widowControl/>
      </w:pPr>
      <w:r w:rsidRPr="00041146">
        <w:t>*</w:t>
      </w:r>
      <w:proofErr w:type="spellStart"/>
      <w:r w:rsidRPr="00041146">
        <w:t>ProAir</w:t>
      </w:r>
      <w:proofErr w:type="spellEnd"/>
      <w:r w:rsidRPr="00041146">
        <w:t xml:space="preserve"> HFA (with a dose counter) is a generic of Ventolin HFA (with a dose counter) in the US. The devices for both are similar. </w:t>
      </w:r>
      <w:r w:rsidRPr="00041146">
        <w:rPr>
          <w:vertAlign w:val="superscript"/>
        </w:rPr>
        <w:t>†</w:t>
      </w:r>
      <w:proofErr w:type="spellStart"/>
      <w:r w:rsidRPr="00041146">
        <w:t>albuterol</w:t>
      </w:r>
      <w:proofErr w:type="spellEnd"/>
      <w:r w:rsidRPr="00041146">
        <w:t xml:space="preserve"> </w:t>
      </w:r>
      <w:proofErr w:type="spellStart"/>
      <w:r w:rsidRPr="00041146">
        <w:t>sulfate</w:t>
      </w:r>
      <w:proofErr w:type="spellEnd"/>
      <w:r w:rsidRPr="00041146">
        <w:t xml:space="preserve"> is another name for salbutamol </w:t>
      </w:r>
      <w:proofErr w:type="spellStart"/>
      <w:r w:rsidRPr="00041146">
        <w:t>sulfate</w:t>
      </w:r>
      <w:proofErr w:type="spellEnd"/>
      <w:r w:rsidRPr="00041146">
        <w:t>.</w:t>
      </w:r>
    </w:p>
    <w:p w:rsidR="00B8278C" w:rsidRPr="00041146" w:rsidRDefault="00B8278C" w:rsidP="00E17B91">
      <w:pPr>
        <w:pStyle w:val="TableFooter"/>
        <w:widowControl/>
      </w:pPr>
      <w:r w:rsidRPr="00041146">
        <w:t xml:space="preserve">Abbreviations: ED, Emergency Department; RR, Risk Ratio; HFA, </w:t>
      </w:r>
      <w:proofErr w:type="spellStart"/>
      <w:r w:rsidRPr="00041146">
        <w:t>Hydrofluoroalkane</w:t>
      </w:r>
      <w:proofErr w:type="spellEnd"/>
    </w:p>
    <w:p w:rsidR="007E0AFD" w:rsidRPr="00041146" w:rsidRDefault="00B8278C" w:rsidP="00E17B91">
      <w:pPr>
        <w:pStyle w:val="TableFooter"/>
        <w:widowControl/>
        <w:rPr>
          <w:rFonts w:cstheme="minorHAnsi"/>
          <w:iCs/>
        </w:rPr>
      </w:pPr>
      <w:r w:rsidRPr="00041146">
        <w:rPr>
          <w:rFonts w:cstheme="minorHAnsi"/>
          <w:iCs/>
        </w:rPr>
        <w:t>Source: Table 6, pp18-19 of submission</w:t>
      </w:r>
    </w:p>
    <w:p w:rsidR="00B8278C" w:rsidRPr="00041146" w:rsidRDefault="00B8278C" w:rsidP="00E17B91">
      <w:pPr>
        <w:pStyle w:val="3Bodytext"/>
        <w:numPr>
          <w:ilvl w:val="0"/>
          <w:numId w:val="0"/>
        </w:numPr>
        <w:jc w:val="both"/>
      </w:pPr>
    </w:p>
    <w:p w:rsidR="00B8278C" w:rsidRPr="00041146" w:rsidRDefault="00B8278C" w:rsidP="00E17B91">
      <w:pPr>
        <w:pStyle w:val="3Bodytext"/>
        <w:jc w:val="both"/>
        <w:rPr>
          <w:rFonts w:cstheme="minorHAnsi"/>
          <w:iCs/>
        </w:rPr>
      </w:pPr>
      <w:r w:rsidRPr="00041146">
        <w:rPr>
          <w:rFonts w:cstheme="minorHAnsi"/>
          <w:iCs/>
        </w:rPr>
        <w:t xml:space="preserve">The submission </w:t>
      </w:r>
      <w:r w:rsidR="00A83CD2" w:rsidRPr="00041146">
        <w:rPr>
          <w:rFonts w:cstheme="minorHAnsi"/>
          <w:iCs/>
        </w:rPr>
        <w:t xml:space="preserve">claimed </w:t>
      </w:r>
      <w:r w:rsidRPr="00041146">
        <w:rPr>
          <w:rFonts w:cstheme="minorHAnsi"/>
          <w:iCs/>
        </w:rPr>
        <w:t xml:space="preserve">that the evidence from the literature review suggested that from a patient perspective, the DC enables monitoring on inhaler use and provides reassurance that medication will not run out in the time of need. In addition, the submission </w:t>
      </w:r>
      <w:r w:rsidR="00A83CD2" w:rsidRPr="00041146">
        <w:rPr>
          <w:rFonts w:cstheme="minorHAnsi"/>
          <w:iCs/>
        </w:rPr>
        <w:t xml:space="preserve">claimed </w:t>
      </w:r>
      <w:r w:rsidRPr="00041146">
        <w:rPr>
          <w:rFonts w:cstheme="minorHAnsi"/>
          <w:iCs/>
        </w:rPr>
        <w:t xml:space="preserve">that </w:t>
      </w:r>
      <w:r w:rsidRPr="00041146">
        <w:t xml:space="preserve">compared </w:t>
      </w:r>
      <w:r w:rsidR="00A83CD2" w:rsidRPr="00041146">
        <w:t xml:space="preserve">with </w:t>
      </w:r>
      <w:r w:rsidRPr="00041146">
        <w:t xml:space="preserve">salbutamol MDIs with no DC, salbutamol MDIs with DC are associated with reduced respiratory-related ED visits, which </w:t>
      </w:r>
      <w:r w:rsidRPr="00041146">
        <w:lastRenderedPageBreak/>
        <w:t xml:space="preserve">highlights the benefit of having a DC that enables patients to accurately determine when their inhaler is depleted of active drug. </w:t>
      </w:r>
    </w:p>
    <w:p w:rsidR="00693DFB" w:rsidRPr="00041146" w:rsidRDefault="00A6388B" w:rsidP="00E17B91">
      <w:pPr>
        <w:pStyle w:val="Heading2"/>
        <w:keepLines/>
        <w:spacing w:before="240" w:after="120"/>
        <w:rPr>
          <w:rFonts w:asciiTheme="minorHAnsi" w:eastAsiaTheme="majorEastAsia" w:hAnsiTheme="minorHAnsi" w:cstheme="majorBidi"/>
          <w:sz w:val="28"/>
          <w:szCs w:val="28"/>
          <w:lang w:eastAsia="en-US"/>
        </w:rPr>
      </w:pPr>
      <w:r w:rsidRPr="00041146">
        <w:rPr>
          <w:rFonts w:asciiTheme="minorHAnsi" w:eastAsiaTheme="majorEastAsia" w:hAnsiTheme="minorHAnsi" w:cstheme="majorBidi"/>
          <w:sz w:val="28"/>
          <w:szCs w:val="28"/>
          <w:lang w:eastAsia="en-US"/>
        </w:rPr>
        <w:t>Pricing considerations</w:t>
      </w:r>
    </w:p>
    <w:p w:rsidR="0076420C" w:rsidRPr="00041146" w:rsidRDefault="00980B0E" w:rsidP="00E17B91">
      <w:pPr>
        <w:pStyle w:val="Bodytextitalics"/>
        <w:jc w:val="both"/>
      </w:pPr>
      <w:r w:rsidRPr="00041146">
        <w:rPr>
          <w:i w:val="0"/>
        </w:rPr>
        <w:t>T</w:t>
      </w:r>
      <w:r w:rsidR="00A6388B" w:rsidRPr="00041146">
        <w:rPr>
          <w:i w:val="0"/>
        </w:rPr>
        <w:t xml:space="preserve">he </w:t>
      </w:r>
      <w:r w:rsidR="00530396" w:rsidRPr="00041146">
        <w:rPr>
          <w:i w:val="0"/>
        </w:rPr>
        <w:t>proposed AEMP</w:t>
      </w:r>
      <w:r w:rsidR="00A6388B" w:rsidRPr="00041146">
        <w:rPr>
          <w:i w:val="0"/>
        </w:rPr>
        <w:t xml:space="preserve"> for Ventolin DC is higher than the current AEMP for Ventolin MDI. The</w:t>
      </w:r>
      <w:r w:rsidR="00E4389B" w:rsidRPr="00041146">
        <w:rPr>
          <w:i w:val="0"/>
        </w:rPr>
        <w:t xml:space="preserve"> submission stated</w:t>
      </w:r>
      <w:r w:rsidR="00A6388B" w:rsidRPr="00041146">
        <w:rPr>
          <w:i w:val="0"/>
        </w:rPr>
        <w:t xml:space="preserve"> that the manufacture of Ventolin DC is more complex and hence has a higher cost than the non-DC MDI such that to ensure supply a $</w:t>
      </w:r>
      <w:r w:rsidR="0088138D">
        <w:rPr>
          <w:i w:val="0"/>
          <w:noProof/>
          <w:color w:val="000000"/>
          <w:highlight w:val="black"/>
        </w:rPr>
        <w:t>''</w:t>
      </w:r>
      <w:r w:rsidR="00A6388B" w:rsidRPr="00041146">
        <w:rPr>
          <w:i w:val="0"/>
        </w:rPr>
        <w:t xml:space="preserve"> higher AEMP is necessary. </w:t>
      </w:r>
    </w:p>
    <w:p w:rsidR="00A6388B" w:rsidRPr="00041146" w:rsidRDefault="00A6388B" w:rsidP="00E17B91">
      <w:pPr>
        <w:pStyle w:val="Bodytextitalics"/>
        <w:jc w:val="both"/>
      </w:pPr>
      <w:r w:rsidRPr="00041146">
        <w:rPr>
          <w:i w:val="0"/>
        </w:rPr>
        <w:t xml:space="preserve">The proposed price for Ventolin DC is shown in comparison to the other salbutamol MDIs in Table 2. </w:t>
      </w:r>
    </w:p>
    <w:p w:rsidR="00A6388B" w:rsidRPr="00041146" w:rsidRDefault="00A6388B" w:rsidP="00E17B91">
      <w:pPr>
        <w:pStyle w:val="Tabletitles"/>
        <w:keepNext/>
      </w:pPr>
      <w:bookmarkStart w:id="1" w:name="_Ref16784007"/>
      <w:bookmarkStart w:id="2" w:name="_Toc17460810"/>
      <w:r w:rsidRPr="00041146">
        <w:t xml:space="preserve">Table </w:t>
      </w:r>
      <w:bookmarkEnd w:id="1"/>
      <w:r w:rsidRPr="00041146">
        <w:t>2</w:t>
      </w:r>
      <w:r w:rsidR="00A83CD2" w:rsidRPr="00041146">
        <w:t>:</w:t>
      </w:r>
      <w:r w:rsidRPr="00041146">
        <w:t xml:space="preserve"> Current and proposed prices for </w:t>
      </w:r>
      <w:r w:rsidR="00A83CD2" w:rsidRPr="00041146">
        <w:t>s</w:t>
      </w:r>
      <w:r w:rsidRPr="00041146">
        <w:t>albutamol MDIs</w:t>
      </w:r>
      <w:bookmarkEnd w:id="2"/>
    </w:p>
    <w:tbl>
      <w:tblPr>
        <w:tblStyle w:val="RTIAMCPTable1"/>
        <w:tblW w:w="0" w:type="auto"/>
        <w:tblLook w:val="04A0" w:firstRow="1" w:lastRow="0" w:firstColumn="1" w:lastColumn="0" w:noHBand="0" w:noVBand="1"/>
        <w:tblCaption w:val="Table 2: Current and proposed prices for salbutamol MDIs"/>
      </w:tblPr>
      <w:tblGrid>
        <w:gridCol w:w="1838"/>
        <w:gridCol w:w="1260"/>
        <w:gridCol w:w="1008"/>
        <w:gridCol w:w="1418"/>
        <w:gridCol w:w="1559"/>
        <w:gridCol w:w="1701"/>
      </w:tblGrid>
      <w:tr w:rsidR="00A6388B" w:rsidRPr="00041146" w:rsidTr="00171FE9">
        <w:trPr>
          <w:tblHeader/>
        </w:trPr>
        <w:tc>
          <w:tcPr>
            <w:tcW w:w="1838" w:type="dxa"/>
          </w:tcPr>
          <w:p w:rsidR="00A6388B" w:rsidRPr="00AA7881" w:rsidRDefault="00A6388B" w:rsidP="00E17B91">
            <w:pPr>
              <w:keepNext/>
              <w:rPr>
                <w:b/>
                <w:sz w:val="20"/>
                <w:szCs w:val="20"/>
                <w:lang w:val="en-AU"/>
              </w:rPr>
            </w:pPr>
            <w:r w:rsidRPr="00041146">
              <w:rPr>
                <w:b/>
                <w:sz w:val="20"/>
                <w:szCs w:val="20"/>
              </w:rPr>
              <w:t>Product</w:t>
            </w:r>
          </w:p>
        </w:tc>
        <w:tc>
          <w:tcPr>
            <w:tcW w:w="1260" w:type="dxa"/>
          </w:tcPr>
          <w:p w:rsidR="00A6388B" w:rsidRPr="00AA7881" w:rsidRDefault="00A6388B" w:rsidP="00E17B91">
            <w:pPr>
              <w:keepNext/>
              <w:rPr>
                <w:b/>
                <w:sz w:val="20"/>
                <w:szCs w:val="20"/>
                <w:lang w:val="en-AU"/>
              </w:rPr>
            </w:pPr>
            <w:r w:rsidRPr="00041146">
              <w:rPr>
                <w:b/>
                <w:sz w:val="20"/>
                <w:szCs w:val="20"/>
              </w:rPr>
              <w:t>PBS code</w:t>
            </w:r>
          </w:p>
        </w:tc>
        <w:tc>
          <w:tcPr>
            <w:tcW w:w="1008" w:type="dxa"/>
          </w:tcPr>
          <w:p w:rsidR="00A6388B" w:rsidRPr="00AA7881" w:rsidRDefault="00A83CD2" w:rsidP="00E17B91">
            <w:pPr>
              <w:keepNext/>
              <w:rPr>
                <w:b/>
                <w:sz w:val="20"/>
                <w:szCs w:val="20"/>
                <w:lang w:val="en-AU"/>
              </w:rPr>
            </w:pPr>
            <w:r w:rsidRPr="00041146">
              <w:rPr>
                <w:b/>
                <w:sz w:val="20"/>
                <w:szCs w:val="20"/>
              </w:rPr>
              <w:t>S</w:t>
            </w:r>
            <w:r w:rsidR="00A6388B" w:rsidRPr="00041146">
              <w:rPr>
                <w:b/>
                <w:sz w:val="20"/>
                <w:szCs w:val="20"/>
              </w:rPr>
              <w:t>chedule</w:t>
            </w:r>
          </w:p>
        </w:tc>
        <w:tc>
          <w:tcPr>
            <w:tcW w:w="1418" w:type="dxa"/>
          </w:tcPr>
          <w:p w:rsidR="00A6388B" w:rsidRPr="00AA7881" w:rsidRDefault="00A6388B" w:rsidP="00E17B91">
            <w:pPr>
              <w:keepNext/>
              <w:rPr>
                <w:b/>
                <w:sz w:val="20"/>
                <w:szCs w:val="20"/>
                <w:lang w:val="en-AU"/>
              </w:rPr>
            </w:pPr>
            <w:r w:rsidRPr="00041146">
              <w:rPr>
                <w:b/>
                <w:sz w:val="20"/>
                <w:szCs w:val="20"/>
              </w:rPr>
              <w:t>AEMP</w:t>
            </w:r>
          </w:p>
        </w:tc>
        <w:tc>
          <w:tcPr>
            <w:tcW w:w="1559" w:type="dxa"/>
          </w:tcPr>
          <w:p w:rsidR="00A6388B" w:rsidRPr="00AA7881" w:rsidRDefault="00A6388B" w:rsidP="00E17B91">
            <w:pPr>
              <w:keepNext/>
              <w:rPr>
                <w:b/>
                <w:sz w:val="20"/>
                <w:szCs w:val="20"/>
                <w:lang w:val="en-AU"/>
              </w:rPr>
            </w:pPr>
            <w:r w:rsidRPr="00041146">
              <w:rPr>
                <w:b/>
                <w:sz w:val="20"/>
                <w:szCs w:val="20"/>
              </w:rPr>
              <w:t>Price to pharmacy</w:t>
            </w:r>
          </w:p>
        </w:tc>
        <w:tc>
          <w:tcPr>
            <w:tcW w:w="1701" w:type="dxa"/>
          </w:tcPr>
          <w:p w:rsidR="00A6388B" w:rsidRPr="00AA7881" w:rsidRDefault="00A6388B" w:rsidP="00E17B91">
            <w:pPr>
              <w:keepNext/>
              <w:rPr>
                <w:b/>
                <w:sz w:val="20"/>
                <w:szCs w:val="20"/>
                <w:lang w:val="en-AU"/>
              </w:rPr>
            </w:pPr>
            <w:r w:rsidRPr="00041146">
              <w:rPr>
                <w:b/>
                <w:sz w:val="20"/>
                <w:szCs w:val="20"/>
              </w:rPr>
              <w:t>DPMQ</w:t>
            </w:r>
          </w:p>
        </w:tc>
      </w:tr>
      <w:tr w:rsidR="00A6388B" w:rsidRPr="00041146" w:rsidTr="00A6388B">
        <w:tc>
          <w:tcPr>
            <w:tcW w:w="1838" w:type="dxa"/>
          </w:tcPr>
          <w:p w:rsidR="00A6388B" w:rsidRPr="00AA7881" w:rsidRDefault="00A6388B" w:rsidP="00E17B91">
            <w:pPr>
              <w:keepNext/>
              <w:rPr>
                <w:sz w:val="20"/>
                <w:szCs w:val="20"/>
                <w:lang w:val="en-AU"/>
              </w:rPr>
            </w:pPr>
            <w:r w:rsidRPr="00041146">
              <w:rPr>
                <w:sz w:val="20"/>
                <w:szCs w:val="20"/>
              </w:rPr>
              <w:t>Ventolin</w:t>
            </w:r>
          </w:p>
        </w:tc>
        <w:tc>
          <w:tcPr>
            <w:tcW w:w="1260" w:type="dxa"/>
          </w:tcPr>
          <w:p w:rsidR="00A6388B" w:rsidRPr="00AA7881" w:rsidRDefault="00A6388B" w:rsidP="00E17B91">
            <w:pPr>
              <w:keepNext/>
              <w:rPr>
                <w:sz w:val="20"/>
                <w:szCs w:val="20"/>
                <w:lang w:val="en-AU"/>
              </w:rPr>
            </w:pPr>
            <w:r w:rsidRPr="00041146">
              <w:rPr>
                <w:sz w:val="20"/>
                <w:szCs w:val="20"/>
              </w:rPr>
              <w:t>3495Y</w:t>
            </w:r>
          </w:p>
        </w:tc>
        <w:tc>
          <w:tcPr>
            <w:tcW w:w="1008" w:type="dxa"/>
          </w:tcPr>
          <w:p w:rsidR="00A6388B" w:rsidRPr="00AA7881" w:rsidRDefault="00A6388B" w:rsidP="00E17B91">
            <w:pPr>
              <w:keepNext/>
              <w:rPr>
                <w:sz w:val="20"/>
                <w:szCs w:val="20"/>
                <w:lang w:val="en-AU"/>
              </w:rPr>
            </w:pPr>
            <w:r w:rsidRPr="00041146">
              <w:rPr>
                <w:sz w:val="20"/>
                <w:szCs w:val="20"/>
              </w:rPr>
              <w:t>DB</w:t>
            </w:r>
          </w:p>
        </w:tc>
        <w:tc>
          <w:tcPr>
            <w:tcW w:w="1418" w:type="dxa"/>
          </w:tcPr>
          <w:p w:rsidR="00A6388B" w:rsidRPr="00AA7881" w:rsidRDefault="00A6388B" w:rsidP="00AA7881">
            <w:pPr>
              <w:keepNext/>
              <w:jc w:val="right"/>
              <w:rPr>
                <w:sz w:val="20"/>
                <w:szCs w:val="20"/>
                <w:lang w:val="en-AU"/>
              </w:rPr>
            </w:pPr>
            <w:r w:rsidRPr="00041146">
              <w:rPr>
                <w:sz w:val="20"/>
                <w:szCs w:val="20"/>
              </w:rPr>
              <w:t>$3.90</w:t>
            </w:r>
          </w:p>
        </w:tc>
        <w:tc>
          <w:tcPr>
            <w:tcW w:w="1559" w:type="dxa"/>
          </w:tcPr>
          <w:p w:rsidR="00A6388B" w:rsidRPr="00AA7881" w:rsidRDefault="00A6388B" w:rsidP="00AA7881">
            <w:pPr>
              <w:keepNext/>
              <w:jc w:val="right"/>
              <w:rPr>
                <w:sz w:val="20"/>
                <w:szCs w:val="20"/>
                <w:lang w:val="en-AU"/>
              </w:rPr>
            </w:pPr>
            <w:r w:rsidRPr="00041146">
              <w:rPr>
                <w:sz w:val="20"/>
                <w:szCs w:val="20"/>
              </w:rPr>
              <w:t>$6.02</w:t>
            </w:r>
          </w:p>
        </w:tc>
        <w:tc>
          <w:tcPr>
            <w:tcW w:w="1701" w:type="dxa"/>
          </w:tcPr>
          <w:p w:rsidR="00A6388B" w:rsidRPr="00AA7881" w:rsidRDefault="00A6388B" w:rsidP="00AA7881">
            <w:pPr>
              <w:keepNext/>
              <w:jc w:val="right"/>
              <w:rPr>
                <w:sz w:val="20"/>
                <w:szCs w:val="20"/>
                <w:lang w:val="en-AU"/>
              </w:rPr>
            </w:pPr>
            <w:r w:rsidRPr="00041146">
              <w:rPr>
                <w:sz w:val="20"/>
                <w:szCs w:val="20"/>
              </w:rPr>
              <w:t>$17.50</w:t>
            </w:r>
          </w:p>
        </w:tc>
      </w:tr>
      <w:tr w:rsidR="00A6388B" w:rsidRPr="00041146" w:rsidTr="00A6388B">
        <w:tc>
          <w:tcPr>
            <w:tcW w:w="1838" w:type="dxa"/>
          </w:tcPr>
          <w:p w:rsidR="00A6388B" w:rsidRPr="00AA7881" w:rsidRDefault="00A6388B" w:rsidP="00E17B91">
            <w:pPr>
              <w:keepNext/>
              <w:rPr>
                <w:sz w:val="20"/>
                <w:szCs w:val="20"/>
                <w:lang w:val="en-AU"/>
              </w:rPr>
            </w:pPr>
            <w:r w:rsidRPr="00041146">
              <w:rPr>
                <w:sz w:val="20"/>
                <w:szCs w:val="20"/>
              </w:rPr>
              <w:t>Ventolin*</w:t>
            </w:r>
          </w:p>
        </w:tc>
        <w:tc>
          <w:tcPr>
            <w:tcW w:w="1260" w:type="dxa"/>
          </w:tcPr>
          <w:p w:rsidR="00A6388B" w:rsidRPr="00AA7881" w:rsidRDefault="00A6388B" w:rsidP="00E17B91">
            <w:pPr>
              <w:keepNext/>
              <w:rPr>
                <w:sz w:val="20"/>
                <w:szCs w:val="20"/>
                <w:lang w:val="en-AU"/>
              </w:rPr>
            </w:pPr>
            <w:r w:rsidRPr="00041146">
              <w:rPr>
                <w:sz w:val="20"/>
                <w:szCs w:val="20"/>
              </w:rPr>
              <w:t>8288F</w:t>
            </w:r>
          </w:p>
        </w:tc>
        <w:tc>
          <w:tcPr>
            <w:tcW w:w="1008" w:type="dxa"/>
          </w:tcPr>
          <w:p w:rsidR="00A6388B" w:rsidRPr="00AA7881" w:rsidRDefault="00A6388B" w:rsidP="00E17B91">
            <w:pPr>
              <w:keepNext/>
              <w:rPr>
                <w:sz w:val="20"/>
                <w:szCs w:val="20"/>
                <w:lang w:val="en-AU"/>
              </w:rPr>
            </w:pPr>
            <w:r w:rsidRPr="00041146">
              <w:rPr>
                <w:sz w:val="20"/>
                <w:szCs w:val="20"/>
              </w:rPr>
              <w:t>GE</w:t>
            </w:r>
          </w:p>
        </w:tc>
        <w:tc>
          <w:tcPr>
            <w:tcW w:w="1418" w:type="dxa"/>
          </w:tcPr>
          <w:p w:rsidR="00A6388B" w:rsidRPr="00AA7881" w:rsidRDefault="00A6388B" w:rsidP="00AA7881">
            <w:pPr>
              <w:keepNext/>
              <w:jc w:val="right"/>
              <w:rPr>
                <w:sz w:val="20"/>
                <w:szCs w:val="20"/>
                <w:lang w:val="en-AU"/>
              </w:rPr>
            </w:pPr>
            <w:r w:rsidRPr="00041146">
              <w:rPr>
                <w:sz w:val="20"/>
                <w:szCs w:val="20"/>
              </w:rPr>
              <w:t>$3.90</w:t>
            </w:r>
          </w:p>
        </w:tc>
        <w:tc>
          <w:tcPr>
            <w:tcW w:w="1559" w:type="dxa"/>
          </w:tcPr>
          <w:p w:rsidR="00A6388B" w:rsidRPr="00AA7881" w:rsidRDefault="00A6388B" w:rsidP="00AA7881">
            <w:pPr>
              <w:keepNext/>
              <w:jc w:val="right"/>
              <w:rPr>
                <w:sz w:val="20"/>
                <w:szCs w:val="20"/>
                <w:lang w:val="en-AU"/>
              </w:rPr>
            </w:pPr>
            <w:r w:rsidRPr="00041146">
              <w:rPr>
                <w:sz w:val="20"/>
                <w:szCs w:val="20"/>
              </w:rPr>
              <w:t>$4.19</w:t>
            </w:r>
          </w:p>
        </w:tc>
        <w:tc>
          <w:tcPr>
            <w:tcW w:w="1701" w:type="dxa"/>
          </w:tcPr>
          <w:p w:rsidR="00A6388B" w:rsidRPr="00AA7881" w:rsidRDefault="00A6388B" w:rsidP="00AA7881">
            <w:pPr>
              <w:keepNext/>
              <w:jc w:val="right"/>
              <w:rPr>
                <w:sz w:val="20"/>
                <w:szCs w:val="20"/>
                <w:lang w:val="en-AU"/>
              </w:rPr>
            </w:pPr>
            <w:r w:rsidRPr="00041146">
              <w:rPr>
                <w:sz w:val="20"/>
                <w:szCs w:val="20"/>
              </w:rPr>
              <w:t>$19.87</w:t>
            </w:r>
          </w:p>
        </w:tc>
      </w:tr>
      <w:tr w:rsidR="00A6388B" w:rsidRPr="00041146" w:rsidTr="00A6388B">
        <w:tc>
          <w:tcPr>
            <w:tcW w:w="1838" w:type="dxa"/>
          </w:tcPr>
          <w:p w:rsidR="00A6388B" w:rsidRPr="00AA7881" w:rsidRDefault="00A6388B" w:rsidP="00E17B91">
            <w:pPr>
              <w:keepNext/>
              <w:rPr>
                <w:sz w:val="20"/>
                <w:szCs w:val="20"/>
                <w:lang w:val="en-AU"/>
              </w:rPr>
            </w:pPr>
            <w:proofErr w:type="spellStart"/>
            <w:r w:rsidRPr="00041146">
              <w:rPr>
                <w:sz w:val="20"/>
                <w:szCs w:val="20"/>
              </w:rPr>
              <w:t>Asmol</w:t>
            </w:r>
            <w:proofErr w:type="spellEnd"/>
          </w:p>
        </w:tc>
        <w:tc>
          <w:tcPr>
            <w:tcW w:w="1260" w:type="dxa"/>
          </w:tcPr>
          <w:p w:rsidR="00A6388B" w:rsidRPr="00AA7881" w:rsidRDefault="00A6388B" w:rsidP="00E17B91">
            <w:pPr>
              <w:keepNext/>
              <w:rPr>
                <w:sz w:val="20"/>
                <w:szCs w:val="20"/>
                <w:lang w:val="en-AU"/>
              </w:rPr>
            </w:pPr>
            <w:r w:rsidRPr="00041146">
              <w:rPr>
                <w:sz w:val="20"/>
                <w:szCs w:val="20"/>
              </w:rPr>
              <w:t>3495Y</w:t>
            </w:r>
          </w:p>
        </w:tc>
        <w:tc>
          <w:tcPr>
            <w:tcW w:w="1008" w:type="dxa"/>
          </w:tcPr>
          <w:p w:rsidR="00A6388B" w:rsidRPr="00AA7881" w:rsidRDefault="00A6388B" w:rsidP="00E17B91">
            <w:pPr>
              <w:keepNext/>
              <w:rPr>
                <w:sz w:val="20"/>
                <w:szCs w:val="20"/>
                <w:lang w:val="en-AU"/>
              </w:rPr>
            </w:pPr>
            <w:r w:rsidRPr="00041146">
              <w:rPr>
                <w:sz w:val="20"/>
                <w:szCs w:val="20"/>
              </w:rPr>
              <w:t>DB</w:t>
            </w:r>
          </w:p>
        </w:tc>
        <w:tc>
          <w:tcPr>
            <w:tcW w:w="1418" w:type="dxa"/>
          </w:tcPr>
          <w:p w:rsidR="00A6388B" w:rsidRPr="00AA7881" w:rsidRDefault="00A6388B" w:rsidP="00AA7881">
            <w:pPr>
              <w:keepNext/>
              <w:jc w:val="right"/>
              <w:rPr>
                <w:sz w:val="20"/>
                <w:szCs w:val="20"/>
                <w:lang w:val="en-AU"/>
              </w:rPr>
            </w:pPr>
            <w:r w:rsidRPr="00041146">
              <w:rPr>
                <w:sz w:val="20"/>
                <w:szCs w:val="20"/>
              </w:rPr>
              <w:t>$3.90</w:t>
            </w:r>
          </w:p>
        </w:tc>
        <w:tc>
          <w:tcPr>
            <w:tcW w:w="1559" w:type="dxa"/>
          </w:tcPr>
          <w:p w:rsidR="00A6388B" w:rsidRPr="00AA7881" w:rsidRDefault="00A6388B" w:rsidP="00AA7881">
            <w:pPr>
              <w:keepNext/>
              <w:jc w:val="right"/>
              <w:rPr>
                <w:sz w:val="20"/>
                <w:szCs w:val="20"/>
                <w:lang w:val="en-AU"/>
              </w:rPr>
            </w:pPr>
            <w:r w:rsidRPr="00041146">
              <w:rPr>
                <w:sz w:val="20"/>
                <w:szCs w:val="20"/>
              </w:rPr>
              <w:t>$4.19</w:t>
            </w:r>
          </w:p>
        </w:tc>
        <w:tc>
          <w:tcPr>
            <w:tcW w:w="1701" w:type="dxa"/>
          </w:tcPr>
          <w:p w:rsidR="00A6388B" w:rsidRPr="00AA7881" w:rsidRDefault="00A6388B" w:rsidP="00AA7881">
            <w:pPr>
              <w:keepNext/>
              <w:jc w:val="right"/>
              <w:rPr>
                <w:sz w:val="20"/>
                <w:szCs w:val="20"/>
                <w:lang w:val="en-AU"/>
              </w:rPr>
            </w:pPr>
            <w:r w:rsidRPr="00041146">
              <w:rPr>
                <w:sz w:val="20"/>
                <w:szCs w:val="20"/>
              </w:rPr>
              <w:t>$15.67</w:t>
            </w:r>
          </w:p>
        </w:tc>
      </w:tr>
      <w:tr w:rsidR="00A6388B" w:rsidRPr="00041146" w:rsidTr="00A6388B">
        <w:tc>
          <w:tcPr>
            <w:tcW w:w="1838" w:type="dxa"/>
          </w:tcPr>
          <w:p w:rsidR="00A6388B" w:rsidRPr="00AA7881" w:rsidRDefault="00A6388B" w:rsidP="00E17B91">
            <w:pPr>
              <w:keepNext/>
              <w:rPr>
                <w:sz w:val="20"/>
                <w:szCs w:val="20"/>
                <w:lang w:val="en-AU"/>
              </w:rPr>
            </w:pPr>
            <w:proofErr w:type="spellStart"/>
            <w:r w:rsidRPr="00041146">
              <w:rPr>
                <w:sz w:val="20"/>
                <w:szCs w:val="20"/>
              </w:rPr>
              <w:t>Asmol</w:t>
            </w:r>
            <w:proofErr w:type="spellEnd"/>
          </w:p>
        </w:tc>
        <w:tc>
          <w:tcPr>
            <w:tcW w:w="1260" w:type="dxa"/>
          </w:tcPr>
          <w:p w:rsidR="00A6388B" w:rsidRPr="00AA7881" w:rsidRDefault="00A6388B" w:rsidP="00E17B91">
            <w:pPr>
              <w:keepNext/>
              <w:rPr>
                <w:sz w:val="20"/>
                <w:szCs w:val="20"/>
                <w:lang w:val="en-AU"/>
              </w:rPr>
            </w:pPr>
            <w:r w:rsidRPr="00041146">
              <w:rPr>
                <w:sz w:val="20"/>
                <w:szCs w:val="20"/>
              </w:rPr>
              <w:t>8288F</w:t>
            </w:r>
          </w:p>
        </w:tc>
        <w:tc>
          <w:tcPr>
            <w:tcW w:w="1008" w:type="dxa"/>
          </w:tcPr>
          <w:p w:rsidR="00A6388B" w:rsidRPr="00AA7881" w:rsidRDefault="00A6388B" w:rsidP="00E17B91">
            <w:pPr>
              <w:keepNext/>
              <w:rPr>
                <w:sz w:val="20"/>
                <w:szCs w:val="20"/>
                <w:lang w:val="en-AU"/>
              </w:rPr>
            </w:pPr>
            <w:r w:rsidRPr="00041146">
              <w:rPr>
                <w:sz w:val="20"/>
                <w:szCs w:val="20"/>
              </w:rPr>
              <w:t>GE</w:t>
            </w:r>
          </w:p>
        </w:tc>
        <w:tc>
          <w:tcPr>
            <w:tcW w:w="1418" w:type="dxa"/>
          </w:tcPr>
          <w:p w:rsidR="00A6388B" w:rsidRPr="00AA7881" w:rsidRDefault="00A6388B" w:rsidP="00AA7881">
            <w:pPr>
              <w:keepNext/>
              <w:jc w:val="right"/>
              <w:rPr>
                <w:sz w:val="20"/>
                <w:szCs w:val="20"/>
                <w:lang w:val="en-AU"/>
              </w:rPr>
            </w:pPr>
            <w:r w:rsidRPr="00041146">
              <w:rPr>
                <w:sz w:val="20"/>
                <w:szCs w:val="20"/>
              </w:rPr>
              <w:t>$3.90</w:t>
            </w:r>
          </w:p>
        </w:tc>
        <w:tc>
          <w:tcPr>
            <w:tcW w:w="1559" w:type="dxa"/>
          </w:tcPr>
          <w:p w:rsidR="00A6388B" w:rsidRPr="00AA7881" w:rsidRDefault="00A6388B" w:rsidP="00AA7881">
            <w:pPr>
              <w:keepNext/>
              <w:jc w:val="right"/>
              <w:rPr>
                <w:sz w:val="20"/>
                <w:szCs w:val="20"/>
                <w:lang w:val="en-AU"/>
              </w:rPr>
            </w:pPr>
            <w:r w:rsidRPr="00041146">
              <w:rPr>
                <w:sz w:val="20"/>
                <w:szCs w:val="20"/>
              </w:rPr>
              <w:t>$4.19</w:t>
            </w:r>
          </w:p>
        </w:tc>
        <w:tc>
          <w:tcPr>
            <w:tcW w:w="1701" w:type="dxa"/>
          </w:tcPr>
          <w:p w:rsidR="00A6388B" w:rsidRPr="00AA7881" w:rsidRDefault="00A6388B" w:rsidP="00AA7881">
            <w:pPr>
              <w:keepNext/>
              <w:jc w:val="right"/>
              <w:rPr>
                <w:sz w:val="20"/>
                <w:szCs w:val="20"/>
                <w:lang w:val="en-AU"/>
              </w:rPr>
            </w:pPr>
            <w:r w:rsidRPr="00041146">
              <w:rPr>
                <w:sz w:val="20"/>
                <w:szCs w:val="20"/>
              </w:rPr>
              <w:t>$19.87</w:t>
            </w:r>
          </w:p>
        </w:tc>
      </w:tr>
      <w:tr w:rsidR="00A6388B" w:rsidRPr="00041146" w:rsidTr="00A6388B">
        <w:tc>
          <w:tcPr>
            <w:tcW w:w="1838" w:type="dxa"/>
          </w:tcPr>
          <w:p w:rsidR="00A6388B" w:rsidRPr="00AA7881" w:rsidRDefault="00A6388B" w:rsidP="00E17B91">
            <w:pPr>
              <w:keepNext/>
              <w:rPr>
                <w:sz w:val="20"/>
                <w:szCs w:val="20"/>
                <w:lang w:val="en-AU"/>
              </w:rPr>
            </w:pPr>
            <w:proofErr w:type="spellStart"/>
            <w:r w:rsidRPr="00041146">
              <w:rPr>
                <w:sz w:val="20"/>
                <w:szCs w:val="20"/>
              </w:rPr>
              <w:t>Airomir</w:t>
            </w:r>
            <w:proofErr w:type="spellEnd"/>
            <w:r w:rsidRPr="00041146">
              <w:rPr>
                <w:sz w:val="20"/>
                <w:szCs w:val="20"/>
              </w:rPr>
              <w:t xml:space="preserve"> </w:t>
            </w:r>
            <w:proofErr w:type="spellStart"/>
            <w:r w:rsidRPr="00041146">
              <w:rPr>
                <w:sz w:val="20"/>
                <w:szCs w:val="20"/>
              </w:rPr>
              <w:t>autohaler</w:t>
            </w:r>
            <w:proofErr w:type="spellEnd"/>
          </w:p>
        </w:tc>
        <w:tc>
          <w:tcPr>
            <w:tcW w:w="1260" w:type="dxa"/>
          </w:tcPr>
          <w:p w:rsidR="00A6388B" w:rsidRPr="00AA7881" w:rsidRDefault="00A6388B" w:rsidP="00E17B91">
            <w:pPr>
              <w:keepNext/>
              <w:rPr>
                <w:sz w:val="20"/>
                <w:szCs w:val="20"/>
                <w:lang w:val="en-AU"/>
              </w:rPr>
            </w:pPr>
            <w:r w:rsidRPr="00041146">
              <w:rPr>
                <w:sz w:val="20"/>
                <w:szCs w:val="20"/>
              </w:rPr>
              <w:t>8354Q</w:t>
            </w:r>
          </w:p>
        </w:tc>
        <w:tc>
          <w:tcPr>
            <w:tcW w:w="1008" w:type="dxa"/>
          </w:tcPr>
          <w:p w:rsidR="00A6388B" w:rsidRPr="00AA7881" w:rsidRDefault="00A6388B" w:rsidP="00E17B91">
            <w:pPr>
              <w:keepNext/>
              <w:rPr>
                <w:sz w:val="20"/>
                <w:szCs w:val="20"/>
                <w:lang w:val="en-AU"/>
              </w:rPr>
            </w:pPr>
            <w:r w:rsidRPr="00041146">
              <w:rPr>
                <w:sz w:val="20"/>
                <w:szCs w:val="20"/>
              </w:rPr>
              <w:t>GE</w:t>
            </w:r>
          </w:p>
        </w:tc>
        <w:tc>
          <w:tcPr>
            <w:tcW w:w="1418" w:type="dxa"/>
          </w:tcPr>
          <w:p w:rsidR="00A6388B" w:rsidRPr="00AA7881" w:rsidRDefault="00A6388B" w:rsidP="00AA7881">
            <w:pPr>
              <w:keepNext/>
              <w:jc w:val="right"/>
              <w:rPr>
                <w:sz w:val="20"/>
                <w:szCs w:val="20"/>
                <w:lang w:val="en-AU"/>
              </w:rPr>
            </w:pPr>
            <w:r w:rsidRPr="00041146">
              <w:rPr>
                <w:sz w:val="20"/>
                <w:szCs w:val="20"/>
              </w:rPr>
              <w:t>$13.01</w:t>
            </w:r>
          </w:p>
        </w:tc>
        <w:tc>
          <w:tcPr>
            <w:tcW w:w="1559" w:type="dxa"/>
          </w:tcPr>
          <w:p w:rsidR="00A6388B" w:rsidRPr="00AA7881" w:rsidRDefault="00A6388B" w:rsidP="00AA7881">
            <w:pPr>
              <w:keepNext/>
              <w:jc w:val="right"/>
              <w:rPr>
                <w:sz w:val="20"/>
                <w:szCs w:val="20"/>
                <w:lang w:val="en-AU"/>
              </w:rPr>
            </w:pPr>
            <w:r w:rsidRPr="00041146">
              <w:rPr>
                <w:sz w:val="20"/>
                <w:szCs w:val="20"/>
              </w:rPr>
              <w:t>$13.99</w:t>
            </w:r>
          </w:p>
        </w:tc>
        <w:tc>
          <w:tcPr>
            <w:tcW w:w="1701" w:type="dxa"/>
          </w:tcPr>
          <w:p w:rsidR="00A6388B" w:rsidRPr="00AA7881" w:rsidRDefault="00A6388B" w:rsidP="00AA7881">
            <w:pPr>
              <w:keepNext/>
              <w:jc w:val="right"/>
              <w:rPr>
                <w:sz w:val="20"/>
                <w:szCs w:val="20"/>
                <w:lang w:val="en-AU"/>
              </w:rPr>
            </w:pPr>
            <w:r w:rsidRPr="00041146">
              <w:rPr>
                <w:sz w:val="20"/>
                <w:szCs w:val="20"/>
              </w:rPr>
              <w:t>$39.47</w:t>
            </w:r>
          </w:p>
        </w:tc>
      </w:tr>
      <w:tr w:rsidR="00A6388B" w:rsidRPr="00041146" w:rsidTr="00A6388B">
        <w:tc>
          <w:tcPr>
            <w:tcW w:w="1838" w:type="dxa"/>
          </w:tcPr>
          <w:p w:rsidR="00A6388B" w:rsidRPr="00AA7881" w:rsidRDefault="00A6388B" w:rsidP="00E17B91">
            <w:pPr>
              <w:keepNext/>
              <w:rPr>
                <w:b/>
                <w:sz w:val="20"/>
                <w:szCs w:val="20"/>
                <w:lang w:val="en-AU"/>
              </w:rPr>
            </w:pPr>
            <w:r w:rsidRPr="00041146">
              <w:rPr>
                <w:b/>
                <w:sz w:val="20"/>
                <w:szCs w:val="20"/>
              </w:rPr>
              <w:t>Ventolin DC</w:t>
            </w:r>
          </w:p>
        </w:tc>
        <w:tc>
          <w:tcPr>
            <w:tcW w:w="1260" w:type="dxa"/>
          </w:tcPr>
          <w:p w:rsidR="00A6388B" w:rsidRPr="00AA7881" w:rsidRDefault="00A6388B" w:rsidP="00E17B91">
            <w:pPr>
              <w:keepNext/>
              <w:rPr>
                <w:b/>
                <w:sz w:val="20"/>
                <w:szCs w:val="20"/>
                <w:lang w:val="en-AU"/>
              </w:rPr>
            </w:pPr>
            <w:r w:rsidRPr="00041146">
              <w:rPr>
                <w:b/>
                <w:sz w:val="20"/>
                <w:szCs w:val="20"/>
              </w:rPr>
              <w:t>new</w:t>
            </w:r>
          </w:p>
        </w:tc>
        <w:tc>
          <w:tcPr>
            <w:tcW w:w="1008" w:type="dxa"/>
          </w:tcPr>
          <w:p w:rsidR="00A6388B" w:rsidRPr="00AA7881" w:rsidRDefault="00A6388B" w:rsidP="00E17B91">
            <w:pPr>
              <w:keepNext/>
              <w:rPr>
                <w:b/>
                <w:sz w:val="20"/>
                <w:szCs w:val="20"/>
                <w:lang w:val="en-AU"/>
              </w:rPr>
            </w:pPr>
            <w:r w:rsidRPr="00041146">
              <w:rPr>
                <w:b/>
                <w:sz w:val="20"/>
                <w:szCs w:val="20"/>
              </w:rPr>
              <w:t>DB</w:t>
            </w:r>
          </w:p>
        </w:tc>
        <w:tc>
          <w:tcPr>
            <w:tcW w:w="1418" w:type="dxa"/>
          </w:tcPr>
          <w:p w:rsidR="00A6388B" w:rsidRPr="00AA7881" w:rsidRDefault="00A6388B" w:rsidP="00AA7881">
            <w:pPr>
              <w:keepNext/>
              <w:jc w:val="right"/>
              <w:rPr>
                <w:b/>
                <w:sz w:val="20"/>
                <w:szCs w:val="20"/>
                <w:lang w:val="en-AU"/>
              </w:rPr>
            </w:pPr>
            <w:r w:rsidRPr="0088138D">
              <w:rPr>
                <w:b/>
                <w:sz w:val="20"/>
                <w:szCs w:val="20"/>
              </w:rPr>
              <w:t>$</w:t>
            </w:r>
            <w:r w:rsidR="0088138D">
              <w:rPr>
                <w:b/>
                <w:noProof/>
                <w:color w:val="000000"/>
                <w:sz w:val="20"/>
                <w:szCs w:val="20"/>
                <w:highlight w:val="black"/>
              </w:rPr>
              <w:t>'''''''''</w:t>
            </w:r>
          </w:p>
        </w:tc>
        <w:tc>
          <w:tcPr>
            <w:tcW w:w="1559" w:type="dxa"/>
          </w:tcPr>
          <w:p w:rsidR="00A6388B" w:rsidRPr="00AA7881" w:rsidRDefault="00A6388B" w:rsidP="00AA7881">
            <w:pPr>
              <w:keepNext/>
              <w:jc w:val="right"/>
              <w:rPr>
                <w:b/>
                <w:sz w:val="20"/>
                <w:szCs w:val="20"/>
                <w:lang w:val="en-AU"/>
              </w:rPr>
            </w:pPr>
            <w:r w:rsidRPr="0085010A">
              <w:rPr>
                <w:b/>
                <w:sz w:val="20"/>
                <w:szCs w:val="20"/>
              </w:rPr>
              <w:t>$</w:t>
            </w:r>
            <w:r w:rsidR="0088138D">
              <w:rPr>
                <w:b/>
                <w:noProof/>
                <w:color w:val="000000"/>
                <w:sz w:val="20"/>
                <w:szCs w:val="20"/>
                <w:highlight w:val="black"/>
              </w:rPr>
              <w:t>'''''''''</w:t>
            </w:r>
          </w:p>
        </w:tc>
        <w:tc>
          <w:tcPr>
            <w:tcW w:w="1701" w:type="dxa"/>
          </w:tcPr>
          <w:p w:rsidR="00A6388B" w:rsidRPr="00AA7881" w:rsidRDefault="00A6388B" w:rsidP="00AA7881">
            <w:pPr>
              <w:keepNext/>
              <w:jc w:val="right"/>
              <w:rPr>
                <w:b/>
                <w:sz w:val="20"/>
                <w:szCs w:val="20"/>
                <w:lang w:val="en-AU"/>
              </w:rPr>
            </w:pPr>
            <w:r w:rsidRPr="0085010A">
              <w:rPr>
                <w:b/>
                <w:sz w:val="20"/>
                <w:szCs w:val="20"/>
              </w:rPr>
              <w:t>$</w:t>
            </w:r>
            <w:r w:rsidR="0088138D">
              <w:rPr>
                <w:b/>
                <w:noProof/>
                <w:color w:val="000000"/>
                <w:sz w:val="20"/>
                <w:szCs w:val="20"/>
                <w:highlight w:val="black"/>
              </w:rPr>
              <w:t>''''''''''</w:t>
            </w:r>
          </w:p>
        </w:tc>
      </w:tr>
      <w:tr w:rsidR="00A6388B" w:rsidRPr="00041146" w:rsidTr="00A6388B">
        <w:tc>
          <w:tcPr>
            <w:tcW w:w="1838" w:type="dxa"/>
          </w:tcPr>
          <w:p w:rsidR="00A6388B" w:rsidRPr="00AA7881" w:rsidRDefault="00A6388B" w:rsidP="00E17B91">
            <w:pPr>
              <w:keepNext/>
              <w:rPr>
                <w:b/>
                <w:sz w:val="20"/>
                <w:szCs w:val="20"/>
                <w:lang w:val="en-AU"/>
              </w:rPr>
            </w:pPr>
            <w:r w:rsidRPr="00041146">
              <w:rPr>
                <w:b/>
                <w:sz w:val="20"/>
                <w:szCs w:val="20"/>
              </w:rPr>
              <w:t>Ventolin DC</w:t>
            </w:r>
          </w:p>
        </w:tc>
        <w:tc>
          <w:tcPr>
            <w:tcW w:w="1260" w:type="dxa"/>
          </w:tcPr>
          <w:p w:rsidR="00A6388B" w:rsidRPr="00AA7881" w:rsidRDefault="00A6388B" w:rsidP="00E17B91">
            <w:pPr>
              <w:keepNext/>
              <w:rPr>
                <w:b/>
                <w:sz w:val="20"/>
                <w:szCs w:val="20"/>
                <w:lang w:val="en-AU"/>
              </w:rPr>
            </w:pPr>
            <w:r w:rsidRPr="00041146">
              <w:rPr>
                <w:b/>
                <w:sz w:val="20"/>
                <w:szCs w:val="20"/>
              </w:rPr>
              <w:t>new</w:t>
            </w:r>
          </w:p>
        </w:tc>
        <w:tc>
          <w:tcPr>
            <w:tcW w:w="1008" w:type="dxa"/>
          </w:tcPr>
          <w:p w:rsidR="00A6388B" w:rsidRPr="00AA7881" w:rsidRDefault="00A6388B" w:rsidP="00E17B91">
            <w:pPr>
              <w:keepNext/>
              <w:rPr>
                <w:b/>
                <w:sz w:val="20"/>
                <w:szCs w:val="20"/>
                <w:lang w:val="en-AU"/>
              </w:rPr>
            </w:pPr>
            <w:r w:rsidRPr="00041146">
              <w:rPr>
                <w:b/>
                <w:sz w:val="20"/>
                <w:szCs w:val="20"/>
              </w:rPr>
              <w:t>GE</w:t>
            </w:r>
          </w:p>
        </w:tc>
        <w:tc>
          <w:tcPr>
            <w:tcW w:w="1418" w:type="dxa"/>
          </w:tcPr>
          <w:p w:rsidR="00A6388B" w:rsidRPr="00AA7881" w:rsidRDefault="00A6388B" w:rsidP="00AA7881">
            <w:pPr>
              <w:keepNext/>
              <w:jc w:val="right"/>
              <w:rPr>
                <w:b/>
                <w:sz w:val="20"/>
                <w:szCs w:val="20"/>
                <w:lang w:val="en-AU"/>
              </w:rPr>
            </w:pPr>
            <w:r w:rsidRPr="0085010A">
              <w:rPr>
                <w:b/>
                <w:sz w:val="20"/>
                <w:szCs w:val="20"/>
              </w:rPr>
              <w:t>$</w:t>
            </w:r>
            <w:r w:rsidR="0088138D">
              <w:rPr>
                <w:b/>
                <w:noProof/>
                <w:color w:val="000000"/>
                <w:sz w:val="20"/>
                <w:szCs w:val="20"/>
                <w:highlight w:val="black"/>
              </w:rPr>
              <w:t>''''''''</w:t>
            </w:r>
          </w:p>
        </w:tc>
        <w:tc>
          <w:tcPr>
            <w:tcW w:w="1559" w:type="dxa"/>
          </w:tcPr>
          <w:p w:rsidR="00A6388B" w:rsidRPr="00AA7881" w:rsidRDefault="00A6388B" w:rsidP="00AA7881">
            <w:pPr>
              <w:keepNext/>
              <w:jc w:val="right"/>
              <w:rPr>
                <w:b/>
                <w:sz w:val="20"/>
                <w:szCs w:val="20"/>
                <w:lang w:val="en-AU"/>
              </w:rPr>
            </w:pPr>
            <w:r w:rsidRPr="0085010A">
              <w:rPr>
                <w:b/>
                <w:sz w:val="20"/>
                <w:szCs w:val="20"/>
              </w:rPr>
              <w:t>$</w:t>
            </w:r>
            <w:r w:rsidR="0088138D">
              <w:rPr>
                <w:b/>
                <w:noProof/>
                <w:color w:val="000000"/>
                <w:sz w:val="20"/>
                <w:szCs w:val="20"/>
                <w:highlight w:val="black"/>
              </w:rPr>
              <w:t>'''''''''</w:t>
            </w:r>
          </w:p>
        </w:tc>
        <w:tc>
          <w:tcPr>
            <w:tcW w:w="1701" w:type="dxa"/>
          </w:tcPr>
          <w:p w:rsidR="00A6388B" w:rsidRPr="00AA7881" w:rsidRDefault="00A6388B" w:rsidP="00AA7881">
            <w:pPr>
              <w:keepNext/>
              <w:jc w:val="right"/>
              <w:rPr>
                <w:b/>
                <w:sz w:val="20"/>
                <w:szCs w:val="20"/>
                <w:lang w:val="en-AU"/>
              </w:rPr>
            </w:pPr>
            <w:r w:rsidRPr="0085010A">
              <w:rPr>
                <w:b/>
                <w:sz w:val="20"/>
                <w:szCs w:val="20"/>
              </w:rPr>
              <w:t>$</w:t>
            </w:r>
            <w:r w:rsidR="0088138D">
              <w:rPr>
                <w:b/>
                <w:noProof/>
                <w:color w:val="000000"/>
                <w:sz w:val="20"/>
                <w:szCs w:val="20"/>
                <w:highlight w:val="black"/>
              </w:rPr>
              <w:t>''''''''''</w:t>
            </w:r>
          </w:p>
        </w:tc>
      </w:tr>
    </w:tbl>
    <w:p w:rsidR="009C30DE" w:rsidRPr="009C30DE" w:rsidRDefault="009C30DE" w:rsidP="00E17B91">
      <w:pPr>
        <w:pStyle w:val="TableFooter"/>
        <w:keepLines/>
        <w:widowControl/>
      </w:pPr>
      <w:r w:rsidRPr="009C30DE">
        <w:t>DB = Prescriber Bag, GE = Generally Available Pharmaceutical Benefits</w:t>
      </w:r>
    </w:p>
    <w:p w:rsidR="00A6388B" w:rsidRPr="00041146" w:rsidRDefault="00A6388B" w:rsidP="00E17B91">
      <w:pPr>
        <w:pStyle w:val="TableFooter"/>
        <w:keepLines/>
        <w:widowControl/>
      </w:pPr>
      <w:r w:rsidRPr="00041146">
        <w:rPr>
          <w:sz w:val="20"/>
          <w:szCs w:val="20"/>
        </w:rPr>
        <w:t>*</w:t>
      </w:r>
      <w:r w:rsidRPr="00041146">
        <w:t xml:space="preserve">claimed AEMP and claimed DPMQ differ for Ventolin (General Schedule) due to existence of brand price premium (BPP) of $1.83 per unit. </w:t>
      </w:r>
    </w:p>
    <w:p w:rsidR="00A6388B" w:rsidRPr="00041146" w:rsidRDefault="00A6388B" w:rsidP="00E17B91">
      <w:pPr>
        <w:pStyle w:val="TableFooter"/>
        <w:keepLines/>
        <w:widowControl/>
        <w:spacing w:after="120"/>
      </w:pPr>
      <w:r w:rsidRPr="00041146">
        <w:t>Therefore, claimed DPMQ for Ventolin GE is $23.53</w:t>
      </w:r>
    </w:p>
    <w:p w:rsidR="00C35C74" w:rsidRPr="00041146" w:rsidRDefault="00530396" w:rsidP="00E17B91">
      <w:pPr>
        <w:pStyle w:val="Bodytextitalics"/>
        <w:jc w:val="both"/>
        <w:rPr>
          <w:i w:val="0"/>
        </w:rPr>
      </w:pPr>
      <w:r w:rsidRPr="00041146">
        <w:rPr>
          <w:i w:val="0"/>
        </w:rPr>
        <w:t>Section 85C of the National Health Act 1953 provides that the AEMP of each listed brand of a pharmaceutical item containing a drug must be the same; “If there are 2 or more listed brands of a pharmaceutical item, then the Minister must ensure, when agreeing an amount under subsection 85AD (1) or determining an amount under subsection 85B (2), that the approved ex-manufacturer price of each listed brand of the pharmaceutical item is the same.”</w:t>
      </w:r>
      <w:r w:rsidR="008F4F0E" w:rsidRPr="00041146">
        <w:rPr>
          <w:i w:val="0"/>
        </w:rPr>
        <w:t xml:space="preserve"> The submission requested a</w:t>
      </w:r>
      <w:r w:rsidR="00990058" w:rsidRPr="00041146">
        <w:rPr>
          <w:i w:val="0"/>
        </w:rPr>
        <w:t xml:space="preserve"> separate pharmaceutical item acknowledging the dose coun</w:t>
      </w:r>
      <w:r w:rsidR="000F5839" w:rsidRPr="00041146">
        <w:rPr>
          <w:i w:val="0"/>
        </w:rPr>
        <w:t>ter component of Ventolin DC</w:t>
      </w:r>
      <w:r w:rsidR="00990058" w:rsidRPr="00041146">
        <w:rPr>
          <w:i w:val="0"/>
        </w:rPr>
        <w:t xml:space="preserve">. </w:t>
      </w:r>
    </w:p>
    <w:p w:rsidR="005E1437" w:rsidRPr="00041146" w:rsidRDefault="003E5922" w:rsidP="00E17B91">
      <w:pPr>
        <w:pStyle w:val="Bodytextitalics"/>
        <w:jc w:val="both"/>
        <w:rPr>
          <w:i w:val="0"/>
        </w:rPr>
      </w:pPr>
      <w:r w:rsidRPr="00041146">
        <w:rPr>
          <w:i w:val="0"/>
        </w:rPr>
        <w:t>The PB</w:t>
      </w:r>
      <w:r w:rsidR="005E1437" w:rsidRPr="00041146">
        <w:rPr>
          <w:i w:val="0"/>
        </w:rPr>
        <w:t>AC could only recommend listing salbutamol MDI with a dose counter</w:t>
      </w:r>
      <w:r w:rsidRPr="00041146">
        <w:rPr>
          <w:i w:val="0"/>
        </w:rPr>
        <w:t xml:space="preserve"> at a higher price than the alternative therapy or therapies if it is satisfied that it provides, for some patients, a significant improvement in efficacy or reduction of toxicity over the alternative therapy or therapies</w:t>
      </w:r>
      <w:r w:rsidR="00D973C0" w:rsidRPr="00041146">
        <w:rPr>
          <w:i w:val="0"/>
        </w:rPr>
        <w:t xml:space="preserve"> </w:t>
      </w:r>
      <w:r w:rsidR="00D973C0" w:rsidRPr="00AA7881">
        <w:rPr>
          <w:i w:val="0"/>
        </w:rPr>
        <w:t>(National Health Act 1953, Section 101(3B))</w:t>
      </w:r>
      <w:r w:rsidR="00D973C0" w:rsidRPr="00041146">
        <w:rPr>
          <w:i w:val="0"/>
        </w:rPr>
        <w:t>.</w:t>
      </w:r>
      <w:r w:rsidRPr="00041146">
        <w:rPr>
          <w:i w:val="0"/>
        </w:rPr>
        <w:t xml:space="preserve"> The alternative therapies in this</w:t>
      </w:r>
      <w:r w:rsidR="005E1437" w:rsidRPr="00041146">
        <w:rPr>
          <w:i w:val="0"/>
        </w:rPr>
        <w:t xml:space="preserve"> case should include salbutamol MDI without a dose counter</w:t>
      </w:r>
      <w:r w:rsidRPr="00041146">
        <w:rPr>
          <w:i w:val="0"/>
        </w:rPr>
        <w:t xml:space="preserve">. </w:t>
      </w:r>
    </w:p>
    <w:p w:rsidR="00011E9B" w:rsidRPr="00041146" w:rsidRDefault="00730FBB" w:rsidP="00E17B91">
      <w:pPr>
        <w:pStyle w:val="Bodytextitalics"/>
        <w:jc w:val="both"/>
        <w:rPr>
          <w:i w:val="0"/>
        </w:rPr>
      </w:pPr>
      <w:r w:rsidRPr="00857A63">
        <w:rPr>
          <w:i w:val="0"/>
        </w:rPr>
        <w:t>The pre-PBAC response (p2) acknowledged that the submission had not presented an economic evaluation to support the requested higher AEMP. The pre-PBAC response (p2) provided a cost-effectiveness analysis based on utilisation data derived from one of the retrospective claim-based studies identified in the submission (</w:t>
      </w:r>
      <w:proofErr w:type="spellStart"/>
      <w:r w:rsidRPr="00857A63">
        <w:rPr>
          <w:i w:val="0"/>
        </w:rPr>
        <w:t>Kerwin</w:t>
      </w:r>
      <w:proofErr w:type="spellEnd"/>
      <w:r w:rsidRPr="00041146">
        <w:rPr>
          <w:i w:val="0"/>
        </w:rPr>
        <w:t xml:space="preserve"> 2017) to ascertain cost per ED visit avoided.</w:t>
      </w:r>
      <w:r w:rsidR="00011E9B" w:rsidRPr="00041146">
        <w:rPr>
          <w:i w:val="0"/>
        </w:rPr>
        <w:t xml:space="preserve"> The pre-PBAC </w:t>
      </w:r>
      <w:proofErr w:type="gramStart"/>
      <w:r w:rsidR="00011E9B" w:rsidRPr="00041146">
        <w:rPr>
          <w:i w:val="0"/>
        </w:rPr>
        <w:t>response  stated</w:t>
      </w:r>
      <w:proofErr w:type="gramEnd"/>
      <w:r w:rsidR="00011E9B" w:rsidRPr="00041146">
        <w:rPr>
          <w:i w:val="0"/>
        </w:rPr>
        <w:t xml:space="preserve"> that based on the results of the cost-effectiveness analysis, Ventolin DC is associated with an </w:t>
      </w:r>
      <w:r w:rsidR="00011E9B" w:rsidRPr="00041146">
        <w:rPr>
          <w:i w:val="0"/>
        </w:rPr>
        <w:lastRenderedPageBreak/>
        <w:t>incremental cost of $</w:t>
      </w:r>
      <w:r w:rsidR="0088138D">
        <w:rPr>
          <w:i w:val="0"/>
          <w:noProof/>
          <w:color w:val="000000"/>
          <w:highlight w:val="black"/>
        </w:rPr>
        <w:t>''''''''</w:t>
      </w:r>
      <w:r w:rsidR="00011E9B" w:rsidRPr="00041146">
        <w:rPr>
          <w:i w:val="0"/>
        </w:rPr>
        <w:t xml:space="preserve"> per ED visit avoided.</w:t>
      </w:r>
      <w:r w:rsidR="005D5C2E" w:rsidRPr="00041146">
        <w:rPr>
          <w:i w:val="0"/>
        </w:rPr>
        <w:t xml:space="preserve"> The PBAC noted that</w:t>
      </w:r>
      <w:r w:rsidR="006B19F7" w:rsidRPr="00041146">
        <w:rPr>
          <w:i w:val="0"/>
        </w:rPr>
        <w:t xml:space="preserve"> this </w:t>
      </w:r>
      <w:r w:rsidR="005D5C2E" w:rsidRPr="00041146">
        <w:rPr>
          <w:i w:val="0"/>
        </w:rPr>
        <w:t>analysis was not evaluated. The PBAC also noted that differences in baseline inhaled corticosteroid (ICS) use (DC 20.5%, no DC 17.5%) and the proportion of patients using no asthma therapy at baseline (DC 59.8%, no DC 66.5%) may</w:t>
      </w:r>
      <w:r w:rsidR="006B19F7" w:rsidRPr="00041146">
        <w:rPr>
          <w:i w:val="0"/>
        </w:rPr>
        <w:t xml:space="preserve"> have</w:t>
      </w:r>
      <w:r w:rsidR="005D5C2E" w:rsidRPr="00041146">
        <w:rPr>
          <w:i w:val="0"/>
        </w:rPr>
        <w:t xml:space="preserve"> bias</w:t>
      </w:r>
      <w:r w:rsidR="006B19F7" w:rsidRPr="00041146">
        <w:rPr>
          <w:i w:val="0"/>
        </w:rPr>
        <w:t>ed</w:t>
      </w:r>
      <w:r w:rsidR="005D5C2E" w:rsidRPr="00041146">
        <w:rPr>
          <w:i w:val="0"/>
        </w:rPr>
        <w:t xml:space="preserve"> the results </w:t>
      </w:r>
      <w:r w:rsidR="006B19F7" w:rsidRPr="00041146">
        <w:rPr>
          <w:i w:val="0"/>
        </w:rPr>
        <w:t xml:space="preserve">in favour of </w:t>
      </w:r>
      <w:r w:rsidR="005D5C2E" w:rsidRPr="00041146">
        <w:rPr>
          <w:i w:val="0"/>
        </w:rPr>
        <w:t xml:space="preserve">Ventolin DC. </w:t>
      </w:r>
    </w:p>
    <w:p w:rsidR="007B72A6" w:rsidRPr="00041146" w:rsidRDefault="005A3173" w:rsidP="00E17B91">
      <w:pPr>
        <w:pStyle w:val="Heading2"/>
        <w:keepLines/>
        <w:spacing w:before="240" w:after="120"/>
        <w:rPr>
          <w:rFonts w:asciiTheme="minorHAnsi" w:eastAsiaTheme="majorEastAsia" w:hAnsiTheme="minorHAnsi" w:cstheme="majorBidi"/>
          <w:sz w:val="28"/>
          <w:szCs w:val="28"/>
          <w:lang w:eastAsia="en-US"/>
        </w:rPr>
      </w:pPr>
      <w:r w:rsidRPr="00041146">
        <w:rPr>
          <w:rFonts w:asciiTheme="minorHAnsi" w:eastAsiaTheme="majorEastAsia" w:hAnsiTheme="minorHAnsi" w:cstheme="majorBidi"/>
          <w:sz w:val="28"/>
          <w:szCs w:val="28"/>
          <w:lang w:eastAsia="en-US"/>
        </w:rPr>
        <w:t>Estimated PBS usage &amp; financial implications</w:t>
      </w:r>
    </w:p>
    <w:p w:rsidR="00502B3E" w:rsidRPr="00041146" w:rsidRDefault="00831281" w:rsidP="00E17B91">
      <w:pPr>
        <w:pStyle w:val="Bodytextitalics"/>
        <w:jc w:val="both"/>
        <w:rPr>
          <w:i w:val="0"/>
        </w:rPr>
      </w:pPr>
      <w:r w:rsidRPr="00041146">
        <w:rPr>
          <w:i w:val="0"/>
        </w:rPr>
        <w:t>The submission used a market share approach to generate utilisation and financial estimates for listing Ventolin DC</w:t>
      </w:r>
      <w:r w:rsidR="000F5839" w:rsidRPr="00041146">
        <w:rPr>
          <w:i w:val="0"/>
        </w:rPr>
        <w:t xml:space="preserve"> with the key inputs reported in Table 3</w:t>
      </w:r>
      <w:r w:rsidRPr="00041146">
        <w:rPr>
          <w:i w:val="0"/>
        </w:rPr>
        <w:t xml:space="preserve">. </w:t>
      </w:r>
    </w:p>
    <w:p w:rsidR="00FC2466" w:rsidRPr="008B2B7C" w:rsidRDefault="00FC2466" w:rsidP="00E17B91">
      <w:pPr>
        <w:pStyle w:val="Tabletitles"/>
        <w:keepNext/>
        <w:keepLines/>
        <w:rPr>
          <w:rStyle w:val="CommentReference"/>
          <w:sz w:val="20"/>
          <w:szCs w:val="20"/>
        </w:rPr>
      </w:pPr>
      <w:r w:rsidRPr="00041146">
        <w:rPr>
          <w:rStyle w:val="CommentReference"/>
          <w:sz w:val="20"/>
          <w:szCs w:val="20"/>
        </w:rPr>
        <w:t xml:space="preserve">Table </w:t>
      </w:r>
      <w:r w:rsidR="00831281" w:rsidRPr="00041146">
        <w:rPr>
          <w:rStyle w:val="CommentReference"/>
          <w:sz w:val="20"/>
          <w:szCs w:val="20"/>
        </w:rPr>
        <w:t>3</w:t>
      </w:r>
      <w:r w:rsidRPr="00041146">
        <w:rPr>
          <w:rStyle w:val="CommentReference"/>
          <w:sz w:val="20"/>
          <w:szCs w:val="20"/>
        </w:rPr>
        <w:t>: Key inputs for financial estimates</w:t>
      </w:r>
    </w:p>
    <w:tbl>
      <w:tblPr>
        <w:tblStyle w:val="TableGrid2"/>
        <w:tblW w:w="0" w:type="auto"/>
        <w:tblLook w:val="04A0" w:firstRow="1" w:lastRow="0" w:firstColumn="1" w:lastColumn="0" w:noHBand="0" w:noVBand="1"/>
        <w:tblCaption w:val="Table 3: Key inputs for financial estimates"/>
      </w:tblPr>
      <w:tblGrid>
        <w:gridCol w:w="1860"/>
        <w:gridCol w:w="1862"/>
        <w:gridCol w:w="1521"/>
        <w:gridCol w:w="3773"/>
      </w:tblGrid>
      <w:tr w:rsidR="00502B3E" w:rsidRPr="00041146" w:rsidTr="00171FE9">
        <w:trPr>
          <w:tblHeader/>
        </w:trPr>
        <w:tc>
          <w:tcPr>
            <w:tcW w:w="3794" w:type="dxa"/>
            <w:gridSpan w:val="2"/>
            <w:shd w:val="clear" w:color="auto" w:fill="D9D9D9"/>
          </w:tcPr>
          <w:p w:rsidR="00502B3E" w:rsidRPr="008B2B7C" w:rsidRDefault="00502B3E" w:rsidP="00E17B91">
            <w:pPr>
              <w:keepNext/>
              <w:keepLines/>
              <w:spacing w:before="20" w:after="20"/>
              <w:rPr>
                <w:b/>
                <w:sz w:val="20"/>
                <w:szCs w:val="20"/>
                <w:lang w:val="en-AU"/>
              </w:rPr>
            </w:pPr>
            <w:r w:rsidRPr="00041146">
              <w:rPr>
                <w:b/>
                <w:sz w:val="20"/>
                <w:szCs w:val="20"/>
              </w:rPr>
              <w:t>Model parameter</w:t>
            </w:r>
          </w:p>
        </w:tc>
        <w:tc>
          <w:tcPr>
            <w:tcW w:w="1559" w:type="dxa"/>
            <w:shd w:val="clear" w:color="auto" w:fill="D9D9D9"/>
          </w:tcPr>
          <w:p w:rsidR="00502B3E" w:rsidRPr="008B2B7C" w:rsidRDefault="00502B3E" w:rsidP="00E17B91">
            <w:pPr>
              <w:keepNext/>
              <w:keepLines/>
              <w:spacing w:before="20" w:after="20"/>
              <w:rPr>
                <w:b/>
                <w:sz w:val="20"/>
                <w:szCs w:val="20"/>
                <w:lang w:val="en-AU"/>
              </w:rPr>
            </w:pPr>
            <w:r w:rsidRPr="00041146">
              <w:rPr>
                <w:b/>
                <w:sz w:val="20"/>
                <w:szCs w:val="20"/>
              </w:rPr>
              <w:t>Value</w:t>
            </w:r>
          </w:p>
        </w:tc>
        <w:tc>
          <w:tcPr>
            <w:tcW w:w="3889" w:type="dxa"/>
            <w:shd w:val="clear" w:color="auto" w:fill="D9D9D9"/>
          </w:tcPr>
          <w:p w:rsidR="00502B3E" w:rsidRPr="008B2B7C" w:rsidRDefault="00502B3E" w:rsidP="00E17B91">
            <w:pPr>
              <w:keepNext/>
              <w:keepLines/>
              <w:spacing w:before="20" w:after="20"/>
              <w:rPr>
                <w:b/>
                <w:sz w:val="20"/>
                <w:szCs w:val="20"/>
                <w:lang w:val="en-AU"/>
              </w:rPr>
            </w:pPr>
            <w:r w:rsidRPr="00041146">
              <w:rPr>
                <w:b/>
                <w:sz w:val="20"/>
                <w:szCs w:val="20"/>
              </w:rPr>
              <w:t>Reference and/or justification</w:t>
            </w:r>
          </w:p>
        </w:tc>
      </w:tr>
      <w:tr w:rsidR="00502B3E" w:rsidRPr="00041146" w:rsidTr="00171FE9">
        <w:trPr>
          <w:tblHeader/>
        </w:trPr>
        <w:tc>
          <w:tcPr>
            <w:tcW w:w="1897" w:type="dxa"/>
            <w:vMerge w:val="restart"/>
            <w:vAlign w:val="center"/>
          </w:tcPr>
          <w:p w:rsidR="00502B3E" w:rsidRPr="008B2B7C" w:rsidRDefault="00502B3E" w:rsidP="00E17B91">
            <w:pPr>
              <w:keepNext/>
              <w:keepLines/>
              <w:spacing w:before="20" w:after="20"/>
              <w:rPr>
                <w:sz w:val="20"/>
                <w:szCs w:val="20"/>
                <w:lang w:val="en-AU"/>
              </w:rPr>
            </w:pPr>
            <w:r w:rsidRPr="00041146">
              <w:rPr>
                <w:sz w:val="20"/>
                <w:szCs w:val="20"/>
              </w:rPr>
              <w:t>Market shares for current Salbutamol MDI market</w:t>
            </w:r>
          </w:p>
        </w:tc>
        <w:tc>
          <w:tcPr>
            <w:tcW w:w="1897" w:type="dxa"/>
          </w:tcPr>
          <w:p w:rsidR="00502B3E" w:rsidRPr="008B2B7C" w:rsidRDefault="00502B3E" w:rsidP="00E17B91">
            <w:pPr>
              <w:keepNext/>
              <w:keepLines/>
              <w:spacing w:before="20" w:after="20"/>
              <w:rPr>
                <w:sz w:val="20"/>
                <w:szCs w:val="20"/>
                <w:lang w:val="en-AU"/>
              </w:rPr>
            </w:pPr>
            <w:r w:rsidRPr="00041146">
              <w:rPr>
                <w:sz w:val="20"/>
                <w:szCs w:val="20"/>
              </w:rPr>
              <w:t>VENTOLIN (salbutamol sulfate 100</w:t>
            </w:r>
            <w:r w:rsidR="000B76BB">
              <w:rPr>
                <w:sz w:val="20"/>
                <w:szCs w:val="20"/>
              </w:rPr>
              <w:t xml:space="preserve"> </w:t>
            </w:r>
            <w:r w:rsidRPr="00041146">
              <w:rPr>
                <w:sz w:val="20"/>
                <w:szCs w:val="20"/>
              </w:rPr>
              <w:t>mcg)</w:t>
            </w:r>
          </w:p>
        </w:tc>
        <w:tc>
          <w:tcPr>
            <w:tcW w:w="1559" w:type="dxa"/>
          </w:tcPr>
          <w:p w:rsidR="00502B3E" w:rsidRPr="008B2B7C" w:rsidRDefault="0088138D" w:rsidP="00E17B91">
            <w:pPr>
              <w:keepNext/>
              <w:keepLines/>
              <w:spacing w:before="20" w:after="20"/>
              <w:jc w:val="center"/>
              <w:rPr>
                <w:sz w:val="20"/>
                <w:szCs w:val="20"/>
                <w:lang w:val="en-AU"/>
              </w:rPr>
            </w:pPr>
            <w:r>
              <w:rPr>
                <w:noProof/>
                <w:color w:val="000000"/>
                <w:sz w:val="20"/>
                <w:szCs w:val="20"/>
                <w:highlight w:val="black"/>
              </w:rPr>
              <w:t>'''''''</w:t>
            </w:r>
            <w:r w:rsidR="00502B3E" w:rsidRPr="0085010A">
              <w:rPr>
                <w:sz w:val="20"/>
                <w:szCs w:val="20"/>
              </w:rPr>
              <w:t>%</w:t>
            </w:r>
          </w:p>
        </w:tc>
        <w:tc>
          <w:tcPr>
            <w:tcW w:w="3889" w:type="dxa"/>
            <w:vMerge w:val="restart"/>
          </w:tcPr>
          <w:p w:rsidR="00502B3E" w:rsidRPr="00370F0D" w:rsidRDefault="00502B3E" w:rsidP="00E17B91">
            <w:pPr>
              <w:keepNext/>
              <w:keepLines/>
              <w:spacing w:before="20" w:after="20"/>
              <w:rPr>
                <w:sz w:val="20"/>
                <w:szCs w:val="20"/>
                <w:highlight w:val="yellow"/>
                <w:lang w:val="en-AU"/>
              </w:rPr>
            </w:pPr>
            <w:r w:rsidRPr="0088138D">
              <w:rPr>
                <w:sz w:val="20"/>
                <w:szCs w:val="20"/>
              </w:rPr>
              <w:t>Market share based on GSK sales data reported for 2018 (GSK commercial-in-confidence), assumption is the</w:t>
            </w:r>
            <w:r w:rsidRPr="00370F0D">
              <w:rPr>
                <w:sz w:val="20"/>
                <w:szCs w:val="20"/>
                <w:highlight w:val="yellow"/>
              </w:rPr>
              <w:t xml:space="preserve"> </w:t>
            </w:r>
            <w:r w:rsidR="0088138D">
              <w:rPr>
                <w:noProof/>
                <w:color w:val="000000"/>
                <w:sz w:val="20"/>
                <w:szCs w:val="20"/>
                <w:highlight w:val="black"/>
              </w:rPr>
              <w:t>'''''''''''''</w:t>
            </w:r>
            <w:r w:rsidRPr="00370F0D">
              <w:rPr>
                <w:sz w:val="20"/>
                <w:szCs w:val="20"/>
                <w:highlight w:val="yellow"/>
              </w:rPr>
              <w:t xml:space="preserve"> </w:t>
            </w:r>
            <w:r w:rsidRPr="0088138D">
              <w:rPr>
                <w:sz w:val="20"/>
                <w:szCs w:val="20"/>
              </w:rPr>
              <w:t>split is consistent across both private and PBS markets.</w:t>
            </w:r>
          </w:p>
          <w:p w:rsidR="00502B3E" w:rsidRPr="008B2B7C" w:rsidRDefault="00502B3E" w:rsidP="00E17B91">
            <w:pPr>
              <w:keepNext/>
              <w:keepLines/>
              <w:spacing w:before="20" w:after="20"/>
              <w:rPr>
                <w:sz w:val="20"/>
                <w:szCs w:val="20"/>
                <w:lang w:val="en-AU"/>
              </w:rPr>
            </w:pPr>
          </w:p>
        </w:tc>
      </w:tr>
      <w:tr w:rsidR="00502B3E" w:rsidRPr="00041146" w:rsidTr="00171FE9">
        <w:trPr>
          <w:tblHeader/>
        </w:trPr>
        <w:tc>
          <w:tcPr>
            <w:tcW w:w="1897" w:type="dxa"/>
            <w:vMerge/>
          </w:tcPr>
          <w:p w:rsidR="00502B3E" w:rsidRPr="008B2B7C" w:rsidRDefault="00502B3E" w:rsidP="00E17B91">
            <w:pPr>
              <w:keepNext/>
              <w:keepLines/>
              <w:spacing w:before="20" w:after="20"/>
              <w:rPr>
                <w:sz w:val="20"/>
                <w:szCs w:val="20"/>
                <w:lang w:val="en-AU"/>
              </w:rPr>
            </w:pPr>
          </w:p>
        </w:tc>
        <w:tc>
          <w:tcPr>
            <w:tcW w:w="1897" w:type="dxa"/>
          </w:tcPr>
          <w:p w:rsidR="00502B3E" w:rsidRPr="008B2B7C" w:rsidRDefault="00502B3E" w:rsidP="00E17B91">
            <w:pPr>
              <w:keepNext/>
              <w:keepLines/>
              <w:spacing w:before="20" w:after="20"/>
              <w:rPr>
                <w:sz w:val="20"/>
                <w:szCs w:val="20"/>
                <w:lang w:val="en-AU"/>
              </w:rPr>
            </w:pPr>
            <w:r w:rsidRPr="00041146">
              <w:rPr>
                <w:sz w:val="20"/>
                <w:szCs w:val="20"/>
              </w:rPr>
              <w:t>ASMOL (salbutamol sulfate 100</w:t>
            </w:r>
            <w:r w:rsidR="000B76BB">
              <w:rPr>
                <w:sz w:val="20"/>
                <w:szCs w:val="20"/>
              </w:rPr>
              <w:t xml:space="preserve"> </w:t>
            </w:r>
            <w:r w:rsidRPr="00041146">
              <w:rPr>
                <w:sz w:val="20"/>
                <w:szCs w:val="20"/>
              </w:rPr>
              <w:t>mcg)</w:t>
            </w:r>
          </w:p>
        </w:tc>
        <w:tc>
          <w:tcPr>
            <w:tcW w:w="1559" w:type="dxa"/>
          </w:tcPr>
          <w:p w:rsidR="00502B3E" w:rsidRPr="008B2B7C" w:rsidRDefault="0088138D" w:rsidP="00E17B91">
            <w:pPr>
              <w:keepNext/>
              <w:keepLines/>
              <w:spacing w:before="20" w:after="20"/>
              <w:jc w:val="center"/>
              <w:rPr>
                <w:sz w:val="20"/>
                <w:szCs w:val="20"/>
                <w:lang w:val="en-AU"/>
              </w:rPr>
            </w:pPr>
            <w:r>
              <w:rPr>
                <w:noProof/>
                <w:color w:val="000000"/>
                <w:sz w:val="20"/>
                <w:szCs w:val="20"/>
                <w:highlight w:val="black"/>
              </w:rPr>
              <w:t>'''''</w:t>
            </w:r>
            <w:r w:rsidR="00502B3E" w:rsidRPr="0085010A">
              <w:rPr>
                <w:sz w:val="20"/>
                <w:szCs w:val="20"/>
              </w:rPr>
              <w:t>%</w:t>
            </w:r>
          </w:p>
        </w:tc>
        <w:tc>
          <w:tcPr>
            <w:tcW w:w="3889" w:type="dxa"/>
            <w:vMerge/>
          </w:tcPr>
          <w:p w:rsidR="00502B3E" w:rsidRPr="008B2B7C" w:rsidRDefault="00502B3E" w:rsidP="00E17B91">
            <w:pPr>
              <w:keepNext/>
              <w:keepLines/>
              <w:spacing w:before="20" w:after="20"/>
              <w:rPr>
                <w:sz w:val="20"/>
                <w:szCs w:val="20"/>
                <w:lang w:val="en-AU"/>
              </w:rPr>
            </w:pPr>
          </w:p>
        </w:tc>
      </w:tr>
      <w:tr w:rsidR="00502B3E" w:rsidRPr="00041146" w:rsidTr="000D3C68">
        <w:tc>
          <w:tcPr>
            <w:tcW w:w="3794" w:type="dxa"/>
            <w:gridSpan w:val="2"/>
          </w:tcPr>
          <w:p w:rsidR="00502B3E" w:rsidRPr="008B2B7C" w:rsidRDefault="00502B3E" w:rsidP="00E17B91">
            <w:pPr>
              <w:keepNext/>
              <w:keepLines/>
              <w:spacing w:before="20" w:after="20"/>
              <w:rPr>
                <w:sz w:val="20"/>
                <w:szCs w:val="20"/>
                <w:lang w:val="en-AU"/>
              </w:rPr>
            </w:pPr>
            <w:r w:rsidRPr="00041146">
              <w:rPr>
                <w:sz w:val="20"/>
                <w:szCs w:val="20"/>
              </w:rPr>
              <w:t>Average growth rate of the total Salbutamol MDI market.</w:t>
            </w:r>
          </w:p>
        </w:tc>
        <w:tc>
          <w:tcPr>
            <w:tcW w:w="1559" w:type="dxa"/>
          </w:tcPr>
          <w:p w:rsidR="00502B3E" w:rsidRPr="008B2B7C" w:rsidRDefault="00502B3E" w:rsidP="00E17B91">
            <w:pPr>
              <w:keepNext/>
              <w:keepLines/>
              <w:spacing w:before="20" w:after="20"/>
              <w:jc w:val="center"/>
              <w:rPr>
                <w:sz w:val="20"/>
                <w:szCs w:val="20"/>
                <w:lang w:val="en-AU"/>
              </w:rPr>
            </w:pPr>
            <w:r w:rsidRPr="00041146">
              <w:rPr>
                <w:sz w:val="20"/>
                <w:szCs w:val="20"/>
              </w:rPr>
              <w:t>-1%</w:t>
            </w:r>
          </w:p>
        </w:tc>
        <w:tc>
          <w:tcPr>
            <w:tcW w:w="3889" w:type="dxa"/>
          </w:tcPr>
          <w:p w:rsidR="00502B3E" w:rsidRPr="008B2B7C" w:rsidRDefault="00502B3E" w:rsidP="00E17B91">
            <w:pPr>
              <w:keepNext/>
              <w:keepLines/>
              <w:spacing w:before="20" w:after="20"/>
              <w:rPr>
                <w:sz w:val="20"/>
                <w:szCs w:val="20"/>
                <w:lang w:val="en-AU"/>
              </w:rPr>
            </w:pPr>
            <w:r w:rsidRPr="00041146">
              <w:rPr>
                <w:sz w:val="20"/>
                <w:szCs w:val="20"/>
              </w:rPr>
              <w:t>Based on annual average growth rate 2016-2018 from historical script data. A scenario analysis using a flat growth assumption is included.</w:t>
            </w:r>
          </w:p>
        </w:tc>
      </w:tr>
      <w:tr w:rsidR="00502B3E" w:rsidRPr="00041146" w:rsidTr="000D3C68">
        <w:tc>
          <w:tcPr>
            <w:tcW w:w="3794" w:type="dxa"/>
            <w:gridSpan w:val="2"/>
          </w:tcPr>
          <w:p w:rsidR="00502B3E" w:rsidRPr="008B2B7C" w:rsidRDefault="00502B3E" w:rsidP="00E17B91">
            <w:pPr>
              <w:keepNext/>
              <w:keepLines/>
              <w:spacing w:before="20" w:after="20"/>
              <w:rPr>
                <w:sz w:val="20"/>
                <w:szCs w:val="20"/>
                <w:lang w:val="en-AU"/>
              </w:rPr>
            </w:pPr>
            <w:r w:rsidRPr="00041146">
              <w:rPr>
                <w:sz w:val="20"/>
                <w:szCs w:val="20"/>
              </w:rPr>
              <w:t>Uptake of Ventolin DC into potentially substitutable salbutamol market</w:t>
            </w:r>
          </w:p>
        </w:tc>
        <w:tc>
          <w:tcPr>
            <w:tcW w:w="1559" w:type="dxa"/>
            <w:shd w:val="clear" w:color="auto" w:fill="auto"/>
          </w:tcPr>
          <w:p w:rsidR="00502B3E" w:rsidRPr="008B2B7C" w:rsidRDefault="00502B3E" w:rsidP="00E17B91">
            <w:pPr>
              <w:keepNext/>
              <w:keepLines/>
              <w:spacing w:before="20" w:after="20"/>
              <w:jc w:val="center"/>
              <w:rPr>
                <w:sz w:val="20"/>
                <w:szCs w:val="20"/>
                <w:lang w:val="en-AU"/>
              </w:rPr>
            </w:pPr>
            <w:r w:rsidRPr="00041146">
              <w:rPr>
                <w:sz w:val="20"/>
                <w:szCs w:val="20"/>
              </w:rPr>
              <w:t xml:space="preserve">Year 1: </w:t>
            </w:r>
            <w:r w:rsidR="0088138D">
              <w:rPr>
                <w:noProof/>
                <w:color w:val="000000"/>
                <w:sz w:val="20"/>
                <w:szCs w:val="20"/>
                <w:highlight w:val="black"/>
              </w:rPr>
              <w:t>'''''</w:t>
            </w:r>
            <w:r w:rsidRPr="0085010A">
              <w:rPr>
                <w:sz w:val="20"/>
                <w:szCs w:val="20"/>
              </w:rPr>
              <w:t>%</w:t>
            </w:r>
          </w:p>
          <w:p w:rsidR="00502B3E" w:rsidRPr="008B2B7C" w:rsidRDefault="00502B3E" w:rsidP="00E17B91">
            <w:pPr>
              <w:keepNext/>
              <w:keepLines/>
              <w:spacing w:before="20" w:after="20"/>
              <w:jc w:val="center"/>
              <w:rPr>
                <w:sz w:val="20"/>
                <w:szCs w:val="20"/>
                <w:lang w:val="en-AU"/>
              </w:rPr>
            </w:pPr>
            <w:r w:rsidRPr="00041146">
              <w:rPr>
                <w:sz w:val="20"/>
                <w:szCs w:val="20"/>
              </w:rPr>
              <w:t>Year 2: 100%</w:t>
            </w:r>
          </w:p>
          <w:p w:rsidR="00502B3E" w:rsidRPr="008B2B7C" w:rsidRDefault="00502B3E" w:rsidP="00E17B91">
            <w:pPr>
              <w:keepNext/>
              <w:keepLines/>
              <w:spacing w:before="20" w:after="20"/>
              <w:jc w:val="center"/>
              <w:rPr>
                <w:sz w:val="20"/>
                <w:szCs w:val="20"/>
                <w:lang w:val="en-AU"/>
              </w:rPr>
            </w:pPr>
            <w:r w:rsidRPr="00041146">
              <w:rPr>
                <w:sz w:val="20"/>
                <w:szCs w:val="20"/>
              </w:rPr>
              <w:t>Year 3: 100%</w:t>
            </w:r>
          </w:p>
          <w:p w:rsidR="00502B3E" w:rsidRPr="008B2B7C" w:rsidRDefault="00502B3E" w:rsidP="00E17B91">
            <w:pPr>
              <w:keepNext/>
              <w:keepLines/>
              <w:spacing w:before="20" w:after="20"/>
              <w:jc w:val="center"/>
              <w:rPr>
                <w:sz w:val="20"/>
                <w:szCs w:val="20"/>
                <w:lang w:val="en-AU"/>
              </w:rPr>
            </w:pPr>
            <w:r w:rsidRPr="00041146">
              <w:rPr>
                <w:sz w:val="20"/>
                <w:szCs w:val="20"/>
              </w:rPr>
              <w:t>Year 4: 100%</w:t>
            </w:r>
          </w:p>
          <w:p w:rsidR="00502B3E" w:rsidRPr="008B2B7C" w:rsidRDefault="00502B3E" w:rsidP="00E17B91">
            <w:pPr>
              <w:keepNext/>
              <w:keepLines/>
              <w:spacing w:before="20" w:after="20"/>
              <w:jc w:val="center"/>
              <w:rPr>
                <w:sz w:val="20"/>
                <w:szCs w:val="20"/>
                <w:lang w:val="en-AU"/>
              </w:rPr>
            </w:pPr>
            <w:r w:rsidRPr="00041146">
              <w:rPr>
                <w:sz w:val="20"/>
                <w:szCs w:val="20"/>
              </w:rPr>
              <w:t>Year 5: 100%</w:t>
            </w:r>
          </w:p>
          <w:p w:rsidR="00502B3E" w:rsidRPr="008B2B7C" w:rsidRDefault="00502B3E" w:rsidP="00E17B91">
            <w:pPr>
              <w:keepNext/>
              <w:keepLines/>
              <w:spacing w:before="20" w:after="20"/>
              <w:jc w:val="center"/>
              <w:rPr>
                <w:sz w:val="20"/>
                <w:szCs w:val="20"/>
                <w:lang w:val="en-AU"/>
              </w:rPr>
            </w:pPr>
            <w:r w:rsidRPr="00041146">
              <w:rPr>
                <w:sz w:val="20"/>
                <w:szCs w:val="20"/>
              </w:rPr>
              <w:t>Year 6: 100%</w:t>
            </w:r>
          </w:p>
        </w:tc>
        <w:tc>
          <w:tcPr>
            <w:tcW w:w="3889" w:type="dxa"/>
          </w:tcPr>
          <w:p w:rsidR="00502B3E" w:rsidRPr="008B2B7C" w:rsidRDefault="00502B3E" w:rsidP="00E17B91">
            <w:pPr>
              <w:keepNext/>
              <w:keepLines/>
              <w:spacing w:before="20" w:after="20"/>
              <w:rPr>
                <w:sz w:val="20"/>
                <w:szCs w:val="20"/>
                <w:lang w:val="en-AU"/>
              </w:rPr>
            </w:pPr>
            <w:r w:rsidRPr="00041146">
              <w:rPr>
                <w:sz w:val="20"/>
                <w:szCs w:val="20"/>
              </w:rPr>
              <w:t>GSK projections based on entry to market of Ventolin DC is based on the phasing out of the non-dose counter versions salbutamol MDIs</w:t>
            </w:r>
            <w:r w:rsidR="00041146">
              <w:rPr>
                <w:sz w:val="20"/>
                <w:szCs w:val="20"/>
                <w:lang w:val="en-AU"/>
              </w:rPr>
              <w:t xml:space="preserve">. </w:t>
            </w:r>
          </w:p>
          <w:p w:rsidR="00502B3E" w:rsidRPr="008B2B7C" w:rsidRDefault="00502B3E" w:rsidP="00E17B91">
            <w:pPr>
              <w:keepNext/>
              <w:keepLines/>
              <w:spacing w:before="20" w:after="20"/>
              <w:rPr>
                <w:sz w:val="20"/>
                <w:szCs w:val="20"/>
                <w:lang w:val="en-AU"/>
              </w:rPr>
            </w:pPr>
          </w:p>
        </w:tc>
      </w:tr>
    </w:tbl>
    <w:p w:rsidR="00FC2466" w:rsidRPr="00041146" w:rsidRDefault="00502B3E" w:rsidP="00E17B91">
      <w:pPr>
        <w:pStyle w:val="TableFooter"/>
        <w:widowControl/>
        <w:spacing w:after="120"/>
      </w:pPr>
      <w:r w:rsidRPr="00041146">
        <w:t>Source: Table 8, p23 of the submission.</w:t>
      </w:r>
    </w:p>
    <w:p w:rsidR="00936D84" w:rsidRPr="00041146" w:rsidRDefault="00936D84" w:rsidP="00E17B91">
      <w:pPr>
        <w:pStyle w:val="Bodytextitalics"/>
        <w:jc w:val="both"/>
        <w:rPr>
          <w:i w:val="0"/>
        </w:rPr>
      </w:pPr>
      <w:r w:rsidRPr="00041146">
        <w:rPr>
          <w:i w:val="0"/>
        </w:rPr>
        <w:t xml:space="preserve">The submission stated that the introduction of this product is not expected to increase the overall size of the salbutamol MDI market (Ventolin and </w:t>
      </w:r>
      <w:proofErr w:type="spellStart"/>
      <w:r w:rsidRPr="00041146">
        <w:rPr>
          <w:i w:val="0"/>
        </w:rPr>
        <w:t>Asmol</w:t>
      </w:r>
      <w:proofErr w:type="spellEnd"/>
      <w:r w:rsidRPr="00041146">
        <w:rPr>
          <w:i w:val="0"/>
        </w:rPr>
        <w:t xml:space="preserve"> MDIs) but rather Ventolin DC is expected to replace these medicines by the second year of listing (2021). The PBAC noted a review by Stein 2014 which stated that MDI with DC are designed in such a way that the dose counter may </w:t>
      </w:r>
      <w:r w:rsidR="00CA0F76" w:rsidRPr="00041146">
        <w:rPr>
          <w:i w:val="0"/>
        </w:rPr>
        <w:t>over</w:t>
      </w:r>
      <w:r w:rsidR="006B19F7" w:rsidRPr="00041146">
        <w:rPr>
          <w:i w:val="0"/>
        </w:rPr>
        <w:t>-</w:t>
      </w:r>
      <w:r w:rsidR="00CA0F76" w:rsidRPr="00041146">
        <w:rPr>
          <w:i w:val="0"/>
        </w:rPr>
        <w:t>count</w:t>
      </w:r>
      <w:r w:rsidRPr="00041146">
        <w:rPr>
          <w:i w:val="0"/>
        </w:rPr>
        <w:t xml:space="preserve"> if the canister is depressed with enough force or displacement to advance the counter but insufficient force or displacement to fire a dose.</w:t>
      </w:r>
      <w:r w:rsidRPr="00041146">
        <w:rPr>
          <w:rStyle w:val="FootnoteReference"/>
          <w:i w:val="0"/>
        </w:rPr>
        <w:footnoteReference w:id="8"/>
      </w:r>
      <w:r w:rsidR="00E028F5" w:rsidRPr="00041146">
        <w:rPr>
          <w:i w:val="0"/>
        </w:rPr>
        <w:t xml:space="preserve"> </w:t>
      </w:r>
    </w:p>
    <w:p w:rsidR="00C00DA7" w:rsidRPr="00041146" w:rsidRDefault="00FF2801" w:rsidP="00E17B91">
      <w:pPr>
        <w:pStyle w:val="3Bodytext"/>
        <w:jc w:val="both"/>
        <w:rPr>
          <w:b/>
          <w:color w:val="FF00FF"/>
        </w:rPr>
      </w:pPr>
      <w:r w:rsidRPr="00041146">
        <w:rPr>
          <w:szCs w:val="24"/>
        </w:rPr>
        <w:t>The minor submission estimated</w:t>
      </w:r>
      <w:r w:rsidR="00C00DA7" w:rsidRPr="00041146">
        <w:rPr>
          <w:szCs w:val="24"/>
        </w:rPr>
        <w:t xml:space="preserve"> a net </w:t>
      </w:r>
      <w:r w:rsidR="0079725D" w:rsidRPr="00857A63">
        <w:rPr>
          <w:szCs w:val="24"/>
        </w:rPr>
        <w:t xml:space="preserve">cost </w:t>
      </w:r>
      <w:r w:rsidR="00C00DA7" w:rsidRPr="00857A63">
        <w:rPr>
          <w:szCs w:val="24"/>
        </w:rPr>
        <w:t>to the PBS</w:t>
      </w:r>
      <w:r w:rsidR="000F5839" w:rsidRPr="00857A63">
        <w:rPr>
          <w:szCs w:val="24"/>
        </w:rPr>
        <w:t>/RPBS</w:t>
      </w:r>
      <w:r w:rsidR="00C00DA7" w:rsidRPr="00857A63">
        <w:rPr>
          <w:szCs w:val="24"/>
        </w:rPr>
        <w:t xml:space="preserve"> of </w:t>
      </w:r>
      <w:r w:rsidR="00C97BA2">
        <w:rPr>
          <w:szCs w:val="24"/>
        </w:rPr>
        <w:t xml:space="preserve">$10 - $20 million </w:t>
      </w:r>
      <w:r w:rsidR="00C00DA7" w:rsidRPr="00041146">
        <w:rPr>
          <w:szCs w:val="24"/>
        </w:rPr>
        <w:t xml:space="preserve">in Year </w:t>
      </w:r>
      <w:r w:rsidR="00977BF3" w:rsidRPr="00041146">
        <w:rPr>
          <w:szCs w:val="24"/>
        </w:rPr>
        <w:t>6</w:t>
      </w:r>
      <w:r w:rsidR="00C00DA7" w:rsidRPr="00041146">
        <w:rPr>
          <w:szCs w:val="24"/>
        </w:rPr>
        <w:t xml:space="preserve"> of listing, with a total net </w:t>
      </w:r>
      <w:r w:rsidR="0079725D" w:rsidRPr="00041146">
        <w:rPr>
          <w:szCs w:val="24"/>
        </w:rPr>
        <w:t>cost</w:t>
      </w:r>
      <w:r w:rsidR="00C00DA7" w:rsidRPr="00041146">
        <w:rPr>
          <w:szCs w:val="24"/>
        </w:rPr>
        <w:t xml:space="preserve"> to the PBS</w:t>
      </w:r>
      <w:r w:rsidR="000F5839" w:rsidRPr="00041146">
        <w:rPr>
          <w:szCs w:val="24"/>
        </w:rPr>
        <w:t>/RPBS</w:t>
      </w:r>
      <w:r w:rsidR="00C00DA7" w:rsidRPr="00041146">
        <w:rPr>
          <w:szCs w:val="24"/>
        </w:rPr>
        <w:t xml:space="preserve"> of </w:t>
      </w:r>
      <w:r w:rsidR="00C97BA2">
        <w:rPr>
          <w:szCs w:val="24"/>
        </w:rPr>
        <w:t xml:space="preserve">$30 - $60 </w:t>
      </w:r>
      <w:proofErr w:type="gramStart"/>
      <w:r w:rsidR="00C97BA2">
        <w:rPr>
          <w:szCs w:val="24"/>
        </w:rPr>
        <w:t xml:space="preserve">million </w:t>
      </w:r>
      <w:r w:rsidR="00C7409E" w:rsidRPr="00041146">
        <w:rPr>
          <w:szCs w:val="24"/>
        </w:rPr>
        <w:t xml:space="preserve"> </w:t>
      </w:r>
      <w:r w:rsidR="00C00DA7" w:rsidRPr="00041146">
        <w:rPr>
          <w:szCs w:val="24"/>
        </w:rPr>
        <w:t>ove</w:t>
      </w:r>
      <w:r w:rsidR="00C7409E" w:rsidRPr="00041146">
        <w:rPr>
          <w:szCs w:val="24"/>
        </w:rPr>
        <w:t>r</w:t>
      </w:r>
      <w:proofErr w:type="gramEnd"/>
      <w:r w:rsidR="00C7409E" w:rsidRPr="00041146">
        <w:rPr>
          <w:szCs w:val="24"/>
        </w:rPr>
        <w:t xml:space="preserve"> the first </w:t>
      </w:r>
      <w:r w:rsidR="00977BF3" w:rsidRPr="00041146">
        <w:rPr>
          <w:szCs w:val="24"/>
        </w:rPr>
        <w:t>6</w:t>
      </w:r>
      <w:r w:rsidR="00C7409E" w:rsidRPr="00041146">
        <w:rPr>
          <w:szCs w:val="24"/>
        </w:rPr>
        <w:t xml:space="preserve"> years of listing. </w:t>
      </w:r>
      <w:r w:rsidR="00C00DA7" w:rsidRPr="00041146">
        <w:rPr>
          <w:szCs w:val="24"/>
        </w:rPr>
        <w:t>This i</w:t>
      </w:r>
      <w:r w:rsidR="0079725D" w:rsidRPr="00041146">
        <w:rPr>
          <w:szCs w:val="24"/>
        </w:rPr>
        <w:t>s summarised in the table below.</w:t>
      </w:r>
    </w:p>
    <w:p w:rsidR="00C7409E" w:rsidRPr="00041146" w:rsidRDefault="00C7409E" w:rsidP="00E17B91">
      <w:pPr>
        <w:keepNext/>
        <w:keepLines/>
        <w:rPr>
          <w:rFonts w:ascii="Arial Narrow" w:hAnsi="Arial Narrow"/>
          <w:b/>
          <w:sz w:val="20"/>
          <w:szCs w:val="20"/>
        </w:rPr>
      </w:pPr>
      <w:r w:rsidRPr="00041146">
        <w:rPr>
          <w:rStyle w:val="CommentReference"/>
          <w:rFonts w:ascii="Arial Narrow" w:hAnsi="Arial Narrow"/>
          <w:b/>
          <w:sz w:val="20"/>
          <w:szCs w:val="20"/>
        </w:rPr>
        <w:lastRenderedPageBreak/>
        <w:t xml:space="preserve">Table </w:t>
      </w:r>
      <w:r w:rsidR="00831281" w:rsidRPr="00041146">
        <w:rPr>
          <w:rStyle w:val="CommentReference"/>
          <w:rFonts w:ascii="Arial Narrow" w:hAnsi="Arial Narrow"/>
          <w:b/>
          <w:sz w:val="20"/>
          <w:szCs w:val="20"/>
        </w:rPr>
        <w:t>4</w:t>
      </w:r>
      <w:r w:rsidRPr="00041146">
        <w:rPr>
          <w:rStyle w:val="CommentReference"/>
          <w:rFonts w:ascii="Arial Narrow" w:hAnsi="Arial Narrow"/>
          <w:b/>
          <w:sz w:val="20"/>
          <w:szCs w:val="20"/>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C7409E" w:rsidRPr="00041146" w:rsidTr="006E5ACE">
        <w:trPr>
          <w:tblHeader/>
        </w:trPr>
        <w:tc>
          <w:tcPr>
            <w:tcW w:w="1118" w:type="pct"/>
            <w:shd w:val="clear" w:color="auto" w:fill="auto"/>
            <w:vAlign w:val="center"/>
          </w:tcPr>
          <w:p w:rsidR="00C7409E" w:rsidRPr="00041146" w:rsidRDefault="00C7409E" w:rsidP="00E17B91">
            <w:pPr>
              <w:pStyle w:val="Tabletext"/>
              <w:keepNext/>
              <w:keepLines/>
              <w:spacing w:after="0"/>
              <w:rPr>
                <w:rFonts w:ascii="Arial Narrow" w:hAnsi="Arial Narrow"/>
              </w:rPr>
            </w:pPr>
          </w:p>
        </w:tc>
        <w:tc>
          <w:tcPr>
            <w:tcW w:w="647" w:type="pct"/>
            <w:shd w:val="clear" w:color="auto" w:fill="auto"/>
            <w:vAlign w:val="center"/>
          </w:tcPr>
          <w:p w:rsidR="00C7409E" w:rsidRPr="00041146" w:rsidRDefault="00C7409E" w:rsidP="00E17B91">
            <w:pPr>
              <w:pStyle w:val="Tabletext"/>
              <w:keepNext/>
              <w:keepLines/>
              <w:spacing w:after="0"/>
              <w:jc w:val="center"/>
              <w:rPr>
                <w:rFonts w:ascii="Arial Narrow" w:hAnsi="Arial Narrow"/>
                <w:b/>
              </w:rPr>
            </w:pPr>
            <w:r w:rsidRPr="00041146">
              <w:rPr>
                <w:rFonts w:ascii="Arial Narrow" w:hAnsi="Arial Narrow"/>
                <w:b/>
              </w:rPr>
              <w:t>Year 1</w:t>
            </w:r>
          </w:p>
        </w:tc>
        <w:tc>
          <w:tcPr>
            <w:tcW w:w="647" w:type="pct"/>
            <w:shd w:val="clear" w:color="auto" w:fill="auto"/>
            <w:vAlign w:val="center"/>
          </w:tcPr>
          <w:p w:rsidR="00C7409E" w:rsidRPr="00041146" w:rsidRDefault="00C7409E" w:rsidP="00E17B91">
            <w:pPr>
              <w:pStyle w:val="Tabletext"/>
              <w:keepNext/>
              <w:keepLines/>
              <w:spacing w:after="0"/>
              <w:jc w:val="center"/>
              <w:rPr>
                <w:rFonts w:ascii="Arial Narrow" w:hAnsi="Arial Narrow"/>
                <w:b/>
              </w:rPr>
            </w:pPr>
            <w:r w:rsidRPr="00041146">
              <w:rPr>
                <w:rFonts w:ascii="Arial Narrow" w:hAnsi="Arial Narrow"/>
                <w:b/>
              </w:rPr>
              <w:t>Year 2</w:t>
            </w:r>
          </w:p>
        </w:tc>
        <w:tc>
          <w:tcPr>
            <w:tcW w:w="647" w:type="pct"/>
            <w:shd w:val="clear" w:color="auto" w:fill="auto"/>
            <w:vAlign w:val="center"/>
          </w:tcPr>
          <w:p w:rsidR="00C7409E" w:rsidRPr="00041146" w:rsidRDefault="00C7409E" w:rsidP="00E17B91">
            <w:pPr>
              <w:pStyle w:val="Tabletext"/>
              <w:keepNext/>
              <w:keepLines/>
              <w:spacing w:after="0"/>
              <w:jc w:val="center"/>
              <w:rPr>
                <w:rFonts w:ascii="Arial Narrow" w:hAnsi="Arial Narrow"/>
                <w:b/>
              </w:rPr>
            </w:pPr>
            <w:r w:rsidRPr="00041146">
              <w:rPr>
                <w:rFonts w:ascii="Arial Narrow" w:hAnsi="Arial Narrow"/>
                <w:b/>
              </w:rPr>
              <w:t>Year 3</w:t>
            </w:r>
          </w:p>
        </w:tc>
        <w:tc>
          <w:tcPr>
            <w:tcW w:w="647" w:type="pct"/>
            <w:shd w:val="clear" w:color="auto" w:fill="auto"/>
            <w:vAlign w:val="center"/>
          </w:tcPr>
          <w:p w:rsidR="00C7409E" w:rsidRPr="00041146" w:rsidRDefault="00C7409E" w:rsidP="00E17B91">
            <w:pPr>
              <w:pStyle w:val="Tabletext"/>
              <w:keepNext/>
              <w:keepLines/>
              <w:spacing w:after="0"/>
              <w:jc w:val="center"/>
              <w:rPr>
                <w:rFonts w:ascii="Arial Narrow" w:hAnsi="Arial Narrow"/>
                <w:b/>
              </w:rPr>
            </w:pPr>
            <w:r w:rsidRPr="00041146">
              <w:rPr>
                <w:rFonts w:ascii="Arial Narrow" w:hAnsi="Arial Narrow"/>
                <w:b/>
              </w:rPr>
              <w:t>Year 4</w:t>
            </w:r>
          </w:p>
        </w:tc>
        <w:tc>
          <w:tcPr>
            <w:tcW w:w="647" w:type="pct"/>
            <w:shd w:val="clear" w:color="auto" w:fill="auto"/>
            <w:vAlign w:val="center"/>
          </w:tcPr>
          <w:p w:rsidR="00C7409E" w:rsidRPr="00041146" w:rsidRDefault="00C7409E" w:rsidP="00E17B91">
            <w:pPr>
              <w:pStyle w:val="Tabletext"/>
              <w:keepNext/>
              <w:keepLines/>
              <w:spacing w:after="0"/>
              <w:jc w:val="center"/>
              <w:rPr>
                <w:rFonts w:ascii="Arial Narrow" w:hAnsi="Arial Narrow"/>
                <w:b/>
              </w:rPr>
            </w:pPr>
            <w:r w:rsidRPr="00041146">
              <w:rPr>
                <w:rFonts w:ascii="Arial Narrow" w:hAnsi="Arial Narrow"/>
                <w:b/>
              </w:rPr>
              <w:t>Year 5</w:t>
            </w:r>
          </w:p>
        </w:tc>
        <w:tc>
          <w:tcPr>
            <w:tcW w:w="647" w:type="pct"/>
          </w:tcPr>
          <w:p w:rsidR="00C7409E" w:rsidRPr="00041146" w:rsidRDefault="00C7409E" w:rsidP="00E17B91">
            <w:pPr>
              <w:pStyle w:val="Tabletext"/>
              <w:keepNext/>
              <w:keepLines/>
              <w:spacing w:after="0"/>
              <w:jc w:val="center"/>
              <w:rPr>
                <w:rFonts w:ascii="Arial Narrow" w:hAnsi="Arial Narrow"/>
                <w:b/>
              </w:rPr>
            </w:pPr>
            <w:r w:rsidRPr="00041146">
              <w:rPr>
                <w:rFonts w:ascii="Arial Narrow" w:hAnsi="Arial Narrow"/>
                <w:b/>
              </w:rPr>
              <w:t>Year 6</w:t>
            </w:r>
          </w:p>
        </w:tc>
      </w:tr>
      <w:tr w:rsidR="00C7409E" w:rsidRPr="00041146" w:rsidTr="00503AD7">
        <w:tc>
          <w:tcPr>
            <w:tcW w:w="5000" w:type="pct"/>
            <w:gridSpan w:val="7"/>
            <w:shd w:val="clear" w:color="auto" w:fill="auto"/>
            <w:vAlign w:val="center"/>
          </w:tcPr>
          <w:p w:rsidR="00C7409E" w:rsidRPr="00041146" w:rsidRDefault="00C7409E" w:rsidP="00E17B91">
            <w:pPr>
              <w:pStyle w:val="Tabletext"/>
              <w:keepNext/>
              <w:keepLines/>
              <w:spacing w:after="0"/>
              <w:rPr>
                <w:rFonts w:ascii="Arial Narrow" w:hAnsi="Arial Narrow"/>
                <w:b/>
                <w:bCs/>
                <w:color w:val="000000"/>
              </w:rPr>
            </w:pPr>
            <w:r w:rsidRPr="00041146">
              <w:rPr>
                <w:rFonts w:ascii="Arial Narrow" w:hAnsi="Arial Narrow"/>
                <w:b/>
                <w:bCs/>
                <w:color w:val="000000"/>
              </w:rPr>
              <w:t>Estimated extent of use</w:t>
            </w:r>
          </w:p>
        </w:tc>
      </w:tr>
      <w:tr w:rsidR="006E5ACE" w:rsidRPr="00041146" w:rsidTr="003E5922">
        <w:tc>
          <w:tcPr>
            <w:tcW w:w="1118" w:type="pct"/>
            <w:shd w:val="clear" w:color="auto" w:fill="auto"/>
            <w:vAlign w:val="center"/>
          </w:tcPr>
          <w:p w:rsidR="006E5ACE" w:rsidRPr="00041146" w:rsidRDefault="006E5ACE" w:rsidP="00E17B91">
            <w:pPr>
              <w:pStyle w:val="Tabletext"/>
              <w:keepNext/>
              <w:keepLines/>
              <w:spacing w:after="0"/>
              <w:rPr>
                <w:rFonts w:ascii="Arial Narrow" w:hAnsi="Arial Narrow"/>
              </w:rPr>
            </w:pPr>
            <w:r w:rsidRPr="00041146">
              <w:rPr>
                <w:rFonts w:ascii="Arial Narrow" w:hAnsi="Arial Narrow"/>
              </w:rPr>
              <w:t>Number of scripts dispensed</w:t>
            </w:r>
          </w:p>
        </w:tc>
        <w:tc>
          <w:tcPr>
            <w:tcW w:w="647" w:type="pct"/>
            <w:shd w:val="clear" w:color="auto" w:fill="auto"/>
            <w:vAlign w:val="center"/>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center"/>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center"/>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center"/>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center"/>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vAlign w:val="center"/>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r>
      <w:tr w:rsidR="00C7409E" w:rsidRPr="00041146" w:rsidTr="00503AD7">
        <w:tc>
          <w:tcPr>
            <w:tcW w:w="5000" w:type="pct"/>
            <w:gridSpan w:val="7"/>
            <w:shd w:val="clear" w:color="auto" w:fill="auto"/>
            <w:vAlign w:val="center"/>
          </w:tcPr>
          <w:p w:rsidR="00C7409E" w:rsidRPr="00041146" w:rsidRDefault="00C7409E" w:rsidP="00E17B91">
            <w:pPr>
              <w:pStyle w:val="Tabletext"/>
              <w:keepNext/>
              <w:keepLines/>
              <w:spacing w:after="0"/>
              <w:rPr>
                <w:rFonts w:ascii="Arial Narrow" w:hAnsi="Arial Narrow"/>
                <w:b/>
                <w:bCs/>
                <w:color w:val="000000"/>
              </w:rPr>
            </w:pPr>
            <w:r w:rsidRPr="00041146">
              <w:rPr>
                <w:rFonts w:ascii="Arial Narrow" w:hAnsi="Arial Narrow"/>
                <w:b/>
                <w:bCs/>
                <w:color w:val="000000"/>
              </w:rPr>
              <w:t xml:space="preserve">Estimated financial implications of </w:t>
            </w:r>
            <w:r w:rsidR="006E5ACE" w:rsidRPr="00041146">
              <w:rPr>
                <w:rFonts w:ascii="Arial Narrow" w:hAnsi="Arial Narrow"/>
                <w:b/>
                <w:bCs/>
                <w:color w:val="000000"/>
              </w:rPr>
              <w:t>Ventolin DC</w:t>
            </w:r>
          </w:p>
        </w:tc>
      </w:tr>
      <w:tr w:rsidR="006E5ACE" w:rsidRPr="00041146" w:rsidTr="000D3C68">
        <w:tc>
          <w:tcPr>
            <w:tcW w:w="1118" w:type="pct"/>
            <w:shd w:val="clear" w:color="auto" w:fill="auto"/>
            <w:vAlign w:val="center"/>
          </w:tcPr>
          <w:p w:rsidR="006E5ACE" w:rsidRPr="00041146" w:rsidRDefault="006E5ACE" w:rsidP="00E17B91">
            <w:pPr>
              <w:pStyle w:val="Tabletext"/>
              <w:keepNext/>
              <w:keepLines/>
              <w:spacing w:after="0"/>
              <w:rPr>
                <w:rFonts w:ascii="Arial Narrow" w:hAnsi="Arial Narrow"/>
              </w:rPr>
            </w:pPr>
            <w:r w:rsidRPr="00041146">
              <w:rPr>
                <w:rFonts w:ascii="Arial Narrow" w:hAnsi="Arial Narrow"/>
              </w:rPr>
              <w:t>Cost to PBS/RPBS</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vAlign w:val="bottom"/>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r>
      <w:tr w:rsidR="006E5ACE" w:rsidRPr="00041146" w:rsidTr="000D3C68">
        <w:tc>
          <w:tcPr>
            <w:tcW w:w="1118" w:type="pct"/>
            <w:shd w:val="clear" w:color="auto" w:fill="auto"/>
            <w:vAlign w:val="center"/>
          </w:tcPr>
          <w:p w:rsidR="006E5ACE" w:rsidRPr="00041146" w:rsidRDefault="006E5ACE" w:rsidP="00E17B91">
            <w:pPr>
              <w:pStyle w:val="Tabletext"/>
              <w:keepNext/>
              <w:keepLines/>
              <w:spacing w:after="0"/>
              <w:rPr>
                <w:rFonts w:ascii="Arial Narrow" w:hAnsi="Arial Narrow"/>
              </w:rPr>
            </w:pPr>
            <w:proofErr w:type="spellStart"/>
            <w:r w:rsidRPr="00041146">
              <w:rPr>
                <w:rFonts w:ascii="Arial Narrow" w:hAnsi="Arial Narrow"/>
              </w:rPr>
              <w:t>Copayments</w:t>
            </w:r>
            <w:proofErr w:type="spellEnd"/>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vAlign w:val="bottom"/>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r>
      <w:tr w:rsidR="00C35C74" w:rsidRPr="00041146" w:rsidTr="006E5ACE">
        <w:tc>
          <w:tcPr>
            <w:tcW w:w="1118" w:type="pct"/>
            <w:shd w:val="clear" w:color="auto" w:fill="auto"/>
            <w:vAlign w:val="center"/>
          </w:tcPr>
          <w:p w:rsidR="00C35C74" w:rsidRPr="00041146" w:rsidRDefault="00C35C74" w:rsidP="00E17B91">
            <w:pPr>
              <w:pStyle w:val="Tabletext"/>
              <w:keepNext/>
              <w:keepLines/>
              <w:spacing w:after="0"/>
              <w:rPr>
                <w:rFonts w:ascii="Arial Narrow" w:hAnsi="Arial Narrow"/>
              </w:rPr>
            </w:pPr>
            <w:r w:rsidRPr="00041146">
              <w:rPr>
                <w:rFonts w:ascii="Arial Narrow" w:hAnsi="Arial Narrow"/>
              </w:rPr>
              <w:t xml:space="preserve">Cost to PBS/RPBS less </w:t>
            </w:r>
            <w:proofErr w:type="spellStart"/>
            <w:r w:rsidRPr="00041146">
              <w:rPr>
                <w:rFonts w:ascii="Arial Narrow" w:hAnsi="Arial Narrow"/>
              </w:rPr>
              <w:t>copayments</w:t>
            </w:r>
            <w:proofErr w:type="spellEnd"/>
          </w:p>
        </w:tc>
        <w:tc>
          <w:tcPr>
            <w:tcW w:w="647" w:type="pct"/>
            <w:shd w:val="clear" w:color="auto" w:fill="auto"/>
            <w:vAlign w:val="center"/>
          </w:tcPr>
          <w:p w:rsidR="00C35C74"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47" w:type="pct"/>
            <w:shd w:val="clear" w:color="auto" w:fill="auto"/>
            <w:vAlign w:val="center"/>
          </w:tcPr>
          <w:p w:rsidR="00C35C74"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47" w:type="pct"/>
            <w:shd w:val="clear" w:color="auto" w:fill="auto"/>
            <w:vAlign w:val="center"/>
          </w:tcPr>
          <w:p w:rsidR="00C35C74"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47" w:type="pct"/>
            <w:shd w:val="clear" w:color="auto" w:fill="auto"/>
            <w:vAlign w:val="center"/>
          </w:tcPr>
          <w:p w:rsidR="00C35C74"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47" w:type="pct"/>
            <w:shd w:val="clear" w:color="auto" w:fill="auto"/>
            <w:vAlign w:val="center"/>
          </w:tcPr>
          <w:p w:rsidR="00C35C74"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647" w:type="pct"/>
            <w:vAlign w:val="center"/>
          </w:tcPr>
          <w:p w:rsidR="00C35C74"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Arial"/>
                <w:noProof/>
                <w:color w:val="000000"/>
                <w:highlight w:val="black"/>
              </w:rPr>
              <w:t>'''''''''''''''''''''''''''''''</w:t>
            </w:r>
          </w:p>
        </w:tc>
      </w:tr>
      <w:tr w:rsidR="00C7409E" w:rsidRPr="00041146" w:rsidTr="00503AD7">
        <w:tc>
          <w:tcPr>
            <w:tcW w:w="5000" w:type="pct"/>
            <w:gridSpan w:val="7"/>
            <w:shd w:val="clear" w:color="auto" w:fill="auto"/>
            <w:vAlign w:val="center"/>
          </w:tcPr>
          <w:p w:rsidR="00C7409E" w:rsidRPr="00041146" w:rsidRDefault="00C7409E" w:rsidP="00E17B91">
            <w:pPr>
              <w:pStyle w:val="Tabletext"/>
              <w:keepNext/>
              <w:keepLines/>
              <w:spacing w:after="0"/>
              <w:rPr>
                <w:rFonts w:ascii="Arial Narrow" w:hAnsi="Arial Narrow"/>
                <w:bCs/>
                <w:color w:val="000000"/>
              </w:rPr>
            </w:pPr>
            <w:r w:rsidRPr="00041146">
              <w:rPr>
                <w:rFonts w:ascii="Arial Narrow" w:hAnsi="Arial Narrow"/>
                <w:b/>
                <w:bCs/>
                <w:color w:val="000000"/>
              </w:rPr>
              <w:t>Estimated financial i</w:t>
            </w:r>
            <w:r w:rsidR="0079725D" w:rsidRPr="00041146">
              <w:rPr>
                <w:rFonts w:ascii="Arial Narrow" w:hAnsi="Arial Narrow"/>
                <w:b/>
                <w:bCs/>
                <w:color w:val="000000"/>
              </w:rPr>
              <w:t xml:space="preserve">mplications for Ventolin and </w:t>
            </w:r>
            <w:proofErr w:type="spellStart"/>
            <w:r w:rsidR="0079725D" w:rsidRPr="00041146">
              <w:rPr>
                <w:rFonts w:ascii="Arial Narrow" w:hAnsi="Arial Narrow"/>
                <w:b/>
                <w:bCs/>
                <w:color w:val="000000"/>
              </w:rPr>
              <w:t>Asmol</w:t>
            </w:r>
            <w:proofErr w:type="spellEnd"/>
            <w:r w:rsidR="0079725D" w:rsidRPr="00041146">
              <w:rPr>
                <w:rFonts w:ascii="Arial Narrow" w:hAnsi="Arial Narrow"/>
                <w:b/>
                <w:bCs/>
                <w:color w:val="000000"/>
              </w:rPr>
              <w:t xml:space="preserve"> MDI</w:t>
            </w:r>
          </w:p>
        </w:tc>
      </w:tr>
      <w:tr w:rsidR="006E5ACE" w:rsidRPr="00041146" w:rsidTr="000D3C68">
        <w:tc>
          <w:tcPr>
            <w:tcW w:w="1118" w:type="pct"/>
            <w:shd w:val="clear" w:color="auto" w:fill="auto"/>
            <w:vAlign w:val="center"/>
          </w:tcPr>
          <w:p w:rsidR="006E5ACE" w:rsidRPr="00041146" w:rsidRDefault="006E5ACE" w:rsidP="00E17B91">
            <w:pPr>
              <w:pStyle w:val="Tabletext"/>
              <w:keepNext/>
              <w:keepLines/>
              <w:spacing w:after="0"/>
              <w:rPr>
                <w:rFonts w:ascii="Arial Narrow" w:hAnsi="Arial Narrow"/>
              </w:rPr>
            </w:pPr>
            <w:r w:rsidRPr="00041146">
              <w:rPr>
                <w:rFonts w:ascii="Arial Narrow" w:hAnsi="Arial Narrow"/>
              </w:rPr>
              <w:t>Cost to PBS/RPBS</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highlight w:val="black"/>
              </w:rPr>
            </w:pPr>
            <w:r>
              <w:rPr>
                <w:rFonts w:ascii="Arial Narrow" w:hAnsi="Arial Narrow" w:cs="Calibri"/>
                <w:noProof/>
                <w:color w:val="000000"/>
                <w:highlight w:val="black"/>
              </w:rPr>
              <w:t>''''''''''''''''''''''''''''''''</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highlight w:val="black"/>
              </w:rPr>
            </w:pPr>
            <w:r>
              <w:rPr>
                <w:rFonts w:ascii="Arial Narrow" w:hAnsi="Arial Narrow" w:cs="Calibri"/>
                <w:noProof/>
                <w:color w:val="000000"/>
                <w:highlight w:val="black"/>
              </w:rPr>
              <w:t>'''''''''''''''''''''''''''''</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highlight w:val="black"/>
              </w:rPr>
            </w:pPr>
            <w:r>
              <w:rPr>
                <w:rFonts w:ascii="Arial Narrow" w:hAnsi="Arial Narrow" w:cs="Calibri"/>
                <w:noProof/>
                <w:color w:val="000000"/>
                <w:highlight w:val="black"/>
              </w:rPr>
              <w:t>''''''''''''''''''''''''''''''''''</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highlight w:val="black"/>
              </w:rPr>
            </w:pPr>
            <w:r>
              <w:rPr>
                <w:rFonts w:ascii="Arial Narrow" w:hAnsi="Arial Narrow" w:cs="Calibri"/>
                <w:noProof/>
                <w:color w:val="000000"/>
                <w:highlight w:val="black"/>
              </w:rPr>
              <w:t>'''''''''''''''''''''''''''''''</w:t>
            </w:r>
          </w:p>
        </w:tc>
        <w:tc>
          <w:tcPr>
            <w:tcW w:w="647" w:type="pct"/>
            <w:shd w:val="clear" w:color="auto" w:fill="auto"/>
            <w:vAlign w:val="bottom"/>
          </w:tcPr>
          <w:p w:rsidR="006E5ACE" w:rsidRPr="0088138D" w:rsidRDefault="0088138D" w:rsidP="00E17B91">
            <w:pPr>
              <w:pStyle w:val="Tabletext"/>
              <w:keepNext/>
              <w:keepLines/>
              <w:spacing w:after="0"/>
              <w:jc w:val="center"/>
              <w:rPr>
                <w:rFonts w:ascii="Arial Narrow" w:hAnsi="Arial Narrow"/>
                <w:bCs/>
                <w:highlight w:val="black"/>
              </w:rPr>
            </w:pPr>
            <w:r>
              <w:rPr>
                <w:rFonts w:ascii="Arial Narrow" w:hAnsi="Arial Narrow" w:cs="Calibri"/>
                <w:noProof/>
                <w:color w:val="000000"/>
                <w:highlight w:val="black"/>
              </w:rPr>
              <w:t>'''''''''''''''''''''''''''''''''</w:t>
            </w:r>
          </w:p>
        </w:tc>
        <w:tc>
          <w:tcPr>
            <w:tcW w:w="647" w:type="pct"/>
            <w:vAlign w:val="bottom"/>
          </w:tcPr>
          <w:p w:rsidR="006E5ACE" w:rsidRPr="0088138D" w:rsidRDefault="0088138D" w:rsidP="00E17B91">
            <w:pPr>
              <w:pStyle w:val="Tabletext"/>
              <w:keepNext/>
              <w:keepLines/>
              <w:spacing w:after="0"/>
              <w:jc w:val="center"/>
              <w:rPr>
                <w:rFonts w:ascii="Arial Narrow" w:hAnsi="Arial Narrow"/>
                <w:bCs/>
                <w:highlight w:val="black"/>
              </w:rPr>
            </w:pPr>
            <w:r>
              <w:rPr>
                <w:rFonts w:ascii="Arial Narrow" w:hAnsi="Arial Narrow" w:cs="Calibri"/>
                <w:noProof/>
                <w:color w:val="000000"/>
                <w:highlight w:val="black"/>
              </w:rPr>
              <w:t>''''''''''''''''''''''''''''''''''</w:t>
            </w:r>
          </w:p>
        </w:tc>
      </w:tr>
      <w:tr w:rsidR="0079725D" w:rsidRPr="00041146" w:rsidTr="000D3C68">
        <w:tc>
          <w:tcPr>
            <w:tcW w:w="1118" w:type="pct"/>
            <w:shd w:val="clear" w:color="auto" w:fill="auto"/>
            <w:vAlign w:val="center"/>
          </w:tcPr>
          <w:p w:rsidR="0079725D" w:rsidRPr="00041146" w:rsidRDefault="0079725D" w:rsidP="00E17B91">
            <w:pPr>
              <w:pStyle w:val="Tabletext"/>
              <w:keepNext/>
              <w:keepLines/>
              <w:spacing w:after="0"/>
              <w:rPr>
                <w:rFonts w:ascii="Arial Narrow" w:hAnsi="Arial Narrow"/>
              </w:rPr>
            </w:pPr>
            <w:proofErr w:type="spellStart"/>
            <w:r w:rsidRPr="00041146">
              <w:rPr>
                <w:rFonts w:ascii="Arial Narrow" w:hAnsi="Arial Narrow"/>
              </w:rPr>
              <w:t>Copayments</w:t>
            </w:r>
            <w:proofErr w:type="spellEnd"/>
          </w:p>
        </w:tc>
        <w:tc>
          <w:tcPr>
            <w:tcW w:w="647" w:type="pct"/>
            <w:shd w:val="clear" w:color="auto" w:fill="auto"/>
            <w:vAlign w:val="bottom"/>
          </w:tcPr>
          <w:p w:rsidR="0079725D"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bottom"/>
          </w:tcPr>
          <w:p w:rsidR="0079725D"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bottom"/>
          </w:tcPr>
          <w:p w:rsidR="0079725D"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bottom"/>
          </w:tcPr>
          <w:p w:rsidR="0079725D"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shd w:val="clear" w:color="auto" w:fill="auto"/>
            <w:vAlign w:val="bottom"/>
          </w:tcPr>
          <w:p w:rsidR="0079725D"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c>
          <w:tcPr>
            <w:tcW w:w="647" w:type="pct"/>
            <w:vAlign w:val="bottom"/>
          </w:tcPr>
          <w:p w:rsidR="0079725D"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Calibri"/>
                <w:noProof/>
                <w:color w:val="000000"/>
                <w:highlight w:val="black"/>
              </w:rPr>
              <w:t>'''''''''''''''''''''''''''''</w:t>
            </w:r>
          </w:p>
        </w:tc>
      </w:tr>
      <w:tr w:rsidR="006E5ACE" w:rsidRPr="00041146" w:rsidTr="000D3C68">
        <w:tc>
          <w:tcPr>
            <w:tcW w:w="1118" w:type="pct"/>
            <w:shd w:val="clear" w:color="auto" w:fill="auto"/>
            <w:vAlign w:val="center"/>
          </w:tcPr>
          <w:p w:rsidR="006E5ACE" w:rsidRPr="00041146" w:rsidRDefault="006E5ACE" w:rsidP="00E17B91">
            <w:pPr>
              <w:pStyle w:val="Tabletext"/>
              <w:keepNext/>
              <w:keepLines/>
              <w:spacing w:after="0"/>
              <w:rPr>
                <w:rFonts w:ascii="Arial Narrow" w:hAnsi="Arial Narrow"/>
              </w:rPr>
            </w:pPr>
            <w:r w:rsidRPr="00041146">
              <w:rPr>
                <w:rFonts w:ascii="Arial Narrow" w:hAnsi="Arial Narrow"/>
              </w:rPr>
              <w:t xml:space="preserve">Cost to PBS/RPBS less </w:t>
            </w:r>
            <w:proofErr w:type="spellStart"/>
            <w:r w:rsidRPr="00041146">
              <w:rPr>
                <w:rFonts w:ascii="Arial Narrow" w:hAnsi="Arial Narrow"/>
              </w:rPr>
              <w:t>copayments</w:t>
            </w:r>
            <w:proofErr w:type="spellEnd"/>
          </w:p>
        </w:tc>
        <w:tc>
          <w:tcPr>
            <w:tcW w:w="647" w:type="pct"/>
            <w:shd w:val="clear" w:color="auto" w:fill="auto"/>
            <w:vAlign w:val="center"/>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vAlign w:val="center"/>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vAlign w:val="center"/>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vAlign w:val="center"/>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vAlign w:val="center"/>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vAlign w:val="center"/>
          </w:tcPr>
          <w:p w:rsidR="006E5ACE"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r>
      <w:tr w:rsidR="00C7409E" w:rsidRPr="00041146" w:rsidTr="00503AD7">
        <w:tc>
          <w:tcPr>
            <w:tcW w:w="5000" w:type="pct"/>
            <w:gridSpan w:val="7"/>
            <w:shd w:val="clear" w:color="auto" w:fill="auto"/>
            <w:vAlign w:val="center"/>
          </w:tcPr>
          <w:p w:rsidR="00C7409E" w:rsidRPr="00041146" w:rsidRDefault="00C7409E" w:rsidP="00E17B91">
            <w:pPr>
              <w:pStyle w:val="Tabletext"/>
              <w:keepNext/>
              <w:keepLines/>
              <w:spacing w:after="0"/>
              <w:rPr>
                <w:rFonts w:ascii="Arial Narrow" w:hAnsi="Arial Narrow"/>
                <w:b/>
                <w:bCs/>
                <w:color w:val="000000"/>
              </w:rPr>
            </w:pPr>
            <w:r w:rsidRPr="00041146">
              <w:rPr>
                <w:rFonts w:ascii="Arial Narrow" w:hAnsi="Arial Narrow"/>
                <w:b/>
                <w:bCs/>
                <w:color w:val="000000"/>
              </w:rPr>
              <w:t>Net financial implications</w:t>
            </w:r>
            <w:r w:rsidRPr="00041146">
              <w:rPr>
                <w:rFonts w:ascii="Arial Narrow" w:hAnsi="Arial Narrow"/>
                <w:b/>
                <w:bCs/>
                <w:color w:val="4BACC6" w:themeColor="accent5"/>
              </w:rPr>
              <w:t xml:space="preserve"> </w:t>
            </w:r>
          </w:p>
        </w:tc>
      </w:tr>
      <w:tr w:rsidR="0079725D" w:rsidRPr="00041146" w:rsidTr="000D3C68">
        <w:tc>
          <w:tcPr>
            <w:tcW w:w="1118" w:type="pct"/>
            <w:shd w:val="clear" w:color="auto" w:fill="auto"/>
            <w:vAlign w:val="center"/>
          </w:tcPr>
          <w:p w:rsidR="0079725D" w:rsidRPr="00041146" w:rsidRDefault="0079725D" w:rsidP="00E17B91">
            <w:pPr>
              <w:pStyle w:val="Tabletext"/>
              <w:keepNext/>
              <w:keepLines/>
              <w:spacing w:after="0"/>
              <w:rPr>
                <w:rFonts w:ascii="Arial Narrow" w:hAnsi="Arial Narrow"/>
              </w:rPr>
            </w:pPr>
            <w:r w:rsidRPr="00041146">
              <w:rPr>
                <w:rFonts w:ascii="Arial Narrow" w:hAnsi="Arial Narrow"/>
              </w:rPr>
              <w:t>Net cost to PBS/RPBS</w:t>
            </w:r>
          </w:p>
        </w:tc>
        <w:tc>
          <w:tcPr>
            <w:tcW w:w="647" w:type="pct"/>
            <w:shd w:val="clear" w:color="auto" w:fill="auto"/>
            <w:vAlign w:val="center"/>
          </w:tcPr>
          <w:p w:rsidR="0079725D"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 xml:space="preserve">'''''''''''''''''''''''''' </w:t>
            </w:r>
          </w:p>
        </w:tc>
        <w:tc>
          <w:tcPr>
            <w:tcW w:w="647" w:type="pct"/>
            <w:shd w:val="clear" w:color="auto" w:fill="auto"/>
            <w:vAlign w:val="center"/>
          </w:tcPr>
          <w:p w:rsidR="0079725D"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 xml:space="preserve">'''''''''''''''''''''''''''' </w:t>
            </w:r>
          </w:p>
        </w:tc>
        <w:tc>
          <w:tcPr>
            <w:tcW w:w="647" w:type="pct"/>
            <w:shd w:val="clear" w:color="auto" w:fill="auto"/>
            <w:vAlign w:val="center"/>
          </w:tcPr>
          <w:p w:rsidR="0079725D"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 xml:space="preserve">'''''''''''''''''''''''''''' </w:t>
            </w:r>
          </w:p>
        </w:tc>
        <w:tc>
          <w:tcPr>
            <w:tcW w:w="647" w:type="pct"/>
            <w:shd w:val="clear" w:color="auto" w:fill="auto"/>
            <w:vAlign w:val="center"/>
          </w:tcPr>
          <w:p w:rsidR="0079725D"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 xml:space="preserve">''''''''''''''''''''''''''''''' </w:t>
            </w:r>
          </w:p>
        </w:tc>
        <w:tc>
          <w:tcPr>
            <w:tcW w:w="647" w:type="pct"/>
            <w:shd w:val="clear" w:color="auto" w:fill="auto"/>
            <w:vAlign w:val="center"/>
          </w:tcPr>
          <w:p w:rsidR="0079725D"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 xml:space="preserve">''''''''''''''''''''''''''''' </w:t>
            </w:r>
          </w:p>
        </w:tc>
        <w:tc>
          <w:tcPr>
            <w:tcW w:w="647" w:type="pct"/>
            <w:vAlign w:val="center"/>
          </w:tcPr>
          <w:p w:rsidR="0079725D" w:rsidRPr="0088138D" w:rsidRDefault="0088138D" w:rsidP="00E17B91">
            <w:pPr>
              <w:pStyle w:val="Tabletext"/>
              <w:keepNext/>
              <w:keepLines/>
              <w:spacing w:after="0"/>
              <w:jc w:val="center"/>
              <w:rPr>
                <w:rFonts w:ascii="Arial Narrow" w:hAnsi="Arial Narrow"/>
                <w:bCs/>
                <w:color w:val="000000"/>
                <w:highlight w:val="black"/>
              </w:rPr>
            </w:pPr>
            <w:r>
              <w:rPr>
                <w:rFonts w:ascii="Arial Narrow" w:hAnsi="Arial Narrow" w:cs="Arial"/>
                <w:bCs/>
                <w:noProof/>
                <w:color w:val="000000"/>
                <w:highlight w:val="black"/>
              </w:rPr>
              <w:t xml:space="preserve">'''''''''''''''''''''''''''' </w:t>
            </w:r>
          </w:p>
        </w:tc>
      </w:tr>
    </w:tbl>
    <w:p w:rsidR="00BB7EC3" w:rsidRPr="00041146" w:rsidRDefault="00C7409E" w:rsidP="00E17B91">
      <w:pPr>
        <w:keepNext/>
        <w:keepLines/>
        <w:jc w:val="both"/>
        <w:rPr>
          <w:rFonts w:ascii="Arial Narrow" w:hAnsi="Arial Narrow"/>
          <w:sz w:val="20"/>
          <w:szCs w:val="20"/>
        </w:rPr>
      </w:pPr>
      <w:r w:rsidRPr="00041146">
        <w:rPr>
          <w:rFonts w:ascii="Arial Narrow" w:hAnsi="Arial Narrow"/>
          <w:sz w:val="20"/>
          <w:szCs w:val="20"/>
        </w:rPr>
        <w:t>Source:</w:t>
      </w:r>
      <w:r w:rsidR="006E5ACE" w:rsidRPr="00041146">
        <w:rPr>
          <w:rFonts w:ascii="Arial Narrow" w:hAnsi="Arial Narrow"/>
          <w:sz w:val="20"/>
          <w:szCs w:val="20"/>
        </w:rPr>
        <w:t xml:space="preserve"> Table 10 </w:t>
      </w:r>
      <w:proofErr w:type="spellStart"/>
      <w:r w:rsidR="006E5ACE" w:rsidRPr="00041146">
        <w:rPr>
          <w:rFonts w:ascii="Arial Narrow" w:hAnsi="Arial Narrow"/>
          <w:sz w:val="20"/>
          <w:szCs w:val="20"/>
        </w:rPr>
        <w:t>pg</w:t>
      </w:r>
      <w:proofErr w:type="spellEnd"/>
      <w:r w:rsidR="006E5ACE" w:rsidRPr="00041146">
        <w:rPr>
          <w:rFonts w:ascii="Arial Narrow" w:hAnsi="Arial Narrow"/>
          <w:sz w:val="20"/>
          <w:szCs w:val="20"/>
        </w:rPr>
        <w:t xml:space="preserve"> 26,</w:t>
      </w:r>
      <w:r w:rsidR="0079725D" w:rsidRPr="00041146">
        <w:rPr>
          <w:rFonts w:ascii="Arial Narrow" w:hAnsi="Arial Narrow"/>
          <w:sz w:val="20"/>
          <w:szCs w:val="20"/>
        </w:rPr>
        <w:t xml:space="preserve"> Table 11 </w:t>
      </w:r>
      <w:proofErr w:type="spellStart"/>
      <w:r w:rsidR="0079725D" w:rsidRPr="00041146">
        <w:rPr>
          <w:rFonts w:ascii="Arial Narrow" w:hAnsi="Arial Narrow"/>
          <w:sz w:val="20"/>
          <w:szCs w:val="20"/>
        </w:rPr>
        <w:t>pg</w:t>
      </w:r>
      <w:proofErr w:type="spellEnd"/>
      <w:r w:rsidR="0079725D" w:rsidRPr="00041146">
        <w:rPr>
          <w:rFonts w:ascii="Arial Narrow" w:hAnsi="Arial Narrow"/>
          <w:sz w:val="20"/>
          <w:szCs w:val="20"/>
        </w:rPr>
        <w:t xml:space="preserve"> 27,</w:t>
      </w:r>
      <w:r w:rsidR="006E5ACE" w:rsidRPr="00041146">
        <w:rPr>
          <w:rFonts w:ascii="Arial Narrow" w:hAnsi="Arial Narrow"/>
          <w:sz w:val="20"/>
          <w:szCs w:val="20"/>
        </w:rPr>
        <w:t xml:space="preserve"> </w:t>
      </w:r>
      <w:proofErr w:type="gramStart"/>
      <w:r w:rsidR="0079725D" w:rsidRPr="00041146">
        <w:rPr>
          <w:rFonts w:ascii="Arial Narrow" w:hAnsi="Arial Narrow"/>
          <w:sz w:val="20"/>
          <w:szCs w:val="20"/>
        </w:rPr>
        <w:t>Table</w:t>
      </w:r>
      <w:proofErr w:type="gramEnd"/>
      <w:r w:rsidR="0079725D" w:rsidRPr="00041146">
        <w:rPr>
          <w:rFonts w:ascii="Arial Narrow" w:hAnsi="Arial Narrow"/>
          <w:sz w:val="20"/>
          <w:szCs w:val="20"/>
        </w:rPr>
        <w:t xml:space="preserve"> 12 </w:t>
      </w:r>
      <w:proofErr w:type="spellStart"/>
      <w:r w:rsidR="0079725D" w:rsidRPr="00041146">
        <w:rPr>
          <w:rFonts w:ascii="Arial Narrow" w:hAnsi="Arial Narrow"/>
          <w:sz w:val="20"/>
          <w:szCs w:val="20"/>
        </w:rPr>
        <w:t>pg</w:t>
      </w:r>
      <w:proofErr w:type="spellEnd"/>
      <w:r w:rsidR="00F93052" w:rsidRPr="00041146">
        <w:rPr>
          <w:rFonts w:ascii="Arial Narrow" w:hAnsi="Arial Narrow"/>
          <w:sz w:val="20"/>
          <w:szCs w:val="20"/>
        </w:rPr>
        <w:t xml:space="preserve"> </w:t>
      </w:r>
      <w:r w:rsidR="0079725D" w:rsidRPr="00041146">
        <w:rPr>
          <w:rFonts w:ascii="Arial Narrow" w:hAnsi="Arial Narrow"/>
          <w:sz w:val="20"/>
          <w:szCs w:val="20"/>
        </w:rPr>
        <w:t>28 of the submission.</w:t>
      </w:r>
    </w:p>
    <w:p w:rsidR="00CE10C4" w:rsidRPr="00041146" w:rsidRDefault="00CE10C4" w:rsidP="00E17B91">
      <w:pPr>
        <w:rPr>
          <w:rFonts w:asciiTheme="minorHAnsi" w:hAnsiTheme="minorHAnsi"/>
          <w:sz w:val="22"/>
          <w:szCs w:val="22"/>
        </w:rPr>
      </w:pPr>
    </w:p>
    <w:p w:rsidR="00D45A7D" w:rsidRPr="00041146" w:rsidRDefault="00D45A7D" w:rsidP="00E17B91">
      <w:pPr>
        <w:pStyle w:val="Bodytextitalics"/>
        <w:jc w:val="both"/>
        <w:rPr>
          <w:i w:val="0"/>
          <w:szCs w:val="24"/>
        </w:rPr>
      </w:pPr>
      <w:r w:rsidRPr="00041146">
        <w:rPr>
          <w:i w:val="0"/>
          <w:szCs w:val="24"/>
        </w:rPr>
        <w:t>The submission presented a sensitivity analysis using a flat growth assumption of the Ventolin DC market</w:t>
      </w:r>
      <w:r w:rsidR="006B19F7" w:rsidRPr="00041146">
        <w:rPr>
          <w:i w:val="0"/>
          <w:szCs w:val="24"/>
        </w:rPr>
        <w:t xml:space="preserve"> (i.e. 0% growth rate, instead of -1%)</w:t>
      </w:r>
      <w:r w:rsidRPr="00041146">
        <w:rPr>
          <w:i w:val="0"/>
          <w:szCs w:val="24"/>
        </w:rPr>
        <w:t>. Based on this analysis</w:t>
      </w:r>
      <w:r w:rsidR="0044267E" w:rsidRPr="00041146">
        <w:rPr>
          <w:i w:val="0"/>
          <w:szCs w:val="24"/>
        </w:rPr>
        <w:t xml:space="preserve"> </w:t>
      </w:r>
      <w:r w:rsidRPr="00041146">
        <w:rPr>
          <w:i w:val="0"/>
          <w:szCs w:val="24"/>
        </w:rPr>
        <w:t xml:space="preserve">over the first six years of listing there would be an estimated cost of </w:t>
      </w:r>
      <w:r w:rsidR="008327E6">
        <w:rPr>
          <w:i w:val="0"/>
          <w:szCs w:val="24"/>
        </w:rPr>
        <w:t xml:space="preserve">$30-$60 million </w:t>
      </w:r>
      <w:r w:rsidRPr="00041146">
        <w:rPr>
          <w:i w:val="0"/>
          <w:szCs w:val="24"/>
        </w:rPr>
        <w:t>to the PBS</w:t>
      </w:r>
      <w:r w:rsidR="00C66DAE" w:rsidRPr="00041146">
        <w:rPr>
          <w:i w:val="0"/>
          <w:szCs w:val="24"/>
        </w:rPr>
        <w:t>/RPBS</w:t>
      </w:r>
      <w:r w:rsidRPr="00041146">
        <w:rPr>
          <w:i w:val="0"/>
          <w:szCs w:val="24"/>
        </w:rPr>
        <w:t xml:space="preserve">, an increase of </w:t>
      </w:r>
      <w:r w:rsidR="008327E6">
        <w:rPr>
          <w:i w:val="0"/>
          <w:szCs w:val="24"/>
        </w:rPr>
        <w:t xml:space="preserve">less than $10 million </w:t>
      </w:r>
      <w:r w:rsidRPr="00041146">
        <w:rPr>
          <w:i w:val="0"/>
          <w:szCs w:val="24"/>
        </w:rPr>
        <w:t xml:space="preserve">from the base case. </w:t>
      </w:r>
    </w:p>
    <w:p w:rsidR="0005179F" w:rsidRPr="00041146" w:rsidRDefault="0005179F" w:rsidP="00E17B91">
      <w:pPr>
        <w:pStyle w:val="Bodytextitalics"/>
        <w:jc w:val="both"/>
        <w:rPr>
          <w:i w:val="0"/>
          <w:szCs w:val="24"/>
        </w:rPr>
      </w:pPr>
      <w:r w:rsidRPr="00041146">
        <w:rPr>
          <w:i w:val="0"/>
          <w:szCs w:val="24"/>
        </w:rPr>
        <w:t>The approach to the financial estimates</w:t>
      </w:r>
      <w:r w:rsidR="00C66DAE" w:rsidRPr="00041146">
        <w:rPr>
          <w:i w:val="0"/>
          <w:szCs w:val="24"/>
        </w:rPr>
        <w:t xml:space="preserve"> taken by the submission assumed</w:t>
      </w:r>
      <w:r w:rsidRPr="00041146">
        <w:rPr>
          <w:i w:val="0"/>
          <w:szCs w:val="24"/>
        </w:rPr>
        <w:t xml:space="preserve"> that </w:t>
      </w:r>
      <w:proofErr w:type="spellStart"/>
      <w:r w:rsidRPr="00041146">
        <w:rPr>
          <w:i w:val="0"/>
          <w:szCs w:val="24"/>
        </w:rPr>
        <w:t>Asmol</w:t>
      </w:r>
      <w:proofErr w:type="spellEnd"/>
      <w:r w:rsidRPr="00041146">
        <w:rPr>
          <w:i w:val="0"/>
          <w:szCs w:val="24"/>
        </w:rPr>
        <w:t xml:space="preserve"> MDI will be delisted by 2021 and that any </w:t>
      </w:r>
      <w:proofErr w:type="spellStart"/>
      <w:r w:rsidRPr="00041146">
        <w:rPr>
          <w:i w:val="0"/>
          <w:szCs w:val="24"/>
        </w:rPr>
        <w:t>Asmol</w:t>
      </w:r>
      <w:proofErr w:type="spellEnd"/>
      <w:r w:rsidRPr="00041146">
        <w:rPr>
          <w:i w:val="0"/>
          <w:szCs w:val="24"/>
        </w:rPr>
        <w:t xml:space="preserve"> MDI with dose counter will have an AEMP of $</w:t>
      </w:r>
      <w:r w:rsidR="0088138D">
        <w:rPr>
          <w:i w:val="0"/>
          <w:noProof/>
          <w:color w:val="000000"/>
          <w:szCs w:val="24"/>
          <w:highlight w:val="black"/>
        </w:rPr>
        <w:t>'''''''''</w:t>
      </w:r>
      <w:r w:rsidRPr="00041146">
        <w:rPr>
          <w:i w:val="0"/>
          <w:szCs w:val="24"/>
        </w:rPr>
        <w:t xml:space="preserve"> higher than the current presentation. </w:t>
      </w:r>
    </w:p>
    <w:p w:rsidR="00C53B2B" w:rsidRPr="008B2B7C" w:rsidRDefault="00BA347C" w:rsidP="008B2B7C">
      <w:pPr>
        <w:pStyle w:val="Bodytextitalics"/>
        <w:jc w:val="both"/>
        <w:rPr>
          <w:i w:val="0"/>
          <w:szCs w:val="24"/>
        </w:rPr>
      </w:pPr>
      <w:r w:rsidRPr="008B2B7C">
        <w:rPr>
          <w:i w:val="0"/>
          <w:szCs w:val="24"/>
        </w:rPr>
        <w:t>As a minor submission, the financial estimates have not been independently evaluated.</w:t>
      </w:r>
      <w:r w:rsidR="00F3611C" w:rsidRPr="008B2B7C">
        <w:rPr>
          <w:i w:val="0"/>
          <w:szCs w:val="24"/>
        </w:rPr>
        <w:t xml:space="preserve"> </w:t>
      </w:r>
      <w:r w:rsidR="008B2B7C" w:rsidRPr="008B2B7C">
        <w:rPr>
          <w:i w:val="0"/>
          <w:szCs w:val="24"/>
        </w:rPr>
        <w:t xml:space="preserve">The PBAC noted that the financial estimates would need to be recalculated based on the final </w:t>
      </w:r>
      <w:r w:rsidR="008B2B7C">
        <w:rPr>
          <w:i w:val="0"/>
          <w:szCs w:val="24"/>
        </w:rPr>
        <w:t xml:space="preserve">agreed </w:t>
      </w:r>
      <w:r w:rsidR="008B2B7C" w:rsidRPr="008B2B7C">
        <w:rPr>
          <w:i w:val="0"/>
          <w:szCs w:val="24"/>
        </w:rPr>
        <w:t>price.</w:t>
      </w:r>
    </w:p>
    <w:p w:rsidR="00A31991" w:rsidRPr="00041146" w:rsidRDefault="00A31991" w:rsidP="00E17B91">
      <w:pPr>
        <w:pStyle w:val="Bodytextitalics"/>
        <w:numPr>
          <w:ilvl w:val="0"/>
          <w:numId w:val="0"/>
        </w:numPr>
        <w:ind w:left="720"/>
        <w:jc w:val="both"/>
        <w:rPr>
          <w:szCs w:val="24"/>
        </w:rPr>
      </w:pPr>
      <w:r w:rsidRPr="00041146">
        <w:rPr>
          <w:szCs w:val="24"/>
        </w:rPr>
        <w:t>For more detail on PBAC’s view, see section 5 PBAC outcome.</w:t>
      </w:r>
    </w:p>
    <w:p w:rsidR="00676569" w:rsidRPr="00041146" w:rsidRDefault="00676569" w:rsidP="00E17B91">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041146">
        <w:rPr>
          <w:rFonts w:asciiTheme="minorHAnsi" w:hAnsiTheme="minorHAnsi"/>
          <w:sz w:val="32"/>
          <w:szCs w:val="32"/>
        </w:rPr>
        <w:t>PBAC Outcome</w:t>
      </w:r>
    </w:p>
    <w:p w:rsidR="002F4F3A" w:rsidRPr="00041146" w:rsidRDefault="00683824" w:rsidP="00294D62">
      <w:pPr>
        <w:pStyle w:val="Bodytextitalics"/>
        <w:jc w:val="both"/>
        <w:rPr>
          <w:rFonts w:cs="Arial"/>
          <w:bCs/>
          <w:i w:val="0"/>
          <w:snapToGrid w:val="0"/>
        </w:rPr>
      </w:pPr>
      <w:r w:rsidRPr="00041146">
        <w:rPr>
          <w:i w:val="0"/>
        </w:rPr>
        <w:t xml:space="preserve">The PBAC recommended the Unrestricted Benefit listing of </w:t>
      </w:r>
      <w:r w:rsidR="00E17B91" w:rsidRPr="00041146">
        <w:rPr>
          <w:i w:val="0"/>
        </w:rPr>
        <w:t xml:space="preserve">salbutamol, in the form of </w:t>
      </w:r>
      <w:r w:rsidR="00294D62" w:rsidRPr="00041146">
        <w:rPr>
          <w:rFonts w:eastAsia="Times New Roman" w:cs="Times New Roman"/>
          <w:i w:val="0"/>
          <w:szCs w:val="24"/>
        </w:rPr>
        <w:t>p</w:t>
      </w:r>
      <w:r w:rsidR="00E17B91" w:rsidRPr="00041146">
        <w:rPr>
          <w:rFonts w:eastAsia="Times New Roman" w:cs="Times New Roman"/>
          <w:i w:val="0"/>
          <w:szCs w:val="24"/>
        </w:rPr>
        <w:t xml:space="preserve">ressurised inhalation 100 micrograms (as </w:t>
      </w:r>
      <w:proofErr w:type="spellStart"/>
      <w:r w:rsidR="00E17B91" w:rsidRPr="00041146">
        <w:rPr>
          <w:rFonts w:eastAsia="Times New Roman" w:cs="Times New Roman"/>
          <w:i w:val="0"/>
          <w:szCs w:val="24"/>
        </w:rPr>
        <w:t>sulfate</w:t>
      </w:r>
      <w:proofErr w:type="spellEnd"/>
      <w:r w:rsidR="00E17B91" w:rsidRPr="00041146">
        <w:rPr>
          <w:rFonts w:eastAsia="Times New Roman" w:cs="Times New Roman"/>
          <w:i w:val="0"/>
          <w:szCs w:val="24"/>
        </w:rPr>
        <w:t>) per dose with dose counter, 200 doses (CFC-free formulation)</w:t>
      </w:r>
      <w:r w:rsidR="00356495" w:rsidRPr="00041146">
        <w:rPr>
          <w:i w:val="0"/>
        </w:rPr>
        <w:t xml:space="preserve"> </w:t>
      </w:r>
      <w:r w:rsidR="00857A63" w:rsidRPr="00041146">
        <w:rPr>
          <w:i w:val="0"/>
        </w:rPr>
        <w:t>and hereafter</w:t>
      </w:r>
      <w:r w:rsidRPr="00041146">
        <w:rPr>
          <w:i w:val="0"/>
        </w:rPr>
        <w:t xml:space="preserve"> referred to as Ventolin DC</w:t>
      </w:r>
      <w:r w:rsidR="002F4F3A" w:rsidRPr="00041146">
        <w:rPr>
          <w:i w:val="0"/>
        </w:rPr>
        <w:t xml:space="preserve">. </w:t>
      </w:r>
      <w:r w:rsidR="002F4F3A" w:rsidRPr="00041146">
        <w:rPr>
          <w:rFonts w:cs="Arial"/>
          <w:bCs/>
          <w:i w:val="0"/>
          <w:snapToGrid w:val="0"/>
        </w:rPr>
        <w:t xml:space="preserve">The PBAC’s recommendation for listing was based on, among other matters, </w:t>
      </w:r>
      <w:r w:rsidR="00294D62" w:rsidRPr="00041146">
        <w:rPr>
          <w:rFonts w:cs="Arial"/>
          <w:bCs/>
          <w:i w:val="0"/>
          <w:snapToGrid w:val="0"/>
        </w:rPr>
        <w:t xml:space="preserve">the potential health benefits related to the likely risk of having sub-therapeutic or negligible drug being available at a time of acute bronchoconstriction and the role of a DC in this specific context to act as a reminder to replace medication. The PBAC considered </w:t>
      </w:r>
      <w:r w:rsidR="002F4F3A" w:rsidRPr="00041146">
        <w:rPr>
          <w:rFonts w:cs="Arial"/>
          <w:bCs/>
          <w:i w:val="0"/>
          <w:snapToGrid w:val="0"/>
        </w:rPr>
        <w:t>that the cost-effectiveness of Ventolin DC would be acceptable</w:t>
      </w:r>
      <w:r w:rsidR="003B2774" w:rsidRPr="00041146">
        <w:rPr>
          <w:rFonts w:cs="Arial"/>
          <w:bCs/>
          <w:i w:val="0"/>
          <w:snapToGrid w:val="0"/>
        </w:rPr>
        <w:t xml:space="preserve"> if it was priced with a </w:t>
      </w:r>
      <w:r w:rsidR="003B2774" w:rsidRPr="001131A3">
        <w:rPr>
          <w:rFonts w:cs="Arial"/>
          <w:bCs/>
          <w:i w:val="0"/>
          <w:snapToGrid w:val="0"/>
        </w:rPr>
        <w:t>small premium (</w:t>
      </w:r>
      <w:proofErr w:type="gramStart"/>
      <w:r w:rsidR="0088138D">
        <w:rPr>
          <w:rFonts w:cs="Arial"/>
          <w:bCs/>
          <w:i w:val="0"/>
          <w:noProof/>
          <w:snapToGrid w:val="0"/>
          <w:color w:val="000000"/>
          <w:highlight w:val="black"/>
        </w:rPr>
        <w:t>''''''''''</w:t>
      </w:r>
      <w:r w:rsidR="003B2774" w:rsidRPr="001131A3">
        <w:rPr>
          <w:rFonts w:cs="Arial"/>
          <w:bCs/>
          <w:i w:val="0"/>
          <w:snapToGrid w:val="0"/>
        </w:rPr>
        <w:t>%</w:t>
      </w:r>
      <w:proofErr w:type="gramEnd"/>
      <w:r w:rsidR="003B2774" w:rsidRPr="001131A3">
        <w:rPr>
          <w:rFonts w:cs="Arial"/>
          <w:bCs/>
          <w:i w:val="0"/>
          <w:snapToGrid w:val="0"/>
        </w:rPr>
        <w:t>)</w:t>
      </w:r>
      <w:r w:rsidR="003B2774" w:rsidRPr="00041146">
        <w:rPr>
          <w:rFonts w:cs="Arial"/>
          <w:bCs/>
          <w:i w:val="0"/>
          <w:snapToGrid w:val="0"/>
        </w:rPr>
        <w:t xml:space="preserve"> over the </w:t>
      </w:r>
      <w:r w:rsidR="006234A9" w:rsidRPr="00041146">
        <w:rPr>
          <w:rFonts w:cs="Arial"/>
          <w:bCs/>
          <w:i w:val="0"/>
          <w:snapToGrid w:val="0"/>
        </w:rPr>
        <w:t xml:space="preserve">current </w:t>
      </w:r>
      <w:r w:rsidR="003B2774" w:rsidRPr="00041146">
        <w:rPr>
          <w:rFonts w:cs="Arial"/>
          <w:bCs/>
          <w:i w:val="0"/>
          <w:snapToGrid w:val="0"/>
        </w:rPr>
        <w:t>Ventolin MDI price</w:t>
      </w:r>
      <w:r w:rsidR="002F4F3A" w:rsidRPr="00041146">
        <w:rPr>
          <w:rFonts w:cs="Arial"/>
          <w:bCs/>
          <w:i w:val="0"/>
          <w:snapToGrid w:val="0"/>
        </w:rPr>
        <w:t xml:space="preserve">. </w:t>
      </w:r>
    </w:p>
    <w:p w:rsidR="00B72DBF" w:rsidRPr="008B2B7C" w:rsidRDefault="00B72DBF" w:rsidP="00E17B91">
      <w:pPr>
        <w:numPr>
          <w:ilvl w:val="1"/>
          <w:numId w:val="1"/>
        </w:numPr>
        <w:spacing w:after="120"/>
        <w:jc w:val="both"/>
        <w:rPr>
          <w:rFonts w:asciiTheme="minorHAnsi" w:hAnsiTheme="minorHAnsi" w:cs="Arial"/>
          <w:bCs/>
          <w:snapToGrid w:val="0"/>
        </w:rPr>
      </w:pPr>
      <w:r w:rsidRPr="008B2B7C">
        <w:rPr>
          <w:rFonts w:asciiTheme="minorHAnsi" w:hAnsiTheme="minorHAnsi" w:cs="Arial"/>
          <w:bCs/>
          <w:snapToGrid w:val="0"/>
        </w:rPr>
        <w:t xml:space="preserve">The PBAC welcomed the input from individuals and organisations and noted </w:t>
      </w:r>
      <w:r w:rsidR="008102B1" w:rsidRPr="008B2B7C">
        <w:rPr>
          <w:rFonts w:asciiTheme="minorHAnsi" w:hAnsiTheme="minorHAnsi" w:cs="Arial"/>
          <w:bCs/>
          <w:snapToGrid w:val="0"/>
        </w:rPr>
        <w:t>the input</w:t>
      </w:r>
      <w:r w:rsidRPr="008B2B7C">
        <w:rPr>
          <w:rFonts w:asciiTheme="minorHAnsi" w:hAnsiTheme="minorHAnsi" w:cs="Arial"/>
          <w:bCs/>
          <w:snapToGrid w:val="0"/>
        </w:rPr>
        <w:t xml:space="preserve"> described the</w:t>
      </w:r>
      <w:r w:rsidRPr="00041146">
        <w:rPr>
          <w:rFonts w:asciiTheme="minorHAnsi" w:hAnsiTheme="minorHAnsi" w:cs="Arial"/>
          <w:bCs/>
          <w:snapToGrid w:val="0"/>
        </w:rPr>
        <w:t xml:space="preserve"> importance of patients receiving accurate metered doses of salbutamol </w:t>
      </w:r>
      <w:r w:rsidRPr="00041146">
        <w:rPr>
          <w:rFonts w:asciiTheme="minorHAnsi" w:hAnsiTheme="minorHAnsi" w:cs="Arial"/>
          <w:bCs/>
          <w:snapToGrid w:val="0"/>
        </w:rPr>
        <w:lastRenderedPageBreak/>
        <w:t>when required to relieve bronchoconstriction</w:t>
      </w:r>
      <w:r w:rsidR="000A3DBA" w:rsidRPr="00041146">
        <w:rPr>
          <w:rFonts w:asciiTheme="minorHAnsi" w:hAnsiTheme="minorHAnsi" w:cs="Arial"/>
          <w:bCs/>
          <w:snapToGrid w:val="0"/>
        </w:rPr>
        <w:t xml:space="preserve"> and will provide a reminder to </w:t>
      </w:r>
      <w:r w:rsidR="0025225C" w:rsidRPr="00041146">
        <w:rPr>
          <w:rFonts w:asciiTheme="minorHAnsi" w:hAnsiTheme="minorHAnsi" w:cs="Arial"/>
          <w:bCs/>
          <w:snapToGrid w:val="0"/>
        </w:rPr>
        <w:t xml:space="preserve">patients to </w:t>
      </w:r>
      <w:r w:rsidR="000A3DBA" w:rsidRPr="00041146">
        <w:rPr>
          <w:rFonts w:asciiTheme="minorHAnsi" w:hAnsiTheme="minorHAnsi" w:cs="Arial"/>
          <w:bCs/>
          <w:snapToGrid w:val="0"/>
        </w:rPr>
        <w:t>replace the medication</w:t>
      </w:r>
      <w:r w:rsidRPr="00041146">
        <w:rPr>
          <w:rFonts w:asciiTheme="minorHAnsi" w:hAnsiTheme="minorHAnsi" w:cs="Arial"/>
          <w:bCs/>
          <w:snapToGrid w:val="0"/>
        </w:rPr>
        <w:t xml:space="preserve">. </w:t>
      </w:r>
    </w:p>
    <w:p w:rsidR="000D24F6" w:rsidRPr="00857A63" w:rsidRDefault="00B72DBF" w:rsidP="00E17B91">
      <w:pPr>
        <w:numPr>
          <w:ilvl w:val="1"/>
          <w:numId w:val="1"/>
        </w:numPr>
        <w:spacing w:after="120"/>
        <w:jc w:val="both"/>
        <w:rPr>
          <w:rFonts w:asciiTheme="minorHAnsi" w:hAnsiTheme="minorHAnsi" w:cs="Arial"/>
          <w:bCs/>
          <w:snapToGrid w:val="0"/>
        </w:rPr>
      </w:pPr>
      <w:r w:rsidRPr="008B2B7C">
        <w:rPr>
          <w:rFonts w:asciiTheme="minorHAnsi" w:hAnsiTheme="minorHAnsi" w:cs="Arial"/>
          <w:bCs/>
          <w:snapToGrid w:val="0"/>
        </w:rPr>
        <w:t>The PBAC</w:t>
      </w:r>
      <w:r w:rsidR="004C7684" w:rsidRPr="008B2B7C">
        <w:rPr>
          <w:rFonts w:asciiTheme="minorHAnsi" w:hAnsiTheme="minorHAnsi" w:cs="Arial"/>
          <w:bCs/>
          <w:snapToGrid w:val="0"/>
        </w:rPr>
        <w:t xml:space="preserve"> noted</w:t>
      </w:r>
      <w:r w:rsidRPr="008B2B7C">
        <w:rPr>
          <w:rFonts w:asciiTheme="minorHAnsi" w:hAnsiTheme="minorHAnsi" w:cs="Arial"/>
          <w:bCs/>
          <w:snapToGrid w:val="0"/>
        </w:rPr>
        <w:t xml:space="preserve"> </w:t>
      </w:r>
      <w:r w:rsidR="00904000" w:rsidRPr="008B2B7C">
        <w:rPr>
          <w:rFonts w:asciiTheme="minorHAnsi" w:hAnsiTheme="minorHAnsi" w:cs="Arial"/>
          <w:bCs/>
          <w:snapToGrid w:val="0"/>
        </w:rPr>
        <w:t xml:space="preserve">the studies identified by the </w:t>
      </w:r>
      <w:r w:rsidR="004C7684" w:rsidRPr="008B2B7C">
        <w:rPr>
          <w:rFonts w:asciiTheme="minorHAnsi" w:hAnsiTheme="minorHAnsi" w:cs="Arial"/>
          <w:bCs/>
          <w:snapToGrid w:val="0"/>
        </w:rPr>
        <w:t xml:space="preserve">submission to </w:t>
      </w:r>
      <w:r w:rsidRPr="008B2B7C">
        <w:rPr>
          <w:rFonts w:asciiTheme="minorHAnsi" w:hAnsiTheme="minorHAnsi" w:cs="Arial"/>
          <w:bCs/>
          <w:snapToGrid w:val="0"/>
        </w:rPr>
        <w:t xml:space="preserve">provide evidence </w:t>
      </w:r>
      <w:r w:rsidR="004C7684" w:rsidRPr="008B2B7C">
        <w:rPr>
          <w:rFonts w:asciiTheme="minorHAnsi" w:hAnsiTheme="minorHAnsi" w:cs="Arial"/>
          <w:bCs/>
          <w:snapToGrid w:val="0"/>
        </w:rPr>
        <w:t xml:space="preserve">on the impact </w:t>
      </w:r>
      <w:r w:rsidRPr="008B2B7C">
        <w:rPr>
          <w:rFonts w:asciiTheme="minorHAnsi" w:hAnsiTheme="minorHAnsi" w:cs="Arial"/>
          <w:bCs/>
          <w:snapToGrid w:val="0"/>
        </w:rPr>
        <w:t>of a dose counter in an MDI device on patient satisfaction</w:t>
      </w:r>
      <w:r w:rsidR="004C7684" w:rsidRPr="008B2B7C">
        <w:rPr>
          <w:rFonts w:asciiTheme="minorHAnsi" w:hAnsiTheme="minorHAnsi" w:cs="Arial"/>
          <w:bCs/>
          <w:snapToGrid w:val="0"/>
        </w:rPr>
        <w:t xml:space="preserve"> (Wasserman 2006)</w:t>
      </w:r>
      <w:r w:rsidRPr="008B2B7C">
        <w:rPr>
          <w:rFonts w:asciiTheme="minorHAnsi" w:hAnsiTheme="minorHAnsi" w:cs="Arial"/>
          <w:bCs/>
          <w:snapToGrid w:val="0"/>
        </w:rPr>
        <w:t xml:space="preserve"> and healthcare utilisation</w:t>
      </w:r>
      <w:r w:rsidR="004C7684" w:rsidRPr="008B2B7C">
        <w:rPr>
          <w:rFonts w:asciiTheme="minorHAnsi" w:hAnsiTheme="minorHAnsi" w:cs="Arial"/>
          <w:bCs/>
          <w:snapToGrid w:val="0"/>
        </w:rPr>
        <w:t xml:space="preserve"> (</w:t>
      </w:r>
      <w:proofErr w:type="spellStart"/>
      <w:r w:rsidR="004C7684" w:rsidRPr="008B2B7C">
        <w:rPr>
          <w:rFonts w:asciiTheme="minorHAnsi" w:hAnsiTheme="minorHAnsi" w:cs="Arial"/>
          <w:bCs/>
          <w:snapToGrid w:val="0"/>
        </w:rPr>
        <w:t>Chipps</w:t>
      </w:r>
      <w:proofErr w:type="spellEnd"/>
      <w:r w:rsidR="004C7684" w:rsidRPr="008B2B7C">
        <w:rPr>
          <w:rFonts w:asciiTheme="minorHAnsi" w:hAnsiTheme="minorHAnsi" w:cs="Arial"/>
          <w:bCs/>
          <w:snapToGrid w:val="0"/>
        </w:rPr>
        <w:t xml:space="preserve"> </w:t>
      </w:r>
      <w:r w:rsidR="005614D0" w:rsidRPr="008B2B7C">
        <w:rPr>
          <w:rFonts w:asciiTheme="minorHAnsi" w:hAnsiTheme="minorHAnsi" w:cs="Arial"/>
          <w:bCs/>
          <w:snapToGrid w:val="0"/>
        </w:rPr>
        <w:t xml:space="preserve">2017, </w:t>
      </w:r>
      <w:proofErr w:type="spellStart"/>
      <w:r w:rsidR="005614D0" w:rsidRPr="008B2B7C">
        <w:rPr>
          <w:rFonts w:asciiTheme="minorHAnsi" w:hAnsiTheme="minorHAnsi" w:cs="Arial"/>
          <w:bCs/>
          <w:snapToGrid w:val="0"/>
        </w:rPr>
        <w:t>Kerwin</w:t>
      </w:r>
      <w:proofErr w:type="spellEnd"/>
      <w:r w:rsidR="005614D0" w:rsidRPr="008B2B7C">
        <w:rPr>
          <w:rFonts w:asciiTheme="minorHAnsi" w:hAnsiTheme="minorHAnsi" w:cs="Arial"/>
          <w:bCs/>
          <w:snapToGrid w:val="0"/>
        </w:rPr>
        <w:t xml:space="preserve"> 2017, Lachman 2018</w:t>
      </w:r>
      <w:r w:rsidR="004C7684" w:rsidRPr="008B2B7C">
        <w:rPr>
          <w:rFonts w:asciiTheme="minorHAnsi" w:hAnsiTheme="minorHAnsi" w:cs="Arial"/>
          <w:bCs/>
          <w:snapToGrid w:val="0"/>
        </w:rPr>
        <w:t xml:space="preserve">, </w:t>
      </w:r>
      <w:proofErr w:type="gramStart"/>
      <w:r w:rsidR="004C7684" w:rsidRPr="008B2B7C">
        <w:rPr>
          <w:rFonts w:asciiTheme="minorHAnsi" w:hAnsiTheme="minorHAnsi" w:cs="Arial"/>
          <w:bCs/>
          <w:snapToGrid w:val="0"/>
        </w:rPr>
        <w:t>Price</w:t>
      </w:r>
      <w:proofErr w:type="gramEnd"/>
      <w:r w:rsidR="004C7684" w:rsidRPr="008B2B7C">
        <w:rPr>
          <w:rFonts w:asciiTheme="minorHAnsi" w:hAnsiTheme="minorHAnsi" w:cs="Arial"/>
          <w:bCs/>
          <w:snapToGrid w:val="0"/>
        </w:rPr>
        <w:t xml:space="preserve"> 2016). </w:t>
      </w:r>
      <w:r w:rsidR="00071D5E" w:rsidRPr="00041146">
        <w:rPr>
          <w:rFonts w:asciiTheme="minorHAnsi" w:hAnsiTheme="minorHAnsi" w:cs="Arial"/>
          <w:bCs/>
          <w:snapToGrid w:val="0"/>
        </w:rPr>
        <w:t xml:space="preserve">The PBAC considered the risk of bias </w:t>
      </w:r>
      <w:r w:rsidR="004C7684" w:rsidRPr="00041146">
        <w:rPr>
          <w:rFonts w:asciiTheme="minorHAnsi" w:hAnsiTheme="minorHAnsi" w:cs="Arial"/>
          <w:bCs/>
          <w:snapToGrid w:val="0"/>
        </w:rPr>
        <w:t>to be high</w:t>
      </w:r>
      <w:r w:rsidR="00587366" w:rsidRPr="00041146">
        <w:rPr>
          <w:rFonts w:asciiTheme="minorHAnsi" w:hAnsiTheme="minorHAnsi" w:cs="Arial"/>
          <w:bCs/>
          <w:snapToGrid w:val="0"/>
        </w:rPr>
        <w:t xml:space="preserve"> and in favour of Ventolin DC</w:t>
      </w:r>
      <w:r w:rsidR="004C7684" w:rsidRPr="00041146">
        <w:rPr>
          <w:rFonts w:asciiTheme="minorHAnsi" w:hAnsiTheme="minorHAnsi" w:cs="Arial"/>
          <w:bCs/>
          <w:snapToGrid w:val="0"/>
        </w:rPr>
        <w:t xml:space="preserve"> in the</w:t>
      </w:r>
      <w:r w:rsidR="00071D5E" w:rsidRPr="00041146">
        <w:rPr>
          <w:rFonts w:asciiTheme="minorHAnsi" w:hAnsiTheme="minorHAnsi" w:cs="Arial"/>
          <w:bCs/>
          <w:snapToGrid w:val="0"/>
        </w:rPr>
        <w:t xml:space="preserve"> non-controlled, </w:t>
      </w:r>
      <w:proofErr w:type="spellStart"/>
      <w:r w:rsidR="005614D0" w:rsidRPr="00857A63">
        <w:rPr>
          <w:rFonts w:asciiTheme="minorHAnsi" w:hAnsiTheme="minorHAnsi" w:cs="Arial"/>
          <w:bCs/>
          <w:snapToGrid w:val="0"/>
        </w:rPr>
        <w:t>unblinded</w:t>
      </w:r>
      <w:proofErr w:type="spellEnd"/>
      <w:r w:rsidR="005614D0" w:rsidRPr="00857A63">
        <w:rPr>
          <w:rFonts w:asciiTheme="minorHAnsi" w:hAnsiTheme="minorHAnsi" w:cs="Arial"/>
          <w:bCs/>
          <w:snapToGrid w:val="0"/>
        </w:rPr>
        <w:t xml:space="preserve"> patient satisfaction</w:t>
      </w:r>
      <w:r w:rsidR="00071D5E" w:rsidRPr="00857A63">
        <w:rPr>
          <w:rFonts w:asciiTheme="minorHAnsi" w:hAnsiTheme="minorHAnsi" w:cs="Arial"/>
          <w:bCs/>
          <w:snapToGrid w:val="0"/>
        </w:rPr>
        <w:t xml:space="preserve"> study. </w:t>
      </w:r>
    </w:p>
    <w:p w:rsidR="002B7B7D" w:rsidRPr="00041146" w:rsidRDefault="000D24F6" w:rsidP="00E17B91">
      <w:pPr>
        <w:numPr>
          <w:ilvl w:val="1"/>
          <w:numId w:val="1"/>
        </w:numPr>
        <w:spacing w:after="120"/>
        <w:jc w:val="both"/>
        <w:rPr>
          <w:rFonts w:asciiTheme="minorHAnsi" w:hAnsiTheme="minorHAnsi" w:cs="Arial"/>
          <w:bCs/>
          <w:snapToGrid w:val="0"/>
        </w:rPr>
      </w:pPr>
      <w:r w:rsidRPr="00041146">
        <w:rPr>
          <w:rFonts w:asciiTheme="minorHAnsi" w:hAnsiTheme="minorHAnsi" w:cs="Arial"/>
          <w:bCs/>
          <w:snapToGrid w:val="0"/>
        </w:rPr>
        <w:t>In addition, t</w:t>
      </w:r>
      <w:r w:rsidR="00265357" w:rsidRPr="00041146">
        <w:rPr>
          <w:rFonts w:asciiTheme="minorHAnsi" w:hAnsiTheme="minorHAnsi" w:cs="Arial"/>
          <w:bCs/>
          <w:snapToGrid w:val="0"/>
        </w:rPr>
        <w:t>he PBAC noted that all four healthcare utilisation studies</w:t>
      </w:r>
      <w:r w:rsidRPr="00041146">
        <w:rPr>
          <w:rFonts w:asciiTheme="minorHAnsi" w:hAnsiTheme="minorHAnsi" w:cs="Arial"/>
          <w:bCs/>
          <w:snapToGrid w:val="0"/>
        </w:rPr>
        <w:t xml:space="preserve"> </w:t>
      </w:r>
      <w:r w:rsidR="00265357" w:rsidRPr="00041146">
        <w:rPr>
          <w:rFonts w:asciiTheme="minorHAnsi" w:hAnsiTheme="minorHAnsi" w:cs="Arial"/>
          <w:bCs/>
          <w:snapToGrid w:val="0"/>
        </w:rPr>
        <w:t xml:space="preserve">were conducted in the United States and considered that differences in healthcare settings may limit applicability to the Australian setting. </w:t>
      </w:r>
      <w:r w:rsidR="009742C4" w:rsidRPr="00041146">
        <w:rPr>
          <w:rFonts w:asciiTheme="minorHAnsi" w:hAnsiTheme="minorHAnsi" w:cs="Arial"/>
          <w:bCs/>
          <w:snapToGrid w:val="0"/>
        </w:rPr>
        <w:t>The P</w:t>
      </w:r>
      <w:r w:rsidRPr="00041146">
        <w:rPr>
          <w:rFonts w:asciiTheme="minorHAnsi" w:hAnsiTheme="minorHAnsi" w:cs="Arial"/>
          <w:bCs/>
          <w:snapToGrid w:val="0"/>
        </w:rPr>
        <w:t xml:space="preserve">BAC </w:t>
      </w:r>
      <w:r w:rsidR="002B7B7D" w:rsidRPr="00041146">
        <w:rPr>
          <w:rFonts w:asciiTheme="minorHAnsi" w:hAnsiTheme="minorHAnsi" w:cs="Arial"/>
          <w:bCs/>
          <w:snapToGrid w:val="0"/>
        </w:rPr>
        <w:t>also</w:t>
      </w:r>
      <w:bookmarkStart w:id="3" w:name="_GoBack"/>
      <w:bookmarkEnd w:id="3"/>
      <w:r w:rsidR="002B7B7D" w:rsidRPr="00041146">
        <w:rPr>
          <w:rFonts w:asciiTheme="minorHAnsi" w:hAnsiTheme="minorHAnsi" w:cs="Arial"/>
          <w:bCs/>
          <w:snapToGrid w:val="0"/>
        </w:rPr>
        <w:t xml:space="preserve"> </w:t>
      </w:r>
      <w:r w:rsidRPr="00041146">
        <w:rPr>
          <w:rFonts w:asciiTheme="minorHAnsi" w:hAnsiTheme="minorHAnsi" w:cs="Arial"/>
          <w:bCs/>
          <w:snapToGrid w:val="0"/>
        </w:rPr>
        <w:t>considered</w:t>
      </w:r>
      <w:r w:rsidR="009742C4" w:rsidRPr="00041146">
        <w:rPr>
          <w:rFonts w:asciiTheme="minorHAnsi" w:hAnsiTheme="minorHAnsi" w:cs="Arial"/>
          <w:bCs/>
          <w:snapToGrid w:val="0"/>
        </w:rPr>
        <w:t xml:space="preserve"> that despite the large sample size (n=422,548) </w:t>
      </w:r>
      <w:r w:rsidR="00587366" w:rsidRPr="00041146">
        <w:rPr>
          <w:rFonts w:asciiTheme="minorHAnsi" w:hAnsiTheme="minorHAnsi" w:cs="Arial"/>
          <w:bCs/>
          <w:snapToGrid w:val="0"/>
        </w:rPr>
        <w:t xml:space="preserve">in the </w:t>
      </w:r>
      <w:proofErr w:type="spellStart"/>
      <w:r w:rsidR="009742C4" w:rsidRPr="00041146">
        <w:rPr>
          <w:rFonts w:asciiTheme="minorHAnsi" w:hAnsiTheme="minorHAnsi" w:cs="Arial"/>
          <w:bCs/>
          <w:snapToGrid w:val="0"/>
        </w:rPr>
        <w:t>Kerwin</w:t>
      </w:r>
      <w:proofErr w:type="spellEnd"/>
      <w:r w:rsidR="009742C4" w:rsidRPr="00041146">
        <w:rPr>
          <w:rFonts w:asciiTheme="minorHAnsi" w:hAnsiTheme="minorHAnsi" w:cs="Arial"/>
          <w:bCs/>
          <w:snapToGrid w:val="0"/>
        </w:rPr>
        <w:t xml:space="preserve"> 2017 study the differ</w:t>
      </w:r>
      <w:r w:rsidRPr="00041146">
        <w:rPr>
          <w:rFonts w:asciiTheme="minorHAnsi" w:hAnsiTheme="minorHAnsi" w:cs="Arial"/>
          <w:bCs/>
          <w:snapToGrid w:val="0"/>
        </w:rPr>
        <w:t>ences were</w:t>
      </w:r>
      <w:r w:rsidR="009742C4" w:rsidRPr="00041146">
        <w:rPr>
          <w:rFonts w:asciiTheme="minorHAnsi" w:hAnsiTheme="minorHAnsi" w:cs="Arial"/>
          <w:bCs/>
          <w:snapToGrid w:val="0"/>
        </w:rPr>
        <w:t xml:space="preserve"> </w:t>
      </w:r>
      <w:r w:rsidRPr="00041146">
        <w:rPr>
          <w:rFonts w:asciiTheme="minorHAnsi" w:hAnsiTheme="minorHAnsi" w:cs="Arial"/>
          <w:bCs/>
          <w:snapToGrid w:val="0"/>
        </w:rPr>
        <w:t xml:space="preserve">small for the odds of experiencing a respiratory-related hospitalisation </w:t>
      </w:r>
      <w:r w:rsidR="00E132E5" w:rsidRPr="00041146">
        <w:rPr>
          <w:rFonts w:asciiTheme="minorHAnsi" w:hAnsiTheme="minorHAnsi" w:cs="Arial"/>
          <w:bCs/>
          <w:snapToGrid w:val="0"/>
        </w:rPr>
        <w:t>(DC</w:t>
      </w:r>
      <w:r w:rsidRPr="00041146">
        <w:rPr>
          <w:rFonts w:asciiTheme="minorHAnsi" w:hAnsiTheme="minorHAnsi" w:cs="Arial"/>
          <w:bCs/>
          <w:snapToGrid w:val="0"/>
        </w:rPr>
        <w:t xml:space="preserve"> vs no DC, adjusted OR 0.92; 95% CI 0.88-0.96) or emergency department visit (adjusted OR 0.92; 95% CI 0.90-0.94) with the upper 95% confidence intervals close to the null value. </w:t>
      </w:r>
      <w:r w:rsidR="00587366" w:rsidRPr="00041146">
        <w:rPr>
          <w:rFonts w:asciiTheme="minorHAnsi" w:hAnsiTheme="minorHAnsi" w:cs="Arial"/>
          <w:bCs/>
          <w:snapToGrid w:val="0"/>
        </w:rPr>
        <w:t xml:space="preserve">The PBAC also noted that Price 2016 reported no differences in the rates of severe exacerbations or the rates of acute respiratory events between DC versus no DC MDI use. The PBAC noted the remaining two </w:t>
      </w:r>
      <w:r w:rsidR="00265357" w:rsidRPr="00041146">
        <w:rPr>
          <w:rFonts w:asciiTheme="minorHAnsi" w:hAnsiTheme="minorHAnsi" w:cs="Arial"/>
          <w:bCs/>
          <w:snapToGrid w:val="0"/>
        </w:rPr>
        <w:t xml:space="preserve">studies </w:t>
      </w:r>
      <w:r w:rsidR="00587366" w:rsidRPr="00041146">
        <w:rPr>
          <w:rFonts w:asciiTheme="minorHAnsi" w:hAnsiTheme="minorHAnsi" w:cs="Arial"/>
          <w:bCs/>
          <w:snapToGrid w:val="0"/>
        </w:rPr>
        <w:t>(</w:t>
      </w:r>
      <w:proofErr w:type="spellStart"/>
      <w:r w:rsidR="00587366" w:rsidRPr="00041146">
        <w:rPr>
          <w:rFonts w:asciiTheme="minorHAnsi" w:hAnsiTheme="minorHAnsi" w:cs="Arial"/>
          <w:bCs/>
          <w:snapToGrid w:val="0"/>
        </w:rPr>
        <w:t>Chipps</w:t>
      </w:r>
      <w:proofErr w:type="spellEnd"/>
      <w:r w:rsidR="00587366" w:rsidRPr="00041146">
        <w:rPr>
          <w:rFonts w:asciiTheme="minorHAnsi" w:hAnsiTheme="minorHAnsi" w:cs="Arial"/>
          <w:bCs/>
          <w:snapToGrid w:val="0"/>
        </w:rPr>
        <w:t xml:space="preserve"> 2017, </w:t>
      </w:r>
      <w:proofErr w:type="spellStart"/>
      <w:r w:rsidR="00587366" w:rsidRPr="00041146">
        <w:rPr>
          <w:rFonts w:asciiTheme="minorHAnsi" w:hAnsiTheme="minorHAnsi" w:cs="Arial"/>
          <w:bCs/>
          <w:snapToGrid w:val="0"/>
        </w:rPr>
        <w:t>Lachmann</w:t>
      </w:r>
      <w:proofErr w:type="spellEnd"/>
      <w:r w:rsidR="00587366" w:rsidRPr="00041146">
        <w:rPr>
          <w:rFonts w:asciiTheme="minorHAnsi" w:hAnsiTheme="minorHAnsi" w:cs="Arial"/>
          <w:bCs/>
          <w:snapToGrid w:val="0"/>
        </w:rPr>
        <w:t xml:space="preserve"> 2018) were </w:t>
      </w:r>
      <w:r w:rsidR="003567C8" w:rsidRPr="00041146">
        <w:rPr>
          <w:rFonts w:asciiTheme="minorHAnsi" w:hAnsiTheme="minorHAnsi" w:cs="Arial"/>
          <w:bCs/>
          <w:snapToGrid w:val="0"/>
        </w:rPr>
        <w:t xml:space="preserve">provided </w:t>
      </w:r>
      <w:r w:rsidR="00587366" w:rsidRPr="00041146">
        <w:rPr>
          <w:rFonts w:asciiTheme="minorHAnsi" w:hAnsiTheme="minorHAnsi" w:cs="Arial"/>
          <w:bCs/>
          <w:snapToGrid w:val="0"/>
        </w:rPr>
        <w:t xml:space="preserve">in abstract form only. </w:t>
      </w:r>
      <w:r w:rsidR="002B7B7D" w:rsidRPr="00041146">
        <w:rPr>
          <w:rFonts w:asciiTheme="minorHAnsi" w:hAnsiTheme="minorHAnsi" w:cs="Arial"/>
          <w:bCs/>
          <w:snapToGrid w:val="0"/>
        </w:rPr>
        <w:t>The PBAC considered that the evidence</w:t>
      </w:r>
      <w:r w:rsidR="003568EF" w:rsidRPr="00041146">
        <w:rPr>
          <w:rFonts w:asciiTheme="minorHAnsi" w:hAnsiTheme="minorHAnsi" w:cs="Arial"/>
          <w:bCs/>
          <w:snapToGrid w:val="0"/>
        </w:rPr>
        <w:t xml:space="preserve"> supporting </w:t>
      </w:r>
      <w:r w:rsidR="00E132E5" w:rsidRPr="00041146">
        <w:rPr>
          <w:rFonts w:asciiTheme="minorHAnsi" w:hAnsiTheme="minorHAnsi" w:cs="Arial"/>
          <w:bCs/>
          <w:snapToGrid w:val="0"/>
        </w:rPr>
        <w:t xml:space="preserve">a reduction in healthcare utilisation as a result of an integrated DC was limited. However, the PBAC acknowledged the </w:t>
      </w:r>
      <w:r w:rsidR="00ED0D6C" w:rsidRPr="00041146">
        <w:rPr>
          <w:rFonts w:asciiTheme="minorHAnsi" w:hAnsiTheme="minorHAnsi" w:cs="Arial"/>
          <w:bCs/>
          <w:snapToGrid w:val="0"/>
        </w:rPr>
        <w:t xml:space="preserve">potential risk of having sub-therapeutic or negligible drug being available at a time of acute </w:t>
      </w:r>
      <w:r w:rsidR="00E132E5" w:rsidRPr="00041146">
        <w:rPr>
          <w:rFonts w:asciiTheme="minorHAnsi" w:hAnsiTheme="minorHAnsi" w:cs="Arial"/>
          <w:bCs/>
          <w:snapToGrid w:val="0"/>
        </w:rPr>
        <w:t>bronchoconstriction</w:t>
      </w:r>
      <w:r w:rsidR="005A0FB9" w:rsidRPr="00041146">
        <w:rPr>
          <w:rFonts w:asciiTheme="minorHAnsi" w:hAnsiTheme="minorHAnsi" w:cs="Arial"/>
          <w:bCs/>
          <w:snapToGrid w:val="0"/>
        </w:rPr>
        <w:t xml:space="preserve"> and the role of a DC in this </w:t>
      </w:r>
      <w:r w:rsidR="00F72527" w:rsidRPr="00041146">
        <w:rPr>
          <w:rFonts w:asciiTheme="minorHAnsi" w:hAnsiTheme="minorHAnsi" w:cs="Arial"/>
          <w:bCs/>
          <w:snapToGrid w:val="0"/>
        </w:rPr>
        <w:t xml:space="preserve">specific context </w:t>
      </w:r>
      <w:r w:rsidR="005A0FB9" w:rsidRPr="00041146">
        <w:rPr>
          <w:rFonts w:asciiTheme="minorHAnsi" w:hAnsiTheme="minorHAnsi" w:cs="Arial"/>
          <w:bCs/>
          <w:snapToGrid w:val="0"/>
        </w:rPr>
        <w:t>to act as a reminder to replace medication</w:t>
      </w:r>
      <w:r w:rsidR="00E132E5" w:rsidRPr="00041146">
        <w:rPr>
          <w:rFonts w:asciiTheme="minorHAnsi" w:hAnsiTheme="minorHAnsi" w:cs="Arial"/>
          <w:bCs/>
          <w:snapToGrid w:val="0"/>
        </w:rPr>
        <w:t xml:space="preserve">. </w:t>
      </w:r>
    </w:p>
    <w:p w:rsidR="00F3611C" w:rsidRPr="00041146" w:rsidRDefault="003A50C0" w:rsidP="00E17B91">
      <w:pPr>
        <w:pStyle w:val="ListParagraph"/>
        <w:widowControl/>
        <w:numPr>
          <w:ilvl w:val="1"/>
          <w:numId w:val="1"/>
        </w:numPr>
        <w:spacing w:after="120"/>
        <w:contextualSpacing w:val="0"/>
        <w:rPr>
          <w:rFonts w:asciiTheme="minorHAnsi" w:hAnsiTheme="minorHAnsi"/>
          <w:bCs/>
          <w:sz w:val="24"/>
          <w:szCs w:val="24"/>
          <w:lang w:eastAsia="en-AU"/>
        </w:rPr>
      </w:pPr>
      <w:r w:rsidRPr="00041146">
        <w:rPr>
          <w:rFonts w:asciiTheme="minorHAnsi" w:hAnsiTheme="minorHAnsi"/>
          <w:sz w:val="24"/>
          <w:szCs w:val="24"/>
        </w:rPr>
        <w:t>The PBAC noted that the submission requested an agreed ex-manufacturer price (AEMP) of $</w:t>
      </w:r>
      <w:r w:rsidR="0088138D">
        <w:rPr>
          <w:rFonts w:asciiTheme="minorHAnsi" w:hAnsiTheme="minorHAnsi"/>
          <w:noProof/>
          <w:color w:val="000000"/>
          <w:sz w:val="24"/>
          <w:szCs w:val="24"/>
          <w:highlight w:val="black"/>
        </w:rPr>
        <w:t>'''''''''</w:t>
      </w:r>
      <w:r w:rsidRPr="00041146">
        <w:rPr>
          <w:rFonts w:asciiTheme="minorHAnsi" w:hAnsiTheme="minorHAnsi"/>
          <w:sz w:val="24"/>
          <w:szCs w:val="24"/>
        </w:rPr>
        <w:t xml:space="preserve"> higher than the current presentation of Ventolin MDI</w:t>
      </w:r>
      <w:r w:rsidR="003567C8" w:rsidRPr="00041146">
        <w:rPr>
          <w:rFonts w:asciiTheme="minorHAnsi" w:hAnsiTheme="minorHAnsi"/>
          <w:sz w:val="24"/>
          <w:szCs w:val="24"/>
        </w:rPr>
        <w:t xml:space="preserve">, i.e. a price increase of </w:t>
      </w:r>
      <w:r w:rsidR="0088138D">
        <w:rPr>
          <w:rFonts w:asciiTheme="minorHAnsi" w:hAnsiTheme="minorHAnsi"/>
          <w:noProof/>
          <w:color w:val="000000"/>
          <w:sz w:val="24"/>
          <w:szCs w:val="24"/>
          <w:highlight w:val="black"/>
        </w:rPr>
        <w:t>''''''''' '''''''''' '''''''</w:t>
      </w:r>
      <w:r w:rsidRPr="00041146">
        <w:rPr>
          <w:rFonts w:asciiTheme="minorHAnsi" w:hAnsiTheme="minorHAnsi"/>
          <w:sz w:val="24"/>
          <w:szCs w:val="24"/>
        </w:rPr>
        <w:t>. The P</w:t>
      </w:r>
      <w:r w:rsidR="005D5C2E" w:rsidRPr="00041146">
        <w:rPr>
          <w:rFonts w:asciiTheme="minorHAnsi" w:hAnsiTheme="minorHAnsi"/>
          <w:sz w:val="24"/>
          <w:szCs w:val="24"/>
        </w:rPr>
        <w:t xml:space="preserve">BAC noted </w:t>
      </w:r>
      <w:r w:rsidR="00693B93" w:rsidRPr="00041146">
        <w:rPr>
          <w:rFonts w:asciiTheme="minorHAnsi" w:hAnsiTheme="minorHAnsi"/>
          <w:sz w:val="24"/>
          <w:szCs w:val="24"/>
        </w:rPr>
        <w:t xml:space="preserve">the </w:t>
      </w:r>
      <w:r w:rsidR="00693B93" w:rsidRPr="00041146">
        <w:rPr>
          <w:rFonts w:asciiTheme="minorHAnsi" w:hAnsiTheme="minorHAnsi"/>
          <w:bCs/>
          <w:sz w:val="24"/>
          <w:szCs w:val="24"/>
          <w:lang w:eastAsia="en-AU"/>
        </w:rPr>
        <w:t xml:space="preserve">cost-effectiveness analysis </w:t>
      </w:r>
      <w:r w:rsidR="005D5C2E" w:rsidRPr="00041146">
        <w:rPr>
          <w:rFonts w:asciiTheme="minorHAnsi" w:hAnsiTheme="minorHAnsi"/>
          <w:bCs/>
          <w:sz w:val="24"/>
          <w:szCs w:val="24"/>
          <w:lang w:eastAsia="en-AU"/>
        </w:rPr>
        <w:t xml:space="preserve">provided in the pre-PBAC response </w:t>
      </w:r>
      <w:r w:rsidR="00693B93" w:rsidRPr="00041146">
        <w:rPr>
          <w:rFonts w:asciiTheme="minorHAnsi" w:hAnsiTheme="minorHAnsi"/>
          <w:bCs/>
          <w:sz w:val="24"/>
          <w:szCs w:val="24"/>
          <w:lang w:eastAsia="en-AU"/>
        </w:rPr>
        <w:t xml:space="preserve">based </w:t>
      </w:r>
      <w:r w:rsidR="0096325E">
        <w:rPr>
          <w:rFonts w:asciiTheme="minorHAnsi" w:hAnsiTheme="minorHAnsi"/>
          <w:bCs/>
          <w:sz w:val="24"/>
          <w:szCs w:val="24"/>
          <w:lang w:eastAsia="en-AU"/>
        </w:rPr>
        <w:t xml:space="preserve">on </w:t>
      </w:r>
      <w:r w:rsidR="00693B93" w:rsidRPr="00041146">
        <w:rPr>
          <w:rFonts w:asciiTheme="minorHAnsi" w:hAnsiTheme="minorHAnsi"/>
          <w:bCs/>
          <w:sz w:val="24"/>
          <w:szCs w:val="24"/>
          <w:lang w:eastAsia="en-AU"/>
        </w:rPr>
        <w:t xml:space="preserve">the </w:t>
      </w:r>
      <w:proofErr w:type="spellStart"/>
      <w:r w:rsidR="00693B93" w:rsidRPr="00041146">
        <w:rPr>
          <w:rFonts w:asciiTheme="minorHAnsi" w:hAnsiTheme="minorHAnsi"/>
          <w:bCs/>
          <w:sz w:val="24"/>
          <w:szCs w:val="24"/>
          <w:lang w:eastAsia="en-AU"/>
        </w:rPr>
        <w:t>Kerwin</w:t>
      </w:r>
      <w:proofErr w:type="spellEnd"/>
      <w:r w:rsidR="00693B93" w:rsidRPr="00041146">
        <w:rPr>
          <w:rFonts w:asciiTheme="minorHAnsi" w:hAnsiTheme="minorHAnsi"/>
          <w:bCs/>
          <w:sz w:val="24"/>
          <w:szCs w:val="24"/>
          <w:lang w:eastAsia="en-AU"/>
        </w:rPr>
        <w:t xml:space="preserve"> 2017 study to ascertain cost per ED v</w:t>
      </w:r>
      <w:r w:rsidR="0096325E">
        <w:rPr>
          <w:rFonts w:asciiTheme="minorHAnsi" w:hAnsiTheme="minorHAnsi"/>
          <w:bCs/>
          <w:sz w:val="24"/>
          <w:szCs w:val="24"/>
          <w:lang w:eastAsia="en-AU"/>
        </w:rPr>
        <w:t>isit avoided (see paragraph 5.13</w:t>
      </w:r>
      <w:r w:rsidR="00693B93" w:rsidRPr="00041146">
        <w:rPr>
          <w:rFonts w:asciiTheme="minorHAnsi" w:hAnsiTheme="minorHAnsi"/>
          <w:bCs/>
          <w:sz w:val="24"/>
          <w:szCs w:val="24"/>
          <w:lang w:eastAsia="en-AU"/>
        </w:rPr>
        <w:t xml:space="preserve">). </w:t>
      </w:r>
      <w:r w:rsidR="005D5C2E" w:rsidRPr="00041146">
        <w:rPr>
          <w:rFonts w:asciiTheme="minorHAnsi" w:hAnsiTheme="minorHAnsi"/>
          <w:bCs/>
          <w:sz w:val="24"/>
          <w:szCs w:val="24"/>
          <w:lang w:eastAsia="en-AU"/>
        </w:rPr>
        <w:t xml:space="preserve">In addition </w:t>
      </w:r>
      <w:r w:rsidR="00693B93" w:rsidRPr="00041146">
        <w:rPr>
          <w:rFonts w:asciiTheme="minorHAnsi" w:hAnsiTheme="minorHAnsi"/>
          <w:bCs/>
          <w:sz w:val="24"/>
          <w:szCs w:val="24"/>
          <w:lang w:eastAsia="en-AU"/>
        </w:rPr>
        <w:t xml:space="preserve">to the </w:t>
      </w:r>
      <w:r w:rsidR="0096325E">
        <w:rPr>
          <w:rFonts w:asciiTheme="minorHAnsi" w:hAnsiTheme="minorHAnsi"/>
          <w:bCs/>
          <w:sz w:val="24"/>
          <w:szCs w:val="24"/>
          <w:lang w:eastAsia="en-AU"/>
        </w:rPr>
        <w:t>concerns raised in paragraph 6.4</w:t>
      </w:r>
      <w:r w:rsidR="00693B93" w:rsidRPr="00041146">
        <w:rPr>
          <w:rFonts w:asciiTheme="minorHAnsi" w:hAnsiTheme="minorHAnsi"/>
          <w:bCs/>
          <w:sz w:val="24"/>
          <w:szCs w:val="24"/>
          <w:lang w:eastAsia="en-AU"/>
        </w:rPr>
        <w:t xml:space="preserve"> regarding the applicability of the </w:t>
      </w:r>
      <w:proofErr w:type="spellStart"/>
      <w:r w:rsidR="00693B93" w:rsidRPr="00041146">
        <w:rPr>
          <w:rFonts w:asciiTheme="minorHAnsi" w:hAnsiTheme="minorHAnsi"/>
          <w:bCs/>
          <w:sz w:val="24"/>
          <w:szCs w:val="24"/>
          <w:lang w:eastAsia="en-AU"/>
        </w:rPr>
        <w:t>Kerwin</w:t>
      </w:r>
      <w:proofErr w:type="spellEnd"/>
      <w:r w:rsidR="00693B93" w:rsidRPr="00041146">
        <w:rPr>
          <w:rFonts w:asciiTheme="minorHAnsi" w:hAnsiTheme="minorHAnsi"/>
          <w:bCs/>
          <w:sz w:val="24"/>
          <w:szCs w:val="24"/>
          <w:lang w:eastAsia="en-AU"/>
        </w:rPr>
        <w:t xml:space="preserve"> 2017 study to the Australian setting</w:t>
      </w:r>
      <w:r w:rsidR="00F3611C" w:rsidRPr="00041146">
        <w:rPr>
          <w:rFonts w:asciiTheme="minorHAnsi" w:hAnsiTheme="minorHAnsi"/>
          <w:bCs/>
          <w:sz w:val="24"/>
          <w:szCs w:val="24"/>
          <w:lang w:eastAsia="en-AU"/>
        </w:rPr>
        <w:t>,</w:t>
      </w:r>
      <w:r w:rsidR="00693B93" w:rsidRPr="00041146">
        <w:rPr>
          <w:rFonts w:asciiTheme="minorHAnsi" w:hAnsiTheme="minorHAnsi"/>
          <w:bCs/>
          <w:sz w:val="24"/>
          <w:szCs w:val="24"/>
          <w:lang w:eastAsia="en-AU"/>
        </w:rPr>
        <w:t xml:space="preserve"> the PBAC considered that </w:t>
      </w:r>
      <w:r w:rsidR="005D5C2E" w:rsidRPr="00041146">
        <w:rPr>
          <w:rFonts w:asciiTheme="minorHAnsi" w:hAnsiTheme="minorHAnsi"/>
          <w:bCs/>
          <w:sz w:val="24"/>
          <w:szCs w:val="24"/>
          <w:lang w:eastAsia="en-AU"/>
        </w:rPr>
        <w:t>differences in baseline inhaled corticosteroid use and the proportion using no asthma therapy likely favoured Ventolin DC</w:t>
      </w:r>
      <w:r w:rsidR="00ED0D6C" w:rsidRPr="00041146">
        <w:rPr>
          <w:rFonts w:asciiTheme="minorHAnsi" w:hAnsiTheme="minorHAnsi"/>
          <w:bCs/>
          <w:sz w:val="24"/>
          <w:szCs w:val="24"/>
          <w:lang w:eastAsia="en-AU"/>
        </w:rPr>
        <w:t xml:space="preserve"> in this study</w:t>
      </w:r>
      <w:r w:rsidR="005D5C2E" w:rsidRPr="00041146">
        <w:rPr>
          <w:rFonts w:asciiTheme="minorHAnsi" w:hAnsiTheme="minorHAnsi"/>
          <w:bCs/>
          <w:sz w:val="24"/>
          <w:szCs w:val="24"/>
          <w:lang w:eastAsia="en-AU"/>
        </w:rPr>
        <w:t>.</w:t>
      </w:r>
      <w:r w:rsidR="00F3611C" w:rsidRPr="00041146">
        <w:rPr>
          <w:rFonts w:asciiTheme="minorHAnsi" w:hAnsiTheme="minorHAnsi"/>
          <w:bCs/>
          <w:sz w:val="24"/>
          <w:szCs w:val="24"/>
          <w:lang w:eastAsia="en-AU"/>
        </w:rPr>
        <w:t xml:space="preserve"> The</w:t>
      </w:r>
      <w:r w:rsidR="00265357" w:rsidRPr="00041146">
        <w:rPr>
          <w:rFonts w:asciiTheme="minorHAnsi" w:hAnsiTheme="minorHAnsi"/>
          <w:bCs/>
          <w:sz w:val="24"/>
          <w:szCs w:val="24"/>
          <w:lang w:eastAsia="en-AU"/>
        </w:rPr>
        <w:t xml:space="preserve"> PBAC considered the evidence provided in the submission was insufficient </w:t>
      </w:r>
      <w:r w:rsidR="00F3611C" w:rsidRPr="00041146">
        <w:rPr>
          <w:rFonts w:asciiTheme="minorHAnsi" w:hAnsiTheme="minorHAnsi"/>
          <w:bCs/>
          <w:sz w:val="24"/>
          <w:szCs w:val="24"/>
          <w:lang w:eastAsia="en-AU"/>
        </w:rPr>
        <w:t xml:space="preserve">to support the </w:t>
      </w:r>
      <w:r w:rsidRPr="00041146">
        <w:rPr>
          <w:rFonts w:asciiTheme="minorHAnsi" w:hAnsiTheme="minorHAnsi"/>
          <w:bCs/>
          <w:sz w:val="24"/>
          <w:szCs w:val="24"/>
          <w:lang w:eastAsia="en-AU"/>
        </w:rPr>
        <w:t>AEMP</w:t>
      </w:r>
      <w:r w:rsidR="00F3611C" w:rsidRPr="00041146">
        <w:rPr>
          <w:rFonts w:asciiTheme="minorHAnsi" w:hAnsiTheme="minorHAnsi"/>
          <w:bCs/>
          <w:sz w:val="24"/>
          <w:szCs w:val="24"/>
          <w:lang w:eastAsia="en-AU"/>
        </w:rPr>
        <w:t xml:space="preserve"> requested in the submission</w:t>
      </w:r>
      <w:r w:rsidR="00265357" w:rsidRPr="00041146">
        <w:rPr>
          <w:rFonts w:asciiTheme="minorHAnsi" w:hAnsiTheme="minorHAnsi"/>
        </w:rPr>
        <w:t xml:space="preserve">. </w:t>
      </w:r>
      <w:r w:rsidR="007B215F" w:rsidRPr="00041146">
        <w:rPr>
          <w:rFonts w:asciiTheme="minorHAnsi" w:hAnsiTheme="minorHAnsi"/>
          <w:bCs/>
          <w:sz w:val="24"/>
          <w:szCs w:val="24"/>
          <w:lang w:eastAsia="en-AU"/>
        </w:rPr>
        <w:t>However</w:t>
      </w:r>
      <w:r w:rsidR="00F3611C" w:rsidRPr="00041146">
        <w:rPr>
          <w:rFonts w:asciiTheme="minorHAnsi" w:hAnsiTheme="minorHAnsi"/>
          <w:bCs/>
          <w:sz w:val="24"/>
          <w:szCs w:val="24"/>
          <w:lang w:eastAsia="en-AU"/>
        </w:rPr>
        <w:t xml:space="preserve">, the PBAC </w:t>
      </w:r>
      <w:r w:rsidR="007B215F" w:rsidRPr="00041146">
        <w:rPr>
          <w:rFonts w:asciiTheme="minorHAnsi" w:hAnsiTheme="minorHAnsi"/>
          <w:bCs/>
          <w:sz w:val="24"/>
          <w:szCs w:val="24"/>
          <w:lang w:eastAsia="en-AU"/>
        </w:rPr>
        <w:t xml:space="preserve">pragmatically </w:t>
      </w:r>
      <w:r w:rsidR="00F3611C" w:rsidRPr="00041146">
        <w:rPr>
          <w:rFonts w:asciiTheme="minorHAnsi" w:hAnsiTheme="minorHAnsi"/>
          <w:bCs/>
          <w:sz w:val="24"/>
          <w:szCs w:val="24"/>
          <w:lang w:eastAsia="en-AU"/>
        </w:rPr>
        <w:t xml:space="preserve">advised that a </w:t>
      </w:r>
      <w:r w:rsidR="0088138D">
        <w:rPr>
          <w:rFonts w:asciiTheme="minorHAnsi" w:hAnsiTheme="minorHAnsi"/>
          <w:bCs/>
          <w:noProof/>
          <w:color w:val="000000"/>
          <w:sz w:val="24"/>
          <w:szCs w:val="24"/>
          <w:highlight w:val="black"/>
          <w:lang w:eastAsia="en-AU"/>
        </w:rPr>
        <w:t>''''''''''' '''''''''' ''''''''''''''''' ''''' ''''' '''''''''' ''''''''' ''''''''''''</w:t>
      </w:r>
      <w:r w:rsidR="00F3611C" w:rsidRPr="00041146">
        <w:rPr>
          <w:rFonts w:asciiTheme="minorHAnsi" w:hAnsiTheme="minorHAnsi"/>
          <w:bCs/>
          <w:sz w:val="24"/>
          <w:szCs w:val="24"/>
          <w:lang w:eastAsia="en-AU"/>
        </w:rPr>
        <w:t xml:space="preserve"> over the existing Ventolin MDI price would be </w:t>
      </w:r>
      <w:r w:rsidR="0025225C" w:rsidRPr="00041146">
        <w:rPr>
          <w:rFonts w:asciiTheme="minorHAnsi" w:hAnsiTheme="minorHAnsi"/>
          <w:bCs/>
          <w:sz w:val="24"/>
          <w:szCs w:val="24"/>
          <w:lang w:eastAsia="en-AU"/>
        </w:rPr>
        <w:t>acceptable</w:t>
      </w:r>
      <w:r w:rsidR="00F3611C" w:rsidRPr="00041146">
        <w:rPr>
          <w:rFonts w:asciiTheme="minorHAnsi" w:hAnsiTheme="minorHAnsi"/>
          <w:bCs/>
          <w:sz w:val="24"/>
          <w:szCs w:val="24"/>
          <w:lang w:eastAsia="en-AU"/>
        </w:rPr>
        <w:t xml:space="preserve">. </w:t>
      </w:r>
    </w:p>
    <w:p w:rsidR="00F3611C" w:rsidRPr="00041146" w:rsidRDefault="00CA3B35" w:rsidP="00E17B91">
      <w:pPr>
        <w:pStyle w:val="ListParagraph"/>
        <w:widowControl/>
        <w:numPr>
          <w:ilvl w:val="1"/>
          <w:numId w:val="1"/>
        </w:numPr>
        <w:spacing w:after="120"/>
        <w:contextualSpacing w:val="0"/>
        <w:rPr>
          <w:rFonts w:asciiTheme="minorHAnsi" w:hAnsiTheme="minorHAnsi"/>
          <w:bCs/>
          <w:sz w:val="24"/>
          <w:szCs w:val="24"/>
          <w:lang w:eastAsia="en-AU"/>
        </w:rPr>
      </w:pPr>
      <w:r w:rsidRPr="00041146">
        <w:rPr>
          <w:rFonts w:asciiTheme="minorHAnsi" w:hAnsiTheme="minorHAnsi"/>
          <w:bCs/>
          <w:sz w:val="24"/>
          <w:szCs w:val="24"/>
          <w:lang w:eastAsia="en-AU"/>
        </w:rPr>
        <w:t>In considering the financial estimates, t</w:t>
      </w:r>
      <w:r w:rsidR="008072EB" w:rsidRPr="00041146">
        <w:rPr>
          <w:rFonts w:asciiTheme="minorHAnsi" w:hAnsiTheme="minorHAnsi"/>
          <w:bCs/>
          <w:sz w:val="24"/>
          <w:szCs w:val="24"/>
          <w:lang w:eastAsia="en-AU"/>
        </w:rPr>
        <w:t xml:space="preserve">he PBAC </w:t>
      </w:r>
      <w:r w:rsidRPr="00041146">
        <w:rPr>
          <w:rFonts w:asciiTheme="minorHAnsi" w:hAnsiTheme="minorHAnsi"/>
          <w:bCs/>
          <w:sz w:val="24"/>
          <w:szCs w:val="24"/>
          <w:lang w:eastAsia="en-AU"/>
        </w:rPr>
        <w:t xml:space="preserve">noted the potential for devices like Ventolin DC to </w:t>
      </w:r>
      <w:r w:rsidR="00CA0F76" w:rsidRPr="00041146">
        <w:rPr>
          <w:rFonts w:asciiTheme="minorHAnsi" w:hAnsiTheme="minorHAnsi"/>
          <w:bCs/>
          <w:sz w:val="24"/>
          <w:szCs w:val="24"/>
          <w:lang w:eastAsia="en-AU"/>
        </w:rPr>
        <w:t>over count</w:t>
      </w:r>
      <w:r w:rsidR="0096325E">
        <w:rPr>
          <w:rFonts w:asciiTheme="minorHAnsi" w:hAnsiTheme="minorHAnsi"/>
          <w:bCs/>
          <w:sz w:val="24"/>
          <w:szCs w:val="24"/>
          <w:lang w:eastAsia="en-AU"/>
        </w:rPr>
        <w:t xml:space="preserve"> doses (see paragraph 5.15</w:t>
      </w:r>
      <w:r w:rsidRPr="00041146">
        <w:rPr>
          <w:rFonts w:asciiTheme="minorHAnsi" w:hAnsiTheme="minorHAnsi"/>
          <w:bCs/>
          <w:sz w:val="24"/>
          <w:szCs w:val="24"/>
          <w:lang w:eastAsia="en-AU"/>
        </w:rPr>
        <w:t xml:space="preserve">) and advised </w:t>
      </w:r>
      <w:r w:rsidR="00EE3B5C" w:rsidRPr="00041146">
        <w:rPr>
          <w:rFonts w:asciiTheme="minorHAnsi" w:hAnsiTheme="minorHAnsi"/>
          <w:bCs/>
          <w:sz w:val="24"/>
          <w:szCs w:val="24"/>
          <w:lang w:eastAsia="en-AU"/>
        </w:rPr>
        <w:t xml:space="preserve">that this </w:t>
      </w:r>
      <w:r w:rsidRPr="00041146">
        <w:rPr>
          <w:rFonts w:asciiTheme="minorHAnsi" w:hAnsiTheme="minorHAnsi"/>
          <w:bCs/>
          <w:sz w:val="24"/>
          <w:szCs w:val="24"/>
          <w:lang w:eastAsia="en-AU"/>
        </w:rPr>
        <w:t xml:space="preserve">may result </w:t>
      </w:r>
      <w:r w:rsidR="00EE3B5C" w:rsidRPr="00041146">
        <w:rPr>
          <w:rFonts w:asciiTheme="minorHAnsi" w:hAnsiTheme="minorHAnsi"/>
          <w:bCs/>
          <w:sz w:val="24"/>
          <w:szCs w:val="24"/>
          <w:lang w:eastAsia="en-AU"/>
        </w:rPr>
        <w:t>in an</w:t>
      </w:r>
      <w:r w:rsidRPr="00041146">
        <w:rPr>
          <w:rFonts w:asciiTheme="minorHAnsi" w:hAnsiTheme="minorHAnsi"/>
          <w:bCs/>
          <w:sz w:val="24"/>
          <w:szCs w:val="24"/>
          <w:lang w:eastAsia="en-AU"/>
        </w:rPr>
        <w:t xml:space="preserve"> increase in utilisation</w:t>
      </w:r>
      <w:r w:rsidR="00EE3B5C" w:rsidRPr="00041146">
        <w:rPr>
          <w:rFonts w:asciiTheme="minorHAnsi" w:hAnsiTheme="minorHAnsi"/>
          <w:bCs/>
          <w:sz w:val="24"/>
          <w:szCs w:val="24"/>
          <w:lang w:eastAsia="en-AU"/>
        </w:rPr>
        <w:t xml:space="preserve"> </w:t>
      </w:r>
      <w:r w:rsidR="003567C8" w:rsidRPr="00041146">
        <w:rPr>
          <w:rFonts w:asciiTheme="minorHAnsi" w:hAnsiTheme="minorHAnsi"/>
          <w:bCs/>
          <w:sz w:val="24"/>
          <w:szCs w:val="24"/>
          <w:lang w:eastAsia="en-AU"/>
        </w:rPr>
        <w:t>in clinical practice</w:t>
      </w:r>
      <w:r w:rsidR="0025225C" w:rsidRPr="00041146">
        <w:rPr>
          <w:rFonts w:asciiTheme="minorHAnsi" w:hAnsiTheme="minorHAnsi"/>
          <w:bCs/>
          <w:sz w:val="24"/>
          <w:szCs w:val="24"/>
          <w:lang w:eastAsia="en-AU"/>
        </w:rPr>
        <w:t>.</w:t>
      </w:r>
      <w:r w:rsidR="003567C8" w:rsidRPr="00041146">
        <w:rPr>
          <w:rFonts w:asciiTheme="minorHAnsi" w:hAnsiTheme="minorHAnsi"/>
          <w:bCs/>
          <w:sz w:val="24"/>
          <w:szCs w:val="24"/>
          <w:lang w:eastAsia="en-AU"/>
        </w:rPr>
        <w:t xml:space="preserve"> Accordingly, the PBAC considered that the submission had underestimated </w:t>
      </w:r>
      <w:r w:rsidR="0025225C" w:rsidRPr="00041146">
        <w:rPr>
          <w:rFonts w:asciiTheme="minorHAnsi" w:hAnsiTheme="minorHAnsi"/>
          <w:bCs/>
          <w:sz w:val="24"/>
          <w:szCs w:val="24"/>
          <w:lang w:eastAsia="en-AU"/>
        </w:rPr>
        <w:t xml:space="preserve">total </w:t>
      </w:r>
      <w:r w:rsidR="003567C8" w:rsidRPr="00041146">
        <w:rPr>
          <w:rFonts w:asciiTheme="minorHAnsi" w:hAnsiTheme="minorHAnsi"/>
          <w:bCs/>
          <w:sz w:val="24"/>
          <w:szCs w:val="24"/>
          <w:lang w:eastAsia="en-AU"/>
        </w:rPr>
        <w:t xml:space="preserve">utilisation </w:t>
      </w:r>
      <w:r w:rsidR="0025225C" w:rsidRPr="00041146">
        <w:rPr>
          <w:rFonts w:asciiTheme="minorHAnsi" w:hAnsiTheme="minorHAnsi"/>
          <w:bCs/>
          <w:sz w:val="24"/>
          <w:szCs w:val="24"/>
          <w:lang w:eastAsia="en-AU"/>
        </w:rPr>
        <w:t xml:space="preserve">for the salbutamol MDI market </w:t>
      </w:r>
      <w:r w:rsidR="003567C8" w:rsidRPr="00041146">
        <w:rPr>
          <w:rFonts w:asciiTheme="minorHAnsi" w:hAnsiTheme="minorHAnsi"/>
          <w:bCs/>
          <w:sz w:val="24"/>
          <w:szCs w:val="24"/>
          <w:lang w:eastAsia="en-AU"/>
        </w:rPr>
        <w:t>but considered that</w:t>
      </w:r>
      <w:r w:rsidR="00EE3B5C" w:rsidRPr="00041146">
        <w:rPr>
          <w:rFonts w:asciiTheme="minorHAnsi" w:hAnsiTheme="minorHAnsi"/>
          <w:bCs/>
          <w:sz w:val="24"/>
          <w:szCs w:val="24"/>
          <w:lang w:eastAsia="en-AU"/>
        </w:rPr>
        <w:t xml:space="preserve"> any increase </w:t>
      </w:r>
      <w:r w:rsidR="0025225C" w:rsidRPr="00041146">
        <w:rPr>
          <w:rFonts w:asciiTheme="minorHAnsi" w:hAnsiTheme="minorHAnsi"/>
          <w:bCs/>
          <w:sz w:val="24"/>
          <w:szCs w:val="24"/>
          <w:lang w:eastAsia="en-AU"/>
        </w:rPr>
        <w:t xml:space="preserve">in the market as a result of listing Ventolin DC </w:t>
      </w:r>
      <w:r w:rsidR="003567C8" w:rsidRPr="00041146">
        <w:rPr>
          <w:rFonts w:asciiTheme="minorHAnsi" w:hAnsiTheme="minorHAnsi"/>
          <w:bCs/>
          <w:sz w:val="24"/>
          <w:szCs w:val="24"/>
          <w:lang w:eastAsia="en-AU"/>
        </w:rPr>
        <w:t xml:space="preserve">was </w:t>
      </w:r>
      <w:r w:rsidR="00EE3B5C" w:rsidRPr="00041146">
        <w:rPr>
          <w:rFonts w:asciiTheme="minorHAnsi" w:hAnsiTheme="minorHAnsi"/>
          <w:bCs/>
          <w:sz w:val="24"/>
          <w:szCs w:val="24"/>
          <w:lang w:eastAsia="en-AU"/>
        </w:rPr>
        <w:t>likely to be</w:t>
      </w:r>
      <w:r w:rsidR="0025225C" w:rsidRPr="00041146">
        <w:rPr>
          <w:rFonts w:asciiTheme="minorHAnsi" w:hAnsiTheme="minorHAnsi"/>
          <w:bCs/>
          <w:sz w:val="24"/>
          <w:szCs w:val="24"/>
          <w:lang w:eastAsia="en-AU"/>
        </w:rPr>
        <w:t xml:space="preserve"> relatively</w:t>
      </w:r>
      <w:r w:rsidR="00EE3B5C" w:rsidRPr="00041146">
        <w:rPr>
          <w:rFonts w:asciiTheme="minorHAnsi" w:hAnsiTheme="minorHAnsi"/>
          <w:bCs/>
          <w:sz w:val="24"/>
          <w:szCs w:val="24"/>
          <w:lang w:eastAsia="en-AU"/>
        </w:rPr>
        <w:t xml:space="preserve"> small</w:t>
      </w:r>
      <w:r w:rsidRPr="00041146">
        <w:rPr>
          <w:rFonts w:asciiTheme="minorHAnsi" w:hAnsiTheme="minorHAnsi"/>
          <w:bCs/>
          <w:sz w:val="24"/>
          <w:szCs w:val="24"/>
          <w:lang w:eastAsia="en-AU"/>
        </w:rPr>
        <w:t>.</w:t>
      </w:r>
      <w:r w:rsidR="00C72610" w:rsidRPr="00041146">
        <w:rPr>
          <w:rFonts w:asciiTheme="minorHAnsi" w:hAnsiTheme="minorHAnsi"/>
          <w:bCs/>
          <w:sz w:val="24"/>
          <w:szCs w:val="24"/>
          <w:lang w:eastAsia="en-AU"/>
        </w:rPr>
        <w:t xml:space="preserve"> </w:t>
      </w:r>
    </w:p>
    <w:p w:rsidR="00EE3B5C" w:rsidRPr="00857A63" w:rsidRDefault="00EE3B5C" w:rsidP="00E17B91">
      <w:pPr>
        <w:pStyle w:val="ListParagraph"/>
        <w:widowControl/>
        <w:numPr>
          <w:ilvl w:val="1"/>
          <w:numId w:val="1"/>
        </w:numPr>
        <w:spacing w:after="120"/>
        <w:contextualSpacing w:val="0"/>
        <w:rPr>
          <w:rFonts w:asciiTheme="minorHAnsi" w:hAnsiTheme="minorHAnsi"/>
          <w:bCs/>
          <w:sz w:val="24"/>
          <w:szCs w:val="24"/>
          <w:lang w:eastAsia="en-AU"/>
        </w:rPr>
      </w:pPr>
      <w:r w:rsidRPr="00041146">
        <w:rPr>
          <w:rFonts w:asciiTheme="minorHAnsi" w:hAnsiTheme="minorHAnsi"/>
          <w:bCs/>
          <w:sz w:val="24"/>
          <w:szCs w:val="24"/>
          <w:lang w:eastAsia="en-AU"/>
        </w:rPr>
        <w:lastRenderedPageBreak/>
        <w:t xml:space="preserve">The PBAC </w:t>
      </w:r>
      <w:r w:rsidR="0078257E" w:rsidRPr="008B2B7C">
        <w:rPr>
          <w:rFonts w:asciiTheme="minorHAnsi" w:hAnsiTheme="minorHAnsi"/>
          <w:bCs/>
          <w:sz w:val="24"/>
          <w:szCs w:val="24"/>
          <w:lang w:eastAsia="en-AU"/>
        </w:rPr>
        <w:t xml:space="preserve">considered </w:t>
      </w:r>
      <w:r w:rsidR="0021628C" w:rsidRPr="008B2B7C">
        <w:rPr>
          <w:rFonts w:asciiTheme="minorHAnsi" w:hAnsiTheme="minorHAnsi"/>
          <w:bCs/>
          <w:sz w:val="24"/>
          <w:szCs w:val="24"/>
          <w:lang w:eastAsia="en-AU"/>
        </w:rPr>
        <w:t xml:space="preserve">the </w:t>
      </w:r>
      <w:r w:rsidR="00356495" w:rsidRPr="008B2B7C">
        <w:rPr>
          <w:rFonts w:asciiTheme="minorHAnsi" w:hAnsiTheme="minorHAnsi"/>
          <w:bCs/>
          <w:sz w:val="24"/>
          <w:szCs w:val="24"/>
          <w:lang w:eastAsia="en-AU"/>
        </w:rPr>
        <w:t>potential health benefits related to the likely risk of having sub-therapeutic or negligible drug being available at a time of acute bronchoconstriction and the role of a DC in this specific context to act as a reminder to replace medication</w:t>
      </w:r>
      <w:r w:rsidR="0021628C" w:rsidRPr="008B2B7C">
        <w:rPr>
          <w:rFonts w:asciiTheme="minorHAnsi" w:hAnsiTheme="minorHAnsi"/>
          <w:bCs/>
          <w:sz w:val="24"/>
          <w:szCs w:val="24"/>
          <w:lang w:eastAsia="en-AU"/>
        </w:rPr>
        <w:t xml:space="preserve"> meant</w:t>
      </w:r>
      <w:r w:rsidRPr="008B2B7C">
        <w:rPr>
          <w:rFonts w:asciiTheme="minorHAnsi" w:hAnsiTheme="minorHAnsi"/>
          <w:bCs/>
          <w:sz w:val="24"/>
          <w:szCs w:val="24"/>
          <w:lang w:eastAsia="en-AU"/>
        </w:rPr>
        <w:t xml:space="preserve"> that Ventolin DC and </w:t>
      </w:r>
      <w:r w:rsidR="007536FA" w:rsidRPr="008B2B7C">
        <w:rPr>
          <w:rFonts w:asciiTheme="minorHAnsi" w:hAnsiTheme="minorHAnsi"/>
          <w:bCs/>
          <w:sz w:val="24"/>
          <w:szCs w:val="24"/>
          <w:lang w:eastAsia="en-AU"/>
        </w:rPr>
        <w:t xml:space="preserve">currently listed </w:t>
      </w:r>
      <w:r w:rsidRPr="008B2B7C">
        <w:rPr>
          <w:rFonts w:asciiTheme="minorHAnsi" w:hAnsiTheme="minorHAnsi"/>
          <w:bCs/>
          <w:sz w:val="24"/>
          <w:szCs w:val="24"/>
          <w:lang w:eastAsia="en-AU"/>
        </w:rPr>
        <w:t xml:space="preserve">salbutamol MDI </w:t>
      </w:r>
      <w:r w:rsidR="007536FA" w:rsidRPr="008B2B7C">
        <w:rPr>
          <w:rFonts w:asciiTheme="minorHAnsi" w:hAnsiTheme="minorHAnsi"/>
          <w:bCs/>
          <w:sz w:val="24"/>
          <w:szCs w:val="24"/>
          <w:lang w:eastAsia="en-AU"/>
        </w:rPr>
        <w:t xml:space="preserve">(Ventolin MDI, </w:t>
      </w:r>
      <w:proofErr w:type="spellStart"/>
      <w:r w:rsidR="007536FA" w:rsidRPr="008B2B7C">
        <w:rPr>
          <w:rFonts w:asciiTheme="minorHAnsi" w:hAnsiTheme="minorHAnsi"/>
          <w:bCs/>
          <w:sz w:val="24"/>
          <w:szCs w:val="24"/>
          <w:lang w:eastAsia="en-AU"/>
        </w:rPr>
        <w:t>Asmol</w:t>
      </w:r>
      <w:proofErr w:type="spellEnd"/>
      <w:r w:rsidR="007536FA" w:rsidRPr="008B2B7C">
        <w:rPr>
          <w:rFonts w:asciiTheme="minorHAnsi" w:hAnsiTheme="minorHAnsi"/>
          <w:bCs/>
          <w:sz w:val="24"/>
          <w:szCs w:val="24"/>
          <w:lang w:eastAsia="en-AU"/>
        </w:rPr>
        <w:t xml:space="preserve"> MDI) </w:t>
      </w:r>
      <w:r w:rsidRPr="008B2B7C">
        <w:rPr>
          <w:rFonts w:asciiTheme="minorHAnsi" w:hAnsiTheme="minorHAnsi"/>
          <w:bCs/>
          <w:sz w:val="24"/>
          <w:szCs w:val="24"/>
          <w:lang w:eastAsia="en-AU"/>
        </w:rPr>
        <w:t>should not be considered equivalent for the purposes</w:t>
      </w:r>
      <w:r w:rsidRPr="00041146">
        <w:rPr>
          <w:rFonts w:asciiTheme="minorHAnsi" w:hAnsiTheme="minorHAnsi"/>
          <w:bCs/>
          <w:sz w:val="24"/>
          <w:szCs w:val="24"/>
          <w:lang w:eastAsia="en-AU"/>
        </w:rPr>
        <w:t xml:space="preserve"> of substitution</w:t>
      </w:r>
      <w:r w:rsidR="003567C8" w:rsidRPr="00041146">
        <w:rPr>
          <w:rFonts w:asciiTheme="minorHAnsi" w:hAnsiTheme="minorHAnsi"/>
          <w:bCs/>
          <w:sz w:val="24"/>
          <w:szCs w:val="24"/>
          <w:lang w:eastAsia="en-AU"/>
        </w:rPr>
        <w:t xml:space="preserve"> under Section 101 (4AACD) of the </w:t>
      </w:r>
      <w:r w:rsidR="003567C8" w:rsidRPr="00041146">
        <w:rPr>
          <w:rFonts w:asciiTheme="minorHAnsi" w:hAnsiTheme="minorHAnsi"/>
          <w:bCs/>
          <w:i/>
          <w:sz w:val="24"/>
          <w:szCs w:val="24"/>
          <w:lang w:eastAsia="en-AU"/>
        </w:rPr>
        <w:t>National Health Act 1953</w:t>
      </w:r>
      <w:r w:rsidR="00F72527" w:rsidRPr="00041146">
        <w:rPr>
          <w:rFonts w:asciiTheme="minorHAnsi" w:hAnsiTheme="minorHAnsi"/>
          <w:bCs/>
          <w:sz w:val="24"/>
          <w:szCs w:val="24"/>
          <w:lang w:eastAsia="en-AU"/>
        </w:rPr>
        <w:t>.</w:t>
      </w:r>
      <w:r w:rsidR="0078257E" w:rsidRPr="00857A63">
        <w:rPr>
          <w:rFonts w:asciiTheme="minorHAnsi" w:hAnsiTheme="minorHAnsi"/>
          <w:bCs/>
          <w:sz w:val="24"/>
          <w:szCs w:val="24"/>
          <w:lang w:eastAsia="en-AU"/>
        </w:rPr>
        <w:t xml:space="preserve"> </w:t>
      </w:r>
    </w:p>
    <w:p w:rsidR="00F72527" w:rsidRPr="008B2B7C" w:rsidRDefault="00F72527" w:rsidP="00E17B91">
      <w:pPr>
        <w:numPr>
          <w:ilvl w:val="1"/>
          <w:numId w:val="1"/>
        </w:numPr>
        <w:spacing w:after="120"/>
        <w:jc w:val="both"/>
        <w:rPr>
          <w:rFonts w:asciiTheme="minorHAnsi" w:hAnsiTheme="minorHAnsi" w:cs="Arial"/>
          <w:bCs/>
          <w:snapToGrid w:val="0"/>
        </w:rPr>
      </w:pPr>
      <w:r w:rsidRPr="008B2B7C">
        <w:rPr>
          <w:rFonts w:asciiTheme="minorHAnsi" w:hAnsiTheme="minorHAnsi" w:cs="Arial"/>
          <w:bCs/>
          <w:snapToGrid w:val="0"/>
        </w:rPr>
        <w:t xml:space="preserve">The PBAC advised that Ventolin DC is suitable for prescribing by nurse practitioners, as applies to the current PBS listing for salbutamol MDI. </w:t>
      </w:r>
    </w:p>
    <w:p w:rsidR="00F72527" w:rsidRPr="008B2B7C" w:rsidRDefault="00F72527" w:rsidP="00E17B91">
      <w:pPr>
        <w:numPr>
          <w:ilvl w:val="1"/>
          <w:numId w:val="1"/>
        </w:numPr>
        <w:spacing w:after="120"/>
        <w:jc w:val="both"/>
        <w:rPr>
          <w:rFonts w:asciiTheme="minorHAnsi" w:hAnsiTheme="minorHAnsi" w:cs="Arial"/>
          <w:bCs/>
          <w:snapToGrid w:val="0"/>
        </w:rPr>
      </w:pPr>
      <w:r w:rsidRPr="008B2B7C">
        <w:rPr>
          <w:rFonts w:asciiTheme="minorHAnsi" w:hAnsiTheme="minorHAnsi" w:cs="Arial"/>
          <w:bCs/>
          <w:snapToGrid w:val="0"/>
        </w:rPr>
        <w:t xml:space="preserve">The PBAC advised that Ventolin DC should be exempt from the Early Supply Rule, as applies to the current PBS listing for salbutamol MDI. </w:t>
      </w:r>
    </w:p>
    <w:p w:rsidR="00F72527" w:rsidRPr="008B2B7C" w:rsidRDefault="00F72527" w:rsidP="00E17B91">
      <w:pPr>
        <w:numPr>
          <w:ilvl w:val="1"/>
          <w:numId w:val="1"/>
        </w:numPr>
        <w:spacing w:after="120"/>
        <w:jc w:val="both"/>
        <w:rPr>
          <w:rFonts w:asciiTheme="minorHAnsi" w:hAnsiTheme="minorHAnsi" w:cs="Arial"/>
          <w:bCs/>
          <w:snapToGrid w:val="0"/>
        </w:rPr>
      </w:pPr>
      <w:r w:rsidRPr="008B2B7C">
        <w:rPr>
          <w:rFonts w:asciiTheme="minorHAnsi" w:hAnsiTheme="minorHAnsi" w:cs="Arial"/>
          <w:bCs/>
          <w:snapToGrid w:val="0"/>
        </w:rPr>
        <w:t xml:space="preserve">The PBAC recommended that </w:t>
      </w:r>
      <w:r w:rsidR="009B05A8" w:rsidRPr="008B2B7C">
        <w:rPr>
          <w:rFonts w:asciiTheme="minorHAnsi" w:hAnsiTheme="minorHAnsi" w:cs="Arial"/>
          <w:bCs/>
          <w:snapToGrid w:val="0"/>
        </w:rPr>
        <w:t>salbutamol</w:t>
      </w:r>
      <w:r w:rsidRPr="008B2B7C">
        <w:rPr>
          <w:rFonts w:asciiTheme="minorHAnsi" w:hAnsiTheme="minorHAnsi" w:cs="Arial"/>
          <w:bCs/>
          <w:snapToGrid w:val="0"/>
        </w:rPr>
        <w:t xml:space="preserve"> should </w:t>
      </w:r>
      <w:r w:rsidR="009B05A8" w:rsidRPr="008B2B7C">
        <w:rPr>
          <w:rFonts w:asciiTheme="minorHAnsi" w:hAnsiTheme="minorHAnsi" w:cs="Arial"/>
          <w:bCs/>
          <w:snapToGrid w:val="0"/>
        </w:rPr>
        <w:t xml:space="preserve">not </w:t>
      </w:r>
      <w:r w:rsidRPr="008B2B7C">
        <w:rPr>
          <w:rFonts w:asciiTheme="minorHAnsi" w:hAnsiTheme="minorHAnsi" w:cs="Arial"/>
          <w:bCs/>
          <w:snapToGrid w:val="0"/>
        </w:rPr>
        <w:t xml:space="preserve">be treated as interchangeable </w:t>
      </w:r>
      <w:r w:rsidR="009B05A8" w:rsidRPr="008B2B7C">
        <w:rPr>
          <w:rFonts w:asciiTheme="minorHAnsi" w:hAnsiTheme="minorHAnsi" w:cs="Arial"/>
          <w:bCs/>
          <w:snapToGrid w:val="0"/>
        </w:rPr>
        <w:t xml:space="preserve">with any other drugs </w:t>
      </w:r>
      <w:r w:rsidRPr="008B2B7C">
        <w:rPr>
          <w:rFonts w:asciiTheme="minorHAnsi" w:hAnsiTheme="minorHAnsi" w:cs="Arial"/>
          <w:bCs/>
          <w:snapToGrid w:val="0"/>
        </w:rPr>
        <w:t>on an</w:t>
      </w:r>
      <w:r w:rsidR="00B00C4D" w:rsidRPr="008B2B7C">
        <w:rPr>
          <w:rFonts w:asciiTheme="minorHAnsi" w:hAnsiTheme="minorHAnsi" w:cs="Arial"/>
          <w:bCs/>
          <w:snapToGrid w:val="0"/>
        </w:rPr>
        <w:t xml:space="preserve"> individual patient basis</w:t>
      </w:r>
      <w:r w:rsidR="00041146">
        <w:rPr>
          <w:rFonts w:asciiTheme="minorHAnsi" w:hAnsiTheme="minorHAnsi" w:cs="Arial"/>
          <w:bCs/>
          <w:snapToGrid w:val="0"/>
        </w:rPr>
        <w:t xml:space="preserve">. </w:t>
      </w:r>
    </w:p>
    <w:p w:rsidR="00CA0E13" w:rsidRPr="008B2B7C" w:rsidRDefault="00CA0E13" w:rsidP="00E17B91">
      <w:pPr>
        <w:numPr>
          <w:ilvl w:val="1"/>
          <w:numId w:val="1"/>
        </w:numPr>
        <w:spacing w:after="120"/>
        <w:jc w:val="both"/>
        <w:rPr>
          <w:rFonts w:asciiTheme="minorHAnsi" w:hAnsiTheme="minorHAnsi"/>
          <w:bCs/>
        </w:rPr>
      </w:pPr>
      <w:r w:rsidRPr="008B2B7C">
        <w:rPr>
          <w:rFonts w:asciiTheme="minorHAnsi" w:hAnsiTheme="minorHAnsi"/>
          <w:bCs/>
        </w:rPr>
        <w:t xml:space="preserve">The PBAC found that the criteria prescribed by the </w:t>
      </w:r>
      <w:r w:rsidRPr="008B2B7C">
        <w:rPr>
          <w:rFonts w:asciiTheme="minorHAnsi" w:hAnsiTheme="minorHAnsi"/>
          <w:bCs/>
          <w:i/>
        </w:rPr>
        <w:t>National Health (Pharmaceuticals and Vaccines – Cost Recovery) Regulations 2009</w:t>
      </w:r>
      <w:r w:rsidRPr="008B2B7C">
        <w:rPr>
          <w:rFonts w:asciiTheme="minorHAnsi" w:hAnsiTheme="minorHAnsi"/>
          <w:bCs/>
        </w:rPr>
        <w:t xml:space="preserve"> for Pricing Pathway A were not met. Specifically the PBAC found that in the circumstances of its recommendation for Ventolin DC:</w:t>
      </w:r>
    </w:p>
    <w:p w:rsidR="00CA0E13" w:rsidRPr="008B2B7C" w:rsidRDefault="00CA0E13" w:rsidP="00E17B91">
      <w:pPr>
        <w:numPr>
          <w:ilvl w:val="2"/>
          <w:numId w:val="54"/>
        </w:numPr>
        <w:spacing w:after="120"/>
        <w:ind w:left="993" w:hanging="284"/>
        <w:jc w:val="both"/>
        <w:rPr>
          <w:rFonts w:asciiTheme="minorHAnsi" w:hAnsiTheme="minorHAnsi"/>
          <w:bCs/>
        </w:rPr>
      </w:pPr>
      <w:r w:rsidRPr="008B2B7C">
        <w:rPr>
          <w:rFonts w:asciiTheme="minorHAnsi" w:hAnsiTheme="minorHAnsi" w:cs="Arial"/>
          <w:bCs/>
          <w:snapToGrid w:val="0"/>
          <w:szCs w:val="22"/>
          <w:lang w:eastAsia="en-US"/>
        </w:rPr>
        <w:t xml:space="preserve">The treatment is </w:t>
      </w:r>
      <w:r w:rsidR="00435AF5" w:rsidRPr="008B2B7C">
        <w:rPr>
          <w:rFonts w:asciiTheme="minorHAnsi" w:hAnsiTheme="minorHAnsi" w:cs="Arial"/>
          <w:bCs/>
          <w:snapToGrid w:val="0"/>
          <w:szCs w:val="22"/>
          <w:lang w:eastAsia="en-US"/>
        </w:rPr>
        <w:t xml:space="preserve">not </w:t>
      </w:r>
      <w:r w:rsidRPr="008B2B7C">
        <w:rPr>
          <w:rFonts w:asciiTheme="minorHAnsi" w:hAnsiTheme="minorHAnsi" w:cs="Arial"/>
          <w:bCs/>
          <w:snapToGrid w:val="0"/>
          <w:szCs w:val="22"/>
          <w:lang w:eastAsia="en-US"/>
        </w:rPr>
        <w:t xml:space="preserve">expected to provide a substantial and clinically relevant improvement in efficacy, over alternative therapies, as </w:t>
      </w:r>
      <w:r w:rsidRPr="008B2B7C">
        <w:rPr>
          <w:rFonts w:asciiTheme="minorHAnsi" w:hAnsiTheme="minorHAnsi" w:cs="Arial"/>
          <w:bCs/>
          <w:snapToGrid w:val="0"/>
        </w:rPr>
        <w:t>Ventolin DC is a new presentation of salbutamol MDI</w:t>
      </w:r>
      <w:r w:rsidR="00435AF5" w:rsidRPr="008B2B7C">
        <w:rPr>
          <w:rFonts w:asciiTheme="minorHAnsi" w:hAnsiTheme="minorHAnsi" w:cs="Arial"/>
          <w:bCs/>
          <w:snapToGrid w:val="0"/>
        </w:rPr>
        <w:t xml:space="preserve"> with the improvements limited to</w:t>
      </w:r>
      <w:r w:rsidR="0096325E">
        <w:rPr>
          <w:rFonts w:asciiTheme="minorHAnsi" w:hAnsiTheme="minorHAnsi" w:cs="Arial"/>
          <w:bCs/>
          <w:snapToGrid w:val="0"/>
        </w:rPr>
        <w:t xml:space="preserve"> those outlined in paragraph 6.4</w:t>
      </w:r>
      <w:r w:rsidRPr="008B2B7C">
        <w:rPr>
          <w:rFonts w:asciiTheme="minorHAnsi" w:hAnsiTheme="minorHAnsi"/>
          <w:bCs/>
        </w:rPr>
        <w:t xml:space="preserve">. </w:t>
      </w:r>
    </w:p>
    <w:p w:rsidR="00CA0E13" w:rsidRPr="008B2B7C" w:rsidRDefault="00CA0E13" w:rsidP="00E17B91">
      <w:pPr>
        <w:numPr>
          <w:ilvl w:val="2"/>
          <w:numId w:val="54"/>
        </w:numPr>
        <w:spacing w:after="120"/>
        <w:ind w:left="993" w:hanging="284"/>
        <w:jc w:val="both"/>
        <w:rPr>
          <w:rFonts w:asciiTheme="minorHAnsi" w:hAnsiTheme="minorHAnsi"/>
          <w:bCs/>
        </w:rPr>
      </w:pPr>
      <w:r w:rsidRPr="008B2B7C">
        <w:rPr>
          <w:rFonts w:asciiTheme="minorHAnsi" w:hAnsiTheme="minorHAnsi"/>
          <w:bCs/>
        </w:rPr>
        <w:t xml:space="preserve">The treatment is not expected to address a high and urgent unmet clinical need because other subsidised therapies are available. </w:t>
      </w:r>
    </w:p>
    <w:p w:rsidR="00CA0E13" w:rsidRPr="008B2B7C" w:rsidRDefault="00CA0E13" w:rsidP="00E17B91">
      <w:pPr>
        <w:numPr>
          <w:ilvl w:val="2"/>
          <w:numId w:val="54"/>
        </w:numPr>
        <w:spacing w:after="120"/>
        <w:ind w:left="993" w:hanging="284"/>
        <w:jc w:val="both"/>
        <w:rPr>
          <w:rFonts w:asciiTheme="minorHAnsi" w:hAnsiTheme="minorHAnsi"/>
          <w:bCs/>
        </w:rPr>
      </w:pPr>
      <w:r w:rsidRPr="008B2B7C">
        <w:rPr>
          <w:rFonts w:asciiTheme="minorHAnsi" w:hAnsiTheme="minorHAnsi"/>
          <w:bCs/>
        </w:rPr>
        <w:t>It was not necessary to make a finding in relation to whether it would be in the public interest for the subsequent pricing application to be progressed under Pricing Pathway A because one or more of the preceding tests had failed.</w:t>
      </w:r>
    </w:p>
    <w:p w:rsidR="00DE443A" w:rsidRPr="008B2B7C" w:rsidRDefault="00F72527" w:rsidP="00E17B91">
      <w:pPr>
        <w:numPr>
          <w:ilvl w:val="1"/>
          <w:numId w:val="1"/>
        </w:numPr>
        <w:spacing w:after="120"/>
        <w:jc w:val="both"/>
        <w:rPr>
          <w:rFonts w:asciiTheme="minorHAnsi" w:hAnsiTheme="minorHAnsi" w:cs="Arial"/>
          <w:bCs/>
          <w:snapToGrid w:val="0"/>
        </w:rPr>
      </w:pPr>
      <w:r w:rsidRPr="008B2B7C">
        <w:rPr>
          <w:rFonts w:asciiTheme="minorHAnsi" w:hAnsiTheme="minorHAnsi" w:cs="Arial"/>
          <w:bCs/>
          <w:snapToGrid w:val="0"/>
        </w:rPr>
        <w:t xml:space="preserve">The PBAC advised that this submission would not meet the criteria for an Independent Review as it received a positive recommendation. </w:t>
      </w:r>
    </w:p>
    <w:p w:rsidR="00676569" w:rsidRPr="008B2B7C" w:rsidRDefault="00676569" w:rsidP="00E17B91">
      <w:pPr>
        <w:spacing w:before="240"/>
        <w:jc w:val="both"/>
        <w:rPr>
          <w:rFonts w:asciiTheme="minorHAnsi" w:hAnsiTheme="minorHAnsi" w:cs="Arial"/>
          <w:b/>
          <w:bCs/>
          <w:snapToGrid w:val="0"/>
        </w:rPr>
      </w:pPr>
      <w:r w:rsidRPr="008B2B7C">
        <w:rPr>
          <w:rFonts w:asciiTheme="minorHAnsi" w:hAnsiTheme="minorHAnsi" w:cs="Arial"/>
          <w:bCs/>
          <w:snapToGrid w:val="0"/>
        </w:rPr>
        <w:br/>
      </w:r>
      <w:r w:rsidRPr="008B2B7C">
        <w:rPr>
          <w:rFonts w:asciiTheme="minorHAnsi" w:hAnsiTheme="minorHAnsi" w:cs="Arial"/>
          <w:b/>
          <w:bCs/>
          <w:snapToGrid w:val="0"/>
        </w:rPr>
        <w:t>Outcome:</w:t>
      </w:r>
    </w:p>
    <w:p w:rsidR="00676569" w:rsidRPr="006D1700" w:rsidRDefault="00676569" w:rsidP="00E17B91">
      <w:pPr>
        <w:jc w:val="both"/>
        <w:rPr>
          <w:rFonts w:asciiTheme="minorHAnsi" w:hAnsiTheme="minorHAnsi" w:cs="Arial"/>
          <w:bCs/>
          <w:snapToGrid w:val="0"/>
        </w:rPr>
      </w:pPr>
      <w:r w:rsidRPr="008B2B7C">
        <w:rPr>
          <w:rFonts w:asciiTheme="minorHAnsi" w:hAnsiTheme="minorHAnsi" w:cs="Arial"/>
          <w:bCs/>
          <w:snapToGrid w:val="0"/>
        </w:rPr>
        <w:t xml:space="preserve">Recommended </w:t>
      </w:r>
    </w:p>
    <w:p w:rsidR="00676569" w:rsidRPr="00041146" w:rsidRDefault="00676569" w:rsidP="00E17B91">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041146">
        <w:rPr>
          <w:rFonts w:asciiTheme="minorHAnsi" w:hAnsiTheme="minorHAnsi"/>
          <w:sz w:val="32"/>
          <w:szCs w:val="32"/>
        </w:rPr>
        <w:t>Recommended listing</w:t>
      </w:r>
    </w:p>
    <w:p w:rsidR="00A7768D" w:rsidRPr="00041146" w:rsidRDefault="00A7768D" w:rsidP="00E17B91">
      <w:pPr>
        <w:numPr>
          <w:ilvl w:val="1"/>
          <w:numId w:val="1"/>
        </w:numPr>
        <w:spacing w:after="120"/>
        <w:jc w:val="both"/>
        <w:rPr>
          <w:rFonts w:asciiTheme="minorHAnsi" w:hAnsiTheme="minorHAnsi" w:cs="Arial"/>
          <w:b/>
          <w:bCs/>
          <w:snapToGrid w:val="0"/>
        </w:rPr>
      </w:pPr>
      <w:r w:rsidRPr="00041146">
        <w:rPr>
          <w:rFonts w:asciiTheme="minorHAnsi" w:hAnsiTheme="minorHAnsi" w:cs="Arial"/>
          <w:bCs/>
          <w:snapToGrid w:val="0"/>
        </w:rPr>
        <w:t xml:space="preserve">Add new item: </w:t>
      </w:r>
    </w:p>
    <w:p w:rsidR="00C53B2B" w:rsidRPr="00041146" w:rsidRDefault="00C53B2B" w:rsidP="00E17B91">
      <w:pPr>
        <w:spacing w:after="120"/>
        <w:jc w:val="both"/>
        <w:rPr>
          <w:rFonts w:asciiTheme="minorHAnsi" w:hAnsiTheme="minorHAnsi"/>
          <w:sz w:val="22"/>
          <w:szCs w:val="22"/>
        </w:rPr>
      </w:pPr>
    </w:p>
    <w:tbl>
      <w:tblPr>
        <w:tblW w:w="9214" w:type="dxa"/>
        <w:tblLayout w:type="fixed"/>
        <w:tblLook w:val="0000" w:firstRow="0" w:lastRow="0" w:firstColumn="0" w:lastColumn="0" w:noHBand="0" w:noVBand="0"/>
      </w:tblPr>
      <w:tblGrid>
        <w:gridCol w:w="2835"/>
        <w:gridCol w:w="426"/>
        <w:gridCol w:w="1275"/>
        <w:gridCol w:w="1276"/>
        <w:gridCol w:w="1134"/>
        <w:gridCol w:w="2268"/>
      </w:tblGrid>
      <w:tr w:rsidR="00A7768D" w:rsidRPr="00041146" w:rsidTr="00B00C4D">
        <w:trPr>
          <w:cantSplit/>
          <w:trHeight w:val="471"/>
        </w:trPr>
        <w:tc>
          <w:tcPr>
            <w:tcW w:w="3261" w:type="dxa"/>
            <w:gridSpan w:val="2"/>
            <w:tcBorders>
              <w:bottom w:val="single" w:sz="4" w:space="0" w:color="auto"/>
            </w:tcBorders>
          </w:tcPr>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z w:val="20"/>
                <w:szCs w:val="20"/>
              </w:rPr>
              <w:lastRenderedPageBreak/>
              <w:t>Name, Restriction,</w:t>
            </w:r>
          </w:p>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z w:val="20"/>
                <w:szCs w:val="20"/>
              </w:rPr>
              <w:t>Manner of administration and form</w:t>
            </w:r>
          </w:p>
        </w:tc>
        <w:tc>
          <w:tcPr>
            <w:tcW w:w="1275" w:type="dxa"/>
            <w:tcBorders>
              <w:bottom w:val="single" w:sz="4" w:space="0" w:color="auto"/>
            </w:tcBorders>
          </w:tcPr>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z w:val="20"/>
                <w:szCs w:val="20"/>
              </w:rPr>
              <w:t>Max.</w:t>
            </w:r>
          </w:p>
          <w:p w:rsidR="00A7768D" w:rsidRPr="00041146" w:rsidRDefault="00A7768D" w:rsidP="00E17B91">
            <w:pPr>
              <w:keepNext/>
              <w:ind w:left="-108"/>
              <w:jc w:val="both"/>
              <w:rPr>
                <w:rFonts w:ascii="Arial Narrow" w:hAnsi="Arial Narrow" w:cs="Arial"/>
                <w:sz w:val="20"/>
                <w:szCs w:val="20"/>
              </w:rPr>
            </w:pPr>
            <w:proofErr w:type="spellStart"/>
            <w:r w:rsidRPr="00041146">
              <w:rPr>
                <w:rFonts w:ascii="Arial Narrow" w:hAnsi="Arial Narrow" w:cs="Arial"/>
                <w:sz w:val="20"/>
                <w:szCs w:val="20"/>
              </w:rPr>
              <w:t>Qty</w:t>
            </w:r>
            <w:proofErr w:type="spellEnd"/>
          </w:p>
        </w:tc>
        <w:tc>
          <w:tcPr>
            <w:tcW w:w="1276" w:type="dxa"/>
            <w:tcBorders>
              <w:bottom w:val="single" w:sz="4" w:space="0" w:color="auto"/>
            </w:tcBorders>
          </w:tcPr>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z w:val="20"/>
                <w:szCs w:val="20"/>
              </w:rPr>
              <w:t>№.of</w:t>
            </w:r>
          </w:p>
          <w:p w:rsidR="00A7768D" w:rsidRPr="00041146" w:rsidRDefault="00A7768D" w:rsidP="00E17B91">
            <w:pPr>
              <w:keepNext/>
              <w:ind w:left="-108"/>
              <w:jc w:val="both"/>
              <w:rPr>
                <w:rFonts w:ascii="Arial Narrow" w:hAnsi="Arial Narrow" w:cs="Arial"/>
                <w:sz w:val="20"/>
                <w:szCs w:val="20"/>
              </w:rPr>
            </w:pPr>
            <w:proofErr w:type="spellStart"/>
            <w:r w:rsidRPr="00041146">
              <w:rPr>
                <w:rFonts w:ascii="Arial Narrow" w:hAnsi="Arial Narrow" w:cs="Arial"/>
                <w:sz w:val="20"/>
                <w:szCs w:val="20"/>
              </w:rPr>
              <w:t>Rpts</w:t>
            </w:r>
            <w:proofErr w:type="spellEnd"/>
          </w:p>
        </w:tc>
        <w:tc>
          <w:tcPr>
            <w:tcW w:w="3402" w:type="dxa"/>
            <w:gridSpan w:val="2"/>
            <w:tcBorders>
              <w:bottom w:val="single" w:sz="4" w:space="0" w:color="auto"/>
            </w:tcBorders>
          </w:tcPr>
          <w:p w:rsidR="00A7768D" w:rsidRPr="008B2B7C" w:rsidRDefault="00A7768D" w:rsidP="00E17B91">
            <w:pPr>
              <w:keepNext/>
              <w:jc w:val="both"/>
              <w:rPr>
                <w:rFonts w:ascii="Arial Narrow" w:hAnsi="Arial Narrow" w:cs="Arial"/>
                <w:sz w:val="20"/>
                <w:szCs w:val="20"/>
              </w:rPr>
            </w:pPr>
            <w:r w:rsidRPr="00041146">
              <w:rPr>
                <w:rFonts w:ascii="Arial Narrow" w:hAnsi="Arial Narrow" w:cs="Arial"/>
                <w:sz w:val="20"/>
                <w:szCs w:val="20"/>
              </w:rPr>
              <w:t>Proprietary Name and Manufacturer</w:t>
            </w:r>
          </w:p>
        </w:tc>
      </w:tr>
      <w:tr w:rsidR="00A7768D" w:rsidRPr="00041146" w:rsidTr="00B00C4D">
        <w:trPr>
          <w:cantSplit/>
          <w:trHeight w:val="577"/>
        </w:trPr>
        <w:tc>
          <w:tcPr>
            <w:tcW w:w="3261" w:type="dxa"/>
            <w:gridSpan w:val="2"/>
          </w:tcPr>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mallCaps/>
                <w:sz w:val="20"/>
                <w:szCs w:val="20"/>
              </w:rPr>
              <w:t>SALBUTAMOL</w:t>
            </w:r>
          </w:p>
          <w:p w:rsidR="00A7768D" w:rsidRPr="00041146" w:rsidRDefault="00A7768D" w:rsidP="00E17B91">
            <w:pPr>
              <w:keepNext/>
              <w:ind w:left="-108"/>
              <w:rPr>
                <w:rFonts w:ascii="Arial Narrow" w:hAnsi="Arial Narrow" w:cs="Arial"/>
                <w:color w:val="FF0000"/>
                <w:sz w:val="20"/>
                <w:szCs w:val="20"/>
              </w:rPr>
            </w:pPr>
            <w:r w:rsidRPr="00041146">
              <w:rPr>
                <w:rFonts w:ascii="Arial Narrow" w:hAnsi="Arial Narrow"/>
                <w:sz w:val="20"/>
                <w:szCs w:val="20"/>
              </w:rPr>
              <w:t>100 microgram/actuation inhalation with dose counter, 200 actuations</w:t>
            </w:r>
          </w:p>
        </w:tc>
        <w:tc>
          <w:tcPr>
            <w:tcW w:w="1275" w:type="dxa"/>
          </w:tcPr>
          <w:p w:rsidR="00A7768D" w:rsidRPr="00041146" w:rsidRDefault="00A7768D" w:rsidP="00E17B91">
            <w:pPr>
              <w:keepNext/>
              <w:ind w:left="-108"/>
              <w:jc w:val="both"/>
              <w:rPr>
                <w:rFonts w:ascii="Arial Narrow" w:hAnsi="Arial Narrow" w:cs="Arial"/>
                <w:sz w:val="20"/>
                <w:szCs w:val="20"/>
              </w:rPr>
            </w:pPr>
          </w:p>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z w:val="20"/>
                <w:szCs w:val="20"/>
              </w:rPr>
              <w:t>2</w:t>
            </w:r>
          </w:p>
        </w:tc>
        <w:tc>
          <w:tcPr>
            <w:tcW w:w="1276" w:type="dxa"/>
          </w:tcPr>
          <w:p w:rsidR="00A7768D" w:rsidRPr="00041146" w:rsidRDefault="00A7768D" w:rsidP="00E17B91">
            <w:pPr>
              <w:keepNext/>
              <w:ind w:left="-108"/>
              <w:jc w:val="both"/>
              <w:rPr>
                <w:rFonts w:ascii="Arial Narrow" w:hAnsi="Arial Narrow" w:cs="Arial"/>
                <w:sz w:val="20"/>
                <w:szCs w:val="20"/>
              </w:rPr>
            </w:pPr>
          </w:p>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z w:val="20"/>
                <w:szCs w:val="20"/>
              </w:rPr>
              <w:t>5</w:t>
            </w:r>
          </w:p>
          <w:p w:rsidR="00A7768D" w:rsidRPr="00041146" w:rsidRDefault="00A7768D" w:rsidP="00E17B91">
            <w:pPr>
              <w:keepNext/>
              <w:ind w:left="-108"/>
              <w:jc w:val="both"/>
              <w:rPr>
                <w:rFonts w:ascii="Arial Narrow" w:hAnsi="Arial Narrow" w:cs="Arial"/>
                <w:sz w:val="20"/>
                <w:szCs w:val="20"/>
              </w:rPr>
            </w:pPr>
          </w:p>
          <w:p w:rsidR="00A7768D" w:rsidRPr="00041146" w:rsidRDefault="00A7768D" w:rsidP="00E17B91">
            <w:pPr>
              <w:keepNext/>
              <w:ind w:left="-108"/>
              <w:jc w:val="both"/>
              <w:rPr>
                <w:rFonts w:ascii="Arial Narrow" w:hAnsi="Arial Narrow" w:cs="Arial"/>
                <w:sz w:val="20"/>
                <w:szCs w:val="20"/>
              </w:rPr>
            </w:pPr>
          </w:p>
        </w:tc>
        <w:tc>
          <w:tcPr>
            <w:tcW w:w="1134" w:type="dxa"/>
          </w:tcPr>
          <w:p w:rsidR="00A7768D" w:rsidRPr="00041146" w:rsidRDefault="00A7768D" w:rsidP="00E17B91">
            <w:pPr>
              <w:keepNext/>
              <w:jc w:val="both"/>
              <w:rPr>
                <w:rFonts w:ascii="Arial Narrow" w:hAnsi="Arial Narrow" w:cs="Arial"/>
                <w:sz w:val="20"/>
                <w:szCs w:val="20"/>
              </w:rPr>
            </w:pPr>
            <w:r w:rsidRPr="00041146">
              <w:rPr>
                <w:rFonts w:ascii="Arial Narrow" w:hAnsi="Arial Narrow" w:cs="Arial"/>
                <w:sz w:val="20"/>
                <w:szCs w:val="20"/>
              </w:rPr>
              <w:t>Ventolin</w:t>
            </w:r>
          </w:p>
        </w:tc>
        <w:tc>
          <w:tcPr>
            <w:tcW w:w="2268" w:type="dxa"/>
          </w:tcPr>
          <w:p w:rsidR="00A7768D" w:rsidRPr="00041146" w:rsidRDefault="00A7768D" w:rsidP="00E17B91">
            <w:pPr>
              <w:keepNext/>
              <w:jc w:val="both"/>
              <w:rPr>
                <w:rFonts w:ascii="Arial Narrow" w:hAnsi="Arial Narrow" w:cs="Arial"/>
                <w:sz w:val="20"/>
                <w:szCs w:val="20"/>
              </w:rPr>
            </w:pPr>
            <w:r w:rsidRPr="00041146">
              <w:rPr>
                <w:rFonts w:ascii="Arial Narrow" w:hAnsi="Arial Narrow" w:cs="Arial"/>
                <w:sz w:val="20"/>
                <w:szCs w:val="20"/>
              </w:rPr>
              <w:t>GlaxoSmithKline Australia Pty Ltd</w:t>
            </w:r>
          </w:p>
        </w:tc>
      </w:tr>
      <w:tr w:rsidR="00A7768D" w:rsidRPr="00041146" w:rsidTr="005B7E43">
        <w:trPr>
          <w:cantSplit/>
          <w:trHeight w:val="360"/>
        </w:trPr>
        <w:tc>
          <w:tcPr>
            <w:tcW w:w="9214" w:type="dxa"/>
            <w:gridSpan w:val="6"/>
            <w:tcBorders>
              <w:bottom w:val="single" w:sz="4" w:space="0" w:color="auto"/>
            </w:tcBorders>
          </w:tcPr>
          <w:p w:rsidR="00A7768D" w:rsidRPr="00041146" w:rsidRDefault="00A7768D" w:rsidP="00E17B91">
            <w:pPr>
              <w:jc w:val="both"/>
              <w:rPr>
                <w:rFonts w:ascii="Arial Narrow" w:hAnsi="Arial Narrow" w:cs="Arial"/>
                <w:sz w:val="20"/>
                <w:szCs w:val="20"/>
              </w:rPr>
            </w:pPr>
          </w:p>
        </w:tc>
      </w:tr>
      <w:tr w:rsidR="00A7768D" w:rsidRPr="00041146" w:rsidTr="005B7E43">
        <w:trPr>
          <w:cantSplit/>
          <w:trHeight w:val="360"/>
        </w:trPr>
        <w:tc>
          <w:tcPr>
            <w:tcW w:w="2835" w:type="dxa"/>
            <w:tcBorders>
              <w:top w:val="single" w:sz="4" w:space="0" w:color="auto"/>
              <w:left w:val="single" w:sz="4" w:space="0" w:color="auto"/>
              <w:bottom w:val="single" w:sz="4" w:space="0" w:color="auto"/>
              <w:right w:val="single" w:sz="4" w:space="0" w:color="auto"/>
            </w:tcBorders>
          </w:tcPr>
          <w:p w:rsidR="00A7768D" w:rsidRPr="00041146" w:rsidRDefault="00A7768D" w:rsidP="00E17B91">
            <w:pPr>
              <w:jc w:val="both"/>
              <w:rPr>
                <w:rFonts w:ascii="Arial Narrow" w:hAnsi="Arial Narrow" w:cs="Arial"/>
                <w:b/>
                <w:sz w:val="20"/>
                <w:szCs w:val="20"/>
              </w:rPr>
            </w:pPr>
            <w:r w:rsidRPr="00041146">
              <w:rPr>
                <w:rFonts w:ascii="Arial Narrow" w:hAnsi="Arial Narrow" w:cs="Arial"/>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A7768D" w:rsidRPr="00041146" w:rsidRDefault="00A7768D" w:rsidP="00E17B91">
            <w:pPr>
              <w:jc w:val="both"/>
              <w:rPr>
                <w:rFonts w:ascii="Arial Narrow" w:hAnsi="Arial Narrow" w:cs="Arial"/>
                <w:sz w:val="20"/>
                <w:szCs w:val="20"/>
              </w:rPr>
            </w:pPr>
            <w:r w:rsidRPr="00041146">
              <w:rPr>
                <w:rFonts w:ascii="Arial Narrow" w:hAnsi="Arial Narrow" w:cs="Arial"/>
                <w:sz w:val="20"/>
                <w:szCs w:val="20"/>
              </w:rPr>
              <w:t>GENERAL – General Schedule (Code GE)</w:t>
            </w:r>
          </w:p>
        </w:tc>
      </w:tr>
      <w:tr w:rsidR="00A7768D" w:rsidRPr="00041146" w:rsidTr="005B7E43">
        <w:trPr>
          <w:cantSplit/>
          <w:trHeight w:val="360"/>
        </w:trPr>
        <w:tc>
          <w:tcPr>
            <w:tcW w:w="2835" w:type="dxa"/>
            <w:tcBorders>
              <w:top w:val="single" w:sz="4" w:space="0" w:color="auto"/>
              <w:left w:val="single" w:sz="4" w:space="0" w:color="auto"/>
              <w:bottom w:val="single" w:sz="4" w:space="0" w:color="auto"/>
              <w:right w:val="single" w:sz="4" w:space="0" w:color="auto"/>
            </w:tcBorders>
          </w:tcPr>
          <w:p w:rsidR="00A7768D" w:rsidRPr="00041146" w:rsidRDefault="00A7768D" w:rsidP="00E17B91">
            <w:pPr>
              <w:jc w:val="both"/>
              <w:rPr>
                <w:rFonts w:ascii="Arial Narrow" w:hAnsi="Arial Narrow" w:cs="Arial"/>
                <w:b/>
                <w:sz w:val="20"/>
                <w:szCs w:val="20"/>
              </w:rPr>
            </w:pPr>
            <w:r w:rsidRPr="00041146">
              <w:rPr>
                <w:rFonts w:ascii="Arial Narrow" w:hAnsi="Arial Narrow" w:cs="Arial"/>
                <w:b/>
                <w:sz w:val="20"/>
                <w:szCs w:val="20"/>
              </w:rPr>
              <w:t>Prescriber type:</w:t>
            </w:r>
          </w:p>
          <w:p w:rsidR="00A7768D" w:rsidRPr="00041146" w:rsidRDefault="00A7768D" w:rsidP="00E17B91">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A7768D" w:rsidRPr="00041146" w:rsidRDefault="00A7768D" w:rsidP="00E17B91">
            <w:pPr>
              <w:jc w:val="both"/>
              <w:rPr>
                <w:rFonts w:ascii="Arial Narrow" w:hAnsi="Arial Narrow" w:cs="Arial"/>
                <w:sz w:val="20"/>
                <w:szCs w:val="20"/>
              </w:rPr>
            </w:pPr>
            <w:r w:rsidRPr="008B2B7C">
              <w:rPr>
                <w:rFonts w:ascii="Arial Narrow" w:hAnsi="Arial Narrow" w:cs="Arial"/>
                <w:sz w:val="20"/>
                <w:szCs w:val="20"/>
              </w:rPr>
              <w:fldChar w:fldCharType="begin">
                <w:ffData>
                  <w:name w:val="Check1"/>
                  <w:enabled/>
                  <w:calcOnExit w:val="0"/>
                  <w:checkBox>
                    <w:sizeAuto/>
                    <w:default w:val="0"/>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8B2B7C">
              <w:rPr>
                <w:rFonts w:ascii="Arial Narrow" w:hAnsi="Arial Narrow" w:cs="Arial"/>
                <w:sz w:val="20"/>
                <w:szCs w:val="20"/>
              </w:rPr>
              <w:fldChar w:fldCharType="end"/>
            </w:r>
            <w:r w:rsidRPr="00041146">
              <w:rPr>
                <w:rFonts w:ascii="Arial Narrow" w:hAnsi="Arial Narrow" w:cs="Arial"/>
                <w:sz w:val="20"/>
                <w:szCs w:val="20"/>
              </w:rPr>
              <w:t xml:space="preserve">Dental </w:t>
            </w:r>
            <w:r w:rsidRPr="008B2B7C">
              <w:rPr>
                <w:rFonts w:ascii="Arial Narrow" w:hAnsi="Arial Narrow" w:cs="Arial"/>
                <w:sz w:val="20"/>
                <w:szCs w:val="20"/>
              </w:rPr>
              <w:fldChar w:fldCharType="begin">
                <w:ffData>
                  <w:name w:val=""/>
                  <w:enabled/>
                  <w:calcOnExit w:val="0"/>
                  <w:checkBox>
                    <w:sizeAuto/>
                    <w:default w:val="1"/>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8B2B7C">
              <w:rPr>
                <w:rFonts w:ascii="Arial Narrow" w:hAnsi="Arial Narrow" w:cs="Arial"/>
                <w:sz w:val="20"/>
                <w:szCs w:val="20"/>
              </w:rPr>
              <w:fldChar w:fldCharType="end"/>
            </w:r>
            <w:r w:rsidRPr="00041146">
              <w:rPr>
                <w:rFonts w:ascii="Arial Narrow" w:hAnsi="Arial Narrow" w:cs="Arial"/>
                <w:sz w:val="20"/>
                <w:szCs w:val="20"/>
              </w:rPr>
              <w:t xml:space="preserve">Medical Practitioners </w:t>
            </w:r>
            <w:r w:rsidRPr="008B2B7C">
              <w:rPr>
                <w:rFonts w:ascii="Arial Narrow" w:hAnsi="Arial Narrow" w:cs="Arial"/>
                <w:sz w:val="20"/>
                <w:szCs w:val="20"/>
              </w:rPr>
              <w:fldChar w:fldCharType="begin">
                <w:ffData>
                  <w:name w:val="Check3"/>
                  <w:enabled/>
                  <w:calcOnExit w:val="0"/>
                  <w:checkBox>
                    <w:sizeAuto/>
                    <w:default w:val="1"/>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8B2B7C">
              <w:rPr>
                <w:rFonts w:ascii="Arial Narrow" w:hAnsi="Arial Narrow" w:cs="Arial"/>
                <w:sz w:val="20"/>
                <w:szCs w:val="20"/>
              </w:rPr>
              <w:fldChar w:fldCharType="end"/>
            </w:r>
            <w:r w:rsidRPr="00041146">
              <w:rPr>
                <w:rFonts w:ascii="Arial Narrow" w:hAnsi="Arial Narrow" w:cs="Arial"/>
                <w:sz w:val="20"/>
                <w:szCs w:val="20"/>
              </w:rPr>
              <w:t xml:space="preserve">Nurse practitioners </w:t>
            </w:r>
            <w:r w:rsidRPr="008B2B7C">
              <w:rPr>
                <w:rFonts w:ascii="Arial Narrow" w:hAnsi="Arial Narrow" w:cs="Arial"/>
                <w:sz w:val="20"/>
                <w:szCs w:val="20"/>
              </w:rPr>
              <w:fldChar w:fldCharType="begin">
                <w:ffData>
                  <w:name w:val=""/>
                  <w:enabled/>
                  <w:calcOnExit w:val="0"/>
                  <w:checkBox>
                    <w:sizeAuto/>
                    <w:default w:val="0"/>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8B2B7C">
              <w:rPr>
                <w:rFonts w:ascii="Arial Narrow" w:hAnsi="Arial Narrow" w:cs="Arial"/>
                <w:sz w:val="20"/>
                <w:szCs w:val="20"/>
              </w:rPr>
              <w:fldChar w:fldCharType="end"/>
            </w:r>
            <w:r w:rsidRPr="00041146">
              <w:rPr>
                <w:rFonts w:ascii="Arial Narrow" w:hAnsi="Arial Narrow" w:cs="Arial"/>
                <w:sz w:val="20"/>
                <w:szCs w:val="20"/>
              </w:rPr>
              <w:t>Optometrists</w:t>
            </w:r>
          </w:p>
          <w:p w:rsidR="00A7768D" w:rsidRPr="00041146" w:rsidRDefault="00A7768D" w:rsidP="00E17B91">
            <w:pPr>
              <w:jc w:val="both"/>
              <w:rPr>
                <w:rFonts w:ascii="Arial Narrow" w:hAnsi="Arial Narrow" w:cs="Arial"/>
                <w:sz w:val="20"/>
                <w:szCs w:val="20"/>
              </w:rPr>
            </w:pPr>
            <w:r w:rsidRPr="008B2B7C">
              <w:rPr>
                <w:rFonts w:ascii="Arial Narrow" w:hAnsi="Arial Narrow" w:cs="Arial"/>
                <w:sz w:val="20"/>
                <w:szCs w:val="20"/>
              </w:rPr>
              <w:fldChar w:fldCharType="begin">
                <w:ffData>
                  <w:name w:val="Check5"/>
                  <w:enabled/>
                  <w:calcOnExit w:val="0"/>
                  <w:checkBox>
                    <w:sizeAuto/>
                    <w:default w:val="0"/>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8B2B7C">
              <w:rPr>
                <w:rFonts w:ascii="Arial Narrow" w:hAnsi="Arial Narrow" w:cs="Arial"/>
                <w:sz w:val="20"/>
                <w:szCs w:val="20"/>
              </w:rPr>
              <w:fldChar w:fldCharType="end"/>
            </w:r>
            <w:r w:rsidRPr="00041146">
              <w:rPr>
                <w:rFonts w:ascii="Arial Narrow" w:hAnsi="Arial Narrow" w:cs="Arial"/>
                <w:sz w:val="20"/>
                <w:szCs w:val="20"/>
              </w:rPr>
              <w:t>Midwives</w:t>
            </w:r>
          </w:p>
        </w:tc>
      </w:tr>
    </w:tbl>
    <w:p w:rsidR="00A7768D" w:rsidRPr="00041146" w:rsidRDefault="00A7768D" w:rsidP="00E17B91">
      <w:pPr>
        <w:spacing w:after="120"/>
        <w:jc w:val="both"/>
        <w:rPr>
          <w:rFonts w:asciiTheme="minorHAnsi" w:eastAsiaTheme="minorHAnsi" w:hAnsiTheme="minorHAnsi" w:cstheme="minorBidi"/>
          <w:b/>
          <w:color w:val="000000" w:themeColor="text1"/>
          <w:lang w:eastAsia="en-US"/>
        </w:rPr>
      </w:pPr>
    </w:p>
    <w:tbl>
      <w:tblPr>
        <w:tblW w:w="9214" w:type="dxa"/>
        <w:tblLayout w:type="fixed"/>
        <w:tblLook w:val="0000" w:firstRow="0" w:lastRow="0" w:firstColumn="0" w:lastColumn="0" w:noHBand="0" w:noVBand="0"/>
      </w:tblPr>
      <w:tblGrid>
        <w:gridCol w:w="2835"/>
        <w:gridCol w:w="426"/>
        <w:gridCol w:w="1275"/>
        <w:gridCol w:w="1276"/>
        <w:gridCol w:w="1134"/>
        <w:gridCol w:w="2268"/>
      </w:tblGrid>
      <w:tr w:rsidR="00A7768D" w:rsidRPr="00041146" w:rsidTr="00B00C4D">
        <w:trPr>
          <w:cantSplit/>
          <w:trHeight w:val="471"/>
        </w:trPr>
        <w:tc>
          <w:tcPr>
            <w:tcW w:w="3261" w:type="dxa"/>
            <w:gridSpan w:val="2"/>
            <w:tcBorders>
              <w:bottom w:val="single" w:sz="4" w:space="0" w:color="auto"/>
            </w:tcBorders>
          </w:tcPr>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z w:val="20"/>
                <w:szCs w:val="20"/>
              </w:rPr>
              <w:t>Name, Restriction,</w:t>
            </w:r>
          </w:p>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z w:val="20"/>
                <w:szCs w:val="20"/>
              </w:rPr>
              <w:t>Manner of administration and form</w:t>
            </w:r>
          </w:p>
        </w:tc>
        <w:tc>
          <w:tcPr>
            <w:tcW w:w="1275" w:type="dxa"/>
            <w:tcBorders>
              <w:bottom w:val="single" w:sz="4" w:space="0" w:color="auto"/>
            </w:tcBorders>
          </w:tcPr>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z w:val="20"/>
                <w:szCs w:val="20"/>
              </w:rPr>
              <w:t>Max.</w:t>
            </w:r>
          </w:p>
          <w:p w:rsidR="00A7768D" w:rsidRPr="00041146" w:rsidRDefault="00A7768D" w:rsidP="00E17B91">
            <w:pPr>
              <w:keepNext/>
              <w:ind w:left="-108"/>
              <w:jc w:val="both"/>
              <w:rPr>
                <w:rFonts w:ascii="Arial Narrow" w:hAnsi="Arial Narrow" w:cs="Arial"/>
                <w:sz w:val="20"/>
                <w:szCs w:val="20"/>
              </w:rPr>
            </w:pPr>
            <w:proofErr w:type="spellStart"/>
            <w:r w:rsidRPr="00041146">
              <w:rPr>
                <w:rFonts w:ascii="Arial Narrow" w:hAnsi="Arial Narrow" w:cs="Arial"/>
                <w:sz w:val="20"/>
                <w:szCs w:val="20"/>
              </w:rPr>
              <w:t>Qty</w:t>
            </w:r>
            <w:proofErr w:type="spellEnd"/>
          </w:p>
        </w:tc>
        <w:tc>
          <w:tcPr>
            <w:tcW w:w="1276" w:type="dxa"/>
            <w:tcBorders>
              <w:bottom w:val="single" w:sz="4" w:space="0" w:color="auto"/>
            </w:tcBorders>
          </w:tcPr>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z w:val="20"/>
                <w:szCs w:val="20"/>
              </w:rPr>
              <w:t>№.of</w:t>
            </w:r>
          </w:p>
          <w:p w:rsidR="00A7768D" w:rsidRPr="00041146" w:rsidRDefault="00A7768D" w:rsidP="00E17B91">
            <w:pPr>
              <w:keepNext/>
              <w:ind w:left="-108"/>
              <w:jc w:val="both"/>
              <w:rPr>
                <w:rFonts w:ascii="Arial Narrow" w:hAnsi="Arial Narrow" w:cs="Arial"/>
                <w:sz w:val="20"/>
                <w:szCs w:val="20"/>
              </w:rPr>
            </w:pPr>
            <w:proofErr w:type="spellStart"/>
            <w:r w:rsidRPr="00041146">
              <w:rPr>
                <w:rFonts w:ascii="Arial Narrow" w:hAnsi="Arial Narrow" w:cs="Arial"/>
                <w:sz w:val="20"/>
                <w:szCs w:val="20"/>
              </w:rPr>
              <w:t>Rpts</w:t>
            </w:r>
            <w:proofErr w:type="spellEnd"/>
          </w:p>
        </w:tc>
        <w:tc>
          <w:tcPr>
            <w:tcW w:w="3402" w:type="dxa"/>
            <w:gridSpan w:val="2"/>
            <w:tcBorders>
              <w:bottom w:val="single" w:sz="4" w:space="0" w:color="auto"/>
            </w:tcBorders>
          </w:tcPr>
          <w:p w:rsidR="00A7768D" w:rsidRPr="008B2B7C" w:rsidRDefault="00A7768D" w:rsidP="00E17B91">
            <w:pPr>
              <w:keepNext/>
              <w:jc w:val="both"/>
              <w:rPr>
                <w:rFonts w:ascii="Arial Narrow" w:hAnsi="Arial Narrow" w:cs="Arial"/>
                <w:sz w:val="20"/>
                <w:szCs w:val="20"/>
              </w:rPr>
            </w:pPr>
            <w:r w:rsidRPr="00041146">
              <w:rPr>
                <w:rFonts w:ascii="Arial Narrow" w:hAnsi="Arial Narrow" w:cs="Arial"/>
                <w:sz w:val="20"/>
                <w:szCs w:val="20"/>
              </w:rPr>
              <w:t>Proprietary Name and Manufacturer</w:t>
            </w:r>
          </w:p>
        </w:tc>
      </w:tr>
      <w:tr w:rsidR="00A7768D" w:rsidRPr="00041146" w:rsidTr="00B00C4D">
        <w:trPr>
          <w:cantSplit/>
          <w:trHeight w:val="577"/>
        </w:trPr>
        <w:tc>
          <w:tcPr>
            <w:tcW w:w="3261" w:type="dxa"/>
            <w:gridSpan w:val="2"/>
          </w:tcPr>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mallCaps/>
                <w:sz w:val="20"/>
                <w:szCs w:val="20"/>
              </w:rPr>
              <w:t>SALBUTAMOL</w:t>
            </w:r>
          </w:p>
          <w:p w:rsidR="00A7768D" w:rsidRPr="00041146" w:rsidRDefault="00A7768D" w:rsidP="00E17B91">
            <w:pPr>
              <w:keepNext/>
              <w:ind w:left="-108"/>
              <w:rPr>
                <w:rFonts w:ascii="Arial Narrow" w:hAnsi="Arial Narrow" w:cs="Arial"/>
                <w:color w:val="FF0000"/>
                <w:sz w:val="20"/>
                <w:szCs w:val="20"/>
              </w:rPr>
            </w:pPr>
            <w:r w:rsidRPr="00041146">
              <w:rPr>
                <w:rFonts w:ascii="Arial Narrow" w:hAnsi="Arial Narrow"/>
                <w:sz w:val="20"/>
                <w:szCs w:val="20"/>
              </w:rPr>
              <w:t>100 microgram/actuation inhalation with dose counter, 200 actuations</w:t>
            </w:r>
          </w:p>
        </w:tc>
        <w:tc>
          <w:tcPr>
            <w:tcW w:w="1275" w:type="dxa"/>
          </w:tcPr>
          <w:p w:rsidR="00A7768D" w:rsidRPr="00041146" w:rsidRDefault="00A7768D" w:rsidP="00E17B91">
            <w:pPr>
              <w:keepNext/>
              <w:ind w:left="-108"/>
              <w:jc w:val="both"/>
              <w:rPr>
                <w:rFonts w:ascii="Arial Narrow" w:hAnsi="Arial Narrow" w:cs="Arial"/>
                <w:sz w:val="20"/>
                <w:szCs w:val="20"/>
              </w:rPr>
            </w:pPr>
          </w:p>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z w:val="20"/>
                <w:szCs w:val="20"/>
              </w:rPr>
              <w:t>1</w:t>
            </w:r>
          </w:p>
        </w:tc>
        <w:tc>
          <w:tcPr>
            <w:tcW w:w="1276" w:type="dxa"/>
          </w:tcPr>
          <w:p w:rsidR="00A7768D" w:rsidRPr="00041146" w:rsidRDefault="00A7768D" w:rsidP="00E17B91">
            <w:pPr>
              <w:keepNext/>
              <w:ind w:left="-108"/>
              <w:jc w:val="both"/>
              <w:rPr>
                <w:rFonts w:ascii="Arial Narrow" w:hAnsi="Arial Narrow" w:cs="Arial"/>
                <w:sz w:val="20"/>
                <w:szCs w:val="20"/>
              </w:rPr>
            </w:pPr>
          </w:p>
          <w:p w:rsidR="00A7768D" w:rsidRPr="00041146" w:rsidRDefault="00A7768D" w:rsidP="00E17B91">
            <w:pPr>
              <w:keepNext/>
              <w:ind w:left="-108"/>
              <w:jc w:val="both"/>
              <w:rPr>
                <w:rFonts w:ascii="Arial Narrow" w:hAnsi="Arial Narrow" w:cs="Arial"/>
                <w:sz w:val="20"/>
                <w:szCs w:val="20"/>
              </w:rPr>
            </w:pPr>
            <w:r w:rsidRPr="00041146">
              <w:rPr>
                <w:rFonts w:ascii="Arial Narrow" w:hAnsi="Arial Narrow" w:cs="Arial"/>
                <w:sz w:val="20"/>
                <w:szCs w:val="20"/>
              </w:rPr>
              <w:t>0</w:t>
            </w:r>
          </w:p>
          <w:p w:rsidR="00A7768D" w:rsidRPr="00041146" w:rsidRDefault="00A7768D" w:rsidP="00E17B91">
            <w:pPr>
              <w:keepNext/>
              <w:ind w:left="-108"/>
              <w:jc w:val="both"/>
              <w:rPr>
                <w:rFonts w:ascii="Arial Narrow" w:hAnsi="Arial Narrow" w:cs="Arial"/>
                <w:sz w:val="20"/>
                <w:szCs w:val="20"/>
              </w:rPr>
            </w:pPr>
          </w:p>
          <w:p w:rsidR="00A7768D" w:rsidRPr="00041146" w:rsidRDefault="00A7768D" w:rsidP="00E17B91">
            <w:pPr>
              <w:keepNext/>
              <w:ind w:left="-108"/>
              <w:jc w:val="both"/>
              <w:rPr>
                <w:rFonts w:ascii="Arial Narrow" w:hAnsi="Arial Narrow" w:cs="Arial"/>
                <w:sz w:val="20"/>
                <w:szCs w:val="20"/>
              </w:rPr>
            </w:pPr>
          </w:p>
        </w:tc>
        <w:tc>
          <w:tcPr>
            <w:tcW w:w="1134" w:type="dxa"/>
          </w:tcPr>
          <w:p w:rsidR="00A7768D" w:rsidRPr="00041146" w:rsidRDefault="00A7768D" w:rsidP="00E17B91">
            <w:pPr>
              <w:keepNext/>
              <w:jc w:val="both"/>
              <w:rPr>
                <w:rFonts w:ascii="Arial Narrow" w:hAnsi="Arial Narrow" w:cs="Arial"/>
                <w:sz w:val="20"/>
                <w:szCs w:val="20"/>
              </w:rPr>
            </w:pPr>
            <w:r w:rsidRPr="00041146">
              <w:rPr>
                <w:rFonts w:ascii="Arial Narrow" w:hAnsi="Arial Narrow" w:cs="Arial"/>
                <w:sz w:val="20"/>
                <w:szCs w:val="20"/>
              </w:rPr>
              <w:t>Ventolin</w:t>
            </w:r>
          </w:p>
        </w:tc>
        <w:tc>
          <w:tcPr>
            <w:tcW w:w="2268" w:type="dxa"/>
          </w:tcPr>
          <w:p w:rsidR="00A7768D" w:rsidRPr="00041146" w:rsidRDefault="00A7768D" w:rsidP="00E17B91">
            <w:pPr>
              <w:keepNext/>
              <w:jc w:val="both"/>
              <w:rPr>
                <w:rFonts w:ascii="Arial Narrow" w:hAnsi="Arial Narrow" w:cs="Arial"/>
                <w:sz w:val="20"/>
                <w:szCs w:val="20"/>
              </w:rPr>
            </w:pPr>
            <w:r w:rsidRPr="00041146">
              <w:rPr>
                <w:rFonts w:ascii="Arial Narrow" w:hAnsi="Arial Narrow" w:cs="Arial"/>
                <w:sz w:val="20"/>
                <w:szCs w:val="20"/>
              </w:rPr>
              <w:t>GlaxoSmithKline Australia Pty Ltd</w:t>
            </w:r>
          </w:p>
        </w:tc>
      </w:tr>
      <w:tr w:rsidR="00A7768D" w:rsidRPr="00041146" w:rsidTr="005B7E43">
        <w:trPr>
          <w:cantSplit/>
          <w:trHeight w:val="360"/>
        </w:trPr>
        <w:tc>
          <w:tcPr>
            <w:tcW w:w="9214" w:type="dxa"/>
            <w:gridSpan w:val="6"/>
            <w:tcBorders>
              <w:bottom w:val="single" w:sz="4" w:space="0" w:color="auto"/>
            </w:tcBorders>
          </w:tcPr>
          <w:p w:rsidR="00A7768D" w:rsidRPr="00041146" w:rsidRDefault="00A7768D" w:rsidP="00E17B91">
            <w:pPr>
              <w:jc w:val="both"/>
              <w:rPr>
                <w:rFonts w:ascii="Arial Narrow" w:hAnsi="Arial Narrow" w:cs="Arial"/>
                <w:sz w:val="20"/>
                <w:szCs w:val="20"/>
              </w:rPr>
            </w:pPr>
          </w:p>
        </w:tc>
      </w:tr>
      <w:tr w:rsidR="00A7768D" w:rsidRPr="00041146" w:rsidTr="005B7E43">
        <w:trPr>
          <w:cantSplit/>
          <w:trHeight w:val="360"/>
        </w:trPr>
        <w:tc>
          <w:tcPr>
            <w:tcW w:w="2835" w:type="dxa"/>
            <w:tcBorders>
              <w:top w:val="single" w:sz="4" w:space="0" w:color="auto"/>
              <w:left w:val="single" w:sz="4" w:space="0" w:color="auto"/>
              <w:bottom w:val="single" w:sz="4" w:space="0" w:color="auto"/>
              <w:right w:val="single" w:sz="4" w:space="0" w:color="auto"/>
            </w:tcBorders>
          </w:tcPr>
          <w:p w:rsidR="00A7768D" w:rsidRPr="00041146" w:rsidRDefault="00A7768D" w:rsidP="00E17B91">
            <w:pPr>
              <w:jc w:val="both"/>
              <w:rPr>
                <w:rFonts w:ascii="Arial Narrow" w:hAnsi="Arial Narrow" w:cs="Arial"/>
                <w:b/>
                <w:sz w:val="20"/>
                <w:szCs w:val="20"/>
              </w:rPr>
            </w:pPr>
            <w:r w:rsidRPr="00041146">
              <w:rPr>
                <w:rFonts w:ascii="Arial Narrow" w:hAnsi="Arial Narrow" w:cs="Arial"/>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A7768D" w:rsidRPr="00041146" w:rsidRDefault="00A7768D" w:rsidP="00E17B91">
            <w:pPr>
              <w:jc w:val="both"/>
              <w:rPr>
                <w:rFonts w:ascii="Arial Narrow" w:hAnsi="Arial Narrow" w:cs="Arial"/>
                <w:sz w:val="20"/>
                <w:szCs w:val="20"/>
              </w:rPr>
            </w:pPr>
            <w:r w:rsidRPr="00041146">
              <w:rPr>
                <w:rFonts w:ascii="Arial Narrow" w:hAnsi="Arial Narrow" w:cs="Arial"/>
                <w:sz w:val="20"/>
                <w:szCs w:val="20"/>
              </w:rPr>
              <w:t>GENERAL – General Schedule (Code DB Prescribers Bag)</w:t>
            </w:r>
          </w:p>
        </w:tc>
      </w:tr>
      <w:tr w:rsidR="00A7768D" w:rsidRPr="00041146" w:rsidTr="005B7E43">
        <w:trPr>
          <w:cantSplit/>
          <w:trHeight w:val="360"/>
        </w:trPr>
        <w:tc>
          <w:tcPr>
            <w:tcW w:w="2835" w:type="dxa"/>
            <w:tcBorders>
              <w:top w:val="single" w:sz="4" w:space="0" w:color="auto"/>
              <w:left w:val="single" w:sz="4" w:space="0" w:color="auto"/>
              <w:bottom w:val="single" w:sz="4" w:space="0" w:color="auto"/>
              <w:right w:val="single" w:sz="4" w:space="0" w:color="auto"/>
            </w:tcBorders>
          </w:tcPr>
          <w:p w:rsidR="00A7768D" w:rsidRPr="00041146" w:rsidRDefault="00A7768D" w:rsidP="00E17B91">
            <w:pPr>
              <w:jc w:val="both"/>
              <w:rPr>
                <w:rFonts w:ascii="Arial Narrow" w:hAnsi="Arial Narrow" w:cs="Arial"/>
                <w:b/>
                <w:sz w:val="20"/>
                <w:szCs w:val="20"/>
              </w:rPr>
            </w:pPr>
            <w:r w:rsidRPr="00041146">
              <w:rPr>
                <w:rFonts w:ascii="Arial Narrow" w:hAnsi="Arial Narrow" w:cs="Arial"/>
                <w:b/>
                <w:sz w:val="20"/>
                <w:szCs w:val="20"/>
              </w:rPr>
              <w:t>Prescriber type:</w:t>
            </w:r>
          </w:p>
          <w:p w:rsidR="00A7768D" w:rsidRPr="00041146" w:rsidRDefault="00A7768D" w:rsidP="00E17B91">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A7768D" w:rsidRPr="00041146" w:rsidRDefault="00A7768D" w:rsidP="00E17B91">
            <w:pPr>
              <w:jc w:val="both"/>
              <w:rPr>
                <w:rFonts w:ascii="Arial Narrow" w:hAnsi="Arial Narrow" w:cs="Arial"/>
                <w:sz w:val="20"/>
                <w:szCs w:val="20"/>
              </w:rPr>
            </w:pPr>
            <w:r w:rsidRPr="008B2B7C">
              <w:rPr>
                <w:rFonts w:ascii="Arial Narrow" w:hAnsi="Arial Narrow" w:cs="Arial"/>
                <w:sz w:val="20"/>
                <w:szCs w:val="20"/>
              </w:rPr>
              <w:fldChar w:fldCharType="begin">
                <w:ffData>
                  <w:name w:val="Check1"/>
                  <w:enabled/>
                  <w:calcOnExit w:val="0"/>
                  <w:checkBox>
                    <w:sizeAuto/>
                    <w:default w:val="0"/>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8B2B7C">
              <w:rPr>
                <w:rFonts w:ascii="Arial Narrow" w:hAnsi="Arial Narrow" w:cs="Arial"/>
                <w:sz w:val="20"/>
                <w:szCs w:val="20"/>
              </w:rPr>
              <w:fldChar w:fldCharType="end"/>
            </w:r>
            <w:r w:rsidRPr="00041146">
              <w:rPr>
                <w:rFonts w:ascii="Arial Narrow" w:hAnsi="Arial Narrow" w:cs="Arial"/>
                <w:sz w:val="20"/>
                <w:szCs w:val="20"/>
              </w:rPr>
              <w:t xml:space="preserve">Dental </w:t>
            </w:r>
            <w:r w:rsidRPr="008B2B7C">
              <w:rPr>
                <w:rFonts w:ascii="Arial Narrow" w:hAnsi="Arial Narrow" w:cs="Arial"/>
                <w:sz w:val="20"/>
                <w:szCs w:val="20"/>
              </w:rPr>
              <w:fldChar w:fldCharType="begin">
                <w:ffData>
                  <w:name w:val=""/>
                  <w:enabled/>
                  <w:calcOnExit w:val="0"/>
                  <w:checkBox>
                    <w:sizeAuto/>
                    <w:default w:val="1"/>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8B2B7C">
              <w:rPr>
                <w:rFonts w:ascii="Arial Narrow" w:hAnsi="Arial Narrow" w:cs="Arial"/>
                <w:sz w:val="20"/>
                <w:szCs w:val="20"/>
              </w:rPr>
              <w:fldChar w:fldCharType="end"/>
            </w:r>
            <w:r w:rsidRPr="00041146">
              <w:rPr>
                <w:rFonts w:ascii="Arial Narrow" w:hAnsi="Arial Narrow" w:cs="Arial"/>
                <w:sz w:val="20"/>
                <w:szCs w:val="20"/>
              </w:rPr>
              <w:t xml:space="preserve">Medical Practitioners </w:t>
            </w:r>
            <w:r w:rsidRPr="008B2B7C">
              <w:rPr>
                <w:rFonts w:ascii="Arial Narrow" w:hAnsi="Arial Narrow" w:cs="Arial"/>
                <w:sz w:val="20"/>
                <w:szCs w:val="20"/>
              </w:rPr>
              <w:fldChar w:fldCharType="begin">
                <w:ffData>
                  <w:name w:val=""/>
                  <w:enabled/>
                  <w:calcOnExit w:val="0"/>
                  <w:checkBox>
                    <w:sizeAuto/>
                    <w:default w:val="1"/>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8B2B7C">
              <w:rPr>
                <w:rFonts w:ascii="Arial Narrow" w:hAnsi="Arial Narrow" w:cs="Arial"/>
                <w:sz w:val="20"/>
                <w:szCs w:val="20"/>
              </w:rPr>
              <w:fldChar w:fldCharType="end"/>
            </w:r>
            <w:r w:rsidRPr="00041146">
              <w:rPr>
                <w:rFonts w:ascii="Arial Narrow" w:hAnsi="Arial Narrow" w:cs="Arial"/>
                <w:sz w:val="20"/>
                <w:szCs w:val="20"/>
              </w:rPr>
              <w:t xml:space="preserve">Nurse practitioners </w:t>
            </w:r>
            <w:r w:rsidRPr="008B2B7C">
              <w:rPr>
                <w:rFonts w:ascii="Arial Narrow" w:hAnsi="Arial Narrow" w:cs="Arial"/>
                <w:sz w:val="20"/>
                <w:szCs w:val="20"/>
              </w:rPr>
              <w:fldChar w:fldCharType="begin">
                <w:ffData>
                  <w:name w:val=""/>
                  <w:enabled/>
                  <w:calcOnExit w:val="0"/>
                  <w:checkBox>
                    <w:sizeAuto/>
                    <w:default w:val="0"/>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8B2B7C">
              <w:rPr>
                <w:rFonts w:ascii="Arial Narrow" w:hAnsi="Arial Narrow" w:cs="Arial"/>
                <w:sz w:val="20"/>
                <w:szCs w:val="20"/>
              </w:rPr>
              <w:fldChar w:fldCharType="end"/>
            </w:r>
            <w:r w:rsidRPr="00041146">
              <w:rPr>
                <w:rFonts w:ascii="Arial Narrow" w:hAnsi="Arial Narrow" w:cs="Arial"/>
                <w:sz w:val="20"/>
                <w:szCs w:val="20"/>
              </w:rPr>
              <w:t>Optometrists</w:t>
            </w:r>
          </w:p>
          <w:p w:rsidR="00A7768D" w:rsidRPr="00041146" w:rsidRDefault="00A7768D" w:rsidP="00E17B91">
            <w:pPr>
              <w:jc w:val="both"/>
              <w:rPr>
                <w:rFonts w:ascii="Arial Narrow" w:hAnsi="Arial Narrow" w:cs="Arial"/>
                <w:sz w:val="20"/>
                <w:szCs w:val="20"/>
              </w:rPr>
            </w:pPr>
            <w:r w:rsidRPr="008B2B7C">
              <w:rPr>
                <w:rFonts w:ascii="Arial Narrow" w:hAnsi="Arial Narrow" w:cs="Arial"/>
                <w:sz w:val="20"/>
                <w:szCs w:val="20"/>
              </w:rPr>
              <w:fldChar w:fldCharType="begin">
                <w:ffData>
                  <w:name w:val="Check5"/>
                  <w:enabled/>
                  <w:calcOnExit w:val="0"/>
                  <w:checkBox>
                    <w:sizeAuto/>
                    <w:default w:val="0"/>
                  </w:checkBox>
                </w:ffData>
              </w:fldChar>
            </w:r>
            <w:r w:rsidRPr="00041146">
              <w:rPr>
                <w:rFonts w:ascii="Arial Narrow" w:hAnsi="Arial Narrow" w:cs="Arial"/>
                <w:sz w:val="20"/>
                <w:szCs w:val="20"/>
              </w:rPr>
              <w:instrText xml:space="preserve"> FORMCHECKBOX </w:instrText>
            </w:r>
            <w:r w:rsidR="00171FE9">
              <w:rPr>
                <w:rFonts w:ascii="Arial Narrow" w:hAnsi="Arial Narrow" w:cs="Arial"/>
                <w:sz w:val="20"/>
                <w:szCs w:val="20"/>
              </w:rPr>
            </w:r>
            <w:r w:rsidR="00171FE9">
              <w:rPr>
                <w:rFonts w:ascii="Arial Narrow" w:hAnsi="Arial Narrow" w:cs="Arial"/>
                <w:sz w:val="20"/>
                <w:szCs w:val="20"/>
              </w:rPr>
              <w:fldChar w:fldCharType="separate"/>
            </w:r>
            <w:r w:rsidRPr="008B2B7C">
              <w:rPr>
                <w:rFonts w:ascii="Arial Narrow" w:hAnsi="Arial Narrow" w:cs="Arial"/>
                <w:sz w:val="20"/>
                <w:szCs w:val="20"/>
              </w:rPr>
              <w:fldChar w:fldCharType="end"/>
            </w:r>
            <w:r w:rsidRPr="00041146">
              <w:rPr>
                <w:rFonts w:ascii="Arial Narrow" w:hAnsi="Arial Narrow" w:cs="Arial"/>
                <w:sz w:val="20"/>
                <w:szCs w:val="20"/>
              </w:rPr>
              <w:t>Midwives</w:t>
            </w:r>
          </w:p>
        </w:tc>
      </w:tr>
    </w:tbl>
    <w:p w:rsidR="00A7768D" w:rsidRPr="00041146" w:rsidRDefault="00A7768D" w:rsidP="00E17B91">
      <w:pPr>
        <w:spacing w:after="120"/>
        <w:jc w:val="both"/>
        <w:rPr>
          <w:rFonts w:asciiTheme="minorHAnsi" w:eastAsiaTheme="minorHAnsi" w:hAnsiTheme="minorHAnsi" w:cstheme="minorBidi"/>
          <w:b/>
          <w:i/>
          <w:color w:val="000000" w:themeColor="text1"/>
          <w:lang w:eastAsia="en-US"/>
        </w:rPr>
      </w:pPr>
    </w:p>
    <w:p w:rsidR="00676569" w:rsidRPr="0065433D" w:rsidRDefault="0021628C" w:rsidP="00E17B91">
      <w:pPr>
        <w:rPr>
          <w:rFonts w:asciiTheme="minorHAnsi" w:hAnsiTheme="minorHAnsi"/>
          <w:color w:val="1F497D"/>
          <w:sz w:val="22"/>
          <w:szCs w:val="22"/>
        </w:rPr>
      </w:pPr>
      <w:r w:rsidRPr="0065433D">
        <w:rPr>
          <w:rFonts w:asciiTheme="minorHAnsi" w:hAnsiTheme="minorHAnsi"/>
          <w:bCs/>
          <w:i/>
          <w:iCs/>
        </w:rPr>
        <w:t>This restriction may be subject to further review. Should there be any changes made to the restriction the Sponsor will be informed.</w:t>
      </w:r>
    </w:p>
    <w:p w:rsidR="00C97BA2" w:rsidRDefault="00C97BA2" w:rsidP="00C97BA2">
      <w:pPr>
        <w:pStyle w:val="2Sections"/>
        <w:numPr>
          <w:ilvl w:val="0"/>
          <w:numId w:val="1"/>
        </w:numPr>
        <w:rPr>
          <w:rFonts w:cstheme="minorHAnsi"/>
        </w:rPr>
      </w:pPr>
      <w:r>
        <w:t xml:space="preserve">Context for Decision </w:t>
      </w:r>
    </w:p>
    <w:p w:rsidR="00C97BA2" w:rsidRPr="0065433D" w:rsidRDefault="00ED63AA" w:rsidP="0065433D">
      <w:pPr>
        <w:jc w:val="both"/>
        <w:rPr>
          <w:rFonts w:asciiTheme="minorHAnsi" w:hAnsiTheme="minorHAnsi" w:cs="Arial"/>
        </w:rPr>
      </w:pPr>
      <w:r w:rsidRPr="00ED63AA">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97BA2" w:rsidRPr="00D53BD3" w:rsidRDefault="00C97BA2" w:rsidP="00C97BA2">
      <w:pPr>
        <w:pStyle w:val="2Sections"/>
        <w:numPr>
          <w:ilvl w:val="0"/>
          <w:numId w:val="1"/>
        </w:numPr>
      </w:pPr>
      <w:r w:rsidRPr="00D53BD3">
        <w:t>Sponsor’s Comment</w:t>
      </w:r>
    </w:p>
    <w:p w:rsidR="00C97BA2" w:rsidRPr="00041146" w:rsidRDefault="00B91C09" w:rsidP="00E17B91">
      <w:pPr>
        <w:rPr>
          <w:rFonts w:ascii="Calibri" w:hAnsi="Calibri" w:cs="Calibri"/>
        </w:rPr>
      </w:pPr>
      <w:r>
        <w:rPr>
          <w:rFonts w:asciiTheme="minorHAnsi" w:eastAsiaTheme="minorHAnsi" w:hAnsiTheme="minorHAnsi" w:cs="Arial"/>
          <w:bCs/>
          <w:szCs w:val="22"/>
          <w:lang w:eastAsia="en-US"/>
        </w:rPr>
        <w:t xml:space="preserve">GSK is </w:t>
      </w:r>
      <w:r w:rsidRPr="00B91C09">
        <w:rPr>
          <w:rFonts w:asciiTheme="minorHAnsi" w:eastAsiaTheme="minorHAnsi" w:hAnsiTheme="minorHAnsi" w:cs="Arial"/>
          <w:bCs/>
          <w:szCs w:val="22"/>
          <w:lang w:eastAsia="en-US"/>
        </w:rPr>
        <w:t>working with the PBAC to list Ventolin DC on the PBS.</w:t>
      </w:r>
    </w:p>
    <w:sectPr w:rsidR="00C97BA2" w:rsidRPr="00041146"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38D" w:rsidRDefault="0088138D">
      <w:r>
        <w:separator/>
      </w:r>
    </w:p>
    <w:p w:rsidR="0088138D" w:rsidRDefault="0088138D"/>
  </w:endnote>
  <w:endnote w:type="continuationSeparator" w:id="0">
    <w:p w:rsidR="0088138D" w:rsidRDefault="0088138D">
      <w:r>
        <w:continuationSeparator/>
      </w:r>
    </w:p>
    <w:p w:rsidR="0088138D" w:rsidRDefault="00881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473BD" w:rsidTr="005A3173">
      <w:trPr>
        <w:trHeight w:val="151"/>
      </w:trPr>
      <w:tc>
        <w:tcPr>
          <w:tcW w:w="2250" w:type="pct"/>
          <w:tcBorders>
            <w:top w:val="nil"/>
            <w:left w:val="nil"/>
            <w:bottom w:val="single" w:sz="4" w:space="0" w:color="4F81BD"/>
            <w:right w:val="nil"/>
          </w:tcBorders>
        </w:tcPr>
        <w:p w:rsidR="00D473BD" w:rsidRPr="005A3173" w:rsidRDefault="00D473B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473BD" w:rsidRPr="005A3173" w:rsidRDefault="00D473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473BD" w:rsidRPr="005A3173" w:rsidRDefault="00D473BD" w:rsidP="005A3173">
          <w:pPr>
            <w:pStyle w:val="Header"/>
            <w:spacing w:line="276" w:lineRule="auto"/>
            <w:rPr>
              <w:rFonts w:ascii="Calibri" w:eastAsia="MS Gothic" w:hAnsi="Calibri"/>
              <w:b/>
              <w:bCs/>
              <w:color w:val="4F81BD"/>
            </w:rPr>
          </w:pPr>
        </w:p>
      </w:tc>
    </w:tr>
    <w:tr w:rsidR="00D473BD" w:rsidTr="005A3173">
      <w:trPr>
        <w:trHeight w:val="150"/>
      </w:trPr>
      <w:tc>
        <w:tcPr>
          <w:tcW w:w="2250" w:type="pct"/>
          <w:tcBorders>
            <w:top w:val="single" w:sz="4" w:space="0" w:color="4F81BD"/>
            <w:left w:val="nil"/>
            <w:bottom w:val="nil"/>
            <w:right w:val="nil"/>
          </w:tcBorders>
        </w:tcPr>
        <w:p w:rsidR="00D473BD" w:rsidRPr="005A3173" w:rsidRDefault="00D473BD" w:rsidP="005A3173">
          <w:pPr>
            <w:pStyle w:val="Header"/>
            <w:spacing w:line="276" w:lineRule="auto"/>
            <w:rPr>
              <w:rFonts w:ascii="Calibri" w:eastAsia="MS Gothic" w:hAnsi="Calibri"/>
              <w:b/>
              <w:bCs/>
              <w:color w:val="4F81BD"/>
            </w:rPr>
          </w:pPr>
        </w:p>
      </w:tc>
      <w:tc>
        <w:tcPr>
          <w:tcW w:w="0" w:type="auto"/>
          <w:vMerge/>
          <w:vAlign w:val="center"/>
          <w:hideMark/>
        </w:tcPr>
        <w:p w:rsidR="00D473BD" w:rsidRPr="005A3173" w:rsidRDefault="00D473BD" w:rsidP="005A3173">
          <w:pPr>
            <w:rPr>
              <w:rFonts w:ascii="Calibri" w:hAnsi="Calibri"/>
              <w:color w:val="365F91"/>
              <w:sz w:val="22"/>
              <w:szCs w:val="22"/>
            </w:rPr>
          </w:pPr>
        </w:p>
      </w:tc>
      <w:tc>
        <w:tcPr>
          <w:tcW w:w="2250" w:type="pct"/>
          <w:tcBorders>
            <w:top w:val="single" w:sz="4" w:space="0" w:color="4F81BD"/>
            <w:left w:val="nil"/>
            <w:bottom w:val="nil"/>
            <w:right w:val="nil"/>
          </w:tcBorders>
        </w:tcPr>
        <w:p w:rsidR="00D473BD" w:rsidRPr="005A3173" w:rsidRDefault="00D473BD" w:rsidP="005A3173">
          <w:pPr>
            <w:pStyle w:val="Header"/>
            <w:spacing w:line="276" w:lineRule="auto"/>
            <w:rPr>
              <w:rFonts w:ascii="Calibri" w:eastAsia="MS Gothic" w:hAnsi="Calibri"/>
              <w:b/>
              <w:bCs/>
              <w:color w:val="4F81BD"/>
            </w:rPr>
          </w:pPr>
        </w:p>
      </w:tc>
    </w:tr>
  </w:tbl>
  <w:p w:rsidR="00D473BD" w:rsidRDefault="00D473B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73BD" w:rsidRDefault="00D473BD">
    <w:pPr>
      <w:pStyle w:val="Footer"/>
    </w:pPr>
  </w:p>
  <w:p w:rsidR="00D473BD" w:rsidRDefault="00D473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BD" w:rsidRDefault="00D473BD">
    <w:pPr>
      <w:pStyle w:val="Footer"/>
      <w:jc w:val="center"/>
    </w:pPr>
  </w:p>
  <w:p w:rsidR="00D473BD" w:rsidRPr="00A31991" w:rsidRDefault="00171FE9">
    <w:pPr>
      <w:pStyle w:val="Footer"/>
      <w:jc w:val="center"/>
      <w:rPr>
        <w:rFonts w:asciiTheme="minorHAnsi" w:hAnsiTheme="minorHAnsi" w:cstheme="minorHAnsi"/>
        <w:b/>
      </w:rPr>
    </w:pPr>
    <w:sdt>
      <w:sdtPr>
        <w:id w:val="2145000189"/>
        <w:docPartObj>
          <w:docPartGallery w:val="Page Numbers (Bottom of Page)"/>
          <w:docPartUnique/>
        </w:docPartObj>
      </w:sdtPr>
      <w:sdtEndPr>
        <w:rPr>
          <w:rFonts w:asciiTheme="minorHAnsi" w:hAnsiTheme="minorHAnsi" w:cstheme="minorHAnsi"/>
          <w:b/>
          <w:noProof/>
        </w:rPr>
      </w:sdtEndPr>
      <w:sdtContent>
        <w:r w:rsidR="00D473BD" w:rsidRPr="00A31991">
          <w:rPr>
            <w:rFonts w:asciiTheme="minorHAnsi" w:hAnsiTheme="minorHAnsi" w:cstheme="minorHAnsi"/>
            <w:b/>
          </w:rPr>
          <w:fldChar w:fldCharType="begin"/>
        </w:r>
        <w:r w:rsidR="00D473BD" w:rsidRPr="00A31991">
          <w:rPr>
            <w:rFonts w:asciiTheme="minorHAnsi" w:hAnsiTheme="minorHAnsi" w:cstheme="minorHAnsi"/>
            <w:b/>
          </w:rPr>
          <w:instrText xml:space="preserve"> PAGE   \* MERGEFORMAT </w:instrText>
        </w:r>
        <w:r w:rsidR="00D473BD" w:rsidRPr="00A31991">
          <w:rPr>
            <w:rFonts w:asciiTheme="minorHAnsi" w:hAnsiTheme="minorHAnsi" w:cstheme="minorHAnsi"/>
            <w:b/>
          </w:rPr>
          <w:fldChar w:fldCharType="separate"/>
        </w:r>
        <w:r>
          <w:rPr>
            <w:rFonts w:asciiTheme="minorHAnsi" w:hAnsiTheme="minorHAnsi" w:cstheme="minorHAnsi"/>
            <w:b/>
            <w:noProof/>
          </w:rPr>
          <w:t>10</w:t>
        </w:r>
        <w:r w:rsidR="00D473BD" w:rsidRPr="00A31991">
          <w:rPr>
            <w:rFonts w:asciiTheme="minorHAnsi" w:hAnsiTheme="minorHAnsi" w:cstheme="minorHAnsi"/>
            <w:b/>
            <w:noProof/>
          </w:rPr>
          <w:fldChar w:fldCharType="end"/>
        </w:r>
      </w:sdtContent>
    </w:sdt>
  </w:p>
  <w:p w:rsidR="00D473BD" w:rsidRPr="000F3384" w:rsidRDefault="00D473BD"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D473BD" w:rsidTr="005A3173">
      <w:trPr>
        <w:trHeight w:val="151"/>
      </w:trPr>
      <w:tc>
        <w:tcPr>
          <w:tcW w:w="2250" w:type="pct"/>
          <w:tcBorders>
            <w:top w:val="nil"/>
            <w:left w:val="nil"/>
            <w:bottom w:val="single" w:sz="4" w:space="0" w:color="4F81BD"/>
            <w:right w:val="nil"/>
          </w:tcBorders>
        </w:tcPr>
        <w:p w:rsidR="00D473BD" w:rsidRPr="005A3173" w:rsidRDefault="00D473B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473BD" w:rsidRPr="005A3173" w:rsidRDefault="00D473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473BD" w:rsidRPr="005A3173" w:rsidRDefault="00D473BD" w:rsidP="005A3173">
          <w:pPr>
            <w:pStyle w:val="Header"/>
            <w:spacing w:line="276" w:lineRule="auto"/>
            <w:rPr>
              <w:rFonts w:ascii="Calibri" w:eastAsia="MS Gothic" w:hAnsi="Calibri"/>
              <w:b/>
              <w:bCs/>
              <w:color w:val="4F81BD"/>
            </w:rPr>
          </w:pPr>
        </w:p>
      </w:tc>
    </w:tr>
    <w:tr w:rsidR="00D473BD" w:rsidTr="005A3173">
      <w:trPr>
        <w:trHeight w:val="150"/>
      </w:trPr>
      <w:tc>
        <w:tcPr>
          <w:tcW w:w="2250" w:type="pct"/>
          <w:tcBorders>
            <w:top w:val="single" w:sz="4" w:space="0" w:color="4F81BD"/>
            <w:left w:val="nil"/>
            <w:bottom w:val="nil"/>
            <w:right w:val="nil"/>
          </w:tcBorders>
        </w:tcPr>
        <w:p w:rsidR="00D473BD" w:rsidRPr="005A3173" w:rsidRDefault="00D473BD" w:rsidP="005A3173">
          <w:pPr>
            <w:pStyle w:val="Header"/>
            <w:spacing w:line="276" w:lineRule="auto"/>
            <w:rPr>
              <w:rFonts w:ascii="Calibri" w:eastAsia="MS Gothic" w:hAnsi="Calibri"/>
              <w:b/>
              <w:bCs/>
              <w:color w:val="4F81BD"/>
            </w:rPr>
          </w:pPr>
        </w:p>
      </w:tc>
      <w:tc>
        <w:tcPr>
          <w:tcW w:w="0" w:type="auto"/>
          <w:vMerge/>
          <w:vAlign w:val="center"/>
          <w:hideMark/>
        </w:tcPr>
        <w:p w:rsidR="00D473BD" w:rsidRPr="005A3173" w:rsidRDefault="00D473BD" w:rsidP="005A3173">
          <w:pPr>
            <w:rPr>
              <w:rFonts w:ascii="Calibri" w:hAnsi="Calibri"/>
              <w:color w:val="365F91"/>
              <w:sz w:val="22"/>
              <w:szCs w:val="22"/>
            </w:rPr>
          </w:pPr>
        </w:p>
      </w:tc>
      <w:tc>
        <w:tcPr>
          <w:tcW w:w="2250" w:type="pct"/>
          <w:tcBorders>
            <w:top w:val="single" w:sz="4" w:space="0" w:color="4F81BD"/>
            <w:left w:val="nil"/>
            <w:bottom w:val="nil"/>
            <w:right w:val="nil"/>
          </w:tcBorders>
        </w:tcPr>
        <w:p w:rsidR="00D473BD" w:rsidRPr="005A3173" w:rsidRDefault="00D473B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473BD" w:rsidTr="005A3173">
      <w:trPr>
        <w:trHeight w:val="151"/>
      </w:trPr>
      <w:tc>
        <w:tcPr>
          <w:tcW w:w="2250" w:type="pct"/>
          <w:tcBorders>
            <w:top w:val="nil"/>
            <w:left w:val="nil"/>
            <w:bottom w:val="single" w:sz="4" w:space="0" w:color="4F81BD"/>
            <w:right w:val="nil"/>
          </w:tcBorders>
        </w:tcPr>
        <w:p w:rsidR="00D473BD" w:rsidRPr="005A3173" w:rsidRDefault="00D473B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473BD" w:rsidRPr="005A3173" w:rsidRDefault="00D473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473BD" w:rsidRPr="005A3173" w:rsidRDefault="00D473BD" w:rsidP="005A3173">
          <w:pPr>
            <w:pStyle w:val="Header"/>
            <w:spacing w:line="276" w:lineRule="auto"/>
            <w:rPr>
              <w:rFonts w:ascii="Calibri" w:eastAsia="MS Gothic" w:hAnsi="Calibri"/>
              <w:b/>
              <w:bCs/>
              <w:color w:val="4F81BD"/>
            </w:rPr>
          </w:pPr>
        </w:p>
      </w:tc>
    </w:tr>
    <w:tr w:rsidR="00D473BD" w:rsidTr="005A3173">
      <w:trPr>
        <w:trHeight w:val="150"/>
      </w:trPr>
      <w:tc>
        <w:tcPr>
          <w:tcW w:w="2250" w:type="pct"/>
          <w:tcBorders>
            <w:top w:val="single" w:sz="4" w:space="0" w:color="4F81BD"/>
            <w:left w:val="nil"/>
            <w:bottom w:val="nil"/>
            <w:right w:val="nil"/>
          </w:tcBorders>
        </w:tcPr>
        <w:p w:rsidR="00D473BD" w:rsidRPr="005A3173" w:rsidRDefault="00D473BD" w:rsidP="005A3173">
          <w:pPr>
            <w:pStyle w:val="Header"/>
            <w:spacing w:line="276" w:lineRule="auto"/>
            <w:rPr>
              <w:rFonts w:ascii="Calibri" w:eastAsia="MS Gothic" w:hAnsi="Calibri"/>
              <w:b/>
              <w:bCs/>
              <w:color w:val="4F81BD"/>
            </w:rPr>
          </w:pPr>
        </w:p>
      </w:tc>
      <w:tc>
        <w:tcPr>
          <w:tcW w:w="0" w:type="auto"/>
          <w:vMerge/>
          <w:vAlign w:val="center"/>
          <w:hideMark/>
        </w:tcPr>
        <w:p w:rsidR="00D473BD" w:rsidRPr="005A3173" w:rsidRDefault="00D473BD" w:rsidP="005A3173">
          <w:pPr>
            <w:rPr>
              <w:rFonts w:ascii="Calibri" w:hAnsi="Calibri"/>
              <w:color w:val="365F91"/>
              <w:sz w:val="22"/>
              <w:szCs w:val="22"/>
            </w:rPr>
          </w:pPr>
        </w:p>
      </w:tc>
      <w:tc>
        <w:tcPr>
          <w:tcW w:w="2250" w:type="pct"/>
          <w:tcBorders>
            <w:top w:val="single" w:sz="4" w:space="0" w:color="4F81BD"/>
            <w:left w:val="nil"/>
            <w:bottom w:val="nil"/>
            <w:right w:val="nil"/>
          </w:tcBorders>
        </w:tcPr>
        <w:p w:rsidR="00D473BD" w:rsidRPr="005A3173" w:rsidRDefault="00D473BD" w:rsidP="005A3173">
          <w:pPr>
            <w:pStyle w:val="Header"/>
            <w:spacing w:line="276" w:lineRule="auto"/>
            <w:rPr>
              <w:rFonts w:ascii="Calibri" w:eastAsia="MS Gothic" w:hAnsi="Calibri"/>
              <w:b/>
              <w:bCs/>
              <w:color w:val="4F81BD"/>
            </w:rPr>
          </w:pPr>
        </w:p>
      </w:tc>
    </w:tr>
  </w:tbl>
  <w:p w:rsidR="00D473BD" w:rsidRPr="007C0F57" w:rsidRDefault="00D473B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473BD" w:rsidRPr="007C0F57" w:rsidRDefault="00D473BD" w:rsidP="007C0F57">
    <w:pPr>
      <w:pStyle w:val="Footer"/>
      <w:jc w:val="center"/>
      <w:rPr>
        <w:b/>
        <w:i/>
        <w:sz w:val="20"/>
        <w:szCs w:val="20"/>
      </w:rPr>
    </w:pPr>
    <w:r w:rsidRPr="007C0F57">
      <w:rPr>
        <w:b/>
        <w:i/>
        <w:sz w:val="20"/>
        <w:szCs w:val="20"/>
      </w:rPr>
      <w:t>Commercial-in-Confidence</w:t>
    </w:r>
  </w:p>
  <w:p w:rsidR="00D473BD" w:rsidRDefault="00D473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38D" w:rsidRDefault="0088138D">
      <w:r>
        <w:separator/>
      </w:r>
    </w:p>
    <w:p w:rsidR="0088138D" w:rsidRDefault="0088138D"/>
  </w:footnote>
  <w:footnote w:type="continuationSeparator" w:id="0">
    <w:p w:rsidR="0088138D" w:rsidRDefault="0088138D">
      <w:r>
        <w:continuationSeparator/>
      </w:r>
    </w:p>
    <w:p w:rsidR="0088138D" w:rsidRDefault="0088138D"/>
  </w:footnote>
  <w:footnote w:id="1">
    <w:p w:rsidR="00D473BD" w:rsidRDefault="00D473BD">
      <w:pPr>
        <w:pStyle w:val="FootnoteText"/>
      </w:pPr>
      <w:r>
        <w:rPr>
          <w:rStyle w:val="FootnoteReference"/>
        </w:rPr>
        <w:footnoteRef/>
      </w:r>
      <w:r>
        <w:t xml:space="preserve"> </w:t>
      </w:r>
      <w:r w:rsidRPr="00D26E91">
        <w:rPr>
          <w:rFonts w:ascii="Arial Narrow" w:eastAsia="Calibri" w:hAnsi="Arial Narrow" w:cs="Calibri"/>
        </w:rPr>
        <w:t>Connor J., et al.</w:t>
      </w:r>
      <w:r>
        <w:rPr>
          <w:rFonts w:ascii="Arial Narrow" w:eastAsia="Calibri" w:hAnsi="Arial Narrow" w:cs="Calibri"/>
        </w:rPr>
        <w:t xml:space="preserve"> </w:t>
      </w:r>
      <w:r w:rsidRPr="00D26E91">
        <w:rPr>
          <w:rFonts w:ascii="Arial Narrow" w:eastAsia="Calibri" w:hAnsi="Arial Narrow" w:cs="Calibri"/>
        </w:rPr>
        <w:t>Improving Asthma Management: The Case for Mandatory Inclusion of Dose Counters on All Rescue Bronchodilators. Journal of Asthma, 2013; 50(6): 658–663</w:t>
      </w:r>
      <w:r>
        <w:rPr>
          <w:rFonts w:ascii="Arial Narrow" w:eastAsia="Calibri" w:hAnsi="Arial Narrow" w:cs="Calibri"/>
        </w:rPr>
        <w:t>.</w:t>
      </w:r>
    </w:p>
  </w:footnote>
  <w:footnote w:id="2">
    <w:p w:rsidR="00D473BD" w:rsidRDefault="00D473BD">
      <w:pPr>
        <w:pStyle w:val="FootnoteText"/>
      </w:pPr>
      <w:r w:rsidRPr="00990058">
        <w:rPr>
          <w:rFonts w:ascii="Arial Narrow" w:eastAsia="Calibri" w:hAnsi="Arial Narrow" w:cs="Calibri"/>
          <w:vertAlign w:val="superscript"/>
        </w:rPr>
        <w:footnoteRef/>
      </w:r>
      <w:r w:rsidRPr="00990058">
        <w:rPr>
          <w:rFonts w:ascii="Arial Narrow" w:eastAsia="Calibri" w:hAnsi="Arial Narrow" w:cs="Calibri"/>
        </w:rPr>
        <w:t xml:space="preserve"> Schultz RK. Drug delivery characteristics of metered-dose inhalers. Journal of Allergy and Clinical Immunology, 1994; 96:284-7</w:t>
      </w:r>
    </w:p>
  </w:footnote>
  <w:footnote w:id="3">
    <w:p w:rsidR="00D473BD" w:rsidRPr="00D26E91" w:rsidRDefault="00D473BD">
      <w:pPr>
        <w:pStyle w:val="FootnoteText"/>
        <w:rPr>
          <w:rFonts w:ascii="Arial Narrow" w:hAnsi="Arial Narrow" w:cstheme="minorHAnsi"/>
        </w:rPr>
      </w:pPr>
      <w:r w:rsidRPr="00D26E91">
        <w:rPr>
          <w:rStyle w:val="FootnoteReference"/>
          <w:rFonts w:ascii="Arial Narrow" w:hAnsi="Arial Narrow" w:cstheme="minorHAnsi"/>
        </w:rPr>
        <w:footnoteRef/>
      </w:r>
      <w:r w:rsidRPr="00D26E91">
        <w:rPr>
          <w:rFonts w:ascii="Arial Narrow" w:hAnsi="Arial Narrow" w:cstheme="minorHAnsi"/>
        </w:rPr>
        <w:t xml:space="preserve"> </w:t>
      </w:r>
      <w:r>
        <w:rPr>
          <w:rFonts w:ascii="Arial Narrow" w:eastAsia="Calibri" w:hAnsi="Arial Narrow" w:cstheme="minorHAnsi"/>
        </w:rPr>
        <w:t>Wasserman, R</w:t>
      </w:r>
      <w:r w:rsidRPr="00D26E91">
        <w:rPr>
          <w:rFonts w:ascii="Arial Narrow" w:eastAsia="Calibri" w:hAnsi="Arial Narrow" w:cstheme="minorHAnsi"/>
        </w:rPr>
        <w:t>. Real-world assessment of a metered-dose inhaler with integrated dose counter.</w:t>
      </w:r>
      <w:r>
        <w:rPr>
          <w:rFonts w:ascii="Arial Narrow" w:eastAsia="Calibri" w:hAnsi="Arial Narrow" w:cstheme="minorHAnsi"/>
        </w:rPr>
        <w:t xml:space="preserve"> </w:t>
      </w:r>
      <w:r w:rsidRPr="00D26E91">
        <w:rPr>
          <w:rFonts w:ascii="Arial Narrow" w:eastAsia="Calibri" w:hAnsi="Arial Narrow" w:cstheme="minorHAnsi"/>
        </w:rPr>
        <w:t xml:space="preserve">Allergy Asthma </w:t>
      </w:r>
      <w:proofErr w:type="spellStart"/>
      <w:r w:rsidRPr="00D26E91">
        <w:rPr>
          <w:rFonts w:ascii="Arial Narrow" w:eastAsia="Calibri" w:hAnsi="Arial Narrow" w:cstheme="minorHAnsi"/>
        </w:rPr>
        <w:t>Proc</w:t>
      </w:r>
      <w:proofErr w:type="spellEnd"/>
      <w:r w:rsidRPr="00D26E91">
        <w:rPr>
          <w:rFonts w:ascii="Arial Narrow" w:eastAsia="Calibri" w:hAnsi="Arial Narrow" w:cstheme="minorHAnsi"/>
        </w:rPr>
        <w:t>,</w:t>
      </w:r>
      <w:r>
        <w:rPr>
          <w:rFonts w:ascii="Arial Narrow" w:eastAsia="Calibri" w:hAnsi="Arial Narrow" w:cstheme="minorHAnsi"/>
        </w:rPr>
        <w:t xml:space="preserve"> 2006</w:t>
      </w:r>
      <w:proofErr w:type="gramStart"/>
      <w:r>
        <w:rPr>
          <w:rFonts w:ascii="Arial Narrow" w:eastAsia="Calibri" w:hAnsi="Arial Narrow" w:cstheme="minorHAnsi"/>
        </w:rPr>
        <w:t>;27</w:t>
      </w:r>
      <w:proofErr w:type="gramEnd"/>
      <w:r>
        <w:rPr>
          <w:rFonts w:ascii="Arial Narrow" w:eastAsia="Calibri" w:hAnsi="Arial Narrow" w:cstheme="minorHAnsi"/>
        </w:rPr>
        <w:t>:</w:t>
      </w:r>
      <w:r w:rsidRPr="00D26E91">
        <w:rPr>
          <w:rFonts w:ascii="Arial Narrow" w:eastAsia="Calibri" w:hAnsi="Arial Narrow" w:cstheme="minorHAnsi"/>
        </w:rPr>
        <w:t xml:space="preserve"> 486 –492.</w:t>
      </w:r>
    </w:p>
  </w:footnote>
  <w:footnote w:id="4">
    <w:p w:rsidR="00D473BD" w:rsidRPr="00D26E91" w:rsidRDefault="00D473BD">
      <w:pPr>
        <w:pStyle w:val="FootnoteText"/>
        <w:rPr>
          <w:rFonts w:ascii="Arial Narrow" w:hAnsi="Arial Narrow" w:cstheme="minorHAnsi"/>
        </w:rPr>
      </w:pPr>
      <w:r w:rsidRPr="00D26E91">
        <w:rPr>
          <w:rStyle w:val="FootnoteReference"/>
          <w:rFonts w:ascii="Arial Narrow" w:hAnsi="Arial Narrow" w:cstheme="minorHAnsi"/>
        </w:rPr>
        <w:footnoteRef/>
      </w:r>
      <w:r w:rsidRPr="00D26E91">
        <w:rPr>
          <w:rFonts w:ascii="Arial Narrow" w:hAnsi="Arial Narrow" w:cstheme="minorHAnsi"/>
        </w:rPr>
        <w:t xml:space="preserve"> </w:t>
      </w:r>
      <w:proofErr w:type="spellStart"/>
      <w:r w:rsidRPr="00D26E91">
        <w:rPr>
          <w:rFonts w:ascii="Arial Narrow" w:eastAsia="Calibri" w:hAnsi="Arial Narrow" w:cstheme="minorHAnsi"/>
        </w:rPr>
        <w:t>Chipps</w:t>
      </w:r>
      <w:proofErr w:type="spellEnd"/>
      <w:r w:rsidRPr="00D26E91">
        <w:rPr>
          <w:rFonts w:ascii="Arial Narrow" w:eastAsia="Calibri" w:hAnsi="Arial Narrow" w:cstheme="minorHAnsi"/>
        </w:rPr>
        <w:t xml:space="preserve"> B., et al. Impact of integrated dose counter on healthcare utilization and disease control in </w:t>
      </w:r>
      <w:proofErr w:type="spellStart"/>
      <w:r w:rsidRPr="00D26E91">
        <w:rPr>
          <w:rFonts w:ascii="Arial Narrow" w:eastAsia="Calibri" w:hAnsi="Arial Narrow" w:cstheme="minorHAnsi"/>
        </w:rPr>
        <w:t>medicare</w:t>
      </w:r>
      <w:proofErr w:type="spellEnd"/>
      <w:r w:rsidRPr="00D26E91">
        <w:rPr>
          <w:rFonts w:ascii="Arial Narrow" w:eastAsia="Calibri" w:hAnsi="Arial Narrow" w:cstheme="minorHAnsi"/>
        </w:rPr>
        <w:t xml:space="preserve"> patients with asthma and/or chronic obstructive pulmonary disease using </w:t>
      </w:r>
      <w:proofErr w:type="spellStart"/>
      <w:r w:rsidRPr="00D26E91">
        <w:rPr>
          <w:rFonts w:ascii="Arial Narrow" w:eastAsia="Calibri" w:hAnsi="Arial Narrow" w:cstheme="minorHAnsi"/>
        </w:rPr>
        <w:t>albuterol</w:t>
      </w:r>
      <w:proofErr w:type="spellEnd"/>
      <w:r w:rsidRPr="00D26E91">
        <w:rPr>
          <w:rFonts w:ascii="Arial Narrow" w:eastAsia="Calibri" w:hAnsi="Arial Narrow" w:cstheme="minorHAnsi"/>
        </w:rPr>
        <w:t xml:space="preserve"> </w:t>
      </w:r>
      <w:proofErr w:type="spellStart"/>
      <w:r w:rsidRPr="00D26E91">
        <w:rPr>
          <w:rFonts w:ascii="Arial Narrow" w:eastAsia="Calibri" w:hAnsi="Arial Narrow" w:cstheme="minorHAnsi"/>
        </w:rPr>
        <w:t>sulfate</w:t>
      </w:r>
      <w:proofErr w:type="spellEnd"/>
      <w:r w:rsidRPr="00D26E91">
        <w:rPr>
          <w:rFonts w:ascii="Arial Narrow" w:eastAsia="Calibri" w:hAnsi="Arial Narrow" w:cstheme="minorHAnsi"/>
        </w:rPr>
        <w:t xml:space="preserve"> inhalation aerosol (</w:t>
      </w:r>
      <w:proofErr w:type="spellStart"/>
      <w:r w:rsidRPr="00D26E91">
        <w:rPr>
          <w:rFonts w:ascii="Arial Narrow" w:eastAsia="Calibri" w:hAnsi="Arial Narrow" w:cstheme="minorHAnsi"/>
        </w:rPr>
        <w:t>ProAir</w:t>
      </w:r>
      <w:proofErr w:type="spellEnd"/>
      <w:r w:rsidRPr="00D26E91">
        <w:rPr>
          <w:rFonts w:ascii="Arial Narrow" w:eastAsia="Calibri" w:hAnsi="Arial Narrow" w:cstheme="minorHAnsi"/>
        </w:rPr>
        <w:t>® HFA). American Journal of Respiratory and Critical Care Medicine</w:t>
      </w:r>
      <w:r>
        <w:rPr>
          <w:rFonts w:ascii="Arial Narrow" w:eastAsia="Calibri" w:hAnsi="Arial Narrow" w:cstheme="minorHAnsi"/>
        </w:rPr>
        <w:t xml:space="preserve">, 2017; </w:t>
      </w:r>
      <w:r w:rsidRPr="00D26E91">
        <w:rPr>
          <w:rFonts w:ascii="Arial Narrow" w:eastAsia="Calibri" w:hAnsi="Arial Narrow" w:cstheme="minorHAnsi"/>
        </w:rPr>
        <w:t>195.</w:t>
      </w:r>
    </w:p>
  </w:footnote>
  <w:footnote w:id="5">
    <w:p w:rsidR="00D473BD" w:rsidRPr="00D26E91" w:rsidRDefault="00D473BD">
      <w:pPr>
        <w:pStyle w:val="FootnoteText"/>
        <w:rPr>
          <w:rFonts w:ascii="Arial Narrow" w:eastAsia="Calibri" w:hAnsi="Arial Narrow" w:cstheme="minorHAnsi"/>
        </w:rPr>
      </w:pPr>
      <w:r w:rsidRPr="00D26E91">
        <w:rPr>
          <w:rStyle w:val="FootnoteReference"/>
          <w:rFonts w:ascii="Arial Narrow" w:hAnsi="Arial Narrow" w:cstheme="minorHAnsi"/>
        </w:rPr>
        <w:footnoteRef/>
      </w:r>
      <w:r w:rsidRPr="00D26E91">
        <w:rPr>
          <w:rFonts w:ascii="Arial Narrow" w:hAnsi="Arial Narrow" w:cstheme="minorHAnsi"/>
        </w:rPr>
        <w:t xml:space="preserve"> </w:t>
      </w:r>
      <w:proofErr w:type="spellStart"/>
      <w:r w:rsidRPr="00D26E91">
        <w:rPr>
          <w:rFonts w:ascii="Arial Narrow" w:eastAsia="Calibri" w:hAnsi="Arial Narrow" w:cstheme="minorHAnsi"/>
        </w:rPr>
        <w:t>Kerwin</w:t>
      </w:r>
      <w:proofErr w:type="spellEnd"/>
      <w:r w:rsidRPr="00D26E91">
        <w:rPr>
          <w:rFonts w:ascii="Arial Narrow" w:eastAsia="Calibri" w:hAnsi="Arial Narrow" w:cstheme="minorHAnsi"/>
        </w:rPr>
        <w:t xml:space="preserve"> E., et al.</w:t>
      </w:r>
      <w:r>
        <w:rPr>
          <w:rFonts w:ascii="Arial Narrow" w:eastAsia="Calibri" w:hAnsi="Arial Narrow" w:cstheme="minorHAnsi"/>
        </w:rPr>
        <w:t xml:space="preserve"> </w:t>
      </w:r>
      <w:r w:rsidRPr="00D26E91">
        <w:rPr>
          <w:rFonts w:ascii="Arial Narrow" w:eastAsia="Calibri" w:hAnsi="Arial Narrow" w:cstheme="minorHAnsi"/>
        </w:rPr>
        <w:t xml:space="preserve">Real-world health care utilization in asthma patients using </w:t>
      </w:r>
      <w:proofErr w:type="spellStart"/>
      <w:r w:rsidRPr="00D26E91">
        <w:rPr>
          <w:rFonts w:ascii="Arial Narrow" w:eastAsia="Calibri" w:hAnsi="Arial Narrow" w:cstheme="minorHAnsi"/>
        </w:rPr>
        <w:t>albuterol</w:t>
      </w:r>
      <w:proofErr w:type="spellEnd"/>
      <w:r w:rsidRPr="00D26E91">
        <w:rPr>
          <w:rFonts w:ascii="Arial Narrow" w:eastAsia="Calibri" w:hAnsi="Arial Narrow" w:cstheme="minorHAnsi"/>
        </w:rPr>
        <w:t xml:space="preserve"> </w:t>
      </w:r>
      <w:proofErr w:type="spellStart"/>
      <w:r w:rsidRPr="00D26E91">
        <w:rPr>
          <w:rFonts w:ascii="Arial Narrow" w:eastAsia="Calibri" w:hAnsi="Arial Narrow" w:cstheme="minorHAnsi"/>
        </w:rPr>
        <w:t>sulfate</w:t>
      </w:r>
      <w:proofErr w:type="spellEnd"/>
      <w:r w:rsidRPr="00D26E91">
        <w:rPr>
          <w:rFonts w:ascii="Arial Narrow" w:eastAsia="Calibri" w:hAnsi="Arial Narrow" w:cstheme="minorHAnsi"/>
        </w:rPr>
        <w:t xml:space="preserve"> inhalation aerosol (</w:t>
      </w:r>
      <w:proofErr w:type="spellStart"/>
      <w:r w:rsidRPr="00D26E91">
        <w:rPr>
          <w:rFonts w:ascii="Arial Narrow" w:eastAsia="Calibri" w:hAnsi="Arial Narrow" w:cstheme="minorHAnsi"/>
        </w:rPr>
        <w:t>ProAir</w:t>
      </w:r>
      <w:proofErr w:type="spellEnd"/>
      <w:r w:rsidRPr="00D26E91">
        <w:rPr>
          <w:rFonts w:ascii="Arial Narrow" w:eastAsia="Calibri" w:hAnsi="Arial Narrow" w:cstheme="minorHAnsi"/>
        </w:rPr>
        <w:t>® HFA) with and without integrated dose counters. Jou</w:t>
      </w:r>
      <w:r>
        <w:rPr>
          <w:rFonts w:ascii="Arial Narrow" w:eastAsia="Calibri" w:hAnsi="Arial Narrow" w:cstheme="minorHAnsi"/>
        </w:rPr>
        <w:t>rnal of Asthma and Allergy 2017</w:t>
      </w:r>
      <w:proofErr w:type="gramStart"/>
      <w:r>
        <w:rPr>
          <w:rFonts w:ascii="Arial Narrow" w:eastAsia="Calibri" w:hAnsi="Arial Narrow" w:cstheme="minorHAnsi"/>
        </w:rPr>
        <w:t>;</w:t>
      </w:r>
      <w:r w:rsidRPr="00D26E91">
        <w:rPr>
          <w:rFonts w:ascii="Arial Narrow" w:eastAsia="Calibri" w:hAnsi="Arial Narrow" w:cstheme="minorHAnsi"/>
        </w:rPr>
        <w:t>10</w:t>
      </w:r>
      <w:proofErr w:type="gramEnd"/>
      <w:r>
        <w:rPr>
          <w:rFonts w:ascii="Arial Narrow" w:eastAsia="Calibri" w:hAnsi="Arial Narrow" w:cstheme="minorHAnsi"/>
        </w:rPr>
        <w:t>:</w:t>
      </w:r>
      <w:r w:rsidRPr="00D26E91">
        <w:rPr>
          <w:rFonts w:ascii="Arial Narrow" w:eastAsia="Calibri" w:hAnsi="Arial Narrow" w:cstheme="minorHAnsi"/>
        </w:rPr>
        <w:t xml:space="preserve"> 171–179</w:t>
      </w:r>
      <w:r>
        <w:rPr>
          <w:rFonts w:ascii="Arial Narrow" w:eastAsia="Calibri" w:hAnsi="Arial Narrow" w:cstheme="minorHAnsi"/>
        </w:rPr>
        <w:t>.</w:t>
      </w:r>
    </w:p>
  </w:footnote>
  <w:footnote w:id="6">
    <w:p w:rsidR="00D473BD" w:rsidRPr="00D26E91" w:rsidRDefault="00D473BD" w:rsidP="00D26E91">
      <w:pPr>
        <w:pStyle w:val="FootnoteText"/>
        <w:rPr>
          <w:rFonts w:ascii="Arial Narrow" w:hAnsi="Arial Narrow" w:cstheme="minorHAnsi"/>
        </w:rPr>
      </w:pPr>
      <w:r w:rsidRPr="00D26E91">
        <w:rPr>
          <w:rStyle w:val="FootnoteReference"/>
          <w:rFonts w:ascii="Arial Narrow" w:hAnsi="Arial Narrow" w:cstheme="minorHAnsi"/>
        </w:rPr>
        <w:footnoteRef/>
      </w:r>
      <w:r w:rsidRPr="00D26E91">
        <w:rPr>
          <w:rFonts w:ascii="Arial Narrow" w:hAnsi="Arial Narrow" w:cstheme="minorHAnsi"/>
        </w:rPr>
        <w:t xml:space="preserve"> </w:t>
      </w:r>
      <w:r w:rsidRPr="00D26E91">
        <w:rPr>
          <w:rFonts w:ascii="Arial Narrow" w:eastAsia="Calibri" w:hAnsi="Arial Narrow" w:cstheme="minorHAnsi"/>
        </w:rPr>
        <w:t xml:space="preserve">Lachman B.S. Effect of rescue inhaler dose counters on ER utilization, asthma admissions and health care claims costs in a population of children in </w:t>
      </w:r>
      <w:proofErr w:type="spellStart"/>
      <w:r w:rsidRPr="00D26E91">
        <w:rPr>
          <w:rFonts w:ascii="Arial Narrow" w:eastAsia="Calibri" w:hAnsi="Arial Narrow" w:cstheme="minorHAnsi"/>
        </w:rPr>
        <w:t>medicaid</w:t>
      </w:r>
      <w:proofErr w:type="spellEnd"/>
      <w:r w:rsidRPr="00D26E91">
        <w:rPr>
          <w:rFonts w:ascii="Arial Narrow" w:eastAsia="Calibri" w:hAnsi="Arial Narrow" w:cstheme="minorHAnsi"/>
        </w:rPr>
        <w:t xml:space="preserve"> managed care. Journal of A</w:t>
      </w:r>
      <w:r>
        <w:rPr>
          <w:rFonts w:ascii="Arial Narrow" w:eastAsia="Calibri" w:hAnsi="Arial Narrow" w:cstheme="minorHAnsi"/>
        </w:rPr>
        <w:t>llergy and Clinical Immunology, 2018;</w:t>
      </w:r>
      <w:r w:rsidRPr="00D26E91">
        <w:rPr>
          <w:rFonts w:ascii="Arial Narrow" w:eastAsia="Calibri" w:hAnsi="Arial Narrow" w:cstheme="minorHAnsi"/>
        </w:rPr>
        <w:t xml:space="preserve"> 141:2 Supplement 1 (AB225).</w:t>
      </w:r>
    </w:p>
  </w:footnote>
  <w:footnote w:id="7">
    <w:p w:rsidR="00D473BD" w:rsidRPr="00D26E91" w:rsidRDefault="00D473BD" w:rsidP="00D26E91">
      <w:pPr>
        <w:pStyle w:val="FootnoteText"/>
        <w:rPr>
          <w:rFonts w:ascii="Arial Narrow" w:hAnsi="Arial Narrow"/>
        </w:rPr>
      </w:pPr>
      <w:r w:rsidRPr="00D26E91">
        <w:rPr>
          <w:rStyle w:val="FootnoteReference"/>
          <w:rFonts w:ascii="Arial Narrow" w:hAnsi="Arial Narrow" w:cstheme="minorHAnsi"/>
        </w:rPr>
        <w:footnoteRef/>
      </w:r>
      <w:r w:rsidRPr="00D26E91">
        <w:rPr>
          <w:rFonts w:ascii="Arial Narrow" w:hAnsi="Arial Narrow" w:cstheme="minorHAnsi"/>
        </w:rPr>
        <w:t xml:space="preserve"> </w:t>
      </w:r>
      <w:r w:rsidRPr="00D26E91">
        <w:rPr>
          <w:rFonts w:ascii="Arial Narrow" w:eastAsia="Calibri" w:hAnsi="Arial Narrow" w:cstheme="minorHAnsi"/>
        </w:rPr>
        <w:t xml:space="preserve">Price D.B., et al. Historical cohort study examining comparative effectiveness of </w:t>
      </w:r>
      <w:proofErr w:type="spellStart"/>
      <w:r w:rsidRPr="00D26E91">
        <w:rPr>
          <w:rFonts w:ascii="Arial Narrow" w:eastAsia="Calibri" w:hAnsi="Arial Narrow" w:cstheme="minorHAnsi"/>
        </w:rPr>
        <w:t>albuterol</w:t>
      </w:r>
      <w:proofErr w:type="spellEnd"/>
      <w:r w:rsidRPr="00D26E91">
        <w:rPr>
          <w:rFonts w:ascii="Arial Narrow" w:eastAsia="Calibri" w:hAnsi="Arial Narrow" w:cstheme="minorHAnsi"/>
        </w:rPr>
        <w:t xml:space="preserve"> inhalers with and without integrated dose counter for patients with asthma or chronic obstructive pulmonary disease.</w:t>
      </w:r>
      <w:r>
        <w:rPr>
          <w:rFonts w:ascii="Arial Narrow" w:eastAsia="Calibri" w:hAnsi="Arial Narrow" w:cstheme="minorHAnsi"/>
        </w:rPr>
        <w:t xml:space="preserve"> Journal of Asthma and Allergy, 2016;</w:t>
      </w:r>
      <w:r w:rsidRPr="00D26E91">
        <w:rPr>
          <w:rFonts w:ascii="Arial Narrow" w:eastAsia="Calibri" w:hAnsi="Arial Narrow" w:cstheme="minorHAnsi"/>
        </w:rPr>
        <w:t xml:space="preserve"> 9</w:t>
      </w:r>
      <w:r>
        <w:rPr>
          <w:rFonts w:ascii="Arial Narrow" w:eastAsia="Calibri" w:hAnsi="Arial Narrow" w:cstheme="minorHAnsi"/>
        </w:rPr>
        <w:t>: 145-154</w:t>
      </w:r>
      <w:r w:rsidRPr="00D26E91">
        <w:rPr>
          <w:rFonts w:ascii="Arial Narrow" w:eastAsia="Calibri" w:hAnsi="Arial Narrow" w:cstheme="minorHAnsi"/>
        </w:rPr>
        <w:t>.</w:t>
      </w:r>
    </w:p>
  </w:footnote>
  <w:footnote w:id="8">
    <w:p w:rsidR="00D473BD" w:rsidRPr="00B00C4D" w:rsidRDefault="00D473BD" w:rsidP="00936D84">
      <w:pPr>
        <w:pStyle w:val="FootnoteText"/>
        <w:rPr>
          <w:rFonts w:ascii="Arial Narrow" w:eastAsia="Calibri" w:hAnsi="Arial Narrow" w:cstheme="minorHAnsi"/>
        </w:rPr>
      </w:pPr>
      <w:r w:rsidRPr="00B00C4D">
        <w:rPr>
          <w:rFonts w:ascii="Arial Narrow" w:eastAsia="Calibri" w:hAnsi="Arial Narrow" w:cstheme="minorHAnsi"/>
          <w:vertAlign w:val="superscript"/>
        </w:rPr>
        <w:footnoteRef/>
      </w:r>
      <w:r w:rsidRPr="00B00C4D">
        <w:rPr>
          <w:rFonts w:ascii="Arial Narrow" w:eastAsia="Calibri" w:hAnsi="Arial Narrow" w:cstheme="minorHAnsi"/>
          <w:vertAlign w:val="superscript"/>
        </w:rPr>
        <w:t xml:space="preserve"> </w:t>
      </w:r>
      <w:r w:rsidRPr="00B00C4D">
        <w:rPr>
          <w:rFonts w:ascii="Arial Narrow" w:eastAsia="Calibri" w:hAnsi="Arial Narrow" w:cstheme="minorHAnsi"/>
        </w:rPr>
        <w:t xml:space="preserve">Stein SW, et al. Advances in metered dose inhaler technology: hardware development. AAPS </w:t>
      </w:r>
      <w:proofErr w:type="spellStart"/>
      <w:r w:rsidRPr="00B00C4D">
        <w:rPr>
          <w:rFonts w:ascii="Arial Narrow" w:eastAsia="Calibri" w:hAnsi="Arial Narrow" w:cstheme="minorHAnsi"/>
        </w:rPr>
        <w:t>PharmSciTech</w:t>
      </w:r>
      <w:proofErr w:type="spellEnd"/>
      <w:r w:rsidRPr="00B00C4D">
        <w:rPr>
          <w:rFonts w:ascii="Arial Narrow" w:eastAsia="Calibri" w:hAnsi="Arial Narrow" w:cstheme="minorHAnsi"/>
        </w:rPr>
        <w:t>. 2014 Apr 1</w:t>
      </w:r>
      <w:proofErr w:type="gramStart"/>
      <w:r w:rsidRPr="00B00C4D">
        <w:rPr>
          <w:rFonts w:ascii="Arial Narrow" w:eastAsia="Calibri" w:hAnsi="Arial Narrow" w:cstheme="minorHAnsi"/>
        </w:rPr>
        <w:t>;15</w:t>
      </w:r>
      <w:proofErr w:type="gramEnd"/>
      <w:r w:rsidRPr="00B00C4D">
        <w:rPr>
          <w:rFonts w:ascii="Arial Narrow" w:eastAsia="Calibri" w:hAnsi="Arial Narrow" w:cstheme="minorHAnsi"/>
        </w:rPr>
        <w:t>(2):326-38.</w:t>
      </w:r>
    </w:p>
    <w:p w:rsidR="00D473BD" w:rsidRDefault="00D473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473BD" w:rsidRPr="008E0D90" w:rsidTr="00A06225">
      <w:trPr>
        <w:trHeight w:val="151"/>
      </w:trPr>
      <w:tc>
        <w:tcPr>
          <w:tcW w:w="2389" w:type="pct"/>
          <w:tcBorders>
            <w:top w:val="nil"/>
            <w:left w:val="nil"/>
            <w:bottom w:val="single" w:sz="4" w:space="0" w:color="4F81BD"/>
            <w:right w:val="nil"/>
          </w:tcBorders>
        </w:tcPr>
        <w:p w:rsidR="00D473BD" w:rsidRPr="00A06225" w:rsidRDefault="00D473BD">
          <w:pPr>
            <w:pStyle w:val="Header"/>
            <w:spacing w:line="276" w:lineRule="auto"/>
            <w:rPr>
              <w:rFonts w:ascii="Cambria" w:eastAsia="MS Gothic" w:hAnsi="Cambria"/>
              <w:b/>
              <w:bCs/>
              <w:color w:val="4F81BD"/>
            </w:rPr>
          </w:pPr>
        </w:p>
      </w:tc>
      <w:tc>
        <w:tcPr>
          <w:tcW w:w="333" w:type="pct"/>
          <w:vMerge w:val="restart"/>
          <w:noWrap/>
          <w:vAlign w:val="center"/>
          <w:hideMark/>
        </w:tcPr>
        <w:p w:rsidR="00D473BD" w:rsidRPr="00A06225" w:rsidRDefault="00D473B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473BD" w:rsidRPr="00A06225" w:rsidRDefault="00D473BD">
          <w:pPr>
            <w:pStyle w:val="Header"/>
            <w:spacing w:line="276" w:lineRule="auto"/>
            <w:rPr>
              <w:rFonts w:ascii="Cambria" w:eastAsia="MS Gothic" w:hAnsi="Cambria"/>
              <w:b/>
              <w:bCs/>
              <w:color w:val="4F81BD"/>
            </w:rPr>
          </w:pPr>
        </w:p>
      </w:tc>
    </w:tr>
    <w:tr w:rsidR="00D473BD" w:rsidRPr="008E0D90" w:rsidTr="00A06225">
      <w:trPr>
        <w:trHeight w:val="150"/>
      </w:trPr>
      <w:tc>
        <w:tcPr>
          <w:tcW w:w="2389" w:type="pct"/>
          <w:tcBorders>
            <w:top w:val="single" w:sz="4" w:space="0" w:color="4F81BD"/>
            <w:left w:val="nil"/>
            <w:bottom w:val="nil"/>
            <w:right w:val="nil"/>
          </w:tcBorders>
        </w:tcPr>
        <w:p w:rsidR="00D473BD" w:rsidRPr="00A06225" w:rsidRDefault="00D473BD">
          <w:pPr>
            <w:pStyle w:val="Header"/>
            <w:spacing w:line="276" w:lineRule="auto"/>
            <w:rPr>
              <w:rFonts w:ascii="Cambria" w:eastAsia="MS Gothic" w:hAnsi="Cambria"/>
              <w:b/>
              <w:bCs/>
              <w:color w:val="4F81BD"/>
            </w:rPr>
          </w:pPr>
        </w:p>
      </w:tc>
      <w:tc>
        <w:tcPr>
          <w:tcW w:w="0" w:type="auto"/>
          <w:vMerge/>
          <w:vAlign w:val="center"/>
          <w:hideMark/>
        </w:tcPr>
        <w:p w:rsidR="00D473BD" w:rsidRPr="00A06225" w:rsidRDefault="00D473BD">
          <w:pPr>
            <w:rPr>
              <w:rFonts w:ascii="Cambria" w:hAnsi="Cambria"/>
              <w:color w:val="4F81BD"/>
              <w:sz w:val="22"/>
              <w:szCs w:val="22"/>
            </w:rPr>
          </w:pPr>
        </w:p>
      </w:tc>
      <w:tc>
        <w:tcPr>
          <w:tcW w:w="2278" w:type="pct"/>
          <w:tcBorders>
            <w:top w:val="single" w:sz="4" w:space="0" w:color="4F81BD"/>
            <w:left w:val="nil"/>
            <w:bottom w:val="nil"/>
            <w:right w:val="nil"/>
          </w:tcBorders>
        </w:tcPr>
        <w:p w:rsidR="00D473BD" w:rsidRPr="00A06225" w:rsidRDefault="00D473BD">
          <w:pPr>
            <w:pStyle w:val="Header"/>
            <w:spacing w:line="276" w:lineRule="auto"/>
            <w:rPr>
              <w:rFonts w:ascii="Cambria" w:eastAsia="MS Gothic" w:hAnsi="Cambria"/>
              <w:b/>
              <w:bCs/>
              <w:color w:val="4F81BD"/>
            </w:rPr>
          </w:pPr>
        </w:p>
      </w:tc>
    </w:tr>
  </w:tbl>
  <w:p w:rsidR="00D473BD" w:rsidRDefault="00D473BD">
    <w:pPr>
      <w:pStyle w:val="Header"/>
    </w:pPr>
  </w:p>
  <w:p w:rsidR="00D473BD" w:rsidRDefault="00D473B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BD" w:rsidRPr="00A31991" w:rsidRDefault="00D473BD" w:rsidP="00A31991">
    <w:pPr>
      <w:pStyle w:val="Header"/>
      <w:keepNext/>
      <w:ind w:left="360"/>
      <w:jc w:val="center"/>
      <w:rPr>
        <w:rFonts w:asciiTheme="minorHAnsi" w:hAnsiTheme="minorHAnsi" w:cs="Arial"/>
        <w:i/>
      </w:rPr>
    </w:pPr>
    <w:r>
      <w:rPr>
        <w:rFonts w:asciiTheme="minorHAnsi" w:hAnsiTheme="minorHAnsi" w:cs="Arial"/>
        <w:i/>
      </w:rPr>
      <w:t>Public Summary Document</w:t>
    </w:r>
    <w:r w:rsidRPr="00A31991">
      <w:rPr>
        <w:rFonts w:asciiTheme="minorHAnsi" w:hAnsiTheme="minorHAnsi" w:cs="Arial"/>
        <w:i/>
      </w:rPr>
      <w:t xml:space="preserve"> – </w:t>
    </w:r>
    <w:r>
      <w:rPr>
        <w:rFonts w:asciiTheme="minorHAnsi" w:hAnsiTheme="minorHAnsi" w:cs="Arial"/>
        <w:i/>
      </w:rPr>
      <w:t>November</w:t>
    </w:r>
    <w:r w:rsidRPr="00A31991">
      <w:rPr>
        <w:rFonts w:asciiTheme="minorHAnsi" w:hAnsiTheme="minorHAnsi" w:cs="Arial"/>
        <w:i/>
      </w:rPr>
      <w:t xml:space="preserve"> 2019 PBAC Meeting</w:t>
    </w:r>
  </w:p>
  <w:p w:rsidR="00D473BD" w:rsidRPr="00A31991" w:rsidRDefault="00D473BD" w:rsidP="00A31991">
    <w:pPr>
      <w:pStyle w:val="NoSpacing"/>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83B" w:rsidRDefault="00FD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D1854"/>
    <w:multiLevelType w:val="hybridMultilevel"/>
    <w:tmpl w:val="9D042C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5B1B6A"/>
    <w:multiLevelType w:val="hybridMultilevel"/>
    <w:tmpl w:val="C008A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D45254"/>
    <w:multiLevelType w:val="hybridMultilevel"/>
    <w:tmpl w:val="32D43ED6"/>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1E2976"/>
    <w:multiLevelType w:val="hybridMultilevel"/>
    <w:tmpl w:val="C18CC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14" w15:restartNumberingAfterBreak="0">
    <w:nsid w:val="3D9E2396"/>
    <w:multiLevelType w:val="hybridMultilevel"/>
    <w:tmpl w:val="53020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6" w15:restartNumberingAfterBreak="0">
    <w:nsid w:val="420B6ECC"/>
    <w:multiLevelType w:val="hybridMultilevel"/>
    <w:tmpl w:val="C23E7B90"/>
    <w:lvl w:ilvl="0" w:tplc="ED1E5F1E">
      <w:start w:val="1"/>
      <w:numFmt w:val="bullet"/>
      <w:pStyle w:val="BulletedList"/>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46433B"/>
    <w:multiLevelType w:val="hybridMultilevel"/>
    <w:tmpl w:val="01CAE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6F87AC6"/>
    <w:multiLevelType w:val="multilevel"/>
    <w:tmpl w:val="866A2F5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lowerLetter"/>
      <w:lvlText w:val="%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085881"/>
    <w:multiLevelType w:val="multilevel"/>
    <w:tmpl w:val="3E44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9DC7543"/>
    <w:multiLevelType w:val="multilevel"/>
    <w:tmpl w:val="AF4C7BBC"/>
    <w:lvl w:ilvl="0">
      <w:start w:val="1"/>
      <w:numFmt w:val="decimal"/>
      <w:lvlText w:val="%1"/>
      <w:lvlJc w:val="left"/>
      <w:pPr>
        <w:ind w:left="720" w:hanging="720"/>
      </w:pPr>
      <w:rPr>
        <w:rFonts w:hint="default"/>
        <w:b/>
        <w:color w:val="000000" w:themeColor="text1"/>
      </w:rPr>
    </w:lvl>
    <w:lvl w:ilvl="1">
      <w:start w:val="1"/>
      <w:numFmt w:val="bullet"/>
      <w:lvlText w:val=""/>
      <w:lvlJc w:val="left"/>
      <w:pPr>
        <w:ind w:left="720" w:hanging="720"/>
      </w:pPr>
      <w:rPr>
        <w:rFonts w:ascii="Symbol" w:hAnsi="Symbol"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60D18FB"/>
    <w:multiLevelType w:val="hybridMultilevel"/>
    <w:tmpl w:val="69C08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4D033C"/>
    <w:multiLevelType w:val="multilevel"/>
    <w:tmpl w:val="2C0AE638"/>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1"/>
  </w:num>
  <w:num w:numId="2">
    <w:abstractNumId w:val="0"/>
  </w:num>
  <w:num w:numId="3">
    <w:abstractNumId w:val="31"/>
  </w:num>
  <w:num w:numId="4">
    <w:abstractNumId w:val="23"/>
  </w:num>
  <w:num w:numId="5">
    <w:abstractNumId w:val="17"/>
  </w:num>
  <w:num w:numId="6">
    <w:abstractNumId w:val="20"/>
  </w:num>
  <w:num w:numId="7">
    <w:abstractNumId w:val="32"/>
  </w:num>
  <w:num w:numId="8">
    <w:abstractNumId w:val="26"/>
  </w:num>
  <w:num w:numId="9">
    <w:abstractNumId w:val="29"/>
  </w:num>
  <w:num w:numId="10">
    <w:abstractNumId w:val="19"/>
  </w:num>
  <w:num w:numId="11">
    <w:abstractNumId w:val="5"/>
  </w:num>
  <w:num w:numId="12">
    <w:abstractNumId w:val="28"/>
  </w:num>
  <w:num w:numId="13">
    <w:abstractNumId w:val="15"/>
    <w:lvlOverride w:ilvl="0">
      <w:startOverride w:val="1"/>
    </w:lvlOverride>
  </w:num>
  <w:num w:numId="14">
    <w:abstractNumId w:val="15"/>
  </w:num>
  <w:num w:numId="15">
    <w:abstractNumId w:val="15"/>
    <w:lvlOverride w:ilvl="0">
      <w:startOverride w:val="1"/>
    </w:lvlOverride>
  </w:num>
  <w:num w:numId="16">
    <w:abstractNumId w:val="18"/>
  </w:num>
  <w:num w:numId="17">
    <w:abstractNumId w:val="15"/>
    <w:lvlOverride w:ilvl="0">
      <w:startOverride w:val="4"/>
    </w:lvlOverride>
  </w:num>
  <w:num w:numId="18">
    <w:abstractNumId w:val="2"/>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1"/>
  </w:num>
  <w:num w:numId="22">
    <w:abstractNumId w:val="13"/>
  </w:num>
  <w:num w:numId="23">
    <w:abstractNumId w:val="31"/>
  </w:num>
  <w:num w:numId="24">
    <w:abstractNumId w:val="31"/>
  </w:num>
  <w:num w:numId="25">
    <w:abstractNumId w:val="31"/>
  </w:num>
  <w:num w:numId="26">
    <w:abstractNumId w:val="31"/>
  </w:num>
  <w:num w:numId="27">
    <w:abstractNumId w:val="31"/>
  </w:num>
  <w:num w:numId="28">
    <w:abstractNumId w:val="31"/>
  </w:num>
  <w:num w:numId="29">
    <w:abstractNumId w:val="16"/>
  </w:num>
  <w:num w:numId="30">
    <w:abstractNumId w:val="31"/>
  </w:num>
  <w:num w:numId="31">
    <w:abstractNumId w:val="25"/>
  </w:num>
  <w:num w:numId="32">
    <w:abstractNumId w:val="31"/>
  </w:num>
  <w:num w:numId="33">
    <w:abstractNumId w:val="27"/>
  </w:num>
  <w:num w:numId="34">
    <w:abstractNumId w:val="6"/>
  </w:num>
  <w:num w:numId="35">
    <w:abstractNumId w:val="4"/>
  </w:num>
  <w:num w:numId="36">
    <w:abstractNumId w:val="30"/>
  </w:num>
  <w:num w:numId="37">
    <w:abstractNumId w:val="21"/>
  </w:num>
  <w:num w:numId="38">
    <w:abstractNumId w:val="8"/>
  </w:num>
  <w:num w:numId="39">
    <w:abstractNumId w:val="14"/>
  </w:num>
  <w:num w:numId="40">
    <w:abstractNumId w:val="7"/>
  </w:num>
  <w:num w:numId="41">
    <w:abstractNumId w:val="31"/>
  </w:num>
  <w:num w:numId="42">
    <w:abstractNumId w:val="31"/>
  </w:num>
  <w:num w:numId="43">
    <w:abstractNumId w:val="31"/>
  </w:num>
  <w:num w:numId="44">
    <w:abstractNumId w:val="22"/>
  </w:num>
  <w:num w:numId="45">
    <w:abstractNumId w:val="3"/>
  </w:num>
  <w:num w:numId="46">
    <w:abstractNumId w:val="1"/>
  </w:num>
  <w:num w:numId="47">
    <w:abstractNumId w:val="10"/>
  </w:num>
  <w:num w:numId="48">
    <w:abstractNumId w:val="11"/>
  </w:num>
  <w:num w:numId="49">
    <w:abstractNumId w:val="9"/>
  </w:num>
  <w:num w:numId="50">
    <w:abstractNumId w:val="31"/>
  </w:num>
  <w:num w:numId="51">
    <w:abstractNumId w:val="31"/>
  </w:num>
  <w:num w:numId="52">
    <w:abstractNumId w:val="31"/>
  </w:num>
  <w:num w:numId="53">
    <w:abstractNumId w:val="31"/>
  </w:num>
  <w:num w:numId="54">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1E9B"/>
    <w:rsid w:val="00016A41"/>
    <w:rsid w:val="000214D1"/>
    <w:rsid w:val="0002464A"/>
    <w:rsid w:val="000274CD"/>
    <w:rsid w:val="0003106B"/>
    <w:rsid w:val="00034905"/>
    <w:rsid w:val="00041146"/>
    <w:rsid w:val="000421A1"/>
    <w:rsid w:val="0004240E"/>
    <w:rsid w:val="00045E26"/>
    <w:rsid w:val="000514B5"/>
    <w:rsid w:val="0005179F"/>
    <w:rsid w:val="00054AB1"/>
    <w:rsid w:val="00060E64"/>
    <w:rsid w:val="00066755"/>
    <w:rsid w:val="00071953"/>
    <w:rsid w:val="00071D5E"/>
    <w:rsid w:val="00074672"/>
    <w:rsid w:val="000763D5"/>
    <w:rsid w:val="00077143"/>
    <w:rsid w:val="00082169"/>
    <w:rsid w:val="00090C19"/>
    <w:rsid w:val="000918CB"/>
    <w:rsid w:val="00091B06"/>
    <w:rsid w:val="000951C4"/>
    <w:rsid w:val="00095ADA"/>
    <w:rsid w:val="000969AD"/>
    <w:rsid w:val="000A3AA2"/>
    <w:rsid w:val="000A3DBA"/>
    <w:rsid w:val="000A44B2"/>
    <w:rsid w:val="000B44C3"/>
    <w:rsid w:val="000B558D"/>
    <w:rsid w:val="000B76BB"/>
    <w:rsid w:val="000C5F95"/>
    <w:rsid w:val="000C6996"/>
    <w:rsid w:val="000C74A2"/>
    <w:rsid w:val="000D09E9"/>
    <w:rsid w:val="000D23BA"/>
    <w:rsid w:val="000D24F6"/>
    <w:rsid w:val="000D3C68"/>
    <w:rsid w:val="000E681E"/>
    <w:rsid w:val="000F0003"/>
    <w:rsid w:val="000F3384"/>
    <w:rsid w:val="000F4E6A"/>
    <w:rsid w:val="000F5839"/>
    <w:rsid w:val="000F7354"/>
    <w:rsid w:val="00102202"/>
    <w:rsid w:val="00104227"/>
    <w:rsid w:val="001107BF"/>
    <w:rsid w:val="00111AF8"/>
    <w:rsid w:val="00112142"/>
    <w:rsid w:val="001131A3"/>
    <w:rsid w:val="00113649"/>
    <w:rsid w:val="0012417C"/>
    <w:rsid w:val="0012749D"/>
    <w:rsid w:val="00142395"/>
    <w:rsid w:val="00142714"/>
    <w:rsid w:val="00142973"/>
    <w:rsid w:val="00144E56"/>
    <w:rsid w:val="001452ED"/>
    <w:rsid w:val="00147D84"/>
    <w:rsid w:val="001549C1"/>
    <w:rsid w:val="00162D4E"/>
    <w:rsid w:val="00163329"/>
    <w:rsid w:val="00164623"/>
    <w:rsid w:val="001652DE"/>
    <w:rsid w:val="00165B64"/>
    <w:rsid w:val="00171FE9"/>
    <w:rsid w:val="00180713"/>
    <w:rsid w:val="001830CE"/>
    <w:rsid w:val="00183533"/>
    <w:rsid w:val="0018643B"/>
    <w:rsid w:val="00196307"/>
    <w:rsid w:val="001A12D9"/>
    <w:rsid w:val="001A33EA"/>
    <w:rsid w:val="001A4C4F"/>
    <w:rsid w:val="001A76FB"/>
    <w:rsid w:val="001B017F"/>
    <w:rsid w:val="001B2BBC"/>
    <w:rsid w:val="001B3FFE"/>
    <w:rsid w:val="001B5129"/>
    <w:rsid w:val="001C0B4C"/>
    <w:rsid w:val="001C1195"/>
    <w:rsid w:val="001D1F5F"/>
    <w:rsid w:val="001E06D2"/>
    <w:rsid w:val="001F1850"/>
    <w:rsid w:val="001F3189"/>
    <w:rsid w:val="00203FAC"/>
    <w:rsid w:val="00213CFB"/>
    <w:rsid w:val="0021553C"/>
    <w:rsid w:val="0021557B"/>
    <w:rsid w:val="0021628C"/>
    <w:rsid w:val="002174FD"/>
    <w:rsid w:val="00217BE1"/>
    <w:rsid w:val="00224BE0"/>
    <w:rsid w:val="00234252"/>
    <w:rsid w:val="00235153"/>
    <w:rsid w:val="00237A03"/>
    <w:rsid w:val="00237AC6"/>
    <w:rsid w:val="00243C6B"/>
    <w:rsid w:val="00244490"/>
    <w:rsid w:val="0025225C"/>
    <w:rsid w:val="00253499"/>
    <w:rsid w:val="002551A4"/>
    <w:rsid w:val="002552B7"/>
    <w:rsid w:val="00256299"/>
    <w:rsid w:val="00257664"/>
    <w:rsid w:val="00257992"/>
    <w:rsid w:val="00262B81"/>
    <w:rsid w:val="00265151"/>
    <w:rsid w:val="00265357"/>
    <w:rsid w:val="00266509"/>
    <w:rsid w:val="00270E25"/>
    <w:rsid w:val="00271BA1"/>
    <w:rsid w:val="002762FA"/>
    <w:rsid w:val="00277505"/>
    <w:rsid w:val="002823B6"/>
    <w:rsid w:val="00294274"/>
    <w:rsid w:val="0029458F"/>
    <w:rsid w:val="00294D62"/>
    <w:rsid w:val="002A0E04"/>
    <w:rsid w:val="002A104C"/>
    <w:rsid w:val="002A494D"/>
    <w:rsid w:val="002A4960"/>
    <w:rsid w:val="002A52A6"/>
    <w:rsid w:val="002B0AE0"/>
    <w:rsid w:val="002B1666"/>
    <w:rsid w:val="002B1AE6"/>
    <w:rsid w:val="002B1D51"/>
    <w:rsid w:val="002B2DE8"/>
    <w:rsid w:val="002B30F8"/>
    <w:rsid w:val="002B388A"/>
    <w:rsid w:val="002B5596"/>
    <w:rsid w:val="002B7B7D"/>
    <w:rsid w:val="002C212F"/>
    <w:rsid w:val="002C7485"/>
    <w:rsid w:val="002D283A"/>
    <w:rsid w:val="002D4543"/>
    <w:rsid w:val="002D4D03"/>
    <w:rsid w:val="002D7C4A"/>
    <w:rsid w:val="002E3153"/>
    <w:rsid w:val="002E5292"/>
    <w:rsid w:val="002E72CA"/>
    <w:rsid w:val="002F4F3A"/>
    <w:rsid w:val="002F600D"/>
    <w:rsid w:val="00300AD6"/>
    <w:rsid w:val="00300B1B"/>
    <w:rsid w:val="003019D0"/>
    <w:rsid w:val="003064AF"/>
    <w:rsid w:val="00317C6C"/>
    <w:rsid w:val="00320CD3"/>
    <w:rsid w:val="00326E79"/>
    <w:rsid w:val="003301B1"/>
    <w:rsid w:val="00331189"/>
    <w:rsid w:val="0033263D"/>
    <w:rsid w:val="0033518A"/>
    <w:rsid w:val="003367EF"/>
    <w:rsid w:val="00341AE4"/>
    <w:rsid w:val="003476EE"/>
    <w:rsid w:val="00356495"/>
    <w:rsid w:val="003567C8"/>
    <w:rsid w:val="003568EF"/>
    <w:rsid w:val="00360A17"/>
    <w:rsid w:val="00370F0D"/>
    <w:rsid w:val="003736C9"/>
    <w:rsid w:val="00384988"/>
    <w:rsid w:val="003872CF"/>
    <w:rsid w:val="0039782C"/>
    <w:rsid w:val="003A42F1"/>
    <w:rsid w:val="003A50C0"/>
    <w:rsid w:val="003A5B4A"/>
    <w:rsid w:val="003B23C5"/>
    <w:rsid w:val="003B2774"/>
    <w:rsid w:val="003B2A75"/>
    <w:rsid w:val="003B6124"/>
    <w:rsid w:val="003C093A"/>
    <w:rsid w:val="003C1ECF"/>
    <w:rsid w:val="003C2FB5"/>
    <w:rsid w:val="003D24C5"/>
    <w:rsid w:val="003D4AC4"/>
    <w:rsid w:val="003D63B7"/>
    <w:rsid w:val="003E468B"/>
    <w:rsid w:val="003E5922"/>
    <w:rsid w:val="003E62BD"/>
    <w:rsid w:val="003F0C3A"/>
    <w:rsid w:val="003F3228"/>
    <w:rsid w:val="003F5C8C"/>
    <w:rsid w:val="003F775A"/>
    <w:rsid w:val="00400E55"/>
    <w:rsid w:val="0040128E"/>
    <w:rsid w:val="0040216B"/>
    <w:rsid w:val="00406F2F"/>
    <w:rsid w:val="0040740E"/>
    <w:rsid w:val="004252EC"/>
    <w:rsid w:val="00430D39"/>
    <w:rsid w:val="00435AF5"/>
    <w:rsid w:val="0044267E"/>
    <w:rsid w:val="004465BD"/>
    <w:rsid w:val="004606E5"/>
    <w:rsid w:val="0046120D"/>
    <w:rsid w:val="00461A44"/>
    <w:rsid w:val="00466ADA"/>
    <w:rsid w:val="004702BB"/>
    <w:rsid w:val="0047119B"/>
    <w:rsid w:val="0047494B"/>
    <w:rsid w:val="00476245"/>
    <w:rsid w:val="00477A9B"/>
    <w:rsid w:val="00483035"/>
    <w:rsid w:val="00485940"/>
    <w:rsid w:val="004904B9"/>
    <w:rsid w:val="004A2484"/>
    <w:rsid w:val="004A5A85"/>
    <w:rsid w:val="004A71D1"/>
    <w:rsid w:val="004A7C5B"/>
    <w:rsid w:val="004B2E98"/>
    <w:rsid w:val="004B4182"/>
    <w:rsid w:val="004B5640"/>
    <w:rsid w:val="004C1BD7"/>
    <w:rsid w:val="004C31FE"/>
    <w:rsid w:val="004C524C"/>
    <w:rsid w:val="004C691D"/>
    <w:rsid w:val="004C6C07"/>
    <w:rsid w:val="004C75BC"/>
    <w:rsid w:val="004C7684"/>
    <w:rsid w:val="004D4FF6"/>
    <w:rsid w:val="004D62C5"/>
    <w:rsid w:val="004E692D"/>
    <w:rsid w:val="004E7D87"/>
    <w:rsid w:val="004F2553"/>
    <w:rsid w:val="00501554"/>
    <w:rsid w:val="00502AFE"/>
    <w:rsid w:val="00502B3E"/>
    <w:rsid w:val="00503AD7"/>
    <w:rsid w:val="00504E0C"/>
    <w:rsid w:val="005109D4"/>
    <w:rsid w:val="00514CD7"/>
    <w:rsid w:val="00520D6A"/>
    <w:rsid w:val="00522DB6"/>
    <w:rsid w:val="00526AFB"/>
    <w:rsid w:val="0052792D"/>
    <w:rsid w:val="00530396"/>
    <w:rsid w:val="005319B2"/>
    <w:rsid w:val="00532402"/>
    <w:rsid w:val="00532C74"/>
    <w:rsid w:val="00534E2E"/>
    <w:rsid w:val="00544552"/>
    <w:rsid w:val="00545009"/>
    <w:rsid w:val="0054517E"/>
    <w:rsid w:val="00550E98"/>
    <w:rsid w:val="0055286A"/>
    <w:rsid w:val="00555745"/>
    <w:rsid w:val="00557D4F"/>
    <w:rsid w:val="005614D0"/>
    <w:rsid w:val="0056484E"/>
    <w:rsid w:val="005764CD"/>
    <w:rsid w:val="00577C4D"/>
    <w:rsid w:val="00580532"/>
    <w:rsid w:val="00581932"/>
    <w:rsid w:val="005848FB"/>
    <w:rsid w:val="00587366"/>
    <w:rsid w:val="005963BB"/>
    <w:rsid w:val="00597134"/>
    <w:rsid w:val="005A015D"/>
    <w:rsid w:val="005A0FB9"/>
    <w:rsid w:val="005A3173"/>
    <w:rsid w:val="005A3223"/>
    <w:rsid w:val="005A3DA3"/>
    <w:rsid w:val="005A52C4"/>
    <w:rsid w:val="005A7545"/>
    <w:rsid w:val="005B6B5A"/>
    <w:rsid w:val="005B7E43"/>
    <w:rsid w:val="005C03ED"/>
    <w:rsid w:val="005D03AB"/>
    <w:rsid w:val="005D5017"/>
    <w:rsid w:val="005D5C2E"/>
    <w:rsid w:val="005D63FA"/>
    <w:rsid w:val="005D6462"/>
    <w:rsid w:val="005E1333"/>
    <w:rsid w:val="005E1437"/>
    <w:rsid w:val="005E3136"/>
    <w:rsid w:val="005E507D"/>
    <w:rsid w:val="005E6474"/>
    <w:rsid w:val="005F498F"/>
    <w:rsid w:val="00601A91"/>
    <w:rsid w:val="00602BA3"/>
    <w:rsid w:val="00605B63"/>
    <w:rsid w:val="00606EED"/>
    <w:rsid w:val="00612E34"/>
    <w:rsid w:val="00614159"/>
    <w:rsid w:val="00616C5F"/>
    <w:rsid w:val="00616DAC"/>
    <w:rsid w:val="00617C00"/>
    <w:rsid w:val="006234A9"/>
    <w:rsid w:val="006263BF"/>
    <w:rsid w:val="0062748A"/>
    <w:rsid w:val="00630A2C"/>
    <w:rsid w:val="0063682E"/>
    <w:rsid w:val="00642DA8"/>
    <w:rsid w:val="006436CD"/>
    <w:rsid w:val="006503C0"/>
    <w:rsid w:val="00651169"/>
    <w:rsid w:val="00653D69"/>
    <w:rsid w:val="0065433D"/>
    <w:rsid w:val="006552E6"/>
    <w:rsid w:val="00657C63"/>
    <w:rsid w:val="006603D7"/>
    <w:rsid w:val="00660DAF"/>
    <w:rsid w:val="006670BE"/>
    <w:rsid w:val="00670A76"/>
    <w:rsid w:val="006711AA"/>
    <w:rsid w:val="00672B57"/>
    <w:rsid w:val="00675622"/>
    <w:rsid w:val="00676569"/>
    <w:rsid w:val="0067747D"/>
    <w:rsid w:val="00681CA4"/>
    <w:rsid w:val="00683824"/>
    <w:rsid w:val="0069039D"/>
    <w:rsid w:val="006906DB"/>
    <w:rsid w:val="00691E6C"/>
    <w:rsid w:val="00693B93"/>
    <w:rsid w:val="00693DFB"/>
    <w:rsid w:val="0069501D"/>
    <w:rsid w:val="00696129"/>
    <w:rsid w:val="00697CF2"/>
    <w:rsid w:val="00697D97"/>
    <w:rsid w:val="006A0A6A"/>
    <w:rsid w:val="006A12A5"/>
    <w:rsid w:val="006A5E20"/>
    <w:rsid w:val="006B0D94"/>
    <w:rsid w:val="006B19F7"/>
    <w:rsid w:val="006B4161"/>
    <w:rsid w:val="006B485D"/>
    <w:rsid w:val="006C2709"/>
    <w:rsid w:val="006C334C"/>
    <w:rsid w:val="006C708E"/>
    <w:rsid w:val="006D14E7"/>
    <w:rsid w:val="006D1700"/>
    <w:rsid w:val="006D3217"/>
    <w:rsid w:val="006D4444"/>
    <w:rsid w:val="006D6493"/>
    <w:rsid w:val="006D6EC7"/>
    <w:rsid w:val="006E1BCD"/>
    <w:rsid w:val="006E5ACE"/>
    <w:rsid w:val="006F5125"/>
    <w:rsid w:val="006F5BB1"/>
    <w:rsid w:val="006F733D"/>
    <w:rsid w:val="00702B6F"/>
    <w:rsid w:val="00706A2F"/>
    <w:rsid w:val="0070718E"/>
    <w:rsid w:val="0071340B"/>
    <w:rsid w:val="007174BB"/>
    <w:rsid w:val="0072025D"/>
    <w:rsid w:val="00730FBB"/>
    <w:rsid w:val="0073137C"/>
    <w:rsid w:val="007353D3"/>
    <w:rsid w:val="0074156B"/>
    <w:rsid w:val="00742B35"/>
    <w:rsid w:val="007536FA"/>
    <w:rsid w:val="007555E8"/>
    <w:rsid w:val="00762C1B"/>
    <w:rsid w:val="0076420C"/>
    <w:rsid w:val="00771D07"/>
    <w:rsid w:val="00774E2C"/>
    <w:rsid w:val="007753C2"/>
    <w:rsid w:val="0078257E"/>
    <w:rsid w:val="007838B8"/>
    <w:rsid w:val="007858E1"/>
    <w:rsid w:val="007915BA"/>
    <w:rsid w:val="0079725D"/>
    <w:rsid w:val="007B215F"/>
    <w:rsid w:val="007B3DDC"/>
    <w:rsid w:val="007B72A6"/>
    <w:rsid w:val="007C0F57"/>
    <w:rsid w:val="007C2303"/>
    <w:rsid w:val="007C40B6"/>
    <w:rsid w:val="007C729F"/>
    <w:rsid w:val="007D20F1"/>
    <w:rsid w:val="007E0AFD"/>
    <w:rsid w:val="007E1D28"/>
    <w:rsid w:val="007F0021"/>
    <w:rsid w:val="007F2641"/>
    <w:rsid w:val="007F7C36"/>
    <w:rsid w:val="00806796"/>
    <w:rsid w:val="008072EB"/>
    <w:rsid w:val="008102B1"/>
    <w:rsid w:val="00811CC0"/>
    <w:rsid w:val="008151D6"/>
    <w:rsid w:val="00817E14"/>
    <w:rsid w:val="00821527"/>
    <w:rsid w:val="008268BB"/>
    <w:rsid w:val="00826F6D"/>
    <w:rsid w:val="008306F3"/>
    <w:rsid w:val="00830E40"/>
    <w:rsid w:val="00831281"/>
    <w:rsid w:val="008327E6"/>
    <w:rsid w:val="008365A4"/>
    <w:rsid w:val="0085010A"/>
    <w:rsid w:val="00855FD6"/>
    <w:rsid w:val="00856DDD"/>
    <w:rsid w:val="00857A63"/>
    <w:rsid w:val="00863E68"/>
    <w:rsid w:val="008647B5"/>
    <w:rsid w:val="00875DCB"/>
    <w:rsid w:val="0088138D"/>
    <w:rsid w:val="00882085"/>
    <w:rsid w:val="00883188"/>
    <w:rsid w:val="00891BDE"/>
    <w:rsid w:val="00895D2E"/>
    <w:rsid w:val="00897D58"/>
    <w:rsid w:val="00897F22"/>
    <w:rsid w:val="008A0B39"/>
    <w:rsid w:val="008A1956"/>
    <w:rsid w:val="008A259A"/>
    <w:rsid w:val="008A4937"/>
    <w:rsid w:val="008A50F1"/>
    <w:rsid w:val="008A59D9"/>
    <w:rsid w:val="008A5A15"/>
    <w:rsid w:val="008A6819"/>
    <w:rsid w:val="008B2B7C"/>
    <w:rsid w:val="008B2EC0"/>
    <w:rsid w:val="008C2F9D"/>
    <w:rsid w:val="008D1B5C"/>
    <w:rsid w:val="008D1F1F"/>
    <w:rsid w:val="008D3C82"/>
    <w:rsid w:val="008D447E"/>
    <w:rsid w:val="008D7A41"/>
    <w:rsid w:val="008E2C72"/>
    <w:rsid w:val="008E3680"/>
    <w:rsid w:val="008E5870"/>
    <w:rsid w:val="008F1434"/>
    <w:rsid w:val="008F4F0E"/>
    <w:rsid w:val="008F54C3"/>
    <w:rsid w:val="008F7355"/>
    <w:rsid w:val="009023DC"/>
    <w:rsid w:val="00904000"/>
    <w:rsid w:val="009067B7"/>
    <w:rsid w:val="00926560"/>
    <w:rsid w:val="00930937"/>
    <w:rsid w:val="009324A6"/>
    <w:rsid w:val="00933E6C"/>
    <w:rsid w:val="00936D84"/>
    <w:rsid w:val="00937958"/>
    <w:rsid w:val="00941602"/>
    <w:rsid w:val="00942160"/>
    <w:rsid w:val="0095146F"/>
    <w:rsid w:val="00957944"/>
    <w:rsid w:val="009602C5"/>
    <w:rsid w:val="00962223"/>
    <w:rsid w:val="0096325E"/>
    <w:rsid w:val="00966D0D"/>
    <w:rsid w:val="0096783C"/>
    <w:rsid w:val="00971A07"/>
    <w:rsid w:val="009722B3"/>
    <w:rsid w:val="009742C4"/>
    <w:rsid w:val="00974C21"/>
    <w:rsid w:val="0097635F"/>
    <w:rsid w:val="00977BF3"/>
    <w:rsid w:val="009803E4"/>
    <w:rsid w:val="00980B0E"/>
    <w:rsid w:val="009836A3"/>
    <w:rsid w:val="009855A8"/>
    <w:rsid w:val="00990058"/>
    <w:rsid w:val="009913F4"/>
    <w:rsid w:val="00993DB3"/>
    <w:rsid w:val="0099465B"/>
    <w:rsid w:val="009A0CDD"/>
    <w:rsid w:val="009A3168"/>
    <w:rsid w:val="009A61CA"/>
    <w:rsid w:val="009B05A8"/>
    <w:rsid w:val="009B0C64"/>
    <w:rsid w:val="009B0F67"/>
    <w:rsid w:val="009B3685"/>
    <w:rsid w:val="009C30DE"/>
    <w:rsid w:val="009C703C"/>
    <w:rsid w:val="009D206E"/>
    <w:rsid w:val="009D3CAA"/>
    <w:rsid w:val="009D6532"/>
    <w:rsid w:val="009D6A5E"/>
    <w:rsid w:val="009E40E1"/>
    <w:rsid w:val="009F0EFA"/>
    <w:rsid w:val="009F4E46"/>
    <w:rsid w:val="009F5B65"/>
    <w:rsid w:val="009F5F2E"/>
    <w:rsid w:val="00A00C29"/>
    <w:rsid w:val="00A026B4"/>
    <w:rsid w:val="00A02A57"/>
    <w:rsid w:val="00A03581"/>
    <w:rsid w:val="00A06225"/>
    <w:rsid w:val="00A123C2"/>
    <w:rsid w:val="00A128E6"/>
    <w:rsid w:val="00A144D3"/>
    <w:rsid w:val="00A22AC3"/>
    <w:rsid w:val="00A2744D"/>
    <w:rsid w:val="00A31991"/>
    <w:rsid w:val="00A34E6C"/>
    <w:rsid w:val="00A36398"/>
    <w:rsid w:val="00A37C8D"/>
    <w:rsid w:val="00A4020E"/>
    <w:rsid w:val="00A406BA"/>
    <w:rsid w:val="00A40FB5"/>
    <w:rsid w:val="00A42826"/>
    <w:rsid w:val="00A4646C"/>
    <w:rsid w:val="00A5273B"/>
    <w:rsid w:val="00A53A9D"/>
    <w:rsid w:val="00A55FEE"/>
    <w:rsid w:val="00A6094B"/>
    <w:rsid w:val="00A62C1A"/>
    <w:rsid w:val="00A6388B"/>
    <w:rsid w:val="00A6426D"/>
    <w:rsid w:val="00A665C1"/>
    <w:rsid w:val="00A70622"/>
    <w:rsid w:val="00A70977"/>
    <w:rsid w:val="00A70D58"/>
    <w:rsid w:val="00A744F9"/>
    <w:rsid w:val="00A77613"/>
    <w:rsid w:val="00A7768D"/>
    <w:rsid w:val="00A8390C"/>
    <w:rsid w:val="00A83CD2"/>
    <w:rsid w:val="00A928BD"/>
    <w:rsid w:val="00A97DE9"/>
    <w:rsid w:val="00AA0ECE"/>
    <w:rsid w:val="00AA12CD"/>
    <w:rsid w:val="00AA4D1C"/>
    <w:rsid w:val="00AA7881"/>
    <w:rsid w:val="00AB5856"/>
    <w:rsid w:val="00AC193C"/>
    <w:rsid w:val="00AC4DE5"/>
    <w:rsid w:val="00AC5206"/>
    <w:rsid w:val="00AD4322"/>
    <w:rsid w:val="00AE11A5"/>
    <w:rsid w:val="00AE13E2"/>
    <w:rsid w:val="00AE22D3"/>
    <w:rsid w:val="00AE5A49"/>
    <w:rsid w:val="00AF62DF"/>
    <w:rsid w:val="00AF68CC"/>
    <w:rsid w:val="00AF70D7"/>
    <w:rsid w:val="00B00C4D"/>
    <w:rsid w:val="00B07CFB"/>
    <w:rsid w:val="00B1059E"/>
    <w:rsid w:val="00B170A5"/>
    <w:rsid w:val="00B176C8"/>
    <w:rsid w:val="00B205AA"/>
    <w:rsid w:val="00B22E84"/>
    <w:rsid w:val="00B233AD"/>
    <w:rsid w:val="00B23E25"/>
    <w:rsid w:val="00B25F75"/>
    <w:rsid w:val="00B26B3F"/>
    <w:rsid w:val="00B2778F"/>
    <w:rsid w:val="00B31F6C"/>
    <w:rsid w:val="00B33635"/>
    <w:rsid w:val="00B43E90"/>
    <w:rsid w:val="00B467DC"/>
    <w:rsid w:val="00B56118"/>
    <w:rsid w:val="00B6773F"/>
    <w:rsid w:val="00B72382"/>
    <w:rsid w:val="00B72DBF"/>
    <w:rsid w:val="00B73CED"/>
    <w:rsid w:val="00B760FB"/>
    <w:rsid w:val="00B767AB"/>
    <w:rsid w:val="00B77190"/>
    <w:rsid w:val="00B801BA"/>
    <w:rsid w:val="00B8278C"/>
    <w:rsid w:val="00B84D5C"/>
    <w:rsid w:val="00B870D7"/>
    <w:rsid w:val="00B91C09"/>
    <w:rsid w:val="00B97601"/>
    <w:rsid w:val="00BA2DA8"/>
    <w:rsid w:val="00BA347C"/>
    <w:rsid w:val="00BB0095"/>
    <w:rsid w:val="00BB69F5"/>
    <w:rsid w:val="00BB7EC3"/>
    <w:rsid w:val="00BC4B9A"/>
    <w:rsid w:val="00BD02C3"/>
    <w:rsid w:val="00BD784C"/>
    <w:rsid w:val="00BE020A"/>
    <w:rsid w:val="00BE42A8"/>
    <w:rsid w:val="00BF092C"/>
    <w:rsid w:val="00BF27A0"/>
    <w:rsid w:val="00BF4CB6"/>
    <w:rsid w:val="00C00DA7"/>
    <w:rsid w:val="00C066A2"/>
    <w:rsid w:val="00C12768"/>
    <w:rsid w:val="00C12D70"/>
    <w:rsid w:val="00C156C0"/>
    <w:rsid w:val="00C21B09"/>
    <w:rsid w:val="00C2673A"/>
    <w:rsid w:val="00C27B58"/>
    <w:rsid w:val="00C35996"/>
    <w:rsid w:val="00C35C74"/>
    <w:rsid w:val="00C41D03"/>
    <w:rsid w:val="00C4747E"/>
    <w:rsid w:val="00C5342C"/>
    <w:rsid w:val="00C53B2B"/>
    <w:rsid w:val="00C57615"/>
    <w:rsid w:val="00C60272"/>
    <w:rsid w:val="00C603D4"/>
    <w:rsid w:val="00C6256A"/>
    <w:rsid w:val="00C66DAE"/>
    <w:rsid w:val="00C710E2"/>
    <w:rsid w:val="00C71C3F"/>
    <w:rsid w:val="00C72610"/>
    <w:rsid w:val="00C7409E"/>
    <w:rsid w:val="00C76E76"/>
    <w:rsid w:val="00C77891"/>
    <w:rsid w:val="00C91449"/>
    <w:rsid w:val="00C92D10"/>
    <w:rsid w:val="00C96877"/>
    <w:rsid w:val="00C97BA2"/>
    <w:rsid w:val="00CA0E13"/>
    <w:rsid w:val="00CA0F76"/>
    <w:rsid w:val="00CA3B35"/>
    <w:rsid w:val="00CA48D9"/>
    <w:rsid w:val="00CB1193"/>
    <w:rsid w:val="00CB4767"/>
    <w:rsid w:val="00CB493D"/>
    <w:rsid w:val="00CC3B97"/>
    <w:rsid w:val="00CD4A6C"/>
    <w:rsid w:val="00CD6EDF"/>
    <w:rsid w:val="00CE10C4"/>
    <w:rsid w:val="00CE27B5"/>
    <w:rsid w:val="00CE6DAF"/>
    <w:rsid w:val="00CF410A"/>
    <w:rsid w:val="00D02BAF"/>
    <w:rsid w:val="00D0321E"/>
    <w:rsid w:val="00D07A8A"/>
    <w:rsid w:val="00D1455A"/>
    <w:rsid w:val="00D22093"/>
    <w:rsid w:val="00D24E17"/>
    <w:rsid w:val="00D25B0D"/>
    <w:rsid w:val="00D26E91"/>
    <w:rsid w:val="00D31150"/>
    <w:rsid w:val="00D3138B"/>
    <w:rsid w:val="00D320BE"/>
    <w:rsid w:val="00D3280C"/>
    <w:rsid w:val="00D3406A"/>
    <w:rsid w:val="00D441F1"/>
    <w:rsid w:val="00D4572C"/>
    <w:rsid w:val="00D45A7D"/>
    <w:rsid w:val="00D469B2"/>
    <w:rsid w:val="00D473BD"/>
    <w:rsid w:val="00D51ABD"/>
    <w:rsid w:val="00D65658"/>
    <w:rsid w:val="00D72B6F"/>
    <w:rsid w:val="00D741EB"/>
    <w:rsid w:val="00D7679C"/>
    <w:rsid w:val="00D820F3"/>
    <w:rsid w:val="00D83605"/>
    <w:rsid w:val="00D84934"/>
    <w:rsid w:val="00D87DF5"/>
    <w:rsid w:val="00D91271"/>
    <w:rsid w:val="00D919F5"/>
    <w:rsid w:val="00D94F03"/>
    <w:rsid w:val="00D973C0"/>
    <w:rsid w:val="00DA0D14"/>
    <w:rsid w:val="00DA1FC9"/>
    <w:rsid w:val="00DA2CB5"/>
    <w:rsid w:val="00DA4BAC"/>
    <w:rsid w:val="00DB0151"/>
    <w:rsid w:val="00DC04A1"/>
    <w:rsid w:val="00DC2C3E"/>
    <w:rsid w:val="00DC4880"/>
    <w:rsid w:val="00DE443A"/>
    <w:rsid w:val="00DE6D27"/>
    <w:rsid w:val="00DF217D"/>
    <w:rsid w:val="00DF26A7"/>
    <w:rsid w:val="00DF3277"/>
    <w:rsid w:val="00DF7919"/>
    <w:rsid w:val="00E0207E"/>
    <w:rsid w:val="00E028F5"/>
    <w:rsid w:val="00E03912"/>
    <w:rsid w:val="00E132E5"/>
    <w:rsid w:val="00E15627"/>
    <w:rsid w:val="00E164B3"/>
    <w:rsid w:val="00E16910"/>
    <w:rsid w:val="00E17B91"/>
    <w:rsid w:val="00E24E09"/>
    <w:rsid w:val="00E27234"/>
    <w:rsid w:val="00E42BDB"/>
    <w:rsid w:val="00E4389B"/>
    <w:rsid w:val="00E57EEB"/>
    <w:rsid w:val="00E62D94"/>
    <w:rsid w:val="00E64F37"/>
    <w:rsid w:val="00E65E54"/>
    <w:rsid w:val="00E661C7"/>
    <w:rsid w:val="00E72000"/>
    <w:rsid w:val="00E80155"/>
    <w:rsid w:val="00E81E0D"/>
    <w:rsid w:val="00E81F28"/>
    <w:rsid w:val="00E848C0"/>
    <w:rsid w:val="00E868C8"/>
    <w:rsid w:val="00E91B96"/>
    <w:rsid w:val="00E93D1E"/>
    <w:rsid w:val="00E941A1"/>
    <w:rsid w:val="00E95CE3"/>
    <w:rsid w:val="00EA252F"/>
    <w:rsid w:val="00EA2825"/>
    <w:rsid w:val="00EA7EDE"/>
    <w:rsid w:val="00EB0B63"/>
    <w:rsid w:val="00EB1884"/>
    <w:rsid w:val="00EB1936"/>
    <w:rsid w:val="00EB37BE"/>
    <w:rsid w:val="00EB5088"/>
    <w:rsid w:val="00ED0D6C"/>
    <w:rsid w:val="00ED1644"/>
    <w:rsid w:val="00ED2593"/>
    <w:rsid w:val="00ED63AA"/>
    <w:rsid w:val="00ED7D9C"/>
    <w:rsid w:val="00EE3B5C"/>
    <w:rsid w:val="00EF0069"/>
    <w:rsid w:val="00EF44A0"/>
    <w:rsid w:val="00EF4FED"/>
    <w:rsid w:val="00F007C6"/>
    <w:rsid w:val="00F0172E"/>
    <w:rsid w:val="00F02799"/>
    <w:rsid w:val="00F050BD"/>
    <w:rsid w:val="00F05657"/>
    <w:rsid w:val="00F209E2"/>
    <w:rsid w:val="00F25578"/>
    <w:rsid w:val="00F258E5"/>
    <w:rsid w:val="00F25B9C"/>
    <w:rsid w:val="00F26CC6"/>
    <w:rsid w:val="00F300BC"/>
    <w:rsid w:val="00F3263C"/>
    <w:rsid w:val="00F3334E"/>
    <w:rsid w:val="00F3611C"/>
    <w:rsid w:val="00F36CCB"/>
    <w:rsid w:val="00F374E5"/>
    <w:rsid w:val="00F37B93"/>
    <w:rsid w:val="00F43AF2"/>
    <w:rsid w:val="00F5007E"/>
    <w:rsid w:val="00F50EC4"/>
    <w:rsid w:val="00F52232"/>
    <w:rsid w:val="00F550CF"/>
    <w:rsid w:val="00F57A6D"/>
    <w:rsid w:val="00F638CC"/>
    <w:rsid w:val="00F64C9E"/>
    <w:rsid w:val="00F64CC1"/>
    <w:rsid w:val="00F72317"/>
    <w:rsid w:val="00F72527"/>
    <w:rsid w:val="00F77265"/>
    <w:rsid w:val="00F80475"/>
    <w:rsid w:val="00F8247A"/>
    <w:rsid w:val="00F93052"/>
    <w:rsid w:val="00F9629A"/>
    <w:rsid w:val="00F97EFC"/>
    <w:rsid w:val="00FA1BDD"/>
    <w:rsid w:val="00FA4DD5"/>
    <w:rsid w:val="00FA5883"/>
    <w:rsid w:val="00FA6055"/>
    <w:rsid w:val="00FB322F"/>
    <w:rsid w:val="00FB442F"/>
    <w:rsid w:val="00FB71AF"/>
    <w:rsid w:val="00FC1929"/>
    <w:rsid w:val="00FC2466"/>
    <w:rsid w:val="00FC5B46"/>
    <w:rsid w:val="00FC61EB"/>
    <w:rsid w:val="00FC75B9"/>
    <w:rsid w:val="00FD6D8E"/>
    <w:rsid w:val="00FD783B"/>
    <w:rsid w:val="00FE0E94"/>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C6B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ASD Table,RTI AMCP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13"/>
      </w:numPr>
      <w:spacing w:before="60" w:after="60" w:line="300" w:lineRule="atLeast"/>
      <w:ind w:right="567"/>
    </w:pPr>
    <w:rPr>
      <w:rFonts w:ascii="Tahoma" w:hAnsi="Tahoma"/>
      <w:sz w:val="22"/>
      <w:szCs w:val="20"/>
    </w:rPr>
  </w:style>
  <w:style w:type="character" w:customStyle="1" w:styleId="form-strength">
    <w:name w:val="form-strength"/>
    <w:basedOn w:val="DefaultParagraphFont"/>
    <w:rsid w:val="00DC04A1"/>
  </w:style>
  <w:style w:type="paragraph" w:customStyle="1" w:styleId="NumberedList">
    <w:name w:val="Numbered List"/>
    <w:basedOn w:val="Normal"/>
    <w:uiPriority w:val="3"/>
    <w:qFormat/>
    <w:rsid w:val="00762C1B"/>
    <w:pPr>
      <w:numPr>
        <w:numId w:val="22"/>
      </w:numPr>
      <w:spacing w:after="240" w:line="276" w:lineRule="auto"/>
      <w:ind w:left="357" w:hanging="357"/>
      <w:contextualSpacing/>
    </w:pPr>
    <w:rPr>
      <w:rFonts w:ascii="Candara" w:eastAsiaTheme="majorEastAsia" w:hAnsi="Candara" w:cstheme="majorBidi"/>
      <w:szCs w:val="22"/>
      <w:lang w:eastAsia="en-US"/>
    </w:rPr>
  </w:style>
  <w:style w:type="paragraph" w:customStyle="1" w:styleId="FrontPage2">
    <w:name w:val="Front Page 2"/>
    <w:basedOn w:val="Normal"/>
    <w:link w:val="FrontPage2Char"/>
    <w:uiPriority w:val="10"/>
    <w:qFormat/>
    <w:rsid w:val="00762C1B"/>
    <w:pPr>
      <w:spacing w:line="276" w:lineRule="auto"/>
      <w:jc w:val="center"/>
    </w:pPr>
    <w:rPr>
      <w:rFonts w:ascii="Verdana" w:eastAsiaTheme="majorEastAsia" w:hAnsi="Verdana" w:cstheme="majorBidi"/>
      <w:b/>
      <w:sz w:val="40"/>
      <w:szCs w:val="22"/>
      <w:lang w:eastAsia="en-US"/>
    </w:rPr>
  </w:style>
  <w:style w:type="character" w:customStyle="1" w:styleId="FrontPage2Char">
    <w:name w:val="Front Page 2 Char"/>
    <w:basedOn w:val="DefaultParagraphFont"/>
    <w:link w:val="FrontPage2"/>
    <w:uiPriority w:val="10"/>
    <w:locked/>
    <w:rsid w:val="00762C1B"/>
    <w:rPr>
      <w:rFonts w:ascii="Verdana" w:eastAsiaTheme="majorEastAsia" w:hAnsi="Verdana" w:cstheme="majorBidi"/>
      <w:b/>
      <w:sz w:val="40"/>
      <w:szCs w:val="22"/>
      <w:lang w:eastAsia="en-US"/>
    </w:rPr>
  </w:style>
  <w:style w:type="paragraph" w:styleId="FootnoteText">
    <w:name w:val="footnote text"/>
    <w:basedOn w:val="Normal"/>
    <w:link w:val="FootnoteTextChar"/>
    <w:semiHidden/>
    <w:unhideWhenUsed/>
    <w:rsid w:val="0040740E"/>
    <w:rPr>
      <w:sz w:val="20"/>
      <w:szCs w:val="20"/>
    </w:rPr>
  </w:style>
  <w:style w:type="character" w:customStyle="1" w:styleId="FootnoteTextChar">
    <w:name w:val="Footnote Text Char"/>
    <w:basedOn w:val="DefaultParagraphFont"/>
    <w:link w:val="FootnoteText"/>
    <w:semiHidden/>
    <w:rsid w:val="0040740E"/>
  </w:style>
  <w:style w:type="character" w:styleId="FootnoteReference">
    <w:name w:val="footnote reference"/>
    <w:basedOn w:val="DefaultParagraphFont"/>
    <w:semiHidden/>
    <w:unhideWhenUsed/>
    <w:rsid w:val="0040740E"/>
    <w:rPr>
      <w:vertAlign w:val="superscript"/>
    </w:rPr>
  </w:style>
  <w:style w:type="character" w:customStyle="1" w:styleId="FrontPage4">
    <w:name w:val="Front Page 4"/>
    <w:basedOn w:val="DefaultParagraphFont"/>
    <w:uiPriority w:val="1"/>
    <w:qFormat/>
    <w:rsid w:val="00D26E91"/>
    <w:rPr>
      <w:rFonts w:ascii="Verdana" w:hAnsi="Verdana" w:cs="Times New Roman"/>
      <w:b/>
      <w:sz w:val="48"/>
      <w:vertAlign w:val="superscript"/>
    </w:rPr>
  </w:style>
  <w:style w:type="paragraph" w:customStyle="1" w:styleId="BulletedList">
    <w:name w:val="Bulleted List"/>
    <w:basedOn w:val="Normal"/>
    <w:uiPriority w:val="3"/>
    <w:qFormat/>
    <w:rsid w:val="008D1F1F"/>
    <w:pPr>
      <w:numPr>
        <w:numId w:val="29"/>
      </w:numPr>
      <w:spacing w:after="240" w:line="276" w:lineRule="auto"/>
      <w:ind w:left="357" w:hanging="357"/>
      <w:contextualSpacing/>
    </w:pPr>
    <w:rPr>
      <w:rFonts w:ascii="Candara" w:eastAsiaTheme="majorEastAsia" w:hAnsi="Candara" w:cstheme="majorBidi"/>
      <w:szCs w:val="22"/>
      <w:lang w:eastAsia="en-US"/>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basedOn w:val="DefaultParagraphFont"/>
    <w:link w:val="Caption"/>
    <w:uiPriority w:val="35"/>
    <w:rsid w:val="008D1F1F"/>
    <w:rPr>
      <w:rFonts w:ascii="Calibri" w:hAnsi="Calibri"/>
      <w:i/>
      <w:iCs/>
      <w:color w:val="000000" w:themeColor="text1"/>
      <w:sz w:val="18"/>
      <w:szCs w:val="18"/>
    </w:rPr>
  </w:style>
  <w:style w:type="paragraph" w:customStyle="1" w:styleId="TableNotes0">
    <w:name w:val="Table Notes"/>
    <w:basedOn w:val="Normal"/>
    <w:link w:val="TableNotesChar"/>
    <w:uiPriority w:val="6"/>
    <w:qFormat/>
    <w:rsid w:val="00A6388B"/>
    <w:pPr>
      <w:spacing w:after="40" w:line="276" w:lineRule="auto"/>
    </w:pPr>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0"/>
    <w:uiPriority w:val="6"/>
    <w:locked/>
    <w:rsid w:val="00A6388B"/>
    <w:rPr>
      <w:rFonts w:ascii="Arial Narrow" w:eastAsiaTheme="majorEastAsia" w:hAnsi="Arial Narrow" w:cstheme="majorBidi"/>
      <w:sz w:val="16"/>
      <w:szCs w:val="22"/>
      <w:lang w:eastAsia="en-US"/>
    </w:rPr>
  </w:style>
  <w:style w:type="table" w:customStyle="1" w:styleId="RTIAMCPTable1">
    <w:name w:val="RTI AMCP Table1"/>
    <w:basedOn w:val="TableNormal"/>
    <w:next w:val="TableGrid"/>
    <w:uiPriority w:val="59"/>
    <w:rsid w:val="00A6388B"/>
    <w:rPr>
      <w:rFonts w:ascii="Arial Narrow" w:eastAsiaTheme="majorEastAsia" w:hAnsi="Arial Narrow" w:cstheme="majorBidi"/>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502B3E"/>
    <w:rPr>
      <w:rFonts w:ascii="Arial Narrow" w:eastAsiaTheme="majorEastAsia"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936D84"/>
    <w:pPr>
      <w:spacing w:before="100" w:beforeAutospacing="1" w:after="100" w:afterAutospacing="1"/>
    </w:pPr>
  </w:style>
  <w:style w:type="paragraph" w:styleId="Revision">
    <w:name w:val="Revision"/>
    <w:hidden/>
    <w:uiPriority w:val="71"/>
    <w:semiHidden/>
    <w:rsid w:val="00B00C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44013067">
      <w:bodyDiv w:val="1"/>
      <w:marLeft w:val="0"/>
      <w:marRight w:val="0"/>
      <w:marTop w:val="0"/>
      <w:marBottom w:val="0"/>
      <w:divBdr>
        <w:top w:val="none" w:sz="0" w:space="0" w:color="auto"/>
        <w:left w:val="none" w:sz="0" w:space="0" w:color="auto"/>
        <w:bottom w:val="none" w:sz="0" w:space="0" w:color="auto"/>
        <w:right w:val="none" w:sz="0" w:space="0" w:color="auto"/>
      </w:divBdr>
    </w:div>
    <w:div w:id="245455660">
      <w:bodyDiv w:val="1"/>
      <w:marLeft w:val="0"/>
      <w:marRight w:val="0"/>
      <w:marTop w:val="0"/>
      <w:marBottom w:val="0"/>
      <w:divBdr>
        <w:top w:val="none" w:sz="0" w:space="0" w:color="auto"/>
        <w:left w:val="none" w:sz="0" w:space="0" w:color="auto"/>
        <w:bottom w:val="none" w:sz="0" w:space="0" w:color="auto"/>
        <w:right w:val="none" w:sz="0" w:space="0" w:color="auto"/>
      </w:divBdr>
    </w:div>
    <w:div w:id="530415213">
      <w:bodyDiv w:val="1"/>
      <w:marLeft w:val="0"/>
      <w:marRight w:val="0"/>
      <w:marTop w:val="0"/>
      <w:marBottom w:val="0"/>
      <w:divBdr>
        <w:top w:val="none" w:sz="0" w:space="0" w:color="auto"/>
        <w:left w:val="none" w:sz="0" w:space="0" w:color="auto"/>
        <w:bottom w:val="none" w:sz="0" w:space="0" w:color="auto"/>
        <w:right w:val="none" w:sz="0" w:space="0" w:color="auto"/>
      </w:divBdr>
    </w:div>
    <w:div w:id="627587295">
      <w:bodyDiv w:val="1"/>
      <w:marLeft w:val="0"/>
      <w:marRight w:val="0"/>
      <w:marTop w:val="0"/>
      <w:marBottom w:val="0"/>
      <w:divBdr>
        <w:top w:val="none" w:sz="0" w:space="0" w:color="auto"/>
        <w:left w:val="none" w:sz="0" w:space="0" w:color="auto"/>
        <w:bottom w:val="none" w:sz="0" w:space="0" w:color="auto"/>
        <w:right w:val="none" w:sz="0" w:space="0" w:color="auto"/>
      </w:divBdr>
    </w:div>
    <w:div w:id="70722063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27423093">
      <w:bodyDiv w:val="1"/>
      <w:marLeft w:val="0"/>
      <w:marRight w:val="0"/>
      <w:marTop w:val="0"/>
      <w:marBottom w:val="0"/>
      <w:divBdr>
        <w:top w:val="none" w:sz="0" w:space="0" w:color="auto"/>
        <w:left w:val="none" w:sz="0" w:space="0" w:color="auto"/>
        <w:bottom w:val="none" w:sz="0" w:space="0" w:color="auto"/>
        <w:right w:val="none" w:sz="0" w:space="0" w:color="auto"/>
      </w:divBdr>
    </w:div>
    <w:div w:id="102806682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Con13</b:Tag>
    <b:SourceType>JournalArticle</b:SourceType>
    <b:Guid>{DD379F28-D08D-4132-A3FE-9B4FED358221}</b:Guid>
    <b:Author>
      <b:Author>
        <b:NameList>
          <b:Person>
            <b:Last>Connor</b:Last>
            <b:First>J.</b:First>
            <b:Middle>and Buck, P.</b:Middle>
          </b:Person>
        </b:NameList>
      </b:Author>
    </b:Author>
    <b:Title>Improving asthma management: The case for Madatory Inclusion of Dose counters on all rescure bronchodilators</b:Title>
    <b:JournalName>Journal of Asthma</b:JournalName>
    <b:Year>2013</b:Year>
    <b:Pages>658-663</b:Pages>
    <b:Volume>6</b:Volume>
    <b:Issue>50</b:Issue>
    <b:RefOrder>2</b:RefOrder>
  </b:Source>
  <b:Source>
    <b:Tag>San06</b:Tag>
    <b:SourceType>JournalArticle</b:SourceType>
    <b:Guid>{E1EE23B5-555E-405F-95C8-C7DBA7EC5C76}</b:Guid>
    <b:Author>
      <b:Author>
        <b:NameList>
          <b:Person>
            <b:Last>Sander</b:Last>
            <b:First>N.</b:First>
            <b:Middle>Fusco-Walker,S. Harder, J. Chipps, B.</b:Middle>
          </b:Person>
        </b:NameList>
      </b:Author>
    </b:Author>
    <b:Title>Dose counting and the use of pressurized metered-dose inhalers: running on empty.</b:Title>
    <b:JournalName>Ann Allergy Asthma Immunology</b:JournalName>
    <b:Year>2006</b:Year>
    <b:Pages>34-38</b:Pages>
    <b:Volume>97</b:Volume>
    <b:RefOrder>3</b:RefOrder>
  </b:Source>
  <b:Source>
    <b:Tag>Sch94</b:Tag>
    <b:SourceType>JournalArticle</b:SourceType>
    <b:Guid>{9E7C7F10-9A14-4C9D-BBC4-748B07271FBE}</b:Guid>
    <b:Author>
      <b:Author>
        <b:NameList>
          <b:Person>
            <b:Last>Schultz</b:Last>
            <b:First>RK.</b:First>
          </b:Person>
        </b:NameList>
      </b:Author>
    </b:Author>
    <b:Title>Drug delivery characteristics of metered-dose inhalers</b:Title>
    <b:JournalName>Journal of Allergyu and Clinincal Immunology</b:JournalName>
    <b:Year>1994</b:Year>
    <b:Volume>96</b:Volume>
    <b:Issue>2</b:Issue>
    <b:RefOrder>1</b:RefOrder>
  </b:Source>
  <b:Source>
    <b:Tag>Sto15</b:Tag>
    <b:SourceType>JournalArticle</b:SourceType>
    <b:Guid>{24BEE47D-833D-4D68-8E13-5B712F58FBE9}</b:Guid>
    <b:Author>
      <b:Author>
        <b:NameList>
          <b:Person>
            <b:Last>Storms</b:Last>
            <b:First>W.</b:First>
            <b:Middle>Tringale, M. Ferro,T.</b:Middle>
          </b:Person>
        </b:NameList>
      </b:Author>
    </b:Author>
    <b:Title>The impact of expired and empty quick-relief asthma inhalers: The Asthma and Allergy Foundation of America's Asthma inhaler design survey.</b:Title>
    <b:JournalName>Allergy Asthma Proc</b:JournalName>
    <b:Year>2015</b:Year>
    <b:Pages>300-305</b:Pages>
    <b:Volume>36</b:Volume>
    <b:RefOrder>4</b:RefOrder>
  </b:Source>
</b:Sources>
</file>

<file path=customXml/itemProps1.xml><?xml version="1.0" encoding="utf-8"?>
<ds:datastoreItem xmlns:ds="http://schemas.openxmlformats.org/officeDocument/2006/customXml" ds:itemID="{B38C154B-8ADD-4498-8E15-8058A04F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4321</Words>
  <Characters>25138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2020-02-18T05:59:00Z</dcterms:created>
  <dcterms:modified xsi:type="dcterms:W3CDTF">2020-02-26T04:30:00Z</dcterms:modified>
</cp:coreProperties>
</file>