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05" w:rsidRDefault="005A7705" w:rsidP="00A310D4">
      <w:pPr>
        <w:tabs>
          <w:tab w:val="left" w:pos="3105"/>
        </w:tabs>
        <w:ind w:left="720" w:hanging="720"/>
        <w:outlineLvl w:val="0"/>
        <w:rPr>
          <w:rFonts w:ascii="Calibri" w:eastAsia="Calibri" w:hAnsi="Calibri"/>
          <w:b/>
          <w:sz w:val="36"/>
          <w:szCs w:val="36"/>
          <w:lang w:eastAsia="en-US"/>
        </w:rPr>
      </w:pPr>
    </w:p>
    <w:p w:rsidR="006552E6" w:rsidRPr="008A06F4" w:rsidRDefault="005006A1" w:rsidP="008A06F4">
      <w:pPr>
        <w:ind w:left="720" w:hanging="720"/>
        <w:outlineLvl w:val="0"/>
        <w:rPr>
          <w:rFonts w:ascii="Calibri" w:eastAsia="Calibri" w:hAnsi="Calibri"/>
          <w:b/>
          <w:sz w:val="36"/>
          <w:szCs w:val="36"/>
          <w:lang w:eastAsia="en-US"/>
        </w:rPr>
      </w:pPr>
      <w:r>
        <w:rPr>
          <w:rFonts w:ascii="Calibri" w:eastAsia="Calibri" w:hAnsi="Calibri"/>
          <w:b/>
          <w:sz w:val="36"/>
          <w:szCs w:val="36"/>
          <w:lang w:eastAsia="en-US"/>
        </w:rPr>
        <w:t>7.12</w:t>
      </w:r>
      <w:r w:rsidR="00BF27A0" w:rsidRPr="00BF27A0">
        <w:rPr>
          <w:rFonts w:ascii="Calibri" w:eastAsia="Calibri" w:hAnsi="Calibri"/>
          <w:b/>
          <w:sz w:val="36"/>
          <w:szCs w:val="36"/>
          <w:lang w:eastAsia="en-US"/>
        </w:rPr>
        <w:tab/>
      </w:r>
      <w:r>
        <w:rPr>
          <w:rFonts w:ascii="Calibri" w:eastAsia="Calibri" w:hAnsi="Calibri"/>
          <w:b/>
          <w:sz w:val="36"/>
          <w:szCs w:val="36"/>
          <w:lang w:eastAsia="en-US"/>
        </w:rPr>
        <w:t>PEMBROLIZUMAB</w:t>
      </w:r>
      <w:r w:rsidR="00BF27A0" w:rsidRPr="00BF27A0">
        <w:rPr>
          <w:rFonts w:ascii="Calibri" w:eastAsia="Calibri" w:hAnsi="Calibri"/>
          <w:b/>
          <w:sz w:val="36"/>
          <w:szCs w:val="36"/>
          <w:lang w:eastAsia="en-US"/>
        </w:rPr>
        <w:t>,</w:t>
      </w:r>
      <w:r w:rsidR="008A06F4">
        <w:rPr>
          <w:rFonts w:ascii="Calibri" w:eastAsia="Calibri" w:hAnsi="Calibri"/>
          <w:b/>
          <w:sz w:val="36"/>
          <w:szCs w:val="36"/>
          <w:lang w:eastAsia="en-US"/>
        </w:rPr>
        <w:t xml:space="preserve"> </w:t>
      </w:r>
      <w:r w:rsidR="008A06F4">
        <w:rPr>
          <w:rFonts w:ascii="Calibri" w:eastAsia="Calibri" w:hAnsi="Calibri"/>
          <w:b/>
          <w:sz w:val="36"/>
          <w:szCs w:val="36"/>
          <w:lang w:eastAsia="en-US"/>
        </w:rPr>
        <w:br/>
      </w:r>
      <w:r>
        <w:rPr>
          <w:rFonts w:ascii="Calibri" w:eastAsia="Calibri" w:hAnsi="Calibri"/>
          <w:b/>
          <w:sz w:val="36"/>
          <w:szCs w:val="36"/>
          <w:lang w:eastAsia="en-US"/>
        </w:rPr>
        <w:t>Solution concentrate f</w:t>
      </w:r>
      <w:r w:rsidR="008A06F4">
        <w:rPr>
          <w:rFonts w:ascii="Calibri" w:eastAsia="Calibri" w:hAnsi="Calibri"/>
          <w:b/>
          <w:sz w:val="36"/>
          <w:szCs w:val="36"/>
          <w:lang w:eastAsia="en-US"/>
        </w:rPr>
        <w:t xml:space="preserve">or I.V. infusion 100 mg in 4 mL, </w:t>
      </w:r>
      <w:r w:rsidR="008A06F4">
        <w:rPr>
          <w:rFonts w:ascii="Calibri" w:eastAsia="Calibri" w:hAnsi="Calibri"/>
          <w:b/>
          <w:sz w:val="36"/>
          <w:szCs w:val="36"/>
          <w:lang w:eastAsia="en-US"/>
        </w:rPr>
        <w:br/>
      </w:r>
      <w:proofErr w:type="spellStart"/>
      <w:r>
        <w:rPr>
          <w:rFonts w:ascii="Calibri" w:eastAsia="Calibri" w:hAnsi="Calibri"/>
          <w:b/>
          <w:sz w:val="36"/>
          <w:szCs w:val="36"/>
          <w:lang w:eastAsia="en-US"/>
        </w:rPr>
        <w:t>Keytruda</w:t>
      </w:r>
      <w:proofErr w:type="spellEnd"/>
      <w:r>
        <w:rPr>
          <w:rFonts w:ascii="Calibri" w:eastAsia="Calibri" w:hAnsi="Calibri" w:cs="Calibri"/>
          <w:b/>
          <w:sz w:val="36"/>
          <w:szCs w:val="36"/>
          <w:lang w:eastAsia="en-US"/>
        </w:rPr>
        <w:t>®</w:t>
      </w:r>
      <w:r w:rsidR="00BF27A0" w:rsidRPr="00BF27A0">
        <w:rPr>
          <w:rFonts w:ascii="Calibri" w:eastAsia="Calibri" w:hAnsi="Calibri"/>
          <w:b/>
          <w:sz w:val="36"/>
          <w:szCs w:val="36"/>
          <w:lang w:eastAsia="en-US"/>
        </w:rPr>
        <w:t>,</w:t>
      </w:r>
      <w:r w:rsidR="008A06F4">
        <w:rPr>
          <w:rFonts w:ascii="Calibri" w:eastAsia="Calibri" w:hAnsi="Calibri"/>
          <w:b/>
          <w:sz w:val="36"/>
          <w:szCs w:val="36"/>
          <w:lang w:eastAsia="en-US"/>
        </w:rPr>
        <w:t xml:space="preserve"> </w:t>
      </w:r>
      <w:r w:rsidR="008A06F4">
        <w:rPr>
          <w:rFonts w:ascii="Calibri" w:eastAsia="Calibri" w:hAnsi="Calibri"/>
          <w:b/>
          <w:sz w:val="36"/>
          <w:szCs w:val="36"/>
          <w:lang w:eastAsia="en-US"/>
        </w:rPr>
        <w:br/>
      </w:r>
      <w:r>
        <w:rPr>
          <w:rFonts w:ascii="Calibri" w:eastAsia="Calibri" w:hAnsi="Calibri"/>
          <w:b/>
          <w:sz w:val="36"/>
          <w:szCs w:val="36"/>
          <w:lang w:eastAsia="en-US"/>
        </w:rPr>
        <w:t xml:space="preserve">Merck Sharp &amp; </w:t>
      </w:r>
      <w:proofErr w:type="spellStart"/>
      <w:r>
        <w:rPr>
          <w:rFonts w:ascii="Calibri" w:eastAsia="Calibri" w:hAnsi="Calibri"/>
          <w:b/>
          <w:sz w:val="36"/>
          <w:szCs w:val="36"/>
          <w:lang w:eastAsia="en-US"/>
        </w:rPr>
        <w:t>Dohme</w:t>
      </w:r>
      <w:proofErr w:type="spellEnd"/>
      <w:r>
        <w:rPr>
          <w:rFonts w:ascii="Calibri" w:eastAsia="Calibri" w:hAnsi="Calibri"/>
          <w:b/>
          <w:sz w:val="36"/>
          <w:szCs w:val="36"/>
          <w:lang w:eastAsia="en-US"/>
        </w:rPr>
        <w:t xml:space="preserve"> (Australia) Pty Ltd.</w:t>
      </w:r>
    </w:p>
    <w:p w:rsidR="008A50F1" w:rsidRPr="00D4572C" w:rsidRDefault="00CE10C4" w:rsidP="00342A3F">
      <w:pPr>
        <w:pStyle w:val="2Sections"/>
        <w:numPr>
          <w:ilvl w:val="0"/>
          <w:numId w:val="19"/>
        </w:numPr>
      </w:pPr>
      <w:r w:rsidRPr="0033263D">
        <w:t xml:space="preserve">Purpose of </w:t>
      </w:r>
      <w:r w:rsidR="0004240E" w:rsidRPr="0033263D">
        <w:t>Application</w:t>
      </w:r>
      <w:r w:rsidR="00034905">
        <w:t xml:space="preserve"> </w:t>
      </w:r>
    </w:p>
    <w:p w:rsidR="006A12A5" w:rsidRDefault="00EF44A0" w:rsidP="00342A3F">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The mi</w:t>
      </w:r>
      <w:r w:rsidR="00FF2801" w:rsidRPr="001B2BBC">
        <w:rPr>
          <w:rFonts w:asciiTheme="minorHAnsi" w:eastAsiaTheme="minorHAnsi" w:hAnsiTheme="minorHAnsi" w:cstheme="minorBidi"/>
          <w:snapToGrid/>
          <w:sz w:val="24"/>
          <w:szCs w:val="22"/>
        </w:rPr>
        <w:t xml:space="preserve">nor </w:t>
      </w:r>
      <w:r w:rsidR="00701DC3">
        <w:rPr>
          <w:rFonts w:asciiTheme="minorHAnsi" w:eastAsiaTheme="minorHAnsi" w:hAnsiTheme="minorHAnsi" w:cstheme="minorBidi"/>
          <w:snapToGrid/>
          <w:sz w:val="24"/>
          <w:szCs w:val="22"/>
        </w:rPr>
        <w:t>re</w:t>
      </w:r>
      <w:r w:rsidR="00FF2801" w:rsidRPr="001B2BBC">
        <w:rPr>
          <w:rFonts w:asciiTheme="minorHAnsi" w:eastAsiaTheme="minorHAnsi" w:hAnsiTheme="minorHAnsi" w:cstheme="minorBidi"/>
          <w:snapToGrid/>
          <w:sz w:val="24"/>
          <w:szCs w:val="22"/>
        </w:rPr>
        <w:t xml:space="preserve">submission sought </w:t>
      </w:r>
      <w:r w:rsidR="00701DC3">
        <w:rPr>
          <w:rFonts w:asciiTheme="minorHAnsi" w:eastAsiaTheme="minorHAnsi" w:hAnsiTheme="minorHAnsi" w:cstheme="minorBidi"/>
          <w:snapToGrid/>
          <w:sz w:val="24"/>
          <w:szCs w:val="22"/>
        </w:rPr>
        <w:t xml:space="preserve">address the </w:t>
      </w:r>
      <w:r w:rsidR="00CA36B6">
        <w:rPr>
          <w:rFonts w:asciiTheme="minorHAnsi" w:eastAsiaTheme="minorHAnsi" w:hAnsiTheme="minorHAnsi" w:cstheme="minorBidi"/>
          <w:snapToGrid/>
          <w:sz w:val="24"/>
          <w:szCs w:val="22"/>
        </w:rPr>
        <w:t xml:space="preserve">outstanding economic and financial areas of concern relating to the previous submission of </w:t>
      </w:r>
      <w:proofErr w:type="spellStart"/>
      <w:r w:rsidR="00CA36B6">
        <w:rPr>
          <w:rFonts w:asciiTheme="minorHAnsi" w:eastAsiaTheme="minorHAnsi" w:hAnsiTheme="minorHAnsi" w:cstheme="minorBidi"/>
          <w:snapToGrid/>
          <w:sz w:val="24"/>
          <w:szCs w:val="22"/>
        </w:rPr>
        <w:t>pembrolizumab</w:t>
      </w:r>
      <w:proofErr w:type="spellEnd"/>
      <w:r w:rsidR="00CA36B6">
        <w:rPr>
          <w:rFonts w:asciiTheme="minorHAnsi" w:eastAsiaTheme="minorHAnsi" w:hAnsiTheme="minorHAnsi" w:cstheme="minorBidi"/>
          <w:snapToGrid/>
          <w:sz w:val="24"/>
          <w:szCs w:val="22"/>
        </w:rPr>
        <w:t xml:space="preserve"> as an </w:t>
      </w:r>
      <w:r w:rsidR="00701DC3">
        <w:rPr>
          <w:rFonts w:asciiTheme="minorHAnsi" w:eastAsiaTheme="minorHAnsi" w:hAnsiTheme="minorHAnsi" w:cstheme="minorBidi"/>
          <w:snapToGrid/>
          <w:sz w:val="24"/>
          <w:szCs w:val="22"/>
        </w:rPr>
        <w:t xml:space="preserve">adjuvant treatment of </w:t>
      </w:r>
      <w:r w:rsidR="00CA36B6">
        <w:rPr>
          <w:rFonts w:asciiTheme="minorHAnsi" w:eastAsiaTheme="minorHAnsi" w:hAnsiTheme="minorHAnsi" w:cstheme="minorBidi"/>
          <w:snapToGrid/>
          <w:sz w:val="24"/>
          <w:szCs w:val="22"/>
        </w:rPr>
        <w:t xml:space="preserve">patients with </w:t>
      </w:r>
      <w:r w:rsidR="00701DC3">
        <w:rPr>
          <w:rFonts w:asciiTheme="minorHAnsi" w:eastAsiaTheme="minorHAnsi" w:hAnsiTheme="minorHAnsi" w:cstheme="minorBidi"/>
          <w:snapToGrid/>
          <w:sz w:val="24"/>
          <w:szCs w:val="22"/>
        </w:rPr>
        <w:t>completely resected Stage IIIB, IIIC, and IIID melanoma.</w:t>
      </w:r>
      <w:r w:rsidR="00CA36B6">
        <w:rPr>
          <w:rFonts w:asciiTheme="minorHAnsi" w:eastAsiaTheme="minorHAnsi" w:hAnsiTheme="minorHAnsi" w:cstheme="minorBidi"/>
          <w:snapToGrid/>
          <w:sz w:val="24"/>
          <w:szCs w:val="22"/>
        </w:rPr>
        <w:t xml:space="preserve"> Major submissions were previously considered by the PBAC in November 2018 and July 2019.</w:t>
      </w:r>
    </w:p>
    <w:p w:rsidR="005D0E82" w:rsidRPr="00FD6D8E" w:rsidRDefault="005D0E82" w:rsidP="005D0E82">
      <w:pPr>
        <w:pStyle w:val="2Sections"/>
      </w:pPr>
      <w:r w:rsidRPr="002B5596">
        <w:t>Background</w:t>
      </w:r>
      <w:r>
        <w:t xml:space="preserve"> </w:t>
      </w:r>
    </w:p>
    <w:p w:rsidR="005D0E82" w:rsidRPr="006E7378" w:rsidRDefault="005D0E82" w:rsidP="005D0E82">
      <w:pPr>
        <w:pStyle w:val="Heading2"/>
        <w:spacing w:before="120" w:after="120"/>
      </w:pPr>
      <w:r w:rsidRPr="006E7378">
        <w:t>Registration status</w:t>
      </w:r>
    </w:p>
    <w:p w:rsidR="005D0E82" w:rsidRPr="006E7378" w:rsidRDefault="005D0E82" w:rsidP="005D0E82">
      <w:pPr>
        <w:pStyle w:val="Bodytextitalics"/>
        <w:rPr>
          <w:i w:val="0"/>
        </w:rPr>
      </w:pPr>
      <w:proofErr w:type="spellStart"/>
      <w:r w:rsidRPr="006E7378">
        <w:rPr>
          <w:i w:val="0"/>
        </w:rPr>
        <w:t>Pembrolizumab</w:t>
      </w:r>
      <w:proofErr w:type="spellEnd"/>
      <w:r w:rsidRPr="006E7378">
        <w:rPr>
          <w:i w:val="0"/>
        </w:rPr>
        <w:t xml:space="preserve"> was TGA registered on 17 December 2018</w:t>
      </w:r>
      <w:r w:rsidR="00E44CFA">
        <w:rPr>
          <w:i w:val="0"/>
        </w:rPr>
        <w:t xml:space="preserve"> </w:t>
      </w:r>
      <w:r w:rsidRPr="006E7378">
        <w:rPr>
          <w:i w:val="0"/>
        </w:rPr>
        <w:t>for:</w:t>
      </w:r>
    </w:p>
    <w:p w:rsidR="005D0E82" w:rsidRDefault="005D0E82" w:rsidP="005D0E82">
      <w:pPr>
        <w:pStyle w:val="Bodytextitalics"/>
        <w:numPr>
          <w:ilvl w:val="0"/>
          <w:numId w:val="0"/>
        </w:numPr>
        <w:ind w:left="1440"/>
        <w:jc w:val="both"/>
        <w:rPr>
          <w:i w:val="0"/>
        </w:rPr>
      </w:pPr>
      <w:r w:rsidRPr="006E7378">
        <w:rPr>
          <w:i w:val="0"/>
        </w:rPr>
        <w:t xml:space="preserve">“Monotherapy for the adjuvant treatment of patients with melanoma with lymph node involvement who have undergone complete resection.” </w:t>
      </w:r>
    </w:p>
    <w:p w:rsidR="005D0E82" w:rsidRPr="00AF2388" w:rsidRDefault="005D0E82" w:rsidP="005D0E82">
      <w:pPr>
        <w:pStyle w:val="3Bodytext"/>
        <w:jc w:val="both"/>
        <w:rPr>
          <w:i/>
        </w:rPr>
      </w:pPr>
      <w:r>
        <w:t xml:space="preserve">A proposal for a six weekly dosing regimen (400 mg every six weeks), as an alternative to the 200 mg every three week regimen, has been submitted to the TGA. The Delegate’s Overview considered that the six weekly dosing regimen was supported in patients with melanoma and as monotherapy in patients with non-small cell lung cancer. </w:t>
      </w:r>
    </w:p>
    <w:p w:rsidR="005D0E82" w:rsidRDefault="005D0E82" w:rsidP="005D0E82">
      <w:pPr>
        <w:pStyle w:val="3Bodytext"/>
        <w:jc w:val="both"/>
        <w:rPr>
          <w:i/>
        </w:rPr>
      </w:pPr>
      <w:r>
        <w:t xml:space="preserve">The Sponsor indicated that it is intending to submit a PBAC application to include the six weekly dosing regimen as an alternative to the three weekly regimen for all current and future PBS indications. </w:t>
      </w:r>
    </w:p>
    <w:p w:rsidR="005D0E82" w:rsidRDefault="005D0E82" w:rsidP="005D0E82">
      <w:pPr>
        <w:pStyle w:val="Heading2"/>
        <w:spacing w:before="120" w:after="120"/>
      </w:pPr>
      <w:r w:rsidRPr="0012749D">
        <w:t xml:space="preserve">Previous PBAC consideration </w:t>
      </w:r>
    </w:p>
    <w:p w:rsidR="005D0E82" w:rsidRPr="00055C70" w:rsidRDefault="005D0E82" w:rsidP="005D0E82">
      <w:pPr>
        <w:pStyle w:val="3Bodytext"/>
        <w:jc w:val="both"/>
      </w:pPr>
      <w:r w:rsidRPr="00055C70">
        <w:t xml:space="preserve">Two major submission for </w:t>
      </w:r>
      <w:proofErr w:type="spellStart"/>
      <w:r w:rsidRPr="00055C70">
        <w:t>pembrolizumab</w:t>
      </w:r>
      <w:proofErr w:type="spellEnd"/>
      <w:r w:rsidRPr="00055C70">
        <w:t xml:space="preserve"> as an adjuvant melanoma treatment were considered by the PBAC at its November 2018 and July 2019 meetings.</w:t>
      </w:r>
    </w:p>
    <w:p w:rsidR="005D0E82" w:rsidRPr="00055C70" w:rsidRDefault="005D0E82" w:rsidP="005D0E82">
      <w:pPr>
        <w:pStyle w:val="3Bodytext"/>
        <w:jc w:val="both"/>
      </w:pPr>
      <w:r w:rsidRPr="00055C70">
        <w:t xml:space="preserve">The PBAC has previously considered that </w:t>
      </w:r>
      <w:proofErr w:type="spellStart"/>
      <w:r w:rsidRPr="00055C70">
        <w:t>pembrolizumab</w:t>
      </w:r>
      <w:proofErr w:type="spellEnd"/>
      <w:r w:rsidRPr="00055C70">
        <w:t xml:space="preserve"> was superior compared to </w:t>
      </w:r>
      <w:proofErr w:type="gramStart"/>
      <w:r w:rsidRPr="00055C70">
        <w:t>placebo</w:t>
      </w:r>
      <w:proofErr w:type="gramEnd"/>
      <w:r w:rsidRPr="00055C70">
        <w:t xml:space="preserve"> in terms of recurrence free survival but, due to the immaturity of the data (no overall survival data was available), the magnitude of the treatment effect was highly uncertain (paragraph 7.6, </w:t>
      </w:r>
      <w:proofErr w:type="spellStart"/>
      <w:r w:rsidRPr="00055C70">
        <w:t>Pembrolizumab</w:t>
      </w:r>
      <w:proofErr w:type="spellEnd"/>
      <w:r w:rsidRPr="00055C70">
        <w:t xml:space="preserve"> ratified minutes, July 2019).</w:t>
      </w:r>
    </w:p>
    <w:p w:rsidR="005D0E82" w:rsidRPr="00055C70" w:rsidRDefault="005D0E82" w:rsidP="005D0E82">
      <w:pPr>
        <w:pStyle w:val="3Bodytext"/>
        <w:jc w:val="both"/>
      </w:pPr>
      <w:r w:rsidRPr="00055C70">
        <w:t xml:space="preserve">The PBAC has previously considered that </w:t>
      </w:r>
      <w:proofErr w:type="spellStart"/>
      <w:r w:rsidRPr="00055C70">
        <w:t>pembrolizumab</w:t>
      </w:r>
      <w:proofErr w:type="spellEnd"/>
      <w:r w:rsidRPr="00055C70">
        <w:t xml:space="preserve"> was inferior compared to placebo in terms of safety, but that the safety profile was manageable (paragraph 7.8, </w:t>
      </w:r>
      <w:proofErr w:type="spellStart"/>
      <w:r w:rsidRPr="00055C70">
        <w:t>Pembrolizumab</w:t>
      </w:r>
      <w:proofErr w:type="spellEnd"/>
      <w:r w:rsidRPr="00055C70">
        <w:t xml:space="preserve"> ratified minutes, July 2019).</w:t>
      </w:r>
    </w:p>
    <w:p w:rsidR="005D0E82" w:rsidRPr="00055C70" w:rsidRDefault="005D0E82" w:rsidP="005D0E82">
      <w:pPr>
        <w:pStyle w:val="3Bodytext"/>
        <w:jc w:val="both"/>
      </w:pPr>
      <w:r w:rsidRPr="00055C70">
        <w:lastRenderedPageBreak/>
        <w:t>The key issues identified in the July 2019 minutes and how they have been addressed in this minor resubmission are presented below.</w:t>
      </w:r>
    </w:p>
    <w:p w:rsidR="005D0E82" w:rsidRPr="00D70D16" w:rsidRDefault="005D0E82" w:rsidP="005D0E82">
      <w:pPr>
        <w:pStyle w:val="3Bodytext"/>
        <w:numPr>
          <w:ilvl w:val="0"/>
          <w:numId w:val="0"/>
        </w:numPr>
        <w:spacing w:after="0"/>
        <w:jc w:val="both"/>
        <w:rPr>
          <w:rFonts w:ascii="Arial Narrow" w:hAnsi="Arial Narrow"/>
          <w:b/>
          <w:sz w:val="20"/>
          <w:szCs w:val="20"/>
        </w:rPr>
      </w:pPr>
      <w:r w:rsidRPr="00D70D16">
        <w:rPr>
          <w:rFonts w:ascii="Arial Narrow" w:hAnsi="Arial Narrow"/>
          <w:b/>
          <w:sz w:val="20"/>
          <w:szCs w:val="20"/>
        </w:rPr>
        <w:t xml:space="preserve">Table </w:t>
      </w:r>
      <w:r>
        <w:rPr>
          <w:rFonts w:ascii="Arial Narrow" w:hAnsi="Arial Narrow"/>
          <w:b/>
          <w:sz w:val="20"/>
          <w:szCs w:val="20"/>
        </w:rPr>
        <w:t>1</w:t>
      </w:r>
      <w:r w:rsidRPr="00D70D16">
        <w:rPr>
          <w:rFonts w:ascii="Arial Narrow" w:hAnsi="Arial Narrow"/>
          <w:b/>
          <w:sz w:val="20"/>
          <w:szCs w:val="20"/>
        </w:rPr>
        <w:t>: Summary of outstanding matters of concern</w:t>
      </w:r>
    </w:p>
    <w:tbl>
      <w:tblPr>
        <w:tblStyle w:val="TableGrid"/>
        <w:tblW w:w="0" w:type="auto"/>
        <w:tblLook w:val="04A0" w:firstRow="1" w:lastRow="0" w:firstColumn="1" w:lastColumn="0" w:noHBand="0" w:noVBand="1"/>
        <w:tblCaption w:val="Table 1: Summary of outstanding matters of concern"/>
      </w:tblPr>
      <w:tblGrid>
        <w:gridCol w:w="6232"/>
        <w:gridCol w:w="2784"/>
      </w:tblGrid>
      <w:tr w:rsidR="005D0E82" w:rsidTr="00643DA7">
        <w:trPr>
          <w:tblHeader/>
        </w:trPr>
        <w:tc>
          <w:tcPr>
            <w:tcW w:w="6232" w:type="dxa"/>
            <w:tcMar>
              <w:left w:w="28" w:type="dxa"/>
              <w:right w:w="28" w:type="dxa"/>
            </w:tcMar>
          </w:tcPr>
          <w:p w:rsidR="005D0E82" w:rsidRPr="00CE233A" w:rsidRDefault="005D0E82" w:rsidP="005D0E82">
            <w:pPr>
              <w:pStyle w:val="3Bodytext"/>
              <w:numPr>
                <w:ilvl w:val="0"/>
                <w:numId w:val="0"/>
              </w:numPr>
              <w:spacing w:after="0"/>
              <w:rPr>
                <w:rFonts w:ascii="Arial Narrow" w:hAnsi="Arial Narrow"/>
                <w:b/>
                <w:sz w:val="20"/>
                <w:szCs w:val="20"/>
              </w:rPr>
            </w:pPr>
            <w:r w:rsidRPr="00CE233A">
              <w:rPr>
                <w:rFonts w:ascii="Arial Narrow" w:hAnsi="Arial Narrow"/>
                <w:b/>
                <w:sz w:val="20"/>
                <w:szCs w:val="20"/>
              </w:rPr>
              <w:t>Issue identified in July 2019 minutes</w:t>
            </w:r>
          </w:p>
        </w:tc>
        <w:tc>
          <w:tcPr>
            <w:tcW w:w="2784" w:type="dxa"/>
            <w:tcMar>
              <w:left w:w="28" w:type="dxa"/>
              <w:right w:w="28" w:type="dxa"/>
            </w:tcMar>
          </w:tcPr>
          <w:p w:rsidR="005D0E82" w:rsidRPr="00CE233A" w:rsidRDefault="005D0E82" w:rsidP="005D0E82">
            <w:pPr>
              <w:pStyle w:val="3Bodytext"/>
              <w:numPr>
                <w:ilvl w:val="0"/>
                <w:numId w:val="0"/>
              </w:numPr>
              <w:spacing w:after="0"/>
              <w:rPr>
                <w:rFonts w:ascii="Arial Narrow" w:hAnsi="Arial Narrow"/>
                <w:b/>
                <w:sz w:val="20"/>
                <w:szCs w:val="20"/>
              </w:rPr>
            </w:pPr>
            <w:r>
              <w:rPr>
                <w:rFonts w:ascii="Arial Narrow" w:hAnsi="Arial Narrow"/>
                <w:b/>
                <w:sz w:val="20"/>
                <w:szCs w:val="20"/>
              </w:rPr>
              <w:t>How issue wa</w:t>
            </w:r>
            <w:r w:rsidRPr="00CE233A">
              <w:rPr>
                <w:rFonts w:ascii="Arial Narrow" w:hAnsi="Arial Narrow"/>
                <w:b/>
                <w:sz w:val="20"/>
                <w:szCs w:val="20"/>
              </w:rPr>
              <w:t>s addressed in the November 2019 minor resubmission</w:t>
            </w:r>
          </w:p>
        </w:tc>
      </w:tr>
      <w:tr w:rsidR="005D0E82" w:rsidTr="00643DA7">
        <w:tc>
          <w:tcPr>
            <w:tcW w:w="9016" w:type="dxa"/>
            <w:gridSpan w:val="2"/>
            <w:tcMar>
              <w:left w:w="28" w:type="dxa"/>
              <w:right w:w="28" w:type="dxa"/>
            </w:tcMar>
          </w:tcPr>
          <w:p w:rsidR="005D0E82" w:rsidRPr="00CE233A" w:rsidRDefault="005D0E82" w:rsidP="005D0E82">
            <w:pPr>
              <w:pStyle w:val="3Bodytext"/>
              <w:numPr>
                <w:ilvl w:val="0"/>
                <w:numId w:val="0"/>
              </w:numPr>
              <w:spacing w:after="0"/>
              <w:rPr>
                <w:rFonts w:ascii="Arial Narrow" w:hAnsi="Arial Narrow"/>
                <w:b/>
                <w:sz w:val="20"/>
                <w:szCs w:val="20"/>
              </w:rPr>
            </w:pPr>
            <w:r w:rsidRPr="00CE233A">
              <w:rPr>
                <w:rFonts w:ascii="Arial Narrow" w:hAnsi="Arial Narrow"/>
                <w:b/>
                <w:sz w:val="20"/>
                <w:szCs w:val="20"/>
              </w:rPr>
              <w:t>Economic issues</w:t>
            </w:r>
          </w:p>
        </w:tc>
      </w:tr>
      <w:tr w:rsidR="005D0E82" w:rsidTr="00643DA7">
        <w:tc>
          <w:tcPr>
            <w:tcW w:w="6232" w:type="dxa"/>
            <w:tcMar>
              <w:left w:w="28" w:type="dxa"/>
              <w:right w:w="28" w:type="dxa"/>
            </w:tcMar>
          </w:tcPr>
          <w:p w:rsidR="005D0E82" w:rsidRDefault="005D0E82" w:rsidP="005D0E82">
            <w:pPr>
              <w:pStyle w:val="3Bodytext"/>
              <w:numPr>
                <w:ilvl w:val="0"/>
                <w:numId w:val="0"/>
              </w:numPr>
              <w:spacing w:after="0"/>
              <w:rPr>
                <w:rFonts w:ascii="Arial Narrow" w:hAnsi="Arial Narrow"/>
                <w:sz w:val="20"/>
                <w:szCs w:val="20"/>
              </w:rPr>
            </w:pPr>
            <w:r>
              <w:rPr>
                <w:rFonts w:ascii="Arial Narrow" w:hAnsi="Arial Narrow"/>
                <w:sz w:val="20"/>
                <w:szCs w:val="20"/>
              </w:rPr>
              <w:t>There were a number of concerns with the economic model including:</w:t>
            </w:r>
          </w:p>
          <w:p w:rsidR="005D0E82" w:rsidRDefault="005D0E82" w:rsidP="005D0E82">
            <w:pPr>
              <w:pStyle w:val="3Bodytext"/>
              <w:numPr>
                <w:ilvl w:val="0"/>
                <w:numId w:val="28"/>
              </w:numPr>
              <w:spacing w:after="0"/>
              <w:ind w:left="187" w:hanging="187"/>
              <w:rPr>
                <w:rFonts w:ascii="Arial Narrow" w:hAnsi="Arial Narrow"/>
                <w:sz w:val="20"/>
                <w:szCs w:val="20"/>
              </w:rPr>
            </w:pPr>
            <w:r>
              <w:rPr>
                <w:rFonts w:ascii="Arial Narrow" w:hAnsi="Arial Narrow"/>
                <w:sz w:val="20"/>
                <w:szCs w:val="20"/>
              </w:rPr>
              <w:t>The modelled OS estimates were not only underestimated, but clinically implausible;</w:t>
            </w:r>
          </w:p>
          <w:p w:rsidR="005D0E82" w:rsidRDefault="005D0E82" w:rsidP="005D0E82">
            <w:pPr>
              <w:pStyle w:val="3Bodytext"/>
              <w:numPr>
                <w:ilvl w:val="0"/>
                <w:numId w:val="28"/>
              </w:numPr>
              <w:spacing w:after="0"/>
              <w:ind w:left="187" w:hanging="187"/>
              <w:rPr>
                <w:rFonts w:ascii="Arial Narrow" w:hAnsi="Arial Narrow"/>
                <w:sz w:val="20"/>
                <w:szCs w:val="20"/>
              </w:rPr>
            </w:pPr>
            <w:r>
              <w:rPr>
                <w:rFonts w:ascii="Arial Narrow" w:hAnsi="Arial Narrow"/>
                <w:sz w:val="20"/>
                <w:szCs w:val="20"/>
              </w:rPr>
              <w:t>The incorporation of external data into the model to estimate transition probabilities due to the immature trial data introduced substantial uncertainty;</w:t>
            </w:r>
          </w:p>
          <w:p w:rsidR="005D0E82" w:rsidRDefault="005D0E82" w:rsidP="005D0E82">
            <w:pPr>
              <w:pStyle w:val="3Bodytext"/>
              <w:numPr>
                <w:ilvl w:val="0"/>
                <w:numId w:val="28"/>
              </w:numPr>
              <w:spacing w:after="0"/>
              <w:ind w:left="187" w:hanging="187"/>
              <w:rPr>
                <w:rFonts w:ascii="Arial Narrow" w:hAnsi="Arial Narrow"/>
                <w:sz w:val="20"/>
                <w:szCs w:val="20"/>
              </w:rPr>
            </w:pPr>
            <w:r>
              <w:rPr>
                <w:rFonts w:ascii="Arial Narrow" w:hAnsi="Arial Narrow"/>
                <w:sz w:val="20"/>
                <w:szCs w:val="20"/>
              </w:rPr>
              <w:t>The model relied on the surrogate relationship between RFS and OS which remained uncertain; and</w:t>
            </w:r>
          </w:p>
          <w:p w:rsidR="005D0E82" w:rsidRDefault="005D0E82" w:rsidP="005D0E82">
            <w:pPr>
              <w:pStyle w:val="3Bodytext"/>
              <w:numPr>
                <w:ilvl w:val="0"/>
                <w:numId w:val="28"/>
              </w:numPr>
              <w:spacing w:after="0"/>
              <w:ind w:left="187" w:hanging="187"/>
              <w:rPr>
                <w:rFonts w:ascii="Arial Narrow" w:hAnsi="Arial Narrow"/>
                <w:sz w:val="20"/>
                <w:szCs w:val="20"/>
              </w:rPr>
            </w:pPr>
            <w:r>
              <w:rPr>
                <w:rFonts w:ascii="Arial Narrow" w:hAnsi="Arial Narrow"/>
                <w:sz w:val="20"/>
                <w:szCs w:val="20"/>
              </w:rPr>
              <w:t>The relevance of post-recurrence inputs for the adjuvant PEMBRO arm remained uncertain.</w:t>
            </w:r>
          </w:p>
          <w:p w:rsidR="005D0E82" w:rsidRPr="00CE233A" w:rsidRDefault="005D0E82" w:rsidP="005D0E82">
            <w:pPr>
              <w:pStyle w:val="3Bodytext"/>
              <w:numPr>
                <w:ilvl w:val="0"/>
                <w:numId w:val="0"/>
              </w:numPr>
              <w:spacing w:after="0"/>
              <w:rPr>
                <w:rFonts w:ascii="Arial Narrow" w:hAnsi="Arial Narrow"/>
                <w:sz w:val="20"/>
                <w:szCs w:val="20"/>
              </w:rPr>
            </w:pPr>
            <w:r>
              <w:rPr>
                <w:rFonts w:ascii="Arial Narrow" w:hAnsi="Arial Narrow"/>
                <w:sz w:val="20"/>
                <w:szCs w:val="20"/>
              </w:rPr>
              <w:t>(paragraph 7.10)</w:t>
            </w:r>
          </w:p>
        </w:tc>
        <w:tc>
          <w:tcPr>
            <w:tcW w:w="2784" w:type="dxa"/>
            <w:vMerge w:val="restart"/>
            <w:tcMar>
              <w:left w:w="28" w:type="dxa"/>
              <w:right w:w="28" w:type="dxa"/>
            </w:tcMar>
          </w:tcPr>
          <w:p w:rsidR="005D0E82" w:rsidRDefault="005D0E82" w:rsidP="005D0E82">
            <w:pPr>
              <w:pStyle w:val="3Bodytext"/>
              <w:numPr>
                <w:ilvl w:val="0"/>
                <w:numId w:val="0"/>
              </w:numPr>
              <w:spacing w:after="0"/>
              <w:rPr>
                <w:rFonts w:ascii="Arial Narrow" w:hAnsi="Arial Narrow"/>
                <w:sz w:val="20"/>
                <w:szCs w:val="20"/>
              </w:rPr>
            </w:pPr>
            <w:r>
              <w:rPr>
                <w:rFonts w:ascii="Arial Narrow" w:hAnsi="Arial Narrow"/>
                <w:sz w:val="20"/>
                <w:szCs w:val="20"/>
              </w:rPr>
              <w:t>The minor resubmission presented cost-minimisation analyses versus:</w:t>
            </w:r>
          </w:p>
          <w:p w:rsidR="005D0E82" w:rsidRDefault="005D0E82" w:rsidP="005D0E82">
            <w:pPr>
              <w:pStyle w:val="3Bodytext"/>
              <w:numPr>
                <w:ilvl w:val="0"/>
                <w:numId w:val="29"/>
              </w:numPr>
              <w:spacing w:after="0"/>
              <w:ind w:left="187" w:hanging="187"/>
              <w:rPr>
                <w:rFonts w:ascii="Arial Narrow" w:hAnsi="Arial Narrow"/>
                <w:sz w:val="20"/>
                <w:szCs w:val="20"/>
              </w:rPr>
            </w:pPr>
            <w:r>
              <w:rPr>
                <w:rFonts w:ascii="Arial Narrow" w:hAnsi="Arial Narrow"/>
                <w:sz w:val="20"/>
                <w:szCs w:val="20"/>
              </w:rPr>
              <w:t xml:space="preserve">NIVO for all patients; and </w:t>
            </w:r>
          </w:p>
          <w:p w:rsidR="005D0E82" w:rsidRDefault="005D0E82" w:rsidP="005D0E82">
            <w:pPr>
              <w:pStyle w:val="3Bodytext"/>
              <w:numPr>
                <w:ilvl w:val="0"/>
                <w:numId w:val="29"/>
              </w:numPr>
              <w:spacing w:after="0"/>
              <w:ind w:left="187" w:hanging="187"/>
              <w:rPr>
                <w:rFonts w:ascii="Arial Narrow" w:hAnsi="Arial Narrow"/>
                <w:sz w:val="20"/>
                <w:szCs w:val="20"/>
              </w:rPr>
            </w:pPr>
            <w:r>
              <w:rPr>
                <w:rFonts w:ascii="Arial Narrow" w:hAnsi="Arial Narrow"/>
                <w:sz w:val="20"/>
                <w:szCs w:val="20"/>
              </w:rPr>
              <w:t>DAB+TRAM for BRAF +</w:t>
            </w:r>
            <w:proofErr w:type="spellStart"/>
            <w:r>
              <w:rPr>
                <w:rFonts w:ascii="Arial Narrow" w:hAnsi="Arial Narrow"/>
                <w:sz w:val="20"/>
                <w:szCs w:val="20"/>
              </w:rPr>
              <w:t>ve</w:t>
            </w:r>
            <w:proofErr w:type="spellEnd"/>
            <w:r>
              <w:rPr>
                <w:rFonts w:ascii="Arial Narrow" w:hAnsi="Arial Narrow"/>
                <w:sz w:val="20"/>
                <w:szCs w:val="20"/>
              </w:rPr>
              <w:t xml:space="preserve"> patients.</w:t>
            </w:r>
          </w:p>
          <w:p w:rsidR="005D0E82" w:rsidRPr="00CE233A" w:rsidRDefault="005D0E82" w:rsidP="005D0E82">
            <w:pPr>
              <w:pStyle w:val="3Bodytext"/>
              <w:numPr>
                <w:ilvl w:val="0"/>
                <w:numId w:val="0"/>
              </w:numPr>
              <w:spacing w:after="0"/>
              <w:rPr>
                <w:rFonts w:ascii="Arial Narrow" w:hAnsi="Arial Narrow"/>
                <w:sz w:val="20"/>
                <w:szCs w:val="20"/>
              </w:rPr>
            </w:pPr>
          </w:p>
        </w:tc>
      </w:tr>
      <w:tr w:rsidR="005D0E82" w:rsidTr="00643DA7">
        <w:tc>
          <w:tcPr>
            <w:tcW w:w="6232" w:type="dxa"/>
            <w:tcMar>
              <w:left w:w="28" w:type="dxa"/>
              <w:right w:w="28" w:type="dxa"/>
            </w:tcMar>
          </w:tcPr>
          <w:p w:rsidR="005D0E82" w:rsidRPr="00CE233A" w:rsidRDefault="005D0E82" w:rsidP="005D0E82">
            <w:pPr>
              <w:pStyle w:val="3Bodytext"/>
              <w:numPr>
                <w:ilvl w:val="0"/>
                <w:numId w:val="0"/>
              </w:numPr>
              <w:spacing w:after="0"/>
              <w:rPr>
                <w:rFonts w:ascii="Arial Narrow" w:hAnsi="Arial Narrow"/>
                <w:sz w:val="20"/>
                <w:szCs w:val="20"/>
              </w:rPr>
            </w:pPr>
            <w:r>
              <w:rPr>
                <w:rFonts w:ascii="Arial Narrow" w:hAnsi="Arial Narrow"/>
                <w:sz w:val="20"/>
                <w:szCs w:val="20"/>
              </w:rPr>
              <w:t>The modelled gain in QALYs for PEMBRO versus watchful waiting of 1.03 was highly uncertain given on 0.03 QALYs were accrued during the first 16 months of the model time horizon, the median period for which follow up data from KN054 were available (paragraph 7.11)</w:t>
            </w:r>
          </w:p>
        </w:tc>
        <w:tc>
          <w:tcPr>
            <w:tcW w:w="2784" w:type="dxa"/>
            <w:vMerge/>
            <w:tcMar>
              <w:left w:w="28" w:type="dxa"/>
              <w:right w:w="28" w:type="dxa"/>
            </w:tcMar>
          </w:tcPr>
          <w:p w:rsidR="005D0E82" w:rsidRPr="00CE233A" w:rsidRDefault="005D0E82" w:rsidP="005D0E82">
            <w:pPr>
              <w:pStyle w:val="3Bodytext"/>
              <w:numPr>
                <w:ilvl w:val="0"/>
                <w:numId w:val="0"/>
              </w:numPr>
              <w:spacing w:after="0"/>
              <w:rPr>
                <w:rFonts w:ascii="Arial Narrow" w:hAnsi="Arial Narrow"/>
                <w:sz w:val="20"/>
                <w:szCs w:val="20"/>
              </w:rPr>
            </w:pPr>
          </w:p>
        </w:tc>
      </w:tr>
      <w:tr w:rsidR="005D0E82" w:rsidTr="00643DA7">
        <w:tc>
          <w:tcPr>
            <w:tcW w:w="6232" w:type="dxa"/>
            <w:tcMar>
              <w:left w:w="28" w:type="dxa"/>
              <w:right w:w="28" w:type="dxa"/>
            </w:tcMar>
          </w:tcPr>
          <w:p w:rsidR="005D0E82" w:rsidRPr="00CE233A" w:rsidRDefault="005D0E82" w:rsidP="005D0E82">
            <w:pPr>
              <w:pStyle w:val="3Bodytext"/>
              <w:numPr>
                <w:ilvl w:val="0"/>
                <w:numId w:val="0"/>
              </w:numPr>
              <w:spacing w:after="0"/>
              <w:rPr>
                <w:rFonts w:ascii="Arial Narrow" w:hAnsi="Arial Narrow"/>
                <w:sz w:val="20"/>
                <w:szCs w:val="20"/>
              </w:rPr>
            </w:pPr>
            <w:r>
              <w:rPr>
                <w:rFonts w:ascii="Arial Narrow" w:hAnsi="Arial Narrow"/>
                <w:sz w:val="20"/>
                <w:szCs w:val="20"/>
              </w:rPr>
              <w:t>Overall the ICER remained highly uncertain, variable and was most likely underestimated (paragraph 7.12)</w:t>
            </w:r>
          </w:p>
        </w:tc>
        <w:tc>
          <w:tcPr>
            <w:tcW w:w="2784" w:type="dxa"/>
            <w:vMerge/>
            <w:tcMar>
              <w:left w:w="28" w:type="dxa"/>
              <w:right w:w="28" w:type="dxa"/>
            </w:tcMar>
          </w:tcPr>
          <w:p w:rsidR="005D0E82" w:rsidRPr="00CE233A" w:rsidRDefault="005D0E82" w:rsidP="005D0E82">
            <w:pPr>
              <w:pStyle w:val="3Bodytext"/>
              <w:numPr>
                <w:ilvl w:val="0"/>
                <w:numId w:val="0"/>
              </w:numPr>
              <w:spacing w:after="0"/>
              <w:rPr>
                <w:rFonts w:ascii="Arial Narrow" w:hAnsi="Arial Narrow"/>
                <w:sz w:val="20"/>
                <w:szCs w:val="20"/>
              </w:rPr>
            </w:pPr>
          </w:p>
        </w:tc>
      </w:tr>
      <w:tr w:rsidR="005D0E82" w:rsidTr="00643DA7">
        <w:tc>
          <w:tcPr>
            <w:tcW w:w="6232" w:type="dxa"/>
            <w:tcMar>
              <w:left w:w="28" w:type="dxa"/>
              <w:right w:w="28" w:type="dxa"/>
            </w:tcMar>
          </w:tcPr>
          <w:p w:rsidR="005D0E82" w:rsidRPr="007A766B" w:rsidRDefault="005D0E82" w:rsidP="005D0E82">
            <w:pPr>
              <w:widowControl w:val="0"/>
              <w:rPr>
                <w:rFonts w:ascii="Arial Narrow" w:hAnsi="Arial Narrow"/>
                <w:bCs/>
                <w:sz w:val="20"/>
                <w:szCs w:val="20"/>
                <w:lang w:val="en-GB"/>
              </w:rPr>
            </w:pPr>
            <w:r w:rsidRPr="00CE233A">
              <w:rPr>
                <w:rFonts w:ascii="Arial Narrow" w:hAnsi="Arial Narrow"/>
                <w:sz w:val="20"/>
                <w:szCs w:val="20"/>
              </w:rPr>
              <w:t xml:space="preserve">The PBAC considered if </w:t>
            </w:r>
            <w:r>
              <w:rPr>
                <w:rFonts w:ascii="Arial Narrow" w:hAnsi="Arial Narrow"/>
                <w:sz w:val="20"/>
                <w:szCs w:val="20"/>
              </w:rPr>
              <w:t>NIVO</w:t>
            </w:r>
            <w:r w:rsidRPr="00CE233A">
              <w:rPr>
                <w:rFonts w:ascii="Arial Narrow" w:hAnsi="Arial Narrow"/>
                <w:sz w:val="20"/>
                <w:szCs w:val="20"/>
              </w:rPr>
              <w:t xml:space="preserve"> was listed on the PBS for the adjuvant treatment of melanoma, it would be appropriate for </w:t>
            </w:r>
            <w:r>
              <w:rPr>
                <w:rFonts w:ascii="Arial Narrow" w:hAnsi="Arial Narrow"/>
                <w:sz w:val="20"/>
                <w:szCs w:val="20"/>
              </w:rPr>
              <w:t>PEMBRO</w:t>
            </w:r>
            <w:r w:rsidRPr="00CE233A">
              <w:rPr>
                <w:rFonts w:ascii="Arial Narrow" w:hAnsi="Arial Narrow"/>
                <w:sz w:val="20"/>
                <w:szCs w:val="20"/>
              </w:rPr>
              <w:t xml:space="preserve"> to be cost minimised to </w:t>
            </w:r>
            <w:r>
              <w:rPr>
                <w:rFonts w:ascii="Arial Narrow" w:hAnsi="Arial Narrow"/>
                <w:sz w:val="20"/>
                <w:szCs w:val="20"/>
              </w:rPr>
              <w:t>NIVO; if</w:t>
            </w:r>
            <w:r w:rsidRPr="00CE233A">
              <w:rPr>
                <w:rFonts w:ascii="Arial Narrow" w:hAnsi="Arial Narrow"/>
                <w:sz w:val="20"/>
                <w:szCs w:val="20"/>
              </w:rPr>
              <w:t xml:space="preserve"> </w:t>
            </w:r>
            <w:r>
              <w:rPr>
                <w:rFonts w:ascii="Arial Narrow" w:hAnsi="Arial Narrow"/>
                <w:sz w:val="20"/>
                <w:szCs w:val="20"/>
              </w:rPr>
              <w:t>DAB+TRAM</w:t>
            </w:r>
            <w:r w:rsidRPr="00CE233A">
              <w:rPr>
                <w:rFonts w:ascii="Arial Narrow" w:hAnsi="Arial Narrow"/>
                <w:sz w:val="20"/>
                <w:szCs w:val="20"/>
              </w:rPr>
              <w:t xml:space="preserve"> was listed, it would be appropriate for </w:t>
            </w:r>
            <w:r>
              <w:rPr>
                <w:rFonts w:ascii="Arial Narrow" w:hAnsi="Arial Narrow"/>
                <w:sz w:val="20"/>
                <w:szCs w:val="20"/>
              </w:rPr>
              <w:t>PEMBRO</w:t>
            </w:r>
            <w:r w:rsidRPr="00CE233A">
              <w:rPr>
                <w:rFonts w:ascii="Arial Narrow" w:hAnsi="Arial Narrow"/>
                <w:sz w:val="20"/>
                <w:szCs w:val="20"/>
              </w:rPr>
              <w:t xml:space="preserve"> to be cost minimised to </w:t>
            </w:r>
            <w:r>
              <w:rPr>
                <w:rFonts w:ascii="Arial Narrow" w:hAnsi="Arial Narrow"/>
                <w:sz w:val="20"/>
                <w:szCs w:val="20"/>
              </w:rPr>
              <w:t>DAB+TRAM</w:t>
            </w:r>
            <w:r w:rsidRPr="00CE233A">
              <w:rPr>
                <w:rFonts w:ascii="Arial Narrow" w:hAnsi="Arial Narrow"/>
                <w:sz w:val="20"/>
                <w:szCs w:val="20"/>
              </w:rPr>
              <w:t xml:space="preserve"> for the proportion of the population that is BRAF </w:t>
            </w:r>
            <w:r>
              <w:rPr>
                <w:rFonts w:ascii="Arial Narrow" w:hAnsi="Arial Narrow"/>
                <w:sz w:val="20"/>
                <w:szCs w:val="20"/>
              </w:rPr>
              <w:t>+</w:t>
            </w:r>
            <w:proofErr w:type="spellStart"/>
            <w:r>
              <w:rPr>
                <w:rFonts w:ascii="Arial Narrow" w:hAnsi="Arial Narrow"/>
                <w:sz w:val="20"/>
                <w:szCs w:val="20"/>
              </w:rPr>
              <w:t>ve</w:t>
            </w:r>
            <w:proofErr w:type="spellEnd"/>
            <w:r>
              <w:rPr>
                <w:rFonts w:ascii="Arial Narrow" w:hAnsi="Arial Narrow"/>
                <w:bCs/>
                <w:sz w:val="20"/>
                <w:szCs w:val="20"/>
                <w:lang w:val="en-GB"/>
              </w:rPr>
              <w:t xml:space="preserve"> (paragraph 7.13).</w:t>
            </w:r>
          </w:p>
        </w:tc>
        <w:tc>
          <w:tcPr>
            <w:tcW w:w="2784" w:type="dxa"/>
            <w:vMerge/>
            <w:tcMar>
              <w:left w:w="28" w:type="dxa"/>
              <w:right w:w="28" w:type="dxa"/>
            </w:tcMar>
          </w:tcPr>
          <w:p w:rsidR="005D0E82" w:rsidRPr="00CE233A" w:rsidRDefault="005D0E82" w:rsidP="005D0E82">
            <w:pPr>
              <w:pStyle w:val="3Bodytext"/>
              <w:numPr>
                <w:ilvl w:val="0"/>
                <w:numId w:val="0"/>
              </w:numPr>
              <w:spacing w:after="0"/>
              <w:rPr>
                <w:rFonts w:ascii="Arial Narrow" w:hAnsi="Arial Narrow"/>
                <w:sz w:val="20"/>
                <w:szCs w:val="20"/>
              </w:rPr>
            </w:pPr>
          </w:p>
        </w:tc>
      </w:tr>
      <w:tr w:rsidR="005D0E82" w:rsidRPr="007A766B" w:rsidTr="00643DA7">
        <w:tc>
          <w:tcPr>
            <w:tcW w:w="9016" w:type="dxa"/>
            <w:gridSpan w:val="2"/>
            <w:tcMar>
              <w:left w:w="28" w:type="dxa"/>
              <w:right w:w="28" w:type="dxa"/>
            </w:tcMar>
          </w:tcPr>
          <w:p w:rsidR="005D0E82" w:rsidRPr="007A766B" w:rsidRDefault="005D0E82" w:rsidP="005D0E82">
            <w:pPr>
              <w:pStyle w:val="3Bodytext"/>
              <w:numPr>
                <w:ilvl w:val="0"/>
                <w:numId w:val="0"/>
              </w:numPr>
              <w:spacing w:after="0"/>
              <w:rPr>
                <w:rFonts w:ascii="Arial Narrow" w:hAnsi="Arial Narrow"/>
                <w:b/>
                <w:sz w:val="20"/>
                <w:szCs w:val="20"/>
              </w:rPr>
            </w:pPr>
            <w:r w:rsidRPr="007A766B">
              <w:rPr>
                <w:rFonts w:ascii="Arial Narrow" w:hAnsi="Arial Narrow"/>
                <w:b/>
                <w:sz w:val="20"/>
                <w:szCs w:val="20"/>
              </w:rPr>
              <w:t>Financial issues</w:t>
            </w:r>
          </w:p>
        </w:tc>
      </w:tr>
      <w:tr w:rsidR="005D0E82" w:rsidTr="00643DA7">
        <w:tc>
          <w:tcPr>
            <w:tcW w:w="6232" w:type="dxa"/>
            <w:tcMar>
              <w:left w:w="28" w:type="dxa"/>
              <w:right w:w="28" w:type="dxa"/>
            </w:tcMar>
          </w:tcPr>
          <w:p w:rsidR="005D0E82" w:rsidRPr="00CE233A" w:rsidRDefault="005D0E82" w:rsidP="005D0E82">
            <w:pPr>
              <w:pStyle w:val="3Bodytext"/>
              <w:numPr>
                <w:ilvl w:val="0"/>
                <w:numId w:val="0"/>
              </w:numPr>
              <w:spacing w:after="0"/>
              <w:rPr>
                <w:rFonts w:ascii="Arial Narrow" w:hAnsi="Arial Narrow"/>
                <w:sz w:val="20"/>
                <w:szCs w:val="20"/>
              </w:rPr>
            </w:pPr>
            <w:r>
              <w:rPr>
                <w:rFonts w:ascii="Arial Narrow" w:hAnsi="Arial Narrow"/>
                <w:sz w:val="20"/>
                <w:szCs w:val="20"/>
              </w:rPr>
              <w:t>The financial impact remained high and the average number of administrations per patient (14.01 per year) and the uptake rate (85%) were considered to be overestimations (paragraph 7.14)</w:t>
            </w:r>
          </w:p>
        </w:tc>
        <w:tc>
          <w:tcPr>
            <w:tcW w:w="2784" w:type="dxa"/>
            <w:tcMar>
              <w:left w:w="28" w:type="dxa"/>
              <w:right w:w="28" w:type="dxa"/>
            </w:tcMar>
          </w:tcPr>
          <w:p w:rsidR="005D0E82" w:rsidRPr="00CE233A" w:rsidRDefault="005D0E82" w:rsidP="005D0E82">
            <w:pPr>
              <w:pStyle w:val="3Bodytext"/>
              <w:numPr>
                <w:ilvl w:val="0"/>
                <w:numId w:val="0"/>
              </w:numPr>
              <w:spacing w:after="0"/>
              <w:rPr>
                <w:rFonts w:ascii="Arial Narrow" w:hAnsi="Arial Narrow"/>
                <w:sz w:val="20"/>
                <w:szCs w:val="20"/>
              </w:rPr>
            </w:pPr>
            <w:r>
              <w:rPr>
                <w:rFonts w:ascii="Arial Narrow" w:hAnsi="Arial Narrow"/>
                <w:sz w:val="20"/>
                <w:szCs w:val="20"/>
              </w:rPr>
              <w:t>The minor resubmission made a number of changes to the July 2019 approach; however, stated that overall, the impact of listing PEMBRO on the PBS would be cost neutral compared to NIVO for all patients and cost neutral compared to DAB+TRAM for BRAF +</w:t>
            </w:r>
            <w:proofErr w:type="spellStart"/>
            <w:r>
              <w:rPr>
                <w:rFonts w:ascii="Arial Narrow" w:hAnsi="Arial Narrow"/>
                <w:sz w:val="20"/>
                <w:szCs w:val="20"/>
              </w:rPr>
              <w:t>ve</w:t>
            </w:r>
            <w:proofErr w:type="spellEnd"/>
            <w:r>
              <w:rPr>
                <w:rFonts w:ascii="Arial Narrow" w:hAnsi="Arial Narrow"/>
                <w:sz w:val="20"/>
                <w:szCs w:val="20"/>
              </w:rPr>
              <w:t xml:space="preserve"> patients.</w:t>
            </w:r>
          </w:p>
        </w:tc>
      </w:tr>
      <w:tr w:rsidR="005D0E82" w:rsidTr="00643DA7">
        <w:tc>
          <w:tcPr>
            <w:tcW w:w="6232" w:type="dxa"/>
            <w:tcMar>
              <w:left w:w="28" w:type="dxa"/>
              <w:right w:w="28" w:type="dxa"/>
            </w:tcMar>
          </w:tcPr>
          <w:p w:rsidR="005D0E82" w:rsidRPr="00CE233A" w:rsidRDefault="005D0E82" w:rsidP="005D0E82">
            <w:pPr>
              <w:pStyle w:val="3Bodytext"/>
              <w:numPr>
                <w:ilvl w:val="0"/>
                <w:numId w:val="0"/>
              </w:numPr>
              <w:spacing w:after="0"/>
              <w:rPr>
                <w:rFonts w:ascii="Arial Narrow" w:hAnsi="Arial Narrow"/>
                <w:sz w:val="20"/>
                <w:szCs w:val="20"/>
              </w:rPr>
            </w:pPr>
            <w:r>
              <w:rPr>
                <w:rFonts w:ascii="Arial Narrow" w:hAnsi="Arial Narrow"/>
                <w:sz w:val="20"/>
                <w:szCs w:val="20"/>
              </w:rPr>
              <w:t xml:space="preserve">The PBAC considered that, in the context of the uncertain use across the adjuvant and </w:t>
            </w:r>
            <w:proofErr w:type="spellStart"/>
            <w:r>
              <w:rPr>
                <w:rFonts w:ascii="Arial Narrow" w:hAnsi="Arial Narrow"/>
                <w:sz w:val="20"/>
                <w:szCs w:val="20"/>
              </w:rPr>
              <w:t>unresectable</w:t>
            </w:r>
            <w:proofErr w:type="spellEnd"/>
            <w:r>
              <w:rPr>
                <w:rFonts w:ascii="Arial Narrow" w:hAnsi="Arial Narrow"/>
                <w:sz w:val="20"/>
                <w:szCs w:val="20"/>
              </w:rPr>
              <w:t xml:space="preserve"> or metastatic settings, any proposed RSA should encompass adjuvant and </w:t>
            </w:r>
            <w:proofErr w:type="spellStart"/>
            <w:r>
              <w:rPr>
                <w:rFonts w:ascii="Arial Narrow" w:hAnsi="Arial Narrow"/>
                <w:sz w:val="20"/>
                <w:szCs w:val="20"/>
              </w:rPr>
              <w:t>unresectable</w:t>
            </w:r>
            <w:proofErr w:type="spellEnd"/>
            <w:r>
              <w:rPr>
                <w:rFonts w:ascii="Arial Narrow" w:hAnsi="Arial Narrow"/>
                <w:sz w:val="20"/>
                <w:szCs w:val="20"/>
              </w:rPr>
              <w:t xml:space="preserve"> use of all PD-1 inhibitors. An appropriate RSA would consist of subsidisation caps across both settings, beyond which 100% rebates would apply (paragraph 7.15).</w:t>
            </w:r>
          </w:p>
        </w:tc>
        <w:tc>
          <w:tcPr>
            <w:tcW w:w="2784" w:type="dxa"/>
            <w:vMerge w:val="restart"/>
            <w:tcMar>
              <w:left w:w="28" w:type="dxa"/>
              <w:right w:w="28" w:type="dxa"/>
            </w:tcMar>
          </w:tcPr>
          <w:p w:rsidR="005D0E82" w:rsidRDefault="005D0E82" w:rsidP="005D0E82">
            <w:pPr>
              <w:pStyle w:val="3Bodytext"/>
              <w:numPr>
                <w:ilvl w:val="0"/>
                <w:numId w:val="0"/>
              </w:numPr>
              <w:spacing w:after="0"/>
              <w:rPr>
                <w:rFonts w:ascii="Arial Narrow" w:hAnsi="Arial Narrow"/>
                <w:sz w:val="20"/>
                <w:szCs w:val="20"/>
              </w:rPr>
            </w:pPr>
            <w:r>
              <w:rPr>
                <w:rFonts w:ascii="Arial Narrow" w:hAnsi="Arial Narrow"/>
                <w:sz w:val="20"/>
                <w:szCs w:val="20"/>
              </w:rPr>
              <w:t>The minor resubmission presented a methodological outline of how RSA subsidisation caps would be calculated.</w:t>
            </w:r>
          </w:p>
          <w:p w:rsidR="005D0E82" w:rsidRPr="00CE233A" w:rsidRDefault="005D0E82" w:rsidP="005D0E82">
            <w:pPr>
              <w:pStyle w:val="3Bodytext"/>
              <w:numPr>
                <w:ilvl w:val="0"/>
                <w:numId w:val="0"/>
              </w:numPr>
              <w:spacing w:after="0"/>
              <w:rPr>
                <w:rFonts w:ascii="Arial Narrow" w:hAnsi="Arial Narrow"/>
                <w:sz w:val="20"/>
                <w:szCs w:val="20"/>
              </w:rPr>
            </w:pPr>
          </w:p>
        </w:tc>
      </w:tr>
      <w:tr w:rsidR="005D0E82" w:rsidTr="00643DA7">
        <w:tc>
          <w:tcPr>
            <w:tcW w:w="6232" w:type="dxa"/>
            <w:tcMar>
              <w:left w:w="28" w:type="dxa"/>
              <w:right w:w="28" w:type="dxa"/>
            </w:tcMar>
          </w:tcPr>
          <w:p w:rsidR="005D0E82" w:rsidRPr="00CE233A" w:rsidRDefault="005D0E82" w:rsidP="005D0E82">
            <w:pPr>
              <w:pStyle w:val="3Bodytext"/>
              <w:numPr>
                <w:ilvl w:val="0"/>
                <w:numId w:val="0"/>
              </w:numPr>
              <w:spacing w:after="0"/>
              <w:rPr>
                <w:rFonts w:ascii="Arial Narrow" w:hAnsi="Arial Narrow"/>
                <w:sz w:val="20"/>
                <w:szCs w:val="20"/>
              </w:rPr>
            </w:pPr>
            <w:r>
              <w:rPr>
                <w:rFonts w:ascii="Arial Narrow" w:hAnsi="Arial Narrow"/>
                <w:sz w:val="20"/>
                <w:szCs w:val="20"/>
              </w:rPr>
              <w:t xml:space="preserve">The subsidisation caps in the </w:t>
            </w:r>
            <w:proofErr w:type="spellStart"/>
            <w:r>
              <w:rPr>
                <w:rFonts w:ascii="Arial Narrow" w:hAnsi="Arial Narrow"/>
                <w:sz w:val="20"/>
                <w:szCs w:val="20"/>
              </w:rPr>
              <w:t>unresectable</w:t>
            </w:r>
            <w:proofErr w:type="spellEnd"/>
            <w:r>
              <w:rPr>
                <w:rFonts w:ascii="Arial Narrow" w:hAnsi="Arial Narrow"/>
                <w:sz w:val="20"/>
                <w:szCs w:val="20"/>
              </w:rPr>
              <w:t xml:space="preserve"> or metastatic setting should include a reduction in utilisation to account for patients receiving adjuvant treatment that results in a cure from the second year onwards (paragraph 7.16)</w:t>
            </w:r>
          </w:p>
        </w:tc>
        <w:tc>
          <w:tcPr>
            <w:tcW w:w="2784" w:type="dxa"/>
            <w:vMerge/>
            <w:tcMar>
              <w:left w:w="28" w:type="dxa"/>
              <w:right w:w="28" w:type="dxa"/>
            </w:tcMar>
          </w:tcPr>
          <w:p w:rsidR="005D0E82" w:rsidRPr="00CE233A" w:rsidRDefault="005D0E82" w:rsidP="005D0E82">
            <w:pPr>
              <w:pStyle w:val="3Bodytext"/>
              <w:numPr>
                <w:ilvl w:val="0"/>
                <w:numId w:val="0"/>
              </w:numPr>
              <w:spacing w:after="0"/>
              <w:rPr>
                <w:rFonts w:ascii="Arial Narrow" w:hAnsi="Arial Narrow"/>
                <w:sz w:val="20"/>
                <w:szCs w:val="20"/>
              </w:rPr>
            </w:pPr>
          </w:p>
        </w:tc>
      </w:tr>
    </w:tbl>
    <w:p w:rsidR="005D0E82" w:rsidRPr="00525CE5" w:rsidRDefault="005D0E82" w:rsidP="005D0E82">
      <w:pPr>
        <w:pStyle w:val="3Bodytext"/>
        <w:numPr>
          <w:ilvl w:val="0"/>
          <w:numId w:val="0"/>
        </w:numPr>
        <w:spacing w:after="0"/>
        <w:jc w:val="both"/>
        <w:rPr>
          <w:rFonts w:ascii="Arial Narrow" w:hAnsi="Arial Narrow"/>
          <w:sz w:val="18"/>
          <w:szCs w:val="18"/>
        </w:rPr>
      </w:pPr>
      <w:r>
        <w:rPr>
          <w:rFonts w:ascii="Arial Narrow" w:hAnsi="Arial Narrow"/>
          <w:sz w:val="18"/>
          <w:szCs w:val="18"/>
        </w:rPr>
        <w:t xml:space="preserve">DAB+TRAM = </w:t>
      </w:r>
      <w:proofErr w:type="spellStart"/>
      <w:r>
        <w:rPr>
          <w:rFonts w:ascii="Arial Narrow" w:hAnsi="Arial Narrow"/>
          <w:sz w:val="18"/>
          <w:szCs w:val="18"/>
        </w:rPr>
        <w:t>dabrafenib</w:t>
      </w:r>
      <w:proofErr w:type="spellEnd"/>
      <w:r>
        <w:rPr>
          <w:rFonts w:ascii="Arial Narrow" w:hAnsi="Arial Narrow"/>
          <w:sz w:val="18"/>
          <w:szCs w:val="18"/>
        </w:rPr>
        <w:t xml:space="preserve"> + </w:t>
      </w:r>
      <w:proofErr w:type="spellStart"/>
      <w:r>
        <w:rPr>
          <w:rFonts w:ascii="Arial Narrow" w:hAnsi="Arial Narrow"/>
          <w:sz w:val="18"/>
          <w:szCs w:val="18"/>
        </w:rPr>
        <w:t>trametinib</w:t>
      </w:r>
      <w:proofErr w:type="spellEnd"/>
      <w:r>
        <w:rPr>
          <w:rFonts w:ascii="Arial Narrow" w:hAnsi="Arial Narrow"/>
          <w:sz w:val="18"/>
          <w:szCs w:val="18"/>
        </w:rPr>
        <w:t xml:space="preserve">; </w:t>
      </w:r>
      <w:r w:rsidRPr="00525CE5">
        <w:rPr>
          <w:rFonts w:ascii="Arial Narrow" w:hAnsi="Arial Narrow"/>
          <w:sz w:val="18"/>
          <w:szCs w:val="18"/>
        </w:rPr>
        <w:t xml:space="preserve">ICER = incremental cost effectiveness ratio; </w:t>
      </w:r>
      <w:r>
        <w:rPr>
          <w:rFonts w:ascii="Arial Narrow" w:hAnsi="Arial Narrow"/>
          <w:sz w:val="18"/>
          <w:szCs w:val="18"/>
        </w:rPr>
        <w:t xml:space="preserve">NIVO = </w:t>
      </w:r>
      <w:proofErr w:type="spellStart"/>
      <w:r>
        <w:rPr>
          <w:rFonts w:ascii="Arial Narrow" w:hAnsi="Arial Narrow"/>
          <w:sz w:val="18"/>
          <w:szCs w:val="18"/>
        </w:rPr>
        <w:t>nivolumab</w:t>
      </w:r>
      <w:proofErr w:type="spellEnd"/>
      <w:r>
        <w:rPr>
          <w:rFonts w:ascii="Arial Narrow" w:hAnsi="Arial Narrow"/>
          <w:sz w:val="18"/>
          <w:szCs w:val="18"/>
        </w:rPr>
        <w:t xml:space="preserve">; </w:t>
      </w:r>
      <w:r w:rsidRPr="00525CE5">
        <w:rPr>
          <w:rFonts w:ascii="Arial Narrow" w:hAnsi="Arial Narrow"/>
          <w:sz w:val="18"/>
          <w:szCs w:val="18"/>
        </w:rPr>
        <w:t xml:space="preserve">OS = overall survival; PBAC = Pharmaceutical Benefits Advisory Committee; PBS = Pharmaceutical Benefits Scheme; </w:t>
      </w:r>
      <w:r>
        <w:rPr>
          <w:rFonts w:ascii="Arial Narrow" w:hAnsi="Arial Narrow"/>
          <w:sz w:val="18"/>
          <w:szCs w:val="18"/>
        </w:rPr>
        <w:t xml:space="preserve">PD-1 = programmed cell death-1; PEMBRO = </w:t>
      </w:r>
      <w:proofErr w:type="spellStart"/>
      <w:r>
        <w:rPr>
          <w:rFonts w:ascii="Arial Narrow" w:hAnsi="Arial Narrow"/>
          <w:sz w:val="18"/>
          <w:szCs w:val="18"/>
        </w:rPr>
        <w:t>pembrolizumab</w:t>
      </w:r>
      <w:proofErr w:type="spellEnd"/>
      <w:r>
        <w:rPr>
          <w:rFonts w:ascii="Arial Narrow" w:hAnsi="Arial Narrow"/>
          <w:sz w:val="18"/>
          <w:szCs w:val="18"/>
        </w:rPr>
        <w:t xml:space="preserve">; </w:t>
      </w:r>
      <w:r w:rsidRPr="00525CE5">
        <w:rPr>
          <w:rFonts w:ascii="Arial Narrow" w:hAnsi="Arial Narrow"/>
          <w:sz w:val="18"/>
          <w:szCs w:val="18"/>
        </w:rPr>
        <w:t>QALY = quality adjusted life year; RFS = recurrence free survival; RSA = risk sharing arrangement</w:t>
      </w:r>
    </w:p>
    <w:p w:rsidR="005D0E82" w:rsidRDefault="005D0E82" w:rsidP="005D0E82">
      <w:pPr>
        <w:pStyle w:val="3Bodytext"/>
        <w:numPr>
          <w:ilvl w:val="0"/>
          <w:numId w:val="0"/>
        </w:numPr>
        <w:spacing w:after="0"/>
        <w:jc w:val="both"/>
        <w:rPr>
          <w:rFonts w:ascii="Arial Narrow" w:hAnsi="Arial Narrow"/>
          <w:sz w:val="18"/>
          <w:szCs w:val="18"/>
        </w:rPr>
      </w:pPr>
      <w:r w:rsidRPr="00525CE5">
        <w:rPr>
          <w:rFonts w:ascii="Arial Narrow" w:hAnsi="Arial Narrow"/>
          <w:sz w:val="18"/>
          <w:szCs w:val="18"/>
        </w:rPr>
        <w:t>Source: Compiled during evaluation</w:t>
      </w:r>
    </w:p>
    <w:p w:rsidR="005D0E82" w:rsidRDefault="005D0E82" w:rsidP="005D0E82"/>
    <w:p w:rsidR="007C7E03" w:rsidRDefault="005D0E82" w:rsidP="005D0E82">
      <w:pPr>
        <w:rPr>
          <w:rFonts w:asciiTheme="minorHAnsi" w:hAnsiTheme="minorHAnsi"/>
          <w:i/>
        </w:rPr>
      </w:pPr>
      <w:r>
        <w:tab/>
      </w:r>
      <w:r w:rsidRPr="00055C70">
        <w:rPr>
          <w:rFonts w:asciiTheme="minorHAnsi" w:hAnsiTheme="minorHAnsi"/>
          <w:i/>
        </w:rPr>
        <w:t>For more detail on PBAC’s view, see section 7 PBAC outcome.</w:t>
      </w:r>
    </w:p>
    <w:p w:rsidR="005D0E82" w:rsidRPr="00055C70" w:rsidRDefault="007C7E03" w:rsidP="005D0E82">
      <w:pPr>
        <w:rPr>
          <w:rFonts w:asciiTheme="minorHAnsi" w:hAnsiTheme="minorHAnsi"/>
          <w:i/>
        </w:rPr>
      </w:pPr>
      <w:r>
        <w:rPr>
          <w:rFonts w:asciiTheme="minorHAnsi" w:hAnsiTheme="minorHAnsi"/>
          <w:i/>
        </w:rPr>
        <w:br w:type="page"/>
      </w:r>
      <w:bookmarkStart w:id="0" w:name="_GoBack"/>
      <w:bookmarkEnd w:id="0"/>
    </w:p>
    <w:p w:rsidR="006A12A5" w:rsidRPr="00577C4D" w:rsidRDefault="006A12A5" w:rsidP="0033263D">
      <w:pPr>
        <w:pStyle w:val="2Sections"/>
      </w:pPr>
      <w:r w:rsidRPr="002B5596">
        <w:lastRenderedPageBreak/>
        <w:t>Requested listing</w:t>
      </w:r>
    </w:p>
    <w:p w:rsidR="00817A73" w:rsidRDefault="005D72D8" w:rsidP="00BD4955">
      <w:pPr>
        <w:pStyle w:val="3Bodytext"/>
        <w:spacing w:after="240"/>
        <w:jc w:val="both"/>
      </w:pPr>
      <w:r>
        <w:t xml:space="preserve">The following restrictions </w:t>
      </w:r>
      <w:r w:rsidR="00817A73">
        <w:t xml:space="preserve">were proposed </w:t>
      </w:r>
      <w:r w:rsidR="00BD4955">
        <w:t xml:space="preserve">by the </w:t>
      </w:r>
      <w:r w:rsidR="00E76D8A">
        <w:t>S</w:t>
      </w:r>
      <w:r w:rsidR="00BD4955">
        <w:t xml:space="preserve">ecretariat for </w:t>
      </w:r>
      <w:proofErr w:type="spellStart"/>
      <w:r>
        <w:t>pembrolizumab</w:t>
      </w:r>
      <w:proofErr w:type="spellEnd"/>
      <w:r>
        <w:t xml:space="preserve"> in the adjuvant setting</w:t>
      </w:r>
      <w:r w:rsidR="00E76D8A">
        <w:t xml:space="preserve">. The PBAC noted that flow-on restriction changes would be required to allow </w:t>
      </w:r>
      <w:r>
        <w:t xml:space="preserve">retreatment in the </w:t>
      </w:r>
      <w:proofErr w:type="spellStart"/>
      <w:r>
        <w:t>unresectable</w:t>
      </w:r>
      <w:proofErr w:type="spellEnd"/>
      <w:r>
        <w:t xml:space="preserve"> or metastatic setting</w:t>
      </w:r>
      <w:r w:rsidR="00E76D8A">
        <w:t xml:space="preserve"> for </w:t>
      </w:r>
      <w:proofErr w:type="spellStart"/>
      <w:r w:rsidR="00E76D8A">
        <w:t>pembrolizumab</w:t>
      </w:r>
      <w:proofErr w:type="spellEnd"/>
      <w:r>
        <w:t xml:space="preserve">, </w:t>
      </w:r>
      <w:proofErr w:type="spellStart"/>
      <w:r>
        <w:t>nivolumab</w:t>
      </w:r>
      <w:proofErr w:type="spellEnd"/>
      <w:r w:rsidR="00A05661">
        <w:t xml:space="preserve">, </w:t>
      </w:r>
      <w:proofErr w:type="spellStart"/>
      <w:r w:rsidR="00A05661">
        <w:t>ipilimumab</w:t>
      </w:r>
      <w:proofErr w:type="spellEnd"/>
      <w:r>
        <w:t xml:space="preserve">, and </w:t>
      </w:r>
      <w:proofErr w:type="spellStart"/>
      <w:r>
        <w:t>dabrafenib</w:t>
      </w:r>
      <w:proofErr w:type="spellEnd"/>
      <w:r>
        <w:t xml:space="preserve">, </w:t>
      </w:r>
      <w:proofErr w:type="spellStart"/>
      <w:r>
        <w:t>vemurafenib</w:t>
      </w:r>
      <w:proofErr w:type="spellEnd"/>
      <w:r>
        <w:t xml:space="preserve"> and </w:t>
      </w:r>
      <w:proofErr w:type="spellStart"/>
      <w:r>
        <w:t>encorafenib</w:t>
      </w:r>
      <w:proofErr w:type="spellEnd"/>
      <w:r>
        <w:t xml:space="preserve"> (recommended for PBS listing in November 2018) restrictions.</w:t>
      </w:r>
    </w:p>
    <w:p w:rsidR="00BD23C7" w:rsidRPr="00055C70" w:rsidRDefault="00BD23C7" w:rsidP="00BD4955">
      <w:pPr>
        <w:pStyle w:val="3Bodytext"/>
        <w:spacing w:after="240"/>
        <w:jc w:val="both"/>
      </w:pPr>
      <w:r w:rsidRPr="00055C70">
        <w:t xml:space="preserve">The Secretariat has proposed a listing for </w:t>
      </w:r>
      <w:proofErr w:type="spellStart"/>
      <w:r w:rsidRPr="00055C70">
        <w:t>pembrolizumab</w:t>
      </w:r>
      <w:proofErr w:type="spellEnd"/>
      <w:r w:rsidRPr="00055C70">
        <w:t xml:space="preserve"> in the adjuvant setting that covers both initial and continuing treatment. Given that </w:t>
      </w:r>
      <w:proofErr w:type="spellStart"/>
      <w:r w:rsidRPr="00055C70">
        <w:t>pembrolizumab</w:t>
      </w:r>
      <w:proofErr w:type="spellEnd"/>
      <w:r w:rsidRPr="00055C70">
        <w:t xml:space="preserve"> is given as an infusion and treatment should be limited to 12 months, 16 repeats is proposed.</w:t>
      </w:r>
      <w:r w:rsidR="005A7705">
        <w:t xml:space="preserve"> </w:t>
      </w:r>
      <w:r w:rsidR="00E76D8A">
        <w:t xml:space="preserve">The PBAC considered that the listing should be split into initial and continuing to be consistent with the approved restrictions for </w:t>
      </w:r>
      <w:proofErr w:type="spellStart"/>
      <w:r w:rsidR="00E76D8A">
        <w:t>dabrafenib</w:t>
      </w:r>
      <w:proofErr w:type="spellEnd"/>
      <w:r w:rsidR="00E76D8A">
        <w:t xml:space="preserve"> and </w:t>
      </w:r>
      <w:proofErr w:type="spellStart"/>
      <w:r w:rsidR="00E76D8A">
        <w:t>trametinib</w:t>
      </w:r>
      <w:proofErr w:type="spellEnd"/>
      <w:r w:rsidR="00E76D8A">
        <w:t>.</w:t>
      </w:r>
    </w:p>
    <w:tbl>
      <w:tblPr>
        <w:tblW w:w="9072" w:type="dxa"/>
        <w:tblBorders>
          <w:top w:val="single" w:sz="4" w:space="0" w:color="auto"/>
          <w:bottom w:val="single" w:sz="4" w:space="0" w:color="auto"/>
          <w:insideH w:val="single" w:sz="4" w:space="0" w:color="auto"/>
        </w:tblBorders>
        <w:tblLook w:val="04A0" w:firstRow="1" w:lastRow="0" w:firstColumn="1" w:lastColumn="0" w:noHBand="0" w:noVBand="1"/>
      </w:tblPr>
      <w:tblGrid>
        <w:gridCol w:w="2835"/>
        <w:gridCol w:w="1452"/>
        <w:gridCol w:w="924"/>
        <w:gridCol w:w="2268"/>
        <w:gridCol w:w="1593"/>
      </w:tblGrid>
      <w:tr w:rsidR="008254C2" w:rsidRPr="003D1DE4" w:rsidTr="00817A73">
        <w:trPr>
          <w:tblHeader/>
        </w:trPr>
        <w:tc>
          <w:tcPr>
            <w:tcW w:w="2835" w:type="dxa"/>
          </w:tcPr>
          <w:p w:rsidR="008254C2" w:rsidRPr="003D1DE4" w:rsidRDefault="008254C2" w:rsidP="00817A73">
            <w:pPr>
              <w:keepNext/>
              <w:keepLines/>
              <w:rPr>
                <w:rFonts w:ascii="Arial Narrow" w:hAnsi="Arial Narrow"/>
                <w:b/>
                <w:sz w:val="20"/>
                <w:szCs w:val="20"/>
              </w:rPr>
            </w:pPr>
            <w:r w:rsidRPr="003D1DE4">
              <w:rPr>
                <w:rFonts w:ascii="Arial Narrow" w:hAnsi="Arial Narrow"/>
                <w:b/>
                <w:sz w:val="20"/>
                <w:szCs w:val="20"/>
              </w:rPr>
              <w:t>Name, restriction, manner of administration, form</w:t>
            </w:r>
          </w:p>
        </w:tc>
        <w:tc>
          <w:tcPr>
            <w:tcW w:w="1452" w:type="dxa"/>
          </w:tcPr>
          <w:p w:rsidR="008254C2" w:rsidRPr="003D1DE4" w:rsidRDefault="008254C2" w:rsidP="00817A73">
            <w:pPr>
              <w:keepNext/>
              <w:keepLines/>
              <w:jc w:val="center"/>
              <w:rPr>
                <w:rFonts w:ascii="Arial Narrow" w:hAnsi="Arial Narrow"/>
                <w:b/>
                <w:sz w:val="20"/>
                <w:szCs w:val="20"/>
              </w:rPr>
            </w:pPr>
            <w:r w:rsidRPr="003D1DE4">
              <w:rPr>
                <w:rFonts w:ascii="Arial Narrow" w:hAnsi="Arial Narrow"/>
                <w:b/>
                <w:sz w:val="20"/>
                <w:szCs w:val="20"/>
              </w:rPr>
              <w:t>Maximum amount (units)</w:t>
            </w:r>
          </w:p>
        </w:tc>
        <w:tc>
          <w:tcPr>
            <w:tcW w:w="924" w:type="dxa"/>
          </w:tcPr>
          <w:p w:rsidR="008254C2" w:rsidRPr="003D1DE4" w:rsidRDefault="008254C2" w:rsidP="00817A73">
            <w:pPr>
              <w:keepNext/>
              <w:keepLines/>
              <w:jc w:val="center"/>
              <w:rPr>
                <w:rFonts w:ascii="Arial Narrow" w:hAnsi="Arial Narrow"/>
                <w:b/>
                <w:sz w:val="20"/>
                <w:szCs w:val="20"/>
              </w:rPr>
            </w:pPr>
            <w:r w:rsidRPr="003D1DE4">
              <w:rPr>
                <w:rFonts w:ascii="Arial Narrow" w:hAnsi="Arial Narrow"/>
                <w:b/>
                <w:sz w:val="20"/>
                <w:szCs w:val="20"/>
              </w:rPr>
              <w:t>No. of repeats</w:t>
            </w:r>
          </w:p>
        </w:tc>
        <w:tc>
          <w:tcPr>
            <w:tcW w:w="2268" w:type="dxa"/>
          </w:tcPr>
          <w:p w:rsidR="008254C2" w:rsidRPr="003D1DE4" w:rsidRDefault="008254C2" w:rsidP="00817A73">
            <w:pPr>
              <w:keepNext/>
              <w:keepLines/>
              <w:rPr>
                <w:rFonts w:ascii="Arial Narrow" w:hAnsi="Arial Narrow"/>
                <w:b/>
                <w:sz w:val="20"/>
                <w:szCs w:val="20"/>
              </w:rPr>
            </w:pPr>
            <w:r w:rsidRPr="003D1DE4">
              <w:rPr>
                <w:rFonts w:ascii="Arial Narrow" w:hAnsi="Arial Narrow"/>
                <w:b/>
                <w:sz w:val="20"/>
                <w:szCs w:val="20"/>
              </w:rPr>
              <w:t>Dispensed price for maximum amount</w:t>
            </w:r>
          </w:p>
        </w:tc>
        <w:tc>
          <w:tcPr>
            <w:tcW w:w="1593" w:type="dxa"/>
          </w:tcPr>
          <w:p w:rsidR="008254C2" w:rsidRPr="003D1DE4" w:rsidRDefault="008254C2" w:rsidP="00817A73">
            <w:pPr>
              <w:keepNext/>
              <w:keepLines/>
              <w:rPr>
                <w:rFonts w:ascii="Arial Narrow" w:hAnsi="Arial Narrow"/>
                <w:b/>
                <w:sz w:val="20"/>
                <w:szCs w:val="20"/>
              </w:rPr>
            </w:pPr>
            <w:r w:rsidRPr="003D1DE4">
              <w:rPr>
                <w:rFonts w:ascii="Arial Narrow" w:hAnsi="Arial Narrow"/>
                <w:b/>
                <w:sz w:val="20"/>
                <w:szCs w:val="20"/>
              </w:rPr>
              <w:t>Proprietary name and manufacturer</w:t>
            </w:r>
          </w:p>
        </w:tc>
      </w:tr>
      <w:tr w:rsidR="008254C2" w:rsidRPr="008123DA" w:rsidTr="00817A73">
        <w:tc>
          <w:tcPr>
            <w:tcW w:w="2835" w:type="dxa"/>
          </w:tcPr>
          <w:p w:rsidR="008254C2" w:rsidRPr="008254C2" w:rsidRDefault="008254C2" w:rsidP="008254C2">
            <w:pPr>
              <w:pStyle w:val="Tabletext"/>
              <w:keepNext/>
              <w:keepLines/>
              <w:spacing w:after="0"/>
              <w:rPr>
                <w:rFonts w:ascii="Arial Narrow" w:hAnsi="Arial Narrow"/>
                <w:smallCaps/>
              </w:rPr>
            </w:pPr>
            <w:proofErr w:type="spellStart"/>
            <w:r w:rsidRPr="008254C2">
              <w:rPr>
                <w:rFonts w:ascii="Arial Narrow" w:hAnsi="Arial Narrow"/>
                <w:smallCaps/>
              </w:rPr>
              <w:t>Pembrolizumab</w:t>
            </w:r>
            <w:proofErr w:type="spellEnd"/>
          </w:p>
          <w:p w:rsidR="008254C2" w:rsidRPr="008254C2" w:rsidRDefault="008254C2" w:rsidP="008254C2">
            <w:pPr>
              <w:pStyle w:val="Tabletext"/>
              <w:keepNext/>
              <w:keepLines/>
              <w:spacing w:after="0"/>
              <w:rPr>
                <w:rFonts w:ascii="Arial Narrow" w:hAnsi="Arial Narrow"/>
              </w:rPr>
            </w:pPr>
            <w:r w:rsidRPr="008254C2">
              <w:rPr>
                <w:rFonts w:ascii="Arial Narrow" w:hAnsi="Arial Narrow"/>
              </w:rPr>
              <w:t>100 mg/4 mL infusion, 1 x 4 mL vial</w:t>
            </w:r>
          </w:p>
        </w:tc>
        <w:tc>
          <w:tcPr>
            <w:tcW w:w="1452" w:type="dxa"/>
          </w:tcPr>
          <w:p w:rsidR="008254C2" w:rsidRPr="008254C2" w:rsidRDefault="008254C2" w:rsidP="008254C2">
            <w:pPr>
              <w:pStyle w:val="Tabletext"/>
              <w:keepNext/>
              <w:keepLines/>
              <w:spacing w:after="0"/>
              <w:jc w:val="center"/>
              <w:rPr>
                <w:rFonts w:ascii="Arial Narrow" w:hAnsi="Arial Narrow"/>
              </w:rPr>
            </w:pPr>
            <w:r w:rsidRPr="008254C2">
              <w:rPr>
                <w:rFonts w:ascii="Arial Narrow" w:hAnsi="Arial Narrow"/>
              </w:rPr>
              <w:t>200 mg</w:t>
            </w:r>
          </w:p>
        </w:tc>
        <w:tc>
          <w:tcPr>
            <w:tcW w:w="924" w:type="dxa"/>
          </w:tcPr>
          <w:p w:rsidR="008254C2" w:rsidRDefault="008254C2" w:rsidP="008254C2">
            <w:pPr>
              <w:pStyle w:val="Tabletext"/>
              <w:keepNext/>
              <w:keepLines/>
              <w:spacing w:after="0"/>
              <w:jc w:val="center"/>
              <w:rPr>
                <w:rFonts w:ascii="Arial Narrow" w:hAnsi="Arial Narrow"/>
                <w:strike/>
              </w:rPr>
            </w:pPr>
            <w:r w:rsidRPr="00BD23C7">
              <w:rPr>
                <w:rFonts w:ascii="Arial Narrow" w:hAnsi="Arial Narrow"/>
                <w:strike/>
              </w:rPr>
              <w:t>5</w:t>
            </w:r>
          </w:p>
          <w:p w:rsidR="00BD23C7" w:rsidRPr="00BD23C7" w:rsidRDefault="00BD23C7" w:rsidP="008254C2">
            <w:pPr>
              <w:pStyle w:val="Tabletext"/>
              <w:keepNext/>
              <w:keepLines/>
              <w:spacing w:after="0"/>
              <w:jc w:val="center"/>
              <w:rPr>
                <w:rFonts w:ascii="Arial Narrow" w:hAnsi="Arial Narrow"/>
                <w:i/>
              </w:rPr>
            </w:pPr>
            <w:r w:rsidRPr="00BD23C7">
              <w:rPr>
                <w:rFonts w:ascii="Arial Narrow" w:hAnsi="Arial Narrow"/>
                <w:i/>
              </w:rPr>
              <w:t>16</w:t>
            </w:r>
          </w:p>
        </w:tc>
        <w:tc>
          <w:tcPr>
            <w:tcW w:w="2268" w:type="dxa"/>
            <w:shd w:val="clear" w:color="auto" w:fill="auto"/>
          </w:tcPr>
          <w:p w:rsidR="008254C2" w:rsidRPr="008254C2" w:rsidRDefault="008254C2" w:rsidP="008254C2">
            <w:pPr>
              <w:pStyle w:val="Tabletext"/>
              <w:keepNext/>
              <w:keepLines/>
              <w:spacing w:after="0"/>
              <w:rPr>
                <w:rFonts w:ascii="Arial Narrow" w:hAnsi="Arial Narrow"/>
              </w:rPr>
            </w:pPr>
            <w:r w:rsidRPr="008254C2">
              <w:rPr>
                <w:rFonts w:ascii="Arial Narrow" w:hAnsi="Arial Narrow"/>
              </w:rPr>
              <w:t>Published price:</w:t>
            </w:r>
          </w:p>
          <w:p w:rsidR="008254C2" w:rsidRPr="008254C2" w:rsidRDefault="008254C2" w:rsidP="008254C2">
            <w:pPr>
              <w:pStyle w:val="Tabletext"/>
              <w:keepNext/>
              <w:keepLines/>
              <w:spacing w:after="0"/>
              <w:rPr>
                <w:rFonts w:ascii="Arial Narrow" w:hAnsi="Arial Narrow"/>
              </w:rPr>
            </w:pPr>
            <w:r w:rsidRPr="008254C2">
              <w:rPr>
                <w:rFonts w:ascii="Arial Narrow" w:hAnsi="Arial Narrow"/>
              </w:rPr>
              <w:t>$9,024.44 (Public hospital)</w:t>
            </w:r>
          </w:p>
          <w:p w:rsidR="008254C2" w:rsidRPr="008254C2" w:rsidRDefault="008254C2" w:rsidP="008254C2">
            <w:pPr>
              <w:pStyle w:val="Tabletext"/>
              <w:keepNext/>
              <w:keepLines/>
              <w:spacing w:after="0"/>
              <w:rPr>
                <w:rFonts w:ascii="Arial Narrow" w:hAnsi="Arial Narrow"/>
              </w:rPr>
            </w:pPr>
            <w:r w:rsidRPr="008254C2">
              <w:rPr>
                <w:rFonts w:ascii="Arial Narrow" w:hAnsi="Arial Narrow"/>
              </w:rPr>
              <w:t>$9,185.54 (Private hospital)</w:t>
            </w:r>
          </w:p>
          <w:p w:rsidR="008254C2" w:rsidRPr="008254C2" w:rsidRDefault="008254C2" w:rsidP="008254C2">
            <w:pPr>
              <w:pStyle w:val="Tabletext"/>
              <w:keepNext/>
              <w:keepLines/>
              <w:spacing w:after="0"/>
              <w:rPr>
                <w:rFonts w:ascii="Arial Narrow" w:hAnsi="Arial Narrow"/>
              </w:rPr>
            </w:pPr>
          </w:p>
          <w:p w:rsidR="008254C2" w:rsidRPr="008254C2" w:rsidRDefault="008254C2" w:rsidP="008254C2">
            <w:pPr>
              <w:pStyle w:val="Tabletext"/>
              <w:keepNext/>
              <w:keepLines/>
              <w:spacing w:after="0"/>
              <w:rPr>
                <w:rFonts w:ascii="Arial Narrow" w:hAnsi="Arial Narrow"/>
              </w:rPr>
            </w:pPr>
            <w:r w:rsidRPr="008254C2">
              <w:rPr>
                <w:rFonts w:ascii="Arial Narrow" w:hAnsi="Arial Narrow"/>
              </w:rPr>
              <w:t>Effective price:</w:t>
            </w:r>
          </w:p>
          <w:p w:rsidR="008254C2" w:rsidRPr="008254C2" w:rsidRDefault="008254C2" w:rsidP="008254C2">
            <w:pPr>
              <w:pStyle w:val="Tabletext"/>
              <w:keepNext/>
              <w:keepLines/>
              <w:spacing w:after="0"/>
              <w:rPr>
                <w:rFonts w:ascii="Arial Narrow" w:hAnsi="Arial Narrow"/>
              </w:rPr>
            </w:pPr>
            <w:r w:rsidRPr="008254C2">
              <w:rPr>
                <w:rFonts w:ascii="Arial Narrow" w:hAnsi="Arial Narrow"/>
              </w:rPr>
              <w:t>$</w:t>
            </w:r>
            <w:r w:rsidR="0067665F">
              <w:rPr>
                <w:rFonts w:ascii="Arial Narrow" w:hAnsi="Arial Narrow"/>
              </w:rPr>
              <w:t>TBD</w:t>
            </w:r>
            <w:r w:rsidRPr="008254C2">
              <w:rPr>
                <w:rFonts w:ascii="Arial Narrow" w:hAnsi="Arial Narrow"/>
              </w:rPr>
              <w:t xml:space="preserve"> (Public hospital)</w:t>
            </w:r>
          </w:p>
          <w:p w:rsidR="008254C2" w:rsidRPr="008254C2" w:rsidRDefault="008254C2" w:rsidP="0067665F">
            <w:pPr>
              <w:pStyle w:val="Tabletext"/>
              <w:keepNext/>
              <w:keepLines/>
              <w:spacing w:after="0"/>
              <w:rPr>
                <w:rFonts w:ascii="Arial Narrow" w:hAnsi="Arial Narrow"/>
              </w:rPr>
            </w:pPr>
            <w:r w:rsidRPr="008254C2">
              <w:rPr>
                <w:rFonts w:ascii="Arial Narrow" w:hAnsi="Arial Narrow"/>
              </w:rPr>
              <w:t>$</w:t>
            </w:r>
            <w:r w:rsidR="0067665F">
              <w:rPr>
                <w:rFonts w:ascii="Arial Narrow" w:hAnsi="Arial Narrow"/>
              </w:rPr>
              <w:t>TBD</w:t>
            </w:r>
            <w:r w:rsidRPr="008254C2">
              <w:rPr>
                <w:rFonts w:ascii="Arial Narrow" w:hAnsi="Arial Narrow"/>
              </w:rPr>
              <w:t xml:space="preserve"> (Private hospital)</w:t>
            </w:r>
          </w:p>
        </w:tc>
        <w:tc>
          <w:tcPr>
            <w:tcW w:w="1593" w:type="dxa"/>
            <w:shd w:val="clear" w:color="auto" w:fill="auto"/>
          </w:tcPr>
          <w:p w:rsidR="008254C2" w:rsidRPr="008254C2" w:rsidRDefault="008254C2" w:rsidP="008254C2">
            <w:pPr>
              <w:pStyle w:val="Tabletext"/>
              <w:keepNext/>
              <w:keepLines/>
              <w:spacing w:after="0"/>
              <w:rPr>
                <w:rFonts w:ascii="Arial Narrow" w:hAnsi="Arial Narrow"/>
                <w:vertAlign w:val="superscript"/>
              </w:rPr>
            </w:pPr>
            <w:r w:rsidRPr="008254C2">
              <w:rPr>
                <w:rFonts w:ascii="Arial Narrow" w:hAnsi="Arial Narrow"/>
              </w:rPr>
              <w:t>KEYTRUDA</w:t>
            </w:r>
            <w:r w:rsidRPr="008254C2">
              <w:rPr>
                <w:rFonts w:ascii="Arial Narrow" w:hAnsi="Arial Narrow"/>
                <w:vertAlign w:val="superscript"/>
              </w:rPr>
              <w:t xml:space="preserve">® </w:t>
            </w:r>
            <w:r w:rsidRPr="008254C2">
              <w:rPr>
                <w:rFonts w:ascii="Arial Narrow" w:hAnsi="Arial Narrow"/>
              </w:rPr>
              <w:t xml:space="preserve">Merck Sharp &amp; </w:t>
            </w:r>
            <w:proofErr w:type="spellStart"/>
            <w:r w:rsidRPr="008254C2">
              <w:rPr>
                <w:rFonts w:ascii="Arial Narrow" w:hAnsi="Arial Narrow"/>
              </w:rPr>
              <w:t>Dohme</w:t>
            </w:r>
            <w:proofErr w:type="spellEnd"/>
            <w:r w:rsidRPr="008254C2">
              <w:rPr>
                <w:rFonts w:ascii="Arial Narrow" w:hAnsi="Arial Narrow"/>
              </w:rPr>
              <w:t xml:space="preserve"> (Australia) Pty Limited</w:t>
            </w:r>
          </w:p>
        </w:tc>
      </w:tr>
    </w:tbl>
    <w:p w:rsidR="005D72D8" w:rsidRDefault="005D72D8" w:rsidP="008254C2">
      <w:pPr>
        <w:pStyle w:val="3Bodytext"/>
        <w:numPr>
          <w:ilvl w:val="0"/>
          <w:numId w:val="0"/>
        </w:numPr>
      </w:pPr>
    </w:p>
    <w:tbl>
      <w:tblPr>
        <w:tblW w:w="9067" w:type="dxa"/>
        <w:tblLayout w:type="fixed"/>
        <w:tblLook w:val="0000" w:firstRow="0" w:lastRow="0" w:firstColumn="0" w:lastColumn="0" w:noHBand="0" w:noVBand="0"/>
      </w:tblPr>
      <w:tblGrid>
        <w:gridCol w:w="1696"/>
        <w:gridCol w:w="7371"/>
      </w:tblGrid>
      <w:tr w:rsidR="005D72D8" w:rsidRPr="001314A4" w:rsidTr="005D72D8">
        <w:trPr>
          <w:cantSplit/>
          <w:trHeight w:val="223"/>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5D72D8" w:rsidRPr="005D72D8" w:rsidRDefault="005D72D8" w:rsidP="005D72D8">
            <w:pPr>
              <w:pStyle w:val="2Sections"/>
              <w:numPr>
                <w:ilvl w:val="0"/>
                <w:numId w:val="0"/>
              </w:numPr>
              <w:spacing w:before="0" w:after="0"/>
              <w:rPr>
                <w:rFonts w:ascii="Arial Narrow" w:eastAsia="Calibri" w:hAnsi="Arial Narrow"/>
                <w:sz w:val="20"/>
                <w:szCs w:val="20"/>
              </w:rPr>
            </w:pPr>
            <w:r w:rsidRPr="005D72D8">
              <w:rPr>
                <w:rFonts w:ascii="Arial Narrow" w:eastAsia="Calibri" w:hAnsi="Arial Narrow"/>
                <w:sz w:val="20"/>
                <w:szCs w:val="20"/>
              </w:rPr>
              <w:t>Category/Program:</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5D72D8" w:rsidRPr="00FA3560" w:rsidRDefault="005D72D8" w:rsidP="005D72D8">
            <w:pPr>
              <w:pStyle w:val="Tabletext"/>
              <w:spacing w:after="0"/>
              <w:rPr>
                <w:rFonts w:ascii="Arial Narrow" w:eastAsia="Calibri" w:hAnsi="Arial Narrow"/>
              </w:rPr>
            </w:pPr>
            <w:r w:rsidRPr="00FA3560">
              <w:rPr>
                <w:rFonts w:ascii="Arial Narrow" w:eastAsia="Calibri" w:hAnsi="Arial Narrow"/>
              </w:rPr>
              <w:t>Section 100 Efficient Funding of Chemotherapy</w:t>
            </w:r>
          </w:p>
        </w:tc>
      </w:tr>
      <w:tr w:rsidR="005D72D8" w:rsidRPr="001314A4" w:rsidTr="00817A73">
        <w:trPr>
          <w:cantSplit/>
          <w:trHeight w:val="127"/>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5D72D8" w:rsidRPr="00962717" w:rsidRDefault="005D72D8" w:rsidP="00817A73">
            <w:pPr>
              <w:pStyle w:val="Tabletext"/>
              <w:spacing w:after="0"/>
              <w:rPr>
                <w:rFonts w:ascii="Arial Narrow" w:eastAsia="Calibri" w:hAnsi="Arial Narrow"/>
                <w:b/>
              </w:rPr>
            </w:pPr>
            <w:r w:rsidRPr="00962717">
              <w:rPr>
                <w:rFonts w:ascii="Arial Narrow" w:eastAsia="Calibri" w:hAnsi="Arial Narrow"/>
                <w:b/>
              </w:rPr>
              <w:t>Prescriber type:</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5D72D8" w:rsidRPr="00FA3560" w:rsidRDefault="005D72D8" w:rsidP="00817A73">
            <w:pPr>
              <w:pStyle w:val="Tabletext"/>
              <w:spacing w:after="0"/>
              <w:rPr>
                <w:rFonts w:ascii="Arial Narrow" w:eastAsia="Calibri" w:hAnsi="Arial Narrow"/>
              </w:rPr>
            </w:pPr>
            <w:r w:rsidRPr="00FA3560">
              <w:rPr>
                <w:rFonts w:ascii="Arial Narrow" w:eastAsia="Calibri" w:hAnsi="Arial Narrow"/>
              </w:rPr>
              <w:fldChar w:fldCharType="begin">
                <w:ffData>
                  <w:name w:val="Check1"/>
                  <w:enabled/>
                  <w:calcOnExit w:val="0"/>
                  <w:checkBox>
                    <w:sizeAuto/>
                    <w:default w:val="0"/>
                  </w:checkBox>
                </w:ffData>
              </w:fldChar>
            </w:r>
            <w:r w:rsidRPr="00FA3560">
              <w:rPr>
                <w:rFonts w:ascii="Arial Narrow" w:eastAsia="Calibri" w:hAnsi="Arial Narrow"/>
              </w:rPr>
              <w:instrText xml:space="preserve"> FORMCHECKBOX </w:instrText>
            </w:r>
            <w:r w:rsidR="00643DA7">
              <w:rPr>
                <w:rFonts w:ascii="Arial Narrow" w:eastAsia="Calibri" w:hAnsi="Arial Narrow"/>
              </w:rPr>
            </w:r>
            <w:r w:rsidR="00643DA7">
              <w:rPr>
                <w:rFonts w:ascii="Arial Narrow" w:eastAsia="Calibri" w:hAnsi="Arial Narrow"/>
              </w:rPr>
              <w:fldChar w:fldCharType="separate"/>
            </w:r>
            <w:r w:rsidRPr="00FA3560">
              <w:rPr>
                <w:rFonts w:ascii="Arial Narrow" w:eastAsia="Calibri" w:hAnsi="Arial Narrow"/>
              </w:rPr>
              <w:fldChar w:fldCharType="end"/>
            </w:r>
            <w:r w:rsidRPr="00FA3560">
              <w:rPr>
                <w:rFonts w:ascii="Arial Narrow" w:eastAsia="Calibri" w:hAnsi="Arial Narrow"/>
              </w:rPr>
              <w:t xml:space="preserve">Dental </w:t>
            </w:r>
            <w:r w:rsidRPr="00FA3560">
              <w:rPr>
                <w:rFonts w:ascii="Arial Narrow" w:eastAsia="Calibri" w:hAnsi="Arial Narrow"/>
              </w:rPr>
              <w:fldChar w:fldCharType="begin">
                <w:ffData>
                  <w:name w:val=""/>
                  <w:enabled/>
                  <w:calcOnExit w:val="0"/>
                  <w:checkBox>
                    <w:sizeAuto/>
                    <w:default w:val="1"/>
                  </w:checkBox>
                </w:ffData>
              </w:fldChar>
            </w:r>
            <w:r w:rsidRPr="00FA3560">
              <w:rPr>
                <w:rFonts w:ascii="Arial Narrow" w:eastAsia="Calibri" w:hAnsi="Arial Narrow"/>
              </w:rPr>
              <w:instrText xml:space="preserve"> FORMCHECKBOX </w:instrText>
            </w:r>
            <w:r w:rsidR="00643DA7">
              <w:rPr>
                <w:rFonts w:ascii="Arial Narrow" w:eastAsia="Calibri" w:hAnsi="Arial Narrow"/>
              </w:rPr>
            </w:r>
            <w:r w:rsidR="00643DA7">
              <w:rPr>
                <w:rFonts w:ascii="Arial Narrow" w:eastAsia="Calibri" w:hAnsi="Arial Narrow"/>
              </w:rPr>
              <w:fldChar w:fldCharType="separate"/>
            </w:r>
            <w:r w:rsidRPr="00FA3560">
              <w:rPr>
                <w:rFonts w:ascii="Arial Narrow" w:eastAsia="Calibri" w:hAnsi="Arial Narrow"/>
              </w:rPr>
              <w:fldChar w:fldCharType="end"/>
            </w:r>
            <w:r w:rsidRPr="00FA3560">
              <w:rPr>
                <w:rFonts w:ascii="Arial Narrow" w:eastAsia="Calibri" w:hAnsi="Arial Narrow"/>
              </w:rPr>
              <w:t xml:space="preserve">Medical Practitioners </w:t>
            </w:r>
            <w:r w:rsidRPr="00FA3560">
              <w:rPr>
                <w:rFonts w:ascii="Arial Narrow" w:eastAsia="Calibri" w:hAnsi="Arial Narrow"/>
              </w:rPr>
              <w:fldChar w:fldCharType="begin">
                <w:ffData>
                  <w:name w:val="Check3"/>
                  <w:enabled/>
                  <w:calcOnExit w:val="0"/>
                  <w:checkBox>
                    <w:sizeAuto/>
                    <w:default w:val="0"/>
                  </w:checkBox>
                </w:ffData>
              </w:fldChar>
            </w:r>
            <w:r w:rsidRPr="00FA3560">
              <w:rPr>
                <w:rFonts w:ascii="Arial Narrow" w:eastAsia="Calibri" w:hAnsi="Arial Narrow"/>
              </w:rPr>
              <w:instrText xml:space="preserve"> FORMCHECKBOX </w:instrText>
            </w:r>
            <w:r w:rsidR="00643DA7">
              <w:rPr>
                <w:rFonts w:ascii="Arial Narrow" w:eastAsia="Calibri" w:hAnsi="Arial Narrow"/>
              </w:rPr>
            </w:r>
            <w:r w:rsidR="00643DA7">
              <w:rPr>
                <w:rFonts w:ascii="Arial Narrow" w:eastAsia="Calibri" w:hAnsi="Arial Narrow"/>
              </w:rPr>
              <w:fldChar w:fldCharType="separate"/>
            </w:r>
            <w:r w:rsidRPr="00FA3560">
              <w:rPr>
                <w:rFonts w:ascii="Arial Narrow" w:eastAsia="Calibri" w:hAnsi="Arial Narrow"/>
              </w:rPr>
              <w:fldChar w:fldCharType="end"/>
            </w:r>
            <w:r w:rsidRPr="00FA3560">
              <w:rPr>
                <w:rFonts w:ascii="Arial Narrow" w:eastAsia="Calibri" w:hAnsi="Arial Narrow"/>
              </w:rPr>
              <w:t xml:space="preserve">Nurse practitioners  </w:t>
            </w:r>
            <w:r w:rsidRPr="00FA3560">
              <w:rPr>
                <w:rFonts w:ascii="Arial Narrow" w:eastAsia="Calibri" w:hAnsi="Arial Narrow"/>
              </w:rPr>
              <w:fldChar w:fldCharType="begin">
                <w:ffData>
                  <w:name w:val=""/>
                  <w:enabled/>
                  <w:calcOnExit w:val="0"/>
                  <w:checkBox>
                    <w:sizeAuto/>
                    <w:default w:val="0"/>
                  </w:checkBox>
                </w:ffData>
              </w:fldChar>
            </w:r>
            <w:r w:rsidRPr="00FA3560">
              <w:rPr>
                <w:rFonts w:ascii="Arial Narrow" w:eastAsia="Calibri" w:hAnsi="Arial Narrow"/>
              </w:rPr>
              <w:instrText xml:space="preserve"> FORMCHECKBOX </w:instrText>
            </w:r>
            <w:r w:rsidR="00643DA7">
              <w:rPr>
                <w:rFonts w:ascii="Arial Narrow" w:eastAsia="Calibri" w:hAnsi="Arial Narrow"/>
              </w:rPr>
            </w:r>
            <w:r w:rsidR="00643DA7">
              <w:rPr>
                <w:rFonts w:ascii="Arial Narrow" w:eastAsia="Calibri" w:hAnsi="Arial Narrow"/>
              </w:rPr>
              <w:fldChar w:fldCharType="separate"/>
            </w:r>
            <w:r w:rsidRPr="00FA3560">
              <w:rPr>
                <w:rFonts w:ascii="Arial Narrow" w:eastAsia="Calibri" w:hAnsi="Arial Narrow"/>
              </w:rPr>
              <w:fldChar w:fldCharType="end"/>
            </w:r>
            <w:r w:rsidRPr="00FA3560">
              <w:rPr>
                <w:rFonts w:ascii="Arial Narrow" w:eastAsia="Calibri" w:hAnsi="Arial Narrow"/>
              </w:rPr>
              <w:t xml:space="preserve">Optometrists </w:t>
            </w:r>
            <w:r w:rsidRPr="00FA3560">
              <w:rPr>
                <w:rFonts w:ascii="Arial Narrow" w:eastAsia="Calibri" w:hAnsi="Arial Narrow"/>
              </w:rPr>
              <w:fldChar w:fldCharType="begin">
                <w:ffData>
                  <w:name w:val="Check5"/>
                  <w:enabled/>
                  <w:calcOnExit w:val="0"/>
                  <w:checkBox>
                    <w:sizeAuto/>
                    <w:default w:val="0"/>
                  </w:checkBox>
                </w:ffData>
              </w:fldChar>
            </w:r>
            <w:r w:rsidRPr="00FA3560">
              <w:rPr>
                <w:rFonts w:ascii="Arial Narrow" w:eastAsia="Calibri" w:hAnsi="Arial Narrow"/>
              </w:rPr>
              <w:instrText xml:space="preserve"> FORMCHECKBOX </w:instrText>
            </w:r>
            <w:r w:rsidR="00643DA7">
              <w:rPr>
                <w:rFonts w:ascii="Arial Narrow" w:eastAsia="Calibri" w:hAnsi="Arial Narrow"/>
              </w:rPr>
            </w:r>
            <w:r w:rsidR="00643DA7">
              <w:rPr>
                <w:rFonts w:ascii="Arial Narrow" w:eastAsia="Calibri" w:hAnsi="Arial Narrow"/>
              </w:rPr>
              <w:fldChar w:fldCharType="separate"/>
            </w:r>
            <w:r w:rsidRPr="00FA3560">
              <w:rPr>
                <w:rFonts w:ascii="Arial Narrow" w:eastAsia="Calibri" w:hAnsi="Arial Narrow"/>
              </w:rPr>
              <w:fldChar w:fldCharType="end"/>
            </w:r>
            <w:r w:rsidRPr="00FA3560">
              <w:rPr>
                <w:rFonts w:ascii="Arial Narrow" w:eastAsia="Calibri" w:hAnsi="Arial Narrow"/>
              </w:rPr>
              <w:t>Midwives</w:t>
            </w:r>
          </w:p>
        </w:tc>
      </w:tr>
      <w:tr w:rsidR="005D72D8" w:rsidRPr="00962717" w:rsidTr="00817A73">
        <w:trPr>
          <w:cantSplit/>
          <w:trHeight w:val="173"/>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5D72D8" w:rsidRPr="00962717" w:rsidRDefault="005D72D8" w:rsidP="00817A73">
            <w:pPr>
              <w:pStyle w:val="Tabletext"/>
              <w:spacing w:after="0"/>
              <w:rPr>
                <w:rFonts w:ascii="Arial Narrow" w:eastAsia="Calibri" w:hAnsi="Arial Narrow"/>
                <w:b/>
                <w:i/>
              </w:rPr>
            </w:pPr>
            <w:r w:rsidRPr="00E534BD">
              <w:rPr>
                <w:rFonts w:ascii="Arial Narrow" w:eastAsia="Calibri" w:hAnsi="Arial Narrow"/>
                <w:b/>
              </w:rPr>
              <w:t>Severity</w:t>
            </w:r>
            <w:r w:rsidRPr="00962717">
              <w:rPr>
                <w:rFonts w:ascii="Arial Narrow" w:eastAsia="Calibri" w:hAnsi="Arial Narrow"/>
                <w:b/>
                <w:i/>
              </w:rPr>
              <w:t>:</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5D72D8" w:rsidRPr="00FA3560" w:rsidRDefault="005D72D8" w:rsidP="005D72D8">
            <w:pPr>
              <w:pStyle w:val="Tabletext"/>
              <w:spacing w:after="0"/>
              <w:rPr>
                <w:rFonts w:ascii="Arial Narrow" w:eastAsia="Calibri" w:hAnsi="Arial Narrow"/>
              </w:rPr>
            </w:pPr>
            <w:r w:rsidRPr="00FA3560">
              <w:rPr>
                <w:rFonts w:ascii="Arial Narrow" w:eastAsia="Calibri" w:hAnsi="Arial Narrow"/>
              </w:rPr>
              <w:t>Resected Stage IIIB, IIIC</w:t>
            </w:r>
            <w:r>
              <w:rPr>
                <w:rFonts w:ascii="Arial Narrow" w:eastAsia="Calibri" w:hAnsi="Arial Narrow"/>
              </w:rPr>
              <w:t xml:space="preserve"> or</w:t>
            </w:r>
            <w:r w:rsidRPr="00FA3560">
              <w:rPr>
                <w:rFonts w:ascii="Arial Narrow" w:eastAsia="Calibri" w:hAnsi="Arial Narrow"/>
              </w:rPr>
              <w:t xml:space="preserve"> IIID  </w:t>
            </w:r>
          </w:p>
        </w:tc>
      </w:tr>
      <w:tr w:rsidR="005D72D8" w:rsidRPr="001314A4" w:rsidTr="00817A73">
        <w:trPr>
          <w:cantSplit/>
          <w:trHeight w:val="173"/>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5D72D8" w:rsidRPr="00962717" w:rsidRDefault="005D72D8" w:rsidP="00817A73">
            <w:pPr>
              <w:pStyle w:val="Tabletext"/>
              <w:spacing w:after="0"/>
              <w:rPr>
                <w:rFonts w:ascii="Arial Narrow" w:eastAsia="Calibri" w:hAnsi="Arial Narrow"/>
                <w:b/>
              </w:rPr>
            </w:pPr>
            <w:r w:rsidRPr="00962717">
              <w:rPr>
                <w:rFonts w:ascii="Arial Narrow" w:eastAsia="Calibri" w:hAnsi="Arial Narrow"/>
                <w:b/>
              </w:rPr>
              <w:t>Condition:</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5D72D8" w:rsidRPr="00FA3560" w:rsidRDefault="005D72D8" w:rsidP="00817A73">
            <w:pPr>
              <w:pStyle w:val="Tabletext"/>
              <w:spacing w:after="0"/>
              <w:rPr>
                <w:rFonts w:ascii="Arial Narrow" w:eastAsia="Calibri" w:hAnsi="Arial Narrow"/>
              </w:rPr>
            </w:pPr>
            <w:r w:rsidRPr="00FA3560">
              <w:rPr>
                <w:rFonts w:ascii="Arial Narrow" w:eastAsia="Calibri" w:hAnsi="Arial Narrow"/>
              </w:rPr>
              <w:t>Malignant melanoma</w:t>
            </w:r>
          </w:p>
        </w:tc>
      </w:tr>
      <w:tr w:rsidR="005D72D8" w:rsidRPr="001314A4" w:rsidTr="00817A73">
        <w:trPr>
          <w:cantSplit/>
          <w:trHeight w:val="143"/>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5D72D8" w:rsidRPr="00962717" w:rsidRDefault="005D72D8" w:rsidP="00817A73">
            <w:pPr>
              <w:pStyle w:val="Tabletext"/>
              <w:spacing w:after="0"/>
              <w:rPr>
                <w:rFonts w:ascii="Arial Narrow" w:eastAsia="Calibri" w:hAnsi="Arial Narrow"/>
                <w:b/>
              </w:rPr>
            </w:pPr>
            <w:r w:rsidRPr="00962717">
              <w:rPr>
                <w:rFonts w:ascii="Arial Narrow" w:eastAsia="Calibri" w:hAnsi="Arial Narrow"/>
                <w:b/>
              </w:rPr>
              <w:t>PBS indication:</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5D72D8" w:rsidRPr="00FA3560" w:rsidRDefault="005D72D8" w:rsidP="005D72D8">
            <w:pPr>
              <w:pStyle w:val="Tabletext"/>
              <w:spacing w:after="0"/>
              <w:rPr>
                <w:rFonts w:ascii="Arial Narrow" w:eastAsia="Calibri" w:hAnsi="Arial Narrow"/>
              </w:rPr>
            </w:pPr>
            <w:r w:rsidRPr="00FA3560">
              <w:rPr>
                <w:rFonts w:ascii="Arial Narrow" w:eastAsia="Calibri" w:hAnsi="Arial Narrow"/>
              </w:rPr>
              <w:t>Resected Stage IIIB, IIIC</w:t>
            </w:r>
            <w:r>
              <w:rPr>
                <w:rFonts w:ascii="Arial Narrow" w:eastAsia="Calibri" w:hAnsi="Arial Narrow"/>
              </w:rPr>
              <w:t xml:space="preserve"> or </w:t>
            </w:r>
            <w:r w:rsidRPr="00FA3560">
              <w:rPr>
                <w:rFonts w:ascii="Arial Narrow" w:eastAsia="Calibri" w:hAnsi="Arial Narrow"/>
              </w:rPr>
              <w:t xml:space="preserve"> IIID malignant melanoma</w:t>
            </w:r>
          </w:p>
        </w:tc>
      </w:tr>
      <w:tr w:rsidR="005D72D8" w:rsidRPr="001314A4" w:rsidTr="00817A73">
        <w:trPr>
          <w:cantSplit/>
          <w:trHeight w:val="169"/>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5D72D8" w:rsidRPr="00962717" w:rsidRDefault="005D72D8" w:rsidP="00817A73">
            <w:pPr>
              <w:pStyle w:val="Tabletext"/>
              <w:spacing w:after="0"/>
              <w:rPr>
                <w:rFonts w:ascii="Arial Narrow" w:eastAsia="Calibri" w:hAnsi="Arial Narrow"/>
                <w:b/>
              </w:rPr>
            </w:pPr>
            <w:r>
              <w:rPr>
                <w:rFonts w:ascii="Arial Narrow" w:eastAsia="Calibri" w:hAnsi="Arial Narrow"/>
                <w:b/>
              </w:rPr>
              <w:t>Restriction level:</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5D72D8" w:rsidRPr="00BD4955" w:rsidRDefault="005D72D8" w:rsidP="00817A73">
            <w:pPr>
              <w:pStyle w:val="Tabletext"/>
              <w:spacing w:after="0"/>
              <w:rPr>
                <w:rFonts w:ascii="Arial Narrow" w:eastAsia="Calibri" w:hAnsi="Arial Narrow"/>
              </w:rPr>
            </w:pPr>
            <w:r w:rsidRPr="00BD4955">
              <w:rPr>
                <w:rFonts w:ascii="Arial Narrow" w:hAnsi="Arial Narrow"/>
              </w:rPr>
              <w:fldChar w:fldCharType="begin">
                <w:ffData>
                  <w:name w:val="Check5"/>
                  <w:enabled/>
                  <w:calcOnExit w:val="0"/>
                  <w:checkBox>
                    <w:sizeAuto/>
                    <w:default w:val="1"/>
                  </w:checkBox>
                </w:ffData>
              </w:fldChar>
            </w:r>
            <w:r w:rsidRPr="00BD4955">
              <w:rPr>
                <w:rFonts w:ascii="Arial Narrow" w:hAnsi="Arial Narrow"/>
              </w:rPr>
              <w:instrText xml:space="preserve"> FORMCHECKBOX </w:instrText>
            </w:r>
            <w:r w:rsidR="00643DA7">
              <w:rPr>
                <w:rFonts w:ascii="Arial Narrow" w:hAnsi="Arial Narrow"/>
              </w:rPr>
            </w:r>
            <w:r w:rsidR="00643DA7">
              <w:rPr>
                <w:rFonts w:ascii="Arial Narrow" w:hAnsi="Arial Narrow"/>
              </w:rPr>
              <w:fldChar w:fldCharType="separate"/>
            </w:r>
            <w:r w:rsidRPr="00BD4955">
              <w:rPr>
                <w:rFonts w:ascii="Arial Narrow" w:hAnsi="Arial Narrow"/>
              </w:rPr>
              <w:fldChar w:fldCharType="end"/>
            </w:r>
            <w:r w:rsidRPr="00BD4955">
              <w:rPr>
                <w:rFonts w:ascii="Arial Narrow" w:hAnsi="Arial Narrow"/>
              </w:rPr>
              <w:t xml:space="preserve"> Authority Required (Telephone)</w:t>
            </w:r>
          </w:p>
        </w:tc>
      </w:tr>
      <w:tr w:rsidR="005D72D8" w:rsidRPr="001314A4" w:rsidTr="00817A73">
        <w:trPr>
          <w:cantSplit/>
          <w:trHeight w:val="1493"/>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5D72D8" w:rsidRPr="00962717" w:rsidRDefault="005D72D8" w:rsidP="00817A73">
            <w:pPr>
              <w:pStyle w:val="Tabletext"/>
              <w:spacing w:after="0"/>
              <w:rPr>
                <w:rFonts w:ascii="Arial Narrow" w:eastAsia="Calibri" w:hAnsi="Arial Narrow"/>
                <w:b/>
              </w:rPr>
            </w:pPr>
            <w:r w:rsidRPr="00962717">
              <w:rPr>
                <w:rFonts w:ascii="Arial Narrow" w:eastAsia="Calibri" w:hAnsi="Arial Narrow"/>
                <w:b/>
              </w:rPr>
              <w:t>Clinical criteria:</w:t>
            </w:r>
          </w:p>
          <w:p w:rsidR="005D72D8" w:rsidRPr="00962717" w:rsidRDefault="005D72D8" w:rsidP="00817A73">
            <w:pPr>
              <w:pStyle w:val="Tabletext"/>
              <w:spacing w:after="0"/>
              <w:rPr>
                <w:rFonts w:ascii="Arial Narrow" w:eastAsia="Calibri" w:hAnsi="Arial Narrow"/>
                <w:b/>
              </w:rPr>
            </w:pP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AB15EE" w:rsidRPr="00FA3560" w:rsidRDefault="00AB15EE" w:rsidP="00AB15EE">
            <w:pPr>
              <w:pStyle w:val="Tabletext"/>
              <w:spacing w:after="0"/>
              <w:rPr>
                <w:rFonts w:ascii="Arial Narrow" w:hAnsi="Arial Narrow"/>
              </w:rPr>
            </w:pPr>
            <w:r w:rsidRPr="00FA3560">
              <w:rPr>
                <w:rFonts w:ascii="Arial Narrow" w:hAnsi="Arial Narrow"/>
              </w:rPr>
              <w:t xml:space="preserve">The treatment must be adjuvant to complete surgical resection; </w:t>
            </w:r>
          </w:p>
          <w:p w:rsidR="00AB15EE" w:rsidRPr="00FA3560" w:rsidRDefault="00AB15EE" w:rsidP="00AB15EE">
            <w:pPr>
              <w:pStyle w:val="Tabletext"/>
              <w:spacing w:after="0"/>
              <w:rPr>
                <w:rFonts w:ascii="Arial Narrow" w:hAnsi="Arial Narrow"/>
              </w:rPr>
            </w:pPr>
            <w:r w:rsidRPr="00FA3560">
              <w:rPr>
                <w:rFonts w:ascii="Arial Narrow" w:hAnsi="Arial Narrow"/>
              </w:rPr>
              <w:t>AND</w:t>
            </w:r>
          </w:p>
          <w:p w:rsidR="00AB15EE" w:rsidRPr="00FA3560" w:rsidRDefault="00AB15EE" w:rsidP="00AB15EE">
            <w:pPr>
              <w:pStyle w:val="Tabletext"/>
              <w:spacing w:after="0"/>
              <w:rPr>
                <w:rFonts w:ascii="Arial Narrow" w:hAnsi="Arial Narrow"/>
              </w:rPr>
            </w:pPr>
            <w:r>
              <w:rPr>
                <w:rFonts w:ascii="Arial Narrow" w:hAnsi="Arial Narrow"/>
              </w:rPr>
              <w:t>P</w:t>
            </w:r>
            <w:r w:rsidRPr="00FA3560">
              <w:rPr>
                <w:rFonts w:ascii="Arial Narrow" w:hAnsi="Arial Narrow"/>
              </w:rPr>
              <w:t xml:space="preserve">atient must have </w:t>
            </w:r>
            <w:r>
              <w:rPr>
                <w:rFonts w:ascii="Arial Narrow" w:hAnsi="Arial Narrow"/>
              </w:rPr>
              <w:t>a WHO performance status of 1 or less at the commencement of treatment with this drug,</w:t>
            </w:r>
          </w:p>
          <w:p w:rsidR="00AB15EE" w:rsidRPr="00FA3560" w:rsidRDefault="00AB15EE" w:rsidP="00AB15EE">
            <w:pPr>
              <w:pStyle w:val="Tabletext"/>
              <w:spacing w:after="0"/>
              <w:rPr>
                <w:rFonts w:ascii="Arial Narrow" w:hAnsi="Arial Narrow"/>
              </w:rPr>
            </w:pPr>
            <w:r w:rsidRPr="00FA3560">
              <w:rPr>
                <w:rFonts w:ascii="Arial Narrow" w:hAnsi="Arial Narrow"/>
              </w:rPr>
              <w:t>AND</w:t>
            </w:r>
          </w:p>
          <w:p w:rsidR="00AB15EE" w:rsidRPr="00FA3560" w:rsidRDefault="00AB15EE" w:rsidP="00AB15EE">
            <w:pPr>
              <w:pStyle w:val="Tabletext"/>
              <w:spacing w:after="0"/>
              <w:rPr>
                <w:rFonts w:ascii="Arial Narrow" w:hAnsi="Arial Narrow"/>
              </w:rPr>
            </w:pPr>
            <w:r w:rsidRPr="00FA3560">
              <w:rPr>
                <w:rFonts w:ascii="Arial Narrow" w:hAnsi="Arial Narrow"/>
              </w:rPr>
              <w:t>The treatment must be the sole PBS-subsidised therapy for this condition,</w:t>
            </w:r>
          </w:p>
          <w:p w:rsidR="00AB15EE" w:rsidRPr="00FA3560" w:rsidRDefault="00AB15EE" w:rsidP="00AB15EE">
            <w:pPr>
              <w:pStyle w:val="Tabletext"/>
              <w:spacing w:after="0"/>
              <w:rPr>
                <w:rFonts w:ascii="Arial Narrow" w:hAnsi="Arial Narrow"/>
              </w:rPr>
            </w:pPr>
            <w:r w:rsidRPr="00FA3560">
              <w:rPr>
                <w:rFonts w:ascii="Arial Narrow" w:hAnsi="Arial Narrow"/>
              </w:rPr>
              <w:t>AND</w:t>
            </w:r>
          </w:p>
          <w:p w:rsidR="00AB15EE" w:rsidRDefault="00AB15EE" w:rsidP="00AB15EE">
            <w:pPr>
              <w:pStyle w:val="Tabletext"/>
              <w:spacing w:after="0"/>
              <w:rPr>
                <w:rFonts w:ascii="Arial Narrow" w:hAnsi="Arial Narrow"/>
              </w:rPr>
            </w:pPr>
            <w:r>
              <w:rPr>
                <w:rFonts w:ascii="Arial Narrow" w:hAnsi="Arial Narrow"/>
              </w:rPr>
              <w:t>P</w:t>
            </w:r>
            <w:r w:rsidRPr="00FA3560">
              <w:rPr>
                <w:rFonts w:ascii="Arial Narrow" w:hAnsi="Arial Narrow"/>
              </w:rPr>
              <w:t>atient must not have received prior PBS-subsidis</w:t>
            </w:r>
            <w:r>
              <w:rPr>
                <w:rFonts w:ascii="Arial Narrow" w:hAnsi="Arial Narrow"/>
              </w:rPr>
              <w:t>ed treatment for this condition,</w:t>
            </w:r>
          </w:p>
          <w:p w:rsidR="00AB15EE" w:rsidRDefault="00AB15EE" w:rsidP="00AB15EE">
            <w:pPr>
              <w:pStyle w:val="Tabletext"/>
              <w:spacing w:after="0"/>
              <w:rPr>
                <w:rFonts w:ascii="Arial Narrow" w:hAnsi="Arial Narrow"/>
              </w:rPr>
            </w:pPr>
            <w:r>
              <w:rPr>
                <w:rFonts w:ascii="Arial Narrow" w:hAnsi="Arial Narrow"/>
              </w:rPr>
              <w:t xml:space="preserve">AND </w:t>
            </w:r>
          </w:p>
          <w:p w:rsidR="00AB15EE" w:rsidRPr="00FA3560" w:rsidRDefault="00AB15EE" w:rsidP="00AB15EE">
            <w:pPr>
              <w:pStyle w:val="Tabletext"/>
              <w:spacing w:after="0"/>
              <w:rPr>
                <w:rFonts w:ascii="Arial Narrow" w:hAnsi="Arial Narrow"/>
              </w:rPr>
            </w:pPr>
            <w:r>
              <w:rPr>
                <w:rFonts w:ascii="Arial Narrow" w:hAnsi="Arial Narrow"/>
              </w:rPr>
              <w:t>T</w:t>
            </w:r>
            <w:r w:rsidRPr="00FA3560">
              <w:rPr>
                <w:rFonts w:ascii="Arial Narrow" w:hAnsi="Arial Narrow"/>
              </w:rPr>
              <w:t>reatment must commence within 12 weeks of complete resection, unless delay is necessary due to post-surgery recovery,</w:t>
            </w:r>
          </w:p>
          <w:p w:rsidR="00AB15EE" w:rsidRDefault="00AB15EE" w:rsidP="00AB15EE">
            <w:pPr>
              <w:pStyle w:val="Tabletext"/>
              <w:spacing w:after="0"/>
              <w:rPr>
                <w:rFonts w:ascii="Arial Narrow" w:hAnsi="Arial Narrow"/>
              </w:rPr>
            </w:pPr>
            <w:r w:rsidRPr="00FA3560">
              <w:rPr>
                <w:rFonts w:ascii="Arial Narrow" w:hAnsi="Arial Narrow"/>
              </w:rPr>
              <w:t>AND</w:t>
            </w:r>
          </w:p>
          <w:p w:rsidR="00AB15EE" w:rsidRDefault="00AB15EE" w:rsidP="00AB15EE">
            <w:pPr>
              <w:pStyle w:val="Tabletext"/>
              <w:spacing w:after="0"/>
              <w:rPr>
                <w:rFonts w:ascii="Arial Narrow" w:hAnsi="Arial Narrow"/>
              </w:rPr>
            </w:pPr>
            <w:r>
              <w:rPr>
                <w:rFonts w:ascii="Arial Narrow" w:hAnsi="Arial Narrow"/>
              </w:rPr>
              <w:t>The treatment must cease if disease recurs,</w:t>
            </w:r>
          </w:p>
          <w:p w:rsidR="00AB15EE" w:rsidRDefault="00AB15EE" w:rsidP="00AB15EE">
            <w:pPr>
              <w:pStyle w:val="Tabletext"/>
              <w:spacing w:after="0"/>
              <w:rPr>
                <w:rFonts w:ascii="Arial Narrow" w:hAnsi="Arial Narrow"/>
              </w:rPr>
            </w:pPr>
            <w:r>
              <w:rPr>
                <w:rFonts w:ascii="Arial Narrow" w:hAnsi="Arial Narrow"/>
              </w:rPr>
              <w:t xml:space="preserve">AND </w:t>
            </w:r>
          </w:p>
          <w:p w:rsidR="00AB15EE" w:rsidRDefault="00AB15EE" w:rsidP="00AB15EE">
            <w:pPr>
              <w:pStyle w:val="Tabletext"/>
              <w:spacing w:after="0"/>
              <w:rPr>
                <w:rFonts w:ascii="Arial Narrow" w:hAnsi="Arial Narrow"/>
              </w:rPr>
            </w:pPr>
            <w:r>
              <w:rPr>
                <w:rFonts w:ascii="Arial Narrow" w:hAnsi="Arial Narrow"/>
              </w:rPr>
              <w:t>The t</w:t>
            </w:r>
            <w:r w:rsidRPr="00FA3560">
              <w:rPr>
                <w:rFonts w:ascii="Arial Narrow" w:hAnsi="Arial Narrow"/>
              </w:rPr>
              <w:t xml:space="preserve">reatment must not exceed a maximum duration of 12 months </w:t>
            </w:r>
            <w:r>
              <w:rPr>
                <w:rFonts w:ascii="Arial Narrow" w:hAnsi="Arial Narrow"/>
              </w:rPr>
              <w:t>for adjuvant treatment of completely resected Stage IIIB, IIIC or IIID melanoma,</w:t>
            </w:r>
          </w:p>
          <w:p w:rsidR="00AB15EE" w:rsidRDefault="00AB15EE" w:rsidP="00AB15EE">
            <w:pPr>
              <w:pStyle w:val="Tabletext"/>
              <w:spacing w:after="0"/>
              <w:rPr>
                <w:rFonts w:ascii="Arial Narrow" w:hAnsi="Arial Narrow"/>
              </w:rPr>
            </w:pPr>
            <w:r>
              <w:rPr>
                <w:rFonts w:ascii="Arial Narrow" w:hAnsi="Arial Narrow"/>
              </w:rPr>
              <w:t>AND</w:t>
            </w:r>
          </w:p>
          <w:p w:rsidR="005D72D8" w:rsidRPr="00FA3560" w:rsidRDefault="00AB15EE" w:rsidP="0034380C">
            <w:pPr>
              <w:pStyle w:val="Tabletext"/>
              <w:spacing w:after="0"/>
              <w:rPr>
                <w:rFonts w:ascii="Arial Narrow" w:hAnsi="Arial Narrow"/>
                <w:strike/>
              </w:rPr>
            </w:pPr>
            <w:r>
              <w:rPr>
                <w:rFonts w:ascii="Arial Narrow" w:hAnsi="Arial Narrow"/>
              </w:rPr>
              <w:t>The treatment must not exceed a dose of 200 mg every three weeks.</w:t>
            </w:r>
          </w:p>
        </w:tc>
      </w:tr>
      <w:tr w:rsidR="005D72D8" w:rsidRPr="001314A4" w:rsidTr="00817A73">
        <w:trPr>
          <w:cantSplit/>
          <w:trHeight w:val="446"/>
        </w:trPr>
        <w:tc>
          <w:tcPr>
            <w:tcW w:w="1696" w:type="dxa"/>
            <w:tcBorders>
              <w:top w:val="single" w:sz="4" w:space="0" w:color="auto"/>
              <w:left w:val="single" w:sz="4" w:space="0" w:color="auto"/>
              <w:bottom w:val="single" w:sz="4" w:space="0" w:color="auto"/>
              <w:right w:val="single" w:sz="4" w:space="0" w:color="auto"/>
            </w:tcBorders>
            <w:tcMar>
              <w:left w:w="28" w:type="dxa"/>
              <w:right w:w="28" w:type="dxa"/>
            </w:tcMar>
          </w:tcPr>
          <w:p w:rsidR="005D72D8" w:rsidRPr="0088698C" w:rsidRDefault="005D72D8" w:rsidP="00817A73">
            <w:pPr>
              <w:pStyle w:val="Tabletext"/>
              <w:rPr>
                <w:rFonts w:ascii="Arial Narrow" w:eastAsia="Calibri" w:hAnsi="Arial Narrow"/>
                <w:b/>
              </w:rPr>
            </w:pPr>
            <w:r w:rsidRPr="0088698C">
              <w:rPr>
                <w:rFonts w:ascii="Arial Narrow" w:eastAsia="Calibri" w:hAnsi="Arial Narrow"/>
                <w:b/>
              </w:rPr>
              <w:lastRenderedPageBreak/>
              <w:t>Notes:</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AB15EE" w:rsidRDefault="005D72D8" w:rsidP="00817A73">
            <w:pPr>
              <w:pStyle w:val="Tabletext"/>
              <w:spacing w:after="0"/>
              <w:rPr>
                <w:rFonts w:ascii="Arial Narrow" w:eastAsia="Calibri" w:hAnsi="Arial Narrow"/>
              </w:rPr>
            </w:pPr>
            <w:r w:rsidRPr="00FA3560">
              <w:rPr>
                <w:rFonts w:ascii="Arial Narrow" w:eastAsia="Calibri" w:hAnsi="Arial Narrow"/>
              </w:rPr>
              <w:t>No increase in the maximum quantity or number o</w:t>
            </w:r>
            <w:r>
              <w:rPr>
                <w:rFonts w:ascii="Arial Narrow" w:eastAsia="Calibri" w:hAnsi="Arial Narrow"/>
              </w:rPr>
              <w:t xml:space="preserve">f units </w:t>
            </w:r>
            <w:r w:rsidR="00AB15EE">
              <w:rPr>
                <w:rFonts w:ascii="Arial Narrow" w:eastAsia="Calibri" w:hAnsi="Arial Narrow"/>
              </w:rPr>
              <w:t>may be authorised.</w:t>
            </w:r>
          </w:p>
          <w:p w:rsidR="005D72D8" w:rsidRPr="00FA3560" w:rsidRDefault="00AB15EE" w:rsidP="00817A73">
            <w:pPr>
              <w:pStyle w:val="Tabletext"/>
              <w:spacing w:after="0"/>
              <w:rPr>
                <w:rFonts w:ascii="Arial Narrow" w:eastAsia="Calibri" w:hAnsi="Arial Narrow"/>
              </w:rPr>
            </w:pPr>
            <w:r>
              <w:rPr>
                <w:rFonts w:ascii="Arial Narrow" w:eastAsia="Calibri" w:hAnsi="Arial Narrow"/>
              </w:rPr>
              <w:t xml:space="preserve">No increase in the </w:t>
            </w:r>
            <w:r w:rsidR="005D72D8">
              <w:rPr>
                <w:rFonts w:ascii="Arial Narrow" w:eastAsia="Calibri" w:hAnsi="Arial Narrow"/>
              </w:rPr>
              <w:t xml:space="preserve">number of repeats </w:t>
            </w:r>
            <w:r>
              <w:rPr>
                <w:rFonts w:ascii="Arial Narrow" w:eastAsia="Calibri" w:hAnsi="Arial Narrow"/>
              </w:rPr>
              <w:t>may</w:t>
            </w:r>
            <w:r w:rsidR="005D72D8" w:rsidRPr="00FA3560">
              <w:rPr>
                <w:rFonts w:ascii="Arial Narrow" w:eastAsia="Calibri" w:hAnsi="Arial Narrow"/>
              </w:rPr>
              <w:t xml:space="preserve"> be authorised.</w:t>
            </w:r>
          </w:p>
          <w:p w:rsidR="005D72D8" w:rsidRPr="00FA3560" w:rsidRDefault="005D72D8" w:rsidP="00817A73">
            <w:pPr>
              <w:pStyle w:val="Tabletext"/>
              <w:spacing w:after="0"/>
              <w:rPr>
                <w:rFonts w:ascii="Arial Narrow" w:eastAsia="Calibri" w:hAnsi="Arial Narrow"/>
              </w:rPr>
            </w:pPr>
            <w:r w:rsidRPr="00FA3560">
              <w:rPr>
                <w:rFonts w:ascii="Arial Narrow" w:eastAsia="Calibri" w:hAnsi="Arial Narrow"/>
              </w:rPr>
              <w:t>Special Pricing Arrangements apply.</w:t>
            </w:r>
          </w:p>
        </w:tc>
      </w:tr>
    </w:tbl>
    <w:p w:rsidR="005D72D8" w:rsidRPr="0088698C" w:rsidRDefault="005D72D8" w:rsidP="005D72D8"/>
    <w:tbl>
      <w:tblPr>
        <w:tblW w:w="9072" w:type="dxa"/>
        <w:tblInd w:w="-5" w:type="dxa"/>
        <w:tblLayout w:type="fixed"/>
        <w:tblLook w:val="0000" w:firstRow="0" w:lastRow="0" w:firstColumn="0" w:lastColumn="0" w:noHBand="0" w:noVBand="0"/>
      </w:tblPr>
      <w:tblGrid>
        <w:gridCol w:w="1701"/>
        <w:gridCol w:w="7371"/>
      </w:tblGrid>
      <w:tr w:rsidR="005D72D8" w:rsidRPr="001314A4" w:rsidTr="00817A73">
        <w:trPr>
          <w:cantSplit/>
          <w:trHeight w:val="175"/>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5D72D8" w:rsidRPr="002D3312" w:rsidRDefault="005D72D8" w:rsidP="00817A73">
            <w:pPr>
              <w:pStyle w:val="Tabletext"/>
              <w:spacing w:after="0"/>
              <w:rPr>
                <w:rFonts w:ascii="Arial Narrow" w:eastAsia="Calibri" w:hAnsi="Arial Narrow"/>
                <w:b/>
              </w:rPr>
            </w:pPr>
            <w:r w:rsidRPr="002D3312">
              <w:rPr>
                <w:rFonts w:ascii="Arial Narrow" w:eastAsia="Calibri" w:hAnsi="Arial Narrow"/>
                <w:b/>
              </w:rPr>
              <w:t>Category/Program</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5D72D8" w:rsidRPr="00311A43" w:rsidRDefault="005D72D8" w:rsidP="00817A73">
            <w:pPr>
              <w:pStyle w:val="Tabletext"/>
              <w:spacing w:after="0"/>
              <w:rPr>
                <w:rFonts w:ascii="Arial Narrow" w:eastAsia="Calibri" w:hAnsi="Arial Narrow"/>
              </w:rPr>
            </w:pPr>
            <w:r w:rsidRPr="00311A43">
              <w:rPr>
                <w:rFonts w:ascii="Arial Narrow" w:eastAsia="Calibri" w:hAnsi="Arial Narrow"/>
              </w:rPr>
              <w:t>Section 100 Efficient Funding of Chemotherapy</w:t>
            </w:r>
          </w:p>
        </w:tc>
      </w:tr>
      <w:tr w:rsidR="005D72D8" w:rsidRPr="001314A4" w:rsidTr="00817A73">
        <w:trPr>
          <w:cantSplit/>
          <w:trHeight w:val="80"/>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5D72D8" w:rsidRPr="002D3312" w:rsidRDefault="005D72D8" w:rsidP="00817A73">
            <w:pPr>
              <w:pStyle w:val="Tabletext"/>
              <w:spacing w:after="0"/>
              <w:rPr>
                <w:rFonts w:ascii="Arial Narrow" w:eastAsia="Calibri" w:hAnsi="Arial Narrow"/>
                <w:b/>
              </w:rPr>
            </w:pPr>
            <w:r w:rsidRPr="002D3312">
              <w:rPr>
                <w:rFonts w:ascii="Arial Narrow" w:eastAsia="Calibri" w:hAnsi="Arial Narrow"/>
                <w:b/>
              </w:rPr>
              <w:t>Prescriber type</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5D72D8" w:rsidRPr="00311A43" w:rsidRDefault="005D72D8" w:rsidP="00817A73">
            <w:pPr>
              <w:pStyle w:val="Tabletext"/>
              <w:spacing w:after="0"/>
              <w:rPr>
                <w:rFonts w:ascii="Arial Narrow" w:eastAsia="Calibri" w:hAnsi="Arial Narrow"/>
              </w:rPr>
            </w:pPr>
            <w:r w:rsidRPr="00311A43">
              <w:rPr>
                <w:rFonts w:ascii="Arial Narrow" w:eastAsia="Calibri" w:hAnsi="Arial Narrow"/>
              </w:rPr>
              <w:fldChar w:fldCharType="begin">
                <w:ffData>
                  <w:name w:val="Check1"/>
                  <w:enabled/>
                  <w:calcOnExit w:val="0"/>
                  <w:checkBox>
                    <w:sizeAuto/>
                    <w:default w:val="0"/>
                  </w:checkBox>
                </w:ffData>
              </w:fldChar>
            </w:r>
            <w:r w:rsidRPr="00311A43">
              <w:rPr>
                <w:rFonts w:ascii="Arial Narrow" w:eastAsia="Calibri" w:hAnsi="Arial Narrow"/>
              </w:rPr>
              <w:instrText xml:space="preserve"> FORMCHECKBOX </w:instrText>
            </w:r>
            <w:r w:rsidR="00643DA7">
              <w:rPr>
                <w:rFonts w:ascii="Arial Narrow" w:eastAsia="Calibri" w:hAnsi="Arial Narrow"/>
              </w:rPr>
            </w:r>
            <w:r w:rsidR="00643DA7">
              <w:rPr>
                <w:rFonts w:ascii="Arial Narrow" w:eastAsia="Calibri" w:hAnsi="Arial Narrow"/>
              </w:rPr>
              <w:fldChar w:fldCharType="separate"/>
            </w:r>
            <w:r w:rsidRPr="00311A43">
              <w:rPr>
                <w:rFonts w:ascii="Arial Narrow" w:eastAsia="Calibri" w:hAnsi="Arial Narrow"/>
              </w:rPr>
              <w:fldChar w:fldCharType="end"/>
            </w:r>
            <w:r w:rsidRPr="00311A43">
              <w:rPr>
                <w:rFonts w:ascii="Arial Narrow" w:eastAsia="Calibri" w:hAnsi="Arial Narrow"/>
              </w:rPr>
              <w:t xml:space="preserve">Dental </w:t>
            </w:r>
            <w:r w:rsidRPr="00311A43">
              <w:rPr>
                <w:rFonts w:ascii="Arial Narrow" w:eastAsia="Calibri" w:hAnsi="Arial Narrow"/>
              </w:rPr>
              <w:fldChar w:fldCharType="begin">
                <w:ffData>
                  <w:name w:val=""/>
                  <w:enabled/>
                  <w:calcOnExit w:val="0"/>
                  <w:checkBox>
                    <w:sizeAuto/>
                    <w:default w:val="1"/>
                  </w:checkBox>
                </w:ffData>
              </w:fldChar>
            </w:r>
            <w:r w:rsidRPr="00311A43">
              <w:rPr>
                <w:rFonts w:ascii="Arial Narrow" w:eastAsia="Calibri" w:hAnsi="Arial Narrow"/>
              </w:rPr>
              <w:instrText xml:space="preserve"> FORMCHECKBOX </w:instrText>
            </w:r>
            <w:r w:rsidR="00643DA7">
              <w:rPr>
                <w:rFonts w:ascii="Arial Narrow" w:eastAsia="Calibri" w:hAnsi="Arial Narrow"/>
              </w:rPr>
            </w:r>
            <w:r w:rsidR="00643DA7">
              <w:rPr>
                <w:rFonts w:ascii="Arial Narrow" w:eastAsia="Calibri" w:hAnsi="Arial Narrow"/>
              </w:rPr>
              <w:fldChar w:fldCharType="separate"/>
            </w:r>
            <w:r w:rsidRPr="00311A43">
              <w:rPr>
                <w:rFonts w:ascii="Arial Narrow" w:eastAsia="Calibri" w:hAnsi="Arial Narrow"/>
              </w:rPr>
              <w:fldChar w:fldCharType="end"/>
            </w:r>
            <w:r w:rsidRPr="00311A43">
              <w:rPr>
                <w:rFonts w:ascii="Arial Narrow" w:eastAsia="Calibri" w:hAnsi="Arial Narrow"/>
              </w:rPr>
              <w:t xml:space="preserve">Medical Practitioners </w:t>
            </w:r>
            <w:r w:rsidRPr="00311A43">
              <w:rPr>
                <w:rFonts w:ascii="Arial Narrow" w:eastAsia="Calibri" w:hAnsi="Arial Narrow"/>
              </w:rPr>
              <w:fldChar w:fldCharType="begin">
                <w:ffData>
                  <w:name w:val="Check3"/>
                  <w:enabled/>
                  <w:calcOnExit w:val="0"/>
                  <w:checkBox>
                    <w:sizeAuto/>
                    <w:default w:val="0"/>
                  </w:checkBox>
                </w:ffData>
              </w:fldChar>
            </w:r>
            <w:r w:rsidRPr="00311A43">
              <w:rPr>
                <w:rFonts w:ascii="Arial Narrow" w:eastAsia="Calibri" w:hAnsi="Arial Narrow"/>
              </w:rPr>
              <w:instrText xml:space="preserve"> FORMCHECKBOX </w:instrText>
            </w:r>
            <w:r w:rsidR="00643DA7">
              <w:rPr>
                <w:rFonts w:ascii="Arial Narrow" w:eastAsia="Calibri" w:hAnsi="Arial Narrow"/>
              </w:rPr>
            </w:r>
            <w:r w:rsidR="00643DA7">
              <w:rPr>
                <w:rFonts w:ascii="Arial Narrow" w:eastAsia="Calibri" w:hAnsi="Arial Narrow"/>
              </w:rPr>
              <w:fldChar w:fldCharType="separate"/>
            </w:r>
            <w:r w:rsidRPr="00311A43">
              <w:rPr>
                <w:rFonts w:ascii="Arial Narrow" w:eastAsia="Calibri" w:hAnsi="Arial Narrow"/>
              </w:rPr>
              <w:fldChar w:fldCharType="end"/>
            </w:r>
            <w:r w:rsidRPr="00311A43">
              <w:rPr>
                <w:rFonts w:ascii="Arial Narrow" w:eastAsia="Calibri" w:hAnsi="Arial Narrow"/>
              </w:rPr>
              <w:t xml:space="preserve">Nurse practitioners </w:t>
            </w:r>
            <w:r w:rsidRPr="00311A43">
              <w:rPr>
                <w:rFonts w:ascii="Arial Narrow" w:eastAsia="Calibri" w:hAnsi="Arial Narrow"/>
              </w:rPr>
              <w:fldChar w:fldCharType="begin">
                <w:ffData>
                  <w:name w:val=""/>
                  <w:enabled/>
                  <w:calcOnExit w:val="0"/>
                  <w:checkBox>
                    <w:sizeAuto/>
                    <w:default w:val="0"/>
                  </w:checkBox>
                </w:ffData>
              </w:fldChar>
            </w:r>
            <w:r w:rsidRPr="00311A43">
              <w:rPr>
                <w:rFonts w:ascii="Arial Narrow" w:eastAsia="Calibri" w:hAnsi="Arial Narrow"/>
              </w:rPr>
              <w:instrText xml:space="preserve"> FORMCHECKBOX </w:instrText>
            </w:r>
            <w:r w:rsidR="00643DA7">
              <w:rPr>
                <w:rFonts w:ascii="Arial Narrow" w:eastAsia="Calibri" w:hAnsi="Arial Narrow"/>
              </w:rPr>
            </w:r>
            <w:r w:rsidR="00643DA7">
              <w:rPr>
                <w:rFonts w:ascii="Arial Narrow" w:eastAsia="Calibri" w:hAnsi="Arial Narrow"/>
              </w:rPr>
              <w:fldChar w:fldCharType="separate"/>
            </w:r>
            <w:r w:rsidRPr="00311A43">
              <w:rPr>
                <w:rFonts w:ascii="Arial Narrow" w:eastAsia="Calibri" w:hAnsi="Arial Narrow"/>
              </w:rPr>
              <w:fldChar w:fldCharType="end"/>
            </w:r>
            <w:r w:rsidRPr="00311A43">
              <w:rPr>
                <w:rFonts w:ascii="Arial Narrow" w:eastAsia="Calibri" w:hAnsi="Arial Narrow"/>
              </w:rPr>
              <w:t xml:space="preserve">Optometrists </w:t>
            </w:r>
            <w:r w:rsidRPr="00311A43">
              <w:rPr>
                <w:rFonts w:ascii="Arial Narrow" w:eastAsia="Calibri" w:hAnsi="Arial Narrow"/>
              </w:rPr>
              <w:fldChar w:fldCharType="begin">
                <w:ffData>
                  <w:name w:val="Check5"/>
                  <w:enabled/>
                  <w:calcOnExit w:val="0"/>
                  <w:checkBox>
                    <w:sizeAuto/>
                    <w:default w:val="0"/>
                  </w:checkBox>
                </w:ffData>
              </w:fldChar>
            </w:r>
            <w:r w:rsidRPr="00311A43">
              <w:rPr>
                <w:rFonts w:ascii="Arial Narrow" w:eastAsia="Calibri" w:hAnsi="Arial Narrow"/>
              </w:rPr>
              <w:instrText xml:space="preserve"> FORMCHECKBOX </w:instrText>
            </w:r>
            <w:r w:rsidR="00643DA7">
              <w:rPr>
                <w:rFonts w:ascii="Arial Narrow" w:eastAsia="Calibri" w:hAnsi="Arial Narrow"/>
              </w:rPr>
            </w:r>
            <w:r w:rsidR="00643DA7">
              <w:rPr>
                <w:rFonts w:ascii="Arial Narrow" w:eastAsia="Calibri" w:hAnsi="Arial Narrow"/>
              </w:rPr>
              <w:fldChar w:fldCharType="separate"/>
            </w:r>
            <w:r w:rsidRPr="00311A43">
              <w:rPr>
                <w:rFonts w:ascii="Arial Narrow" w:eastAsia="Calibri" w:hAnsi="Arial Narrow"/>
              </w:rPr>
              <w:fldChar w:fldCharType="end"/>
            </w:r>
            <w:r w:rsidRPr="00311A43">
              <w:rPr>
                <w:rFonts w:ascii="Arial Narrow" w:eastAsia="Calibri" w:hAnsi="Arial Narrow"/>
              </w:rPr>
              <w:t>Midwives</w:t>
            </w:r>
          </w:p>
        </w:tc>
      </w:tr>
      <w:tr w:rsidR="005D72D8" w:rsidRPr="002D3312" w:rsidTr="00817A73">
        <w:trPr>
          <w:cantSplit/>
          <w:trHeight w:val="125"/>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5D72D8" w:rsidRPr="002D3312" w:rsidRDefault="005D72D8" w:rsidP="00817A73">
            <w:pPr>
              <w:pStyle w:val="Tabletext"/>
              <w:spacing w:after="0"/>
              <w:rPr>
                <w:rFonts w:ascii="Arial Narrow" w:eastAsia="Calibri" w:hAnsi="Arial Narrow"/>
                <w:b/>
                <w:i/>
              </w:rPr>
            </w:pPr>
            <w:r w:rsidRPr="00E534BD">
              <w:rPr>
                <w:rFonts w:ascii="Arial Narrow" w:eastAsia="Calibri" w:hAnsi="Arial Narrow"/>
                <w:b/>
              </w:rPr>
              <w:t>Severity</w:t>
            </w:r>
            <w:r w:rsidRPr="002D3312">
              <w:rPr>
                <w:rFonts w:ascii="Arial Narrow" w:eastAsia="Calibri" w:hAnsi="Arial Narrow"/>
                <w:b/>
                <w:i/>
              </w:rPr>
              <w:t>:</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5D72D8" w:rsidRPr="00311A43" w:rsidRDefault="005D72D8" w:rsidP="005D72D8">
            <w:pPr>
              <w:pStyle w:val="Tabletext"/>
              <w:spacing w:after="0"/>
              <w:rPr>
                <w:rFonts w:ascii="Arial Narrow" w:eastAsia="Calibri" w:hAnsi="Arial Narrow"/>
              </w:rPr>
            </w:pPr>
            <w:r w:rsidRPr="00311A43">
              <w:rPr>
                <w:rFonts w:ascii="Arial Narrow" w:eastAsia="Calibri" w:hAnsi="Arial Narrow"/>
              </w:rPr>
              <w:t>Resected Stage IIIB, IIIC</w:t>
            </w:r>
            <w:r>
              <w:rPr>
                <w:rFonts w:ascii="Arial Narrow" w:eastAsia="Calibri" w:hAnsi="Arial Narrow"/>
              </w:rPr>
              <w:t xml:space="preserve"> or</w:t>
            </w:r>
            <w:r w:rsidRPr="00311A43">
              <w:rPr>
                <w:rFonts w:ascii="Arial Narrow" w:eastAsia="Calibri" w:hAnsi="Arial Narrow"/>
              </w:rPr>
              <w:t xml:space="preserve"> IIID </w:t>
            </w:r>
          </w:p>
        </w:tc>
      </w:tr>
      <w:tr w:rsidR="005D72D8" w:rsidRPr="001314A4" w:rsidTr="00817A73">
        <w:trPr>
          <w:cantSplit/>
          <w:trHeight w:val="60"/>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5D72D8" w:rsidRPr="002D3312" w:rsidRDefault="005D72D8" w:rsidP="00817A73">
            <w:pPr>
              <w:pStyle w:val="Tabletext"/>
              <w:spacing w:after="0"/>
              <w:rPr>
                <w:rFonts w:ascii="Arial Narrow" w:eastAsia="Calibri" w:hAnsi="Arial Narrow"/>
                <w:b/>
              </w:rPr>
            </w:pPr>
            <w:r w:rsidRPr="002D3312">
              <w:rPr>
                <w:rFonts w:ascii="Arial Narrow" w:eastAsia="Calibri" w:hAnsi="Arial Narrow"/>
                <w:b/>
              </w:rPr>
              <w:t>Condition:</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5D72D8" w:rsidRPr="00311A43" w:rsidRDefault="005D72D8" w:rsidP="00817A73">
            <w:pPr>
              <w:pStyle w:val="Tabletext"/>
              <w:spacing w:after="0"/>
              <w:rPr>
                <w:rFonts w:ascii="Arial Narrow" w:eastAsia="Calibri" w:hAnsi="Arial Narrow"/>
              </w:rPr>
            </w:pPr>
            <w:r w:rsidRPr="00311A43">
              <w:rPr>
                <w:rFonts w:ascii="Arial Narrow" w:eastAsia="Calibri" w:hAnsi="Arial Narrow"/>
              </w:rPr>
              <w:t>Malignant melanoma</w:t>
            </w:r>
          </w:p>
        </w:tc>
      </w:tr>
      <w:tr w:rsidR="005D72D8" w:rsidRPr="001314A4" w:rsidTr="00817A73">
        <w:trPr>
          <w:cantSplit/>
          <w:trHeight w:val="203"/>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5D72D8" w:rsidRPr="002D3312" w:rsidRDefault="005D72D8" w:rsidP="00817A73">
            <w:pPr>
              <w:pStyle w:val="Tabletext"/>
              <w:spacing w:after="0"/>
              <w:rPr>
                <w:rFonts w:ascii="Arial Narrow" w:eastAsia="Calibri" w:hAnsi="Arial Narrow"/>
                <w:b/>
              </w:rPr>
            </w:pPr>
            <w:r w:rsidRPr="002D3312">
              <w:rPr>
                <w:rFonts w:ascii="Arial Narrow" w:eastAsia="Calibri" w:hAnsi="Arial Narrow"/>
                <w:b/>
              </w:rPr>
              <w:t>PBS Indication:</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5D72D8" w:rsidRPr="00311A43" w:rsidRDefault="005D72D8" w:rsidP="005D72D8">
            <w:pPr>
              <w:pStyle w:val="Tabletext"/>
              <w:spacing w:after="0"/>
              <w:rPr>
                <w:rFonts w:ascii="Arial Narrow" w:eastAsia="Calibri" w:hAnsi="Arial Narrow"/>
              </w:rPr>
            </w:pPr>
            <w:r w:rsidRPr="00311A43">
              <w:rPr>
                <w:rFonts w:ascii="Arial Narrow" w:eastAsia="Calibri" w:hAnsi="Arial Narrow"/>
              </w:rPr>
              <w:t>Resected Stage IIIB, IIIC</w:t>
            </w:r>
            <w:r>
              <w:rPr>
                <w:rFonts w:ascii="Arial Narrow" w:eastAsia="Calibri" w:hAnsi="Arial Narrow"/>
              </w:rPr>
              <w:t xml:space="preserve"> or</w:t>
            </w:r>
            <w:r w:rsidRPr="00311A43">
              <w:rPr>
                <w:rFonts w:ascii="Arial Narrow" w:eastAsia="Calibri" w:hAnsi="Arial Narrow"/>
              </w:rPr>
              <w:t xml:space="preserve"> IIID malignant melanoma</w:t>
            </w:r>
          </w:p>
        </w:tc>
      </w:tr>
      <w:tr w:rsidR="005D72D8" w:rsidRPr="001314A4" w:rsidTr="00817A73">
        <w:trPr>
          <w:cantSplit/>
          <w:trHeight w:val="107"/>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5D72D8" w:rsidRPr="002D3312" w:rsidRDefault="005D72D8" w:rsidP="00817A73">
            <w:pPr>
              <w:pStyle w:val="Tabletext"/>
              <w:spacing w:after="0"/>
              <w:rPr>
                <w:rFonts w:ascii="Arial Narrow" w:eastAsia="Calibri" w:hAnsi="Arial Narrow"/>
                <w:b/>
              </w:rPr>
            </w:pPr>
            <w:r w:rsidRPr="002D3312">
              <w:rPr>
                <w:rFonts w:ascii="Arial Narrow" w:eastAsia="Calibri" w:hAnsi="Arial Narrow"/>
                <w:b/>
              </w:rPr>
              <w:t>Treatment phase:</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5D72D8" w:rsidRPr="00311A43" w:rsidRDefault="005D72D8" w:rsidP="00AB15EE">
            <w:pPr>
              <w:pStyle w:val="Tabletext"/>
              <w:spacing w:after="0"/>
              <w:rPr>
                <w:rFonts w:ascii="Arial Narrow" w:eastAsia="Calibri" w:hAnsi="Arial Narrow"/>
              </w:rPr>
            </w:pPr>
            <w:r w:rsidRPr="00311A43">
              <w:rPr>
                <w:rFonts w:ascii="Arial Narrow" w:eastAsia="Calibri" w:hAnsi="Arial Narrow"/>
              </w:rPr>
              <w:t>Grandfather</w:t>
            </w:r>
            <w:r w:rsidR="00AB15EE">
              <w:rPr>
                <w:rFonts w:ascii="Arial Narrow" w:eastAsia="Calibri" w:hAnsi="Arial Narrow"/>
              </w:rPr>
              <w:t>ed</w:t>
            </w:r>
            <w:r w:rsidRPr="00311A43">
              <w:rPr>
                <w:rFonts w:ascii="Arial Narrow" w:eastAsia="Calibri" w:hAnsi="Arial Narrow"/>
              </w:rPr>
              <w:t xml:space="preserve"> treatment</w:t>
            </w:r>
          </w:p>
        </w:tc>
      </w:tr>
      <w:tr w:rsidR="005D72D8" w:rsidRPr="001314A4" w:rsidTr="00817A73">
        <w:trPr>
          <w:cantSplit/>
          <w:trHeight w:val="153"/>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5D72D8" w:rsidRPr="002D3312" w:rsidRDefault="005D72D8" w:rsidP="00817A73">
            <w:pPr>
              <w:pStyle w:val="Tabletext"/>
              <w:spacing w:after="0"/>
              <w:rPr>
                <w:rFonts w:ascii="Arial Narrow" w:eastAsia="Calibri" w:hAnsi="Arial Narrow"/>
                <w:b/>
              </w:rPr>
            </w:pPr>
            <w:r>
              <w:rPr>
                <w:rFonts w:ascii="Arial Narrow" w:eastAsia="Calibri" w:hAnsi="Arial Narrow"/>
                <w:b/>
              </w:rPr>
              <w:t>Restriction level:</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5D72D8" w:rsidRPr="00311A43" w:rsidRDefault="005D72D8" w:rsidP="00817A73">
            <w:pPr>
              <w:pStyle w:val="Tabletext"/>
              <w:spacing w:after="0"/>
              <w:rPr>
                <w:rFonts w:ascii="Arial Narrow" w:eastAsia="Calibri" w:hAnsi="Arial Narrow"/>
              </w:rPr>
            </w:pPr>
            <w:r w:rsidRPr="00311A43">
              <w:rPr>
                <w:rFonts w:ascii="Arial Narrow" w:hAnsi="Arial Narrow"/>
              </w:rPr>
              <w:fldChar w:fldCharType="begin">
                <w:ffData>
                  <w:name w:val="Check5"/>
                  <w:enabled/>
                  <w:calcOnExit w:val="0"/>
                  <w:checkBox>
                    <w:sizeAuto/>
                    <w:default w:val="1"/>
                  </w:checkBox>
                </w:ffData>
              </w:fldChar>
            </w:r>
            <w:r w:rsidRPr="00311A43">
              <w:rPr>
                <w:rFonts w:ascii="Arial Narrow" w:hAnsi="Arial Narrow"/>
              </w:rPr>
              <w:instrText xml:space="preserve"> FORMCHECKBOX </w:instrText>
            </w:r>
            <w:r w:rsidR="00643DA7">
              <w:rPr>
                <w:rFonts w:ascii="Arial Narrow" w:hAnsi="Arial Narrow"/>
              </w:rPr>
            </w:r>
            <w:r w:rsidR="00643DA7">
              <w:rPr>
                <w:rFonts w:ascii="Arial Narrow" w:hAnsi="Arial Narrow"/>
              </w:rPr>
              <w:fldChar w:fldCharType="separate"/>
            </w:r>
            <w:r w:rsidRPr="00311A43">
              <w:rPr>
                <w:rFonts w:ascii="Arial Narrow" w:hAnsi="Arial Narrow"/>
              </w:rPr>
              <w:fldChar w:fldCharType="end"/>
            </w:r>
            <w:r w:rsidRPr="00311A43">
              <w:rPr>
                <w:rFonts w:ascii="Arial Narrow" w:hAnsi="Arial Narrow"/>
              </w:rPr>
              <w:t xml:space="preserve"> Authority Required (Telephone)</w:t>
            </w:r>
          </w:p>
        </w:tc>
      </w:tr>
      <w:tr w:rsidR="005D72D8" w:rsidRPr="001314A4" w:rsidTr="00817A73">
        <w:trPr>
          <w:cantSplit/>
          <w:trHeight w:val="360"/>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5D72D8" w:rsidRPr="002D3312" w:rsidRDefault="005D72D8" w:rsidP="00817A73">
            <w:pPr>
              <w:pStyle w:val="Tabletext"/>
              <w:spacing w:after="0"/>
              <w:rPr>
                <w:rFonts w:ascii="Arial Narrow" w:eastAsia="Calibri" w:hAnsi="Arial Narrow"/>
                <w:b/>
              </w:rPr>
            </w:pPr>
            <w:r w:rsidRPr="002D3312">
              <w:rPr>
                <w:rFonts w:ascii="Arial Narrow" w:eastAsia="Calibri" w:hAnsi="Arial Narrow"/>
                <w:b/>
              </w:rPr>
              <w:t>Clinical criteria:</w:t>
            </w:r>
          </w:p>
          <w:p w:rsidR="005D72D8" w:rsidRPr="002D3312" w:rsidRDefault="005D72D8" w:rsidP="00817A73">
            <w:pPr>
              <w:pStyle w:val="Tabletext"/>
              <w:spacing w:after="0"/>
              <w:rPr>
                <w:rFonts w:ascii="Arial Narrow" w:eastAsia="Calibri" w:hAnsi="Arial Narrow"/>
                <w:b/>
              </w:rPr>
            </w:pP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AB15EE" w:rsidRPr="00311A43" w:rsidRDefault="00AB15EE" w:rsidP="00AB15EE">
            <w:pPr>
              <w:pStyle w:val="Tabletext"/>
              <w:spacing w:after="0"/>
              <w:rPr>
                <w:rFonts w:ascii="Arial Narrow" w:eastAsia="Calibri" w:hAnsi="Arial Narrow"/>
              </w:rPr>
            </w:pPr>
            <w:r w:rsidRPr="00311A43">
              <w:rPr>
                <w:rFonts w:ascii="Arial Narrow" w:eastAsia="Calibri" w:hAnsi="Arial Narrow"/>
              </w:rPr>
              <w:t xml:space="preserve">Patient must have previously received non-PBS </w:t>
            </w:r>
            <w:r>
              <w:rPr>
                <w:rFonts w:ascii="Arial Narrow" w:eastAsia="Calibri" w:hAnsi="Arial Narrow"/>
              </w:rPr>
              <w:t xml:space="preserve">subsidised </w:t>
            </w:r>
            <w:r w:rsidRPr="00311A43">
              <w:rPr>
                <w:rFonts w:ascii="Arial Narrow" w:eastAsia="Calibri" w:hAnsi="Arial Narrow"/>
              </w:rPr>
              <w:t>drug for adjuvant treatment following complete surgical resection prior to [date of PBS listing],</w:t>
            </w:r>
          </w:p>
          <w:p w:rsidR="00AB15EE" w:rsidRPr="00311A43" w:rsidRDefault="00AB15EE" w:rsidP="00AB15EE">
            <w:pPr>
              <w:pStyle w:val="Tabletext"/>
              <w:spacing w:after="0"/>
              <w:rPr>
                <w:rFonts w:ascii="Arial Narrow" w:eastAsia="Calibri" w:hAnsi="Arial Narrow"/>
              </w:rPr>
            </w:pPr>
            <w:r w:rsidRPr="00311A43">
              <w:rPr>
                <w:rFonts w:ascii="Arial Narrow" w:eastAsia="Calibri" w:hAnsi="Arial Narrow"/>
              </w:rPr>
              <w:t>AND</w:t>
            </w:r>
          </w:p>
          <w:p w:rsidR="00AB15EE" w:rsidRPr="00311A43" w:rsidRDefault="00AB15EE" w:rsidP="00AB15EE">
            <w:pPr>
              <w:pStyle w:val="Tabletext"/>
              <w:spacing w:after="0"/>
              <w:rPr>
                <w:rFonts w:ascii="Arial Narrow" w:hAnsi="Arial Narrow"/>
              </w:rPr>
            </w:pPr>
            <w:r w:rsidRPr="00311A43">
              <w:rPr>
                <w:rFonts w:ascii="Arial Narrow" w:hAnsi="Arial Narrow"/>
              </w:rPr>
              <w:t>The patient must have a</w:t>
            </w:r>
            <w:r>
              <w:rPr>
                <w:rFonts w:ascii="Arial Narrow" w:hAnsi="Arial Narrow"/>
              </w:rPr>
              <w:t xml:space="preserve"> WHO</w:t>
            </w:r>
            <w:r w:rsidRPr="00311A43">
              <w:rPr>
                <w:rFonts w:ascii="Arial Narrow" w:hAnsi="Arial Narrow"/>
              </w:rPr>
              <w:t xml:space="preserve"> performance status of 0 or 1 at </w:t>
            </w:r>
            <w:r>
              <w:rPr>
                <w:rFonts w:ascii="Arial Narrow" w:hAnsi="Arial Narrow"/>
              </w:rPr>
              <w:t>the time non-PBS subsidised treatment with this drug for this condition was initiated</w:t>
            </w:r>
            <w:r w:rsidRPr="00311A43">
              <w:rPr>
                <w:rFonts w:ascii="Arial Narrow" w:hAnsi="Arial Narrow"/>
              </w:rPr>
              <w:t>,</w:t>
            </w:r>
          </w:p>
          <w:p w:rsidR="00AB15EE" w:rsidRPr="00311A43" w:rsidRDefault="00AB15EE" w:rsidP="00AB15EE">
            <w:pPr>
              <w:pStyle w:val="Tabletext"/>
              <w:spacing w:after="0"/>
              <w:rPr>
                <w:rFonts w:ascii="Arial Narrow" w:eastAsia="Calibri" w:hAnsi="Arial Narrow"/>
              </w:rPr>
            </w:pPr>
            <w:r w:rsidRPr="00311A43">
              <w:rPr>
                <w:rFonts w:ascii="Arial Narrow" w:eastAsia="Calibri" w:hAnsi="Arial Narrow"/>
              </w:rPr>
              <w:t>AND</w:t>
            </w:r>
          </w:p>
          <w:p w:rsidR="00AB15EE" w:rsidRPr="00311A43" w:rsidRDefault="00AB15EE" w:rsidP="00AB15EE">
            <w:pPr>
              <w:pStyle w:val="Tabletext"/>
              <w:spacing w:after="0"/>
              <w:rPr>
                <w:rFonts w:ascii="Arial Narrow" w:hAnsi="Arial Narrow"/>
              </w:rPr>
            </w:pPr>
            <w:r>
              <w:rPr>
                <w:rFonts w:ascii="Arial Narrow" w:hAnsi="Arial Narrow"/>
              </w:rPr>
              <w:t>P</w:t>
            </w:r>
            <w:r w:rsidRPr="00311A43">
              <w:rPr>
                <w:rFonts w:ascii="Arial Narrow" w:hAnsi="Arial Narrow"/>
              </w:rPr>
              <w:t>atient must not have experienced disease recurrence,</w:t>
            </w:r>
          </w:p>
          <w:p w:rsidR="00AB15EE" w:rsidRPr="00311A43" w:rsidRDefault="00AB15EE" w:rsidP="00AB15EE">
            <w:pPr>
              <w:pStyle w:val="Tabletext"/>
              <w:spacing w:after="0"/>
              <w:rPr>
                <w:rFonts w:ascii="Arial Narrow" w:hAnsi="Arial Narrow"/>
              </w:rPr>
            </w:pPr>
            <w:r w:rsidRPr="00311A43">
              <w:rPr>
                <w:rFonts w:ascii="Arial Narrow" w:hAnsi="Arial Narrow"/>
              </w:rPr>
              <w:t>AND</w:t>
            </w:r>
          </w:p>
          <w:p w:rsidR="00AB15EE" w:rsidRDefault="00AB15EE" w:rsidP="00AB15EE">
            <w:pPr>
              <w:pStyle w:val="Tabletext"/>
              <w:spacing w:after="0"/>
              <w:rPr>
                <w:rFonts w:ascii="Arial Narrow" w:eastAsia="Calibri" w:hAnsi="Arial Narrow"/>
              </w:rPr>
            </w:pPr>
            <w:r w:rsidRPr="00311A43">
              <w:rPr>
                <w:rFonts w:ascii="Arial Narrow" w:eastAsia="Calibri" w:hAnsi="Arial Narrow"/>
              </w:rPr>
              <w:t>The treatment must be the sole PBS-subsid</w:t>
            </w:r>
            <w:r>
              <w:rPr>
                <w:rFonts w:ascii="Arial Narrow" w:eastAsia="Calibri" w:hAnsi="Arial Narrow"/>
              </w:rPr>
              <w:t>ised therapy for this condition,</w:t>
            </w:r>
          </w:p>
          <w:p w:rsidR="00AB15EE" w:rsidRDefault="00AB15EE" w:rsidP="00AB15EE">
            <w:pPr>
              <w:pStyle w:val="Tabletext"/>
              <w:spacing w:after="0"/>
              <w:rPr>
                <w:rFonts w:ascii="Arial Narrow" w:eastAsia="Calibri" w:hAnsi="Arial Narrow"/>
              </w:rPr>
            </w:pPr>
            <w:r>
              <w:rPr>
                <w:rFonts w:ascii="Arial Narrow" w:eastAsia="Calibri" w:hAnsi="Arial Narrow"/>
              </w:rPr>
              <w:t>AND</w:t>
            </w:r>
          </w:p>
          <w:p w:rsidR="00AB15EE" w:rsidRDefault="00AB15EE" w:rsidP="00AB15EE">
            <w:pPr>
              <w:pStyle w:val="Tabletext"/>
              <w:spacing w:after="0"/>
              <w:rPr>
                <w:rFonts w:ascii="Arial Narrow" w:hAnsi="Arial Narrow"/>
              </w:rPr>
            </w:pPr>
            <w:r>
              <w:rPr>
                <w:rFonts w:ascii="Arial Narrow" w:hAnsi="Arial Narrow"/>
              </w:rPr>
              <w:t>Patient must have commenced non-PBS subsidised treatment within 12 weeks of complete surgical resection, unless delay was necessary due to post-surgery recovery,</w:t>
            </w:r>
          </w:p>
          <w:p w:rsidR="00AB15EE" w:rsidRDefault="00AB15EE" w:rsidP="00AB15EE">
            <w:pPr>
              <w:pStyle w:val="Tabletext"/>
              <w:spacing w:after="0"/>
              <w:rPr>
                <w:rFonts w:ascii="Arial Narrow" w:hAnsi="Arial Narrow"/>
              </w:rPr>
            </w:pPr>
            <w:r>
              <w:rPr>
                <w:rFonts w:ascii="Arial Narrow" w:hAnsi="Arial Narrow"/>
              </w:rPr>
              <w:t>AND</w:t>
            </w:r>
          </w:p>
          <w:p w:rsidR="00AB15EE" w:rsidRDefault="00AB15EE" w:rsidP="00AB15EE">
            <w:pPr>
              <w:pStyle w:val="Tabletext"/>
              <w:spacing w:after="0"/>
              <w:rPr>
                <w:rFonts w:ascii="Arial Narrow" w:hAnsi="Arial Narrow"/>
              </w:rPr>
            </w:pPr>
            <w:r>
              <w:rPr>
                <w:rFonts w:ascii="Arial Narrow" w:hAnsi="Arial Narrow"/>
              </w:rPr>
              <w:t>T</w:t>
            </w:r>
            <w:r w:rsidRPr="00FA3560">
              <w:rPr>
                <w:rFonts w:ascii="Arial Narrow" w:hAnsi="Arial Narrow"/>
              </w:rPr>
              <w:t xml:space="preserve">reatment must not exceed a maximum duration of 12 months </w:t>
            </w:r>
            <w:r>
              <w:rPr>
                <w:rFonts w:ascii="Arial Narrow" w:hAnsi="Arial Narrow"/>
              </w:rPr>
              <w:t>for adjuvant treatment of completely resected Stage IIIB, IIIC or IIID melanoma,</w:t>
            </w:r>
          </w:p>
          <w:p w:rsidR="00AB15EE" w:rsidRDefault="00AB15EE" w:rsidP="00AB15EE">
            <w:pPr>
              <w:pStyle w:val="Tabletext"/>
              <w:spacing w:after="0"/>
              <w:rPr>
                <w:rFonts w:ascii="Arial Narrow" w:hAnsi="Arial Narrow"/>
              </w:rPr>
            </w:pPr>
            <w:r>
              <w:rPr>
                <w:rFonts w:ascii="Arial Narrow" w:hAnsi="Arial Narrow"/>
              </w:rPr>
              <w:t>AND</w:t>
            </w:r>
          </w:p>
          <w:p w:rsidR="005D72D8" w:rsidRPr="00311A43" w:rsidRDefault="00AB15EE" w:rsidP="0034380C">
            <w:pPr>
              <w:pStyle w:val="Tabletext"/>
              <w:spacing w:after="0"/>
              <w:rPr>
                <w:rFonts w:ascii="Arial Narrow" w:eastAsia="Calibri" w:hAnsi="Arial Narrow"/>
              </w:rPr>
            </w:pPr>
            <w:r>
              <w:rPr>
                <w:rFonts w:ascii="Arial Narrow" w:hAnsi="Arial Narrow"/>
              </w:rPr>
              <w:t>The treatment must not exceed a dose of 200 mg every three weeks</w:t>
            </w:r>
            <w:r w:rsidR="00AF38E5">
              <w:rPr>
                <w:rFonts w:ascii="Arial Narrow" w:hAnsi="Arial Narrow"/>
                <w:i/>
              </w:rPr>
              <w:t>.</w:t>
            </w:r>
          </w:p>
        </w:tc>
      </w:tr>
      <w:tr w:rsidR="005D72D8" w:rsidRPr="001314A4" w:rsidTr="00817A73">
        <w:trPr>
          <w:cantSplit/>
          <w:trHeight w:val="360"/>
        </w:trPr>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5D72D8" w:rsidRDefault="005D72D8" w:rsidP="00817A73">
            <w:pPr>
              <w:pStyle w:val="Tabletext"/>
              <w:spacing w:after="0"/>
              <w:rPr>
                <w:rFonts w:ascii="Arial Narrow" w:eastAsia="Calibri" w:hAnsi="Arial Narrow"/>
                <w:b/>
              </w:rPr>
            </w:pPr>
            <w:r w:rsidRPr="003E1B3D">
              <w:rPr>
                <w:rFonts w:ascii="Arial Narrow" w:eastAsia="Calibri" w:hAnsi="Arial Narrow"/>
                <w:b/>
              </w:rPr>
              <w:t>Notes</w:t>
            </w:r>
            <w:r w:rsidRPr="002D3312">
              <w:rPr>
                <w:rFonts w:ascii="Arial Narrow" w:eastAsia="Calibri" w:hAnsi="Arial Narrow"/>
                <w:b/>
                <w:i/>
              </w:rPr>
              <w:t>:</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tcPr>
          <w:p w:rsidR="00AF38E5" w:rsidRDefault="005D72D8" w:rsidP="00817A73">
            <w:pPr>
              <w:pStyle w:val="Tabletext"/>
              <w:spacing w:after="0"/>
              <w:rPr>
                <w:rFonts w:ascii="Arial Narrow" w:hAnsi="Arial Narrow"/>
              </w:rPr>
            </w:pPr>
            <w:r w:rsidRPr="00311A43">
              <w:rPr>
                <w:rFonts w:ascii="Arial Narrow" w:hAnsi="Arial Narrow"/>
              </w:rPr>
              <w:t>No increase in the maxi</w:t>
            </w:r>
            <w:r w:rsidR="00AF38E5">
              <w:rPr>
                <w:rFonts w:ascii="Arial Narrow" w:hAnsi="Arial Narrow"/>
              </w:rPr>
              <w:t>mum quantity or number of units may be authorised.</w:t>
            </w:r>
          </w:p>
          <w:p w:rsidR="005D72D8" w:rsidRPr="00311A43" w:rsidRDefault="00AF38E5" w:rsidP="00817A73">
            <w:pPr>
              <w:pStyle w:val="Tabletext"/>
              <w:spacing w:after="0"/>
              <w:rPr>
                <w:rFonts w:ascii="Arial Narrow" w:hAnsi="Arial Narrow"/>
              </w:rPr>
            </w:pPr>
            <w:r>
              <w:rPr>
                <w:rFonts w:ascii="Arial Narrow" w:hAnsi="Arial Narrow"/>
              </w:rPr>
              <w:t xml:space="preserve">No increase in the </w:t>
            </w:r>
            <w:r w:rsidR="005D72D8" w:rsidRPr="00311A43">
              <w:rPr>
                <w:rFonts w:ascii="Arial Narrow" w:hAnsi="Arial Narrow"/>
              </w:rPr>
              <w:t xml:space="preserve">number of repeats </w:t>
            </w:r>
            <w:r>
              <w:rPr>
                <w:rFonts w:ascii="Arial Narrow" w:hAnsi="Arial Narrow"/>
              </w:rPr>
              <w:t>may</w:t>
            </w:r>
            <w:r w:rsidR="005D72D8" w:rsidRPr="00311A43">
              <w:rPr>
                <w:rFonts w:ascii="Arial Narrow" w:hAnsi="Arial Narrow"/>
              </w:rPr>
              <w:t xml:space="preserve"> be authorised.</w:t>
            </w:r>
          </w:p>
          <w:p w:rsidR="005D72D8" w:rsidRPr="00311A43" w:rsidRDefault="005D72D8" w:rsidP="00817A73">
            <w:pPr>
              <w:pStyle w:val="Tabletext"/>
              <w:spacing w:after="0"/>
              <w:rPr>
                <w:rFonts w:ascii="Arial Narrow" w:eastAsia="Calibri" w:hAnsi="Arial Narrow"/>
                <w:strike/>
              </w:rPr>
            </w:pPr>
            <w:r w:rsidRPr="00311A43">
              <w:rPr>
                <w:rFonts w:ascii="Arial Narrow" w:hAnsi="Arial Narrow"/>
              </w:rPr>
              <w:t>Special Pricing Arrangements apply.</w:t>
            </w:r>
          </w:p>
        </w:tc>
      </w:tr>
    </w:tbl>
    <w:p w:rsidR="005D72D8" w:rsidRDefault="005D72D8" w:rsidP="005D72D8"/>
    <w:p w:rsidR="00055C70" w:rsidRPr="00055C70" w:rsidRDefault="00055C70" w:rsidP="00055C70">
      <w:pPr>
        <w:spacing w:after="240"/>
        <w:ind w:left="469"/>
        <w:rPr>
          <w:rFonts w:asciiTheme="minorHAnsi" w:hAnsiTheme="minorHAnsi" w:cstheme="minorHAnsi"/>
          <w:i/>
        </w:rPr>
      </w:pPr>
      <w:r w:rsidRPr="00055C70">
        <w:rPr>
          <w:rFonts w:asciiTheme="minorHAnsi" w:hAnsiTheme="minorHAnsi" w:cstheme="minorHAnsi"/>
          <w:i/>
        </w:rPr>
        <w:t xml:space="preserve">For more detail on PBAC’s view, see section </w:t>
      </w:r>
      <w:r w:rsidR="00EF33B0">
        <w:rPr>
          <w:rFonts w:asciiTheme="minorHAnsi" w:hAnsiTheme="minorHAnsi" w:cstheme="minorHAnsi"/>
          <w:i/>
        </w:rPr>
        <w:t>6</w:t>
      </w:r>
      <w:r w:rsidRPr="00055C70">
        <w:rPr>
          <w:rFonts w:asciiTheme="minorHAnsi" w:hAnsiTheme="minorHAnsi" w:cstheme="minorHAnsi"/>
          <w:i/>
        </w:rPr>
        <w:t xml:space="preserve"> PBAC outcome.</w:t>
      </w:r>
    </w:p>
    <w:p w:rsidR="005A3173" w:rsidRPr="00980B0E" w:rsidRDefault="005A3173" w:rsidP="0033263D">
      <w:pPr>
        <w:pStyle w:val="2Sections"/>
        <w:rPr>
          <w:color w:val="FF0000"/>
        </w:rPr>
      </w:pPr>
      <w:r w:rsidRPr="003C2FB5">
        <w:t>Comparator</w:t>
      </w:r>
      <w:r w:rsidR="0099465B">
        <w:t xml:space="preserve"> </w:t>
      </w:r>
    </w:p>
    <w:p w:rsidR="00C35996" w:rsidRDefault="00FF2801" w:rsidP="004343D8">
      <w:pPr>
        <w:pStyle w:val="Bodytextitalics"/>
        <w:jc w:val="both"/>
        <w:rPr>
          <w:i w:val="0"/>
        </w:rPr>
      </w:pPr>
      <w:r w:rsidRPr="000B44C3">
        <w:rPr>
          <w:i w:val="0"/>
        </w:rPr>
        <w:t xml:space="preserve">The minor </w:t>
      </w:r>
      <w:r w:rsidR="006E7378">
        <w:rPr>
          <w:i w:val="0"/>
        </w:rPr>
        <w:t>re</w:t>
      </w:r>
      <w:r w:rsidRPr="000B44C3">
        <w:rPr>
          <w:i w:val="0"/>
        </w:rPr>
        <w:t>submission nominated</w:t>
      </w:r>
      <w:r w:rsidR="006E7378">
        <w:rPr>
          <w:i w:val="0"/>
        </w:rPr>
        <w:t xml:space="preserve"> </w:t>
      </w:r>
      <w:proofErr w:type="spellStart"/>
      <w:r w:rsidR="006E7378">
        <w:rPr>
          <w:i w:val="0"/>
        </w:rPr>
        <w:t>nivolumab</w:t>
      </w:r>
      <w:proofErr w:type="spellEnd"/>
      <w:r w:rsidR="006E7378">
        <w:rPr>
          <w:i w:val="0"/>
        </w:rPr>
        <w:t xml:space="preserve"> and </w:t>
      </w:r>
      <w:proofErr w:type="spellStart"/>
      <w:r w:rsidR="006E7378">
        <w:rPr>
          <w:i w:val="0"/>
        </w:rPr>
        <w:t>dabrafenib</w:t>
      </w:r>
      <w:proofErr w:type="spellEnd"/>
      <w:r w:rsidR="008A06F4">
        <w:rPr>
          <w:i w:val="0"/>
        </w:rPr>
        <w:t xml:space="preserve"> </w:t>
      </w:r>
      <w:r w:rsidR="006E7378">
        <w:rPr>
          <w:i w:val="0"/>
        </w:rPr>
        <w:t>+</w:t>
      </w:r>
      <w:r w:rsidR="008A06F4">
        <w:rPr>
          <w:i w:val="0"/>
        </w:rPr>
        <w:t xml:space="preserve"> </w:t>
      </w:r>
      <w:proofErr w:type="spellStart"/>
      <w:r w:rsidR="006E7378">
        <w:rPr>
          <w:i w:val="0"/>
        </w:rPr>
        <w:t>trametinib</w:t>
      </w:r>
      <w:proofErr w:type="spellEnd"/>
      <w:r w:rsidR="006E7378">
        <w:rPr>
          <w:i w:val="0"/>
        </w:rPr>
        <w:t xml:space="preserve"> as near-term comparators</w:t>
      </w:r>
      <w:r w:rsidR="00476245" w:rsidRPr="000B44C3">
        <w:rPr>
          <w:i w:val="0"/>
        </w:rPr>
        <w:t>.</w:t>
      </w:r>
      <w:r w:rsidR="004904B9">
        <w:rPr>
          <w:i w:val="0"/>
        </w:rPr>
        <w:t xml:space="preserve"> </w:t>
      </w:r>
    </w:p>
    <w:p w:rsidR="006E7378" w:rsidRDefault="006E7378" w:rsidP="004343D8">
      <w:pPr>
        <w:pStyle w:val="Bodytextitalics"/>
        <w:jc w:val="both"/>
        <w:rPr>
          <w:i w:val="0"/>
        </w:rPr>
      </w:pPr>
      <w:r>
        <w:rPr>
          <w:i w:val="0"/>
        </w:rPr>
        <w:t xml:space="preserve">The minor resubmission noted that the PBAC had previously determined </w:t>
      </w:r>
      <w:proofErr w:type="spellStart"/>
      <w:r>
        <w:rPr>
          <w:i w:val="0"/>
        </w:rPr>
        <w:t>pembrolizumab</w:t>
      </w:r>
      <w:proofErr w:type="spellEnd"/>
      <w:r>
        <w:rPr>
          <w:i w:val="0"/>
        </w:rPr>
        <w:t xml:space="preserve"> to be non-inferior in terms of efficacy compared to </w:t>
      </w:r>
      <w:proofErr w:type="spellStart"/>
      <w:r>
        <w:rPr>
          <w:i w:val="0"/>
        </w:rPr>
        <w:t>nivolumab</w:t>
      </w:r>
      <w:proofErr w:type="spellEnd"/>
      <w:r>
        <w:rPr>
          <w:i w:val="0"/>
        </w:rPr>
        <w:t xml:space="preserve"> and</w:t>
      </w:r>
      <w:r w:rsidR="00562272">
        <w:rPr>
          <w:i w:val="0"/>
        </w:rPr>
        <w:t xml:space="preserve">, in BRAF </w:t>
      </w:r>
      <w:r w:rsidR="00C92A3D">
        <w:rPr>
          <w:i w:val="0"/>
        </w:rPr>
        <w:t>mutant</w:t>
      </w:r>
      <w:r w:rsidR="00562272">
        <w:rPr>
          <w:i w:val="0"/>
        </w:rPr>
        <w:t xml:space="preserve"> patients,</w:t>
      </w:r>
      <w:r>
        <w:rPr>
          <w:i w:val="0"/>
        </w:rPr>
        <w:t xml:space="preserve"> </w:t>
      </w:r>
      <w:proofErr w:type="spellStart"/>
      <w:r>
        <w:rPr>
          <w:i w:val="0"/>
        </w:rPr>
        <w:t>dabrafenib</w:t>
      </w:r>
      <w:proofErr w:type="spellEnd"/>
      <w:r w:rsidR="008A06F4">
        <w:rPr>
          <w:i w:val="0"/>
        </w:rPr>
        <w:t xml:space="preserve"> </w:t>
      </w:r>
      <w:r>
        <w:rPr>
          <w:i w:val="0"/>
        </w:rPr>
        <w:t>+</w:t>
      </w:r>
      <w:r w:rsidR="008A06F4">
        <w:rPr>
          <w:i w:val="0"/>
        </w:rPr>
        <w:t xml:space="preserve"> </w:t>
      </w:r>
      <w:proofErr w:type="spellStart"/>
      <w:r>
        <w:rPr>
          <w:i w:val="0"/>
        </w:rPr>
        <w:t>trametinib</w:t>
      </w:r>
      <w:proofErr w:type="spellEnd"/>
      <w:r w:rsidR="008E6ADA">
        <w:rPr>
          <w:i w:val="0"/>
        </w:rPr>
        <w:t xml:space="preserve"> (paragraph 7.9, </w:t>
      </w:r>
      <w:proofErr w:type="spellStart"/>
      <w:r w:rsidR="008E6ADA">
        <w:rPr>
          <w:i w:val="0"/>
        </w:rPr>
        <w:t>Pembrolizumab</w:t>
      </w:r>
      <w:proofErr w:type="spellEnd"/>
      <w:r w:rsidR="008E6ADA">
        <w:rPr>
          <w:i w:val="0"/>
        </w:rPr>
        <w:t xml:space="preserve"> ratified minutes, July 2019)</w:t>
      </w:r>
      <w:r>
        <w:rPr>
          <w:i w:val="0"/>
        </w:rPr>
        <w:t xml:space="preserve">. The minor resubmission </w:t>
      </w:r>
      <w:r w:rsidR="00562272">
        <w:rPr>
          <w:i w:val="0"/>
        </w:rPr>
        <w:t>noted that there were differences between the regimens and that they could not be considered directly substitutable.</w:t>
      </w:r>
    </w:p>
    <w:p w:rsidR="00055C70" w:rsidRPr="00055C70" w:rsidRDefault="00055C70" w:rsidP="00055C70">
      <w:pPr>
        <w:pStyle w:val="Bodytextitalics"/>
        <w:numPr>
          <w:ilvl w:val="0"/>
          <w:numId w:val="0"/>
        </w:numPr>
        <w:ind w:left="720"/>
        <w:jc w:val="both"/>
      </w:pPr>
      <w:r w:rsidRPr="00055C70">
        <w:t>For more deta</w:t>
      </w:r>
      <w:r w:rsidR="00EF33B0">
        <w:t>il on PBAC’s view, see section 6</w:t>
      </w:r>
      <w:r w:rsidRPr="00055C70">
        <w:t xml:space="preserve"> PBAC outcome.</w:t>
      </w:r>
    </w:p>
    <w:p w:rsidR="000B558D" w:rsidRDefault="008D7A41" w:rsidP="003976B6">
      <w:pPr>
        <w:pStyle w:val="Heading1"/>
        <w:keepNext/>
        <w:keepLines/>
        <w:widowControl/>
        <w:numPr>
          <w:ilvl w:val="0"/>
          <w:numId w:val="3"/>
        </w:numPr>
        <w:spacing w:before="240" w:after="120"/>
        <w:ind w:left="709" w:hanging="709"/>
        <w:contextualSpacing w:val="0"/>
        <w:jc w:val="left"/>
        <w:rPr>
          <w:rFonts w:asciiTheme="minorHAnsi" w:hAnsiTheme="minorHAnsi"/>
          <w:sz w:val="32"/>
          <w:szCs w:val="32"/>
        </w:rPr>
      </w:pPr>
      <w:r w:rsidRPr="003C2FB5">
        <w:rPr>
          <w:rFonts w:asciiTheme="minorHAnsi" w:hAnsiTheme="minorHAnsi"/>
          <w:sz w:val="32"/>
          <w:szCs w:val="32"/>
        </w:rPr>
        <w:lastRenderedPageBreak/>
        <w:t>C</w:t>
      </w:r>
      <w:r w:rsidR="00D84934" w:rsidRPr="003C2FB5">
        <w:rPr>
          <w:rFonts w:asciiTheme="minorHAnsi" w:hAnsiTheme="minorHAnsi"/>
          <w:sz w:val="32"/>
          <w:szCs w:val="32"/>
        </w:rPr>
        <w:t>onsideration of the evidence</w:t>
      </w:r>
    </w:p>
    <w:p w:rsidR="00055C70" w:rsidRPr="00267F89" w:rsidRDefault="00055C70" w:rsidP="00055C70">
      <w:pPr>
        <w:pStyle w:val="Heading2"/>
        <w:spacing w:after="120"/>
        <w:rPr>
          <w:rFonts w:asciiTheme="minorHAnsi" w:hAnsiTheme="minorHAnsi"/>
          <w:snapToGrid w:val="0"/>
          <w:sz w:val="28"/>
          <w:szCs w:val="28"/>
        </w:rPr>
      </w:pPr>
      <w:r w:rsidRPr="00267F89">
        <w:rPr>
          <w:rFonts w:asciiTheme="minorHAnsi" w:hAnsiTheme="minorHAnsi"/>
          <w:snapToGrid w:val="0"/>
          <w:sz w:val="28"/>
          <w:szCs w:val="28"/>
        </w:rPr>
        <w:t>Sponsor hearing</w:t>
      </w:r>
    </w:p>
    <w:p w:rsidR="00055C70" w:rsidRPr="00267F89" w:rsidRDefault="00055C70" w:rsidP="00055C70">
      <w:pPr>
        <w:widowControl w:val="0"/>
        <w:numPr>
          <w:ilvl w:val="1"/>
          <w:numId w:val="1"/>
        </w:numPr>
        <w:spacing w:after="120"/>
        <w:jc w:val="both"/>
        <w:rPr>
          <w:rFonts w:asciiTheme="minorHAnsi" w:hAnsiTheme="minorHAnsi" w:cs="Arial"/>
          <w:bCs/>
          <w:snapToGrid w:val="0"/>
        </w:rPr>
      </w:pPr>
      <w:r w:rsidRPr="00267F89">
        <w:rPr>
          <w:rFonts w:asciiTheme="minorHAnsi" w:hAnsiTheme="minorHAnsi" w:cs="Arial"/>
          <w:bCs/>
          <w:snapToGrid w:val="0"/>
        </w:rPr>
        <w:t>The</w:t>
      </w:r>
      <w:r w:rsidR="00267F89" w:rsidRPr="00267F89">
        <w:rPr>
          <w:rFonts w:asciiTheme="minorHAnsi" w:hAnsiTheme="minorHAnsi" w:cs="Arial"/>
          <w:bCs/>
          <w:snapToGrid w:val="0"/>
        </w:rPr>
        <w:t>re was no hearing for this item</w:t>
      </w:r>
      <w:r w:rsidR="001B4DA0">
        <w:rPr>
          <w:rFonts w:asciiTheme="minorHAnsi" w:hAnsiTheme="minorHAnsi" w:cs="Arial"/>
          <w:bCs/>
          <w:snapToGrid w:val="0"/>
        </w:rPr>
        <w:t xml:space="preserve"> as it was a minor submission</w:t>
      </w:r>
      <w:r w:rsidRPr="00267F89">
        <w:rPr>
          <w:rFonts w:asciiTheme="minorHAnsi" w:hAnsiTheme="minorHAnsi" w:cs="Arial"/>
          <w:bCs/>
          <w:snapToGrid w:val="0"/>
        </w:rPr>
        <w:t>.</w:t>
      </w:r>
    </w:p>
    <w:p w:rsidR="00055C70" w:rsidRPr="00267F89" w:rsidRDefault="00055C70" w:rsidP="00055C70">
      <w:pPr>
        <w:pStyle w:val="Heading2"/>
        <w:spacing w:after="120"/>
        <w:rPr>
          <w:rFonts w:asciiTheme="minorHAnsi" w:hAnsiTheme="minorHAnsi"/>
          <w:snapToGrid w:val="0"/>
          <w:sz w:val="28"/>
          <w:szCs w:val="28"/>
        </w:rPr>
      </w:pPr>
      <w:r w:rsidRPr="00267F89">
        <w:rPr>
          <w:rFonts w:asciiTheme="minorHAnsi" w:hAnsiTheme="minorHAnsi"/>
          <w:snapToGrid w:val="0"/>
          <w:sz w:val="28"/>
          <w:szCs w:val="28"/>
        </w:rPr>
        <w:t>Consumer comments</w:t>
      </w:r>
    </w:p>
    <w:p w:rsidR="00267F89" w:rsidRPr="00AF3249" w:rsidRDefault="00267F89" w:rsidP="00267F89">
      <w:pPr>
        <w:widowControl w:val="0"/>
        <w:numPr>
          <w:ilvl w:val="1"/>
          <w:numId w:val="1"/>
        </w:numPr>
        <w:spacing w:after="120"/>
        <w:jc w:val="both"/>
        <w:rPr>
          <w:rFonts w:asciiTheme="minorHAnsi" w:hAnsiTheme="minorHAnsi"/>
          <w:bCs/>
        </w:rPr>
      </w:pPr>
      <w:r w:rsidRPr="00267F89">
        <w:rPr>
          <w:rFonts w:asciiTheme="minorHAnsi" w:hAnsiTheme="minorHAnsi"/>
          <w:bCs/>
        </w:rPr>
        <w:t>The PBAC noted and welcomed the input from individuals (3) and organisations (2) via the Consumer Comments facility on the PBS website.</w:t>
      </w:r>
      <w:r w:rsidR="00E44CFA">
        <w:rPr>
          <w:rFonts w:asciiTheme="minorHAnsi" w:hAnsiTheme="minorHAnsi"/>
          <w:bCs/>
        </w:rPr>
        <w:t xml:space="preserve"> </w:t>
      </w:r>
      <w:r w:rsidRPr="00267F89">
        <w:rPr>
          <w:rFonts w:asciiTheme="minorHAnsi" w:hAnsiTheme="minorHAnsi"/>
          <w:bCs/>
        </w:rPr>
        <w:t xml:space="preserve">The individual comments described benefits of treatment with adjuvant </w:t>
      </w:r>
      <w:proofErr w:type="spellStart"/>
      <w:r w:rsidRPr="00267F89">
        <w:rPr>
          <w:rFonts w:asciiTheme="minorHAnsi" w:hAnsiTheme="minorHAnsi"/>
          <w:bCs/>
        </w:rPr>
        <w:t>pembrolizumab</w:t>
      </w:r>
      <w:proofErr w:type="spellEnd"/>
      <w:r w:rsidRPr="00267F89">
        <w:rPr>
          <w:rFonts w:asciiTheme="minorHAnsi" w:hAnsiTheme="minorHAnsi"/>
          <w:bCs/>
        </w:rPr>
        <w:t xml:space="preserve"> including prolonged life</w:t>
      </w:r>
      <w:r w:rsidR="004D0E50">
        <w:rPr>
          <w:rFonts w:asciiTheme="minorHAnsi" w:hAnsiTheme="minorHAnsi"/>
          <w:bCs/>
        </w:rPr>
        <w:t xml:space="preserve"> and </w:t>
      </w:r>
      <w:r w:rsidRPr="00AF3249">
        <w:rPr>
          <w:rFonts w:asciiTheme="minorHAnsi" w:hAnsiTheme="minorHAnsi"/>
          <w:bCs/>
        </w:rPr>
        <w:t>improved quality of life.</w:t>
      </w:r>
      <w:r w:rsidR="00E44CFA">
        <w:rPr>
          <w:rFonts w:asciiTheme="minorHAnsi" w:hAnsiTheme="minorHAnsi"/>
          <w:bCs/>
        </w:rPr>
        <w:t xml:space="preserve"> </w:t>
      </w:r>
    </w:p>
    <w:p w:rsidR="00267F89" w:rsidRPr="00AF3249" w:rsidRDefault="00267F89" w:rsidP="00267F89">
      <w:pPr>
        <w:widowControl w:val="0"/>
        <w:numPr>
          <w:ilvl w:val="1"/>
          <w:numId w:val="1"/>
        </w:numPr>
        <w:spacing w:after="120"/>
        <w:jc w:val="both"/>
        <w:rPr>
          <w:rFonts w:asciiTheme="minorHAnsi" w:hAnsiTheme="minorHAnsi"/>
          <w:bCs/>
        </w:rPr>
      </w:pPr>
      <w:r w:rsidRPr="00AF3249">
        <w:rPr>
          <w:rFonts w:asciiTheme="minorHAnsi" w:hAnsiTheme="minorHAnsi"/>
          <w:bCs/>
        </w:rPr>
        <w:t xml:space="preserve">The PBAC noted the advice received from Melanoma </w:t>
      </w:r>
      <w:r>
        <w:rPr>
          <w:rFonts w:asciiTheme="minorHAnsi" w:hAnsiTheme="minorHAnsi"/>
          <w:bCs/>
        </w:rPr>
        <w:t>P</w:t>
      </w:r>
      <w:r w:rsidRPr="00AF3249">
        <w:rPr>
          <w:rFonts w:asciiTheme="minorHAnsi" w:hAnsiTheme="minorHAnsi"/>
          <w:bCs/>
        </w:rPr>
        <w:t xml:space="preserve">atients Australia which supported the listing of </w:t>
      </w:r>
      <w:proofErr w:type="spellStart"/>
      <w:r w:rsidRPr="00AF3249">
        <w:rPr>
          <w:rFonts w:asciiTheme="minorHAnsi" w:hAnsiTheme="minorHAnsi"/>
          <w:bCs/>
        </w:rPr>
        <w:t>pembrolizumab</w:t>
      </w:r>
      <w:proofErr w:type="spellEnd"/>
      <w:r w:rsidRPr="00AF3249">
        <w:rPr>
          <w:rFonts w:asciiTheme="minorHAnsi" w:hAnsiTheme="minorHAnsi"/>
          <w:bCs/>
        </w:rPr>
        <w:t xml:space="preserve"> for Stage III</w:t>
      </w:r>
      <w:r>
        <w:rPr>
          <w:rFonts w:asciiTheme="minorHAnsi" w:hAnsiTheme="minorHAnsi"/>
          <w:bCs/>
        </w:rPr>
        <w:t>B, IIIC and IIID</w:t>
      </w:r>
      <w:r w:rsidRPr="00AF3249">
        <w:rPr>
          <w:rFonts w:asciiTheme="minorHAnsi" w:hAnsiTheme="minorHAnsi"/>
          <w:bCs/>
        </w:rPr>
        <w:t xml:space="preserve"> resected melanoma on the PBS. </w:t>
      </w:r>
    </w:p>
    <w:p w:rsidR="00267F89" w:rsidRPr="00AF3249" w:rsidRDefault="00267F89" w:rsidP="00267F89">
      <w:pPr>
        <w:keepNext/>
        <w:numPr>
          <w:ilvl w:val="1"/>
          <w:numId w:val="1"/>
        </w:numPr>
        <w:spacing w:after="120"/>
        <w:jc w:val="both"/>
      </w:pPr>
      <w:r w:rsidRPr="00AF3249">
        <w:rPr>
          <w:rFonts w:asciiTheme="minorHAnsi" w:hAnsiTheme="minorHAnsi"/>
          <w:bCs/>
        </w:rPr>
        <w:t xml:space="preserve">The Medical Oncology Group of Australia (MOGA) also expressed its strong support for the adjuvant </w:t>
      </w:r>
      <w:proofErr w:type="spellStart"/>
      <w:r w:rsidRPr="00AF3249">
        <w:rPr>
          <w:rFonts w:asciiTheme="minorHAnsi" w:hAnsiTheme="minorHAnsi"/>
          <w:bCs/>
        </w:rPr>
        <w:t>pembrolizumab</w:t>
      </w:r>
      <w:proofErr w:type="spellEnd"/>
      <w:r w:rsidRPr="00AF3249">
        <w:rPr>
          <w:rFonts w:asciiTheme="minorHAnsi" w:hAnsiTheme="minorHAnsi"/>
          <w:bCs/>
        </w:rPr>
        <w:t xml:space="preserve"> in Stage III melanoma submission, categorising it as one of the therapies of “highest priority for PBAC listing” on the basis of the Phase III clinical evidence provided by the KN054 trial. The PBAC noted that the MOGA presented the European Society for Medical Oncology Magnitude of Clinical Benefit Scale (ESMO-MCBS) for </w:t>
      </w:r>
      <w:proofErr w:type="spellStart"/>
      <w:r w:rsidRPr="00AF3249">
        <w:rPr>
          <w:rFonts w:asciiTheme="minorHAnsi" w:hAnsiTheme="minorHAnsi"/>
          <w:bCs/>
        </w:rPr>
        <w:t>pembrolizumab</w:t>
      </w:r>
      <w:proofErr w:type="spellEnd"/>
      <w:r w:rsidRPr="00AF3249">
        <w:rPr>
          <w:rFonts w:asciiTheme="minorHAnsi" w:hAnsiTheme="minorHAnsi"/>
          <w:bCs/>
        </w:rPr>
        <w:t>, which was a Grade A, which is the highest grade (out of C, and where A and B represent the grades with substantial improvement for new approaches to adjuvant therapy or new potentially curative therapies), based on a comparison with placebo in the KN054 trial.</w:t>
      </w:r>
      <w:r w:rsidRPr="00AF3249">
        <w:rPr>
          <w:rStyle w:val="FootnoteReference"/>
          <w:rFonts w:asciiTheme="minorHAnsi" w:hAnsiTheme="minorHAnsi"/>
          <w:bCs/>
        </w:rPr>
        <w:footnoteReference w:id="1"/>
      </w:r>
    </w:p>
    <w:p w:rsidR="005A3173" w:rsidRDefault="005A3173" w:rsidP="003976B6">
      <w:pPr>
        <w:pStyle w:val="Heading2"/>
        <w:keepLines/>
        <w:spacing w:before="12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Economic analysis</w:t>
      </w:r>
      <w:r w:rsidR="009803E4">
        <w:rPr>
          <w:rFonts w:asciiTheme="minorHAnsi" w:eastAsiaTheme="majorEastAsia" w:hAnsiTheme="minorHAnsi" w:cstheme="majorBidi"/>
          <w:sz w:val="28"/>
          <w:szCs w:val="28"/>
          <w:lang w:eastAsia="en-US"/>
        </w:rPr>
        <w:t xml:space="preserve"> </w:t>
      </w:r>
    </w:p>
    <w:p w:rsidR="00A05661" w:rsidRPr="00A05661" w:rsidRDefault="00562272" w:rsidP="00A05661">
      <w:pPr>
        <w:pStyle w:val="Bodytextitalics"/>
        <w:jc w:val="both"/>
        <w:rPr>
          <w:rFonts w:cstheme="minorHAnsi"/>
          <w:szCs w:val="24"/>
        </w:rPr>
      </w:pPr>
      <w:r>
        <w:rPr>
          <w:rFonts w:cstheme="minorHAnsi"/>
          <w:i w:val="0"/>
          <w:szCs w:val="24"/>
        </w:rPr>
        <w:t xml:space="preserve">The minor resubmission noted paragraph 7.13 of the July 2018 </w:t>
      </w:r>
      <w:proofErr w:type="spellStart"/>
      <w:r>
        <w:rPr>
          <w:rFonts w:cstheme="minorHAnsi"/>
          <w:i w:val="0"/>
          <w:szCs w:val="24"/>
        </w:rPr>
        <w:t>pembrolizumab</w:t>
      </w:r>
      <w:proofErr w:type="spellEnd"/>
      <w:r>
        <w:rPr>
          <w:rFonts w:cstheme="minorHAnsi"/>
          <w:i w:val="0"/>
          <w:szCs w:val="24"/>
        </w:rPr>
        <w:t xml:space="preserve"> minutes, which stated “that if </w:t>
      </w:r>
      <w:proofErr w:type="spellStart"/>
      <w:r>
        <w:rPr>
          <w:rFonts w:cstheme="minorHAnsi"/>
          <w:i w:val="0"/>
          <w:szCs w:val="24"/>
        </w:rPr>
        <w:t>nivolumab</w:t>
      </w:r>
      <w:proofErr w:type="spellEnd"/>
      <w:r>
        <w:rPr>
          <w:rFonts w:cstheme="minorHAnsi"/>
          <w:i w:val="0"/>
          <w:szCs w:val="24"/>
        </w:rPr>
        <w:t xml:space="preserve"> was listed on the PBS for the adjuvant treatment of melanoma, it would be appropriate for </w:t>
      </w:r>
      <w:proofErr w:type="spellStart"/>
      <w:r>
        <w:rPr>
          <w:rFonts w:cstheme="minorHAnsi"/>
          <w:i w:val="0"/>
          <w:szCs w:val="24"/>
        </w:rPr>
        <w:t>pembrolizumab</w:t>
      </w:r>
      <w:proofErr w:type="spellEnd"/>
      <w:r>
        <w:rPr>
          <w:rFonts w:cstheme="minorHAnsi"/>
          <w:i w:val="0"/>
          <w:szCs w:val="24"/>
        </w:rPr>
        <w:t xml:space="preserve"> to be cost minimised to </w:t>
      </w:r>
      <w:proofErr w:type="spellStart"/>
      <w:r>
        <w:rPr>
          <w:rFonts w:cstheme="minorHAnsi"/>
          <w:i w:val="0"/>
          <w:szCs w:val="24"/>
        </w:rPr>
        <w:t>nivolumab</w:t>
      </w:r>
      <w:proofErr w:type="spellEnd"/>
      <w:r>
        <w:rPr>
          <w:rFonts w:cstheme="minorHAnsi"/>
          <w:i w:val="0"/>
          <w:szCs w:val="24"/>
        </w:rPr>
        <w:t xml:space="preserve">….and if </w:t>
      </w:r>
      <w:proofErr w:type="spellStart"/>
      <w:r>
        <w:rPr>
          <w:rFonts w:cstheme="minorHAnsi"/>
          <w:i w:val="0"/>
          <w:szCs w:val="24"/>
        </w:rPr>
        <w:t>dabrafenib</w:t>
      </w:r>
      <w:proofErr w:type="spellEnd"/>
      <w:r w:rsidR="008A06F4">
        <w:rPr>
          <w:rFonts w:cstheme="minorHAnsi"/>
          <w:i w:val="0"/>
          <w:szCs w:val="24"/>
        </w:rPr>
        <w:t xml:space="preserve"> </w:t>
      </w:r>
      <w:r>
        <w:rPr>
          <w:rFonts w:cstheme="minorHAnsi"/>
          <w:i w:val="0"/>
          <w:szCs w:val="24"/>
        </w:rPr>
        <w:t>+</w:t>
      </w:r>
      <w:r w:rsidR="008A06F4">
        <w:rPr>
          <w:rFonts w:cstheme="minorHAnsi"/>
          <w:i w:val="0"/>
          <w:szCs w:val="24"/>
        </w:rPr>
        <w:t xml:space="preserve"> </w:t>
      </w:r>
      <w:proofErr w:type="spellStart"/>
      <w:r>
        <w:rPr>
          <w:rFonts w:cstheme="minorHAnsi"/>
          <w:i w:val="0"/>
          <w:szCs w:val="24"/>
        </w:rPr>
        <w:t>trametinib</w:t>
      </w:r>
      <w:proofErr w:type="spellEnd"/>
      <w:r>
        <w:rPr>
          <w:rFonts w:cstheme="minorHAnsi"/>
          <w:i w:val="0"/>
          <w:szCs w:val="24"/>
        </w:rPr>
        <w:t xml:space="preserve"> was listed on the PBS for the adjuvant treatment of BRAF mutant melanoma, it would be appropriate for </w:t>
      </w:r>
      <w:proofErr w:type="spellStart"/>
      <w:r>
        <w:rPr>
          <w:rFonts w:cstheme="minorHAnsi"/>
          <w:i w:val="0"/>
          <w:szCs w:val="24"/>
        </w:rPr>
        <w:t>pembrolizumab</w:t>
      </w:r>
      <w:proofErr w:type="spellEnd"/>
      <w:r>
        <w:rPr>
          <w:rFonts w:cstheme="minorHAnsi"/>
          <w:i w:val="0"/>
          <w:szCs w:val="24"/>
        </w:rPr>
        <w:t xml:space="preserve"> to be cost minimised to </w:t>
      </w:r>
      <w:proofErr w:type="spellStart"/>
      <w:r>
        <w:rPr>
          <w:rFonts w:cstheme="minorHAnsi"/>
          <w:i w:val="0"/>
          <w:szCs w:val="24"/>
        </w:rPr>
        <w:t>dabrafenib</w:t>
      </w:r>
      <w:proofErr w:type="spellEnd"/>
      <w:r w:rsidR="008A06F4">
        <w:rPr>
          <w:rFonts w:cstheme="minorHAnsi"/>
          <w:i w:val="0"/>
          <w:szCs w:val="24"/>
        </w:rPr>
        <w:t xml:space="preserve"> </w:t>
      </w:r>
      <w:r>
        <w:rPr>
          <w:rFonts w:cstheme="minorHAnsi"/>
          <w:i w:val="0"/>
          <w:szCs w:val="24"/>
        </w:rPr>
        <w:t>+</w:t>
      </w:r>
      <w:r w:rsidR="008A06F4">
        <w:rPr>
          <w:rFonts w:cstheme="minorHAnsi"/>
          <w:i w:val="0"/>
          <w:szCs w:val="24"/>
        </w:rPr>
        <w:t xml:space="preserve"> </w:t>
      </w:r>
      <w:proofErr w:type="spellStart"/>
      <w:r>
        <w:rPr>
          <w:rFonts w:cstheme="minorHAnsi"/>
          <w:i w:val="0"/>
          <w:szCs w:val="24"/>
        </w:rPr>
        <w:t>trametinib</w:t>
      </w:r>
      <w:proofErr w:type="spellEnd"/>
      <w:r>
        <w:rPr>
          <w:rFonts w:cstheme="minorHAnsi"/>
          <w:i w:val="0"/>
          <w:szCs w:val="24"/>
        </w:rPr>
        <w:t xml:space="preserve"> for the proportion of the population that is BRAF mutant positive”.</w:t>
      </w:r>
    </w:p>
    <w:p w:rsidR="00562272" w:rsidRPr="00562272" w:rsidRDefault="006E7378" w:rsidP="00460B1E">
      <w:pPr>
        <w:pStyle w:val="Bodytextitalics"/>
        <w:jc w:val="both"/>
        <w:rPr>
          <w:rFonts w:cstheme="minorHAnsi"/>
          <w:szCs w:val="24"/>
        </w:rPr>
      </w:pPr>
      <w:r>
        <w:rPr>
          <w:rFonts w:cstheme="minorHAnsi"/>
          <w:i w:val="0"/>
          <w:szCs w:val="24"/>
        </w:rPr>
        <w:t xml:space="preserve">The minor resubmission </w:t>
      </w:r>
      <w:r w:rsidR="00562272">
        <w:rPr>
          <w:rFonts w:cstheme="minorHAnsi"/>
          <w:i w:val="0"/>
          <w:szCs w:val="24"/>
        </w:rPr>
        <w:t>therefore presented the following cost minimisation analyses:</w:t>
      </w:r>
    </w:p>
    <w:p w:rsidR="00562272" w:rsidRPr="00562272" w:rsidRDefault="00562272" w:rsidP="00460B1E">
      <w:pPr>
        <w:pStyle w:val="Bodytextitalics"/>
        <w:numPr>
          <w:ilvl w:val="1"/>
          <w:numId w:val="24"/>
        </w:numPr>
        <w:ind w:left="1077" w:hanging="357"/>
        <w:jc w:val="both"/>
        <w:rPr>
          <w:rFonts w:cstheme="minorHAnsi"/>
          <w:szCs w:val="24"/>
        </w:rPr>
      </w:pPr>
      <w:proofErr w:type="spellStart"/>
      <w:r>
        <w:rPr>
          <w:rFonts w:cstheme="minorHAnsi"/>
          <w:i w:val="0"/>
          <w:szCs w:val="24"/>
        </w:rPr>
        <w:t>Pembrolizumab</w:t>
      </w:r>
      <w:proofErr w:type="spellEnd"/>
      <w:r>
        <w:rPr>
          <w:rFonts w:cstheme="minorHAnsi"/>
          <w:i w:val="0"/>
          <w:szCs w:val="24"/>
        </w:rPr>
        <w:t xml:space="preserve"> versus </w:t>
      </w:r>
      <w:proofErr w:type="spellStart"/>
      <w:r>
        <w:rPr>
          <w:rFonts w:cstheme="minorHAnsi"/>
          <w:i w:val="0"/>
          <w:szCs w:val="24"/>
        </w:rPr>
        <w:t>nivolumab</w:t>
      </w:r>
      <w:proofErr w:type="spellEnd"/>
      <w:r>
        <w:rPr>
          <w:rFonts w:cstheme="minorHAnsi"/>
          <w:i w:val="0"/>
          <w:szCs w:val="24"/>
        </w:rPr>
        <w:t>, with and without consideration of treatment duration; and</w:t>
      </w:r>
    </w:p>
    <w:p w:rsidR="006E7378" w:rsidRPr="00562272" w:rsidRDefault="00562272" w:rsidP="00460B1E">
      <w:pPr>
        <w:pStyle w:val="Bodytextitalics"/>
        <w:numPr>
          <w:ilvl w:val="1"/>
          <w:numId w:val="24"/>
        </w:numPr>
        <w:ind w:left="1077" w:hanging="357"/>
        <w:jc w:val="both"/>
        <w:rPr>
          <w:rFonts w:cstheme="minorHAnsi"/>
          <w:szCs w:val="24"/>
        </w:rPr>
      </w:pPr>
      <w:proofErr w:type="spellStart"/>
      <w:r>
        <w:rPr>
          <w:rFonts w:cstheme="minorHAnsi"/>
          <w:i w:val="0"/>
          <w:szCs w:val="24"/>
        </w:rPr>
        <w:t>Pembrolizumab</w:t>
      </w:r>
      <w:proofErr w:type="spellEnd"/>
      <w:r>
        <w:rPr>
          <w:rFonts w:cstheme="minorHAnsi"/>
          <w:i w:val="0"/>
          <w:szCs w:val="24"/>
        </w:rPr>
        <w:t xml:space="preserve"> versus </w:t>
      </w:r>
      <w:proofErr w:type="spellStart"/>
      <w:r>
        <w:rPr>
          <w:rFonts w:cstheme="minorHAnsi"/>
          <w:i w:val="0"/>
          <w:szCs w:val="24"/>
        </w:rPr>
        <w:t>dabrafenib</w:t>
      </w:r>
      <w:proofErr w:type="spellEnd"/>
      <w:r w:rsidR="008A06F4">
        <w:rPr>
          <w:rFonts w:cstheme="minorHAnsi"/>
          <w:i w:val="0"/>
          <w:szCs w:val="24"/>
        </w:rPr>
        <w:t xml:space="preserve"> </w:t>
      </w:r>
      <w:r>
        <w:rPr>
          <w:rFonts w:cstheme="minorHAnsi"/>
          <w:i w:val="0"/>
          <w:szCs w:val="24"/>
        </w:rPr>
        <w:t>+</w:t>
      </w:r>
      <w:r w:rsidR="008A06F4">
        <w:rPr>
          <w:rFonts w:cstheme="minorHAnsi"/>
          <w:i w:val="0"/>
          <w:szCs w:val="24"/>
        </w:rPr>
        <w:t xml:space="preserve"> </w:t>
      </w:r>
      <w:proofErr w:type="spellStart"/>
      <w:r>
        <w:rPr>
          <w:rFonts w:cstheme="minorHAnsi"/>
          <w:i w:val="0"/>
          <w:szCs w:val="24"/>
        </w:rPr>
        <w:t>trametinib</w:t>
      </w:r>
      <w:proofErr w:type="spellEnd"/>
      <w:r>
        <w:rPr>
          <w:rFonts w:cstheme="minorHAnsi"/>
          <w:i w:val="0"/>
          <w:szCs w:val="24"/>
        </w:rPr>
        <w:t xml:space="preserve"> in BRAF </w:t>
      </w:r>
      <w:r w:rsidR="00C92A3D">
        <w:rPr>
          <w:rFonts w:cstheme="minorHAnsi"/>
          <w:i w:val="0"/>
          <w:szCs w:val="24"/>
        </w:rPr>
        <w:t>mutant</w:t>
      </w:r>
      <w:r>
        <w:rPr>
          <w:rFonts w:cstheme="minorHAnsi"/>
          <w:i w:val="0"/>
          <w:szCs w:val="24"/>
        </w:rPr>
        <w:t xml:space="preserve"> patients, with and without consideration of treatment duration.</w:t>
      </w:r>
    </w:p>
    <w:p w:rsidR="00A05661" w:rsidRPr="00055C70" w:rsidRDefault="00783E17" w:rsidP="00460B1E">
      <w:pPr>
        <w:pStyle w:val="Bodytextitalics"/>
        <w:jc w:val="both"/>
        <w:rPr>
          <w:rFonts w:cstheme="minorHAnsi"/>
          <w:i w:val="0"/>
          <w:szCs w:val="24"/>
        </w:rPr>
      </w:pPr>
      <w:proofErr w:type="spellStart"/>
      <w:r w:rsidRPr="00055C70">
        <w:rPr>
          <w:rFonts w:cstheme="minorHAnsi"/>
          <w:i w:val="0"/>
          <w:szCs w:val="24"/>
        </w:rPr>
        <w:lastRenderedPageBreak/>
        <w:t>Dabrafenib</w:t>
      </w:r>
      <w:proofErr w:type="spellEnd"/>
      <w:r w:rsidR="008A06F4" w:rsidRPr="00055C70">
        <w:rPr>
          <w:rFonts w:cstheme="minorHAnsi"/>
          <w:i w:val="0"/>
          <w:szCs w:val="24"/>
        </w:rPr>
        <w:t xml:space="preserve"> </w:t>
      </w:r>
      <w:r w:rsidRPr="00055C70">
        <w:rPr>
          <w:rFonts w:cstheme="minorHAnsi"/>
          <w:i w:val="0"/>
          <w:szCs w:val="24"/>
        </w:rPr>
        <w:t>+</w:t>
      </w:r>
      <w:r w:rsidR="008A06F4" w:rsidRPr="00055C70">
        <w:rPr>
          <w:rFonts w:cstheme="minorHAnsi"/>
          <w:i w:val="0"/>
          <w:szCs w:val="24"/>
        </w:rPr>
        <w:t xml:space="preserve"> </w:t>
      </w:r>
      <w:proofErr w:type="spellStart"/>
      <w:r w:rsidRPr="00055C70">
        <w:rPr>
          <w:rFonts w:cstheme="minorHAnsi"/>
          <w:i w:val="0"/>
          <w:szCs w:val="24"/>
        </w:rPr>
        <w:t>trametinib</w:t>
      </w:r>
      <w:proofErr w:type="spellEnd"/>
      <w:r w:rsidRPr="00055C70">
        <w:rPr>
          <w:rFonts w:cstheme="minorHAnsi"/>
          <w:i w:val="0"/>
          <w:szCs w:val="24"/>
        </w:rPr>
        <w:t xml:space="preserve"> was recommended as an adjuvant treatment for BRAF </w:t>
      </w:r>
      <w:r w:rsidR="00C92A3D">
        <w:rPr>
          <w:rFonts w:cstheme="minorHAnsi"/>
          <w:i w:val="0"/>
          <w:szCs w:val="24"/>
        </w:rPr>
        <w:t>mutant</w:t>
      </w:r>
      <w:r w:rsidRPr="00055C70">
        <w:rPr>
          <w:rFonts w:cstheme="minorHAnsi"/>
          <w:i w:val="0"/>
          <w:szCs w:val="24"/>
        </w:rPr>
        <w:t xml:space="preserve"> patients in July 2018</w:t>
      </w:r>
      <w:r w:rsidR="00080735">
        <w:rPr>
          <w:rFonts w:cstheme="minorHAnsi"/>
          <w:i w:val="0"/>
          <w:szCs w:val="24"/>
        </w:rPr>
        <w:t xml:space="preserve"> and listed on the PBS on 1 November 2019</w:t>
      </w:r>
      <w:r w:rsidRPr="00055C70">
        <w:rPr>
          <w:rFonts w:cstheme="minorHAnsi"/>
          <w:i w:val="0"/>
          <w:szCs w:val="24"/>
        </w:rPr>
        <w:t xml:space="preserve">. </w:t>
      </w:r>
      <w:proofErr w:type="spellStart"/>
      <w:r w:rsidRPr="00055C70">
        <w:rPr>
          <w:rFonts w:cstheme="minorHAnsi"/>
          <w:i w:val="0"/>
          <w:szCs w:val="24"/>
        </w:rPr>
        <w:t>Nivolumab</w:t>
      </w:r>
      <w:proofErr w:type="spellEnd"/>
      <w:r w:rsidR="00080735">
        <w:rPr>
          <w:rFonts w:cstheme="minorHAnsi"/>
          <w:i w:val="0"/>
          <w:szCs w:val="24"/>
        </w:rPr>
        <w:t xml:space="preserve"> </w:t>
      </w:r>
      <w:r w:rsidRPr="00055C70">
        <w:rPr>
          <w:rFonts w:cstheme="minorHAnsi"/>
          <w:i w:val="0"/>
          <w:szCs w:val="24"/>
        </w:rPr>
        <w:t>was deferred in July 2018</w:t>
      </w:r>
      <w:r w:rsidR="00C92A3D">
        <w:rPr>
          <w:rFonts w:cstheme="minorHAnsi"/>
          <w:i w:val="0"/>
          <w:szCs w:val="24"/>
        </w:rPr>
        <w:t xml:space="preserve"> and reco</w:t>
      </w:r>
      <w:r w:rsidR="00F22877">
        <w:rPr>
          <w:rFonts w:cstheme="minorHAnsi"/>
          <w:i w:val="0"/>
          <w:szCs w:val="24"/>
        </w:rPr>
        <w:t>nsidered</w:t>
      </w:r>
      <w:r w:rsidR="00C92A3D">
        <w:rPr>
          <w:rFonts w:cstheme="minorHAnsi"/>
          <w:i w:val="0"/>
          <w:szCs w:val="24"/>
        </w:rPr>
        <w:t xml:space="preserve"> </w:t>
      </w:r>
      <w:r w:rsidR="00080735">
        <w:rPr>
          <w:rFonts w:cstheme="minorHAnsi"/>
          <w:i w:val="0"/>
          <w:szCs w:val="24"/>
        </w:rPr>
        <w:t xml:space="preserve">by the PBAC </w:t>
      </w:r>
      <w:r w:rsidR="00C92A3D">
        <w:rPr>
          <w:rFonts w:cstheme="minorHAnsi"/>
          <w:i w:val="0"/>
          <w:szCs w:val="24"/>
        </w:rPr>
        <w:t>in November 2019</w:t>
      </w:r>
      <w:r w:rsidR="00080735">
        <w:rPr>
          <w:rFonts w:cstheme="minorHAnsi"/>
          <w:i w:val="0"/>
          <w:szCs w:val="24"/>
        </w:rPr>
        <w:t xml:space="preserve"> for BRAF mutant and BRAF WT patients</w:t>
      </w:r>
      <w:r w:rsidR="00C92A3D">
        <w:rPr>
          <w:rFonts w:cstheme="minorHAnsi"/>
          <w:i w:val="0"/>
          <w:szCs w:val="24"/>
        </w:rPr>
        <w:t xml:space="preserve">. </w:t>
      </w:r>
    </w:p>
    <w:p w:rsidR="00A05661" w:rsidRPr="00A05661" w:rsidRDefault="00A05661" w:rsidP="00A05661">
      <w:pPr>
        <w:rPr>
          <w:rFonts w:asciiTheme="minorHAnsi" w:hAnsiTheme="minorHAnsi" w:cstheme="minorHAnsi"/>
          <w:u w:val="single"/>
        </w:rPr>
      </w:pPr>
      <w:proofErr w:type="spellStart"/>
      <w:r w:rsidRPr="00A05661">
        <w:rPr>
          <w:rFonts w:asciiTheme="minorHAnsi" w:hAnsiTheme="minorHAnsi" w:cstheme="minorHAnsi"/>
          <w:u w:val="single"/>
        </w:rPr>
        <w:t>Pembrolizumab</w:t>
      </w:r>
      <w:proofErr w:type="spellEnd"/>
      <w:r w:rsidRPr="00A05661">
        <w:rPr>
          <w:rFonts w:asciiTheme="minorHAnsi" w:hAnsiTheme="minorHAnsi" w:cstheme="minorHAnsi"/>
          <w:u w:val="single"/>
        </w:rPr>
        <w:t xml:space="preserve"> versus </w:t>
      </w:r>
      <w:proofErr w:type="spellStart"/>
      <w:r w:rsidRPr="00A05661">
        <w:rPr>
          <w:rFonts w:asciiTheme="minorHAnsi" w:hAnsiTheme="minorHAnsi" w:cstheme="minorHAnsi"/>
          <w:u w:val="single"/>
        </w:rPr>
        <w:t>nivolumab</w:t>
      </w:r>
      <w:proofErr w:type="spellEnd"/>
    </w:p>
    <w:p w:rsidR="00D663E2" w:rsidRPr="00D663E2" w:rsidRDefault="00D663E2" w:rsidP="00460B1E">
      <w:pPr>
        <w:pStyle w:val="Bodytextitalics"/>
        <w:jc w:val="both"/>
        <w:rPr>
          <w:rFonts w:cstheme="minorHAnsi"/>
          <w:szCs w:val="24"/>
        </w:rPr>
      </w:pPr>
      <w:r w:rsidRPr="00D663E2">
        <w:rPr>
          <w:rFonts w:eastAsia="Times New Roman" w:cstheme="minorHAnsi"/>
          <w:i w:val="0"/>
          <w:snapToGrid w:val="0"/>
          <w:szCs w:val="24"/>
          <w:lang w:eastAsia="en-US"/>
        </w:rPr>
        <w:t xml:space="preserve">The equi-effective doses, without consideration of treatment duration (i.e. assuming 12 months treatment for both drugs), </w:t>
      </w:r>
      <w:r w:rsidR="00A05661">
        <w:rPr>
          <w:rFonts w:eastAsia="Times New Roman" w:cstheme="minorHAnsi"/>
          <w:i w:val="0"/>
          <w:snapToGrid w:val="0"/>
          <w:szCs w:val="24"/>
          <w:lang w:eastAsia="en-US"/>
        </w:rPr>
        <w:t xml:space="preserve">nominated in the minor resubmission </w:t>
      </w:r>
      <w:r w:rsidRPr="00D663E2">
        <w:rPr>
          <w:rFonts w:eastAsia="Times New Roman" w:cstheme="minorHAnsi"/>
          <w:i w:val="0"/>
          <w:snapToGrid w:val="0"/>
          <w:szCs w:val="24"/>
          <w:lang w:eastAsia="en-US"/>
        </w:rPr>
        <w:t>were:</w:t>
      </w:r>
    </w:p>
    <w:p w:rsidR="00D663E2" w:rsidRPr="00062280" w:rsidRDefault="00D663E2" w:rsidP="00460B1E">
      <w:pPr>
        <w:pStyle w:val="Bodytextitalics"/>
        <w:numPr>
          <w:ilvl w:val="0"/>
          <w:numId w:val="0"/>
        </w:numPr>
        <w:ind w:left="720" w:firstLine="720"/>
        <w:jc w:val="both"/>
        <w:rPr>
          <w:rFonts w:cstheme="minorHAnsi"/>
          <w:i w:val="0"/>
          <w:szCs w:val="24"/>
        </w:rPr>
      </w:pPr>
      <w:proofErr w:type="spellStart"/>
      <w:r w:rsidRPr="00062280">
        <w:rPr>
          <w:rFonts w:cstheme="minorHAnsi"/>
          <w:i w:val="0"/>
          <w:szCs w:val="24"/>
        </w:rPr>
        <w:t>Pembrolizumab</w:t>
      </w:r>
      <w:proofErr w:type="spellEnd"/>
      <w:r w:rsidRPr="00062280">
        <w:rPr>
          <w:rFonts w:cstheme="minorHAnsi"/>
          <w:i w:val="0"/>
          <w:szCs w:val="24"/>
        </w:rPr>
        <w:t xml:space="preserve"> 200 mg Q3W = </w:t>
      </w:r>
      <w:proofErr w:type="spellStart"/>
      <w:r w:rsidRPr="00062280">
        <w:rPr>
          <w:rFonts w:cstheme="minorHAnsi"/>
          <w:i w:val="0"/>
          <w:szCs w:val="24"/>
        </w:rPr>
        <w:t>Nivolumab</w:t>
      </w:r>
      <w:proofErr w:type="spellEnd"/>
      <w:r w:rsidRPr="00062280">
        <w:rPr>
          <w:rFonts w:cstheme="minorHAnsi"/>
          <w:i w:val="0"/>
          <w:szCs w:val="24"/>
        </w:rPr>
        <w:t xml:space="preserve"> 480 mg Q4W</w:t>
      </w:r>
    </w:p>
    <w:p w:rsidR="00D663E2" w:rsidRPr="00D663E2" w:rsidRDefault="00D663E2" w:rsidP="00460B1E">
      <w:pPr>
        <w:pStyle w:val="Bodytextitalics"/>
        <w:jc w:val="both"/>
        <w:rPr>
          <w:rFonts w:cstheme="minorHAnsi"/>
          <w:szCs w:val="24"/>
        </w:rPr>
      </w:pPr>
      <w:r w:rsidRPr="00D663E2">
        <w:rPr>
          <w:rFonts w:eastAsia="Times New Roman" w:cstheme="minorHAnsi"/>
          <w:i w:val="0"/>
          <w:snapToGrid w:val="0"/>
          <w:szCs w:val="24"/>
          <w:lang w:eastAsia="en-US"/>
        </w:rPr>
        <w:t xml:space="preserve">The cost minimisation analysis presented below is based on the published price of </w:t>
      </w:r>
      <w:proofErr w:type="spellStart"/>
      <w:r w:rsidRPr="00D663E2">
        <w:rPr>
          <w:rFonts w:eastAsia="Times New Roman" w:cstheme="minorHAnsi"/>
          <w:i w:val="0"/>
          <w:snapToGrid w:val="0"/>
          <w:szCs w:val="24"/>
          <w:lang w:eastAsia="en-US"/>
        </w:rPr>
        <w:t>nivolumab</w:t>
      </w:r>
      <w:proofErr w:type="spellEnd"/>
      <w:r w:rsidRPr="00D663E2">
        <w:rPr>
          <w:rFonts w:eastAsia="Times New Roman" w:cstheme="minorHAnsi"/>
          <w:i w:val="0"/>
          <w:snapToGrid w:val="0"/>
          <w:szCs w:val="24"/>
          <w:lang w:eastAsia="en-US"/>
        </w:rPr>
        <w:t xml:space="preserve"> in the </w:t>
      </w:r>
      <w:proofErr w:type="spellStart"/>
      <w:r w:rsidRPr="00D663E2">
        <w:rPr>
          <w:rFonts w:eastAsia="Times New Roman" w:cstheme="minorHAnsi"/>
          <w:i w:val="0"/>
          <w:snapToGrid w:val="0"/>
          <w:szCs w:val="24"/>
          <w:lang w:eastAsia="en-US"/>
        </w:rPr>
        <w:t>unresectable</w:t>
      </w:r>
      <w:proofErr w:type="spellEnd"/>
      <w:r w:rsidRPr="00D663E2">
        <w:rPr>
          <w:rFonts w:eastAsia="Times New Roman" w:cstheme="minorHAnsi"/>
          <w:i w:val="0"/>
          <w:snapToGrid w:val="0"/>
          <w:szCs w:val="24"/>
          <w:lang w:eastAsia="en-US"/>
        </w:rPr>
        <w:t xml:space="preserve"> or metastatic setting and includes administration costs. </w:t>
      </w:r>
    </w:p>
    <w:p w:rsidR="00D663E2" w:rsidRPr="00E5647A" w:rsidRDefault="00D663E2" w:rsidP="00460B1E">
      <w:pPr>
        <w:pStyle w:val="Caption"/>
        <w:keepNext/>
        <w:keepLines/>
        <w:spacing w:before="120" w:after="0"/>
        <w:jc w:val="both"/>
        <w:rPr>
          <w:rFonts w:ascii="Arial Narrow" w:hAnsi="Arial Narrow" w:cs="Arial"/>
          <w:b/>
          <w:i w:val="0"/>
          <w:color w:val="auto"/>
          <w:sz w:val="20"/>
          <w:szCs w:val="20"/>
        </w:rPr>
      </w:pPr>
      <w:r w:rsidRPr="00E5647A">
        <w:rPr>
          <w:rFonts w:ascii="Arial Narrow" w:hAnsi="Arial Narrow" w:cs="Arial"/>
          <w:b/>
          <w:i w:val="0"/>
          <w:color w:val="auto"/>
          <w:sz w:val="20"/>
          <w:szCs w:val="20"/>
        </w:rPr>
        <w:t xml:space="preserve">Table </w:t>
      </w:r>
      <w:r w:rsidR="000F3945">
        <w:rPr>
          <w:rFonts w:ascii="Arial Narrow" w:hAnsi="Arial Narrow" w:cs="Arial"/>
          <w:b/>
          <w:i w:val="0"/>
          <w:color w:val="auto"/>
          <w:sz w:val="20"/>
          <w:szCs w:val="20"/>
        </w:rPr>
        <w:t>2</w:t>
      </w:r>
      <w:r w:rsidR="00062280">
        <w:rPr>
          <w:rFonts w:ascii="Arial Narrow" w:hAnsi="Arial Narrow" w:cs="Arial"/>
          <w:b/>
          <w:i w:val="0"/>
          <w:snapToGrid w:val="0"/>
          <w:color w:val="auto"/>
          <w:sz w:val="20"/>
          <w:szCs w:val="20"/>
        </w:rPr>
        <w:t xml:space="preserve">: Cost-minimisation analysis between </w:t>
      </w:r>
      <w:proofErr w:type="spellStart"/>
      <w:r w:rsidR="00062280">
        <w:rPr>
          <w:rFonts w:ascii="Arial Narrow" w:hAnsi="Arial Narrow" w:cs="Arial"/>
          <w:b/>
          <w:i w:val="0"/>
          <w:snapToGrid w:val="0"/>
          <w:color w:val="auto"/>
          <w:sz w:val="20"/>
          <w:szCs w:val="20"/>
        </w:rPr>
        <w:t>pembrolizumab</w:t>
      </w:r>
      <w:proofErr w:type="spellEnd"/>
      <w:r w:rsidR="00062280">
        <w:rPr>
          <w:rFonts w:ascii="Arial Narrow" w:hAnsi="Arial Narrow" w:cs="Arial"/>
          <w:b/>
          <w:i w:val="0"/>
          <w:snapToGrid w:val="0"/>
          <w:color w:val="auto"/>
          <w:sz w:val="20"/>
          <w:szCs w:val="20"/>
        </w:rPr>
        <w:t xml:space="preserve"> and </w:t>
      </w:r>
      <w:proofErr w:type="spellStart"/>
      <w:r w:rsidR="00062280">
        <w:rPr>
          <w:rFonts w:ascii="Arial Narrow" w:hAnsi="Arial Narrow" w:cs="Arial"/>
          <w:b/>
          <w:i w:val="0"/>
          <w:snapToGrid w:val="0"/>
          <w:color w:val="auto"/>
          <w:sz w:val="20"/>
          <w:szCs w:val="20"/>
        </w:rPr>
        <w:t>nivolumab</w:t>
      </w:r>
      <w:proofErr w:type="spellEnd"/>
      <w:r w:rsidRPr="00E5647A">
        <w:rPr>
          <w:rFonts w:ascii="Arial Narrow" w:hAnsi="Arial Narrow" w:cs="Arial"/>
          <w:b/>
          <w:i w:val="0"/>
          <w:snapToGrid w:val="0"/>
          <w:color w:val="auto"/>
          <w:sz w:val="20"/>
          <w:szCs w:val="20"/>
        </w:rPr>
        <w:t xml:space="preserve"> (480 mg Q4W), </w:t>
      </w:r>
      <w:r w:rsidR="00062280">
        <w:rPr>
          <w:rFonts w:ascii="Arial Narrow" w:hAnsi="Arial Narrow" w:cs="Arial"/>
          <w:b/>
          <w:i w:val="0"/>
          <w:snapToGrid w:val="0"/>
          <w:color w:val="auto"/>
          <w:sz w:val="20"/>
          <w:szCs w:val="20"/>
        </w:rPr>
        <w:t>without</w:t>
      </w:r>
      <w:r w:rsidRPr="00E5647A">
        <w:rPr>
          <w:rFonts w:ascii="Arial Narrow" w:hAnsi="Arial Narrow" w:cs="Arial"/>
          <w:b/>
          <w:i w:val="0"/>
          <w:snapToGrid w:val="0"/>
          <w:color w:val="auto"/>
          <w:sz w:val="20"/>
          <w:szCs w:val="20"/>
        </w:rPr>
        <w:t xml:space="preserve"> consider</w:t>
      </w:r>
      <w:r w:rsidR="00062280">
        <w:rPr>
          <w:rFonts w:ascii="Arial Narrow" w:hAnsi="Arial Narrow" w:cs="Arial"/>
          <w:b/>
          <w:i w:val="0"/>
          <w:snapToGrid w:val="0"/>
          <w:color w:val="auto"/>
          <w:sz w:val="20"/>
          <w:szCs w:val="20"/>
        </w:rPr>
        <w:t xml:space="preserve">ation of </w:t>
      </w:r>
      <w:r w:rsidRPr="00E5647A">
        <w:rPr>
          <w:rFonts w:ascii="Arial Narrow" w:hAnsi="Arial Narrow" w:cs="Arial"/>
          <w:b/>
          <w:i w:val="0"/>
          <w:snapToGrid w:val="0"/>
          <w:color w:val="auto"/>
          <w:sz w:val="20"/>
          <w:szCs w:val="20"/>
        </w:rPr>
        <w:t>treatment duration</w:t>
      </w:r>
    </w:p>
    <w:tbl>
      <w:tblPr>
        <w:tblStyle w:val="ASDTable2"/>
        <w:tblW w:w="0" w:type="auto"/>
        <w:tblLayout w:type="fixed"/>
        <w:tblLook w:val="04A0" w:firstRow="1" w:lastRow="0" w:firstColumn="1" w:lastColumn="0" w:noHBand="0" w:noVBand="1"/>
        <w:tblCaption w:val="Table 2: Cost-minimisation analysis between pembrolizumab and nivolumab (480 mg Q4W), without consideration of treatment duration"/>
      </w:tblPr>
      <w:tblGrid>
        <w:gridCol w:w="421"/>
        <w:gridCol w:w="4536"/>
        <w:gridCol w:w="2268"/>
        <w:gridCol w:w="1791"/>
      </w:tblGrid>
      <w:tr w:rsidR="00D663E2" w:rsidRPr="00E5647A" w:rsidTr="00643DA7">
        <w:trPr>
          <w:tblHeader/>
        </w:trPr>
        <w:tc>
          <w:tcPr>
            <w:tcW w:w="421" w:type="dxa"/>
            <w:tcMar>
              <w:left w:w="28" w:type="dxa"/>
              <w:right w:w="28" w:type="dxa"/>
            </w:tcMar>
            <w:vAlign w:val="center"/>
          </w:tcPr>
          <w:p w:rsidR="00D663E2" w:rsidRPr="00E5647A" w:rsidRDefault="00D663E2" w:rsidP="00A05661">
            <w:pPr>
              <w:keepNext/>
              <w:keepLines/>
              <w:jc w:val="center"/>
              <w:rPr>
                <w:rFonts w:ascii="Arial Narrow" w:eastAsiaTheme="minorHAnsi" w:hAnsi="Arial Narrow" w:cs="Arial"/>
                <w:snapToGrid w:val="0"/>
                <w:sz w:val="20"/>
                <w:szCs w:val="20"/>
              </w:rPr>
            </w:pPr>
            <w:r w:rsidRPr="00E5647A">
              <w:rPr>
                <w:rFonts w:ascii="Arial Narrow" w:eastAsiaTheme="minorHAnsi" w:hAnsi="Arial Narrow" w:cs="Arial"/>
                <w:snapToGrid w:val="0"/>
                <w:sz w:val="20"/>
                <w:szCs w:val="20"/>
              </w:rPr>
              <w:t>A</w:t>
            </w:r>
          </w:p>
        </w:tc>
        <w:tc>
          <w:tcPr>
            <w:tcW w:w="4536" w:type="dxa"/>
            <w:tcMar>
              <w:left w:w="28" w:type="dxa"/>
              <w:right w:w="28" w:type="dxa"/>
            </w:tcMar>
          </w:tcPr>
          <w:p w:rsidR="00D663E2" w:rsidRPr="00E5647A" w:rsidRDefault="00D663E2" w:rsidP="00A05661">
            <w:pPr>
              <w:keepNext/>
              <w:keepLines/>
              <w:rPr>
                <w:rFonts w:ascii="Arial Narrow" w:eastAsiaTheme="minorHAnsi" w:hAnsi="Arial Narrow" w:cs="Arial"/>
                <w:snapToGrid w:val="0"/>
                <w:sz w:val="20"/>
                <w:szCs w:val="20"/>
              </w:rPr>
            </w:pPr>
            <w:r w:rsidRPr="00E5647A">
              <w:rPr>
                <w:rFonts w:ascii="Arial Narrow" w:hAnsi="Arial Narrow" w:cs="Arial"/>
                <w:sz w:val="20"/>
                <w:szCs w:val="20"/>
              </w:rPr>
              <w:t>AEMP for 480 mg NIVO</w:t>
            </w:r>
          </w:p>
        </w:tc>
        <w:tc>
          <w:tcPr>
            <w:tcW w:w="2268" w:type="dxa"/>
            <w:tcMar>
              <w:left w:w="28" w:type="dxa"/>
              <w:right w:w="28" w:type="dxa"/>
            </w:tcMar>
          </w:tcPr>
          <w:p w:rsidR="00D663E2" w:rsidRPr="008D165A" w:rsidRDefault="00D663E2" w:rsidP="00A05661">
            <w:pPr>
              <w:keepNext/>
              <w:keepLines/>
              <w:jc w:val="center"/>
              <w:rPr>
                <w:rFonts w:ascii="Arial Narrow" w:eastAsiaTheme="minorHAnsi" w:hAnsi="Arial Narrow" w:cs="Arial"/>
                <w:snapToGrid w:val="0"/>
                <w:sz w:val="20"/>
                <w:szCs w:val="20"/>
              </w:rPr>
            </w:pPr>
            <w:r w:rsidRPr="008D165A">
              <w:rPr>
                <w:rFonts w:ascii="Arial Narrow" w:hAnsi="Arial Narrow" w:cs="Arial"/>
                <w:sz w:val="20"/>
                <w:szCs w:val="20"/>
              </w:rPr>
              <w:t>4.8 * $</w:t>
            </w:r>
            <w:r w:rsidRPr="00A310D4">
              <w:rPr>
                <w:rFonts w:ascii="Arial Narrow" w:hAnsi="Arial Narrow" w:cs="Arial"/>
                <w:sz w:val="20"/>
                <w:szCs w:val="20"/>
              </w:rPr>
              <w:t>2</w:t>
            </w:r>
            <w:r w:rsidR="004D0E50" w:rsidRPr="00A310D4">
              <w:rPr>
                <w:rFonts w:ascii="Arial Narrow" w:hAnsi="Arial Narrow" w:cs="Arial"/>
                <w:sz w:val="20"/>
                <w:szCs w:val="20"/>
              </w:rPr>
              <w:t>,</w:t>
            </w:r>
            <w:r w:rsidRPr="00A310D4">
              <w:rPr>
                <w:rFonts w:ascii="Arial Narrow" w:hAnsi="Arial Narrow" w:cs="Arial"/>
                <w:sz w:val="20"/>
                <w:szCs w:val="20"/>
              </w:rPr>
              <w:t>076.75</w:t>
            </w:r>
          </w:p>
        </w:tc>
        <w:tc>
          <w:tcPr>
            <w:tcW w:w="1791" w:type="dxa"/>
            <w:tcMar>
              <w:left w:w="28" w:type="dxa"/>
              <w:right w:w="28" w:type="dxa"/>
            </w:tcMar>
          </w:tcPr>
          <w:p w:rsidR="00D663E2" w:rsidRPr="008D165A" w:rsidRDefault="00D663E2" w:rsidP="00A05661">
            <w:pPr>
              <w:keepNext/>
              <w:keepLines/>
              <w:jc w:val="center"/>
              <w:rPr>
                <w:rFonts w:ascii="Arial Narrow" w:eastAsiaTheme="minorHAnsi" w:hAnsi="Arial Narrow" w:cs="Arial"/>
                <w:snapToGrid w:val="0"/>
                <w:sz w:val="20"/>
                <w:szCs w:val="20"/>
              </w:rPr>
            </w:pPr>
            <w:r w:rsidRPr="008D165A">
              <w:rPr>
                <w:rFonts w:ascii="Arial Narrow" w:hAnsi="Arial Narrow" w:cs="Arial"/>
                <w:sz w:val="20"/>
                <w:szCs w:val="20"/>
              </w:rPr>
              <w:t>$</w:t>
            </w:r>
            <w:r w:rsidRPr="00FF4243">
              <w:rPr>
                <w:rFonts w:ascii="Arial Narrow" w:hAnsi="Arial Narrow" w:cs="Arial"/>
                <w:sz w:val="20"/>
                <w:szCs w:val="20"/>
              </w:rPr>
              <w:t>9,968.40</w:t>
            </w:r>
          </w:p>
        </w:tc>
      </w:tr>
      <w:tr w:rsidR="00D663E2" w:rsidRPr="00E5647A" w:rsidTr="005F2392">
        <w:tc>
          <w:tcPr>
            <w:tcW w:w="421" w:type="dxa"/>
            <w:tcMar>
              <w:left w:w="28" w:type="dxa"/>
              <w:right w:w="28" w:type="dxa"/>
            </w:tcMar>
          </w:tcPr>
          <w:p w:rsidR="00D663E2" w:rsidRPr="00E5647A" w:rsidRDefault="00D663E2" w:rsidP="00A05661">
            <w:pPr>
              <w:keepNext/>
              <w:keepLines/>
              <w:jc w:val="center"/>
              <w:rPr>
                <w:rFonts w:ascii="Arial Narrow" w:eastAsiaTheme="minorHAnsi" w:hAnsi="Arial Narrow" w:cs="Arial"/>
                <w:snapToGrid w:val="0"/>
                <w:sz w:val="20"/>
                <w:szCs w:val="20"/>
              </w:rPr>
            </w:pPr>
            <w:r w:rsidRPr="00E5647A">
              <w:rPr>
                <w:rFonts w:ascii="Arial Narrow" w:eastAsiaTheme="minorHAnsi" w:hAnsi="Arial Narrow" w:cs="Arial"/>
                <w:snapToGrid w:val="0"/>
                <w:sz w:val="20"/>
                <w:szCs w:val="20"/>
              </w:rPr>
              <w:t>B</w:t>
            </w:r>
          </w:p>
        </w:tc>
        <w:tc>
          <w:tcPr>
            <w:tcW w:w="4536" w:type="dxa"/>
            <w:tcMar>
              <w:left w:w="28" w:type="dxa"/>
              <w:right w:w="28" w:type="dxa"/>
            </w:tcMar>
          </w:tcPr>
          <w:p w:rsidR="00D663E2" w:rsidRPr="00E5647A" w:rsidRDefault="00D663E2" w:rsidP="00A05661">
            <w:pPr>
              <w:keepNext/>
              <w:keepLines/>
              <w:jc w:val="both"/>
              <w:rPr>
                <w:rFonts w:ascii="Arial Narrow" w:eastAsiaTheme="minorHAnsi" w:hAnsi="Arial Narrow" w:cs="Arial"/>
                <w:snapToGrid w:val="0"/>
                <w:sz w:val="20"/>
                <w:szCs w:val="20"/>
              </w:rPr>
            </w:pPr>
            <w:r w:rsidRPr="00E5647A">
              <w:rPr>
                <w:rFonts w:ascii="Arial Narrow" w:hAnsi="Arial Narrow" w:cs="Arial"/>
                <w:sz w:val="20"/>
                <w:szCs w:val="20"/>
              </w:rPr>
              <w:t>AEMP for years supply of NIVO</w:t>
            </w:r>
          </w:p>
        </w:tc>
        <w:tc>
          <w:tcPr>
            <w:tcW w:w="2268" w:type="dxa"/>
            <w:tcMar>
              <w:left w:w="28" w:type="dxa"/>
              <w:right w:w="28" w:type="dxa"/>
            </w:tcMar>
          </w:tcPr>
          <w:p w:rsidR="00D663E2" w:rsidRPr="008D165A" w:rsidRDefault="00D663E2" w:rsidP="00A05661">
            <w:pPr>
              <w:keepNext/>
              <w:keepLines/>
              <w:jc w:val="center"/>
              <w:rPr>
                <w:rFonts w:ascii="Arial Narrow" w:eastAsiaTheme="minorHAnsi" w:hAnsi="Arial Narrow" w:cs="Arial"/>
                <w:snapToGrid w:val="0"/>
                <w:sz w:val="20"/>
                <w:szCs w:val="20"/>
                <w:vertAlign w:val="superscript"/>
              </w:rPr>
            </w:pPr>
            <w:r w:rsidRPr="008D165A">
              <w:rPr>
                <w:rFonts w:ascii="Arial Narrow" w:hAnsi="Arial Narrow" w:cs="Arial"/>
                <w:sz w:val="20"/>
                <w:szCs w:val="20"/>
              </w:rPr>
              <w:t>A * 13.04</w:t>
            </w:r>
            <w:r w:rsidRPr="008D165A">
              <w:rPr>
                <w:rFonts w:ascii="Arial Narrow" w:hAnsi="Arial Narrow" w:cs="Arial"/>
                <w:sz w:val="20"/>
                <w:szCs w:val="20"/>
                <w:vertAlign w:val="superscript"/>
              </w:rPr>
              <w:t>a</w:t>
            </w:r>
          </w:p>
        </w:tc>
        <w:tc>
          <w:tcPr>
            <w:tcW w:w="1791" w:type="dxa"/>
            <w:tcMar>
              <w:left w:w="28" w:type="dxa"/>
              <w:right w:w="28" w:type="dxa"/>
            </w:tcMar>
          </w:tcPr>
          <w:p w:rsidR="00D663E2" w:rsidRPr="008D165A" w:rsidRDefault="00D663E2" w:rsidP="00A05661">
            <w:pPr>
              <w:keepNext/>
              <w:keepLines/>
              <w:jc w:val="center"/>
              <w:rPr>
                <w:rFonts w:ascii="Arial Narrow" w:eastAsiaTheme="minorHAnsi" w:hAnsi="Arial Narrow" w:cs="Arial"/>
                <w:snapToGrid w:val="0"/>
                <w:sz w:val="20"/>
                <w:szCs w:val="20"/>
              </w:rPr>
            </w:pPr>
            <w:r w:rsidRPr="008D165A">
              <w:rPr>
                <w:rFonts w:ascii="Arial Narrow" w:hAnsi="Arial Narrow" w:cs="Arial"/>
                <w:sz w:val="20"/>
                <w:szCs w:val="20"/>
              </w:rPr>
              <w:t>$</w:t>
            </w:r>
            <w:r w:rsidRPr="00FF4243">
              <w:rPr>
                <w:rFonts w:ascii="Arial Narrow" w:hAnsi="Arial Narrow" w:cs="Arial"/>
                <w:sz w:val="20"/>
                <w:szCs w:val="20"/>
              </w:rPr>
              <w:t>130,034.22</w:t>
            </w:r>
          </w:p>
        </w:tc>
      </w:tr>
      <w:tr w:rsidR="00D663E2" w:rsidRPr="00E5647A" w:rsidTr="005F2392">
        <w:tc>
          <w:tcPr>
            <w:tcW w:w="421" w:type="dxa"/>
            <w:tcMar>
              <w:left w:w="28" w:type="dxa"/>
              <w:right w:w="28" w:type="dxa"/>
            </w:tcMar>
          </w:tcPr>
          <w:p w:rsidR="00D663E2" w:rsidRPr="00E5647A" w:rsidRDefault="00D663E2" w:rsidP="00A05661">
            <w:pPr>
              <w:keepNext/>
              <w:keepLines/>
              <w:jc w:val="center"/>
              <w:rPr>
                <w:rFonts w:ascii="Arial Narrow" w:hAnsi="Arial Narrow" w:cs="Arial"/>
                <w:snapToGrid w:val="0"/>
                <w:sz w:val="20"/>
                <w:szCs w:val="20"/>
              </w:rPr>
            </w:pPr>
            <w:r w:rsidRPr="00E5647A">
              <w:rPr>
                <w:rFonts w:ascii="Arial Narrow" w:hAnsi="Arial Narrow" w:cs="Arial"/>
                <w:snapToGrid w:val="0"/>
                <w:sz w:val="20"/>
                <w:szCs w:val="20"/>
              </w:rPr>
              <w:t>C</w:t>
            </w:r>
          </w:p>
        </w:tc>
        <w:tc>
          <w:tcPr>
            <w:tcW w:w="4536" w:type="dxa"/>
            <w:tcMar>
              <w:left w:w="28" w:type="dxa"/>
              <w:right w:w="28" w:type="dxa"/>
            </w:tcMar>
          </w:tcPr>
          <w:p w:rsidR="00D663E2" w:rsidRPr="00E5647A" w:rsidRDefault="00D663E2" w:rsidP="00A05661">
            <w:pPr>
              <w:keepNext/>
              <w:keepLines/>
              <w:jc w:val="both"/>
              <w:rPr>
                <w:rFonts w:ascii="Arial Narrow" w:hAnsi="Arial Narrow" w:cs="Arial"/>
                <w:snapToGrid w:val="0"/>
                <w:sz w:val="20"/>
                <w:szCs w:val="20"/>
              </w:rPr>
            </w:pPr>
            <w:r w:rsidRPr="00E5647A">
              <w:rPr>
                <w:rFonts w:ascii="Arial Narrow" w:hAnsi="Arial Narrow" w:cs="Arial"/>
                <w:sz w:val="20"/>
                <w:szCs w:val="20"/>
              </w:rPr>
              <w:t>Cost of NIVO administration per year</w:t>
            </w:r>
          </w:p>
        </w:tc>
        <w:tc>
          <w:tcPr>
            <w:tcW w:w="2268" w:type="dxa"/>
            <w:tcMar>
              <w:left w:w="28" w:type="dxa"/>
              <w:right w:w="28" w:type="dxa"/>
            </w:tcMar>
          </w:tcPr>
          <w:p w:rsidR="00D663E2" w:rsidRPr="008D165A" w:rsidRDefault="00E5647A" w:rsidP="00A05661">
            <w:pPr>
              <w:keepNext/>
              <w:keepLines/>
              <w:jc w:val="center"/>
              <w:rPr>
                <w:rFonts w:ascii="Arial Narrow" w:hAnsi="Arial Narrow" w:cs="Arial"/>
                <w:snapToGrid w:val="0"/>
                <w:sz w:val="20"/>
                <w:szCs w:val="20"/>
                <w:vertAlign w:val="superscript"/>
              </w:rPr>
            </w:pPr>
            <w:r w:rsidRPr="008D165A">
              <w:rPr>
                <w:rFonts w:ascii="Arial Narrow" w:hAnsi="Arial Narrow" w:cs="Arial"/>
                <w:sz w:val="20"/>
                <w:szCs w:val="20"/>
              </w:rPr>
              <w:t>$66.10</w:t>
            </w:r>
            <w:r w:rsidRPr="008D165A">
              <w:rPr>
                <w:rFonts w:ascii="Arial Narrow" w:hAnsi="Arial Narrow" w:cs="Arial"/>
                <w:sz w:val="20"/>
                <w:szCs w:val="20"/>
                <w:vertAlign w:val="superscript"/>
              </w:rPr>
              <w:t>b</w:t>
            </w:r>
            <w:r w:rsidR="00D663E2" w:rsidRPr="008D165A">
              <w:rPr>
                <w:rFonts w:ascii="Arial Narrow" w:hAnsi="Arial Narrow" w:cs="Arial"/>
                <w:sz w:val="20"/>
                <w:szCs w:val="20"/>
              </w:rPr>
              <w:t xml:space="preserve"> * 13.04</w:t>
            </w:r>
            <w:r w:rsidR="00D663E2" w:rsidRPr="008D165A">
              <w:rPr>
                <w:rFonts w:ascii="Arial Narrow" w:hAnsi="Arial Narrow" w:cs="Arial"/>
                <w:sz w:val="20"/>
                <w:szCs w:val="20"/>
                <w:vertAlign w:val="superscript"/>
              </w:rPr>
              <w:t>a</w:t>
            </w:r>
          </w:p>
        </w:tc>
        <w:tc>
          <w:tcPr>
            <w:tcW w:w="1791" w:type="dxa"/>
            <w:tcMar>
              <w:left w:w="28" w:type="dxa"/>
              <w:right w:w="28" w:type="dxa"/>
            </w:tcMar>
          </w:tcPr>
          <w:p w:rsidR="00D663E2" w:rsidRPr="008D165A" w:rsidRDefault="00D663E2" w:rsidP="00E5647A">
            <w:pPr>
              <w:keepNext/>
              <w:keepLines/>
              <w:jc w:val="center"/>
              <w:rPr>
                <w:rFonts w:ascii="Arial Narrow" w:hAnsi="Arial Narrow" w:cs="Arial"/>
                <w:snapToGrid w:val="0"/>
                <w:sz w:val="20"/>
                <w:szCs w:val="20"/>
              </w:rPr>
            </w:pPr>
            <w:r w:rsidRPr="008D165A">
              <w:rPr>
                <w:rFonts w:ascii="Arial Narrow" w:hAnsi="Arial Narrow" w:cs="Arial"/>
                <w:sz w:val="20"/>
                <w:szCs w:val="20"/>
              </w:rPr>
              <w:t>$</w:t>
            </w:r>
            <w:r w:rsidR="00E5647A" w:rsidRPr="008D165A">
              <w:rPr>
                <w:rFonts w:ascii="Arial Narrow" w:hAnsi="Arial Narrow" w:cs="Arial"/>
                <w:sz w:val="20"/>
                <w:szCs w:val="20"/>
              </w:rPr>
              <w:t>862.25</w:t>
            </w:r>
          </w:p>
        </w:tc>
      </w:tr>
      <w:tr w:rsidR="00D663E2" w:rsidRPr="00E5647A" w:rsidTr="005F2392">
        <w:tc>
          <w:tcPr>
            <w:tcW w:w="421" w:type="dxa"/>
            <w:tcMar>
              <w:left w:w="28" w:type="dxa"/>
              <w:right w:w="28" w:type="dxa"/>
            </w:tcMar>
          </w:tcPr>
          <w:p w:rsidR="00D663E2" w:rsidRPr="00E5647A" w:rsidRDefault="00D663E2" w:rsidP="00A05661">
            <w:pPr>
              <w:keepNext/>
              <w:keepLines/>
              <w:jc w:val="center"/>
              <w:rPr>
                <w:rFonts w:ascii="Arial Narrow" w:hAnsi="Arial Narrow" w:cs="Arial"/>
                <w:b/>
                <w:snapToGrid w:val="0"/>
                <w:sz w:val="20"/>
                <w:szCs w:val="20"/>
              </w:rPr>
            </w:pPr>
            <w:r w:rsidRPr="00E5647A">
              <w:rPr>
                <w:rFonts w:ascii="Arial Narrow" w:hAnsi="Arial Narrow" w:cs="Arial"/>
                <w:b/>
                <w:snapToGrid w:val="0"/>
                <w:sz w:val="20"/>
                <w:szCs w:val="20"/>
              </w:rPr>
              <w:t>D</w:t>
            </w:r>
          </w:p>
        </w:tc>
        <w:tc>
          <w:tcPr>
            <w:tcW w:w="4536" w:type="dxa"/>
            <w:tcMar>
              <w:left w:w="28" w:type="dxa"/>
              <w:right w:w="28" w:type="dxa"/>
            </w:tcMar>
          </w:tcPr>
          <w:p w:rsidR="00D663E2" w:rsidRPr="00E5647A" w:rsidRDefault="00D663E2" w:rsidP="00A05661">
            <w:pPr>
              <w:keepNext/>
              <w:keepLines/>
              <w:jc w:val="both"/>
              <w:rPr>
                <w:rFonts w:ascii="Arial Narrow" w:hAnsi="Arial Narrow" w:cs="Arial"/>
                <w:b/>
                <w:snapToGrid w:val="0"/>
                <w:sz w:val="20"/>
                <w:szCs w:val="20"/>
              </w:rPr>
            </w:pPr>
            <w:r w:rsidRPr="00E5647A">
              <w:rPr>
                <w:rFonts w:ascii="Arial Narrow" w:hAnsi="Arial Narrow" w:cs="Arial"/>
                <w:b/>
                <w:sz w:val="20"/>
                <w:szCs w:val="20"/>
              </w:rPr>
              <w:t>Cost of NIVO patient per year</w:t>
            </w:r>
          </w:p>
        </w:tc>
        <w:tc>
          <w:tcPr>
            <w:tcW w:w="2268" w:type="dxa"/>
            <w:tcMar>
              <w:left w:w="28" w:type="dxa"/>
              <w:right w:w="28" w:type="dxa"/>
            </w:tcMar>
          </w:tcPr>
          <w:p w:rsidR="00D663E2" w:rsidRPr="008D165A" w:rsidRDefault="00D663E2" w:rsidP="00A05661">
            <w:pPr>
              <w:keepNext/>
              <w:keepLines/>
              <w:jc w:val="center"/>
              <w:rPr>
                <w:rFonts w:ascii="Arial Narrow" w:hAnsi="Arial Narrow" w:cs="Arial"/>
                <w:b/>
                <w:snapToGrid w:val="0"/>
                <w:sz w:val="20"/>
                <w:szCs w:val="20"/>
              </w:rPr>
            </w:pPr>
            <w:r w:rsidRPr="008D165A">
              <w:rPr>
                <w:rFonts w:ascii="Arial Narrow" w:hAnsi="Arial Narrow" w:cs="Arial"/>
                <w:b/>
                <w:sz w:val="20"/>
                <w:szCs w:val="20"/>
              </w:rPr>
              <w:t>B + C</w:t>
            </w:r>
          </w:p>
        </w:tc>
        <w:tc>
          <w:tcPr>
            <w:tcW w:w="1791" w:type="dxa"/>
            <w:tcMar>
              <w:left w:w="28" w:type="dxa"/>
              <w:right w:w="28" w:type="dxa"/>
            </w:tcMar>
          </w:tcPr>
          <w:p w:rsidR="00D663E2" w:rsidRPr="008D165A" w:rsidRDefault="00D663E2" w:rsidP="00E5647A">
            <w:pPr>
              <w:keepNext/>
              <w:keepLines/>
              <w:jc w:val="center"/>
              <w:rPr>
                <w:rFonts w:ascii="Arial Narrow" w:hAnsi="Arial Narrow" w:cs="Arial"/>
                <w:b/>
                <w:snapToGrid w:val="0"/>
                <w:sz w:val="20"/>
                <w:szCs w:val="20"/>
              </w:rPr>
            </w:pPr>
            <w:r w:rsidRPr="008D165A">
              <w:rPr>
                <w:rFonts w:ascii="Arial Narrow" w:hAnsi="Arial Narrow" w:cs="Arial"/>
                <w:b/>
                <w:sz w:val="20"/>
                <w:szCs w:val="20"/>
              </w:rPr>
              <w:t>$</w:t>
            </w:r>
            <w:r w:rsidRPr="00FF4243">
              <w:rPr>
                <w:rFonts w:ascii="Arial Narrow" w:hAnsi="Arial Narrow" w:cs="Arial"/>
                <w:b/>
                <w:sz w:val="20"/>
                <w:szCs w:val="20"/>
              </w:rPr>
              <w:t>130,8</w:t>
            </w:r>
            <w:r w:rsidR="00E5647A" w:rsidRPr="00FF4243">
              <w:rPr>
                <w:rFonts w:ascii="Arial Narrow" w:hAnsi="Arial Narrow" w:cs="Arial"/>
                <w:b/>
                <w:sz w:val="20"/>
                <w:szCs w:val="20"/>
              </w:rPr>
              <w:t>96.47</w:t>
            </w:r>
          </w:p>
        </w:tc>
      </w:tr>
      <w:tr w:rsidR="00D663E2" w:rsidRPr="00E5647A" w:rsidTr="005F2392">
        <w:tc>
          <w:tcPr>
            <w:tcW w:w="421" w:type="dxa"/>
            <w:tcMar>
              <w:left w:w="28" w:type="dxa"/>
              <w:right w:w="28" w:type="dxa"/>
            </w:tcMar>
          </w:tcPr>
          <w:p w:rsidR="00D663E2" w:rsidRPr="00E5647A" w:rsidRDefault="00D663E2" w:rsidP="00A05661">
            <w:pPr>
              <w:keepNext/>
              <w:keepLines/>
              <w:jc w:val="center"/>
              <w:rPr>
                <w:rFonts w:ascii="Arial Narrow" w:eastAsiaTheme="minorHAnsi" w:hAnsi="Arial Narrow" w:cs="Arial"/>
                <w:snapToGrid w:val="0"/>
                <w:sz w:val="20"/>
                <w:szCs w:val="20"/>
              </w:rPr>
            </w:pPr>
            <w:r w:rsidRPr="00E5647A">
              <w:rPr>
                <w:rFonts w:ascii="Arial Narrow" w:eastAsiaTheme="minorHAnsi" w:hAnsi="Arial Narrow" w:cs="Arial"/>
                <w:snapToGrid w:val="0"/>
                <w:sz w:val="20"/>
                <w:szCs w:val="20"/>
              </w:rPr>
              <w:t>E</w:t>
            </w:r>
          </w:p>
        </w:tc>
        <w:tc>
          <w:tcPr>
            <w:tcW w:w="4536" w:type="dxa"/>
            <w:tcMar>
              <w:left w:w="28" w:type="dxa"/>
              <w:right w:w="28" w:type="dxa"/>
            </w:tcMar>
          </w:tcPr>
          <w:p w:rsidR="00D663E2" w:rsidRPr="00E5647A" w:rsidRDefault="00062280" w:rsidP="00A05661">
            <w:pPr>
              <w:keepNext/>
              <w:keepLines/>
              <w:jc w:val="both"/>
              <w:rPr>
                <w:rFonts w:ascii="Arial Narrow" w:eastAsiaTheme="minorHAnsi" w:hAnsi="Arial Narrow" w:cs="Arial"/>
                <w:snapToGrid w:val="0"/>
                <w:sz w:val="20"/>
                <w:szCs w:val="20"/>
              </w:rPr>
            </w:pPr>
            <w:r>
              <w:rPr>
                <w:rFonts w:ascii="Arial Narrow" w:hAnsi="Arial Narrow" w:cs="Arial"/>
                <w:sz w:val="20"/>
                <w:szCs w:val="20"/>
              </w:rPr>
              <w:t>Dose of PEMBRO</w:t>
            </w:r>
          </w:p>
        </w:tc>
        <w:tc>
          <w:tcPr>
            <w:tcW w:w="2268" w:type="dxa"/>
            <w:tcMar>
              <w:left w:w="28" w:type="dxa"/>
              <w:right w:w="28" w:type="dxa"/>
            </w:tcMar>
          </w:tcPr>
          <w:p w:rsidR="00D663E2" w:rsidRPr="008D165A" w:rsidRDefault="00D663E2" w:rsidP="00A05661">
            <w:pPr>
              <w:keepNext/>
              <w:keepLines/>
              <w:jc w:val="center"/>
              <w:rPr>
                <w:rFonts w:ascii="Arial Narrow" w:eastAsiaTheme="minorHAnsi" w:hAnsi="Arial Narrow" w:cs="Arial"/>
                <w:snapToGrid w:val="0"/>
                <w:sz w:val="20"/>
                <w:szCs w:val="20"/>
              </w:rPr>
            </w:pPr>
            <w:r w:rsidRPr="008D165A">
              <w:rPr>
                <w:rFonts w:ascii="Arial Narrow" w:hAnsi="Arial Narrow" w:cs="Arial"/>
                <w:sz w:val="20"/>
                <w:szCs w:val="20"/>
              </w:rPr>
              <w:t>-</w:t>
            </w:r>
          </w:p>
        </w:tc>
        <w:tc>
          <w:tcPr>
            <w:tcW w:w="1791" w:type="dxa"/>
            <w:tcMar>
              <w:left w:w="28" w:type="dxa"/>
              <w:right w:w="28" w:type="dxa"/>
            </w:tcMar>
          </w:tcPr>
          <w:p w:rsidR="00D663E2" w:rsidRPr="008D165A" w:rsidRDefault="00D663E2" w:rsidP="00A05661">
            <w:pPr>
              <w:keepNext/>
              <w:keepLines/>
              <w:jc w:val="center"/>
              <w:rPr>
                <w:rFonts w:ascii="Arial Narrow" w:eastAsiaTheme="minorHAnsi" w:hAnsi="Arial Narrow" w:cs="Arial"/>
                <w:snapToGrid w:val="0"/>
                <w:sz w:val="20"/>
                <w:szCs w:val="20"/>
              </w:rPr>
            </w:pPr>
            <w:r w:rsidRPr="008D165A">
              <w:rPr>
                <w:rFonts w:ascii="Arial Narrow" w:hAnsi="Arial Narrow" w:cs="Arial"/>
                <w:sz w:val="20"/>
                <w:szCs w:val="20"/>
              </w:rPr>
              <w:t>200</w:t>
            </w:r>
            <w:r w:rsidR="00B967F2" w:rsidRPr="008D165A">
              <w:rPr>
                <w:rFonts w:ascii="Arial Narrow" w:hAnsi="Arial Narrow" w:cs="Arial"/>
                <w:sz w:val="20"/>
                <w:szCs w:val="20"/>
              </w:rPr>
              <w:t xml:space="preserve"> mg Q3W</w:t>
            </w:r>
          </w:p>
        </w:tc>
      </w:tr>
      <w:tr w:rsidR="00D663E2" w:rsidRPr="00E5647A" w:rsidTr="005F2392">
        <w:tc>
          <w:tcPr>
            <w:tcW w:w="421" w:type="dxa"/>
            <w:tcMar>
              <w:left w:w="28" w:type="dxa"/>
              <w:right w:w="28" w:type="dxa"/>
            </w:tcMar>
          </w:tcPr>
          <w:p w:rsidR="00D663E2" w:rsidRPr="00E5647A" w:rsidRDefault="00D663E2" w:rsidP="00A05661">
            <w:pPr>
              <w:keepNext/>
              <w:keepLines/>
              <w:jc w:val="center"/>
              <w:rPr>
                <w:rFonts w:ascii="Arial Narrow" w:eastAsiaTheme="minorHAnsi" w:hAnsi="Arial Narrow" w:cs="Arial"/>
                <w:snapToGrid w:val="0"/>
                <w:sz w:val="20"/>
                <w:szCs w:val="20"/>
              </w:rPr>
            </w:pPr>
            <w:r w:rsidRPr="00E5647A">
              <w:rPr>
                <w:rFonts w:ascii="Arial Narrow" w:eastAsiaTheme="minorHAnsi" w:hAnsi="Arial Narrow" w:cs="Arial"/>
                <w:snapToGrid w:val="0"/>
                <w:sz w:val="20"/>
                <w:szCs w:val="20"/>
              </w:rPr>
              <w:t>F</w:t>
            </w:r>
          </w:p>
        </w:tc>
        <w:tc>
          <w:tcPr>
            <w:tcW w:w="4536" w:type="dxa"/>
            <w:tcMar>
              <w:left w:w="28" w:type="dxa"/>
              <w:right w:w="28" w:type="dxa"/>
            </w:tcMar>
          </w:tcPr>
          <w:p w:rsidR="00D663E2" w:rsidRPr="00E5647A" w:rsidRDefault="00D663E2" w:rsidP="00062280">
            <w:pPr>
              <w:keepNext/>
              <w:keepLines/>
              <w:jc w:val="both"/>
              <w:rPr>
                <w:rFonts w:ascii="Arial Narrow" w:eastAsiaTheme="minorHAnsi" w:hAnsi="Arial Narrow" w:cs="Arial"/>
                <w:snapToGrid w:val="0"/>
                <w:sz w:val="20"/>
                <w:szCs w:val="20"/>
              </w:rPr>
            </w:pPr>
            <w:r w:rsidRPr="00E5647A">
              <w:rPr>
                <w:rFonts w:ascii="Arial Narrow" w:hAnsi="Arial Narrow" w:cs="Arial"/>
                <w:sz w:val="20"/>
                <w:szCs w:val="20"/>
              </w:rPr>
              <w:t xml:space="preserve">Yearly dose of PEMBRO </w:t>
            </w:r>
          </w:p>
        </w:tc>
        <w:tc>
          <w:tcPr>
            <w:tcW w:w="2268" w:type="dxa"/>
            <w:tcMar>
              <w:left w:w="28" w:type="dxa"/>
              <w:right w:w="28" w:type="dxa"/>
            </w:tcMar>
          </w:tcPr>
          <w:p w:rsidR="00D663E2" w:rsidRPr="008D165A" w:rsidRDefault="00D663E2" w:rsidP="00A05661">
            <w:pPr>
              <w:keepNext/>
              <w:keepLines/>
              <w:jc w:val="center"/>
              <w:rPr>
                <w:rFonts w:ascii="Arial Narrow" w:eastAsiaTheme="minorHAnsi" w:hAnsi="Arial Narrow" w:cs="Arial"/>
                <w:snapToGrid w:val="0"/>
                <w:sz w:val="20"/>
                <w:szCs w:val="20"/>
                <w:vertAlign w:val="superscript"/>
              </w:rPr>
            </w:pPr>
            <w:r w:rsidRPr="008D165A">
              <w:rPr>
                <w:rFonts w:ascii="Arial Narrow" w:hAnsi="Arial Narrow" w:cs="Arial"/>
                <w:sz w:val="20"/>
                <w:szCs w:val="20"/>
              </w:rPr>
              <w:t>E * 17.39</w:t>
            </w:r>
            <w:r w:rsidR="00E5647A" w:rsidRPr="008D165A">
              <w:rPr>
                <w:rFonts w:ascii="Arial Narrow" w:hAnsi="Arial Narrow" w:cs="Arial"/>
                <w:sz w:val="20"/>
                <w:szCs w:val="20"/>
                <w:vertAlign w:val="superscript"/>
              </w:rPr>
              <w:t>c</w:t>
            </w:r>
          </w:p>
        </w:tc>
        <w:tc>
          <w:tcPr>
            <w:tcW w:w="1791" w:type="dxa"/>
            <w:tcMar>
              <w:left w:w="28" w:type="dxa"/>
              <w:right w:w="28" w:type="dxa"/>
            </w:tcMar>
          </w:tcPr>
          <w:p w:rsidR="00D663E2" w:rsidRPr="008D165A" w:rsidRDefault="00D663E2" w:rsidP="00A05661">
            <w:pPr>
              <w:keepNext/>
              <w:keepLines/>
              <w:jc w:val="center"/>
              <w:rPr>
                <w:rFonts w:ascii="Arial Narrow" w:eastAsiaTheme="minorHAnsi" w:hAnsi="Arial Narrow" w:cs="Arial"/>
                <w:snapToGrid w:val="0"/>
                <w:sz w:val="20"/>
                <w:szCs w:val="20"/>
              </w:rPr>
            </w:pPr>
            <w:r w:rsidRPr="008D165A">
              <w:rPr>
                <w:rFonts w:ascii="Arial Narrow" w:hAnsi="Arial Narrow" w:cs="Arial"/>
                <w:sz w:val="20"/>
                <w:szCs w:val="20"/>
              </w:rPr>
              <w:t>3</w:t>
            </w:r>
            <w:r w:rsidR="00B967F2" w:rsidRPr="008D165A">
              <w:rPr>
                <w:rFonts w:ascii="Arial Narrow" w:hAnsi="Arial Narrow" w:cs="Arial"/>
                <w:sz w:val="20"/>
                <w:szCs w:val="20"/>
              </w:rPr>
              <w:t>,</w:t>
            </w:r>
            <w:r w:rsidRPr="008D165A">
              <w:rPr>
                <w:rFonts w:ascii="Arial Narrow" w:hAnsi="Arial Narrow" w:cs="Arial"/>
                <w:sz w:val="20"/>
                <w:szCs w:val="20"/>
              </w:rPr>
              <w:t>478.57</w:t>
            </w:r>
            <w:r w:rsidR="00B967F2" w:rsidRPr="008D165A">
              <w:rPr>
                <w:rFonts w:ascii="Arial Narrow" w:hAnsi="Arial Narrow" w:cs="Arial"/>
                <w:sz w:val="20"/>
                <w:szCs w:val="20"/>
              </w:rPr>
              <w:t xml:space="preserve"> mg</w:t>
            </w:r>
          </w:p>
        </w:tc>
      </w:tr>
      <w:tr w:rsidR="00D663E2" w:rsidRPr="00E5647A" w:rsidTr="005F2392">
        <w:tc>
          <w:tcPr>
            <w:tcW w:w="421" w:type="dxa"/>
            <w:tcMar>
              <w:left w:w="28" w:type="dxa"/>
              <w:right w:w="28" w:type="dxa"/>
            </w:tcMar>
          </w:tcPr>
          <w:p w:rsidR="00D663E2" w:rsidRPr="00E5647A" w:rsidRDefault="00D663E2" w:rsidP="00A05661">
            <w:pPr>
              <w:keepNext/>
              <w:keepLines/>
              <w:jc w:val="center"/>
              <w:rPr>
                <w:rFonts w:ascii="Arial Narrow" w:eastAsiaTheme="minorHAnsi" w:hAnsi="Arial Narrow" w:cs="Arial"/>
                <w:snapToGrid w:val="0"/>
                <w:sz w:val="20"/>
                <w:szCs w:val="20"/>
              </w:rPr>
            </w:pPr>
            <w:r w:rsidRPr="00E5647A">
              <w:rPr>
                <w:rFonts w:ascii="Arial Narrow" w:eastAsiaTheme="minorHAnsi" w:hAnsi="Arial Narrow" w:cs="Arial"/>
                <w:snapToGrid w:val="0"/>
                <w:sz w:val="20"/>
                <w:szCs w:val="20"/>
              </w:rPr>
              <w:t>G</w:t>
            </w:r>
          </w:p>
        </w:tc>
        <w:tc>
          <w:tcPr>
            <w:tcW w:w="4536" w:type="dxa"/>
            <w:tcMar>
              <w:left w:w="28" w:type="dxa"/>
              <w:right w:w="28" w:type="dxa"/>
            </w:tcMar>
          </w:tcPr>
          <w:p w:rsidR="00D663E2" w:rsidRPr="00E5647A" w:rsidRDefault="00D663E2" w:rsidP="00A05661">
            <w:pPr>
              <w:keepNext/>
              <w:keepLines/>
              <w:jc w:val="both"/>
              <w:rPr>
                <w:rFonts w:ascii="Arial Narrow" w:eastAsiaTheme="minorHAnsi" w:hAnsi="Arial Narrow" w:cs="Arial"/>
                <w:snapToGrid w:val="0"/>
                <w:sz w:val="20"/>
                <w:szCs w:val="20"/>
              </w:rPr>
            </w:pPr>
            <w:r w:rsidRPr="00E5647A">
              <w:rPr>
                <w:rFonts w:ascii="Arial Narrow" w:hAnsi="Arial Narrow" w:cs="Arial"/>
                <w:sz w:val="20"/>
                <w:szCs w:val="20"/>
              </w:rPr>
              <w:t>Cost of PEMBRO administration per year</w:t>
            </w:r>
          </w:p>
        </w:tc>
        <w:tc>
          <w:tcPr>
            <w:tcW w:w="2268" w:type="dxa"/>
            <w:tcMar>
              <w:left w:w="28" w:type="dxa"/>
              <w:right w:w="28" w:type="dxa"/>
            </w:tcMar>
          </w:tcPr>
          <w:p w:rsidR="00D663E2" w:rsidRPr="008D165A" w:rsidRDefault="00E5647A" w:rsidP="00A05661">
            <w:pPr>
              <w:keepNext/>
              <w:keepLines/>
              <w:jc w:val="center"/>
              <w:rPr>
                <w:rFonts w:ascii="Arial Narrow" w:eastAsiaTheme="minorHAnsi" w:hAnsi="Arial Narrow" w:cs="Arial"/>
                <w:snapToGrid w:val="0"/>
                <w:sz w:val="20"/>
                <w:szCs w:val="20"/>
                <w:vertAlign w:val="superscript"/>
              </w:rPr>
            </w:pPr>
            <w:r w:rsidRPr="008D165A">
              <w:rPr>
                <w:rFonts w:ascii="Arial Narrow" w:hAnsi="Arial Narrow" w:cs="Arial"/>
                <w:sz w:val="20"/>
                <w:szCs w:val="20"/>
              </w:rPr>
              <w:t>$66.10</w:t>
            </w:r>
            <w:r w:rsidRPr="008D165A">
              <w:rPr>
                <w:rFonts w:ascii="Arial Narrow" w:hAnsi="Arial Narrow" w:cs="Arial"/>
                <w:sz w:val="20"/>
                <w:szCs w:val="20"/>
                <w:vertAlign w:val="superscript"/>
              </w:rPr>
              <w:t>b</w:t>
            </w:r>
            <w:r w:rsidR="00D663E2" w:rsidRPr="008D165A">
              <w:rPr>
                <w:rFonts w:ascii="Arial Narrow" w:hAnsi="Arial Narrow" w:cs="Arial"/>
                <w:sz w:val="20"/>
                <w:szCs w:val="20"/>
              </w:rPr>
              <w:t xml:space="preserve"> * 17.39</w:t>
            </w:r>
            <w:r w:rsidRPr="008D165A">
              <w:rPr>
                <w:rFonts w:ascii="Arial Narrow" w:hAnsi="Arial Narrow" w:cs="Arial"/>
                <w:sz w:val="20"/>
                <w:szCs w:val="20"/>
                <w:vertAlign w:val="superscript"/>
              </w:rPr>
              <w:t>c</w:t>
            </w:r>
          </w:p>
        </w:tc>
        <w:tc>
          <w:tcPr>
            <w:tcW w:w="1791" w:type="dxa"/>
            <w:tcMar>
              <w:left w:w="28" w:type="dxa"/>
              <w:right w:w="28" w:type="dxa"/>
            </w:tcMar>
          </w:tcPr>
          <w:p w:rsidR="00D663E2" w:rsidRPr="008D165A" w:rsidRDefault="00D663E2" w:rsidP="00E5647A">
            <w:pPr>
              <w:keepNext/>
              <w:keepLines/>
              <w:jc w:val="center"/>
              <w:rPr>
                <w:rFonts w:ascii="Arial Narrow" w:eastAsiaTheme="minorHAnsi" w:hAnsi="Arial Narrow" w:cs="Arial"/>
                <w:snapToGrid w:val="0"/>
                <w:sz w:val="20"/>
                <w:szCs w:val="20"/>
              </w:rPr>
            </w:pPr>
            <w:r w:rsidRPr="008D165A">
              <w:rPr>
                <w:rFonts w:ascii="Arial Narrow" w:hAnsi="Arial Narrow" w:cs="Arial"/>
                <w:sz w:val="20"/>
                <w:szCs w:val="20"/>
              </w:rPr>
              <w:t>$1,1</w:t>
            </w:r>
            <w:r w:rsidR="00E5647A" w:rsidRPr="008D165A">
              <w:rPr>
                <w:rFonts w:ascii="Arial Narrow" w:hAnsi="Arial Narrow" w:cs="Arial"/>
                <w:sz w:val="20"/>
                <w:szCs w:val="20"/>
              </w:rPr>
              <w:t>49.67</w:t>
            </w:r>
          </w:p>
        </w:tc>
      </w:tr>
      <w:tr w:rsidR="00D663E2" w:rsidRPr="00E5647A" w:rsidTr="005F2392">
        <w:tc>
          <w:tcPr>
            <w:tcW w:w="421" w:type="dxa"/>
            <w:tcMar>
              <w:left w:w="28" w:type="dxa"/>
              <w:right w:w="28" w:type="dxa"/>
            </w:tcMar>
          </w:tcPr>
          <w:p w:rsidR="00D663E2" w:rsidRPr="00E5647A" w:rsidRDefault="00D663E2" w:rsidP="00A05661">
            <w:pPr>
              <w:keepNext/>
              <w:keepLines/>
              <w:jc w:val="center"/>
              <w:rPr>
                <w:rFonts w:ascii="Arial Narrow" w:eastAsiaTheme="minorHAnsi" w:hAnsi="Arial Narrow" w:cs="Arial"/>
                <w:snapToGrid w:val="0"/>
                <w:sz w:val="20"/>
                <w:szCs w:val="20"/>
              </w:rPr>
            </w:pPr>
            <w:r w:rsidRPr="00E5647A">
              <w:rPr>
                <w:rFonts w:ascii="Arial Narrow" w:eastAsiaTheme="minorHAnsi" w:hAnsi="Arial Narrow" w:cs="Arial"/>
                <w:snapToGrid w:val="0"/>
                <w:sz w:val="20"/>
                <w:szCs w:val="20"/>
              </w:rPr>
              <w:t>H</w:t>
            </w:r>
          </w:p>
        </w:tc>
        <w:tc>
          <w:tcPr>
            <w:tcW w:w="4536" w:type="dxa"/>
            <w:tcMar>
              <w:left w:w="28" w:type="dxa"/>
              <w:right w:w="28" w:type="dxa"/>
            </w:tcMar>
          </w:tcPr>
          <w:p w:rsidR="00D663E2" w:rsidRPr="00E5647A" w:rsidRDefault="00D663E2" w:rsidP="00A05661">
            <w:pPr>
              <w:keepNext/>
              <w:keepLines/>
              <w:jc w:val="both"/>
              <w:rPr>
                <w:rFonts w:ascii="Arial Narrow" w:eastAsiaTheme="minorHAnsi" w:hAnsi="Arial Narrow" w:cs="Arial"/>
                <w:snapToGrid w:val="0"/>
                <w:sz w:val="20"/>
                <w:szCs w:val="20"/>
              </w:rPr>
            </w:pPr>
            <w:r w:rsidRPr="00E5647A">
              <w:rPr>
                <w:rFonts w:ascii="Arial Narrow" w:hAnsi="Arial Narrow" w:cs="Arial"/>
                <w:sz w:val="20"/>
                <w:szCs w:val="20"/>
              </w:rPr>
              <w:t>Cost of PEMBRO per year</w:t>
            </w:r>
          </w:p>
        </w:tc>
        <w:tc>
          <w:tcPr>
            <w:tcW w:w="2268" w:type="dxa"/>
            <w:tcMar>
              <w:left w:w="28" w:type="dxa"/>
              <w:right w:w="28" w:type="dxa"/>
            </w:tcMar>
          </w:tcPr>
          <w:p w:rsidR="00D663E2" w:rsidRPr="008D165A" w:rsidRDefault="00D663E2" w:rsidP="00A05661">
            <w:pPr>
              <w:keepNext/>
              <w:keepLines/>
              <w:jc w:val="center"/>
              <w:rPr>
                <w:rFonts w:ascii="Arial Narrow" w:eastAsiaTheme="minorHAnsi" w:hAnsi="Arial Narrow" w:cs="Arial"/>
                <w:snapToGrid w:val="0"/>
                <w:sz w:val="20"/>
                <w:szCs w:val="20"/>
              </w:rPr>
            </w:pPr>
            <w:r w:rsidRPr="008D165A">
              <w:rPr>
                <w:rFonts w:ascii="Arial Narrow" w:hAnsi="Arial Narrow" w:cs="Arial"/>
                <w:sz w:val="20"/>
                <w:szCs w:val="20"/>
              </w:rPr>
              <w:t xml:space="preserve">D </w:t>
            </w:r>
            <w:r w:rsidR="00E5647A" w:rsidRPr="008D165A">
              <w:rPr>
                <w:rFonts w:ascii="Arial Narrow" w:hAnsi="Arial Narrow" w:cs="Arial"/>
                <w:sz w:val="20"/>
                <w:szCs w:val="20"/>
              </w:rPr>
              <w:t>–</w:t>
            </w:r>
            <w:r w:rsidRPr="008D165A">
              <w:rPr>
                <w:rFonts w:ascii="Arial Narrow" w:hAnsi="Arial Narrow" w:cs="Arial"/>
                <w:sz w:val="20"/>
                <w:szCs w:val="20"/>
              </w:rPr>
              <w:t xml:space="preserve"> G</w:t>
            </w:r>
          </w:p>
        </w:tc>
        <w:tc>
          <w:tcPr>
            <w:tcW w:w="1791" w:type="dxa"/>
            <w:tcMar>
              <w:left w:w="28" w:type="dxa"/>
              <w:right w:w="28" w:type="dxa"/>
            </w:tcMar>
          </w:tcPr>
          <w:p w:rsidR="00D663E2" w:rsidRPr="008D165A" w:rsidRDefault="00D663E2" w:rsidP="00E5647A">
            <w:pPr>
              <w:keepNext/>
              <w:keepLines/>
              <w:jc w:val="center"/>
              <w:rPr>
                <w:rFonts w:ascii="Arial Narrow" w:eastAsiaTheme="minorHAnsi" w:hAnsi="Arial Narrow" w:cs="Arial"/>
                <w:snapToGrid w:val="0"/>
                <w:sz w:val="20"/>
                <w:szCs w:val="20"/>
              </w:rPr>
            </w:pPr>
            <w:r w:rsidRPr="008D165A">
              <w:rPr>
                <w:rFonts w:ascii="Arial Narrow" w:hAnsi="Arial Narrow" w:cs="Arial"/>
                <w:sz w:val="20"/>
                <w:szCs w:val="20"/>
              </w:rPr>
              <w:t>$</w:t>
            </w:r>
            <w:r w:rsidRPr="00FF4243">
              <w:rPr>
                <w:rFonts w:ascii="Arial Narrow" w:hAnsi="Arial Narrow" w:cs="Arial"/>
                <w:sz w:val="20"/>
                <w:szCs w:val="20"/>
              </w:rPr>
              <w:t>129,7</w:t>
            </w:r>
            <w:r w:rsidR="00E5647A" w:rsidRPr="00FF4243">
              <w:rPr>
                <w:rFonts w:ascii="Arial Narrow" w:hAnsi="Arial Narrow" w:cs="Arial"/>
                <w:sz w:val="20"/>
                <w:szCs w:val="20"/>
              </w:rPr>
              <w:t>46.80</w:t>
            </w:r>
          </w:p>
        </w:tc>
      </w:tr>
      <w:tr w:rsidR="00D663E2" w:rsidRPr="00E5647A" w:rsidTr="005F2392">
        <w:tc>
          <w:tcPr>
            <w:tcW w:w="421" w:type="dxa"/>
            <w:tcMar>
              <w:left w:w="28" w:type="dxa"/>
              <w:right w:w="28" w:type="dxa"/>
            </w:tcMar>
          </w:tcPr>
          <w:p w:rsidR="00D663E2" w:rsidRPr="00E5647A" w:rsidRDefault="00D663E2" w:rsidP="00A05661">
            <w:pPr>
              <w:keepNext/>
              <w:keepLines/>
              <w:jc w:val="center"/>
              <w:rPr>
                <w:rFonts w:ascii="Arial Narrow" w:eastAsiaTheme="minorHAnsi" w:hAnsi="Arial Narrow" w:cs="Arial"/>
                <w:snapToGrid w:val="0"/>
                <w:sz w:val="20"/>
                <w:szCs w:val="20"/>
              </w:rPr>
            </w:pPr>
            <w:r w:rsidRPr="00E5647A">
              <w:rPr>
                <w:rFonts w:ascii="Arial Narrow" w:eastAsiaTheme="minorHAnsi" w:hAnsi="Arial Narrow" w:cs="Arial"/>
                <w:snapToGrid w:val="0"/>
                <w:sz w:val="20"/>
                <w:szCs w:val="20"/>
              </w:rPr>
              <w:t>I</w:t>
            </w:r>
          </w:p>
        </w:tc>
        <w:tc>
          <w:tcPr>
            <w:tcW w:w="4536" w:type="dxa"/>
            <w:tcMar>
              <w:left w:w="28" w:type="dxa"/>
              <w:right w:w="28" w:type="dxa"/>
            </w:tcMar>
          </w:tcPr>
          <w:p w:rsidR="00D663E2" w:rsidRPr="00E5647A" w:rsidRDefault="00D663E2" w:rsidP="00A05661">
            <w:pPr>
              <w:keepNext/>
              <w:keepLines/>
              <w:jc w:val="both"/>
              <w:rPr>
                <w:rFonts w:ascii="Arial Narrow" w:eastAsiaTheme="minorHAnsi" w:hAnsi="Arial Narrow" w:cs="Arial"/>
                <w:snapToGrid w:val="0"/>
                <w:sz w:val="20"/>
                <w:szCs w:val="20"/>
              </w:rPr>
            </w:pPr>
            <w:r w:rsidRPr="00E5647A">
              <w:rPr>
                <w:rFonts w:ascii="Arial Narrow" w:hAnsi="Arial Narrow" w:cs="Arial"/>
                <w:sz w:val="20"/>
                <w:szCs w:val="20"/>
              </w:rPr>
              <w:t xml:space="preserve">Cost of PEMBRO per mg </w:t>
            </w:r>
          </w:p>
        </w:tc>
        <w:tc>
          <w:tcPr>
            <w:tcW w:w="2268" w:type="dxa"/>
            <w:tcMar>
              <w:left w:w="28" w:type="dxa"/>
              <w:right w:w="28" w:type="dxa"/>
            </w:tcMar>
          </w:tcPr>
          <w:p w:rsidR="00D663E2" w:rsidRPr="008D165A" w:rsidRDefault="00D663E2" w:rsidP="00A05661">
            <w:pPr>
              <w:keepNext/>
              <w:keepLines/>
              <w:jc w:val="center"/>
              <w:rPr>
                <w:rFonts w:ascii="Arial Narrow" w:eastAsiaTheme="minorHAnsi" w:hAnsi="Arial Narrow" w:cs="Arial"/>
                <w:snapToGrid w:val="0"/>
                <w:sz w:val="20"/>
                <w:szCs w:val="20"/>
              </w:rPr>
            </w:pPr>
            <w:r w:rsidRPr="008D165A">
              <w:rPr>
                <w:rFonts w:ascii="Arial Narrow" w:hAnsi="Arial Narrow" w:cs="Arial"/>
                <w:sz w:val="20"/>
                <w:szCs w:val="20"/>
              </w:rPr>
              <w:t>H / F</w:t>
            </w:r>
          </w:p>
        </w:tc>
        <w:tc>
          <w:tcPr>
            <w:tcW w:w="1791" w:type="dxa"/>
            <w:tcMar>
              <w:left w:w="28" w:type="dxa"/>
              <w:right w:w="28" w:type="dxa"/>
            </w:tcMar>
          </w:tcPr>
          <w:p w:rsidR="00D663E2" w:rsidRPr="008D165A" w:rsidRDefault="00D663E2" w:rsidP="00A05661">
            <w:pPr>
              <w:keepNext/>
              <w:keepLines/>
              <w:jc w:val="center"/>
              <w:rPr>
                <w:rFonts w:ascii="Arial Narrow" w:eastAsiaTheme="minorHAnsi" w:hAnsi="Arial Narrow" w:cs="Arial"/>
                <w:snapToGrid w:val="0"/>
                <w:sz w:val="20"/>
                <w:szCs w:val="20"/>
              </w:rPr>
            </w:pPr>
            <w:r w:rsidRPr="008D165A">
              <w:rPr>
                <w:rFonts w:ascii="Arial Narrow" w:hAnsi="Arial Narrow" w:cs="Arial"/>
                <w:sz w:val="20"/>
                <w:szCs w:val="20"/>
              </w:rPr>
              <w:t>$37.30</w:t>
            </w:r>
            <w:r w:rsidR="00B967F2" w:rsidRPr="008D165A">
              <w:rPr>
                <w:rFonts w:ascii="Arial Narrow" w:hAnsi="Arial Narrow" w:cs="Arial"/>
                <w:sz w:val="20"/>
                <w:szCs w:val="20"/>
              </w:rPr>
              <w:t>/mg</w:t>
            </w:r>
          </w:p>
        </w:tc>
      </w:tr>
      <w:tr w:rsidR="00D663E2" w:rsidRPr="00E5647A" w:rsidTr="005F2392">
        <w:tc>
          <w:tcPr>
            <w:tcW w:w="421" w:type="dxa"/>
            <w:tcMar>
              <w:left w:w="28" w:type="dxa"/>
              <w:right w:w="28" w:type="dxa"/>
            </w:tcMar>
          </w:tcPr>
          <w:p w:rsidR="00D663E2" w:rsidRPr="00E5647A" w:rsidRDefault="00D663E2" w:rsidP="00A05661">
            <w:pPr>
              <w:keepNext/>
              <w:keepLines/>
              <w:jc w:val="center"/>
              <w:rPr>
                <w:rFonts w:ascii="Arial Narrow" w:eastAsiaTheme="minorHAnsi" w:hAnsi="Arial Narrow" w:cs="Arial"/>
                <w:b/>
                <w:snapToGrid w:val="0"/>
                <w:sz w:val="20"/>
                <w:szCs w:val="20"/>
              </w:rPr>
            </w:pPr>
            <w:r w:rsidRPr="00E5647A">
              <w:rPr>
                <w:rFonts w:ascii="Arial Narrow" w:eastAsiaTheme="minorHAnsi" w:hAnsi="Arial Narrow" w:cs="Arial"/>
                <w:b/>
                <w:snapToGrid w:val="0"/>
                <w:sz w:val="20"/>
                <w:szCs w:val="20"/>
              </w:rPr>
              <w:t>J</w:t>
            </w:r>
          </w:p>
        </w:tc>
        <w:tc>
          <w:tcPr>
            <w:tcW w:w="4536" w:type="dxa"/>
            <w:tcMar>
              <w:left w:w="28" w:type="dxa"/>
              <w:right w:w="28" w:type="dxa"/>
            </w:tcMar>
          </w:tcPr>
          <w:p w:rsidR="00D663E2" w:rsidRPr="00E5647A" w:rsidRDefault="00D663E2" w:rsidP="00A05661">
            <w:pPr>
              <w:keepNext/>
              <w:keepLines/>
              <w:rPr>
                <w:rFonts w:ascii="Arial Narrow" w:eastAsiaTheme="minorHAnsi" w:hAnsi="Arial Narrow" w:cs="Arial"/>
                <w:b/>
                <w:snapToGrid w:val="0"/>
                <w:sz w:val="20"/>
                <w:szCs w:val="20"/>
              </w:rPr>
            </w:pPr>
            <w:r w:rsidRPr="00E5647A">
              <w:rPr>
                <w:rFonts w:ascii="Arial Narrow" w:hAnsi="Arial Narrow" w:cs="Arial"/>
                <w:b/>
                <w:sz w:val="20"/>
                <w:szCs w:val="20"/>
              </w:rPr>
              <w:t>Cost minimised AEMP per 100mg vial PEMBRO</w:t>
            </w:r>
          </w:p>
        </w:tc>
        <w:tc>
          <w:tcPr>
            <w:tcW w:w="2268" w:type="dxa"/>
            <w:tcMar>
              <w:left w:w="28" w:type="dxa"/>
              <w:right w:w="28" w:type="dxa"/>
            </w:tcMar>
          </w:tcPr>
          <w:p w:rsidR="00D663E2" w:rsidRPr="008D165A" w:rsidRDefault="00D663E2" w:rsidP="00A05661">
            <w:pPr>
              <w:keepNext/>
              <w:keepLines/>
              <w:jc w:val="center"/>
              <w:rPr>
                <w:rFonts w:ascii="Arial Narrow" w:eastAsiaTheme="minorHAnsi" w:hAnsi="Arial Narrow" w:cs="Arial"/>
                <w:b/>
                <w:snapToGrid w:val="0"/>
                <w:sz w:val="20"/>
                <w:szCs w:val="20"/>
              </w:rPr>
            </w:pPr>
            <w:r w:rsidRPr="008D165A">
              <w:rPr>
                <w:rFonts w:ascii="Arial Narrow" w:hAnsi="Arial Narrow" w:cs="Arial"/>
                <w:b/>
                <w:sz w:val="20"/>
                <w:szCs w:val="20"/>
              </w:rPr>
              <w:t>I * 100</w:t>
            </w:r>
          </w:p>
        </w:tc>
        <w:tc>
          <w:tcPr>
            <w:tcW w:w="1791" w:type="dxa"/>
            <w:tcMar>
              <w:left w:w="28" w:type="dxa"/>
              <w:right w:w="28" w:type="dxa"/>
            </w:tcMar>
          </w:tcPr>
          <w:p w:rsidR="00D663E2" w:rsidRPr="008D165A" w:rsidRDefault="00E5647A" w:rsidP="00A05661">
            <w:pPr>
              <w:keepNext/>
              <w:keepLines/>
              <w:jc w:val="center"/>
              <w:rPr>
                <w:rFonts w:ascii="Arial Narrow" w:eastAsiaTheme="minorHAnsi" w:hAnsi="Arial Narrow" w:cs="Arial"/>
                <w:b/>
                <w:snapToGrid w:val="0"/>
                <w:sz w:val="20"/>
                <w:szCs w:val="20"/>
              </w:rPr>
            </w:pPr>
            <w:r w:rsidRPr="008D165A">
              <w:rPr>
                <w:rFonts w:ascii="Arial Narrow" w:hAnsi="Arial Narrow" w:cs="Arial"/>
                <w:b/>
                <w:sz w:val="20"/>
                <w:szCs w:val="20"/>
              </w:rPr>
              <w:t>$</w:t>
            </w:r>
            <w:r w:rsidRPr="00FF4243">
              <w:rPr>
                <w:rFonts w:ascii="Arial Narrow" w:hAnsi="Arial Narrow" w:cs="Arial"/>
                <w:b/>
                <w:sz w:val="20"/>
                <w:szCs w:val="20"/>
              </w:rPr>
              <w:t>3,729.89</w:t>
            </w:r>
          </w:p>
        </w:tc>
      </w:tr>
      <w:tr w:rsidR="00D663E2" w:rsidRPr="00E5647A" w:rsidTr="005F2392">
        <w:tc>
          <w:tcPr>
            <w:tcW w:w="421" w:type="dxa"/>
            <w:tcMar>
              <w:left w:w="28" w:type="dxa"/>
              <w:right w:w="28" w:type="dxa"/>
            </w:tcMar>
          </w:tcPr>
          <w:p w:rsidR="00D663E2" w:rsidRPr="00E5647A" w:rsidRDefault="00D663E2" w:rsidP="00A05661">
            <w:pPr>
              <w:keepNext/>
              <w:keepLines/>
              <w:jc w:val="center"/>
              <w:rPr>
                <w:rFonts w:ascii="Arial Narrow" w:hAnsi="Arial Narrow" w:cs="Arial"/>
                <w:b/>
                <w:snapToGrid w:val="0"/>
                <w:sz w:val="20"/>
                <w:szCs w:val="20"/>
              </w:rPr>
            </w:pPr>
            <w:r w:rsidRPr="00E5647A">
              <w:rPr>
                <w:rFonts w:ascii="Arial Narrow" w:hAnsi="Arial Narrow" w:cs="Arial"/>
                <w:b/>
                <w:snapToGrid w:val="0"/>
                <w:sz w:val="20"/>
                <w:szCs w:val="20"/>
              </w:rPr>
              <w:t>K</w:t>
            </w:r>
          </w:p>
        </w:tc>
        <w:tc>
          <w:tcPr>
            <w:tcW w:w="4536" w:type="dxa"/>
            <w:tcMar>
              <w:left w:w="28" w:type="dxa"/>
              <w:right w:w="28" w:type="dxa"/>
            </w:tcMar>
          </w:tcPr>
          <w:p w:rsidR="00D663E2" w:rsidRPr="00E5647A" w:rsidRDefault="00D663E2" w:rsidP="00A05661">
            <w:pPr>
              <w:keepNext/>
              <w:keepLines/>
              <w:rPr>
                <w:rFonts w:ascii="Arial Narrow" w:hAnsi="Arial Narrow" w:cs="Arial"/>
                <w:b/>
                <w:snapToGrid w:val="0"/>
                <w:sz w:val="20"/>
                <w:szCs w:val="20"/>
              </w:rPr>
            </w:pPr>
            <w:r w:rsidRPr="00E5647A">
              <w:rPr>
                <w:rFonts w:ascii="Arial Narrow" w:hAnsi="Arial Narrow" w:cs="Arial"/>
                <w:b/>
                <w:sz w:val="20"/>
                <w:szCs w:val="20"/>
              </w:rPr>
              <w:t>Cost of PEMBRO patient (per year)</w:t>
            </w:r>
          </w:p>
        </w:tc>
        <w:tc>
          <w:tcPr>
            <w:tcW w:w="2268" w:type="dxa"/>
            <w:tcMar>
              <w:left w:w="28" w:type="dxa"/>
              <w:right w:w="28" w:type="dxa"/>
            </w:tcMar>
          </w:tcPr>
          <w:p w:rsidR="00D663E2" w:rsidRPr="008D165A" w:rsidRDefault="00D663E2" w:rsidP="00A05661">
            <w:pPr>
              <w:keepNext/>
              <w:keepLines/>
              <w:jc w:val="center"/>
              <w:rPr>
                <w:rFonts w:ascii="Arial Narrow" w:hAnsi="Arial Narrow" w:cs="Arial"/>
                <w:b/>
                <w:snapToGrid w:val="0"/>
                <w:sz w:val="20"/>
                <w:szCs w:val="20"/>
              </w:rPr>
            </w:pPr>
            <w:r w:rsidRPr="008D165A">
              <w:rPr>
                <w:rFonts w:ascii="Arial Narrow" w:hAnsi="Arial Narrow" w:cs="Arial"/>
                <w:b/>
                <w:sz w:val="20"/>
                <w:szCs w:val="20"/>
              </w:rPr>
              <w:t>G + (J * 2 * 17.39</w:t>
            </w:r>
            <w:r w:rsidR="00E5647A" w:rsidRPr="008D165A">
              <w:rPr>
                <w:rFonts w:ascii="Arial Narrow" w:hAnsi="Arial Narrow" w:cs="Arial"/>
                <w:b/>
                <w:sz w:val="20"/>
                <w:szCs w:val="20"/>
                <w:vertAlign w:val="superscript"/>
              </w:rPr>
              <w:t>c</w:t>
            </w:r>
            <w:r w:rsidRPr="008D165A">
              <w:rPr>
                <w:rFonts w:ascii="Arial Narrow" w:hAnsi="Arial Narrow" w:cs="Arial"/>
                <w:b/>
                <w:sz w:val="20"/>
                <w:szCs w:val="20"/>
              </w:rPr>
              <w:t>)</w:t>
            </w:r>
          </w:p>
        </w:tc>
        <w:tc>
          <w:tcPr>
            <w:tcW w:w="1791" w:type="dxa"/>
            <w:tcMar>
              <w:left w:w="28" w:type="dxa"/>
              <w:right w:w="28" w:type="dxa"/>
            </w:tcMar>
          </w:tcPr>
          <w:p w:rsidR="00D663E2" w:rsidRPr="008D165A" w:rsidRDefault="00E5647A" w:rsidP="00A05661">
            <w:pPr>
              <w:keepNext/>
              <w:keepLines/>
              <w:jc w:val="center"/>
              <w:rPr>
                <w:rFonts w:ascii="Arial Narrow" w:hAnsi="Arial Narrow" w:cs="Arial"/>
                <w:b/>
                <w:snapToGrid w:val="0"/>
                <w:sz w:val="20"/>
                <w:szCs w:val="20"/>
              </w:rPr>
            </w:pPr>
            <w:r w:rsidRPr="008D165A">
              <w:rPr>
                <w:rFonts w:ascii="Arial Narrow" w:hAnsi="Arial Narrow" w:cs="Arial"/>
                <w:b/>
                <w:sz w:val="20"/>
                <w:szCs w:val="20"/>
              </w:rPr>
              <w:t>$</w:t>
            </w:r>
            <w:r w:rsidRPr="00FF4243">
              <w:rPr>
                <w:rFonts w:ascii="Arial Narrow" w:hAnsi="Arial Narrow" w:cs="Arial"/>
                <w:b/>
                <w:sz w:val="20"/>
                <w:szCs w:val="20"/>
              </w:rPr>
              <w:t>130,896.47</w:t>
            </w:r>
          </w:p>
        </w:tc>
      </w:tr>
    </w:tbl>
    <w:p w:rsidR="00D663E2" w:rsidRPr="00E5647A" w:rsidRDefault="00D663E2" w:rsidP="00D663E2">
      <w:pPr>
        <w:keepNext/>
        <w:keepLines/>
        <w:jc w:val="both"/>
        <w:rPr>
          <w:rFonts w:ascii="Arial Narrow" w:hAnsi="Arial Narrow" w:cs="Arial"/>
          <w:snapToGrid w:val="0"/>
          <w:sz w:val="18"/>
          <w:szCs w:val="20"/>
        </w:rPr>
      </w:pPr>
      <w:r w:rsidRPr="00E5647A">
        <w:rPr>
          <w:rFonts w:ascii="Arial Narrow" w:hAnsi="Arial Narrow" w:cs="Arial"/>
          <w:snapToGrid w:val="0"/>
          <w:sz w:val="18"/>
          <w:szCs w:val="20"/>
        </w:rPr>
        <w:t xml:space="preserve">AEMP = approved ex-manufacturer price; </w:t>
      </w:r>
      <w:r w:rsidR="00062280">
        <w:rPr>
          <w:rFonts w:ascii="Arial Narrow" w:hAnsi="Arial Narrow" w:cs="Arial"/>
          <w:snapToGrid w:val="0"/>
          <w:sz w:val="18"/>
          <w:szCs w:val="20"/>
        </w:rPr>
        <w:t xml:space="preserve">MBS = Medicare Benefits Schedule; </w:t>
      </w:r>
      <w:r w:rsidRPr="00E5647A">
        <w:rPr>
          <w:rFonts w:ascii="Arial Narrow" w:hAnsi="Arial Narrow" w:cs="Arial"/>
          <w:snapToGrid w:val="0"/>
          <w:sz w:val="18"/>
          <w:szCs w:val="20"/>
        </w:rPr>
        <w:t xml:space="preserve">NIVO = </w:t>
      </w:r>
      <w:proofErr w:type="spellStart"/>
      <w:r w:rsidRPr="00E5647A">
        <w:rPr>
          <w:rFonts w:ascii="Arial Narrow" w:hAnsi="Arial Narrow" w:cs="Arial"/>
          <w:snapToGrid w:val="0"/>
          <w:sz w:val="18"/>
          <w:szCs w:val="20"/>
        </w:rPr>
        <w:t>nivolumab</w:t>
      </w:r>
      <w:proofErr w:type="spellEnd"/>
      <w:r w:rsidRPr="00E5647A">
        <w:rPr>
          <w:rFonts w:ascii="Arial Narrow" w:hAnsi="Arial Narrow" w:cs="Arial"/>
          <w:snapToGrid w:val="0"/>
          <w:sz w:val="18"/>
          <w:szCs w:val="20"/>
        </w:rPr>
        <w:t xml:space="preserve">; PEMBRO = </w:t>
      </w:r>
      <w:proofErr w:type="spellStart"/>
      <w:r w:rsidRPr="00E5647A">
        <w:rPr>
          <w:rFonts w:ascii="Arial Narrow" w:hAnsi="Arial Narrow" w:cs="Arial"/>
          <w:snapToGrid w:val="0"/>
          <w:sz w:val="18"/>
          <w:szCs w:val="20"/>
        </w:rPr>
        <w:t>pembrolizumab</w:t>
      </w:r>
      <w:proofErr w:type="spellEnd"/>
      <w:r w:rsidRPr="00E5647A">
        <w:rPr>
          <w:rFonts w:ascii="Arial Narrow" w:hAnsi="Arial Narrow" w:cs="Arial"/>
          <w:snapToGrid w:val="0"/>
          <w:sz w:val="18"/>
          <w:szCs w:val="20"/>
        </w:rPr>
        <w:t>; Q3W = every three weeks</w:t>
      </w:r>
      <w:r w:rsidR="00062280">
        <w:rPr>
          <w:rFonts w:ascii="Arial Narrow" w:hAnsi="Arial Narrow" w:cs="Arial"/>
          <w:snapToGrid w:val="0"/>
          <w:sz w:val="18"/>
          <w:szCs w:val="20"/>
        </w:rPr>
        <w:t>; Q4W = every four weeks</w:t>
      </w:r>
    </w:p>
    <w:p w:rsidR="00D663E2" w:rsidRPr="00E5647A" w:rsidRDefault="00D663E2" w:rsidP="00D663E2">
      <w:pPr>
        <w:keepNext/>
        <w:keepLines/>
        <w:jc w:val="both"/>
        <w:rPr>
          <w:rFonts w:ascii="Arial Narrow" w:hAnsi="Arial Narrow" w:cs="Arial"/>
          <w:snapToGrid w:val="0"/>
          <w:sz w:val="18"/>
          <w:szCs w:val="20"/>
        </w:rPr>
      </w:pPr>
      <w:proofErr w:type="gramStart"/>
      <w:r w:rsidRPr="00E5647A">
        <w:rPr>
          <w:rFonts w:ascii="Arial Narrow" w:hAnsi="Arial Narrow" w:cs="Arial"/>
          <w:snapToGrid w:val="0"/>
          <w:sz w:val="18"/>
          <w:szCs w:val="20"/>
        </w:rPr>
        <w:t>a</w:t>
      </w:r>
      <w:proofErr w:type="gramEnd"/>
      <w:r w:rsidRPr="00E5647A">
        <w:rPr>
          <w:rFonts w:ascii="Arial Narrow" w:hAnsi="Arial Narrow" w:cs="Arial"/>
          <w:snapToGrid w:val="0"/>
          <w:sz w:val="18"/>
          <w:szCs w:val="20"/>
        </w:rPr>
        <w:t xml:space="preserve"> 13.04 = 365.25 days per year / 28 day dosing</w:t>
      </w:r>
    </w:p>
    <w:p w:rsidR="00E5647A" w:rsidRPr="00E5647A" w:rsidRDefault="00E5647A" w:rsidP="00E5647A">
      <w:pPr>
        <w:keepNext/>
        <w:keepLines/>
        <w:jc w:val="both"/>
        <w:rPr>
          <w:rFonts w:ascii="Arial Narrow" w:hAnsi="Arial Narrow" w:cs="Arial"/>
          <w:snapToGrid w:val="0"/>
          <w:sz w:val="18"/>
          <w:szCs w:val="20"/>
        </w:rPr>
      </w:pPr>
      <w:proofErr w:type="gramStart"/>
      <w:r>
        <w:rPr>
          <w:rFonts w:ascii="Arial Narrow" w:hAnsi="Arial Narrow" w:cs="Arial"/>
          <w:snapToGrid w:val="0"/>
          <w:sz w:val="18"/>
          <w:szCs w:val="20"/>
        </w:rPr>
        <w:t>b</w:t>
      </w:r>
      <w:proofErr w:type="gramEnd"/>
      <w:r w:rsidRPr="00E5647A">
        <w:rPr>
          <w:rFonts w:ascii="Arial Narrow" w:hAnsi="Arial Narrow" w:cs="Arial"/>
          <w:snapToGrid w:val="0"/>
          <w:sz w:val="18"/>
          <w:szCs w:val="20"/>
        </w:rPr>
        <w:t xml:space="preserve"> MBS item 13915 (100% benefit)</w:t>
      </w:r>
      <w:r>
        <w:rPr>
          <w:rFonts w:ascii="Arial Narrow" w:hAnsi="Arial Narrow" w:cs="Arial"/>
          <w:snapToGrid w:val="0"/>
          <w:sz w:val="18"/>
          <w:szCs w:val="20"/>
        </w:rPr>
        <w:t xml:space="preserve"> – </w:t>
      </w:r>
      <w:r w:rsidRPr="008D165A">
        <w:rPr>
          <w:rFonts w:ascii="Arial Narrow" w:hAnsi="Arial Narrow" w:cs="Arial"/>
          <w:snapToGrid w:val="0"/>
          <w:sz w:val="18"/>
          <w:szCs w:val="20"/>
        </w:rPr>
        <w:t>updated from $65.05 to $66.10 during evaluation</w:t>
      </w:r>
    </w:p>
    <w:p w:rsidR="00D663E2" w:rsidRPr="00E5647A" w:rsidRDefault="00E5647A" w:rsidP="00D663E2">
      <w:pPr>
        <w:keepNext/>
        <w:keepLines/>
        <w:jc w:val="both"/>
        <w:rPr>
          <w:rFonts w:ascii="Arial Narrow" w:hAnsi="Arial Narrow" w:cs="Arial"/>
          <w:snapToGrid w:val="0"/>
          <w:sz w:val="18"/>
          <w:szCs w:val="20"/>
        </w:rPr>
      </w:pPr>
      <w:proofErr w:type="gramStart"/>
      <w:r>
        <w:rPr>
          <w:rFonts w:ascii="Arial Narrow" w:hAnsi="Arial Narrow" w:cs="Arial"/>
          <w:snapToGrid w:val="0"/>
          <w:sz w:val="18"/>
          <w:szCs w:val="20"/>
        </w:rPr>
        <w:t>c</w:t>
      </w:r>
      <w:proofErr w:type="gramEnd"/>
      <w:r w:rsidR="00D663E2" w:rsidRPr="00E5647A">
        <w:rPr>
          <w:rFonts w:ascii="Arial Narrow" w:hAnsi="Arial Narrow" w:cs="Arial"/>
          <w:snapToGrid w:val="0"/>
          <w:sz w:val="18"/>
          <w:szCs w:val="20"/>
        </w:rPr>
        <w:t xml:space="preserve"> 17.39 = 365.25 days per year / 21 day dosing</w:t>
      </w:r>
    </w:p>
    <w:p w:rsidR="00D663E2" w:rsidRPr="00D663E2" w:rsidRDefault="00D663E2" w:rsidP="00A05661">
      <w:pPr>
        <w:pStyle w:val="Bodytextitalics"/>
        <w:numPr>
          <w:ilvl w:val="0"/>
          <w:numId w:val="0"/>
        </w:numPr>
        <w:spacing w:after="0"/>
        <w:ind w:left="720"/>
        <w:rPr>
          <w:rFonts w:cstheme="minorHAnsi"/>
          <w:szCs w:val="24"/>
        </w:rPr>
      </w:pPr>
    </w:p>
    <w:p w:rsidR="00D663E2" w:rsidRPr="002169C9" w:rsidRDefault="008D165A" w:rsidP="002169C9">
      <w:pPr>
        <w:pStyle w:val="Bodytextitalics"/>
        <w:jc w:val="both"/>
        <w:rPr>
          <w:rFonts w:cstheme="minorHAnsi"/>
          <w:szCs w:val="24"/>
        </w:rPr>
      </w:pPr>
      <w:r>
        <w:rPr>
          <w:rFonts w:cstheme="minorHAnsi"/>
          <w:i w:val="0"/>
          <w:szCs w:val="24"/>
        </w:rPr>
        <w:t xml:space="preserve">Given adjuvant therapy is a fixed 12 month course of treatment, the PBAC considered that it was reasonable to conduct the cost-minimisation analysis between </w:t>
      </w:r>
      <w:proofErr w:type="spellStart"/>
      <w:r>
        <w:rPr>
          <w:rFonts w:cstheme="minorHAnsi"/>
          <w:i w:val="0"/>
          <w:szCs w:val="24"/>
        </w:rPr>
        <w:t>nivolumab</w:t>
      </w:r>
      <w:proofErr w:type="spellEnd"/>
      <w:r>
        <w:rPr>
          <w:rFonts w:cstheme="minorHAnsi"/>
          <w:i w:val="0"/>
          <w:szCs w:val="24"/>
        </w:rPr>
        <w:t xml:space="preserve"> and </w:t>
      </w:r>
      <w:proofErr w:type="spellStart"/>
      <w:r>
        <w:rPr>
          <w:rFonts w:cstheme="minorHAnsi"/>
          <w:i w:val="0"/>
          <w:szCs w:val="24"/>
        </w:rPr>
        <w:t>pembrolizumab</w:t>
      </w:r>
      <w:proofErr w:type="spellEnd"/>
      <w:r>
        <w:rPr>
          <w:rFonts w:cstheme="minorHAnsi"/>
          <w:i w:val="0"/>
          <w:szCs w:val="24"/>
        </w:rPr>
        <w:t xml:space="preserve"> without consideration of the mean trial treatment durations.</w:t>
      </w:r>
    </w:p>
    <w:p w:rsidR="00D663E2" w:rsidRDefault="00D663E2" w:rsidP="00D70D16">
      <w:pPr>
        <w:pStyle w:val="Bodytextitalics"/>
        <w:keepNext/>
        <w:numPr>
          <w:ilvl w:val="0"/>
          <w:numId w:val="0"/>
        </w:numPr>
        <w:spacing w:after="0"/>
        <w:rPr>
          <w:rFonts w:eastAsia="Times New Roman" w:cstheme="minorHAnsi"/>
          <w:i w:val="0"/>
          <w:snapToGrid w:val="0"/>
          <w:szCs w:val="24"/>
          <w:u w:val="single"/>
          <w:lang w:eastAsia="en-US"/>
        </w:rPr>
      </w:pPr>
      <w:proofErr w:type="spellStart"/>
      <w:r w:rsidRPr="00D663E2">
        <w:rPr>
          <w:rFonts w:eastAsia="Times New Roman" w:cstheme="minorHAnsi"/>
          <w:i w:val="0"/>
          <w:snapToGrid w:val="0"/>
          <w:szCs w:val="24"/>
          <w:u w:val="single"/>
          <w:lang w:eastAsia="en-US"/>
        </w:rPr>
        <w:t>Pembrolizumab</w:t>
      </w:r>
      <w:proofErr w:type="spellEnd"/>
      <w:r w:rsidRPr="00D663E2">
        <w:rPr>
          <w:rFonts w:eastAsia="Times New Roman" w:cstheme="minorHAnsi"/>
          <w:i w:val="0"/>
          <w:snapToGrid w:val="0"/>
          <w:szCs w:val="24"/>
          <w:u w:val="single"/>
          <w:lang w:eastAsia="en-US"/>
        </w:rPr>
        <w:t xml:space="preserve"> versus </w:t>
      </w:r>
      <w:proofErr w:type="spellStart"/>
      <w:r w:rsidRPr="00D663E2">
        <w:rPr>
          <w:rFonts w:eastAsia="Times New Roman" w:cstheme="minorHAnsi"/>
          <w:i w:val="0"/>
          <w:snapToGrid w:val="0"/>
          <w:szCs w:val="24"/>
          <w:u w:val="single"/>
          <w:lang w:eastAsia="en-US"/>
        </w:rPr>
        <w:t>dabrafenib</w:t>
      </w:r>
      <w:proofErr w:type="spellEnd"/>
      <w:r w:rsidR="008A06F4">
        <w:rPr>
          <w:rFonts w:eastAsia="Times New Roman" w:cstheme="minorHAnsi"/>
          <w:i w:val="0"/>
          <w:snapToGrid w:val="0"/>
          <w:szCs w:val="24"/>
          <w:u w:val="single"/>
          <w:lang w:eastAsia="en-US"/>
        </w:rPr>
        <w:t xml:space="preserve"> </w:t>
      </w:r>
      <w:r w:rsidRPr="00D663E2">
        <w:rPr>
          <w:rFonts w:eastAsia="Times New Roman" w:cstheme="minorHAnsi"/>
          <w:i w:val="0"/>
          <w:snapToGrid w:val="0"/>
          <w:szCs w:val="24"/>
          <w:u w:val="single"/>
          <w:lang w:eastAsia="en-US"/>
        </w:rPr>
        <w:t>+</w:t>
      </w:r>
      <w:r w:rsidR="008A06F4">
        <w:rPr>
          <w:rFonts w:eastAsia="Times New Roman" w:cstheme="minorHAnsi"/>
          <w:i w:val="0"/>
          <w:snapToGrid w:val="0"/>
          <w:szCs w:val="24"/>
          <w:u w:val="single"/>
          <w:lang w:eastAsia="en-US"/>
        </w:rPr>
        <w:t xml:space="preserve"> </w:t>
      </w:r>
      <w:proofErr w:type="spellStart"/>
      <w:r w:rsidRPr="00D663E2">
        <w:rPr>
          <w:rFonts w:eastAsia="Times New Roman" w:cstheme="minorHAnsi"/>
          <w:i w:val="0"/>
          <w:snapToGrid w:val="0"/>
          <w:szCs w:val="24"/>
          <w:u w:val="single"/>
          <w:lang w:eastAsia="en-US"/>
        </w:rPr>
        <w:t>trametinib</w:t>
      </w:r>
      <w:proofErr w:type="spellEnd"/>
    </w:p>
    <w:p w:rsidR="00D663E2" w:rsidRPr="00D663E2" w:rsidRDefault="00D663E2" w:rsidP="00D70D16">
      <w:pPr>
        <w:pStyle w:val="Bodytextitalics"/>
        <w:keepNext/>
        <w:jc w:val="both"/>
        <w:rPr>
          <w:rFonts w:cstheme="minorHAnsi"/>
          <w:szCs w:val="24"/>
        </w:rPr>
      </w:pPr>
      <w:r w:rsidRPr="00D663E2">
        <w:rPr>
          <w:rFonts w:eastAsia="Times New Roman" w:cstheme="minorHAnsi"/>
          <w:i w:val="0"/>
          <w:snapToGrid w:val="0"/>
          <w:szCs w:val="24"/>
          <w:lang w:eastAsia="en-US"/>
        </w:rPr>
        <w:t xml:space="preserve">The equi-effective doses, without consideration of treatment duration (i.e. assuming 12 months treatment for both drugs), </w:t>
      </w:r>
      <w:r w:rsidR="009B65B8">
        <w:rPr>
          <w:rFonts w:eastAsia="Times New Roman" w:cstheme="minorHAnsi"/>
          <w:i w:val="0"/>
          <w:snapToGrid w:val="0"/>
          <w:szCs w:val="24"/>
          <w:lang w:eastAsia="en-US"/>
        </w:rPr>
        <w:t xml:space="preserve">nominated in the minor resubmission </w:t>
      </w:r>
      <w:r w:rsidRPr="00D663E2">
        <w:rPr>
          <w:rFonts w:eastAsia="Times New Roman" w:cstheme="minorHAnsi"/>
          <w:i w:val="0"/>
          <w:snapToGrid w:val="0"/>
          <w:szCs w:val="24"/>
          <w:lang w:eastAsia="en-US"/>
        </w:rPr>
        <w:t>were:</w:t>
      </w:r>
    </w:p>
    <w:p w:rsidR="00D663E2" w:rsidRPr="00062280" w:rsidRDefault="00D663E2" w:rsidP="00D663E2">
      <w:pPr>
        <w:pStyle w:val="Bodytextitalics"/>
        <w:numPr>
          <w:ilvl w:val="0"/>
          <w:numId w:val="0"/>
        </w:numPr>
        <w:ind w:left="720" w:firstLine="720"/>
        <w:rPr>
          <w:rFonts w:cstheme="minorHAnsi"/>
          <w:i w:val="0"/>
          <w:szCs w:val="24"/>
        </w:rPr>
      </w:pPr>
      <w:proofErr w:type="spellStart"/>
      <w:r w:rsidRPr="00062280">
        <w:rPr>
          <w:rFonts w:cstheme="minorHAnsi"/>
          <w:i w:val="0"/>
          <w:szCs w:val="24"/>
        </w:rPr>
        <w:t>Pembrolizumab</w:t>
      </w:r>
      <w:proofErr w:type="spellEnd"/>
      <w:r w:rsidRPr="00062280">
        <w:rPr>
          <w:rFonts w:cstheme="minorHAnsi"/>
          <w:i w:val="0"/>
          <w:szCs w:val="24"/>
        </w:rPr>
        <w:t xml:space="preserve"> 200 mg Q3W = </w:t>
      </w:r>
      <w:proofErr w:type="spellStart"/>
      <w:r w:rsidRPr="00062280">
        <w:rPr>
          <w:rFonts w:cstheme="minorHAnsi"/>
          <w:i w:val="0"/>
          <w:szCs w:val="24"/>
        </w:rPr>
        <w:t>Dabrafenib</w:t>
      </w:r>
      <w:proofErr w:type="spellEnd"/>
      <w:r w:rsidRPr="00062280">
        <w:rPr>
          <w:rFonts w:cstheme="minorHAnsi"/>
          <w:i w:val="0"/>
          <w:szCs w:val="24"/>
        </w:rPr>
        <w:t xml:space="preserve"> 150 mg BD + </w:t>
      </w:r>
      <w:proofErr w:type="spellStart"/>
      <w:r w:rsidRPr="00062280">
        <w:rPr>
          <w:rFonts w:cstheme="minorHAnsi"/>
          <w:i w:val="0"/>
          <w:szCs w:val="24"/>
        </w:rPr>
        <w:t>Trametinib</w:t>
      </w:r>
      <w:proofErr w:type="spellEnd"/>
      <w:r w:rsidRPr="00062280">
        <w:rPr>
          <w:rFonts w:cstheme="minorHAnsi"/>
          <w:i w:val="0"/>
          <w:szCs w:val="24"/>
        </w:rPr>
        <w:t xml:space="preserve"> 2 mg OD</w:t>
      </w:r>
    </w:p>
    <w:p w:rsidR="00D663E2" w:rsidRPr="00D663E2" w:rsidRDefault="00D663E2" w:rsidP="00460B1E">
      <w:pPr>
        <w:pStyle w:val="Bodytextitalics"/>
        <w:jc w:val="both"/>
        <w:rPr>
          <w:rFonts w:cstheme="minorHAnsi"/>
          <w:szCs w:val="24"/>
        </w:rPr>
      </w:pPr>
      <w:r w:rsidRPr="00D663E2">
        <w:rPr>
          <w:rFonts w:eastAsia="Times New Roman" w:cstheme="minorHAnsi"/>
          <w:i w:val="0"/>
          <w:snapToGrid w:val="0"/>
          <w:szCs w:val="24"/>
          <w:lang w:eastAsia="en-US"/>
        </w:rPr>
        <w:t>The cost minimisation analysis presented below is b</w:t>
      </w:r>
      <w:r w:rsidR="00471B51">
        <w:rPr>
          <w:rFonts w:eastAsia="Times New Roman" w:cstheme="minorHAnsi"/>
          <w:i w:val="0"/>
          <w:snapToGrid w:val="0"/>
          <w:szCs w:val="24"/>
          <w:lang w:eastAsia="en-US"/>
        </w:rPr>
        <w:t xml:space="preserve">ased on the published prices of </w:t>
      </w:r>
      <w:proofErr w:type="spellStart"/>
      <w:r w:rsidR="00471B51">
        <w:rPr>
          <w:rFonts w:eastAsia="Times New Roman" w:cstheme="minorHAnsi"/>
          <w:i w:val="0"/>
          <w:snapToGrid w:val="0"/>
          <w:szCs w:val="24"/>
          <w:lang w:eastAsia="en-US"/>
        </w:rPr>
        <w:t>dabrafenib</w:t>
      </w:r>
      <w:proofErr w:type="spellEnd"/>
      <w:r w:rsidR="00471B51">
        <w:rPr>
          <w:rFonts w:eastAsia="Times New Roman" w:cstheme="minorHAnsi"/>
          <w:i w:val="0"/>
          <w:snapToGrid w:val="0"/>
          <w:szCs w:val="24"/>
          <w:lang w:eastAsia="en-US"/>
        </w:rPr>
        <w:t xml:space="preserve"> and </w:t>
      </w:r>
      <w:proofErr w:type="spellStart"/>
      <w:r w:rsidR="00471B51">
        <w:rPr>
          <w:rFonts w:eastAsia="Times New Roman" w:cstheme="minorHAnsi"/>
          <w:i w:val="0"/>
          <w:snapToGrid w:val="0"/>
          <w:szCs w:val="24"/>
          <w:lang w:eastAsia="en-US"/>
        </w:rPr>
        <w:t>trametinib</w:t>
      </w:r>
      <w:proofErr w:type="spellEnd"/>
      <w:r w:rsidRPr="00D663E2">
        <w:rPr>
          <w:rFonts w:eastAsia="Times New Roman" w:cstheme="minorHAnsi"/>
          <w:i w:val="0"/>
          <w:snapToGrid w:val="0"/>
          <w:szCs w:val="24"/>
          <w:lang w:eastAsia="en-US"/>
        </w:rPr>
        <w:t xml:space="preserve"> in the </w:t>
      </w:r>
      <w:proofErr w:type="spellStart"/>
      <w:r w:rsidRPr="00D663E2">
        <w:rPr>
          <w:rFonts w:eastAsia="Times New Roman" w:cstheme="minorHAnsi"/>
          <w:i w:val="0"/>
          <w:snapToGrid w:val="0"/>
          <w:szCs w:val="24"/>
          <w:lang w:eastAsia="en-US"/>
        </w:rPr>
        <w:t>unresectable</w:t>
      </w:r>
      <w:proofErr w:type="spellEnd"/>
      <w:r w:rsidRPr="00D663E2">
        <w:rPr>
          <w:rFonts w:eastAsia="Times New Roman" w:cstheme="minorHAnsi"/>
          <w:i w:val="0"/>
          <w:snapToGrid w:val="0"/>
          <w:szCs w:val="24"/>
          <w:lang w:eastAsia="en-US"/>
        </w:rPr>
        <w:t xml:space="preserve"> or metastatic setting and includes administration costs. </w:t>
      </w:r>
    </w:p>
    <w:p w:rsidR="00471B51" w:rsidRPr="0031400A" w:rsidRDefault="00471B51" w:rsidP="002169C9">
      <w:pPr>
        <w:pStyle w:val="Tabletitles"/>
        <w:keepNext/>
        <w:spacing w:after="0"/>
        <w:rPr>
          <w:snapToGrid w:val="0"/>
        </w:rPr>
      </w:pPr>
      <w:r w:rsidRPr="0031400A">
        <w:lastRenderedPageBreak/>
        <w:t xml:space="preserve">Table </w:t>
      </w:r>
      <w:r w:rsidR="000F3945">
        <w:t>3</w:t>
      </w:r>
      <w:r w:rsidRPr="0031400A">
        <w:rPr>
          <w:snapToGrid w:val="0"/>
        </w:rPr>
        <w:t xml:space="preserve">: Cost-minimisation analysis </w:t>
      </w:r>
      <w:r w:rsidR="00062280">
        <w:rPr>
          <w:snapToGrid w:val="0"/>
        </w:rPr>
        <w:t xml:space="preserve">between </w:t>
      </w:r>
      <w:proofErr w:type="spellStart"/>
      <w:r w:rsidR="00062280">
        <w:rPr>
          <w:snapToGrid w:val="0"/>
        </w:rPr>
        <w:t>pembrolizumab</w:t>
      </w:r>
      <w:proofErr w:type="spellEnd"/>
      <w:r w:rsidR="00062280">
        <w:rPr>
          <w:snapToGrid w:val="0"/>
        </w:rPr>
        <w:t xml:space="preserve"> and </w:t>
      </w:r>
      <w:proofErr w:type="spellStart"/>
      <w:r w:rsidR="00062280">
        <w:rPr>
          <w:snapToGrid w:val="0"/>
        </w:rPr>
        <w:t>dabrafenib</w:t>
      </w:r>
      <w:proofErr w:type="spellEnd"/>
      <w:r w:rsidR="008A06F4">
        <w:rPr>
          <w:snapToGrid w:val="0"/>
        </w:rPr>
        <w:t xml:space="preserve"> </w:t>
      </w:r>
      <w:r w:rsidR="00062280">
        <w:rPr>
          <w:snapToGrid w:val="0"/>
        </w:rPr>
        <w:t>+</w:t>
      </w:r>
      <w:r w:rsidR="008A06F4">
        <w:rPr>
          <w:snapToGrid w:val="0"/>
        </w:rPr>
        <w:t xml:space="preserve"> </w:t>
      </w:r>
      <w:proofErr w:type="spellStart"/>
      <w:r w:rsidR="00062280">
        <w:rPr>
          <w:snapToGrid w:val="0"/>
        </w:rPr>
        <w:t>trametinib</w:t>
      </w:r>
      <w:proofErr w:type="spellEnd"/>
      <w:r w:rsidRPr="0031400A">
        <w:rPr>
          <w:snapToGrid w:val="0"/>
        </w:rPr>
        <w:t xml:space="preserve">, </w:t>
      </w:r>
      <w:r w:rsidR="00062280">
        <w:rPr>
          <w:snapToGrid w:val="0"/>
        </w:rPr>
        <w:t xml:space="preserve">without </w:t>
      </w:r>
      <w:r w:rsidRPr="0031400A">
        <w:rPr>
          <w:snapToGrid w:val="0"/>
        </w:rPr>
        <w:t>consider</w:t>
      </w:r>
      <w:r w:rsidR="00062280">
        <w:rPr>
          <w:snapToGrid w:val="0"/>
        </w:rPr>
        <w:t>ation of t</w:t>
      </w:r>
      <w:r w:rsidRPr="0031400A">
        <w:rPr>
          <w:snapToGrid w:val="0"/>
        </w:rPr>
        <w:t>reatment duration</w:t>
      </w:r>
    </w:p>
    <w:tbl>
      <w:tblPr>
        <w:tblStyle w:val="ASDTable4"/>
        <w:tblW w:w="0" w:type="auto"/>
        <w:tblLayout w:type="fixed"/>
        <w:tblLook w:val="04A0" w:firstRow="1" w:lastRow="0" w:firstColumn="1" w:lastColumn="0" w:noHBand="0" w:noVBand="1"/>
        <w:tblCaption w:val="Table 3: Cost-minimisation analysis between pembrolizumab and dabrafenib + trametinib, without consideration of treatment duration"/>
      </w:tblPr>
      <w:tblGrid>
        <w:gridCol w:w="421"/>
        <w:gridCol w:w="3860"/>
        <w:gridCol w:w="2660"/>
        <w:gridCol w:w="2075"/>
      </w:tblGrid>
      <w:tr w:rsidR="00471B51" w:rsidRPr="00471B51" w:rsidTr="00643DA7">
        <w:trPr>
          <w:tblHeader/>
        </w:trPr>
        <w:tc>
          <w:tcPr>
            <w:tcW w:w="421" w:type="dxa"/>
            <w:tcMar>
              <w:left w:w="28" w:type="dxa"/>
              <w:right w:w="28" w:type="dxa"/>
            </w:tcMar>
          </w:tcPr>
          <w:p w:rsidR="00471B51" w:rsidRPr="00471B51" w:rsidRDefault="00471B51" w:rsidP="002169C9">
            <w:pPr>
              <w:keepNext/>
              <w:keepLines/>
              <w:jc w:val="center"/>
              <w:rPr>
                <w:rFonts w:ascii="Arial Narrow" w:eastAsiaTheme="minorHAnsi" w:hAnsi="Arial Narrow" w:cs="Arial"/>
                <w:snapToGrid w:val="0"/>
                <w:sz w:val="20"/>
                <w:szCs w:val="20"/>
              </w:rPr>
            </w:pPr>
            <w:r w:rsidRPr="00471B51">
              <w:rPr>
                <w:rFonts w:ascii="Arial Narrow" w:eastAsiaTheme="minorHAnsi" w:hAnsi="Arial Narrow" w:cs="Arial"/>
                <w:snapToGrid w:val="0"/>
                <w:sz w:val="20"/>
                <w:szCs w:val="20"/>
              </w:rPr>
              <w:t>A</w:t>
            </w:r>
          </w:p>
        </w:tc>
        <w:tc>
          <w:tcPr>
            <w:tcW w:w="3860" w:type="dxa"/>
            <w:tcMar>
              <w:left w:w="28" w:type="dxa"/>
              <w:right w:w="28" w:type="dxa"/>
            </w:tcMar>
          </w:tcPr>
          <w:p w:rsidR="00471B51" w:rsidRPr="00471B51" w:rsidRDefault="00471B51" w:rsidP="002169C9">
            <w:pPr>
              <w:keepNext/>
              <w:keepLines/>
              <w:jc w:val="both"/>
              <w:rPr>
                <w:rFonts w:ascii="Arial Narrow" w:eastAsiaTheme="minorHAnsi" w:hAnsi="Arial Narrow" w:cs="Arial"/>
                <w:snapToGrid w:val="0"/>
                <w:sz w:val="20"/>
                <w:szCs w:val="20"/>
              </w:rPr>
            </w:pPr>
            <w:r w:rsidRPr="00471B51">
              <w:rPr>
                <w:rFonts w:ascii="Arial Narrow" w:hAnsi="Arial Narrow" w:cs="Arial"/>
                <w:sz w:val="20"/>
                <w:szCs w:val="20"/>
              </w:rPr>
              <w:t>AEMP for 30 day supply of DAB</w:t>
            </w:r>
          </w:p>
        </w:tc>
        <w:tc>
          <w:tcPr>
            <w:tcW w:w="2660" w:type="dxa"/>
            <w:tcMar>
              <w:left w:w="28" w:type="dxa"/>
              <w:right w:w="28" w:type="dxa"/>
            </w:tcMar>
          </w:tcPr>
          <w:p w:rsidR="00471B51" w:rsidRPr="00471B51" w:rsidRDefault="00471B51" w:rsidP="002169C9">
            <w:pPr>
              <w:keepNext/>
              <w:keepLines/>
              <w:jc w:val="center"/>
              <w:rPr>
                <w:rFonts w:ascii="Arial Narrow" w:eastAsiaTheme="minorHAnsi" w:hAnsi="Arial Narrow" w:cs="Arial"/>
                <w:snapToGrid w:val="0"/>
                <w:sz w:val="20"/>
                <w:szCs w:val="20"/>
              </w:rPr>
            </w:pPr>
            <w:r w:rsidRPr="00471B51">
              <w:rPr>
                <w:rFonts w:ascii="Arial Narrow" w:hAnsi="Arial Narrow" w:cs="Arial"/>
                <w:sz w:val="20"/>
                <w:szCs w:val="20"/>
              </w:rPr>
              <w:t>1* $</w:t>
            </w:r>
            <w:r w:rsidRPr="00B71310">
              <w:rPr>
                <w:rFonts w:ascii="Arial Narrow" w:hAnsi="Arial Narrow" w:cs="Arial"/>
                <w:sz w:val="20"/>
                <w:szCs w:val="20"/>
              </w:rPr>
              <w:t>8,181.56</w:t>
            </w:r>
          </w:p>
        </w:tc>
        <w:tc>
          <w:tcPr>
            <w:tcW w:w="2075" w:type="dxa"/>
            <w:tcMar>
              <w:left w:w="28" w:type="dxa"/>
              <w:right w:w="28" w:type="dxa"/>
            </w:tcMar>
          </w:tcPr>
          <w:p w:rsidR="00471B51" w:rsidRPr="00471B51" w:rsidRDefault="00471B51" w:rsidP="002169C9">
            <w:pPr>
              <w:keepNext/>
              <w:keepLines/>
              <w:jc w:val="center"/>
              <w:rPr>
                <w:rFonts w:ascii="Arial Narrow" w:eastAsiaTheme="minorHAnsi" w:hAnsi="Arial Narrow" w:cs="Arial"/>
                <w:snapToGrid w:val="0"/>
                <w:sz w:val="20"/>
                <w:szCs w:val="20"/>
              </w:rPr>
            </w:pPr>
            <w:r w:rsidRPr="00471B51">
              <w:rPr>
                <w:rFonts w:ascii="Arial Narrow" w:hAnsi="Arial Narrow" w:cs="Arial"/>
                <w:sz w:val="20"/>
                <w:szCs w:val="20"/>
              </w:rPr>
              <w:t>$</w:t>
            </w:r>
            <w:r w:rsidRPr="00B71310">
              <w:rPr>
                <w:rFonts w:ascii="Arial Narrow" w:hAnsi="Arial Narrow" w:cs="Arial"/>
                <w:sz w:val="20"/>
                <w:szCs w:val="20"/>
              </w:rPr>
              <w:t>8,181.56</w:t>
            </w:r>
          </w:p>
        </w:tc>
      </w:tr>
      <w:tr w:rsidR="00471B51" w:rsidRPr="00471B51" w:rsidTr="00A05661">
        <w:tc>
          <w:tcPr>
            <w:tcW w:w="421" w:type="dxa"/>
            <w:tcMar>
              <w:left w:w="28" w:type="dxa"/>
              <w:right w:w="28" w:type="dxa"/>
            </w:tcMar>
          </w:tcPr>
          <w:p w:rsidR="00471B51" w:rsidRPr="00471B51" w:rsidRDefault="00471B51" w:rsidP="002169C9">
            <w:pPr>
              <w:keepNext/>
              <w:keepLines/>
              <w:jc w:val="center"/>
              <w:rPr>
                <w:rFonts w:ascii="Arial Narrow" w:eastAsiaTheme="minorHAnsi" w:hAnsi="Arial Narrow" w:cs="Arial"/>
                <w:snapToGrid w:val="0"/>
                <w:sz w:val="20"/>
                <w:szCs w:val="20"/>
              </w:rPr>
            </w:pPr>
            <w:r w:rsidRPr="00471B51">
              <w:rPr>
                <w:rFonts w:ascii="Arial Narrow" w:eastAsiaTheme="minorHAnsi" w:hAnsi="Arial Narrow" w:cs="Arial"/>
                <w:snapToGrid w:val="0"/>
                <w:sz w:val="20"/>
                <w:szCs w:val="20"/>
              </w:rPr>
              <w:t>B</w:t>
            </w:r>
          </w:p>
        </w:tc>
        <w:tc>
          <w:tcPr>
            <w:tcW w:w="3860" w:type="dxa"/>
            <w:tcMar>
              <w:left w:w="28" w:type="dxa"/>
              <w:right w:w="28" w:type="dxa"/>
            </w:tcMar>
          </w:tcPr>
          <w:p w:rsidR="00471B51" w:rsidRPr="00471B51" w:rsidRDefault="00471B51" w:rsidP="002169C9">
            <w:pPr>
              <w:keepNext/>
              <w:keepLines/>
              <w:jc w:val="both"/>
              <w:rPr>
                <w:rFonts w:ascii="Arial Narrow" w:eastAsiaTheme="minorHAnsi" w:hAnsi="Arial Narrow" w:cs="Arial"/>
                <w:snapToGrid w:val="0"/>
                <w:sz w:val="20"/>
                <w:szCs w:val="20"/>
              </w:rPr>
            </w:pPr>
            <w:r w:rsidRPr="00471B51">
              <w:rPr>
                <w:rFonts w:ascii="Arial Narrow" w:hAnsi="Arial Narrow" w:cs="Arial"/>
                <w:sz w:val="20"/>
                <w:szCs w:val="20"/>
              </w:rPr>
              <w:t>AEMP for 30 day supply of TRAM</w:t>
            </w:r>
          </w:p>
        </w:tc>
        <w:tc>
          <w:tcPr>
            <w:tcW w:w="2660" w:type="dxa"/>
            <w:tcMar>
              <w:left w:w="28" w:type="dxa"/>
              <w:right w:w="28" w:type="dxa"/>
            </w:tcMar>
          </w:tcPr>
          <w:p w:rsidR="00471B51" w:rsidRPr="00471B51" w:rsidRDefault="00471B51" w:rsidP="002169C9">
            <w:pPr>
              <w:keepNext/>
              <w:keepLines/>
              <w:jc w:val="center"/>
              <w:rPr>
                <w:rFonts w:ascii="Arial Narrow" w:eastAsiaTheme="minorHAnsi" w:hAnsi="Arial Narrow" w:cs="Arial"/>
                <w:snapToGrid w:val="0"/>
                <w:sz w:val="20"/>
                <w:szCs w:val="20"/>
              </w:rPr>
            </w:pPr>
            <w:r w:rsidRPr="00471B51">
              <w:rPr>
                <w:rFonts w:ascii="Arial Narrow" w:hAnsi="Arial Narrow" w:cs="Arial"/>
                <w:sz w:val="20"/>
                <w:szCs w:val="20"/>
              </w:rPr>
              <w:t>1 * $</w:t>
            </w:r>
            <w:r w:rsidRPr="00B71310">
              <w:rPr>
                <w:rFonts w:ascii="Arial Narrow" w:hAnsi="Arial Narrow" w:cs="Arial"/>
                <w:sz w:val="20"/>
                <w:szCs w:val="20"/>
              </w:rPr>
              <w:t>8,612.17</w:t>
            </w:r>
          </w:p>
        </w:tc>
        <w:tc>
          <w:tcPr>
            <w:tcW w:w="2075" w:type="dxa"/>
            <w:tcMar>
              <w:left w:w="28" w:type="dxa"/>
              <w:right w:w="28" w:type="dxa"/>
            </w:tcMar>
          </w:tcPr>
          <w:p w:rsidR="00471B51" w:rsidRPr="00471B51" w:rsidRDefault="00471B51" w:rsidP="002169C9">
            <w:pPr>
              <w:keepNext/>
              <w:keepLines/>
              <w:jc w:val="center"/>
              <w:rPr>
                <w:rFonts w:ascii="Arial Narrow" w:eastAsiaTheme="minorHAnsi" w:hAnsi="Arial Narrow" w:cs="Arial"/>
                <w:snapToGrid w:val="0"/>
                <w:sz w:val="20"/>
                <w:szCs w:val="20"/>
              </w:rPr>
            </w:pPr>
            <w:r w:rsidRPr="00471B51">
              <w:rPr>
                <w:rFonts w:ascii="Arial Narrow" w:hAnsi="Arial Narrow" w:cs="Arial"/>
                <w:sz w:val="20"/>
                <w:szCs w:val="20"/>
              </w:rPr>
              <w:t>$</w:t>
            </w:r>
            <w:r w:rsidRPr="00B71310">
              <w:rPr>
                <w:rFonts w:ascii="Arial Narrow" w:hAnsi="Arial Narrow" w:cs="Arial"/>
                <w:sz w:val="20"/>
                <w:szCs w:val="20"/>
              </w:rPr>
              <w:t>8,612.17</w:t>
            </w:r>
          </w:p>
        </w:tc>
      </w:tr>
      <w:tr w:rsidR="00471B51" w:rsidRPr="00471B51" w:rsidTr="00A05661">
        <w:tc>
          <w:tcPr>
            <w:tcW w:w="421" w:type="dxa"/>
            <w:tcMar>
              <w:left w:w="28" w:type="dxa"/>
              <w:right w:w="28" w:type="dxa"/>
            </w:tcMar>
          </w:tcPr>
          <w:p w:rsidR="00471B51" w:rsidRPr="00471B51" w:rsidRDefault="00471B51" w:rsidP="002169C9">
            <w:pPr>
              <w:keepNext/>
              <w:keepLines/>
              <w:jc w:val="center"/>
              <w:rPr>
                <w:rFonts w:ascii="Arial Narrow" w:eastAsiaTheme="minorHAnsi" w:hAnsi="Arial Narrow" w:cs="Arial"/>
                <w:snapToGrid w:val="0"/>
                <w:sz w:val="20"/>
                <w:szCs w:val="20"/>
              </w:rPr>
            </w:pPr>
            <w:r w:rsidRPr="00471B51">
              <w:rPr>
                <w:rFonts w:ascii="Arial Narrow" w:eastAsiaTheme="minorHAnsi" w:hAnsi="Arial Narrow" w:cs="Arial"/>
                <w:snapToGrid w:val="0"/>
                <w:sz w:val="20"/>
                <w:szCs w:val="20"/>
              </w:rPr>
              <w:t>C</w:t>
            </w:r>
          </w:p>
        </w:tc>
        <w:tc>
          <w:tcPr>
            <w:tcW w:w="3860" w:type="dxa"/>
            <w:tcMar>
              <w:left w:w="28" w:type="dxa"/>
              <w:right w:w="28" w:type="dxa"/>
            </w:tcMar>
          </w:tcPr>
          <w:p w:rsidR="00471B51" w:rsidRPr="00471B51" w:rsidRDefault="00471B51" w:rsidP="002169C9">
            <w:pPr>
              <w:keepNext/>
              <w:keepLines/>
              <w:jc w:val="both"/>
              <w:rPr>
                <w:rFonts w:ascii="Arial Narrow" w:eastAsiaTheme="minorHAnsi" w:hAnsi="Arial Narrow" w:cs="Arial"/>
                <w:snapToGrid w:val="0"/>
                <w:sz w:val="20"/>
                <w:szCs w:val="20"/>
              </w:rPr>
            </w:pPr>
            <w:r w:rsidRPr="00471B51">
              <w:rPr>
                <w:rFonts w:ascii="Arial Narrow" w:hAnsi="Arial Narrow" w:cs="Arial"/>
                <w:sz w:val="20"/>
                <w:szCs w:val="20"/>
              </w:rPr>
              <w:t>AEMP for 30 day supply of DAB+TRAM</w:t>
            </w:r>
          </w:p>
        </w:tc>
        <w:tc>
          <w:tcPr>
            <w:tcW w:w="2660" w:type="dxa"/>
            <w:tcMar>
              <w:left w:w="28" w:type="dxa"/>
              <w:right w:w="28" w:type="dxa"/>
            </w:tcMar>
          </w:tcPr>
          <w:p w:rsidR="00471B51" w:rsidRPr="00471B51" w:rsidRDefault="00471B51" w:rsidP="002169C9">
            <w:pPr>
              <w:keepNext/>
              <w:keepLines/>
              <w:jc w:val="center"/>
              <w:rPr>
                <w:rFonts w:ascii="Arial Narrow" w:eastAsiaTheme="minorHAnsi" w:hAnsi="Arial Narrow" w:cs="Arial"/>
                <w:snapToGrid w:val="0"/>
                <w:sz w:val="20"/>
                <w:szCs w:val="20"/>
              </w:rPr>
            </w:pPr>
            <w:r w:rsidRPr="00471B51">
              <w:rPr>
                <w:rFonts w:ascii="Arial Narrow" w:hAnsi="Arial Narrow" w:cs="Arial"/>
                <w:sz w:val="20"/>
                <w:szCs w:val="20"/>
              </w:rPr>
              <w:t>A + B</w:t>
            </w:r>
          </w:p>
        </w:tc>
        <w:tc>
          <w:tcPr>
            <w:tcW w:w="2075" w:type="dxa"/>
            <w:tcMar>
              <w:left w:w="28" w:type="dxa"/>
              <w:right w:w="28" w:type="dxa"/>
            </w:tcMar>
          </w:tcPr>
          <w:p w:rsidR="00471B51" w:rsidRPr="00471B51" w:rsidRDefault="00471B51" w:rsidP="002169C9">
            <w:pPr>
              <w:keepNext/>
              <w:keepLines/>
              <w:jc w:val="center"/>
              <w:rPr>
                <w:rFonts w:ascii="Arial Narrow" w:eastAsiaTheme="minorHAnsi" w:hAnsi="Arial Narrow" w:cs="Arial"/>
                <w:snapToGrid w:val="0"/>
                <w:sz w:val="20"/>
                <w:szCs w:val="20"/>
              </w:rPr>
            </w:pPr>
            <w:r w:rsidRPr="00471B51">
              <w:rPr>
                <w:rFonts w:ascii="Arial Narrow" w:hAnsi="Arial Narrow" w:cs="Arial"/>
                <w:sz w:val="20"/>
                <w:szCs w:val="20"/>
              </w:rPr>
              <w:t>$</w:t>
            </w:r>
            <w:r w:rsidRPr="00B71310">
              <w:rPr>
                <w:rFonts w:ascii="Arial Narrow" w:hAnsi="Arial Narrow" w:cs="Arial"/>
                <w:sz w:val="20"/>
                <w:szCs w:val="20"/>
              </w:rPr>
              <w:t>16,793.73</w:t>
            </w:r>
          </w:p>
        </w:tc>
      </w:tr>
      <w:tr w:rsidR="00471B51" w:rsidRPr="00471B51" w:rsidTr="00A05661">
        <w:tc>
          <w:tcPr>
            <w:tcW w:w="421" w:type="dxa"/>
            <w:tcMar>
              <w:left w:w="28" w:type="dxa"/>
              <w:right w:w="28" w:type="dxa"/>
            </w:tcMar>
          </w:tcPr>
          <w:p w:rsidR="00471B51" w:rsidRPr="00471B51" w:rsidRDefault="00471B51" w:rsidP="002169C9">
            <w:pPr>
              <w:keepNext/>
              <w:keepLines/>
              <w:jc w:val="center"/>
              <w:rPr>
                <w:rFonts w:ascii="Arial Narrow" w:eastAsiaTheme="minorHAnsi" w:hAnsi="Arial Narrow" w:cs="Arial"/>
                <w:snapToGrid w:val="0"/>
                <w:sz w:val="20"/>
                <w:szCs w:val="20"/>
              </w:rPr>
            </w:pPr>
            <w:r w:rsidRPr="00471B51">
              <w:rPr>
                <w:rFonts w:ascii="Arial Narrow" w:eastAsiaTheme="minorHAnsi" w:hAnsi="Arial Narrow" w:cs="Arial"/>
                <w:snapToGrid w:val="0"/>
                <w:sz w:val="20"/>
                <w:szCs w:val="20"/>
              </w:rPr>
              <w:t>D</w:t>
            </w:r>
          </w:p>
        </w:tc>
        <w:tc>
          <w:tcPr>
            <w:tcW w:w="3860" w:type="dxa"/>
            <w:tcMar>
              <w:left w:w="28" w:type="dxa"/>
              <w:right w:w="28" w:type="dxa"/>
            </w:tcMar>
          </w:tcPr>
          <w:p w:rsidR="00471B51" w:rsidRPr="00471B51" w:rsidRDefault="00471B51" w:rsidP="002169C9">
            <w:pPr>
              <w:keepNext/>
              <w:keepLines/>
              <w:jc w:val="both"/>
              <w:rPr>
                <w:rFonts w:ascii="Arial Narrow" w:eastAsiaTheme="minorHAnsi" w:hAnsi="Arial Narrow" w:cs="Arial"/>
                <w:snapToGrid w:val="0"/>
                <w:sz w:val="20"/>
                <w:szCs w:val="20"/>
              </w:rPr>
            </w:pPr>
            <w:r w:rsidRPr="00471B51">
              <w:rPr>
                <w:rFonts w:ascii="Arial Narrow" w:hAnsi="Arial Narrow" w:cs="Arial"/>
                <w:sz w:val="20"/>
                <w:szCs w:val="20"/>
              </w:rPr>
              <w:t>AEMP for years supply of</w:t>
            </w:r>
            <w:r w:rsidR="00E44CFA">
              <w:rPr>
                <w:rFonts w:ascii="Arial Narrow" w:hAnsi="Arial Narrow" w:cs="Arial"/>
                <w:sz w:val="20"/>
                <w:szCs w:val="20"/>
              </w:rPr>
              <w:t xml:space="preserve"> </w:t>
            </w:r>
            <w:r w:rsidRPr="00471B51">
              <w:rPr>
                <w:rFonts w:ascii="Arial Narrow" w:hAnsi="Arial Narrow" w:cs="Arial"/>
                <w:sz w:val="20"/>
                <w:szCs w:val="20"/>
              </w:rPr>
              <w:t>DAB+TRAM</w:t>
            </w:r>
          </w:p>
        </w:tc>
        <w:tc>
          <w:tcPr>
            <w:tcW w:w="2660" w:type="dxa"/>
            <w:tcMar>
              <w:left w:w="28" w:type="dxa"/>
              <w:right w:w="28" w:type="dxa"/>
            </w:tcMar>
          </w:tcPr>
          <w:p w:rsidR="00471B51" w:rsidRPr="00471B51" w:rsidRDefault="00471B51" w:rsidP="002169C9">
            <w:pPr>
              <w:keepNext/>
              <w:keepLines/>
              <w:jc w:val="center"/>
              <w:rPr>
                <w:rFonts w:ascii="Arial Narrow" w:eastAsiaTheme="minorHAnsi" w:hAnsi="Arial Narrow" w:cs="Arial"/>
                <w:snapToGrid w:val="0"/>
                <w:sz w:val="20"/>
                <w:szCs w:val="20"/>
                <w:vertAlign w:val="superscript"/>
              </w:rPr>
            </w:pPr>
            <w:r w:rsidRPr="00471B51">
              <w:rPr>
                <w:rFonts w:ascii="Arial Narrow" w:hAnsi="Arial Narrow" w:cs="Arial"/>
                <w:sz w:val="20"/>
                <w:szCs w:val="20"/>
              </w:rPr>
              <w:t>C * 12.18</w:t>
            </w:r>
            <w:r w:rsidRPr="00471B51">
              <w:rPr>
                <w:rFonts w:ascii="Arial Narrow" w:hAnsi="Arial Narrow" w:cs="Arial"/>
                <w:sz w:val="20"/>
                <w:szCs w:val="20"/>
                <w:vertAlign w:val="superscript"/>
              </w:rPr>
              <w:t>a</w:t>
            </w:r>
          </w:p>
        </w:tc>
        <w:tc>
          <w:tcPr>
            <w:tcW w:w="2075" w:type="dxa"/>
            <w:tcMar>
              <w:left w:w="28" w:type="dxa"/>
              <w:right w:w="28" w:type="dxa"/>
            </w:tcMar>
          </w:tcPr>
          <w:p w:rsidR="00471B51" w:rsidRPr="00471B51" w:rsidRDefault="00471B51" w:rsidP="002169C9">
            <w:pPr>
              <w:keepNext/>
              <w:keepLines/>
              <w:jc w:val="center"/>
              <w:rPr>
                <w:rFonts w:ascii="Arial Narrow" w:eastAsiaTheme="minorHAnsi" w:hAnsi="Arial Narrow" w:cs="Arial"/>
                <w:snapToGrid w:val="0"/>
                <w:sz w:val="20"/>
                <w:szCs w:val="20"/>
              </w:rPr>
            </w:pPr>
            <w:r w:rsidRPr="00471B51">
              <w:rPr>
                <w:rFonts w:ascii="Arial Narrow" w:hAnsi="Arial Narrow" w:cs="Arial"/>
                <w:sz w:val="20"/>
                <w:szCs w:val="20"/>
              </w:rPr>
              <w:t>$</w:t>
            </w:r>
            <w:r w:rsidRPr="00B71310">
              <w:rPr>
                <w:rFonts w:ascii="Arial Narrow" w:hAnsi="Arial Narrow" w:cs="Arial"/>
                <w:sz w:val="20"/>
                <w:szCs w:val="20"/>
              </w:rPr>
              <w:t>204,463.66</w:t>
            </w:r>
          </w:p>
        </w:tc>
      </w:tr>
      <w:tr w:rsidR="00471B51" w:rsidRPr="00471B51" w:rsidTr="00A05661">
        <w:tc>
          <w:tcPr>
            <w:tcW w:w="421" w:type="dxa"/>
            <w:tcMar>
              <w:left w:w="28" w:type="dxa"/>
              <w:right w:w="28" w:type="dxa"/>
            </w:tcMar>
          </w:tcPr>
          <w:p w:rsidR="00471B51" w:rsidRPr="00471B51" w:rsidRDefault="00471B51" w:rsidP="002169C9">
            <w:pPr>
              <w:keepNext/>
              <w:keepLines/>
              <w:jc w:val="center"/>
              <w:rPr>
                <w:rFonts w:ascii="Arial Narrow" w:hAnsi="Arial Narrow" w:cs="Arial"/>
                <w:snapToGrid w:val="0"/>
                <w:sz w:val="20"/>
                <w:szCs w:val="20"/>
              </w:rPr>
            </w:pPr>
            <w:r w:rsidRPr="00471B51">
              <w:rPr>
                <w:rFonts w:ascii="Arial Narrow" w:eastAsiaTheme="minorHAnsi" w:hAnsi="Arial Narrow" w:cs="Arial"/>
                <w:snapToGrid w:val="0"/>
                <w:sz w:val="20"/>
                <w:szCs w:val="20"/>
              </w:rPr>
              <w:t>E</w:t>
            </w:r>
          </w:p>
        </w:tc>
        <w:tc>
          <w:tcPr>
            <w:tcW w:w="3860" w:type="dxa"/>
            <w:tcMar>
              <w:left w:w="28" w:type="dxa"/>
              <w:right w:w="28" w:type="dxa"/>
            </w:tcMar>
          </w:tcPr>
          <w:p w:rsidR="00471B51" w:rsidRPr="00471B51" w:rsidRDefault="00471B51" w:rsidP="002169C9">
            <w:pPr>
              <w:keepNext/>
              <w:keepLines/>
              <w:jc w:val="both"/>
              <w:rPr>
                <w:rFonts w:ascii="Arial Narrow" w:hAnsi="Arial Narrow" w:cs="Arial"/>
                <w:snapToGrid w:val="0"/>
                <w:sz w:val="20"/>
                <w:szCs w:val="20"/>
              </w:rPr>
            </w:pPr>
            <w:r w:rsidRPr="00471B51">
              <w:rPr>
                <w:rFonts w:ascii="Arial Narrow" w:hAnsi="Arial Narrow" w:cs="Arial"/>
                <w:sz w:val="20"/>
                <w:szCs w:val="20"/>
              </w:rPr>
              <w:t>Cost of testing for BRAF mutation</w:t>
            </w:r>
          </w:p>
        </w:tc>
        <w:tc>
          <w:tcPr>
            <w:tcW w:w="2660" w:type="dxa"/>
            <w:tcMar>
              <w:left w:w="28" w:type="dxa"/>
              <w:right w:w="28" w:type="dxa"/>
            </w:tcMar>
          </w:tcPr>
          <w:p w:rsidR="00471B51" w:rsidRPr="00471B51" w:rsidRDefault="00471B51" w:rsidP="002169C9">
            <w:pPr>
              <w:keepNext/>
              <w:keepLines/>
              <w:jc w:val="center"/>
              <w:rPr>
                <w:rFonts w:ascii="Arial Narrow" w:hAnsi="Arial Narrow" w:cs="Arial"/>
                <w:snapToGrid w:val="0"/>
                <w:sz w:val="20"/>
                <w:szCs w:val="20"/>
                <w:vertAlign w:val="superscript"/>
              </w:rPr>
            </w:pPr>
            <w:r w:rsidRPr="00471B51">
              <w:rPr>
                <w:rFonts w:ascii="Arial Narrow" w:hAnsi="Arial Narrow" w:cs="Arial"/>
                <w:sz w:val="20"/>
                <w:szCs w:val="20"/>
              </w:rPr>
              <w:t>$230.95</w:t>
            </w:r>
            <w:r w:rsidR="00E5647A">
              <w:rPr>
                <w:rFonts w:ascii="Arial Narrow" w:hAnsi="Arial Narrow" w:cs="Arial"/>
                <w:sz w:val="20"/>
                <w:szCs w:val="20"/>
                <w:vertAlign w:val="superscript"/>
              </w:rPr>
              <w:t>b</w:t>
            </w:r>
          </w:p>
        </w:tc>
        <w:tc>
          <w:tcPr>
            <w:tcW w:w="2075" w:type="dxa"/>
            <w:tcMar>
              <w:left w:w="28" w:type="dxa"/>
              <w:right w:w="28" w:type="dxa"/>
            </w:tcMar>
          </w:tcPr>
          <w:p w:rsidR="00471B51" w:rsidRPr="00471B51" w:rsidRDefault="00471B51" w:rsidP="002169C9">
            <w:pPr>
              <w:keepNext/>
              <w:keepLines/>
              <w:jc w:val="center"/>
              <w:rPr>
                <w:rFonts w:ascii="Arial Narrow" w:hAnsi="Arial Narrow" w:cs="Arial"/>
                <w:snapToGrid w:val="0"/>
                <w:sz w:val="20"/>
                <w:szCs w:val="20"/>
              </w:rPr>
            </w:pPr>
            <w:r w:rsidRPr="00471B51">
              <w:rPr>
                <w:rFonts w:ascii="Arial Narrow" w:hAnsi="Arial Narrow" w:cs="Arial"/>
                <w:sz w:val="20"/>
                <w:szCs w:val="20"/>
              </w:rPr>
              <w:t>$230.95</w:t>
            </w:r>
          </w:p>
        </w:tc>
      </w:tr>
      <w:tr w:rsidR="00471B51" w:rsidRPr="00471B51" w:rsidTr="00A05661">
        <w:tc>
          <w:tcPr>
            <w:tcW w:w="421" w:type="dxa"/>
            <w:tcMar>
              <w:left w:w="28" w:type="dxa"/>
              <w:right w:w="28" w:type="dxa"/>
            </w:tcMar>
          </w:tcPr>
          <w:p w:rsidR="00471B51" w:rsidRPr="00471B51" w:rsidRDefault="00471B51" w:rsidP="002169C9">
            <w:pPr>
              <w:keepNext/>
              <w:keepLines/>
              <w:jc w:val="center"/>
              <w:rPr>
                <w:rFonts w:ascii="Arial Narrow" w:hAnsi="Arial Narrow" w:cs="Arial"/>
                <w:b/>
                <w:snapToGrid w:val="0"/>
                <w:sz w:val="20"/>
                <w:szCs w:val="20"/>
              </w:rPr>
            </w:pPr>
            <w:r w:rsidRPr="00471B51">
              <w:rPr>
                <w:rFonts w:ascii="Arial Narrow" w:eastAsiaTheme="minorHAnsi" w:hAnsi="Arial Narrow" w:cs="Arial"/>
                <w:b/>
                <w:snapToGrid w:val="0"/>
                <w:sz w:val="20"/>
                <w:szCs w:val="20"/>
              </w:rPr>
              <w:t>F</w:t>
            </w:r>
          </w:p>
        </w:tc>
        <w:tc>
          <w:tcPr>
            <w:tcW w:w="3860" w:type="dxa"/>
            <w:tcMar>
              <w:left w:w="28" w:type="dxa"/>
              <w:right w:w="28" w:type="dxa"/>
            </w:tcMar>
          </w:tcPr>
          <w:p w:rsidR="00471B51" w:rsidRPr="00471B51" w:rsidRDefault="00471B51" w:rsidP="002169C9">
            <w:pPr>
              <w:keepNext/>
              <w:keepLines/>
              <w:jc w:val="both"/>
              <w:rPr>
                <w:rFonts w:ascii="Arial Narrow" w:hAnsi="Arial Narrow" w:cs="Arial"/>
                <w:b/>
                <w:snapToGrid w:val="0"/>
                <w:sz w:val="20"/>
                <w:szCs w:val="20"/>
              </w:rPr>
            </w:pPr>
            <w:r w:rsidRPr="00471B51">
              <w:rPr>
                <w:rFonts w:ascii="Arial Narrow" w:hAnsi="Arial Narrow" w:cs="Arial"/>
                <w:b/>
                <w:sz w:val="20"/>
                <w:szCs w:val="20"/>
              </w:rPr>
              <w:t>Cost of DAB+TRAM patient per year</w:t>
            </w:r>
          </w:p>
        </w:tc>
        <w:tc>
          <w:tcPr>
            <w:tcW w:w="2660" w:type="dxa"/>
            <w:tcMar>
              <w:left w:w="28" w:type="dxa"/>
              <w:right w:w="28" w:type="dxa"/>
            </w:tcMar>
          </w:tcPr>
          <w:p w:rsidR="00471B51" w:rsidRPr="00471B51" w:rsidRDefault="00471B51" w:rsidP="002169C9">
            <w:pPr>
              <w:keepNext/>
              <w:keepLines/>
              <w:jc w:val="center"/>
              <w:rPr>
                <w:rFonts w:ascii="Arial Narrow" w:hAnsi="Arial Narrow" w:cs="Arial"/>
                <w:b/>
                <w:snapToGrid w:val="0"/>
                <w:sz w:val="20"/>
                <w:szCs w:val="20"/>
              </w:rPr>
            </w:pPr>
            <w:r w:rsidRPr="00471B51">
              <w:rPr>
                <w:rFonts w:ascii="Arial Narrow" w:hAnsi="Arial Narrow" w:cs="Arial"/>
                <w:b/>
                <w:sz w:val="20"/>
                <w:szCs w:val="20"/>
              </w:rPr>
              <w:t>D + E</w:t>
            </w:r>
          </w:p>
        </w:tc>
        <w:tc>
          <w:tcPr>
            <w:tcW w:w="2075" w:type="dxa"/>
            <w:tcMar>
              <w:left w:w="28" w:type="dxa"/>
              <w:right w:w="28" w:type="dxa"/>
            </w:tcMar>
          </w:tcPr>
          <w:p w:rsidR="00471B51" w:rsidRPr="00471B51" w:rsidRDefault="00471B51" w:rsidP="002169C9">
            <w:pPr>
              <w:keepNext/>
              <w:keepLines/>
              <w:jc w:val="center"/>
              <w:rPr>
                <w:rFonts w:ascii="Arial Narrow" w:hAnsi="Arial Narrow" w:cs="Arial"/>
                <w:b/>
                <w:snapToGrid w:val="0"/>
                <w:sz w:val="20"/>
                <w:szCs w:val="20"/>
              </w:rPr>
            </w:pPr>
            <w:r w:rsidRPr="00471B51">
              <w:rPr>
                <w:rFonts w:ascii="Arial Narrow" w:hAnsi="Arial Narrow" w:cs="Arial"/>
                <w:b/>
                <w:sz w:val="20"/>
                <w:szCs w:val="20"/>
              </w:rPr>
              <w:t>$</w:t>
            </w:r>
            <w:r w:rsidRPr="00B71310">
              <w:rPr>
                <w:rFonts w:ascii="Arial Narrow" w:hAnsi="Arial Narrow" w:cs="Arial"/>
                <w:b/>
                <w:sz w:val="20"/>
                <w:szCs w:val="20"/>
              </w:rPr>
              <w:t>204,694.61</w:t>
            </w:r>
          </w:p>
        </w:tc>
      </w:tr>
      <w:tr w:rsidR="00471B51" w:rsidRPr="00471B51" w:rsidTr="00A05661">
        <w:tc>
          <w:tcPr>
            <w:tcW w:w="421" w:type="dxa"/>
            <w:tcMar>
              <w:left w:w="28" w:type="dxa"/>
              <w:right w:w="28" w:type="dxa"/>
            </w:tcMar>
          </w:tcPr>
          <w:p w:rsidR="00471B51" w:rsidRPr="00471B51" w:rsidRDefault="00471B51" w:rsidP="002169C9">
            <w:pPr>
              <w:keepNext/>
              <w:keepLines/>
              <w:jc w:val="center"/>
              <w:rPr>
                <w:rFonts w:ascii="Arial Narrow" w:eastAsiaTheme="minorHAnsi" w:hAnsi="Arial Narrow" w:cs="Arial"/>
                <w:snapToGrid w:val="0"/>
                <w:sz w:val="20"/>
                <w:szCs w:val="20"/>
              </w:rPr>
            </w:pPr>
            <w:r w:rsidRPr="00471B51">
              <w:rPr>
                <w:rFonts w:ascii="Arial Narrow" w:eastAsiaTheme="minorHAnsi" w:hAnsi="Arial Narrow" w:cs="Arial"/>
                <w:snapToGrid w:val="0"/>
                <w:sz w:val="20"/>
                <w:szCs w:val="20"/>
              </w:rPr>
              <w:t>G</w:t>
            </w:r>
          </w:p>
        </w:tc>
        <w:tc>
          <w:tcPr>
            <w:tcW w:w="3860" w:type="dxa"/>
            <w:tcMar>
              <w:left w:w="28" w:type="dxa"/>
              <w:right w:w="28" w:type="dxa"/>
            </w:tcMar>
          </w:tcPr>
          <w:p w:rsidR="00471B51" w:rsidRPr="00471B51" w:rsidRDefault="00B967F2" w:rsidP="002169C9">
            <w:pPr>
              <w:keepNext/>
              <w:keepLines/>
              <w:jc w:val="both"/>
              <w:rPr>
                <w:rFonts w:ascii="Arial Narrow" w:eastAsiaTheme="minorHAnsi" w:hAnsi="Arial Narrow" w:cs="Arial"/>
                <w:snapToGrid w:val="0"/>
                <w:sz w:val="20"/>
                <w:szCs w:val="20"/>
              </w:rPr>
            </w:pPr>
            <w:r>
              <w:rPr>
                <w:rFonts w:ascii="Arial Narrow" w:hAnsi="Arial Narrow" w:cs="Arial"/>
                <w:sz w:val="20"/>
                <w:szCs w:val="20"/>
              </w:rPr>
              <w:t xml:space="preserve">Dose of PEMBRO </w:t>
            </w:r>
          </w:p>
        </w:tc>
        <w:tc>
          <w:tcPr>
            <w:tcW w:w="2660" w:type="dxa"/>
            <w:tcMar>
              <w:left w:w="28" w:type="dxa"/>
              <w:right w:w="28" w:type="dxa"/>
            </w:tcMar>
          </w:tcPr>
          <w:p w:rsidR="00471B51" w:rsidRPr="00471B51" w:rsidRDefault="00471B51" w:rsidP="002169C9">
            <w:pPr>
              <w:keepNext/>
              <w:keepLines/>
              <w:jc w:val="center"/>
              <w:rPr>
                <w:rFonts w:ascii="Arial Narrow" w:eastAsiaTheme="minorHAnsi" w:hAnsi="Arial Narrow" w:cs="Arial"/>
                <w:snapToGrid w:val="0"/>
                <w:sz w:val="20"/>
                <w:szCs w:val="20"/>
              </w:rPr>
            </w:pPr>
            <w:r w:rsidRPr="00471B51">
              <w:rPr>
                <w:rFonts w:ascii="Arial Narrow" w:hAnsi="Arial Narrow" w:cs="Arial"/>
                <w:sz w:val="20"/>
                <w:szCs w:val="20"/>
              </w:rPr>
              <w:t>-</w:t>
            </w:r>
          </w:p>
        </w:tc>
        <w:tc>
          <w:tcPr>
            <w:tcW w:w="2075" w:type="dxa"/>
            <w:tcMar>
              <w:left w:w="28" w:type="dxa"/>
              <w:right w:w="28" w:type="dxa"/>
            </w:tcMar>
          </w:tcPr>
          <w:p w:rsidR="00471B51" w:rsidRPr="00471B51" w:rsidRDefault="00471B51" w:rsidP="002169C9">
            <w:pPr>
              <w:keepNext/>
              <w:keepLines/>
              <w:jc w:val="center"/>
              <w:rPr>
                <w:rFonts w:ascii="Arial Narrow" w:eastAsiaTheme="minorHAnsi" w:hAnsi="Arial Narrow" w:cs="Arial"/>
                <w:snapToGrid w:val="0"/>
                <w:sz w:val="20"/>
                <w:szCs w:val="20"/>
              </w:rPr>
            </w:pPr>
            <w:r w:rsidRPr="00471B51">
              <w:rPr>
                <w:rFonts w:ascii="Arial Narrow" w:hAnsi="Arial Narrow" w:cs="Arial"/>
                <w:sz w:val="20"/>
                <w:szCs w:val="20"/>
              </w:rPr>
              <w:t>200</w:t>
            </w:r>
            <w:r w:rsidR="00B967F2">
              <w:rPr>
                <w:rFonts w:ascii="Arial Narrow" w:hAnsi="Arial Narrow" w:cs="Arial"/>
                <w:sz w:val="20"/>
                <w:szCs w:val="20"/>
              </w:rPr>
              <w:t xml:space="preserve"> mg Q3W</w:t>
            </w:r>
          </w:p>
        </w:tc>
      </w:tr>
      <w:tr w:rsidR="00471B51" w:rsidRPr="00471B51" w:rsidTr="00A05661">
        <w:tc>
          <w:tcPr>
            <w:tcW w:w="421" w:type="dxa"/>
            <w:tcMar>
              <w:left w:w="28" w:type="dxa"/>
              <w:right w:w="28" w:type="dxa"/>
            </w:tcMar>
          </w:tcPr>
          <w:p w:rsidR="00471B51" w:rsidRPr="00471B51" w:rsidRDefault="00471B51" w:rsidP="002169C9">
            <w:pPr>
              <w:keepNext/>
              <w:keepLines/>
              <w:jc w:val="center"/>
              <w:rPr>
                <w:rFonts w:ascii="Arial Narrow" w:eastAsiaTheme="minorHAnsi" w:hAnsi="Arial Narrow" w:cs="Arial"/>
                <w:snapToGrid w:val="0"/>
                <w:sz w:val="20"/>
                <w:szCs w:val="20"/>
              </w:rPr>
            </w:pPr>
            <w:r w:rsidRPr="00471B51">
              <w:rPr>
                <w:rFonts w:ascii="Arial Narrow" w:eastAsiaTheme="minorHAnsi" w:hAnsi="Arial Narrow" w:cs="Arial"/>
                <w:snapToGrid w:val="0"/>
                <w:sz w:val="20"/>
                <w:szCs w:val="20"/>
              </w:rPr>
              <w:t>H</w:t>
            </w:r>
          </w:p>
        </w:tc>
        <w:tc>
          <w:tcPr>
            <w:tcW w:w="3860" w:type="dxa"/>
            <w:tcMar>
              <w:left w:w="28" w:type="dxa"/>
              <w:right w:w="28" w:type="dxa"/>
            </w:tcMar>
          </w:tcPr>
          <w:p w:rsidR="00471B51" w:rsidRPr="00471B51" w:rsidRDefault="00471B51" w:rsidP="002169C9">
            <w:pPr>
              <w:keepNext/>
              <w:keepLines/>
              <w:jc w:val="both"/>
              <w:rPr>
                <w:rFonts w:ascii="Arial Narrow" w:eastAsiaTheme="minorHAnsi" w:hAnsi="Arial Narrow" w:cs="Arial"/>
                <w:snapToGrid w:val="0"/>
                <w:sz w:val="20"/>
                <w:szCs w:val="20"/>
              </w:rPr>
            </w:pPr>
            <w:r w:rsidRPr="00471B51">
              <w:rPr>
                <w:rFonts w:ascii="Arial Narrow" w:hAnsi="Arial Narrow" w:cs="Arial"/>
                <w:sz w:val="20"/>
                <w:szCs w:val="20"/>
              </w:rPr>
              <w:t xml:space="preserve">Yearly dose of PEMBRO </w:t>
            </w:r>
          </w:p>
        </w:tc>
        <w:tc>
          <w:tcPr>
            <w:tcW w:w="2660" w:type="dxa"/>
            <w:tcMar>
              <w:left w:w="28" w:type="dxa"/>
              <w:right w:w="28" w:type="dxa"/>
            </w:tcMar>
          </w:tcPr>
          <w:p w:rsidR="00471B51" w:rsidRPr="00471B51" w:rsidRDefault="00471B51" w:rsidP="002169C9">
            <w:pPr>
              <w:keepNext/>
              <w:keepLines/>
              <w:jc w:val="center"/>
              <w:rPr>
                <w:rFonts w:ascii="Arial Narrow" w:eastAsiaTheme="minorHAnsi" w:hAnsi="Arial Narrow" w:cs="Arial"/>
                <w:snapToGrid w:val="0"/>
                <w:sz w:val="20"/>
                <w:szCs w:val="20"/>
                <w:vertAlign w:val="superscript"/>
              </w:rPr>
            </w:pPr>
            <w:r w:rsidRPr="00471B51">
              <w:rPr>
                <w:rFonts w:ascii="Arial Narrow" w:hAnsi="Arial Narrow" w:cs="Arial"/>
                <w:sz w:val="20"/>
                <w:szCs w:val="20"/>
              </w:rPr>
              <w:t>G * 17.39</w:t>
            </w:r>
            <w:r w:rsidR="00E5647A">
              <w:rPr>
                <w:rFonts w:ascii="Arial Narrow" w:hAnsi="Arial Narrow" w:cs="Arial"/>
                <w:sz w:val="20"/>
                <w:szCs w:val="20"/>
                <w:vertAlign w:val="superscript"/>
              </w:rPr>
              <w:t>c</w:t>
            </w:r>
          </w:p>
        </w:tc>
        <w:tc>
          <w:tcPr>
            <w:tcW w:w="2075" w:type="dxa"/>
            <w:tcMar>
              <w:left w:w="28" w:type="dxa"/>
              <w:right w:w="28" w:type="dxa"/>
            </w:tcMar>
          </w:tcPr>
          <w:p w:rsidR="00471B51" w:rsidRPr="00471B51" w:rsidRDefault="00471B51" w:rsidP="002169C9">
            <w:pPr>
              <w:keepNext/>
              <w:keepLines/>
              <w:jc w:val="center"/>
              <w:rPr>
                <w:rFonts w:ascii="Arial Narrow" w:eastAsiaTheme="minorHAnsi" w:hAnsi="Arial Narrow" w:cs="Arial"/>
                <w:snapToGrid w:val="0"/>
                <w:sz w:val="20"/>
                <w:szCs w:val="20"/>
              </w:rPr>
            </w:pPr>
            <w:r w:rsidRPr="00471B51">
              <w:rPr>
                <w:rFonts w:ascii="Arial Narrow" w:hAnsi="Arial Narrow" w:cs="Arial"/>
                <w:sz w:val="20"/>
                <w:szCs w:val="20"/>
              </w:rPr>
              <w:t>3</w:t>
            </w:r>
            <w:r w:rsidR="00B967F2">
              <w:rPr>
                <w:rFonts w:ascii="Arial Narrow" w:hAnsi="Arial Narrow" w:cs="Arial"/>
                <w:sz w:val="20"/>
                <w:szCs w:val="20"/>
              </w:rPr>
              <w:t>,</w:t>
            </w:r>
            <w:r w:rsidRPr="00471B51">
              <w:rPr>
                <w:rFonts w:ascii="Arial Narrow" w:hAnsi="Arial Narrow" w:cs="Arial"/>
                <w:sz w:val="20"/>
                <w:szCs w:val="20"/>
              </w:rPr>
              <w:t>478.57</w:t>
            </w:r>
            <w:r w:rsidR="00B967F2">
              <w:rPr>
                <w:rFonts w:ascii="Arial Narrow" w:hAnsi="Arial Narrow" w:cs="Arial"/>
                <w:sz w:val="20"/>
                <w:szCs w:val="20"/>
              </w:rPr>
              <w:t xml:space="preserve"> mg</w:t>
            </w:r>
          </w:p>
        </w:tc>
      </w:tr>
      <w:tr w:rsidR="00471B51" w:rsidRPr="00471B51" w:rsidTr="00A05661">
        <w:tc>
          <w:tcPr>
            <w:tcW w:w="421" w:type="dxa"/>
            <w:tcMar>
              <w:left w:w="28" w:type="dxa"/>
              <w:right w:w="28" w:type="dxa"/>
            </w:tcMar>
          </w:tcPr>
          <w:p w:rsidR="00471B51" w:rsidRPr="00471B51" w:rsidRDefault="00471B51" w:rsidP="002169C9">
            <w:pPr>
              <w:keepNext/>
              <w:keepLines/>
              <w:jc w:val="center"/>
              <w:rPr>
                <w:rFonts w:ascii="Arial Narrow" w:eastAsiaTheme="minorHAnsi" w:hAnsi="Arial Narrow" w:cs="Arial"/>
                <w:snapToGrid w:val="0"/>
                <w:sz w:val="20"/>
                <w:szCs w:val="20"/>
              </w:rPr>
            </w:pPr>
            <w:r w:rsidRPr="00471B51">
              <w:rPr>
                <w:rFonts w:ascii="Arial Narrow" w:eastAsiaTheme="minorHAnsi" w:hAnsi="Arial Narrow" w:cs="Arial"/>
                <w:snapToGrid w:val="0"/>
                <w:sz w:val="20"/>
                <w:szCs w:val="20"/>
              </w:rPr>
              <w:t>I</w:t>
            </w:r>
          </w:p>
        </w:tc>
        <w:tc>
          <w:tcPr>
            <w:tcW w:w="3860" w:type="dxa"/>
            <w:tcMar>
              <w:left w:w="28" w:type="dxa"/>
              <w:right w:w="28" w:type="dxa"/>
            </w:tcMar>
          </w:tcPr>
          <w:p w:rsidR="00471B51" w:rsidRPr="00471B51" w:rsidRDefault="00471B51" w:rsidP="002169C9">
            <w:pPr>
              <w:keepNext/>
              <w:keepLines/>
              <w:jc w:val="both"/>
              <w:rPr>
                <w:rFonts w:ascii="Arial Narrow" w:eastAsiaTheme="minorHAnsi" w:hAnsi="Arial Narrow" w:cs="Arial"/>
                <w:snapToGrid w:val="0"/>
                <w:sz w:val="20"/>
                <w:szCs w:val="20"/>
              </w:rPr>
            </w:pPr>
            <w:r w:rsidRPr="00471B51">
              <w:rPr>
                <w:rFonts w:ascii="Arial Narrow" w:hAnsi="Arial Narrow" w:cs="Arial"/>
                <w:sz w:val="20"/>
                <w:szCs w:val="20"/>
              </w:rPr>
              <w:t>Cost of PEMBRO administration per year</w:t>
            </w:r>
          </w:p>
        </w:tc>
        <w:tc>
          <w:tcPr>
            <w:tcW w:w="2660" w:type="dxa"/>
            <w:tcMar>
              <w:left w:w="28" w:type="dxa"/>
              <w:right w:w="28" w:type="dxa"/>
            </w:tcMar>
          </w:tcPr>
          <w:p w:rsidR="00471B51" w:rsidRPr="00055C70" w:rsidRDefault="00471B51" w:rsidP="002169C9">
            <w:pPr>
              <w:keepNext/>
              <w:keepLines/>
              <w:jc w:val="center"/>
              <w:rPr>
                <w:rFonts w:ascii="Arial Narrow" w:eastAsiaTheme="minorHAnsi" w:hAnsi="Arial Narrow" w:cs="Arial"/>
                <w:snapToGrid w:val="0"/>
                <w:sz w:val="20"/>
                <w:szCs w:val="20"/>
                <w:vertAlign w:val="superscript"/>
              </w:rPr>
            </w:pPr>
            <w:r w:rsidRPr="00055C70">
              <w:rPr>
                <w:rFonts w:ascii="Arial Narrow" w:hAnsi="Arial Narrow" w:cs="Arial"/>
                <w:sz w:val="20"/>
                <w:szCs w:val="20"/>
              </w:rPr>
              <w:t>$66.1</w:t>
            </w:r>
            <w:r w:rsidR="009B65B8" w:rsidRPr="00055C70">
              <w:rPr>
                <w:rFonts w:ascii="Arial Narrow" w:hAnsi="Arial Narrow" w:cs="Arial"/>
                <w:sz w:val="20"/>
                <w:szCs w:val="20"/>
              </w:rPr>
              <w:t>0</w:t>
            </w:r>
            <w:r w:rsidR="009B65B8" w:rsidRPr="00055C70">
              <w:rPr>
                <w:rFonts w:ascii="Arial Narrow" w:hAnsi="Arial Narrow" w:cs="Arial"/>
                <w:sz w:val="20"/>
                <w:szCs w:val="20"/>
                <w:vertAlign w:val="superscript"/>
              </w:rPr>
              <w:t>d</w:t>
            </w:r>
            <w:r w:rsidRPr="00055C70">
              <w:rPr>
                <w:rFonts w:ascii="Arial Narrow" w:hAnsi="Arial Narrow" w:cs="Arial"/>
                <w:sz w:val="20"/>
                <w:szCs w:val="20"/>
              </w:rPr>
              <w:t xml:space="preserve"> * 17.39</w:t>
            </w:r>
            <w:r w:rsidR="00E5647A" w:rsidRPr="00055C70">
              <w:rPr>
                <w:rFonts w:ascii="Arial Narrow" w:hAnsi="Arial Narrow" w:cs="Arial"/>
                <w:sz w:val="20"/>
                <w:szCs w:val="20"/>
                <w:vertAlign w:val="superscript"/>
              </w:rPr>
              <w:t>c</w:t>
            </w:r>
          </w:p>
        </w:tc>
        <w:tc>
          <w:tcPr>
            <w:tcW w:w="2075" w:type="dxa"/>
            <w:tcMar>
              <w:left w:w="28" w:type="dxa"/>
              <w:right w:w="28" w:type="dxa"/>
            </w:tcMar>
          </w:tcPr>
          <w:p w:rsidR="00471B51" w:rsidRPr="00055C70" w:rsidRDefault="00471B51" w:rsidP="002169C9">
            <w:pPr>
              <w:keepNext/>
              <w:keepLines/>
              <w:jc w:val="center"/>
              <w:rPr>
                <w:rFonts w:ascii="Arial Narrow" w:eastAsiaTheme="minorHAnsi" w:hAnsi="Arial Narrow" w:cs="Arial"/>
                <w:snapToGrid w:val="0"/>
                <w:sz w:val="20"/>
                <w:szCs w:val="20"/>
              </w:rPr>
            </w:pPr>
            <w:r w:rsidRPr="00055C70">
              <w:rPr>
                <w:rFonts w:ascii="Arial Narrow" w:hAnsi="Arial Narrow" w:cs="Arial"/>
                <w:sz w:val="20"/>
                <w:szCs w:val="20"/>
              </w:rPr>
              <w:t>$</w:t>
            </w:r>
            <w:r w:rsidRPr="004C6C72">
              <w:rPr>
                <w:rFonts w:ascii="Arial Narrow" w:hAnsi="Arial Narrow" w:cs="Arial"/>
                <w:sz w:val="20"/>
                <w:szCs w:val="20"/>
              </w:rPr>
              <w:t>1,149.67</w:t>
            </w:r>
          </w:p>
        </w:tc>
      </w:tr>
      <w:tr w:rsidR="00471B51" w:rsidRPr="00471B51" w:rsidTr="00A05661">
        <w:tc>
          <w:tcPr>
            <w:tcW w:w="421" w:type="dxa"/>
            <w:tcMar>
              <w:left w:w="28" w:type="dxa"/>
              <w:right w:w="28" w:type="dxa"/>
            </w:tcMar>
          </w:tcPr>
          <w:p w:rsidR="00471B51" w:rsidRPr="00471B51" w:rsidRDefault="00471B51" w:rsidP="002169C9">
            <w:pPr>
              <w:keepNext/>
              <w:keepLines/>
              <w:jc w:val="center"/>
              <w:rPr>
                <w:rFonts w:ascii="Arial Narrow" w:eastAsiaTheme="minorHAnsi" w:hAnsi="Arial Narrow" w:cs="Arial"/>
                <w:snapToGrid w:val="0"/>
                <w:sz w:val="20"/>
                <w:szCs w:val="20"/>
              </w:rPr>
            </w:pPr>
            <w:r w:rsidRPr="00471B51">
              <w:rPr>
                <w:rFonts w:ascii="Arial Narrow" w:eastAsiaTheme="minorHAnsi" w:hAnsi="Arial Narrow" w:cs="Arial"/>
                <w:snapToGrid w:val="0"/>
                <w:sz w:val="20"/>
                <w:szCs w:val="20"/>
              </w:rPr>
              <w:t>J</w:t>
            </w:r>
          </w:p>
        </w:tc>
        <w:tc>
          <w:tcPr>
            <w:tcW w:w="3860" w:type="dxa"/>
            <w:tcMar>
              <w:left w:w="28" w:type="dxa"/>
              <w:right w:w="28" w:type="dxa"/>
            </w:tcMar>
          </w:tcPr>
          <w:p w:rsidR="00471B51" w:rsidRPr="00471B51" w:rsidRDefault="00471B51" w:rsidP="002169C9">
            <w:pPr>
              <w:keepNext/>
              <w:keepLines/>
              <w:jc w:val="both"/>
              <w:rPr>
                <w:rFonts w:ascii="Arial Narrow" w:eastAsiaTheme="minorHAnsi" w:hAnsi="Arial Narrow" w:cs="Arial"/>
                <w:snapToGrid w:val="0"/>
                <w:sz w:val="20"/>
                <w:szCs w:val="20"/>
              </w:rPr>
            </w:pPr>
            <w:r w:rsidRPr="00471B51">
              <w:rPr>
                <w:rFonts w:ascii="Arial Narrow" w:hAnsi="Arial Narrow" w:cs="Arial"/>
                <w:sz w:val="20"/>
                <w:szCs w:val="20"/>
              </w:rPr>
              <w:t>Cost of PEMBRO per year</w:t>
            </w:r>
          </w:p>
        </w:tc>
        <w:tc>
          <w:tcPr>
            <w:tcW w:w="2660" w:type="dxa"/>
            <w:tcMar>
              <w:left w:w="28" w:type="dxa"/>
              <w:right w:w="28" w:type="dxa"/>
            </w:tcMar>
          </w:tcPr>
          <w:p w:rsidR="00471B51" w:rsidRPr="00055C70" w:rsidRDefault="00471B51" w:rsidP="002169C9">
            <w:pPr>
              <w:keepNext/>
              <w:keepLines/>
              <w:jc w:val="center"/>
              <w:rPr>
                <w:rFonts w:ascii="Arial Narrow" w:eastAsiaTheme="minorHAnsi" w:hAnsi="Arial Narrow" w:cs="Arial"/>
                <w:snapToGrid w:val="0"/>
                <w:sz w:val="20"/>
                <w:szCs w:val="20"/>
              </w:rPr>
            </w:pPr>
            <w:r w:rsidRPr="00055C70">
              <w:rPr>
                <w:rFonts w:ascii="Arial Narrow" w:hAnsi="Arial Narrow" w:cs="Arial"/>
                <w:sz w:val="20"/>
                <w:szCs w:val="20"/>
              </w:rPr>
              <w:t xml:space="preserve">F </w:t>
            </w:r>
            <w:r w:rsidR="00E5647A" w:rsidRPr="00055C70">
              <w:rPr>
                <w:rFonts w:ascii="Arial Narrow" w:hAnsi="Arial Narrow" w:cs="Arial"/>
                <w:sz w:val="20"/>
                <w:szCs w:val="20"/>
              </w:rPr>
              <w:t>–</w:t>
            </w:r>
            <w:r w:rsidRPr="00055C70">
              <w:rPr>
                <w:rFonts w:ascii="Arial Narrow" w:hAnsi="Arial Narrow" w:cs="Arial"/>
                <w:sz w:val="20"/>
                <w:szCs w:val="20"/>
              </w:rPr>
              <w:t xml:space="preserve"> I</w:t>
            </w:r>
          </w:p>
        </w:tc>
        <w:tc>
          <w:tcPr>
            <w:tcW w:w="2075" w:type="dxa"/>
            <w:tcMar>
              <w:left w:w="28" w:type="dxa"/>
              <w:right w:w="28" w:type="dxa"/>
            </w:tcMar>
          </w:tcPr>
          <w:p w:rsidR="00471B51" w:rsidRPr="00055C70" w:rsidRDefault="00471B51" w:rsidP="002169C9">
            <w:pPr>
              <w:keepNext/>
              <w:keepLines/>
              <w:jc w:val="center"/>
              <w:rPr>
                <w:rFonts w:ascii="Arial Narrow" w:eastAsiaTheme="minorHAnsi" w:hAnsi="Arial Narrow" w:cs="Arial"/>
                <w:snapToGrid w:val="0"/>
                <w:sz w:val="20"/>
                <w:szCs w:val="20"/>
              </w:rPr>
            </w:pPr>
            <w:r w:rsidRPr="00055C70">
              <w:rPr>
                <w:rFonts w:ascii="Arial Narrow" w:hAnsi="Arial Narrow" w:cs="Arial"/>
                <w:sz w:val="20"/>
                <w:szCs w:val="20"/>
              </w:rPr>
              <w:t>$</w:t>
            </w:r>
            <w:r w:rsidRPr="00B71310">
              <w:rPr>
                <w:rFonts w:ascii="Arial Narrow" w:hAnsi="Arial Narrow" w:cs="Arial"/>
                <w:sz w:val="20"/>
                <w:szCs w:val="20"/>
              </w:rPr>
              <w:t>203,544.94</w:t>
            </w:r>
          </w:p>
        </w:tc>
      </w:tr>
      <w:tr w:rsidR="00471B51" w:rsidRPr="00471B51" w:rsidTr="00A05661">
        <w:tc>
          <w:tcPr>
            <w:tcW w:w="421" w:type="dxa"/>
            <w:tcMar>
              <w:left w:w="28" w:type="dxa"/>
              <w:right w:w="28" w:type="dxa"/>
            </w:tcMar>
          </w:tcPr>
          <w:p w:rsidR="00471B51" w:rsidRPr="00471B51" w:rsidRDefault="00471B51" w:rsidP="002169C9">
            <w:pPr>
              <w:keepNext/>
              <w:keepLines/>
              <w:jc w:val="center"/>
              <w:rPr>
                <w:rFonts w:ascii="Arial Narrow" w:eastAsiaTheme="minorHAnsi" w:hAnsi="Arial Narrow" w:cs="Arial"/>
                <w:snapToGrid w:val="0"/>
                <w:sz w:val="20"/>
                <w:szCs w:val="20"/>
              </w:rPr>
            </w:pPr>
            <w:r w:rsidRPr="00471B51">
              <w:rPr>
                <w:rFonts w:ascii="Arial Narrow" w:eastAsiaTheme="minorHAnsi" w:hAnsi="Arial Narrow" w:cs="Arial"/>
                <w:snapToGrid w:val="0"/>
                <w:sz w:val="20"/>
                <w:szCs w:val="20"/>
              </w:rPr>
              <w:t>K</w:t>
            </w:r>
          </w:p>
        </w:tc>
        <w:tc>
          <w:tcPr>
            <w:tcW w:w="3860" w:type="dxa"/>
            <w:tcMar>
              <w:left w:w="28" w:type="dxa"/>
              <w:right w:w="28" w:type="dxa"/>
            </w:tcMar>
          </w:tcPr>
          <w:p w:rsidR="00471B51" w:rsidRPr="00471B51" w:rsidRDefault="00471B51" w:rsidP="002169C9">
            <w:pPr>
              <w:keepNext/>
              <w:keepLines/>
              <w:jc w:val="both"/>
              <w:rPr>
                <w:rFonts w:ascii="Arial Narrow" w:eastAsiaTheme="minorHAnsi" w:hAnsi="Arial Narrow" w:cs="Arial"/>
                <w:snapToGrid w:val="0"/>
                <w:sz w:val="20"/>
                <w:szCs w:val="20"/>
              </w:rPr>
            </w:pPr>
            <w:r w:rsidRPr="00471B51">
              <w:rPr>
                <w:rFonts w:ascii="Arial Narrow" w:hAnsi="Arial Narrow" w:cs="Arial"/>
                <w:sz w:val="20"/>
                <w:szCs w:val="20"/>
              </w:rPr>
              <w:t xml:space="preserve">Cost of PEMBRO per mg </w:t>
            </w:r>
          </w:p>
        </w:tc>
        <w:tc>
          <w:tcPr>
            <w:tcW w:w="2660" w:type="dxa"/>
            <w:tcMar>
              <w:left w:w="28" w:type="dxa"/>
              <w:right w:w="28" w:type="dxa"/>
            </w:tcMar>
          </w:tcPr>
          <w:p w:rsidR="00471B51" w:rsidRPr="00055C70" w:rsidRDefault="00471B51" w:rsidP="002169C9">
            <w:pPr>
              <w:keepNext/>
              <w:keepLines/>
              <w:jc w:val="center"/>
              <w:rPr>
                <w:rFonts w:ascii="Arial Narrow" w:eastAsiaTheme="minorHAnsi" w:hAnsi="Arial Narrow" w:cs="Arial"/>
                <w:snapToGrid w:val="0"/>
                <w:sz w:val="20"/>
                <w:szCs w:val="20"/>
              </w:rPr>
            </w:pPr>
            <w:r w:rsidRPr="00055C70">
              <w:rPr>
                <w:rFonts w:ascii="Arial Narrow" w:hAnsi="Arial Narrow" w:cs="Arial"/>
                <w:sz w:val="20"/>
                <w:szCs w:val="20"/>
              </w:rPr>
              <w:t>J / H</w:t>
            </w:r>
          </w:p>
        </w:tc>
        <w:tc>
          <w:tcPr>
            <w:tcW w:w="2075" w:type="dxa"/>
            <w:tcMar>
              <w:left w:w="28" w:type="dxa"/>
              <w:right w:w="28" w:type="dxa"/>
            </w:tcMar>
          </w:tcPr>
          <w:p w:rsidR="00471B51" w:rsidRPr="00055C70" w:rsidRDefault="00471B51" w:rsidP="002169C9">
            <w:pPr>
              <w:keepNext/>
              <w:keepLines/>
              <w:jc w:val="center"/>
              <w:rPr>
                <w:rFonts w:ascii="Arial Narrow" w:eastAsiaTheme="minorHAnsi" w:hAnsi="Arial Narrow" w:cs="Arial"/>
                <w:snapToGrid w:val="0"/>
                <w:sz w:val="20"/>
                <w:szCs w:val="20"/>
              </w:rPr>
            </w:pPr>
            <w:r w:rsidRPr="00B71310">
              <w:rPr>
                <w:rFonts w:ascii="Arial Narrow" w:hAnsi="Arial Narrow" w:cs="Arial"/>
                <w:sz w:val="20"/>
                <w:szCs w:val="20"/>
              </w:rPr>
              <w:t>$58.51</w:t>
            </w:r>
            <w:r w:rsidR="00B967F2" w:rsidRPr="00B71310">
              <w:rPr>
                <w:rFonts w:ascii="Arial Narrow" w:hAnsi="Arial Narrow" w:cs="Arial"/>
                <w:sz w:val="20"/>
                <w:szCs w:val="20"/>
              </w:rPr>
              <w:t>/mg</w:t>
            </w:r>
          </w:p>
        </w:tc>
      </w:tr>
      <w:tr w:rsidR="00471B51" w:rsidRPr="00471B51" w:rsidTr="00A05661">
        <w:tc>
          <w:tcPr>
            <w:tcW w:w="421" w:type="dxa"/>
            <w:tcMar>
              <w:left w:w="28" w:type="dxa"/>
              <w:right w:w="28" w:type="dxa"/>
            </w:tcMar>
          </w:tcPr>
          <w:p w:rsidR="00471B51" w:rsidRPr="00471B51" w:rsidRDefault="00471B51" w:rsidP="002169C9">
            <w:pPr>
              <w:keepNext/>
              <w:keepLines/>
              <w:jc w:val="center"/>
              <w:rPr>
                <w:rFonts w:ascii="Arial Narrow" w:eastAsiaTheme="minorHAnsi" w:hAnsi="Arial Narrow" w:cs="Arial"/>
                <w:b/>
                <w:snapToGrid w:val="0"/>
                <w:sz w:val="20"/>
                <w:szCs w:val="20"/>
              </w:rPr>
            </w:pPr>
            <w:r w:rsidRPr="00471B51">
              <w:rPr>
                <w:rFonts w:ascii="Arial Narrow" w:eastAsiaTheme="minorHAnsi" w:hAnsi="Arial Narrow" w:cs="Arial"/>
                <w:b/>
                <w:snapToGrid w:val="0"/>
                <w:sz w:val="20"/>
                <w:szCs w:val="20"/>
              </w:rPr>
              <w:t>L</w:t>
            </w:r>
          </w:p>
        </w:tc>
        <w:tc>
          <w:tcPr>
            <w:tcW w:w="3860" w:type="dxa"/>
            <w:tcMar>
              <w:left w:w="28" w:type="dxa"/>
              <w:right w:w="28" w:type="dxa"/>
            </w:tcMar>
          </w:tcPr>
          <w:p w:rsidR="00471B51" w:rsidRPr="00471B51" w:rsidRDefault="00471B51" w:rsidP="002169C9">
            <w:pPr>
              <w:keepNext/>
              <w:keepLines/>
              <w:jc w:val="both"/>
              <w:rPr>
                <w:rFonts w:ascii="Arial Narrow" w:eastAsiaTheme="minorHAnsi" w:hAnsi="Arial Narrow" w:cs="Arial"/>
                <w:b/>
                <w:snapToGrid w:val="0"/>
                <w:sz w:val="20"/>
                <w:szCs w:val="20"/>
              </w:rPr>
            </w:pPr>
            <w:r w:rsidRPr="00471B51">
              <w:rPr>
                <w:rFonts w:ascii="Arial Narrow" w:hAnsi="Arial Narrow" w:cs="Arial"/>
                <w:b/>
                <w:sz w:val="20"/>
                <w:szCs w:val="20"/>
              </w:rPr>
              <w:t>Cost minimised AEMP per 100mg vial PEMBRO</w:t>
            </w:r>
          </w:p>
        </w:tc>
        <w:tc>
          <w:tcPr>
            <w:tcW w:w="2660" w:type="dxa"/>
            <w:tcMar>
              <w:left w:w="28" w:type="dxa"/>
              <w:right w:w="28" w:type="dxa"/>
            </w:tcMar>
          </w:tcPr>
          <w:p w:rsidR="00471B51" w:rsidRPr="00055C70" w:rsidRDefault="00471B51" w:rsidP="002169C9">
            <w:pPr>
              <w:keepNext/>
              <w:keepLines/>
              <w:jc w:val="center"/>
              <w:rPr>
                <w:rFonts w:ascii="Arial Narrow" w:eastAsiaTheme="minorHAnsi" w:hAnsi="Arial Narrow" w:cs="Arial"/>
                <w:b/>
                <w:snapToGrid w:val="0"/>
                <w:sz w:val="20"/>
                <w:szCs w:val="20"/>
              </w:rPr>
            </w:pPr>
            <w:r w:rsidRPr="00055C70">
              <w:rPr>
                <w:rFonts w:ascii="Arial Narrow" w:hAnsi="Arial Narrow" w:cs="Arial"/>
                <w:sz w:val="20"/>
                <w:szCs w:val="20"/>
              </w:rPr>
              <w:t>K * 100</w:t>
            </w:r>
          </w:p>
        </w:tc>
        <w:tc>
          <w:tcPr>
            <w:tcW w:w="2075" w:type="dxa"/>
            <w:tcMar>
              <w:left w:w="28" w:type="dxa"/>
              <w:right w:w="28" w:type="dxa"/>
            </w:tcMar>
          </w:tcPr>
          <w:p w:rsidR="00471B51" w:rsidRPr="00055C70" w:rsidRDefault="00471B51" w:rsidP="002169C9">
            <w:pPr>
              <w:keepNext/>
              <w:keepLines/>
              <w:jc w:val="center"/>
              <w:rPr>
                <w:rFonts w:ascii="Arial Narrow" w:eastAsiaTheme="minorHAnsi" w:hAnsi="Arial Narrow" w:cs="Arial"/>
                <w:b/>
                <w:snapToGrid w:val="0"/>
                <w:sz w:val="20"/>
                <w:szCs w:val="20"/>
              </w:rPr>
            </w:pPr>
            <w:r w:rsidRPr="00055C70">
              <w:rPr>
                <w:rFonts w:ascii="Arial Narrow" w:hAnsi="Arial Narrow" w:cs="Arial"/>
                <w:b/>
                <w:sz w:val="20"/>
                <w:szCs w:val="20"/>
              </w:rPr>
              <w:t>$</w:t>
            </w:r>
            <w:r w:rsidRPr="00B71310">
              <w:rPr>
                <w:rFonts w:ascii="Arial Narrow" w:hAnsi="Arial Narrow" w:cs="Arial"/>
                <w:b/>
                <w:sz w:val="20"/>
                <w:szCs w:val="20"/>
              </w:rPr>
              <w:t>5,851.39</w:t>
            </w:r>
          </w:p>
        </w:tc>
      </w:tr>
      <w:tr w:rsidR="00471B51" w:rsidRPr="00471B51" w:rsidTr="00A05661">
        <w:tc>
          <w:tcPr>
            <w:tcW w:w="421" w:type="dxa"/>
            <w:tcMar>
              <w:left w:w="28" w:type="dxa"/>
              <w:right w:w="28" w:type="dxa"/>
            </w:tcMar>
          </w:tcPr>
          <w:p w:rsidR="00471B51" w:rsidRPr="00471B51" w:rsidRDefault="00471B51" w:rsidP="002169C9">
            <w:pPr>
              <w:keepNext/>
              <w:keepLines/>
              <w:jc w:val="center"/>
              <w:rPr>
                <w:rFonts w:ascii="Arial Narrow" w:hAnsi="Arial Narrow" w:cs="Arial"/>
                <w:b/>
                <w:snapToGrid w:val="0"/>
                <w:sz w:val="20"/>
                <w:szCs w:val="20"/>
              </w:rPr>
            </w:pPr>
            <w:r w:rsidRPr="00471B51">
              <w:rPr>
                <w:rFonts w:ascii="Arial Narrow" w:hAnsi="Arial Narrow" w:cs="Arial"/>
                <w:b/>
                <w:snapToGrid w:val="0"/>
                <w:sz w:val="20"/>
                <w:szCs w:val="20"/>
              </w:rPr>
              <w:t>M</w:t>
            </w:r>
          </w:p>
        </w:tc>
        <w:tc>
          <w:tcPr>
            <w:tcW w:w="3860" w:type="dxa"/>
            <w:tcMar>
              <w:left w:w="28" w:type="dxa"/>
              <w:right w:w="28" w:type="dxa"/>
            </w:tcMar>
          </w:tcPr>
          <w:p w:rsidR="00471B51" w:rsidRPr="00471B51" w:rsidRDefault="00471B51" w:rsidP="002169C9">
            <w:pPr>
              <w:keepNext/>
              <w:keepLines/>
              <w:jc w:val="both"/>
              <w:rPr>
                <w:rFonts w:ascii="Arial Narrow" w:hAnsi="Arial Narrow" w:cs="Arial"/>
                <w:b/>
                <w:snapToGrid w:val="0"/>
                <w:sz w:val="20"/>
                <w:szCs w:val="20"/>
              </w:rPr>
            </w:pPr>
            <w:r w:rsidRPr="00471B51">
              <w:rPr>
                <w:rFonts w:ascii="Arial Narrow" w:hAnsi="Arial Narrow" w:cs="Arial"/>
                <w:b/>
                <w:sz w:val="20"/>
                <w:szCs w:val="20"/>
              </w:rPr>
              <w:t>Cost of PEMBRO patient (per year)</w:t>
            </w:r>
          </w:p>
        </w:tc>
        <w:tc>
          <w:tcPr>
            <w:tcW w:w="2660" w:type="dxa"/>
            <w:tcMar>
              <w:left w:w="28" w:type="dxa"/>
              <w:right w:w="28" w:type="dxa"/>
            </w:tcMar>
          </w:tcPr>
          <w:p w:rsidR="00471B51" w:rsidRPr="00055C70" w:rsidRDefault="00471B51" w:rsidP="002169C9">
            <w:pPr>
              <w:keepNext/>
              <w:keepLines/>
              <w:jc w:val="center"/>
              <w:rPr>
                <w:rFonts w:ascii="Arial Narrow" w:hAnsi="Arial Narrow" w:cs="Arial"/>
                <w:b/>
                <w:snapToGrid w:val="0"/>
                <w:sz w:val="20"/>
                <w:szCs w:val="20"/>
              </w:rPr>
            </w:pPr>
            <w:r w:rsidRPr="00055C70">
              <w:rPr>
                <w:rFonts w:ascii="Arial Narrow" w:hAnsi="Arial Narrow" w:cs="Arial"/>
                <w:sz w:val="20"/>
                <w:szCs w:val="20"/>
              </w:rPr>
              <w:t>G + (J * 2 * 17.39</w:t>
            </w:r>
            <w:r w:rsidR="00E5647A" w:rsidRPr="00055C70">
              <w:rPr>
                <w:rFonts w:ascii="Arial Narrow" w:hAnsi="Arial Narrow" w:cs="Arial"/>
                <w:sz w:val="20"/>
                <w:szCs w:val="20"/>
                <w:vertAlign w:val="superscript"/>
              </w:rPr>
              <w:t>c</w:t>
            </w:r>
            <w:r w:rsidRPr="00055C70">
              <w:rPr>
                <w:rFonts w:ascii="Arial Narrow" w:hAnsi="Arial Narrow" w:cs="Arial"/>
                <w:sz w:val="20"/>
                <w:szCs w:val="20"/>
              </w:rPr>
              <w:t>)</w:t>
            </w:r>
          </w:p>
        </w:tc>
        <w:tc>
          <w:tcPr>
            <w:tcW w:w="2075" w:type="dxa"/>
            <w:tcMar>
              <w:left w:w="28" w:type="dxa"/>
              <w:right w:w="28" w:type="dxa"/>
            </w:tcMar>
          </w:tcPr>
          <w:p w:rsidR="00471B51" w:rsidRPr="00055C70" w:rsidRDefault="00471B51" w:rsidP="002169C9">
            <w:pPr>
              <w:keepNext/>
              <w:keepLines/>
              <w:jc w:val="center"/>
              <w:rPr>
                <w:rFonts w:ascii="Arial Narrow" w:hAnsi="Arial Narrow" w:cs="Arial"/>
                <w:b/>
                <w:snapToGrid w:val="0"/>
                <w:sz w:val="20"/>
                <w:szCs w:val="20"/>
              </w:rPr>
            </w:pPr>
            <w:r w:rsidRPr="00055C70">
              <w:rPr>
                <w:rFonts w:ascii="Arial Narrow" w:hAnsi="Arial Narrow" w:cs="Arial"/>
                <w:b/>
                <w:sz w:val="20"/>
                <w:szCs w:val="20"/>
              </w:rPr>
              <w:t>$</w:t>
            </w:r>
            <w:r w:rsidRPr="00B71310">
              <w:rPr>
                <w:rFonts w:ascii="Arial Narrow" w:hAnsi="Arial Narrow" w:cs="Arial"/>
                <w:b/>
                <w:sz w:val="20"/>
                <w:szCs w:val="20"/>
              </w:rPr>
              <w:t>204,694.61</w:t>
            </w:r>
          </w:p>
        </w:tc>
      </w:tr>
    </w:tbl>
    <w:p w:rsidR="00471B51" w:rsidRPr="0031400A" w:rsidRDefault="00471B51" w:rsidP="00471B51">
      <w:pPr>
        <w:pStyle w:val="TableFooter"/>
      </w:pPr>
      <w:r w:rsidRPr="0031400A">
        <w:t xml:space="preserve">AEMP = approved ex-manufacturer price; DAB = </w:t>
      </w:r>
      <w:proofErr w:type="spellStart"/>
      <w:r w:rsidRPr="0031400A">
        <w:t>dabrafenib</w:t>
      </w:r>
      <w:proofErr w:type="spellEnd"/>
      <w:r w:rsidRPr="0031400A">
        <w:t xml:space="preserve">; </w:t>
      </w:r>
      <w:r w:rsidR="00062280">
        <w:t xml:space="preserve">MBS = Medicare Benefits Schedule; </w:t>
      </w:r>
      <w:r w:rsidRPr="0031400A">
        <w:t xml:space="preserve">PEMBRO = </w:t>
      </w:r>
      <w:proofErr w:type="spellStart"/>
      <w:r w:rsidRPr="0031400A">
        <w:t>pembrolizumab</w:t>
      </w:r>
      <w:proofErr w:type="spellEnd"/>
      <w:r w:rsidRPr="0031400A">
        <w:t xml:space="preserve">; Q3W = every three weeks; TRAM = </w:t>
      </w:r>
      <w:proofErr w:type="spellStart"/>
      <w:r w:rsidRPr="0031400A">
        <w:t>trametinib</w:t>
      </w:r>
      <w:proofErr w:type="spellEnd"/>
    </w:p>
    <w:p w:rsidR="00471B51" w:rsidRPr="0031400A" w:rsidRDefault="00471B51" w:rsidP="00471B51">
      <w:pPr>
        <w:pStyle w:val="TableFooter"/>
      </w:pPr>
      <w:proofErr w:type="gramStart"/>
      <w:r w:rsidRPr="0031400A">
        <w:t>a</w:t>
      </w:r>
      <w:proofErr w:type="gramEnd"/>
      <w:r w:rsidRPr="0031400A">
        <w:t xml:space="preserve"> 12.18 = 365.25 days per year / 30 day supply</w:t>
      </w:r>
    </w:p>
    <w:p w:rsidR="00E5647A" w:rsidRPr="00E5647A" w:rsidRDefault="00E5647A" w:rsidP="00E5647A">
      <w:pPr>
        <w:pStyle w:val="TableFooter"/>
      </w:pPr>
      <w:proofErr w:type="gramStart"/>
      <w:r>
        <w:t>b</w:t>
      </w:r>
      <w:proofErr w:type="gramEnd"/>
      <w:r w:rsidRPr="00E5647A">
        <w:t xml:space="preserve"> MBS item 73336 (100% benefit)</w:t>
      </w:r>
    </w:p>
    <w:p w:rsidR="00471B51" w:rsidRPr="0031400A" w:rsidRDefault="00E5647A" w:rsidP="00471B51">
      <w:pPr>
        <w:pStyle w:val="TableFooter"/>
      </w:pPr>
      <w:proofErr w:type="gramStart"/>
      <w:r>
        <w:t>c</w:t>
      </w:r>
      <w:proofErr w:type="gramEnd"/>
      <w:r w:rsidR="00471B51" w:rsidRPr="0031400A">
        <w:t xml:space="preserve"> 17.39 = 365.25 days per year / 21 day dosing</w:t>
      </w:r>
    </w:p>
    <w:p w:rsidR="00471B51" w:rsidRPr="00055C70" w:rsidRDefault="00E5647A" w:rsidP="00471B51">
      <w:pPr>
        <w:pStyle w:val="TableFooter"/>
      </w:pPr>
      <w:proofErr w:type="gramStart"/>
      <w:r>
        <w:t>d</w:t>
      </w:r>
      <w:proofErr w:type="gramEnd"/>
      <w:r w:rsidR="00471B51" w:rsidRPr="0031400A">
        <w:t xml:space="preserve"> MBS item 13915 (100% benefit)</w:t>
      </w:r>
      <w:r>
        <w:t xml:space="preserve"> – </w:t>
      </w:r>
      <w:r w:rsidRPr="00055C70">
        <w:t>updated from $65.05 to $66.10 during evaluation</w:t>
      </w:r>
    </w:p>
    <w:p w:rsidR="00471B51" w:rsidRPr="00471B51" w:rsidRDefault="00471B51" w:rsidP="00471B51">
      <w:pPr>
        <w:rPr>
          <w:snapToGrid w:val="0"/>
        </w:rPr>
      </w:pPr>
    </w:p>
    <w:p w:rsidR="005A3173" w:rsidRPr="008306F3" w:rsidRDefault="005A3173" w:rsidP="003976B6">
      <w:pPr>
        <w:pStyle w:val="Heading2"/>
        <w:keepLines/>
        <w:spacing w:before="12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Estimated PBS usage &amp; financial implications</w:t>
      </w:r>
    </w:p>
    <w:p w:rsidR="00783E17" w:rsidRPr="00055C70" w:rsidRDefault="00FF2801" w:rsidP="00783E17">
      <w:pPr>
        <w:pStyle w:val="3Bodytext"/>
        <w:jc w:val="both"/>
        <w:rPr>
          <w:b/>
          <w:color w:val="FF00FF"/>
        </w:rPr>
      </w:pPr>
      <w:r w:rsidRPr="003C2FB5">
        <w:t xml:space="preserve">The minor </w:t>
      </w:r>
      <w:r w:rsidR="00460B1E">
        <w:t>re</w:t>
      </w:r>
      <w:r w:rsidRPr="003C2FB5">
        <w:t xml:space="preserve">submission </w:t>
      </w:r>
      <w:r w:rsidR="00460B1E">
        <w:t xml:space="preserve">stated that the net budget impact of listing </w:t>
      </w:r>
      <w:proofErr w:type="spellStart"/>
      <w:r w:rsidR="00460B1E">
        <w:t>pembrolizumab</w:t>
      </w:r>
      <w:proofErr w:type="spellEnd"/>
      <w:r w:rsidR="00460B1E">
        <w:t xml:space="preserve"> on the PBS/RPBS would be cost neutral compared to </w:t>
      </w:r>
      <w:proofErr w:type="spellStart"/>
      <w:r w:rsidR="00460B1E">
        <w:t>nivolumab</w:t>
      </w:r>
      <w:proofErr w:type="spellEnd"/>
      <w:r w:rsidR="00460B1E">
        <w:t xml:space="preserve"> for all patients and cost neutral compared to </w:t>
      </w:r>
      <w:proofErr w:type="spellStart"/>
      <w:r w:rsidR="00460B1E">
        <w:t>dabrafenib</w:t>
      </w:r>
      <w:proofErr w:type="spellEnd"/>
      <w:r w:rsidR="008A06F4">
        <w:t xml:space="preserve"> </w:t>
      </w:r>
      <w:r w:rsidR="00460B1E">
        <w:t>+</w:t>
      </w:r>
      <w:r w:rsidR="008A06F4">
        <w:t xml:space="preserve"> </w:t>
      </w:r>
      <w:proofErr w:type="spellStart"/>
      <w:r w:rsidR="00460B1E">
        <w:t>trametinib</w:t>
      </w:r>
      <w:proofErr w:type="spellEnd"/>
      <w:r w:rsidR="00460B1E">
        <w:t xml:space="preserve"> for all BRAF </w:t>
      </w:r>
      <w:r w:rsidR="00C92A3D">
        <w:t>mutant</w:t>
      </w:r>
      <w:r w:rsidR="00460B1E">
        <w:t xml:space="preserve"> patients.</w:t>
      </w:r>
      <w:r w:rsidR="00783E17">
        <w:t xml:space="preserve"> The minor resubmission stated that this relies on the assumption that </w:t>
      </w:r>
      <w:proofErr w:type="spellStart"/>
      <w:r w:rsidR="00783E17">
        <w:t>nivolumab</w:t>
      </w:r>
      <w:proofErr w:type="spellEnd"/>
      <w:r w:rsidR="00783E17">
        <w:t xml:space="preserve"> and </w:t>
      </w:r>
      <w:proofErr w:type="spellStart"/>
      <w:r w:rsidR="00783E17">
        <w:t>dabrafenib</w:t>
      </w:r>
      <w:proofErr w:type="spellEnd"/>
      <w:r w:rsidR="008A06F4">
        <w:t xml:space="preserve"> </w:t>
      </w:r>
      <w:r w:rsidR="00783E17">
        <w:t>+</w:t>
      </w:r>
      <w:r w:rsidR="008A06F4">
        <w:t xml:space="preserve"> </w:t>
      </w:r>
      <w:proofErr w:type="spellStart"/>
      <w:r w:rsidR="00783E17">
        <w:t>trametinib</w:t>
      </w:r>
      <w:proofErr w:type="spellEnd"/>
      <w:r w:rsidR="00783E17">
        <w:t xml:space="preserve"> will be recommended prior to, or at the same time as </w:t>
      </w:r>
      <w:proofErr w:type="spellStart"/>
      <w:r w:rsidR="00783E17">
        <w:t>pembrolizumab</w:t>
      </w:r>
      <w:proofErr w:type="spellEnd"/>
      <w:r w:rsidR="00783E17">
        <w:t xml:space="preserve">. </w:t>
      </w:r>
      <w:r w:rsidR="00783E17" w:rsidRPr="00055C70">
        <w:t xml:space="preserve">The </w:t>
      </w:r>
      <w:r w:rsidR="004D0E50">
        <w:t xml:space="preserve">PBAC considered that the </w:t>
      </w:r>
      <w:r w:rsidR="00783E17" w:rsidRPr="00055C70">
        <w:t xml:space="preserve">cost-neutrality of </w:t>
      </w:r>
      <w:proofErr w:type="spellStart"/>
      <w:r w:rsidR="00783E17" w:rsidRPr="00055C70">
        <w:t>pembrolizumab</w:t>
      </w:r>
      <w:proofErr w:type="spellEnd"/>
      <w:r w:rsidR="00783E17" w:rsidRPr="00055C70">
        <w:t xml:space="preserve"> relie</w:t>
      </w:r>
      <w:r w:rsidR="004D0E50">
        <w:t>d</w:t>
      </w:r>
      <w:r w:rsidR="00783E17" w:rsidRPr="00055C70">
        <w:t xml:space="preserve"> on the cost-minimisation analysis with </w:t>
      </w:r>
      <w:proofErr w:type="spellStart"/>
      <w:r w:rsidR="00783E17" w:rsidRPr="00055C70">
        <w:t>nivolumab</w:t>
      </w:r>
      <w:proofErr w:type="spellEnd"/>
      <w:r w:rsidR="00783E17" w:rsidRPr="00055C70">
        <w:t>.</w:t>
      </w:r>
    </w:p>
    <w:p w:rsidR="001A56ED" w:rsidRDefault="001A56ED" w:rsidP="00D85039">
      <w:pPr>
        <w:pStyle w:val="3Bodytext"/>
        <w:jc w:val="both"/>
      </w:pPr>
      <w:r w:rsidRPr="001A56ED">
        <w:t>The minor resubmission</w:t>
      </w:r>
      <w:r>
        <w:t xml:space="preserve"> used an epidemiological approach to determine the use and cost of </w:t>
      </w:r>
      <w:proofErr w:type="spellStart"/>
      <w:r>
        <w:t>pembrolizumab</w:t>
      </w:r>
      <w:proofErr w:type="spellEnd"/>
      <w:r>
        <w:t xml:space="preserve"> for adjuvant treatment of resected Stage IIIB, IIIC or IIID melanoma. The table below compares the approach taken with that taken in July 2019.</w:t>
      </w:r>
    </w:p>
    <w:p w:rsidR="000F3945" w:rsidRPr="00EB5F98" w:rsidRDefault="000F3945" w:rsidP="008247C8">
      <w:pPr>
        <w:keepNext/>
        <w:rPr>
          <w:rFonts w:ascii="Arial Narrow" w:hAnsi="Arial Narrow"/>
          <w:b/>
          <w:sz w:val="20"/>
          <w:szCs w:val="20"/>
        </w:rPr>
      </w:pPr>
      <w:r w:rsidRPr="00EB5F98">
        <w:rPr>
          <w:rFonts w:ascii="Arial Narrow" w:hAnsi="Arial Narrow"/>
          <w:b/>
          <w:sz w:val="20"/>
          <w:szCs w:val="20"/>
        </w:rPr>
        <w:lastRenderedPageBreak/>
        <w:t>Table 4:</w:t>
      </w:r>
      <w:r w:rsidR="00EB5F98" w:rsidRPr="00EB5F98">
        <w:rPr>
          <w:rFonts w:ascii="Arial Narrow" w:hAnsi="Arial Narrow"/>
          <w:b/>
          <w:sz w:val="20"/>
          <w:szCs w:val="20"/>
        </w:rPr>
        <w:t xml:space="preserve"> Comparison of the approaches taken to determine the estimated use and cost of adjuvant </w:t>
      </w:r>
      <w:proofErr w:type="spellStart"/>
      <w:r w:rsidR="00EB5F98" w:rsidRPr="00EB5F98">
        <w:rPr>
          <w:rFonts w:ascii="Arial Narrow" w:hAnsi="Arial Narrow"/>
          <w:b/>
          <w:sz w:val="20"/>
          <w:szCs w:val="20"/>
        </w:rPr>
        <w:t>pembrolizumab</w:t>
      </w:r>
      <w:proofErr w:type="spellEnd"/>
      <w:r w:rsidR="00EB5F98" w:rsidRPr="00EB5F98">
        <w:rPr>
          <w:rFonts w:ascii="Arial Narrow" w:hAnsi="Arial Narrow"/>
          <w:b/>
          <w:sz w:val="20"/>
          <w:szCs w:val="20"/>
        </w:rPr>
        <w:t xml:space="preserve"> from July 2019 and November 2019</w:t>
      </w:r>
    </w:p>
    <w:tbl>
      <w:tblPr>
        <w:tblStyle w:val="TableGrid"/>
        <w:tblW w:w="9067" w:type="dxa"/>
        <w:tblLayout w:type="fixed"/>
        <w:tblLook w:val="04A0" w:firstRow="1" w:lastRow="0" w:firstColumn="1" w:lastColumn="0" w:noHBand="0" w:noVBand="1"/>
        <w:tblCaption w:val="Table 4: Comparison of the approaches taken to determine the estimated use and cost of adjuvant pembrolizumab from July 2019 and November 2019"/>
      </w:tblPr>
      <w:tblGrid>
        <w:gridCol w:w="3823"/>
        <w:gridCol w:w="5244"/>
      </w:tblGrid>
      <w:tr w:rsidR="001A56ED" w:rsidRPr="00E12389" w:rsidTr="00643DA7">
        <w:trPr>
          <w:tblHeader/>
        </w:trPr>
        <w:tc>
          <w:tcPr>
            <w:tcW w:w="3823" w:type="dxa"/>
            <w:shd w:val="clear" w:color="auto" w:fill="auto"/>
            <w:tcMar>
              <w:left w:w="28" w:type="dxa"/>
              <w:right w:w="28" w:type="dxa"/>
            </w:tcMar>
          </w:tcPr>
          <w:p w:rsidR="001A56ED" w:rsidRPr="001A56ED" w:rsidRDefault="001A56ED" w:rsidP="008247C8">
            <w:pPr>
              <w:keepNext/>
              <w:jc w:val="center"/>
              <w:rPr>
                <w:rFonts w:ascii="Arial Narrow" w:eastAsiaTheme="minorEastAsia" w:hAnsi="Arial Narrow"/>
                <w:b/>
                <w:sz w:val="20"/>
              </w:rPr>
            </w:pPr>
            <w:r w:rsidRPr="001A56ED">
              <w:rPr>
                <w:rFonts w:ascii="Arial Narrow" w:eastAsiaTheme="minorEastAsia" w:hAnsi="Arial Narrow"/>
                <w:b/>
                <w:sz w:val="20"/>
              </w:rPr>
              <w:t>July 2019 PBAC Resubmission</w:t>
            </w:r>
          </w:p>
        </w:tc>
        <w:tc>
          <w:tcPr>
            <w:tcW w:w="5244" w:type="dxa"/>
            <w:shd w:val="clear" w:color="auto" w:fill="auto"/>
            <w:tcMar>
              <w:left w:w="28" w:type="dxa"/>
              <w:right w:w="28" w:type="dxa"/>
            </w:tcMar>
          </w:tcPr>
          <w:p w:rsidR="001A56ED" w:rsidRPr="001A56ED" w:rsidRDefault="001A56ED" w:rsidP="008247C8">
            <w:pPr>
              <w:keepNext/>
              <w:jc w:val="center"/>
              <w:rPr>
                <w:rFonts w:ascii="Arial Narrow" w:eastAsiaTheme="minorEastAsia" w:hAnsi="Arial Narrow"/>
                <w:b/>
                <w:sz w:val="20"/>
              </w:rPr>
            </w:pPr>
            <w:r w:rsidRPr="001A56ED">
              <w:rPr>
                <w:rFonts w:ascii="Arial Narrow" w:eastAsiaTheme="minorEastAsia" w:hAnsi="Arial Narrow"/>
                <w:b/>
                <w:sz w:val="20"/>
              </w:rPr>
              <w:t>Approach in current submission</w:t>
            </w:r>
          </w:p>
        </w:tc>
      </w:tr>
      <w:tr w:rsidR="001A56ED" w:rsidRPr="00E12389" w:rsidTr="005F2392">
        <w:tc>
          <w:tcPr>
            <w:tcW w:w="3823" w:type="dxa"/>
            <w:tcMar>
              <w:left w:w="28" w:type="dxa"/>
              <w:right w:w="28" w:type="dxa"/>
            </w:tcMar>
          </w:tcPr>
          <w:p w:rsidR="001A56ED" w:rsidRPr="00E12389" w:rsidRDefault="005F2392" w:rsidP="008247C8">
            <w:pPr>
              <w:keepNext/>
              <w:rPr>
                <w:rFonts w:ascii="Arial Narrow" w:eastAsiaTheme="minorEastAsia" w:hAnsi="Arial Narrow"/>
                <w:sz w:val="20"/>
              </w:rPr>
            </w:pPr>
            <w:r>
              <w:rPr>
                <w:rFonts w:ascii="Arial Narrow" w:eastAsiaTheme="minorEastAsia" w:hAnsi="Arial Narrow"/>
                <w:sz w:val="20"/>
              </w:rPr>
              <w:t>P</w:t>
            </w:r>
            <w:r w:rsidR="00D70D16">
              <w:rPr>
                <w:rFonts w:ascii="Arial Narrow" w:eastAsiaTheme="minorEastAsia" w:hAnsi="Arial Narrow"/>
                <w:sz w:val="20"/>
              </w:rPr>
              <w:t xml:space="preserve">atients with </w:t>
            </w:r>
            <w:r w:rsidR="001A56ED" w:rsidRPr="00E12389">
              <w:rPr>
                <w:rFonts w:ascii="Arial Narrow" w:eastAsiaTheme="minorEastAsia" w:hAnsi="Arial Narrow"/>
                <w:sz w:val="20"/>
              </w:rPr>
              <w:t>Stages IIIA</w:t>
            </w:r>
            <w:r w:rsidR="00D70D16">
              <w:rPr>
                <w:rFonts w:ascii="Arial Narrow" w:eastAsiaTheme="minorEastAsia" w:hAnsi="Arial Narrow"/>
                <w:sz w:val="20"/>
              </w:rPr>
              <w:t xml:space="preserve"> </w:t>
            </w:r>
            <w:r w:rsidR="001A56ED" w:rsidRPr="00E12389">
              <w:rPr>
                <w:rFonts w:ascii="Arial Narrow" w:eastAsiaTheme="minorEastAsia" w:hAnsi="Arial Narrow"/>
                <w:sz w:val="20"/>
              </w:rPr>
              <w:t>&gt;</w:t>
            </w:r>
            <w:r w:rsidR="00D70D16">
              <w:rPr>
                <w:rFonts w:ascii="Arial Narrow" w:eastAsiaTheme="minorEastAsia" w:hAnsi="Arial Narrow"/>
                <w:sz w:val="20"/>
              </w:rPr>
              <w:t xml:space="preserve"> </w:t>
            </w:r>
            <w:r w:rsidR="001A56ED" w:rsidRPr="00E12389">
              <w:rPr>
                <w:rFonts w:ascii="Arial Narrow" w:eastAsiaTheme="minorEastAsia" w:hAnsi="Arial Narrow"/>
                <w:sz w:val="20"/>
              </w:rPr>
              <w:t>1mm, IIIB, IIIC and IIID melan</w:t>
            </w:r>
            <w:r w:rsidR="00D70D16">
              <w:rPr>
                <w:rFonts w:ascii="Arial Narrow" w:eastAsiaTheme="minorEastAsia" w:hAnsi="Arial Narrow"/>
                <w:sz w:val="20"/>
              </w:rPr>
              <w:t>oma</w:t>
            </w:r>
            <w:r w:rsidR="001A56ED" w:rsidRPr="00E12389">
              <w:rPr>
                <w:rFonts w:ascii="Arial Narrow" w:eastAsiaTheme="minorEastAsia" w:hAnsi="Arial Narrow"/>
                <w:sz w:val="20"/>
              </w:rPr>
              <w:t xml:space="preserve">. </w:t>
            </w:r>
          </w:p>
        </w:tc>
        <w:tc>
          <w:tcPr>
            <w:tcW w:w="5244" w:type="dxa"/>
            <w:tcMar>
              <w:left w:w="28" w:type="dxa"/>
              <w:right w:w="28" w:type="dxa"/>
            </w:tcMar>
          </w:tcPr>
          <w:p w:rsidR="001A56ED" w:rsidRPr="00E12389" w:rsidRDefault="00D70D16" w:rsidP="008247C8">
            <w:pPr>
              <w:keepNext/>
              <w:rPr>
                <w:rFonts w:ascii="Arial Narrow" w:eastAsiaTheme="minorEastAsia" w:hAnsi="Arial Narrow"/>
                <w:sz w:val="20"/>
              </w:rPr>
            </w:pPr>
            <w:r>
              <w:rPr>
                <w:rFonts w:ascii="Arial Narrow" w:eastAsiaTheme="minorEastAsia" w:hAnsi="Arial Narrow"/>
                <w:sz w:val="20"/>
              </w:rPr>
              <w:t>P</w:t>
            </w:r>
            <w:r w:rsidR="001A56ED" w:rsidRPr="00E12389">
              <w:rPr>
                <w:rFonts w:ascii="Arial Narrow" w:eastAsiaTheme="minorEastAsia" w:hAnsi="Arial Narrow"/>
                <w:sz w:val="20"/>
              </w:rPr>
              <w:t xml:space="preserve">atients with </w:t>
            </w:r>
            <w:r>
              <w:rPr>
                <w:rFonts w:ascii="Arial Narrow" w:eastAsiaTheme="minorEastAsia" w:hAnsi="Arial Narrow"/>
                <w:sz w:val="20"/>
              </w:rPr>
              <w:t xml:space="preserve">Stage </w:t>
            </w:r>
            <w:r w:rsidR="001A56ED" w:rsidRPr="00E12389">
              <w:rPr>
                <w:rFonts w:ascii="Arial Narrow" w:eastAsiaTheme="minorEastAsia" w:hAnsi="Arial Narrow"/>
                <w:sz w:val="20"/>
              </w:rPr>
              <w:t xml:space="preserve">IIIA </w:t>
            </w:r>
            <w:r>
              <w:rPr>
                <w:rFonts w:ascii="Arial Narrow" w:eastAsiaTheme="minorEastAsia" w:hAnsi="Arial Narrow"/>
                <w:sz w:val="20"/>
              </w:rPr>
              <w:t xml:space="preserve">melanoma </w:t>
            </w:r>
            <w:r w:rsidR="005F2392">
              <w:rPr>
                <w:rFonts w:ascii="Arial Narrow" w:eastAsiaTheme="minorEastAsia" w:hAnsi="Arial Narrow"/>
                <w:sz w:val="20"/>
              </w:rPr>
              <w:t>were</w:t>
            </w:r>
            <w:r>
              <w:rPr>
                <w:rFonts w:ascii="Arial Narrow" w:eastAsiaTheme="minorEastAsia" w:hAnsi="Arial Narrow"/>
                <w:sz w:val="20"/>
              </w:rPr>
              <w:t xml:space="preserve"> excluded</w:t>
            </w:r>
            <w:r w:rsidR="001A56ED" w:rsidRPr="00E12389">
              <w:rPr>
                <w:rFonts w:ascii="Arial Narrow" w:eastAsiaTheme="minorEastAsia" w:hAnsi="Arial Narrow"/>
                <w:sz w:val="20"/>
              </w:rPr>
              <w:t xml:space="preserve">. </w:t>
            </w:r>
          </w:p>
        </w:tc>
      </w:tr>
      <w:tr w:rsidR="001A56ED" w:rsidRPr="00E12389" w:rsidTr="005F2392">
        <w:tc>
          <w:tcPr>
            <w:tcW w:w="3823" w:type="dxa"/>
            <w:tcMar>
              <w:left w:w="28" w:type="dxa"/>
              <w:right w:w="28" w:type="dxa"/>
            </w:tcMar>
          </w:tcPr>
          <w:p w:rsidR="001A56ED" w:rsidRPr="00E12389" w:rsidRDefault="00D70D16" w:rsidP="008247C8">
            <w:pPr>
              <w:keepNext/>
              <w:rPr>
                <w:rFonts w:ascii="Arial Narrow" w:eastAsiaTheme="minorEastAsia" w:hAnsi="Arial Narrow"/>
                <w:sz w:val="20"/>
              </w:rPr>
            </w:pPr>
            <w:r>
              <w:rPr>
                <w:rFonts w:ascii="Arial Narrow" w:eastAsiaTheme="minorEastAsia" w:hAnsi="Arial Narrow"/>
                <w:sz w:val="20"/>
              </w:rPr>
              <w:t>C</w:t>
            </w:r>
            <w:r w:rsidR="001A56ED" w:rsidRPr="00E12389">
              <w:rPr>
                <w:rFonts w:ascii="Arial Narrow" w:eastAsiaTheme="minorEastAsia" w:hAnsi="Arial Narrow"/>
                <w:sz w:val="20"/>
              </w:rPr>
              <w:t xml:space="preserve">ost-offsets for adjuvant treatment were calculated by estimating proportions of patients no longer progressing to Stage IV disease. </w:t>
            </w:r>
            <w:r>
              <w:rPr>
                <w:rFonts w:ascii="Arial Narrow" w:eastAsiaTheme="minorEastAsia" w:hAnsi="Arial Narrow"/>
                <w:sz w:val="20"/>
              </w:rPr>
              <w:t>P</w:t>
            </w:r>
            <w:r w:rsidR="001A56ED" w:rsidRPr="00E12389">
              <w:rPr>
                <w:rFonts w:ascii="Arial Narrow" w:eastAsiaTheme="minorEastAsia" w:hAnsi="Arial Narrow"/>
                <w:sz w:val="20"/>
              </w:rPr>
              <w:t>atient treatment split was based on a market share approach.</w:t>
            </w:r>
            <w:r w:rsidR="00E44CFA">
              <w:rPr>
                <w:rFonts w:ascii="Arial Narrow" w:eastAsiaTheme="minorEastAsia" w:hAnsi="Arial Narrow"/>
                <w:sz w:val="20"/>
              </w:rPr>
              <w:t xml:space="preserve"> </w:t>
            </w:r>
          </w:p>
        </w:tc>
        <w:tc>
          <w:tcPr>
            <w:tcW w:w="5244" w:type="dxa"/>
            <w:tcMar>
              <w:left w:w="28" w:type="dxa"/>
              <w:right w:w="28" w:type="dxa"/>
            </w:tcMar>
          </w:tcPr>
          <w:p w:rsidR="001A56ED" w:rsidRPr="00E12389" w:rsidRDefault="001A56ED" w:rsidP="008247C8">
            <w:pPr>
              <w:keepNext/>
              <w:rPr>
                <w:rFonts w:ascii="Arial Narrow" w:eastAsiaTheme="minorEastAsia" w:hAnsi="Arial Narrow"/>
                <w:sz w:val="20"/>
              </w:rPr>
            </w:pPr>
            <w:r>
              <w:rPr>
                <w:rFonts w:ascii="Arial Narrow" w:eastAsiaTheme="minorEastAsia" w:hAnsi="Arial Narrow"/>
                <w:sz w:val="20"/>
              </w:rPr>
              <w:t>As per the</w:t>
            </w:r>
            <w:r w:rsidRPr="00E12389">
              <w:rPr>
                <w:rFonts w:ascii="Arial Narrow" w:eastAsiaTheme="minorEastAsia" w:hAnsi="Arial Narrow"/>
                <w:sz w:val="20"/>
              </w:rPr>
              <w:t xml:space="preserve"> approach proposed by PBAC</w:t>
            </w:r>
            <w:r w:rsidR="005F2392">
              <w:rPr>
                <w:rFonts w:ascii="Arial Narrow" w:eastAsiaTheme="minorEastAsia" w:hAnsi="Arial Narrow"/>
                <w:sz w:val="20"/>
              </w:rPr>
              <w:t xml:space="preserve">, the </w:t>
            </w:r>
            <w:r w:rsidRPr="00E12389">
              <w:rPr>
                <w:rFonts w:ascii="Arial Narrow" w:eastAsiaTheme="minorEastAsia" w:hAnsi="Arial Narrow"/>
                <w:sz w:val="20"/>
              </w:rPr>
              <w:t xml:space="preserve">current </w:t>
            </w:r>
            <w:proofErr w:type="spellStart"/>
            <w:r w:rsidR="00D70D16">
              <w:rPr>
                <w:rFonts w:ascii="Arial Narrow" w:eastAsiaTheme="minorEastAsia" w:hAnsi="Arial Narrow"/>
                <w:sz w:val="20"/>
              </w:rPr>
              <w:t>unresectable</w:t>
            </w:r>
            <w:proofErr w:type="spellEnd"/>
            <w:r w:rsidR="00D70D16">
              <w:rPr>
                <w:rFonts w:ascii="Arial Narrow" w:eastAsiaTheme="minorEastAsia" w:hAnsi="Arial Narrow"/>
                <w:sz w:val="20"/>
              </w:rPr>
              <w:t xml:space="preserve"> or </w:t>
            </w:r>
            <w:r w:rsidRPr="00E12389">
              <w:rPr>
                <w:rFonts w:ascii="Arial Narrow" w:eastAsiaTheme="minorEastAsia" w:hAnsi="Arial Narrow"/>
                <w:sz w:val="20"/>
              </w:rPr>
              <w:t>metastatic melanoma PD</w:t>
            </w:r>
            <w:r w:rsidR="00D70D16">
              <w:rPr>
                <w:rFonts w:ascii="Arial Narrow" w:eastAsiaTheme="minorEastAsia" w:hAnsi="Arial Narrow"/>
                <w:sz w:val="20"/>
              </w:rPr>
              <w:t>-</w:t>
            </w:r>
            <w:r w:rsidRPr="00E12389">
              <w:rPr>
                <w:rFonts w:ascii="Arial Narrow" w:eastAsiaTheme="minorEastAsia" w:hAnsi="Arial Narrow"/>
                <w:sz w:val="20"/>
              </w:rPr>
              <w:t xml:space="preserve">1 </w:t>
            </w:r>
            <w:r w:rsidR="00D70D16">
              <w:rPr>
                <w:rFonts w:ascii="Arial Narrow" w:eastAsiaTheme="minorEastAsia" w:hAnsi="Arial Narrow"/>
                <w:sz w:val="20"/>
              </w:rPr>
              <w:t xml:space="preserve">inhibitor RSA </w:t>
            </w:r>
            <w:r w:rsidR="005F2392">
              <w:rPr>
                <w:rFonts w:ascii="Arial Narrow" w:eastAsiaTheme="minorEastAsia" w:hAnsi="Arial Narrow"/>
                <w:sz w:val="20"/>
              </w:rPr>
              <w:t xml:space="preserve">was amended </w:t>
            </w:r>
            <w:r w:rsidR="00D70D16">
              <w:rPr>
                <w:rFonts w:ascii="Arial Narrow" w:eastAsiaTheme="minorEastAsia" w:hAnsi="Arial Narrow"/>
                <w:sz w:val="20"/>
              </w:rPr>
              <w:t>to</w:t>
            </w:r>
            <w:r w:rsidRPr="00E12389">
              <w:rPr>
                <w:rFonts w:ascii="Arial Narrow" w:eastAsiaTheme="minorEastAsia" w:hAnsi="Arial Narrow"/>
                <w:sz w:val="20"/>
              </w:rPr>
              <w:t xml:space="preserve"> encompass </w:t>
            </w:r>
            <w:r w:rsidR="005F2392">
              <w:rPr>
                <w:rFonts w:ascii="Arial Narrow" w:eastAsiaTheme="minorEastAsia" w:hAnsi="Arial Narrow"/>
                <w:sz w:val="20"/>
              </w:rPr>
              <w:t xml:space="preserve">all </w:t>
            </w:r>
            <w:r w:rsidRPr="00E12389">
              <w:rPr>
                <w:rFonts w:ascii="Arial Narrow" w:eastAsiaTheme="minorEastAsia" w:hAnsi="Arial Narrow"/>
                <w:sz w:val="20"/>
              </w:rPr>
              <w:t xml:space="preserve">adjuvant and </w:t>
            </w:r>
            <w:proofErr w:type="spellStart"/>
            <w:r w:rsidRPr="00E12389">
              <w:rPr>
                <w:rFonts w:ascii="Arial Narrow" w:eastAsiaTheme="minorEastAsia" w:hAnsi="Arial Narrow"/>
                <w:sz w:val="20"/>
              </w:rPr>
              <w:t>unresectable</w:t>
            </w:r>
            <w:proofErr w:type="spellEnd"/>
            <w:r w:rsidRPr="00E12389">
              <w:rPr>
                <w:rFonts w:ascii="Arial Narrow" w:eastAsiaTheme="minorEastAsia" w:hAnsi="Arial Narrow"/>
                <w:sz w:val="20"/>
              </w:rPr>
              <w:t xml:space="preserve"> </w:t>
            </w:r>
            <w:r w:rsidR="005F2392">
              <w:rPr>
                <w:rFonts w:ascii="Arial Narrow" w:eastAsiaTheme="minorEastAsia" w:hAnsi="Arial Narrow"/>
                <w:sz w:val="20"/>
              </w:rPr>
              <w:t xml:space="preserve">PD-1 inhibitor </w:t>
            </w:r>
            <w:r w:rsidRPr="00E12389">
              <w:rPr>
                <w:rFonts w:ascii="Arial Narrow" w:eastAsiaTheme="minorEastAsia" w:hAnsi="Arial Narrow"/>
                <w:sz w:val="20"/>
              </w:rPr>
              <w:t>use (</w:t>
            </w:r>
            <w:r w:rsidR="00FA14E5">
              <w:rPr>
                <w:rFonts w:ascii="Arial Narrow" w:eastAsiaTheme="minorEastAsia" w:hAnsi="Arial Narrow"/>
                <w:sz w:val="20"/>
              </w:rPr>
              <w:t xml:space="preserve">para 7.15, </w:t>
            </w:r>
            <w:proofErr w:type="spellStart"/>
            <w:r w:rsidR="00FA14E5">
              <w:rPr>
                <w:rFonts w:ascii="Arial Narrow" w:eastAsiaTheme="minorEastAsia" w:hAnsi="Arial Narrow"/>
                <w:sz w:val="20"/>
              </w:rPr>
              <w:t>Pembrolizumab</w:t>
            </w:r>
            <w:proofErr w:type="spellEnd"/>
            <w:r w:rsidR="00FA14E5">
              <w:rPr>
                <w:rFonts w:ascii="Arial Narrow" w:eastAsiaTheme="minorEastAsia" w:hAnsi="Arial Narrow"/>
                <w:sz w:val="20"/>
              </w:rPr>
              <w:t xml:space="preserve"> r</w:t>
            </w:r>
            <w:r w:rsidRPr="00E12389">
              <w:rPr>
                <w:rFonts w:ascii="Arial Narrow" w:eastAsiaTheme="minorEastAsia" w:hAnsi="Arial Narrow"/>
                <w:sz w:val="20"/>
              </w:rPr>
              <w:t xml:space="preserve">atified minutes, </w:t>
            </w:r>
            <w:r w:rsidR="00FA14E5">
              <w:rPr>
                <w:rFonts w:ascii="Arial Narrow" w:eastAsiaTheme="minorEastAsia" w:hAnsi="Arial Narrow"/>
                <w:sz w:val="20"/>
              </w:rPr>
              <w:t>July 2019</w:t>
            </w:r>
            <w:r w:rsidRPr="00E12389">
              <w:rPr>
                <w:rFonts w:ascii="Arial Narrow" w:eastAsiaTheme="minorEastAsia" w:hAnsi="Arial Narrow"/>
                <w:sz w:val="20"/>
              </w:rPr>
              <w:t>)</w:t>
            </w:r>
            <w:r>
              <w:rPr>
                <w:rFonts w:ascii="Arial Narrow" w:eastAsiaTheme="minorEastAsia" w:hAnsi="Arial Narrow"/>
                <w:sz w:val="20"/>
              </w:rPr>
              <w:t xml:space="preserve">. </w:t>
            </w:r>
            <w:r w:rsidR="00D70D16">
              <w:rPr>
                <w:rFonts w:ascii="Arial Narrow" w:eastAsiaTheme="minorEastAsia" w:hAnsi="Arial Narrow"/>
                <w:sz w:val="20"/>
              </w:rPr>
              <w:t>D</w:t>
            </w:r>
            <w:r w:rsidRPr="00E12389">
              <w:rPr>
                <w:rFonts w:ascii="Arial Narrow" w:eastAsiaTheme="minorEastAsia" w:hAnsi="Arial Narrow"/>
                <w:sz w:val="20"/>
              </w:rPr>
              <w:t>irect PD</w:t>
            </w:r>
            <w:r w:rsidR="00D70D16">
              <w:rPr>
                <w:rFonts w:ascii="Arial Narrow" w:eastAsiaTheme="minorEastAsia" w:hAnsi="Arial Narrow"/>
                <w:sz w:val="20"/>
              </w:rPr>
              <w:t>-</w:t>
            </w:r>
            <w:r w:rsidRPr="00E12389">
              <w:rPr>
                <w:rFonts w:ascii="Arial Narrow" w:eastAsiaTheme="minorEastAsia" w:hAnsi="Arial Narrow"/>
                <w:sz w:val="20"/>
              </w:rPr>
              <w:t xml:space="preserve">1 </w:t>
            </w:r>
            <w:r w:rsidR="00D70D16">
              <w:rPr>
                <w:rFonts w:ascii="Arial Narrow" w:eastAsiaTheme="minorEastAsia" w:hAnsi="Arial Narrow"/>
                <w:sz w:val="20"/>
              </w:rPr>
              <w:t xml:space="preserve">inhibitor </w:t>
            </w:r>
            <w:r w:rsidRPr="00E12389">
              <w:rPr>
                <w:rFonts w:ascii="Arial Narrow" w:eastAsiaTheme="minorEastAsia" w:hAnsi="Arial Narrow"/>
                <w:sz w:val="20"/>
              </w:rPr>
              <w:t>offset</w:t>
            </w:r>
            <w:r w:rsidR="00D70D16">
              <w:rPr>
                <w:rFonts w:ascii="Arial Narrow" w:eastAsiaTheme="minorEastAsia" w:hAnsi="Arial Narrow"/>
                <w:sz w:val="20"/>
              </w:rPr>
              <w:t>s</w:t>
            </w:r>
            <w:r w:rsidRPr="00E12389">
              <w:rPr>
                <w:rFonts w:ascii="Arial Narrow" w:eastAsiaTheme="minorEastAsia" w:hAnsi="Arial Narrow"/>
                <w:sz w:val="20"/>
              </w:rPr>
              <w:t xml:space="preserve"> </w:t>
            </w:r>
            <w:r w:rsidR="005F2392">
              <w:rPr>
                <w:rFonts w:ascii="Arial Narrow" w:eastAsiaTheme="minorEastAsia" w:hAnsi="Arial Narrow"/>
                <w:sz w:val="20"/>
              </w:rPr>
              <w:t>were</w:t>
            </w:r>
            <w:r w:rsidRPr="00E12389">
              <w:rPr>
                <w:rFonts w:ascii="Arial Narrow" w:eastAsiaTheme="minorEastAsia" w:hAnsi="Arial Narrow"/>
                <w:sz w:val="20"/>
              </w:rPr>
              <w:t xml:space="preserve"> </w:t>
            </w:r>
            <w:r w:rsidR="00D70D16">
              <w:rPr>
                <w:rFonts w:ascii="Arial Narrow" w:eastAsiaTheme="minorEastAsia" w:hAnsi="Arial Narrow"/>
                <w:sz w:val="20"/>
              </w:rPr>
              <w:t>incorporated</w:t>
            </w:r>
            <w:r w:rsidRPr="00E12389">
              <w:rPr>
                <w:rFonts w:ascii="Arial Narrow" w:eastAsiaTheme="minorEastAsia" w:hAnsi="Arial Narrow"/>
                <w:sz w:val="20"/>
              </w:rPr>
              <w:t xml:space="preserve"> in</w:t>
            </w:r>
            <w:r w:rsidR="005F2392">
              <w:rPr>
                <w:rFonts w:ascii="Arial Narrow" w:eastAsiaTheme="minorEastAsia" w:hAnsi="Arial Narrow"/>
                <w:sz w:val="20"/>
              </w:rPr>
              <w:t>to</w:t>
            </w:r>
            <w:r w:rsidRPr="00E12389">
              <w:rPr>
                <w:rFonts w:ascii="Arial Narrow" w:eastAsiaTheme="minorEastAsia" w:hAnsi="Arial Narrow"/>
                <w:sz w:val="20"/>
              </w:rPr>
              <w:t xml:space="preserve"> this approach. </w:t>
            </w:r>
          </w:p>
        </w:tc>
      </w:tr>
      <w:tr w:rsidR="001A56ED" w:rsidRPr="00E12389" w:rsidTr="005F2392">
        <w:tc>
          <w:tcPr>
            <w:tcW w:w="3823" w:type="dxa"/>
            <w:tcMar>
              <w:left w:w="28" w:type="dxa"/>
              <w:right w:w="28" w:type="dxa"/>
            </w:tcMar>
          </w:tcPr>
          <w:p w:rsidR="001A56ED" w:rsidRPr="00E12389" w:rsidRDefault="00D70D16" w:rsidP="008247C8">
            <w:pPr>
              <w:keepNext/>
              <w:rPr>
                <w:rFonts w:ascii="Arial Narrow" w:eastAsiaTheme="minorEastAsia" w:hAnsi="Arial Narrow"/>
                <w:sz w:val="20"/>
              </w:rPr>
            </w:pPr>
            <w:r>
              <w:rPr>
                <w:rFonts w:ascii="Arial Narrow" w:eastAsiaTheme="minorEastAsia" w:hAnsi="Arial Narrow"/>
                <w:sz w:val="20"/>
              </w:rPr>
              <w:t>E</w:t>
            </w:r>
            <w:r w:rsidR="001A56ED" w:rsidRPr="00E12389">
              <w:rPr>
                <w:rFonts w:ascii="Arial Narrow" w:eastAsiaTheme="minorEastAsia" w:hAnsi="Arial Narrow"/>
                <w:sz w:val="20"/>
              </w:rPr>
              <w:t xml:space="preserve">stimated eligible patient population was determined by an epidemiological approach without applying proportion estimates for BRAF </w:t>
            </w:r>
            <w:r>
              <w:rPr>
                <w:rFonts w:ascii="Arial Narrow" w:eastAsiaTheme="minorEastAsia" w:hAnsi="Arial Narrow"/>
                <w:sz w:val="20"/>
              </w:rPr>
              <w:t>+</w:t>
            </w:r>
            <w:proofErr w:type="spellStart"/>
            <w:r>
              <w:rPr>
                <w:rFonts w:ascii="Arial Narrow" w:eastAsiaTheme="minorEastAsia" w:hAnsi="Arial Narrow"/>
                <w:sz w:val="20"/>
              </w:rPr>
              <w:t>ve</w:t>
            </w:r>
            <w:proofErr w:type="spellEnd"/>
            <w:r w:rsidR="001A56ED" w:rsidRPr="00E12389">
              <w:rPr>
                <w:rFonts w:ascii="Arial Narrow" w:eastAsiaTheme="minorEastAsia" w:hAnsi="Arial Narrow"/>
                <w:sz w:val="20"/>
              </w:rPr>
              <w:t xml:space="preserve"> patients or relative treatment share among classes. </w:t>
            </w:r>
          </w:p>
        </w:tc>
        <w:tc>
          <w:tcPr>
            <w:tcW w:w="5244" w:type="dxa"/>
            <w:tcMar>
              <w:left w:w="28" w:type="dxa"/>
              <w:right w:w="28" w:type="dxa"/>
            </w:tcMar>
          </w:tcPr>
          <w:p w:rsidR="001A56ED" w:rsidRPr="00E12389" w:rsidRDefault="001A56ED" w:rsidP="008247C8">
            <w:pPr>
              <w:keepNext/>
              <w:rPr>
                <w:rFonts w:ascii="Arial Narrow" w:eastAsiaTheme="minorEastAsia" w:hAnsi="Arial Narrow"/>
                <w:sz w:val="20"/>
              </w:rPr>
            </w:pPr>
            <w:r w:rsidRPr="00E12389">
              <w:rPr>
                <w:rFonts w:ascii="Arial Narrow" w:eastAsiaTheme="minorEastAsia" w:hAnsi="Arial Narrow"/>
                <w:sz w:val="20"/>
              </w:rPr>
              <w:t xml:space="preserve">The eligible patient population estimate considers 38% of patients </w:t>
            </w:r>
            <w:r w:rsidR="00D70D16">
              <w:rPr>
                <w:rFonts w:ascii="Arial Narrow" w:eastAsiaTheme="minorEastAsia" w:hAnsi="Arial Narrow"/>
                <w:sz w:val="20"/>
              </w:rPr>
              <w:t xml:space="preserve">are </w:t>
            </w:r>
            <w:r w:rsidRPr="00E12389">
              <w:rPr>
                <w:rFonts w:ascii="Arial Narrow" w:eastAsiaTheme="minorEastAsia" w:hAnsi="Arial Narrow"/>
                <w:sz w:val="20"/>
              </w:rPr>
              <w:t xml:space="preserve">BRAF </w:t>
            </w:r>
            <w:r w:rsidR="00D70D16">
              <w:rPr>
                <w:rFonts w:ascii="Arial Narrow" w:eastAsiaTheme="minorEastAsia" w:hAnsi="Arial Narrow"/>
                <w:sz w:val="20"/>
              </w:rPr>
              <w:t>+</w:t>
            </w:r>
            <w:proofErr w:type="spellStart"/>
            <w:r w:rsidR="00D70D16">
              <w:rPr>
                <w:rFonts w:ascii="Arial Narrow" w:eastAsiaTheme="minorEastAsia" w:hAnsi="Arial Narrow"/>
                <w:sz w:val="20"/>
              </w:rPr>
              <w:t>ve</w:t>
            </w:r>
            <w:proofErr w:type="spellEnd"/>
            <w:r w:rsidRPr="00E12389">
              <w:rPr>
                <w:rFonts w:ascii="Arial Narrow" w:eastAsiaTheme="minorEastAsia" w:hAnsi="Arial Narrow"/>
                <w:sz w:val="20"/>
              </w:rPr>
              <w:t xml:space="preserve"> (Lyle et al. 2016) and utilised an 80</w:t>
            </w:r>
            <w:r w:rsidR="00CF2555">
              <w:rPr>
                <w:rFonts w:ascii="Arial Narrow" w:eastAsiaTheme="minorEastAsia" w:hAnsi="Arial Narrow"/>
                <w:sz w:val="20"/>
              </w:rPr>
              <w:t>%</w:t>
            </w:r>
            <w:r w:rsidRPr="00E12389">
              <w:rPr>
                <w:rFonts w:ascii="Arial Narrow" w:eastAsiaTheme="minorEastAsia" w:hAnsi="Arial Narrow"/>
                <w:sz w:val="20"/>
              </w:rPr>
              <w:t xml:space="preserve">/20% market share split between </w:t>
            </w:r>
            <w:r w:rsidR="00D70D16">
              <w:rPr>
                <w:rFonts w:ascii="Arial Narrow" w:eastAsiaTheme="minorEastAsia" w:hAnsi="Arial Narrow"/>
                <w:sz w:val="20"/>
              </w:rPr>
              <w:t xml:space="preserve">the </w:t>
            </w:r>
            <w:r w:rsidRPr="00E12389">
              <w:rPr>
                <w:rFonts w:ascii="Arial Narrow" w:eastAsiaTheme="minorEastAsia" w:hAnsi="Arial Narrow"/>
                <w:sz w:val="20"/>
              </w:rPr>
              <w:t>PD</w:t>
            </w:r>
            <w:r w:rsidR="00D70D16">
              <w:rPr>
                <w:rFonts w:ascii="Arial Narrow" w:eastAsiaTheme="minorEastAsia" w:hAnsi="Arial Narrow"/>
                <w:sz w:val="20"/>
              </w:rPr>
              <w:t>-</w:t>
            </w:r>
            <w:r w:rsidRPr="00E12389">
              <w:rPr>
                <w:rFonts w:ascii="Arial Narrow" w:eastAsiaTheme="minorEastAsia" w:hAnsi="Arial Narrow"/>
                <w:sz w:val="20"/>
              </w:rPr>
              <w:t xml:space="preserve">1 </w:t>
            </w:r>
            <w:r w:rsidR="00D70D16">
              <w:rPr>
                <w:rFonts w:ascii="Arial Narrow" w:eastAsiaTheme="minorEastAsia" w:hAnsi="Arial Narrow"/>
                <w:sz w:val="20"/>
              </w:rPr>
              <w:t xml:space="preserve">inhibitors </w:t>
            </w:r>
            <w:r w:rsidRPr="00E12389">
              <w:rPr>
                <w:rFonts w:ascii="Arial Narrow" w:eastAsiaTheme="minorEastAsia" w:hAnsi="Arial Narrow"/>
                <w:sz w:val="20"/>
              </w:rPr>
              <w:t>and</w:t>
            </w:r>
            <w:r>
              <w:rPr>
                <w:rFonts w:ascii="Arial Narrow" w:eastAsiaTheme="minorEastAsia" w:hAnsi="Arial Narrow"/>
                <w:sz w:val="20"/>
              </w:rPr>
              <w:t xml:space="preserve"> </w:t>
            </w:r>
            <w:r w:rsidR="00D70D16">
              <w:rPr>
                <w:rFonts w:ascii="Arial Narrow" w:eastAsiaTheme="minorEastAsia" w:hAnsi="Arial Narrow"/>
                <w:sz w:val="20"/>
              </w:rPr>
              <w:t>DAB+TRAM</w:t>
            </w:r>
            <w:r w:rsidRPr="00E12389">
              <w:rPr>
                <w:rFonts w:ascii="Arial Narrow" w:eastAsiaTheme="minorEastAsia" w:hAnsi="Arial Narrow"/>
                <w:sz w:val="20"/>
              </w:rPr>
              <w:t xml:space="preserve">. </w:t>
            </w:r>
          </w:p>
        </w:tc>
      </w:tr>
      <w:tr w:rsidR="001A56ED" w:rsidRPr="00E12389" w:rsidTr="005F2392">
        <w:tc>
          <w:tcPr>
            <w:tcW w:w="3823" w:type="dxa"/>
            <w:tcMar>
              <w:left w:w="28" w:type="dxa"/>
              <w:right w:w="28" w:type="dxa"/>
            </w:tcMar>
          </w:tcPr>
          <w:p w:rsidR="001A56ED" w:rsidRPr="00E12389" w:rsidRDefault="001A56ED" w:rsidP="008247C8">
            <w:pPr>
              <w:keepNext/>
              <w:rPr>
                <w:rFonts w:ascii="Arial Narrow" w:eastAsiaTheme="minorEastAsia" w:hAnsi="Arial Narrow"/>
                <w:sz w:val="20"/>
              </w:rPr>
            </w:pPr>
            <w:r w:rsidRPr="00E12389">
              <w:rPr>
                <w:rFonts w:ascii="Arial Narrow" w:eastAsiaTheme="minorEastAsia" w:hAnsi="Arial Narrow"/>
                <w:sz w:val="20"/>
              </w:rPr>
              <w:t xml:space="preserve">Grandfathered patients were not accounted for as no </w:t>
            </w:r>
            <w:r w:rsidR="005F2392">
              <w:rPr>
                <w:rFonts w:ascii="Arial Narrow" w:eastAsiaTheme="minorEastAsia" w:hAnsi="Arial Narrow"/>
                <w:sz w:val="20"/>
              </w:rPr>
              <w:t>PAP</w:t>
            </w:r>
            <w:r w:rsidRPr="00E12389">
              <w:rPr>
                <w:rFonts w:ascii="Arial Narrow" w:eastAsiaTheme="minorEastAsia" w:hAnsi="Arial Narrow"/>
                <w:sz w:val="20"/>
              </w:rPr>
              <w:t xml:space="preserve"> is currently in place for </w:t>
            </w:r>
            <w:r w:rsidR="00D70D16">
              <w:rPr>
                <w:rFonts w:ascii="Arial Narrow" w:eastAsiaTheme="minorEastAsia" w:hAnsi="Arial Narrow"/>
                <w:sz w:val="20"/>
              </w:rPr>
              <w:t>adjuvant PEMBRO</w:t>
            </w:r>
            <w:r w:rsidRPr="00E12389">
              <w:rPr>
                <w:rFonts w:ascii="Arial Narrow" w:eastAsiaTheme="minorEastAsia" w:hAnsi="Arial Narrow"/>
                <w:sz w:val="20"/>
              </w:rPr>
              <w:t>.</w:t>
            </w:r>
          </w:p>
        </w:tc>
        <w:tc>
          <w:tcPr>
            <w:tcW w:w="5244" w:type="dxa"/>
            <w:tcMar>
              <w:left w:w="28" w:type="dxa"/>
              <w:right w:w="28" w:type="dxa"/>
            </w:tcMar>
          </w:tcPr>
          <w:p w:rsidR="001A56ED" w:rsidRPr="00E12389" w:rsidRDefault="001A56ED" w:rsidP="008247C8">
            <w:pPr>
              <w:keepNext/>
              <w:rPr>
                <w:rFonts w:ascii="Arial Narrow" w:eastAsiaTheme="minorEastAsia" w:hAnsi="Arial Narrow"/>
                <w:sz w:val="20"/>
              </w:rPr>
            </w:pPr>
            <w:r w:rsidRPr="00E12389">
              <w:rPr>
                <w:rFonts w:ascii="Arial Narrow" w:eastAsiaTheme="minorEastAsia" w:hAnsi="Arial Narrow"/>
                <w:sz w:val="20"/>
              </w:rPr>
              <w:t>1</w:t>
            </w:r>
            <w:r>
              <w:rPr>
                <w:rFonts w:ascii="Arial Narrow" w:eastAsiaTheme="minorEastAsia" w:hAnsi="Arial Narrow"/>
                <w:sz w:val="20"/>
              </w:rPr>
              <w:t>,</w:t>
            </w:r>
            <w:r w:rsidRPr="00E12389">
              <w:rPr>
                <w:rFonts w:ascii="Arial Narrow" w:eastAsiaTheme="minorEastAsia" w:hAnsi="Arial Narrow"/>
                <w:sz w:val="20"/>
              </w:rPr>
              <w:t xml:space="preserve">000 grandfathered patients </w:t>
            </w:r>
            <w:r w:rsidR="00D70D16">
              <w:rPr>
                <w:rFonts w:ascii="Arial Narrow" w:eastAsiaTheme="minorEastAsia" w:hAnsi="Arial Narrow"/>
                <w:sz w:val="20"/>
              </w:rPr>
              <w:t>were includ</w:t>
            </w:r>
            <w:r w:rsidRPr="00E12389">
              <w:rPr>
                <w:rFonts w:ascii="Arial Narrow" w:eastAsiaTheme="minorEastAsia" w:hAnsi="Arial Narrow"/>
                <w:sz w:val="20"/>
              </w:rPr>
              <w:t xml:space="preserve">ed based on the predicted </w:t>
            </w:r>
            <w:r w:rsidR="00D70D16">
              <w:rPr>
                <w:rFonts w:ascii="Arial Narrow" w:eastAsiaTheme="minorEastAsia" w:hAnsi="Arial Narrow"/>
                <w:sz w:val="20"/>
              </w:rPr>
              <w:t xml:space="preserve">number of </w:t>
            </w:r>
            <w:r w:rsidRPr="00E12389">
              <w:rPr>
                <w:rFonts w:ascii="Arial Narrow" w:eastAsiaTheme="minorEastAsia" w:hAnsi="Arial Narrow"/>
                <w:sz w:val="20"/>
              </w:rPr>
              <w:t xml:space="preserve">patients receiving </w:t>
            </w:r>
            <w:r w:rsidR="00D70D16">
              <w:rPr>
                <w:rFonts w:ascii="Arial Narrow" w:eastAsiaTheme="minorEastAsia" w:hAnsi="Arial Narrow"/>
                <w:sz w:val="20"/>
              </w:rPr>
              <w:t xml:space="preserve">NIVO via </w:t>
            </w:r>
            <w:r w:rsidR="005F2392">
              <w:rPr>
                <w:rFonts w:ascii="Arial Narrow" w:eastAsiaTheme="minorEastAsia" w:hAnsi="Arial Narrow"/>
                <w:sz w:val="20"/>
              </w:rPr>
              <w:t>PAPs (</w:t>
            </w:r>
            <w:r w:rsidR="00FA14E5">
              <w:rPr>
                <w:rFonts w:ascii="Arial Narrow" w:eastAsiaTheme="minorEastAsia" w:hAnsi="Arial Narrow"/>
                <w:sz w:val="20"/>
              </w:rPr>
              <w:t xml:space="preserve">para 2.13, </w:t>
            </w:r>
            <w:proofErr w:type="spellStart"/>
            <w:r w:rsidR="00FA14E5">
              <w:rPr>
                <w:rFonts w:ascii="Arial Narrow" w:eastAsiaTheme="minorEastAsia" w:hAnsi="Arial Narrow"/>
                <w:sz w:val="20"/>
              </w:rPr>
              <w:t>nivolumab</w:t>
            </w:r>
            <w:proofErr w:type="spellEnd"/>
            <w:r w:rsidR="00FA14E5">
              <w:rPr>
                <w:rFonts w:ascii="Arial Narrow" w:eastAsiaTheme="minorEastAsia" w:hAnsi="Arial Narrow"/>
                <w:sz w:val="20"/>
              </w:rPr>
              <w:t xml:space="preserve"> P</w:t>
            </w:r>
            <w:r w:rsidRPr="00E12389">
              <w:rPr>
                <w:rFonts w:ascii="Arial Narrow" w:eastAsiaTheme="minorEastAsia" w:hAnsi="Arial Narrow"/>
                <w:sz w:val="20"/>
              </w:rPr>
              <w:t>SD</w:t>
            </w:r>
            <w:r w:rsidR="00FA14E5">
              <w:rPr>
                <w:rFonts w:ascii="Arial Narrow" w:eastAsiaTheme="minorEastAsia" w:hAnsi="Arial Narrow"/>
                <w:sz w:val="20"/>
              </w:rPr>
              <w:t>,</w:t>
            </w:r>
            <w:r w:rsidRPr="00E12389">
              <w:rPr>
                <w:rFonts w:ascii="Arial Narrow" w:eastAsiaTheme="minorEastAsia" w:hAnsi="Arial Narrow"/>
                <w:sz w:val="20"/>
              </w:rPr>
              <w:t xml:space="preserve"> March 2019)</w:t>
            </w:r>
          </w:p>
        </w:tc>
      </w:tr>
      <w:tr w:rsidR="001A56ED" w:rsidRPr="00E12389" w:rsidTr="005F2392">
        <w:tc>
          <w:tcPr>
            <w:tcW w:w="3823" w:type="dxa"/>
            <w:tcMar>
              <w:left w:w="28" w:type="dxa"/>
              <w:right w:w="28" w:type="dxa"/>
            </w:tcMar>
          </w:tcPr>
          <w:p w:rsidR="001A56ED" w:rsidRPr="00E12389" w:rsidRDefault="005F2392" w:rsidP="005F2392">
            <w:pPr>
              <w:rPr>
                <w:rFonts w:ascii="Arial Narrow" w:eastAsiaTheme="minorEastAsia" w:hAnsi="Arial Narrow"/>
                <w:sz w:val="20"/>
              </w:rPr>
            </w:pPr>
            <w:r>
              <w:rPr>
                <w:rFonts w:ascii="Arial Narrow" w:eastAsiaTheme="minorEastAsia" w:hAnsi="Arial Narrow"/>
                <w:sz w:val="20"/>
              </w:rPr>
              <w:t xml:space="preserve">Used </w:t>
            </w:r>
            <w:r w:rsidR="001A56ED" w:rsidRPr="00E12389">
              <w:rPr>
                <w:rFonts w:ascii="Arial Narrow" w:eastAsiaTheme="minorEastAsia" w:hAnsi="Arial Narrow"/>
                <w:sz w:val="20"/>
              </w:rPr>
              <w:t xml:space="preserve">1 July 2018 </w:t>
            </w:r>
            <w:r>
              <w:rPr>
                <w:rFonts w:ascii="Arial Narrow" w:eastAsiaTheme="minorEastAsia" w:hAnsi="Arial Narrow"/>
                <w:sz w:val="20"/>
              </w:rPr>
              <w:t>dispensing fees</w:t>
            </w:r>
            <w:r w:rsidR="001A56ED" w:rsidRPr="00E12389">
              <w:rPr>
                <w:rFonts w:ascii="Arial Narrow" w:eastAsiaTheme="minorEastAsia" w:hAnsi="Arial Narrow"/>
                <w:sz w:val="20"/>
              </w:rPr>
              <w:t>.</w:t>
            </w:r>
          </w:p>
        </w:tc>
        <w:tc>
          <w:tcPr>
            <w:tcW w:w="5244" w:type="dxa"/>
            <w:tcMar>
              <w:left w:w="28" w:type="dxa"/>
              <w:right w:w="28" w:type="dxa"/>
            </w:tcMar>
          </w:tcPr>
          <w:p w:rsidR="001A56ED" w:rsidRPr="00E12389" w:rsidRDefault="005F2392" w:rsidP="004343D8">
            <w:pPr>
              <w:rPr>
                <w:rFonts w:ascii="Arial Narrow" w:eastAsiaTheme="minorEastAsia" w:hAnsi="Arial Narrow"/>
                <w:sz w:val="20"/>
              </w:rPr>
            </w:pPr>
            <w:r>
              <w:rPr>
                <w:rFonts w:ascii="Arial Narrow" w:eastAsiaTheme="minorEastAsia" w:hAnsi="Arial Narrow"/>
                <w:sz w:val="20"/>
              </w:rPr>
              <w:t>Updated.</w:t>
            </w:r>
            <w:r w:rsidR="001A56ED" w:rsidRPr="00E12389">
              <w:rPr>
                <w:rFonts w:ascii="Arial Narrow" w:eastAsiaTheme="minorEastAsia" w:hAnsi="Arial Narrow"/>
                <w:sz w:val="20"/>
              </w:rPr>
              <w:t xml:space="preserve"> </w:t>
            </w:r>
          </w:p>
        </w:tc>
      </w:tr>
    </w:tbl>
    <w:p w:rsidR="001A56ED" w:rsidRPr="00FA14E5" w:rsidRDefault="005F2392" w:rsidP="00FA14E5">
      <w:pPr>
        <w:pStyle w:val="3Bodytext"/>
        <w:numPr>
          <w:ilvl w:val="0"/>
          <w:numId w:val="0"/>
        </w:numPr>
        <w:spacing w:after="0"/>
        <w:rPr>
          <w:rFonts w:ascii="Arial Narrow" w:hAnsi="Arial Narrow"/>
          <w:sz w:val="18"/>
          <w:szCs w:val="18"/>
        </w:rPr>
      </w:pPr>
      <w:r>
        <w:rPr>
          <w:rFonts w:ascii="Arial Narrow" w:hAnsi="Arial Narrow"/>
          <w:sz w:val="18"/>
          <w:szCs w:val="18"/>
        </w:rPr>
        <w:t xml:space="preserve">DAB+TRAM = </w:t>
      </w:r>
      <w:proofErr w:type="spellStart"/>
      <w:r>
        <w:rPr>
          <w:rFonts w:ascii="Arial Narrow" w:hAnsi="Arial Narrow"/>
          <w:sz w:val="18"/>
          <w:szCs w:val="18"/>
        </w:rPr>
        <w:t>dabrafenib</w:t>
      </w:r>
      <w:proofErr w:type="spellEnd"/>
      <w:r w:rsidR="008A06F4">
        <w:rPr>
          <w:rFonts w:ascii="Arial Narrow" w:hAnsi="Arial Narrow"/>
          <w:sz w:val="18"/>
          <w:szCs w:val="18"/>
        </w:rPr>
        <w:t xml:space="preserve"> </w:t>
      </w:r>
      <w:r>
        <w:rPr>
          <w:rFonts w:ascii="Arial Narrow" w:hAnsi="Arial Narrow"/>
          <w:sz w:val="18"/>
          <w:szCs w:val="18"/>
        </w:rPr>
        <w:t>+</w:t>
      </w:r>
      <w:r w:rsidR="008A06F4">
        <w:rPr>
          <w:rFonts w:ascii="Arial Narrow" w:hAnsi="Arial Narrow"/>
          <w:sz w:val="18"/>
          <w:szCs w:val="18"/>
        </w:rPr>
        <w:t xml:space="preserve"> </w:t>
      </w:r>
      <w:proofErr w:type="spellStart"/>
      <w:r>
        <w:rPr>
          <w:rFonts w:ascii="Arial Narrow" w:hAnsi="Arial Narrow"/>
          <w:sz w:val="18"/>
          <w:szCs w:val="18"/>
        </w:rPr>
        <w:t>trametinib</w:t>
      </w:r>
      <w:proofErr w:type="spellEnd"/>
      <w:r>
        <w:rPr>
          <w:rFonts w:ascii="Arial Narrow" w:hAnsi="Arial Narrow"/>
          <w:sz w:val="18"/>
          <w:szCs w:val="18"/>
        </w:rPr>
        <w:t xml:space="preserve">; PAP = patient access program; NIVO = </w:t>
      </w:r>
      <w:proofErr w:type="spellStart"/>
      <w:r>
        <w:rPr>
          <w:rFonts w:ascii="Arial Narrow" w:hAnsi="Arial Narrow"/>
          <w:sz w:val="18"/>
          <w:szCs w:val="18"/>
        </w:rPr>
        <w:t>nivolumab</w:t>
      </w:r>
      <w:proofErr w:type="spellEnd"/>
      <w:r>
        <w:rPr>
          <w:rFonts w:ascii="Arial Narrow" w:hAnsi="Arial Narrow"/>
          <w:sz w:val="18"/>
          <w:szCs w:val="18"/>
        </w:rPr>
        <w:t xml:space="preserve">; </w:t>
      </w:r>
      <w:r w:rsidR="001A56ED" w:rsidRPr="00FA14E5">
        <w:rPr>
          <w:rFonts w:ascii="Arial Narrow" w:hAnsi="Arial Narrow"/>
          <w:sz w:val="18"/>
          <w:szCs w:val="18"/>
        </w:rPr>
        <w:t xml:space="preserve">PBAC = Pharmaceutical Benefits Advisory Committee; PD-1 = programmed cell death-1; </w:t>
      </w:r>
      <w:r>
        <w:rPr>
          <w:rFonts w:ascii="Arial Narrow" w:hAnsi="Arial Narrow"/>
          <w:sz w:val="18"/>
          <w:szCs w:val="18"/>
        </w:rPr>
        <w:t xml:space="preserve">PEMBRO = </w:t>
      </w:r>
      <w:proofErr w:type="spellStart"/>
      <w:r>
        <w:rPr>
          <w:rFonts w:ascii="Arial Narrow" w:hAnsi="Arial Narrow"/>
          <w:sz w:val="18"/>
          <w:szCs w:val="18"/>
        </w:rPr>
        <w:t>pembrolizumab</w:t>
      </w:r>
      <w:proofErr w:type="spellEnd"/>
      <w:r>
        <w:rPr>
          <w:rFonts w:ascii="Arial Narrow" w:hAnsi="Arial Narrow"/>
          <w:sz w:val="18"/>
          <w:szCs w:val="18"/>
        </w:rPr>
        <w:t xml:space="preserve">; </w:t>
      </w:r>
      <w:r w:rsidR="001A56ED" w:rsidRPr="00FA14E5">
        <w:rPr>
          <w:rFonts w:ascii="Arial Narrow" w:hAnsi="Arial Narrow"/>
          <w:sz w:val="18"/>
          <w:szCs w:val="18"/>
        </w:rPr>
        <w:t>RSA = risk sharing arrangement</w:t>
      </w:r>
      <w:r w:rsidR="00FA14E5" w:rsidRPr="00FA14E5">
        <w:rPr>
          <w:rFonts w:ascii="Arial Narrow" w:hAnsi="Arial Narrow"/>
          <w:sz w:val="18"/>
          <w:szCs w:val="18"/>
        </w:rPr>
        <w:t xml:space="preserve"> </w:t>
      </w:r>
    </w:p>
    <w:p w:rsidR="00FA14E5" w:rsidRDefault="00FA14E5" w:rsidP="00FA14E5">
      <w:pPr>
        <w:pStyle w:val="3Bodytext"/>
        <w:numPr>
          <w:ilvl w:val="0"/>
          <w:numId w:val="0"/>
        </w:numPr>
        <w:spacing w:after="0"/>
        <w:rPr>
          <w:rFonts w:ascii="Arial Narrow" w:hAnsi="Arial Narrow"/>
          <w:sz w:val="18"/>
          <w:szCs w:val="18"/>
        </w:rPr>
      </w:pPr>
      <w:r w:rsidRPr="00FA14E5">
        <w:rPr>
          <w:rFonts w:ascii="Arial Narrow" w:hAnsi="Arial Narrow"/>
          <w:sz w:val="18"/>
          <w:szCs w:val="18"/>
        </w:rPr>
        <w:t>Source: Table 5, p7 of the minor resubmission</w:t>
      </w:r>
    </w:p>
    <w:p w:rsidR="00FA14E5" w:rsidRPr="00FA14E5" w:rsidRDefault="00FA14E5" w:rsidP="00FA14E5"/>
    <w:p w:rsidR="00CF2555" w:rsidRPr="00A911AF" w:rsidRDefault="00CF2555" w:rsidP="00A911AF">
      <w:pPr>
        <w:pStyle w:val="3Bodytext"/>
        <w:jc w:val="both"/>
        <w:rPr>
          <w:b/>
          <w:color w:val="FF00FF"/>
        </w:rPr>
      </w:pPr>
      <w:r>
        <w:t xml:space="preserve">A number of changes to the July 2019 approach used to estimate the total population eligible to receive adjuvant treatment of melanoma were made, including: </w:t>
      </w:r>
      <w:proofErr w:type="spellStart"/>
      <w:r>
        <w:t>i</w:t>
      </w:r>
      <w:proofErr w:type="spellEnd"/>
      <w:r>
        <w:t xml:space="preserve">) the removal of Stage IIIA patients (8.3% of Stage III patients); ii) the removal of a share of BRAF </w:t>
      </w:r>
      <w:r w:rsidR="00C92A3D">
        <w:t>mutant</w:t>
      </w:r>
      <w:r>
        <w:t xml:space="preserve"> patients who were assumed to have received </w:t>
      </w:r>
      <w:proofErr w:type="spellStart"/>
      <w:r>
        <w:t>dabrafenib</w:t>
      </w:r>
      <w:proofErr w:type="spellEnd"/>
      <w:r w:rsidR="008A06F4">
        <w:t xml:space="preserve"> </w:t>
      </w:r>
      <w:r>
        <w:t>+</w:t>
      </w:r>
      <w:r w:rsidR="008A06F4">
        <w:t xml:space="preserve"> </w:t>
      </w:r>
      <w:proofErr w:type="spellStart"/>
      <w:r>
        <w:t>trametinib</w:t>
      </w:r>
      <w:proofErr w:type="spellEnd"/>
      <w:r>
        <w:t xml:space="preserve">; iii) updated </w:t>
      </w:r>
      <w:r w:rsidR="00A911AF">
        <w:t xml:space="preserve">warehoused and </w:t>
      </w:r>
      <w:r>
        <w:t>grandfathered patient numbers; and iv) average time on treatment was simplified to 14.01 cycles.</w:t>
      </w:r>
    </w:p>
    <w:p w:rsidR="00A911AF" w:rsidRPr="00A911AF" w:rsidRDefault="00A911AF" w:rsidP="00A911AF">
      <w:pPr>
        <w:pStyle w:val="3Bodytext"/>
        <w:jc w:val="both"/>
        <w:rPr>
          <w:b/>
          <w:color w:val="FF00FF"/>
        </w:rPr>
      </w:pPr>
      <w:r>
        <w:t xml:space="preserve">The eligible patient population estimate considered that 38% of patients were BRAF </w:t>
      </w:r>
      <w:r w:rsidR="00C92A3D">
        <w:t>mutant</w:t>
      </w:r>
      <w:r>
        <w:t xml:space="preserve"> and utilised a 80%/20% class share split of the treatment of these patients between PD-1</w:t>
      </w:r>
      <w:r w:rsidR="00CF7B51">
        <w:t xml:space="preserve"> inhibitor</w:t>
      </w:r>
      <w:r>
        <w:t xml:space="preserve">s and </w:t>
      </w:r>
      <w:proofErr w:type="spellStart"/>
      <w:r>
        <w:t>dabrafenib</w:t>
      </w:r>
      <w:proofErr w:type="spellEnd"/>
      <w:r w:rsidR="008A06F4">
        <w:t xml:space="preserve"> </w:t>
      </w:r>
      <w:r>
        <w:t>+</w:t>
      </w:r>
      <w:r w:rsidR="008A06F4">
        <w:t xml:space="preserve"> </w:t>
      </w:r>
      <w:proofErr w:type="spellStart"/>
      <w:r>
        <w:t>trametinib</w:t>
      </w:r>
      <w:proofErr w:type="spellEnd"/>
      <w:r>
        <w:t xml:space="preserve">, resulting in 92% of adjuvant patients being treated with a PD-1 </w:t>
      </w:r>
      <w:r w:rsidR="00CF7B51">
        <w:t xml:space="preserve">inhibitor </w:t>
      </w:r>
      <w:r>
        <w:t xml:space="preserve">(i.e. all BRAF </w:t>
      </w:r>
      <w:r w:rsidR="00557A63">
        <w:t>wild type</w:t>
      </w:r>
      <w:r>
        <w:t xml:space="preserve"> (100% * 62%) + BRAF </w:t>
      </w:r>
      <w:r w:rsidR="00557A63">
        <w:t>mutant</w:t>
      </w:r>
      <w:r>
        <w:t xml:space="preserve"> (80% * 38%)). The high uptake of PD-1 </w:t>
      </w:r>
      <w:r w:rsidR="00CF7B51">
        <w:t xml:space="preserve">inhibitor </w:t>
      </w:r>
      <w:r>
        <w:t xml:space="preserve">therapy in patients who are BRAF </w:t>
      </w:r>
      <w:r w:rsidR="00C92A3D">
        <w:t>mutant</w:t>
      </w:r>
      <w:r>
        <w:t xml:space="preserve"> was based on:</w:t>
      </w:r>
    </w:p>
    <w:p w:rsidR="00A911AF" w:rsidRPr="00A911AF" w:rsidRDefault="00A911AF" w:rsidP="00A911AF">
      <w:pPr>
        <w:pStyle w:val="3Bodytext"/>
        <w:numPr>
          <w:ilvl w:val="1"/>
          <w:numId w:val="27"/>
        </w:numPr>
        <w:ind w:left="1077" w:hanging="357"/>
        <w:jc w:val="both"/>
        <w:rPr>
          <w:b/>
          <w:color w:val="FF00FF"/>
        </w:rPr>
      </w:pPr>
      <w:r>
        <w:t xml:space="preserve">Patients who are BRAF </w:t>
      </w:r>
      <w:r w:rsidR="00C92A3D">
        <w:t>mutant</w:t>
      </w:r>
      <w:r>
        <w:t xml:space="preserve"> cannot access PD-1 </w:t>
      </w:r>
      <w:r w:rsidR="00CF7B51">
        <w:t xml:space="preserve">inhibitor </w:t>
      </w:r>
      <w:r>
        <w:t xml:space="preserve">therapy as a first-line option in the </w:t>
      </w:r>
      <w:proofErr w:type="spellStart"/>
      <w:r>
        <w:t>unresectable</w:t>
      </w:r>
      <w:proofErr w:type="spellEnd"/>
      <w:r>
        <w:t xml:space="preserve"> or metastatic setting;</w:t>
      </w:r>
    </w:p>
    <w:p w:rsidR="00A911AF" w:rsidRPr="00A911AF" w:rsidRDefault="00A911AF" w:rsidP="00A911AF">
      <w:pPr>
        <w:pStyle w:val="3Bodytext"/>
        <w:numPr>
          <w:ilvl w:val="1"/>
          <w:numId w:val="27"/>
        </w:numPr>
        <w:ind w:left="1077" w:hanging="357"/>
        <w:jc w:val="both"/>
        <w:rPr>
          <w:b/>
          <w:color w:val="FF00FF"/>
        </w:rPr>
      </w:pPr>
      <w:r>
        <w:t xml:space="preserve">Clinician feedback stating that there has been a low uptake of </w:t>
      </w:r>
      <w:proofErr w:type="spellStart"/>
      <w:r>
        <w:t>dabrafenib</w:t>
      </w:r>
      <w:proofErr w:type="spellEnd"/>
      <w:r w:rsidR="008A06F4">
        <w:t xml:space="preserve"> </w:t>
      </w:r>
      <w:r>
        <w:t>+</w:t>
      </w:r>
      <w:r w:rsidR="008A06F4">
        <w:t xml:space="preserve"> </w:t>
      </w:r>
      <w:proofErr w:type="spellStart"/>
      <w:r>
        <w:t>trametinib</w:t>
      </w:r>
      <w:proofErr w:type="spellEnd"/>
      <w:r>
        <w:t xml:space="preserve"> compared to </w:t>
      </w:r>
      <w:proofErr w:type="spellStart"/>
      <w:r>
        <w:t>nivolumab</w:t>
      </w:r>
      <w:proofErr w:type="spellEnd"/>
      <w:r>
        <w:t xml:space="preserve"> in the adjuvant melanoma patient access programs;</w:t>
      </w:r>
    </w:p>
    <w:p w:rsidR="00A911AF" w:rsidRPr="00A911AF" w:rsidRDefault="00A911AF" w:rsidP="00A911AF">
      <w:pPr>
        <w:pStyle w:val="3Bodytext"/>
        <w:numPr>
          <w:ilvl w:val="1"/>
          <w:numId w:val="27"/>
        </w:numPr>
        <w:ind w:left="1077" w:hanging="357"/>
        <w:jc w:val="both"/>
        <w:rPr>
          <w:b/>
          <w:color w:val="FF00FF"/>
        </w:rPr>
      </w:pPr>
      <w:r>
        <w:t xml:space="preserve">The improved safety profile of the PD-1 inhibitors compared to </w:t>
      </w:r>
      <w:proofErr w:type="spellStart"/>
      <w:r>
        <w:t>dabrafenib</w:t>
      </w:r>
      <w:proofErr w:type="spellEnd"/>
      <w:r w:rsidR="008A06F4">
        <w:t xml:space="preserve"> </w:t>
      </w:r>
      <w:r>
        <w:t>+</w:t>
      </w:r>
      <w:r w:rsidR="008A06F4">
        <w:t xml:space="preserve"> </w:t>
      </w:r>
      <w:proofErr w:type="spellStart"/>
      <w:r>
        <w:t>trametinib</w:t>
      </w:r>
      <w:proofErr w:type="spellEnd"/>
      <w:r>
        <w:t>;</w:t>
      </w:r>
    </w:p>
    <w:p w:rsidR="00A911AF" w:rsidRPr="00804F85" w:rsidRDefault="00A911AF" w:rsidP="00A911AF">
      <w:pPr>
        <w:pStyle w:val="3Bodytext"/>
        <w:numPr>
          <w:ilvl w:val="1"/>
          <w:numId w:val="27"/>
        </w:numPr>
        <w:ind w:left="1077" w:hanging="357"/>
        <w:jc w:val="both"/>
        <w:rPr>
          <w:b/>
          <w:color w:val="FF00FF"/>
        </w:rPr>
      </w:pPr>
      <w:r>
        <w:t xml:space="preserve">In the </w:t>
      </w:r>
      <w:proofErr w:type="spellStart"/>
      <w:r>
        <w:t>unresectable</w:t>
      </w:r>
      <w:proofErr w:type="spellEnd"/>
      <w:r>
        <w:t xml:space="preserve"> or metastatic setting BRAF </w:t>
      </w:r>
      <w:r w:rsidR="00C92A3D">
        <w:t>mutant</w:t>
      </w:r>
      <w:r>
        <w:t xml:space="preserve"> patients receive a more durable response with PD-1 inhibitors compared to BRAF/MEK inhibitors (</w:t>
      </w:r>
      <w:proofErr w:type="spellStart"/>
      <w:r>
        <w:t>Ugurel</w:t>
      </w:r>
      <w:proofErr w:type="spellEnd"/>
      <w:r>
        <w:t xml:space="preserve"> et al, 2017). The minor resubmission stated that although similar data are not yet available for adjuvant treatment, it will continue to drive clinician choice.</w:t>
      </w:r>
    </w:p>
    <w:p w:rsidR="00E87431" w:rsidRPr="00804F85" w:rsidRDefault="00E87431" w:rsidP="00804F85">
      <w:pPr>
        <w:pStyle w:val="3Bodytext"/>
        <w:jc w:val="both"/>
      </w:pPr>
      <w:r>
        <w:lastRenderedPageBreak/>
        <w:t xml:space="preserve">The PBAC </w:t>
      </w:r>
      <w:r w:rsidR="001C664A">
        <w:t>accepted</w:t>
      </w:r>
      <w:r>
        <w:t xml:space="preserve"> that </w:t>
      </w:r>
      <w:r w:rsidR="001C664A">
        <w:t xml:space="preserve">PD1 inhibitors would generally be preferred over </w:t>
      </w:r>
      <w:proofErr w:type="spellStart"/>
      <w:r w:rsidR="001C664A">
        <w:t>dabrafenib</w:t>
      </w:r>
      <w:proofErr w:type="spellEnd"/>
      <w:r w:rsidR="001C664A">
        <w:t xml:space="preserve"> + </w:t>
      </w:r>
      <w:proofErr w:type="spellStart"/>
      <w:r w:rsidR="001C664A">
        <w:t>trametinib</w:t>
      </w:r>
      <w:proofErr w:type="spellEnd"/>
      <w:r w:rsidR="001C664A">
        <w:t xml:space="preserve"> in the adjuvant setting for BRAF mutant patients, however considered the assumed 80% market share for the PD1 inhibitors to be an overestimate.</w:t>
      </w:r>
    </w:p>
    <w:p w:rsidR="004343D8" w:rsidRPr="00A242D9" w:rsidRDefault="004343D8" w:rsidP="004343D8">
      <w:pPr>
        <w:pStyle w:val="3Bodytext"/>
        <w:jc w:val="both"/>
        <w:rPr>
          <w:b/>
          <w:color w:val="FF00FF"/>
        </w:rPr>
      </w:pPr>
      <w:r>
        <w:t xml:space="preserve">The minor resubmission included 440 warehoused patients (i.e. those who have resection surgery in the 12 weeks prior to PBS listing) and 1,000 grandfathered patients who will be enrolled in the </w:t>
      </w:r>
      <w:proofErr w:type="spellStart"/>
      <w:r>
        <w:t>nivolumab</w:t>
      </w:r>
      <w:proofErr w:type="spellEnd"/>
      <w:r>
        <w:t xml:space="preserve"> patient access program</w:t>
      </w:r>
      <w:r w:rsidR="00EB5F98">
        <w:t xml:space="preserve"> (paragraph 2.13, </w:t>
      </w:r>
      <w:proofErr w:type="spellStart"/>
      <w:r w:rsidR="00EB5F98">
        <w:t>Nivolumab</w:t>
      </w:r>
      <w:proofErr w:type="spellEnd"/>
      <w:r w:rsidR="00EB5F98">
        <w:t xml:space="preserve"> </w:t>
      </w:r>
      <w:r w:rsidR="00A310D4">
        <w:t>Public Summary Document</w:t>
      </w:r>
      <w:r w:rsidR="00EB5F98">
        <w:t>, March 2019) as t</w:t>
      </w:r>
      <w:r>
        <w:t xml:space="preserve">here is no access program for </w:t>
      </w:r>
      <w:proofErr w:type="spellStart"/>
      <w:r>
        <w:t>pembrolizumab</w:t>
      </w:r>
      <w:proofErr w:type="spellEnd"/>
      <w:r>
        <w:t>.</w:t>
      </w:r>
    </w:p>
    <w:p w:rsidR="00A242D9" w:rsidRPr="00A242D9" w:rsidRDefault="00996781" w:rsidP="004343D8">
      <w:pPr>
        <w:pStyle w:val="3Bodytext"/>
        <w:jc w:val="both"/>
        <w:rPr>
          <w:b/>
          <w:color w:val="FF00FF"/>
        </w:rPr>
      </w:pPr>
      <w:r>
        <w:t>For the financial estimates t</w:t>
      </w:r>
      <w:r w:rsidR="00A242D9">
        <w:t>he minor resubmission utilised an effective dispensed price for maximum amount of $</w:t>
      </w:r>
      <w:r w:rsidR="00D6108D">
        <w:rPr>
          <w:noProof/>
          <w:color w:val="000000"/>
          <w:highlight w:val="black"/>
        </w:rPr>
        <w:t>'''''''''''''''</w:t>
      </w:r>
      <w:r w:rsidR="00A242D9">
        <w:t>.</w:t>
      </w:r>
    </w:p>
    <w:p w:rsidR="00A242D9" w:rsidRPr="00A242D9" w:rsidRDefault="00A242D9" w:rsidP="004343D8">
      <w:pPr>
        <w:pStyle w:val="3Bodytext"/>
        <w:jc w:val="both"/>
        <w:rPr>
          <w:b/>
          <w:color w:val="FF00FF"/>
        </w:rPr>
      </w:pPr>
      <w:r>
        <w:t xml:space="preserve">Cost offsets due to patients no longer requiring treatment in the </w:t>
      </w:r>
      <w:proofErr w:type="spellStart"/>
      <w:r>
        <w:t>unresectable</w:t>
      </w:r>
      <w:proofErr w:type="spellEnd"/>
      <w:r>
        <w:t xml:space="preserve"> or metastatic setting</w:t>
      </w:r>
      <w:r w:rsidR="00E87431">
        <w:t xml:space="preserve"> due to cure in the adjuvant setting were</w:t>
      </w:r>
      <w:r>
        <w:t xml:space="preserve"> applied from Year 2.</w:t>
      </w:r>
      <w:r w:rsidR="00E87431">
        <w:t xml:space="preserve"> The PBAC noted cost offsets for patients </w:t>
      </w:r>
      <w:r w:rsidR="00E87431">
        <w:rPr>
          <w:rFonts w:cs="Arial"/>
          <w:bCs/>
          <w:snapToGrid w:val="0"/>
          <w:lang w:val="en-GB"/>
        </w:rPr>
        <w:t xml:space="preserve">no longer being eligible to receive treatment in the </w:t>
      </w:r>
      <w:proofErr w:type="spellStart"/>
      <w:r w:rsidR="00E87431">
        <w:rPr>
          <w:rFonts w:cs="Arial"/>
          <w:bCs/>
          <w:snapToGrid w:val="0"/>
          <w:lang w:val="en-GB"/>
        </w:rPr>
        <w:t>unresectable</w:t>
      </w:r>
      <w:proofErr w:type="spellEnd"/>
      <w:r w:rsidR="00E87431">
        <w:rPr>
          <w:rFonts w:cs="Arial"/>
          <w:bCs/>
          <w:snapToGrid w:val="0"/>
          <w:lang w:val="en-GB"/>
        </w:rPr>
        <w:t xml:space="preserve"> setting (due to relapse whilst receiving, or within six months of completing adjuvant treatment) were not considered in the resubmission.</w:t>
      </w:r>
    </w:p>
    <w:p w:rsidR="00A242D9" w:rsidRPr="00055C70" w:rsidRDefault="00A242D9" w:rsidP="004343D8">
      <w:pPr>
        <w:pStyle w:val="3Bodytext"/>
        <w:jc w:val="both"/>
        <w:rPr>
          <w:b/>
          <w:color w:val="FF00FF"/>
        </w:rPr>
      </w:pPr>
      <w:r>
        <w:t xml:space="preserve">A summary of the net cost to the PBS/RPBS is presented below. The minor resubmission noted that the expected net cost to the PBS/RPBS will be zero, as </w:t>
      </w:r>
      <w:proofErr w:type="spellStart"/>
      <w:r>
        <w:t>pembrolizumab</w:t>
      </w:r>
      <w:proofErr w:type="spellEnd"/>
      <w:r>
        <w:t xml:space="preserve"> would be recommended at the same price per patient as </w:t>
      </w:r>
      <w:proofErr w:type="spellStart"/>
      <w:r>
        <w:t>nivolumab</w:t>
      </w:r>
      <w:proofErr w:type="spellEnd"/>
      <w:r>
        <w:t>.</w:t>
      </w:r>
      <w:r w:rsidR="003C0AE7">
        <w:t xml:space="preserve"> </w:t>
      </w:r>
      <w:r w:rsidR="00F250C1">
        <w:t>The PBAC noted that the assumptions for the average number of administrations per patient (14.01 per year</w:t>
      </w:r>
      <w:r w:rsidR="00F41A24">
        <w:t>, based on the KEYNOTE-054 average time on treatment</w:t>
      </w:r>
      <w:r w:rsidR="00F250C1">
        <w:t xml:space="preserve">) and the treatment uptake rate of 85% were unchanged from the July 2019 submission. PBAC recalled </w:t>
      </w:r>
      <w:r w:rsidR="00B22C71">
        <w:t xml:space="preserve">that it considered that these values were overestimations. </w:t>
      </w:r>
      <w:r w:rsidR="00E35833">
        <w:t>The PBAC</w:t>
      </w:r>
      <w:r w:rsidR="00B22C71">
        <w:t xml:space="preserve"> further</w:t>
      </w:r>
      <w:r w:rsidR="00E35833">
        <w:t xml:space="preserve"> considered the number of eligible patients to be overestimated</w:t>
      </w:r>
      <w:r w:rsidR="00E87431">
        <w:t xml:space="preserve">, and the cost offsets to be underestimated. However, the PBAC noted there would be no increase in cost to the PBS/RPBS if </w:t>
      </w:r>
      <w:proofErr w:type="spellStart"/>
      <w:r w:rsidR="00E87431">
        <w:t>pembrolizumab</w:t>
      </w:r>
      <w:proofErr w:type="spellEnd"/>
      <w:r w:rsidR="00E87431">
        <w:t xml:space="preserve"> was cost minimised to </w:t>
      </w:r>
      <w:proofErr w:type="spellStart"/>
      <w:r w:rsidR="00E87431">
        <w:t>nivolumab</w:t>
      </w:r>
      <w:proofErr w:type="spellEnd"/>
      <w:r w:rsidR="00E87431">
        <w:t xml:space="preserve">, and </w:t>
      </w:r>
      <w:proofErr w:type="spellStart"/>
      <w:r w:rsidR="00E87431">
        <w:t>pembrolizumab</w:t>
      </w:r>
      <w:proofErr w:type="spellEnd"/>
      <w:r w:rsidR="00E87431">
        <w:t xml:space="preserve"> and </w:t>
      </w:r>
      <w:proofErr w:type="spellStart"/>
      <w:r w:rsidR="00E87431">
        <w:t>nivolumab</w:t>
      </w:r>
      <w:proofErr w:type="spellEnd"/>
      <w:r w:rsidR="00E87431">
        <w:t xml:space="preserve"> share the same financial expenditure caps through a RSA.</w:t>
      </w:r>
      <w:r w:rsidR="00E44CFA">
        <w:t xml:space="preserve"> </w:t>
      </w:r>
    </w:p>
    <w:p w:rsidR="003C0AE7" w:rsidRPr="003C0AE7" w:rsidRDefault="00EB5F98" w:rsidP="003C0AE7">
      <w:pPr>
        <w:pStyle w:val="3Bodytext"/>
        <w:numPr>
          <w:ilvl w:val="0"/>
          <w:numId w:val="0"/>
        </w:numPr>
        <w:spacing w:after="0"/>
        <w:jc w:val="both"/>
        <w:rPr>
          <w:rFonts w:ascii="Arial Narrow" w:hAnsi="Arial Narrow"/>
          <w:b/>
          <w:color w:val="FF00FF"/>
          <w:sz w:val="20"/>
          <w:szCs w:val="20"/>
        </w:rPr>
      </w:pPr>
      <w:r>
        <w:rPr>
          <w:rFonts w:ascii="Arial Narrow" w:hAnsi="Arial Narrow"/>
          <w:b/>
          <w:sz w:val="20"/>
          <w:szCs w:val="20"/>
        </w:rPr>
        <w:t>Table 5</w:t>
      </w:r>
      <w:r w:rsidR="003C0AE7" w:rsidRPr="003C0AE7">
        <w:rPr>
          <w:rFonts w:ascii="Arial Narrow" w:hAnsi="Arial Narrow"/>
          <w:b/>
          <w:sz w:val="20"/>
          <w:szCs w:val="20"/>
        </w:rPr>
        <w:t xml:space="preserve">: Summary of the net cost to the PBS/RPBS of </w:t>
      </w:r>
      <w:proofErr w:type="spellStart"/>
      <w:r w:rsidR="003C0AE7" w:rsidRPr="003C0AE7">
        <w:rPr>
          <w:rFonts w:ascii="Arial Narrow" w:hAnsi="Arial Narrow"/>
          <w:b/>
          <w:sz w:val="20"/>
          <w:szCs w:val="20"/>
        </w:rPr>
        <w:t>pembrolizumab</w:t>
      </w:r>
      <w:proofErr w:type="spellEnd"/>
    </w:p>
    <w:tbl>
      <w:tblPr>
        <w:tblStyle w:val="TableGrid"/>
        <w:tblW w:w="0" w:type="auto"/>
        <w:tblLook w:val="04A0" w:firstRow="1" w:lastRow="0" w:firstColumn="1" w:lastColumn="0" w:noHBand="0" w:noVBand="1"/>
        <w:tblCaption w:val="Table 5: Summary of the net cost to the PBS/RPBS of pembrolizumab"/>
      </w:tblPr>
      <w:tblGrid>
        <w:gridCol w:w="2250"/>
        <w:gridCol w:w="1131"/>
        <w:gridCol w:w="1134"/>
        <w:gridCol w:w="1157"/>
        <w:gridCol w:w="1130"/>
        <w:gridCol w:w="1132"/>
        <w:gridCol w:w="1082"/>
      </w:tblGrid>
      <w:tr w:rsidR="00E42C7D" w:rsidTr="00643DA7">
        <w:trPr>
          <w:tblHeader/>
        </w:trPr>
        <w:tc>
          <w:tcPr>
            <w:tcW w:w="2263" w:type="dxa"/>
            <w:tcMar>
              <w:left w:w="28" w:type="dxa"/>
              <w:right w:w="28" w:type="dxa"/>
            </w:tcMar>
          </w:tcPr>
          <w:p w:rsidR="00E42C7D" w:rsidRPr="00E42C7D" w:rsidRDefault="00E42C7D" w:rsidP="00E42C7D">
            <w:pPr>
              <w:pStyle w:val="3Bodytext"/>
              <w:numPr>
                <w:ilvl w:val="0"/>
                <w:numId w:val="0"/>
              </w:numPr>
              <w:spacing w:after="0"/>
              <w:rPr>
                <w:rFonts w:ascii="Arial Narrow" w:hAnsi="Arial Narrow"/>
                <w:sz w:val="20"/>
                <w:szCs w:val="20"/>
              </w:rPr>
            </w:pPr>
          </w:p>
        </w:tc>
        <w:tc>
          <w:tcPr>
            <w:tcW w:w="1134" w:type="dxa"/>
            <w:tcMar>
              <w:left w:w="28" w:type="dxa"/>
              <w:right w:w="28" w:type="dxa"/>
            </w:tcMar>
          </w:tcPr>
          <w:p w:rsidR="00E42C7D" w:rsidRPr="00E42C7D" w:rsidRDefault="00E42C7D" w:rsidP="00E42C7D">
            <w:pPr>
              <w:pStyle w:val="3Bodytext"/>
              <w:numPr>
                <w:ilvl w:val="0"/>
                <w:numId w:val="0"/>
              </w:numPr>
              <w:spacing w:after="0"/>
              <w:jc w:val="center"/>
              <w:rPr>
                <w:rFonts w:ascii="Arial Narrow" w:hAnsi="Arial Narrow"/>
                <w:b/>
                <w:sz w:val="20"/>
                <w:szCs w:val="20"/>
              </w:rPr>
            </w:pPr>
            <w:r w:rsidRPr="00E42C7D">
              <w:rPr>
                <w:rFonts w:ascii="Arial Narrow" w:hAnsi="Arial Narrow"/>
                <w:b/>
                <w:sz w:val="20"/>
                <w:szCs w:val="20"/>
              </w:rPr>
              <w:t>2020</w:t>
            </w:r>
          </w:p>
        </w:tc>
        <w:tc>
          <w:tcPr>
            <w:tcW w:w="1134" w:type="dxa"/>
            <w:tcMar>
              <w:left w:w="28" w:type="dxa"/>
              <w:right w:w="28" w:type="dxa"/>
            </w:tcMar>
          </w:tcPr>
          <w:p w:rsidR="00E42C7D" w:rsidRPr="00E42C7D" w:rsidRDefault="00E42C7D" w:rsidP="00E42C7D">
            <w:pPr>
              <w:pStyle w:val="3Bodytext"/>
              <w:numPr>
                <w:ilvl w:val="0"/>
                <w:numId w:val="0"/>
              </w:numPr>
              <w:spacing w:after="0"/>
              <w:jc w:val="center"/>
              <w:rPr>
                <w:rFonts w:ascii="Arial Narrow" w:hAnsi="Arial Narrow"/>
                <w:b/>
                <w:sz w:val="20"/>
                <w:szCs w:val="20"/>
              </w:rPr>
            </w:pPr>
            <w:r w:rsidRPr="00E42C7D">
              <w:rPr>
                <w:rFonts w:ascii="Arial Narrow" w:hAnsi="Arial Narrow"/>
                <w:b/>
                <w:sz w:val="20"/>
                <w:szCs w:val="20"/>
              </w:rPr>
              <w:t>2021</w:t>
            </w:r>
          </w:p>
        </w:tc>
        <w:tc>
          <w:tcPr>
            <w:tcW w:w="1134" w:type="dxa"/>
            <w:tcMar>
              <w:left w:w="28" w:type="dxa"/>
              <w:right w:w="28" w:type="dxa"/>
            </w:tcMar>
          </w:tcPr>
          <w:p w:rsidR="00E42C7D" w:rsidRPr="00E42C7D" w:rsidRDefault="00E42C7D" w:rsidP="00E42C7D">
            <w:pPr>
              <w:pStyle w:val="3Bodytext"/>
              <w:numPr>
                <w:ilvl w:val="0"/>
                <w:numId w:val="0"/>
              </w:numPr>
              <w:spacing w:after="0"/>
              <w:jc w:val="center"/>
              <w:rPr>
                <w:rFonts w:ascii="Arial Narrow" w:hAnsi="Arial Narrow"/>
                <w:b/>
                <w:sz w:val="20"/>
                <w:szCs w:val="20"/>
              </w:rPr>
            </w:pPr>
            <w:r w:rsidRPr="00E42C7D">
              <w:rPr>
                <w:rFonts w:ascii="Arial Narrow" w:hAnsi="Arial Narrow"/>
                <w:b/>
                <w:sz w:val="20"/>
                <w:szCs w:val="20"/>
              </w:rPr>
              <w:t>2022</w:t>
            </w:r>
          </w:p>
        </w:tc>
        <w:tc>
          <w:tcPr>
            <w:tcW w:w="1134" w:type="dxa"/>
            <w:tcMar>
              <w:left w:w="28" w:type="dxa"/>
              <w:right w:w="28" w:type="dxa"/>
            </w:tcMar>
          </w:tcPr>
          <w:p w:rsidR="00E42C7D" w:rsidRPr="00E42C7D" w:rsidRDefault="00E42C7D" w:rsidP="00E42C7D">
            <w:pPr>
              <w:pStyle w:val="3Bodytext"/>
              <w:numPr>
                <w:ilvl w:val="0"/>
                <w:numId w:val="0"/>
              </w:numPr>
              <w:spacing w:after="0"/>
              <w:jc w:val="center"/>
              <w:rPr>
                <w:rFonts w:ascii="Arial Narrow" w:hAnsi="Arial Narrow"/>
                <w:b/>
                <w:sz w:val="20"/>
                <w:szCs w:val="20"/>
              </w:rPr>
            </w:pPr>
            <w:r w:rsidRPr="00E42C7D">
              <w:rPr>
                <w:rFonts w:ascii="Arial Narrow" w:hAnsi="Arial Narrow"/>
                <w:b/>
                <w:sz w:val="20"/>
                <w:szCs w:val="20"/>
              </w:rPr>
              <w:t>2023</w:t>
            </w:r>
          </w:p>
        </w:tc>
        <w:tc>
          <w:tcPr>
            <w:tcW w:w="1134" w:type="dxa"/>
            <w:tcMar>
              <w:left w:w="28" w:type="dxa"/>
              <w:right w:w="28" w:type="dxa"/>
            </w:tcMar>
          </w:tcPr>
          <w:p w:rsidR="00E42C7D" w:rsidRPr="00E42C7D" w:rsidRDefault="00E42C7D" w:rsidP="00E42C7D">
            <w:pPr>
              <w:pStyle w:val="3Bodytext"/>
              <w:numPr>
                <w:ilvl w:val="0"/>
                <w:numId w:val="0"/>
              </w:numPr>
              <w:spacing w:after="0"/>
              <w:jc w:val="center"/>
              <w:rPr>
                <w:rFonts w:ascii="Arial Narrow" w:hAnsi="Arial Narrow"/>
                <w:b/>
                <w:sz w:val="20"/>
                <w:szCs w:val="20"/>
              </w:rPr>
            </w:pPr>
            <w:r w:rsidRPr="00E42C7D">
              <w:rPr>
                <w:rFonts w:ascii="Arial Narrow" w:hAnsi="Arial Narrow"/>
                <w:b/>
                <w:sz w:val="20"/>
                <w:szCs w:val="20"/>
              </w:rPr>
              <w:t>2024</w:t>
            </w:r>
          </w:p>
        </w:tc>
        <w:tc>
          <w:tcPr>
            <w:tcW w:w="1083" w:type="dxa"/>
            <w:tcMar>
              <w:left w:w="28" w:type="dxa"/>
              <w:right w:w="28" w:type="dxa"/>
            </w:tcMar>
          </w:tcPr>
          <w:p w:rsidR="00E42C7D" w:rsidRPr="00E42C7D" w:rsidRDefault="00E42C7D" w:rsidP="00E42C7D">
            <w:pPr>
              <w:pStyle w:val="3Bodytext"/>
              <w:numPr>
                <w:ilvl w:val="0"/>
                <w:numId w:val="0"/>
              </w:numPr>
              <w:spacing w:after="0"/>
              <w:jc w:val="center"/>
              <w:rPr>
                <w:rFonts w:ascii="Arial Narrow" w:hAnsi="Arial Narrow"/>
                <w:b/>
                <w:sz w:val="20"/>
                <w:szCs w:val="20"/>
              </w:rPr>
            </w:pPr>
            <w:r w:rsidRPr="00E42C7D">
              <w:rPr>
                <w:rFonts w:ascii="Arial Narrow" w:hAnsi="Arial Narrow"/>
                <w:b/>
                <w:sz w:val="20"/>
                <w:szCs w:val="20"/>
              </w:rPr>
              <w:t>2025</w:t>
            </w:r>
          </w:p>
        </w:tc>
      </w:tr>
      <w:tr w:rsidR="00E42C7D" w:rsidTr="00E42C7D">
        <w:tc>
          <w:tcPr>
            <w:tcW w:w="2263" w:type="dxa"/>
            <w:tcMar>
              <w:left w:w="28" w:type="dxa"/>
              <w:right w:w="28" w:type="dxa"/>
            </w:tcMar>
          </w:tcPr>
          <w:p w:rsidR="00E42C7D" w:rsidRPr="00E42C7D" w:rsidRDefault="00E42C7D" w:rsidP="00E42C7D">
            <w:pPr>
              <w:pStyle w:val="3Bodytext"/>
              <w:numPr>
                <w:ilvl w:val="0"/>
                <w:numId w:val="0"/>
              </w:numPr>
              <w:spacing w:after="0"/>
              <w:rPr>
                <w:rFonts w:ascii="Arial Narrow" w:hAnsi="Arial Narrow"/>
                <w:sz w:val="20"/>
                <w:szCs w:val="20"/>
              </w:rPr>
            </w:pPr>
            <w:r>
              <w:rPr>
                <w:rFonts w:ascii="Arial Narrow" w:hAnsi="Arial Narrow"/>
                <w:sz w:val="20"/>
                <w:szCs w:val="20"/>
              </w:rPr>
              <w:t>Eligible patients</w:t>
            </w:r>
          </w:p>
        </w:tc>
        <w:tc>
          <w:tcPr>
            <w:tcW w:w="1134" w:type="dxa"/>
            <w:tcMar>
              <w:left w:w="28" w:type="dxa"/>
              <w:right w:w="28" w:type="dxa"/>
            </w:tcMar>
          </w:tcPr>
          <w:p w:rsidR="00E42C7D" w:rsidRPr="00D6108D" w:rsidRDefault="00E42C7D" w:rsidP="00E42C7D">
            <w:pPr>
              <w:pStyle w:val="3Bodytext"/>
              <w:numPr>
                <w:ilvl w:val="0"/>
                <w:numId w:val="0"/>
              </w:numPr>
              <w:spacing w:after="0"/>
              <w:jc w:val="center"/>
              <w:rPr>
                <w:rFonts w:ascii="Arial Narrow" w:hAnsi="Arial Narrow"/>
                <w:sz w:val="20"/>
                <w:szCs w:val="20"/>
              </w:rPr>
            </w:pPr>
            <w:r w:rsidRPr="00A61D72">
              <w:rPr>
                <w:rFonts w:ascii="Arial Narrow" w:hAnsi="Arial Narrow"/>
                <w:sz w:val="20"/>
                <w:szCs w:val="20"/>
              </w:rPr>
              <w:t>1,801</w:t>
            </w:r>
          </w:p>
        </w:tc>
        <w:tc>
          <w:tcPr>
            <w:tcW w:w="1134" w:type="dxa"/>
            <w:tcMar>
              <w:left w:w="28" w:type="dxa"/>
              <w:right w:w="28" w:type="dxa"/>
            </w:tcMar>
          </w:tcPr>
          <w:p w:rsidR="00E42C7D" w:rsidRPr="00D6108D" w:rsidRDefault="00E42C7D" w:rsidP="00E42C7D">
            <w:pPr>
              <w:pStyle w:val="3Bodytext"/>
              <w:numPr>
                <w:ilvl w:val="0"/>
                <w:numId w:val="0"/>
              </w:numPr>
              <w:spacing w:after="0"/>
              <w:jc w:val="center"/>
              <w:rPr>
                <w:rFonts w:ascii="Arial Narrow" w:hAnsi="Arial Narrow"/>
                <w:sz w:val="20"/>
                <w:szCs w:val="20"/>
              </w:rPr>
            </w:pPr>
            <w:r w:rsidRPr="00A61D72">
              <w:rPr>
                <w:rFonts w:ascii="Arial Narrow" w:hAnsi="Arial Narrow"/>
                <w:sz w:val="20"/>
                <w:szCs w:val="20"/>
              </w:rPr>
              <w:t>1,841</w:t>
            </w:r>
          </w:p>
        </w:tc>
        <w:tc>
          <w:tcPr>
            <w:tcW w:w="1134" w:type="dxa"/>
            <w:tcMar>
              <w:left w:w="28" w:type="dxa"/>
              <w:right w:w="28" w:type="dxa"/>
            </w:tcMar>
          </w:tcPr>
          <w:p w:rsidR="00E42C7D" w:rsidRPr="00D6108D" w:rsidRDefault="00E42C7D" w:rsidP="00E42C7D">
            <w:pPr>
              <w:pStyle w:val="3Bodytext"/>
              <w:numPr>
                <w:ilvl w:val="0"/>
                <w:numId w:val="0"/>
              </w:numPr>
              <w:spacing w:after="0"/>
              <w:jc w:val="center"/>
              <w:rPr>
                <w:rFonts w:ascii="Arial Narrow" w:hAnsi="Arial Narrow"/>
                <w:sz w:val="20"/>
                <w:szCs w:val="20"/>
              </w:rPr>
            </w:pPr>
            <w:r w:rsidRPr="00A61D72">
              <w:rPr>
                <w:rFonts w:ascii="Arial Narrow" w:hAnsi="Arial Narrow"/>
                <w:sz w:val="20"/>
                <w:szCs w:val="20"/>
              </w:rPr>
              <w:t>1,881</w:t>
            </w:r>
          </w:p>
        </w:tc>
        <w:tc>
          <w:tcPr>
            <w:tcW w:w="1134" w:type="dxa"/>
            <w:tcMar>
              <w:left w:w="28" w:type="dxa"/>
              <w:right w:w="28" w:type="dxa"/>
            </w:tcMar>
          </w:tcPr>
          <w:p w:rsidR="00E42C7D" w:rsidRPr="00D6108D" w:rsidRDefault="00E42C7D" w:rsidP="00E42C7D">
            <w:pPr>
              <w:pStyle w:val="3Bodytext"/>
              <w:numPr>
                <w:ilvl w:val="0"/>
                <w:numId w:val="0"/>
              </w:numPr>
              <w:spacing w:after="0"/>
              <w:jc w:val="center"/>
              <w:rPr>
                <w:rFonts w:ascii="Arial Narrow" w:hAnsi="Arial Narrow"/>
                <w:sz w:val="20"/>
                <w:szCs w:val="20"/>
              </w:rPr>
            </w:pPr>
            <w:r w:rsidRPr="00A61D72">
              <w:rPr>
                <w:rFonts w:ascii="Arial Narrow" w:hAnsi="Arial Narrow"/>
                <w:sz w:val="20"/>
                <w:szCs w:val="20"/>
              </w:rPr>
              <w:t>1,920</w:t>
            </w:r>
          </w:p>
        </w:tc>
        <w:tc>
          <w:tcPr>
            <w:tcW w:w="1134" w:type="dxa"/>
            <w:tcMar>
              <w:left w:w="28" w:type="dxa"/>
              <w:right w:w="28" w:type="dxa"/>
            </w:tcMar>
          </w:tcPr>
          <w:p w:rsidR="00E42C7D" w:rsidRPr="00D6108D" w:rsidRDefault="00E42C7D" w:rsidP="00E42C7D">
            <w:pPr>
              <w:pStyle w:val="3Bodytext"/>
              <w:numPr>
                <w:ilvl w:val="0"/>
                <w:numId w:val="0"/>
              </w:numPr>
              <w:spacing w:after="0"/>
              <w:jc w:val="center"/>
              <w:rPr>
                <w:rFonts w:ascii="Arial Narrow" w:hAnsi="Arial Narrow"/>
                <w:sz w:val="20"/>
                <w:szCs w:val="20"/>
              </w:rPr>
            </w:pPr>
            <w:r w:rsidRPr="00A61D72">
              <w:rPr>
                <w:rFonts w:ascii="Arial Narrow" w:hAnsi="Arial Narrow"/>
                <w:sz w:val="20"/>
                <w:szCs w:val="20"/>
              </w:rPr>
              <w:t>1,960</w:t>
            </w:r>
          </w:p>
        </w:tc>
        <w:tc>
          <w:tcPr>
            <w:tcW w:w="1083" w:type="dxa"/>
            <w:tcMar>
              <w:left w:w="28" w:type="dxa"/>
              <w:right w:w="28" w:type="dxa"/>
            </w:tcMar>
          </w:tcPr>
          <w:p w:rsidR="00E42C7D" w:rsidRPr="00D6108D" w:rsidRDefault="00E42C7D" w:rsidP="00E42C7D">
            <w:pPr>
              <w:pStyle w:val="3Bodytext"/>
              <w:numPr>
                <w:ilvl w:val="0"/>
                <w:numId w:val="0"/>
              </w:numPr>
              <w:spacing w:after="0"/>
              <w:jc w:val="center"/>
              <w:rPr>
                <w:rFonts w:ascii="Arial Narrow" w:hAnsi="Arial Narrow"/>
                <w:sz w:val="20"/>
                <w:szCs w:val="20"/>
              </w:rPr>
            </w:pPr>
            <w:r w:rsidRPr="00A61D72">
              <w:rPr>
                <w:rFonts w:ascii="Arial Narrow" w:hAnsi="Arial Narrow"/>
                <w:sz w:val="20"/>
                <w:szCs w:val="20"/>
              </w:rPr>
              <w:t>2,000</w:t>
            </w:r>
          </w:p>
        </w:tc>
      </w:tr>
      <w:tr w:rsidR="00E42C7D" w:rsidTr="00E42C7D">
        <w:tc>
          <w:tcPr>
            <w:tcW w:w="2263" w:type="dxa"/>
            <w:tcMar>
              <w:left w:w="28" w:type="dxa"/>
              <w:right w:w="28" w:type="dxa"/>
            </w:tcMar>
          </w:tcPr>
          <w:p w:rsidR="00E42C7D" w:rsidRPr="00E42C7D" w:rsidRDefault="00EF4917" w:rsidP="00E42C7D">
            <w:pPr>
              <w:pStyle w:val="3Bodytext"/>
              <w:numPr>
                <w:ilvl w:val="0"/>
                <w:numId w:val="0"/>
              </w:numPr>
              <w:spacing w:after="0"/>
              <w:rPr>
                <w:rFonts w:ascii="Arial Narrow" w:hAnsi="Arial Narrow"/>
                <w:sz w:val="20"/>
                <w:szCs w:val="20"/>
              </w:rPr>
            </w:pPr>
            <w:r>
              <w:rPr>
                <w:rFonts w:ascii="Arial Narrow" w:hAnsi="Arial Narrow"/>
                <w:sz w:val="20"/>
                <w:szCs w:val="20"/>
              </w:rPr>
              <w:t>Warehoused/grandfathered</w:t>
            </w:r>
          </w:p>
        </w:tc>
        <w:tc>
          <w:tcPr>
            <w:tcW w:w="1134" w:type="dxa"/>
            <w:tcMar>
              <w:left w:w="28" w:type="dxa"/>
              <w:right w:w="28" w:type="dxa"/>
            </w:tcMar>
            <w:vAlign w:val="center"/>
          </w:tcPr>
          <w:p w:rsidR="00E42C7D" w:rsidRPr="00D6108D" w:rsidRDefault="00E42C7D" w:rsidP="00E42C7D">
            <w:pPr>
              <w:pStyle w:val="3Bodytext"/>
              <w:numPr>
                <w:ilvl w:val="0"/>
                <w:numId w:val="0"/>
              </w:numPr>
              <w:spacing w:after="0"/>
              <w:jc w:val="center"/>
              <w:rPr>
                <w:rFonts w:ascii="Arial Narrow" w:hAnsi="Arial Narrow"/>
                <w:sz w:val="20"/>
                <w:szCs w:val="20"/>
              </w:rPr>
            </w:pPr>
            <w:r w:rsidRPr="00A61D72">
              <w:rPr>
                <w:rFonts w:ascii="Arial Narrow" w:hAnsi="Arial Narrow"/>
                <w:sz w:val="20"/>
                <w:szCs w:val="20"/>
              </w:rPr>
              <w:t>1,440</w:t>
            </w:r>
          </w:p>
        </w:tc>
        <w:tc>
          <w:tcPr>
            <w:tcW w:w="1134" w:type="dxa"/>
            <w:tcMar>
              <w:left w:w="28" w:type="dxa"/>
              <w:right w:w="28" w:type="dxa"/>
            </w:tcMar>
            <w:vAlign w:val="center"/>
          </w:tcPr>
          <w:p w:rsidR="00E42C7D" w:rsidRPr="00D6108D" w:rsidRDefault="00E42C7D" w:rsidP="00E42C7D">
            <w:pPr>
              <w:pStyle w:val="3Bodytext"/>
              <w:numPr>
                <w:ilvl w:val="0"/>
                <w:numId w:val="0"/>
              </w:numPr>
              <w:spacing w:after="0"/>
              <w:jc w:val="center"/>
              <w:rPr>
                <w:rFonts w:ascii="Arial Narrow" w:hAnsi="Arial Narrow"/>
                <w:sz w:val="20"/>
                <w:szCs w:val="20"/>
              </w:rPr>
            </w:pPr>
            <w:r w:rsidRPr="00A61D72">
              <w:rPr>
                <w:rFonts w:ascii="Arial Narrow" w:hAnsi="Arial Narrow"/>
                <w:sz w:val="20"/>
                <w:szCs w:val="20"/>
              </w:rPr>
              <w:t>-</w:t>
            </w:r>
          </w:p>
        </w:tc>
        <w:tc>
          <w:tcPr>
            <w:tcW w:w="1134" w:type="dxa"/>
            <w:tcMar>
              <w:left w:w="28" w:type="dxa"/>
              <w:right w:w="28" w:type="dxa"/>
            </w:tcMar>
            <w:vAlign w:val="center"/>
          </w:tcPr>
          <w:p w:rsidR="00E42C7D" w:rsidRPr="00D6108D" w:rsidRDefault="00E42C7D" w:rsidP="00E42C7D">
            <w:pPr>
              <w:pStyle w:val="3Bodytext"/>
              <w:numPr>
                <w:ilvl w:val="0"/>
                <w:numId w:val="0"/>
              </w:numPr>
              <w:spacing w:after="0"/>
              <w:jc w:val="center"/>
              <w:rPr>
                <w:rFonts w:ascii="Arial Narrow" w:hAnsi="Arial Narrow"/>
                <w:sz w:val="20"/>
                <w:szCs w:val="20"/>
              </w:rPr>
            </w:pPr>
            <w:r w:rsidRPr="00A61D72">
              <w:rPr>
                <w:rFonts w:ascii="Arial Narrow" w:hAnsi="Arial Narrow"/>
                <w:sz w:val="20"/>
                <w:szCs w:val="20"/>
              </w:rPr>
              <w:t>-</w:t>
            </w:r>
          </w:p>
        </w:tc>
        <w:tc>
          <w:tcPr>
            <w:tcW w:w="1134" w:type="dxa"/>
            <w:tcMar>
              <w:left w:w="28" w:type="dxa"/>
              <w:right w:w="28" w:type="dxa"/>
            </w:tcMar>
            <w:vAlign w:val="center"/>
          </w:tcPr>
          <w:p w:rsidR="00E42C7D" w:rsidRPr="00D6108D" w:rsidRDefault="00E42C7D" w:rsidP="00E42C7D">
            <w:pPr>
              <w:pStyle w:val="3Bodytext"/>
              <w:numPr>
                <w:ilvl w:val="0"/>
                <w:numId w:val="0"/>
              </w:numPr>
              <w:spacing w:after="0"/>
              <w:jc w:val="center"/>
              <w:rPr>
                <w:rFonts w:ascii="Arial Narrow" w:hAnsi="Arial Narrow"/>
                <w:sz w:val="20"/>
                <w:szCs w:val="20"/>
              </w:rPr>
            </w:pPr>
            <w:r w:rsidRPr="00A61D72">
              <w:rPr>
                <w:rFonts w:ascii="Arial Narrow" w:hAnsi="Arial Narrow"/>
                <w:sz w:val="20"/>
                <w:szCs w:val="20"/>
              </w:rPr>
              <w:t>-</w:t>
            </w:r>
          </w:p>
        </w:tc>
        <w:tc>
          <w:tcPr>
            <w:tcW w:w="1134" w:type="dxa"/>
            <w:tcMar>
              <w:left w:w="28" w:type="dxa"/>
              <w:right w:w="28" w:type="dxa"/>
            </w:tcMar>
            <w:vAlign w:val="center"/>
          </w:tcPr>
          <w:p w:rsidR="00E42C7D" w:rsidRPr="00D6108D" w:rsidRDefault="00E42C7D" w:rsidP="00E42C7D">
            <w:pPr>
              <w:pStyle w:val="3Bodytext"/>
              <w:numPr>
                <w:ilvl w:val="0"/>
                <w:numId w:val="0"/>
              </w:numPr>
              <w:spacing w:after="0"/>
              <w:jc w:val="center"/>
              <w:rPr>
                <w:rFonts w:ascii="Arial Narrow" w:hAnsi="Arial Narrow"/>
                <w:sz w:val="20"/>
                <w:szCs w:val="20"/>
              </w:rPr>
            </w:pPr>
            <w:r w:rsidRPr="00A61D72">
              <w:rPr>
                <w:rFonts w:ascii="Arial Narrow" w:hAnsi="Arial Narrow"/>
                <w:sz w:val="20"/>
                <w:szCs w:val="20"/>
              </w:rPr>
              <w:t>-</w:t>
            </w:r>
          </w:p>
        </w:tc>
        <w:tc>
          <w:tcPr>
            <w:tcW w:w="1083" w:type="dxa"/>
            <w:tcMar>
              <w:left w:w="28" w:type="dxa"/>
              <w:right w:w="28" w:type="dxa"/>
            </w:tcMar>
            <w:vAlign w:val="center"/>
          </w:tcPr>
          <w:p w:rsidR="00E42C7D" w:rsidRPr="00D6108D" w:rsidRDefault="00E42C7D" w:rsidP="00E42C7D">
            <w:pPr>
              <w:pStyle w:val="3Bodytext"/>
              <w:numPr>
                <w:ilvl w:val="0"/>
                <w:numId w:val="0"/>
              </w:numPr>
              <w:spacing w:after="0"/>
              <w:jc w:val="center"/>
              <w:rPr>
                <w:rFonts w:ascii="Arial Narrow" w:hAnsi="Arial Narrow"/>
                <w:sz w:val="20"/>
                <w:szCs w:val="20"/>
              </w:rPr>
            </w:pPr>
            <w:r w:rsidRPr="00A61D72">
              <w:rPr>
                <w:rFonts w:ascii="Arial Narrow" w:hAnsi="Arial Narrow"/>
                <w:sz w:val="20"/>
                <w:szCs w:val="20"/>
              </w:rPr>
              <w:t>-</w:t>
            </w:r>
          </w:p>
        </w:tc>
      </w:tr>
      <w:tr w:rsidR="00E42C7D" w:rsidTr="00E42C7D">
        <w:tc>
          <w:tcPr>
            <w:tcW w:w="2263" w:type="dxa"/>
            <w:tcMar>
              <w:left w:w="28" w:type="dxa"/>
              <w:right w:w="28" w:type="dxa"/>
            </w:tcMar>
          </w:tcPr>
          <w:p w:rsidR="00E42C7D" w:rsidRPr="00E42C7D" w:rsidRDefault="00E42C7D" w:rsidP="00E42C7D">
            <w:pPr>
              <w:pStyle w:val="3Bodytext"/>
              <w:numPr>
                <w:ilvl w:val="0"/>
                <w:numId w:val="0"/>
              </w:numPr>
              <w:spacing w:after="0"/>
              <w:rPr>
                <w:rFonts w:ascii="Arial Narrow" w:hAnsi="Arial Narrow"/>
                <w:sz w:val="20"/>
                <w:szCs w:val="20"/>
              </w:rPr>
            </w:pPr>
            <w:r w:rsidRPr="00230403">
              <w:rPr>
                <w:rFonts w:ascii="Arial Narrow" w:hAnsi="Arial Narrow"/>
                <w:sz w:val="20"/>
                <w:szCs w:val="20"/>
              </w:rPr>
              <w:t>Total patients</w:t>
            </w:r>
          </w:p>
        </w:tc>
        <w:tc>
          <w:tcPr>
            <w:tcW w:w="1134" w:type="dxa"/>
            <w:tcMar>
              <w:left w:w="28" w:type="dxa"/>
              <w:right w:w="28" w:type="dxa"/>
            </w:tcMar>
          </w:tcPr>
          <w:p w:rsidR="00E42C7D" w:rsidRPr="00D6108D" w:rsidRDefault="00E42C7D" w:rsidP="00E42C7D">
            <w:pPr>
              <w:pStyle w:val="3Bodytext"/>
              <w:numPr>
                <w:ilvl w:val="0"/>
                <w:numId w:val="0"/>
              </w:numPr>
              <w:spacing w:after="0"/>
              <w:jc w:val="center"/>
              <w:rPr>
                <w:rFonts w:ascii="Arial Narrow" w:hAnsi="Arial Narrow"/>
                <w:sz w:val="20"/>
                <w:szCs w:val="20"/>
              </w:rPr>
            </w:pPr>
            <w:r w:rsidRPr="00230403">
              <w:rPr>
                <w:rFonts w:ascii="Arial Narrow" w:hAnsi="Arial Narrow"/>
                <w:sz w:val="20"/>
                <w:szCs w:val="20"/>
              </w:rPr>
              <w:t>3,242</w:t>
            </w:r>
          </w:p>
        </w:tc>
        <w:tc>
          <w:tcPr>
            <w:tcW w:w="1134" w:type="dxa"/>
            <w:tcMar>
              <w:left w:w="28" w:type="dxa"/>
              <w:right w:w="28" w:type="dxa"/>
            </w:tcMar>
          </w:tcPr>
          <w:p w:rsidR="00E42C7D" w:rsidRPr="00D6108D" w:rsidRDefault="00E42C7D" w:rsidP="00E42C7D">
            <w:pPr>
              <w:pStyle w:val="3Bodytext"/>
              <w:numPr>
                <w:ilvl w:val="0"/>
                <w:numId w:val="0"/>
              </w:numPr>
              <w:spacing w:after="0"/>
              <w:jc w:val="center"/>
              <w:rPr>
                <w:rFonts w:ascii="Arial Narrow" w:hAnsi="Arial Narrow"/>
                <w:sz w:val="20"/>
                <w:szCs w:val="20"/>
              </w:rPr>
            </w:pPr>
            <w:r w:rsidRPr="00230403">
              <w:rPr>
                <w:rFonts w:ascii="Arial Narrow" w:hAnsi="Arial Narrow"/>
                <w:sz w:val="20"/>
                <w:szCs w:val="20"/>
              </w:rPr>
              <w:t>1,841</w:t>
            </w:r>
          </w:p>
        </w:tc>
        <w:tc>
          <w:tcPr>
            <w:tcW w:w="1134" w:type="dxa"/>
            <w:tcMar>
              <w:left w:w="28" w:type="dxa"/>
              <w:right w:w="28" w:type="dxa"/>
            </w:tcMar>
          </w:tcPr>
          <w:p w:rsidR="00E42C7D" w:rsidRPr="00D6108D" w:rsidRDefault="00E42C7D" w:rsidP="00E42C7D">
            <w:pPr>
              <w:pStyle w:val="3Bodytext"/>
              <w:numPr>
                <w:ilvl w:val="0"/>
                <w:numId w:val="0"/>
              </w:numPr>
              <w:spacing w:after="0"/>
              <w:jc w:val="center"/>
              <w:rPr>
                <w:rFonts w:ascii="Arial Narrow" w:hAnsi="Arial Narrow"/>
                <w:sz w:val="20"/>
                <w:szCs w:val="20"/>
              </w:rPr>
            </w:pPr>
            <w:r w:rsidRPr="00230403">
              <w:rPr>
                <w:rFonts w:ascii="Arial Narrow" w:hAnsi="Arial Narrow"/>
                <w:sz w:val="20"/>
                <w:szCs w:val="20"/>
              </w:rPr>
              <w:t>1,881</w:t>
            </w:r>
          </w:p>
        </w:tc>
        <w:tc>
          <w:tcPr>
            <w:tcW w:w="1134" w:type="dxa"/>
            <w:tcMar>
              <w:left w:w="28" w:type="dxa"/>
              <w:right w:w="28" w:type="dxa"/>
            </w:tcMar>
          </w:tcPr>
          <w:p w:rsidR="00E42C7D" w:rsidRPr="00D6108D" w:rsidRDefault="00E42C7D" w:rsidP="00E42C7D">
            <w:pPr>
              <w:pStyle w:val="3Bodytext"/>
              <w:numPr>
                <w:ilvl w:val="0"/>
                <w:numId w:val="0"/>
              </w:numPr>
              <w:spacing w:after="0"/>
              <w:jc w:val="center"/>
              <w:rPr>
                <w:rFonts w:ascii="Arial Narrow" w:hAnsi="Arial Narrow"/>
                <w:sz w:val="20"/>
                <w:szCs w:val="20"/>
              </w:rPr>
            </w:pPr>
            <w:r w:rsidRPr="00230403">
              <w:rPr>
                <w:rFonts w:ascii="Arial Narrow" w:hAnsi="Arial Narrow"/>
                <w:sz w:val="20"/>
                <w:szCs w:val="20"/>
              </w:rPr>
              <w:t>1,920</w:t>
            </w:r>
          </w:p>
        </w:tc>
        <w:tc>
          <w:tcPr>
            <w:tcW w:w="1134" w:type="dxa"/>
            <w:tcMar>
              <w:left w:w="28" w:type="dxa"/>
              <w:right w:w="28" w:type="dxa"/>
            </w:tcMar>
          </w:tcPr>
          <w:p w:rsidR="00E42C7D" w:rsidRPr="00D6108D" w:rsidRDefault="00E42C7D" w:rsidP="00E42C7D">
            <w:pPr>
              <w:pStyle w:val="3Bodytext"/>
              <w:numPr>
                <w:ilvl w:val="0"/>
                <w:numId w:val="0"/>
              </w:numPr>
              <w:spacing w:after="0"/>
              <w:jc w:val="center"/>
              <w:rPr>
                <w:rFonts w:ascii="Arial Narrow" w:hAnsi="Arial Narrow"/>
                <w:sz w:val="20"/>
                <w:szCs w:val="20"/>
              </w:rPr>
            </w:pPr>
            <w:r w:rsidRPr="00230403">
              <w:rPr>
                <w:rFonts w:ascii="Arial Narrow" w:hAnsi="Arial Narrow"/>
                <w:sz w:val="20"/>
                <w:szCs w:val="20"/>
              </w:rPr>
              <w:t>1,960</w:t>
            </w:r>
          </w:p>
        </w:tc>
        <w:tc>
          <w:tcPr>
            <w:tcW w:w="1083" w:type="dxa"/>
            <w:tcMar>
              <w:left w:w="28" w:type="dxa"/>
              <w:right w:w="28" w:type="dxa"/>
            </w:tcMar>
          </w:tcPr>
          <w:p w:rsidR="00E42C7D" w:rsidRPr="00D6108D" w:rsidRDefault="00E42C7D" w:rsidP="00E42C7D">
            <w:pPr>
              <w:pStyle w:val="3Bodytext"/>
              <w:numPr>
                <w:ilvl w:val="0"/>
                <w:numId w:val="0"/>
              </w:numPr>
              <w:spacing w:after="0"/>
              <w:jc w:val="center"/>
              <w:rPr>
                <w:rFonts w:ascii="Arial Narrow" w:hAnsi="Arial Narrow"/>
                <w:sz w:val="20"/>
                <w:szCs w:val="20"/>
              </w:rPr>
            </w:pPr>
            <w:r w:rsidRPr="00230403">
              <w:rPr>
                <w:rFonts w:ascii="Arial Narrow" w:hAnsi="Arial Narrow"/>
                <w:sz w:val="20"/>
                <w:szCs w:val="20"/>
              </w:rPr>
              <w:t>2,000</w:t>
            </w:r>
          </w:p>
        </w:tc>
      </w:tr>
      <w:tr w:rsidR="00E42C7D" w:rsidTr="00E42C7D">
        <w:tc>
          <w:tcPr>
            <w:tcW w:w="2263" w:type="dxa"/>
            <w:tcMar>
              <w:left w:w="28" w:type="dxa"/>
              <w:right w:w="28" w:type="dxa"/>
            </w:tcMar>
          </w:tcPr>
          <w:p w:rsidR="00E42C7D" w:rsidRPr="00E42C7D" w:rsidRDefault="00E42C7D" w:rsidP="00E42C7D">
            <w:pPr>
              <w:pStyle w:val="3Bodytext"/>
              <w:numPr>
                <w:ilvl w:val="0"/>
                <w:numId w:val="0"/>
              </w:numPr>
              <w:spacing w:after="0"/>
              <w:rPr>
                <w:rFonts w:ascii="Arial Narrow" w:hAnsi="Arial Narrow"/>
                <w:sz w:val="20"/>
                <w:szCs w:val="20"/>
              </w:rPr>
            </w:pPr>
            <w:r>
              <w:rPr>
                <w:rFonts w:ascii="Arial Narrow" w:hAnsi="Arial Narrow"/>
                <w:sz w:val="20"/>
                <w:szCs w:val="20"/>
              </w:rPr>
              <w:t xml:space="preserve">Total cost </w:t>
            </w:r>
          </w:p>
        </w:tc>
        <w:tc>
          <w:tcPr>
            <w:tcW w:w="1134" w:type="dxa"/>
            <w:tcMar>
              <w:left w:w="28" w:type="dxa"/>
              <w:right w:w="28" w:type="dxa"/>
            </w:tcMar>
          </w:tcPr>
          <w:p w:rsidR="00E42C7D" w:rsidRPr="00D6108D" w:rsidRDefault="00D6108D" w:rsidP="00E42C7D">
            <w:pPr>
              <w:pStyle w:val="3Bodytext"/>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tcPr>
          <w:p w:rsidR="00E42C7D" w:rsidRPr="00D6108D" w:rsidRDefault="00D6108D" w:rsidP="00E42C7D">
            <w:pPr>
              <w:pStyle w:val="3Bodytext"/>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tcPr>
          <w:p w:rsidR="00E42C7D" w:rsidRPr="00D6108D" w:rsidRDefault="00D6108D" w:rsidP="00E42C7D">
            <w:pPr>
              <w:pStyle w:val="3Bodytext"/>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tcPr>
          <w:p w:rsidR="00E42C7D" w:rsidRPr="00D6108D" w:rsidRDefault="00D6108D" w:rsidP="00E42C7D">
            <w:pPr>
              <w:pStyle w:val="3Bodytext"/>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tcPr>
          <w:p w:rsidR="00E42C7D" w:rsidRPr="00D6108D" w:rsidRDefault="00D6108D" w:rsidP="00E42C7D">
            <w:pPr>
              <w:pStyle w:val="3Bodytext"/>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83" w:type="dxa"/>
            <w:tcMar>
              <w:left w:w="28" w:type="dxa"/>
              <w:right w:w="28" w:type="dxa"/>
            </w:tcMar>
          </w:tcPr>
          <w:p w:rsidR="00E42C7D" w:rsidRPr="00D6108D" w:rsidRDefault="00D6108D" w:rsidP="00E42C7D">
            <w:pPr>
              <w:pStyle w:val="3Bodytext"/>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E42C7D" w:rsidTr="00E42C7D">
        <w:tc>
          <w:tcPr>
            <w:tcW w:w="2263" w:type="dxa"/>
            <w:tcMar>
              <w:left w:w="28" w:type="dxa"/>
              <w:right w:w="28" w:type="dxa"/>
            </w:tcMar>
          </w:tcPr>
          <w:p w:rsidR="00E42C7D" w:rsidRPr="00E42C7D" w:rsidRDefault="00E42C7D" w:rsidP="00E42C7D">
            <w:pPr>
              <w:pStyle w:val="3Bodytext"/>
              <w:numPr>
                <w:ilvl w:val="0"/>
                <w:numId w:val="0"/>
              </w:numPr>
              <w:spacing w:after="0"/>
              <w:rPr>
                <w:rFonts w:ascii="Arial Narrow" w:hAnsi="Arial Narrow"/>
                <w:sz w:val="20"/>
                <w:szCs w:val="20"/>
              </w:rPr>
            </w:pPr>
            <w:r>
              <w:rPr>
                <w:rFonts w:ascii="Arial Narrow" w:hAnsi="Arial Narrow"/>
                <w:sz w:val="20"/>
                <w:szCs w:val="20"/>
              </w:rPr>
              <w:t>Cost offset</w:t>
            </w:r>
          </w:p>
        </w:tc>
        <w:tc>
          <w:tcPr>
            <w:tcW w:w="1134" w:type="dxa"/>
            <w:tcMar>
              <w:left w:w="28" w:type="dxa"/>
              <w:right w:w="28" w:type="dxa"/>
            </w:tcMar>
          </w:tcPr>
          <w:p w:rsidR="00E42C7D" w:rsidRPr="00D6108D" w:rsidRDefault="00D6108D" w:rsidP="00E42C7D">
            <w:pPr>
              <w:pStyle w:val="3Bodytext"/>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tcPr>
          <w:p w:rsidR="00E42C7D" w:rsidRPr="00D6108D" w:rsidRDefault="00D6108D" w:rsidP="00E42C7D">
            <w:pPr>
              <w:pStyle w:val="3Bodytext"/>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tcPr>
          <w:p w:rsidR="00E42C7D" w:rsidRPr="00D6108D" w:rsidRDefault="00D6108D" w:rsidP="00E42C7D">
            <w:pPr>
              <w:pStyle w:val="3Bodytext"/>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tcPr>
          <w:p w:rsidR="00E42C7D" w:rsidRPr="00D6108D" w:rsidRDefault="00D6108D" w:rsidP="00E42C7D">
            <w:pPr>
              <w:pStyle w:val="3Bodytext"/>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tcPr>
          <w:p w:rsidR="00E42C7D" w:rsidRPr="00D6108D" w:rsidRDefault="00D6108D" w:rsidP="00E42C7D">
            <w:pPr>
              <w:pStyle w:val="3Bodytext"/>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83" w:type="dxa"/>
            <w:tcMar>
              <w:left w:w="28" w:type="dxa"/>
              <w:right w:w="28" w:type="dxa"/>
            </w:tcMar>
          </w:tcPr>
          <w:p w:rsidR="00E42C7D" w:rsidRPr="00D6108D" w:rsidRDefault="00D6108D" w:rsidP="00E42C7D">
            <w:pPr>
              <w:pStyle w:val="3Bodytext"/>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E42C7D" w:rsidTr="00E42C7D">
        <w:tc>
          <w:tcPr>
            <w:tcW w:w="2263" w:type="dxa"/>
            <w:tcMar>
              <w:left w:w="28" w:type="dxa"/>
              <w:right w:w="28" w:type="dxa"/>
            </w:tcMar>
          </w:tcPr>
          <w:p w:rsidR="00E42C7D" w:rsidRPr="00E42C7D" w:rsidRDefault="00E42C7D" w:rsidP="00E42C7D">
            <w:pPr>
              <w:pStyle w:val="3Bodytext"/>
              <w:numPr>
                <w:ilvl w:val="0"/>
                <w:numId w:val="0"/>
              </w:numPr>
              <w:spacing w:after="0"/>
              <w:rPr>
                <w:rFonts w:ascii="Arial Narrow" w:hAnsi="Arial Narrow"/>
                <w:sz w:val="20"/>
                <w:szCs w:val="20"/>
              </w:rPr>
            </w:pPr>
            <w:r>
              <w:rPr>
                <w:rFonts w:ascii="Arial Narrow" w:hAnsi="Arial Narrow"/>
                <w:sz w:val="20"/>
                <w:szCs w:val="20"/>
              </w:rPr>
              <w:t>Net cost to PBS/RPBS</w:t>
            </w:r>
          </w:p>
        </w:tc>
        <w:tc>
          <w:tcPr>
            <w:tcW w:w="1134" w:type="dxa"/>
            <w:tcMar>
              <w:left w:w="28" w:type="dxa"/>
              <w:right w:w="28" w:type="dxa"/>
            </w:tcMar>
          </w:tcPr>
          <w:p w:rsidR="00E42C7D" w:rsidRPr="00D6108D" w:rsidRDefault="00D6108D" w:rsidP="00E42C7D">
            <w:pPr>
              <w:pStyle w:val="3Bodytext"/>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tcPr>
          <w:p w:rsidR="00E42C7D" w:rsidRPr="00D6108D" w:rsidRDefault="00D6108D" w:rsidP="00E42C7D">
            <w:pPr>
              <w:pStyle w:val="3Bodytext"/>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tcPr>
          <w:p w:rsidR="00E42C7D" w:rsidRPr="00D6108D" w:rsidRDefault="00D6108D" w:rsidP="00E42C7D">
            <w:pPr>
              <w:pStyle w:val="3Bodytext"/>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tcPr>
          <w:p w:rsidR="00E42C7D" w:rsidRPr="00D6108D" w:rsidRDefault="00D6108D" w:rsidP="00E42C7D">
            <w:pPr>
              <w:pStyle w:val="3Bodytext"/>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Mar>
              <w:left w:w="28" w:type="dxa"/>
              <w:right w:w="28" w:type="dxa"/>
            </w:tcMar>
          </w:tcPr>
          <w:p w:rsidR="00E42C7D" w:rsidRPr="00D6108D" w:rsidRDefault="00D6108D" w:rsidP="00E42C7D">
            <w:pPr>
              <w:pStyle w:val="3Bodytext"/>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83" w:type="dxa"/>
            <w:tcMar>
              <w:left w:w="28" w:type="dxa"/>
              <w:right w:w="28" w:type="dxa"/>
            </w:tcMar>
          </w:tcPr>
          <w:p w:rsidR="00E42C7D" w:rsidRPr="00D6108D" w:rsidRDefault="00D6108D" w:rsidP="00E42C7D">
            <w:pPr>
              <w:pStyle w:val="3Bodytext"/>
              <w:numPr>
                <w:ilvl w:val="0"/>
                <w:numId w:val="0"/>
              </w:numPr>
              <w:spacing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bl>
    <w:p w:rsidR="00A242D9" w:rsidRPr="00055C70" w:rsidRDefault="003C0AE7" w:rsidP="003C0AE7">
      <w:pPr>
        <w:pStyle w:val="3Bodytext"/>
        <w:numPr>
          <w:ilvl w:val="0"/>
          <w:numId w:val="0"/>
        </w:numPr>
        <w:spacing w:after="0"/>
        <w:jc w:val="both"/>
        <w:rPr>
          <w:rFonts w:ascii="Arial Narrow" w:hAnsi="Arial Narrow"/>
          <w:sz w:val="18"/>
          <w:szCs w:val="18"/>
        </w:rPr>
      </w:pPr>
      <w:r w:rsidRPr="00055C70">
        <w:rPr>
          <w:rFonts w:ascii="Arial Narrow" w:hAnsi="Arial Narrow"/>
          <w:sz w:val="18"/>
          <w:szCs w:val="18"/>
        </w:rPr>
        <w:t>PBS = Pharmaceutical Benefits Scheme; RPBS = Repatriation Pharmaceutical Benefits Scheme</w:t>
      </w:r>
    </w:p>
    <w:p w:rsidR="003C0AE7" w:rsidRDefault="003C0AE7" w:rsidP="00055C70">
      <w:pPr>
        <w:pStyle w:val="3Bodytext"/>
        <w:numPr>
          <w:ilvl w:val="0"/>
          <w:numId w:val="0"/>
        </w:numPr>
        <w:spacing w:after="0"/>
        <w:jc w:val="both"/>
        <w:rPr>
          <w:rFonts w:ascii="Arial Narrow" w:hAnsi="Arial Narrow"/>
          <w:sz w:val="18"/>
          <w:szCs w:val="18"/>
        </w:rPr>
      </w:pPr>
      <w:r w:rsidRPr="00055C70">
        <w:rPr>
          <w:rFonts w:ascii="Arial Narrow" w:hAnsi="Arial Narrow"/>
          <w:sz w:val="18"/>
          <w:szCs w:val="18"/>
        </w:rPr>
        <w:t>Source: Table 8, p12 of the minor resubmission</w:t>
      </w:r>
      <w:r w:rsidR="00851607" w:rsidRPr="00055C70">
        <w:rPr>
          <w:rFonts w:ascii="Arial Narrow" w:hAnsi="Arial Narrow"/>
          <w:sz w:val="18"/>
          <w:szCs w:val="18"/>
        </w:rPr>
        <w:t xml:space="preserve"> and corrected cost offsets from Tab 5. Impact – net. </w:t>
      </w:r>
      <w:proofErr w:type="spellStart"/>
      <w:r w:rsidR="00851607" w:rsidRPr="00055C70">
        <w:rPr>
          <w:rFonts w:ascii="Arial Narrow" w:hAnsi="Arial Narrow"/>
          <w:sz w:val="18"/>
          <w:szCs w:val="18"/>
        </w:rPr>
        <w:t>Att</w:t>
      </w:r>
      <w:proofErr w:type="spellEnd"/>
      <w:r w:rsidR="00851607" w:rsidRPr="00055C70">
        <w:rPr>
          <w:rFonts w:ascii="Arial Narrow" w:hAnsi="Arial Narrow"/>
          <w:sz w:val="18"/>
          <w:szCs w:val="18"/>
        </w:rPr>
        <w:t xml:space="preserve"> 2 Excel</w:t>
      </w:r>
    </w:p>
    <w:p w:rsidR="00B71310" w:rsidRPr="00B71310" w:rsidRDefault="00B71310" w:rsidP="00B71310">
      <w:pPr>
        <w:pStyle w:val="3Bodytext"/>
        <w:numPr>
          <w:ilvl w:val="0"/>
          <w:numId w:val="0"/>
        </w:numPr>
        <w:spacing w:after="0"/>
        <w:jc w:val="both"/>
        <w:rPr>
          <w:rFonts w:ascii="Arial Narrow" w:hAnsi="Arial Narrow"/>
          <w:sz w:val="18"/>
          <w:szCs w:val="18"/>
        </w:rPr>
      </w:pPr>
    </w:p>
    <w:p w:rsidR="00B71310" w:rsidRPr="00B71310" w:rsidRDefault="00B71310" w:rsidP="00B71310">
      <w:pPr>
        <w:jc w:val="both"/>
        <w:rPr>
          <w:rFonts w:asciiTheme="minorHAnsi" w:hAnsiTheme="minorHAnsi" w:cs="Arial"/>
        </w:rPr>
      </w:pPr>
      <w:r w:rsidRPr="00B71310">
        <w:rPr>
          <w:rFonts w:asciiTheme="minorHAnsi" w:hAnsiTheme="minorHAnsi" w:cs="Arial"/>
        </w:rPr>
        <w:t xml:space="preserve">The redacted table shows that at Year </w:t>
      </w:r>
      <w:r>
        <w:rPr>
          <w:rFonts w:asciiTheme="minorHAnsi" w:hAnsiTheme="minorHAnsi" w:cs="Arial"/>
        </w:rPr>
        <w:t>6</w:t>
      </w:r>
      <w:r w:rsidRPr="00B71310">
        <w:rPr>
          <w:rFonts w:asciiTheme="minorHAnsi" w:hAnsiTheme="minorHAnsi" w:cs="Arial"/>
        </w:rPr>
        <w:t xml:space="preserve">, the estimated number of patients was </w:t>
      </w:r>
      <w:r>
        <w:rPr>
          <w:rFonts w:asciiTheme="minorHAnsi" w:hAnsiTheme="minorHAnsi" w:cs="Arial"/>
        </w:rPr>
        <w:t xml:space="preserve">500 – 5,000 </w:t>
      </w:r>
      <w:r w:rsidRPr="00B71310">
        <w:rPr>
          <w:rFonts w:asciiTheme="minorHAnsi" w:hAnsiTheme="minorHAnsi" w:cs="Arial"/>
        </w:rPr>
        <w:t>and the net co</w:t>
      </w:r>
      <w:r>
        <w:rPr>
          <w:rFonts w:asciiTheme="minorHAnsi" w:hAnsiTheme="minorHAnsi" w:cs="Arial"/>
        </w:rPr>
        <w:t>st to the PBS would be $90 - $100 million.</w:t>
      </w:r>
    </w:p>
    <w:p w:rsidR="00B71310" w:rsidRPr="00055C70" w:rsidRDefault="00B71310" w:rsidP="00055C70">
      <w:pPr>
        <w:pStyle w:val="3Bodytext"/>
        <w:numPr>
          <w:ilvl w:val="0"/>
          <w:numId w:val="0"/>
        </w:numPr>
        <w:spacing w:after="0"/>
        <w:jc w:val="both"/>
        <w:rPr>
          <w:rFonts w:ascii="Arial Narrow" w:hAnsi="Arial Narrow"/>
          <w:sz w:val="18"/>
          <w:szCs w:val="18"/>
        </w:rPr>
      </w:pPr>
    </w:p>
    <w:p w:rsidR="003C0AE7" w:rsidRPr="00503B83" w:rsidRDefault="003C0AE7" w:rsidP="00503B83">
      <w:pPr>
        <w:pStyle w:val="Heading2"/>
        <w:keepLines/>
        <w:spacing w:before="120" w:after="120"/>
        <w:rPr>
          <w:rFonts w:asciiTheme="minorHAnsi" w:eastAsiaTheme="majorEastAsia" w:hAnsiTheme="minorHAnsi" w:cstheme="majorBidi"/>
          <w:sz w:val="28"/>
          <w:szCs w:val="28"/>
          <w:lang w:eastAsia="en-US"/>
        </w:rPr>
      </w:pPr>
      <w:r w:rsidRPr="00503B83">
        <w:rPr>
          <w:rFonts w:asciiTheme="minorHAnsi" w:eastAsiaTheme="majorEastAsia" w:hAnsiTheme="minorHAnsi" w:cstheme="majorBidi"/>
          <w:sz w:val="28"/>
          <w:szCs w:val="28"/>
          <w:lang w:eastAsia="en-US"/>
        </w:rPr>
        <w:lastRenderedPageBreak/>
        <w:t>Risk sharing arrangement</w:t>
      </w:r>
    </w:p>
    <w:p w:rsidR="003E6804" w:rsidRPr="00177A20" w:rsidRDefault="003C0AE7" w:rsidP="003E6804">
      <w:pPr>
        <w:pStyle w:val="3Bodytext"/>
        <w:jc w:val="both"/>
        <w:rPr>
          <w:b/>
          <w:color w:val="FF00FF"/>
        </w:rPr>
      </w:pPr>
      <w:r>
        <w:t xml:space="preserve">The minor resubmission proposed a methodology for structuring and calculating the </w:t>
      </w:r>
      <w:r w:rsidR="008E5F26">
        <w:t>R</w:t>
      </w:r>
      <w:r>
        <w:t xml:space="preserve">isk </w:t>
      </w:r>
      <w:r w:rsidR="008E5F26">
        <w:t>S</w:t>
      </w:r>
      <w:r>
        <w:t>har</w:t>
      </w:r>
      <w:r w:rsidR="008E5F26">
        <w:t>ing</w:t>
      </w:r>
      <w:r>
        <w:t xml:space="preserve"> </w:t>
      </w:r>
      <w:r w:rsidR="008E5F26">
        <w:t>A</w:t>
      </w:r>
      <w:r>
        <w:t xml:space="preserve">rrangement (RSA) and </w:t>
      </w:r>
      <w:r w:rsidR="003C2F36">
        <w:t>subsidisation</w:t>
      </w:r>
      <w:r>
        <w:t xml:space="preserve"> caps </w:t>
      </w:r>
      <w:r w:rsidR="003E6804">
        <w:t xml:space="preserve">for the PD-1 inhibitors across the adjuvant and </w:t>
      </w:r>
      <w:proofErr w:type="spellStart"/>
      <w:r w:rsidR="003E6804">
        <w:t>unresectable</w:t>
      </w:r>
      <w:proofErr w:type="spellEnd"/>
      <w:r w:rsidR="003E6804">
        <w:t xml:space="preserve"> or metastatic settings</w:t>
      </w:r>
      <w:r w:rsidR="003C2F36">
        <w:t xml:space="preserve"> as outline</w:t>
      </w:r>
      <w:r w:rsidR="00557A63">
        <w:t>d</w:t>
      </w:r>
      <w:r w:rsidR="003C2F36">
        <w:t xml:space="preserve"> below</w:t>
      </w:r>
      <w:r w:rsidR="003E6804">
        <w:t xml:space="preserve">. Specific calculations were not provided as the sponsor was unaware of the effective adjuvant cost per patient. </w:t>
      </w:r>
    </w:p>
    <w:p w:rsidR="008E5F26" w:rsidRPr="00BD4FB3" w:rsidRDefault="008E5F26" w:rsidP="008E5F26">
      <w:pPr>
        <w:pStyle w:val="Tabletitles"/>
        <w:keepNext/>
        <w:spacing w:after="0"/>
        <w:rPr>
          <w:color w:val="FF00FF"/>
        </w:rPr>
      </w:pPr>
      <w:r>
        <w:t>Table 6</w:t>
      </w:r>
      <w:r w:rsidRPr="00BD4FB3">
        <w:t>: Proposed methodology for determining the RSA subsidisation caps</w:t>
      </w:r>
    </w:p>
    <w:tbl>
      <w:tblPr>
        <w:tblStyle w:val="TableGrid"/>
        <w:tblW w:w="0" w:type="auto"/>
        <w:tblLook w:val="04A0" w:firstRow="1" w:lastRow="0" w:firstColumn="1" w:lastColumn="0" w:noHBand="0" w:noVBand="1"/>
        <w:tblCaption w:val="Table 6: Proposed methodology for determining the RSA subsidisation caps"/>
      </w:tblPr>
      <w:tblGrid>
        <w:gridCol w:w="846"/>
        <w:gridCol w:w="8170"/>
      </w:tblGrid>
      <w:tr w:rsidR="008E5F26" w:rsidTr="00643DA7">
        <w:trPr>
          <w:tblHeader/>
        </w:trPr>
        <w:tc>
          <w:tcPr>
            <w:tcW w:w="846" w:type="dxa"/>
            <w:tcMar>
              <w:left w:w="28" w:type="dxa"/>
              <w:right w:w="28" w:type="dxa"/>
            </w:tcMar>
          </w:tcPr>
          <w:p w:rsidR="008E5F26" w:rsidRPr="003C2F36" w:rsidRDefault="008E5F26" w:rsidP="008E5F26">
            <w:pPr>
              <w:pStyle w:val="3Bodytext"/>
              <w:keepNext/>
              <w:numPr>
                <w:ilvl w:val="0"/>
                <w:numId w:val="0"/>
              </w:numPr>
              <w:spacing w:after="0"/>
              <w:jc w:val="both"/>
              <w:rPr>
                <w:rFonts w:ascii="Arial Narrow" w:hAnsi="Arial Narrow"/>
                <w:sz w:val="20"/>
                <w:szCs w:val="20"/>
              </w:rPr>
            </w:pPr>
            <w:r>
              <w:rPr>
                <w:rFonts w:ascii="Arial Narrow" w:hAnsi="Arial Narrow"/>
                <w:sz w:val="20"/>
                <w:szCs w:val="20"/>
              </w:rPr>
              <w:t>Step 1</w:t>
            </w:r>
          </w:p>
        </w:tc>
        <w:tc>
          <w:tcPr>
            <w:tcW w:w="8170" w:type="dxa"/>
            <w:tcMar>
              <w:left w:w="28" w:type="dxa"/>
              <w:right w:w="28" w:type="dxa"/>
            </w:tcMar>
          </w:tcPr>
          <w:p w:rsidR="008E5F26" w:rsidRPr="003C2F36" w:rsidRDefault="008E5F26" w:rsidP="008E5F26">
            <w:pPr>
              <w:pStyle w:val="3Bodytext"/>
              <w:keepNext/>
              <w:numPr>
                <w:ilvl w:val="0"/>
                <w:numId w:val="0"/>
              </w:numPr>
              <w:spacing w:after="0"/>
              <w:jc w:val="both"/>
              <w:rPr>
                <w:rFonts w:ascii="Arial Narrow" w:hAnsi="Arial Narrow"/>
                <w:sz w:val="20"/>
                <w:szCs w:val="20"/>
              </w:rPr>
            </w:pPr>
            <w:r>
              <w:rPr>
                <w:rFonts w:ascii="Arial Narrow" w:hAnsi="Arial Narrow"/>
                <w:sz w:val="20"/>
                <w:szCs w:val="20"/>
              </w:rPr>
              <w:t xml:space="preserve">Estimate the effective spend for PD-1 inhibitors in the </w:t>
            </w:r>
            <w:proofErr w:type="spellStart"/>
            <w:r>
              <w:rPr>
                <w:rFonts w:ascii="Arial Narrow" w:hAnsi="Arial Narrow"/>
                <w:sz w:val="20"/>
                <w:szCs w:val="20"/>
              </w:rPr>
              <w:t>unresectable</w:t>
            </w:r>
            <w:proofErr w:type="spellEnd"/>
            <w:r>
              <w:rPr>
                <w:rFonts w:ascii="Arial Narrow" w:hAnsi="Arial Narrow"/>
                <w:sz w:val="20"/>
                <w:szCs w:val="20"/>
              </w:rPr>
              <w:t xml:space="preserve"> or metastatic setting over the next 6 years, with the forecast based on the historical melanoma PD-1 inhibitor growth rate (e.g. 6.5%). </w:t>
            </w:r>
          </w:p>
        </w:tc>
      </w:tr>
      <w:tr w:rsidR="008E5F26" w:rsidTr="00F22877">
        <w:tc>
          <w:tcPr>
            <w:tcW w:w="846" w:type="dxa"/>
            <w:tcMar>
              <w:left w:w="28" w:type="dxa"/>
              <w:right w:w="28" w:type="dxa"/>
            </w:tcMar>
          </w:tcPr>
          <w:p w:rsidR="008E5F26" w:rsidRDefault="008E5F26" w:rsidP="00F22877">
            <w:pPr>
              <w:pStyle w:val="3Bodytext"/>
              <w:keepNext/>
              <w:numPr>
                <w:ilvl w:val="0"/>
                <w:numId w:val="0"/>
              </w:numPr>
              <w:spacing w:after="0"/>
              <w:jc w:val="both"/>
              <w:rPr>
                <w:rFonts w:ascii="Arial Narrow" w:hAnsi="Arial Narrow"/>
                <w:sz w:val="20"/>
                <w:szCs w:val="20"/>
              </w:rPr>
            </w:pPr>
            <w:r>
              <w:rPr>
                <w:rFonts w:ascii="Arial Narrow" w:hAnsi="Arial Narrow"/>
                <w:sz w:val="20"/>
                <w:szCs w:val="20"/>
              </w:rPr>
              <w:t>Step 2</w:t>
            </w:r>
          </w:p>
        </w:tc>
        <w:tc>
          <w:tcPr>
            <w:tcW w:w="8170" w:type="dxa"/>
            <w:tcMar>
              <w:left w:w="28" w:type="dxa"/>
              <w:right w:w="28" w:type="dxa"/>
            </w:tcMar>
          </w:tcPr>
          <w:p w:rsidR="008E5F26" w:rsidRDefault="008E5F26" w:rsidP="00F22877">
            <w:pPr>
              <w:pStyle w:val="3Bodytext"/>
              <w:keepNext/>
              <w:numPr>
                <w:ilvl w:val="0"/>
                <w:numId w:val="0"/>
              </w:numPr>
              <w:spacing w:after="0"/>
              <w:jc w:val="both"/>
              <w:rPr>
                <w:rFonts w:ascii="Arial Narrow" w:hAnsi="Arial Narrow"/>
                <w:sz w:val="20"/>
                <w:szCs w:val="20"/>
              </w:rPr>
            </w:pPr>
            <w:r>
              <w:rPr>
                <w:rFonts w:ascii="Arial Narrow" w:hAnsi="Arial Narrow"/>
                <w:sz w:val="20"/>
                <w:szCs w:val="20"/>
              </w:rPr>
              <w:t xml:space="preserve">Estimate the proportion of adjuvant patients who will receive PD-1 </w:t>
            </w:r>
            <w:r w:rsidR="00D7517B">
              <w:rPr>
                <w:rFonts w:ascii="Arial Narrow" w:hAnsi="Arial Narrow"/>
                <w:sz w:val="20"/>
                <w:szCs w:val="20"/>
              </w:rPr>
              <w:t xml:space="preserve">inhibitor </w:t>
            </w:r>
            <w:r>
              <w:rPr>
                <w:rFonts w:ascii="Arial Narrow" w:hAnsi="Arial Narrow"/>
                <w:sz w:val="20"/>
                <w:szCs w:val="20"/>
              </w:rPr>
              <w:t xml:space="preserve">therapy versus BRAF/MEK </w:t>
            </w:r>
            <w:r w:rsidR="00D7517B">
              <w:rPr>
                <w:rFonts w:ascii="Arial Narrow" w:hAnsi="Arial Narrow"/>
                <w:sz w:val="20"/>
                <w:szCs w:val="20"/>
              </w:rPr>
              <w:t xml:space="preserve">targeted </w:t>
            </w:r>
            <w:r>
              <w:rPr>
                <w:rFonts w:ascii="Arial Narrow" w:hAnsi="Arial Narrow"/>
                <w:sz w:val="20"/>
                <w:szCs w:val="20"/>
              </w:rPr>
              <w:t>therapy. As outlined above, the minor resubmission estimated that 92% of adjuvant patients would be treated with a PD-1 inhibitor.</w:t>
            </w:r>
          </w:p>
        </w:tc>
      </w:tr>
      <w:tr w:rsidR="008E5F26" w:rsidTr="00F22877">
        <w:tc>
          <w:tcPr>
            <w:tcW w:w="846" w:type="dxa"/>
            <w:tcMar>
              <w:left w:w="28" w:type="dxa"/>
              <w:right w:w="28" w:type="dxa"/>
            </w:tcMar>
          </w:tcPr>
          <w:p w:rsidR="008E5F26" w:rsidRPr="003C2F36" w:rsidRDefault="008E5F26" w:rsidP="00F22877">
            <w:pPr>
              <w:pStyle w:val="3Bodytext"/>
              <w:keepNext/>
              <w:numPr>
                <w:ilvl w:val="0"/>
                <w:numId w:val="0"/>
              </w:numPr>
              <w:spacing w:after="0"/>
              <w:jc w:val="both"/>
              <w:rPr>
                <w:rFonts w:ascii="Arial Narrow" w:hAnsi="Arial Narrow"/>
                <w:sz w:val="20"/>
                <w:szCs w:val="20"/>
              </w:rPr>
            </w:pPr>
            <w:r>
              <w:rPr>
                <w:rFonts w:ascii="Arial Narrow" w:hAnsi="Arial Narrow"/>
                <w:sz w:val="20"/>
                <w:szCs w:val="20"/>
              </w:rPr>
              <w:t>Step 3</w:t>
            </w:r>
          </w:p>
        </w:tc>
        <w:tc>
          <w:tcPr>
            <w:tcW w:w="8170" w:type="dxa"/>
            <w:tcMar>
              <w:left w:w="28" w:type="dxa"/>
              <w:right w:w="28" w:type="dxa"/>
            </w:tcMar>
          </w:tcPr>
          <w:p w:rsidR="008E5F26" w:rsidRPr="003C2F36" w:rsidRDefault="008E5F26" w:rsidP="00F22877">
            <w:pPr>
              <w:pStyle w:val="3Bodytext"/>
              <w:keepNext/>
              <w:numPr>
                <w:ilvl w:val="0"/>
                <w:numId w:val="0"/>
              </w:numPr>
              <w:spacing w:after="0"/>
              <w:jc w:val="both"/>
              <w:rPr>
                <w:rFonts w:ascii="Arial Narrow" w:hAnsi="Arial Narrow"/>
                <w:sz w:val="20"/>
                <w:szCs w:val="20"/>
              </w:rPr>
            </w:pPr>
            <w:r>
              <w:rPr>
                <w:rFonts w:ascii="Arial Narrow" w:hAnsi="Arial Narrow"/>
                <w:sz w:val="20"/>
                <w:szCs w:val="20"/>
              </w:rPr>
              <w:t>Estimate the effective spend for PD-1 inhibitors in the adjuvant setting over the next 6 years, based on agreed adjuvant cost per patients and patient numbers from the financial estimates provided above.</w:t>
            </w:r>
          </w:p>
        </w:tc>
      </w:tr>
      <w:tr w:rsidR="008E5F26" w:rsidTr="00F22877">
        <w:tc>
          <w:tcPr>
            <w:tcW w:w="846" w:type="dxa"/>
            <w:tcMar>
              <w:left w:w="28" w:type="dxa"/>
              <w:right w:w="28" w:type="dxa"/>
            </w:tcMar>
          </w:tcPr>
          <w:p w:rsidR="008E5F26" w:rsidRPr="003C2F36" w:rsidRDefault="008E5F26" w:rsidP="00F22877">
            <w:pPr>
              <w:pStyle w:val="3Bodytext"/>
              <w:keepNext/>
              <w:numPr>
                <w:ilvl w:val="0"/>
                <w:numId w:val="0"/>
              </w:numPr>
              <w:spacing w:after="0"/>
              <w:jc w:val="both"/>
              <w:rPr>
                <w:rFonts w:ascii="Arial Narrow" w:hAnsi="Arial Narrow"/>
                <w:sz w:val="20"/>
                <w:szCs w:val="20"/>
              </w:rPr>
            </w:pPr>
            <w:r>
              <w:rPr>
                <w:rFonts w:ascii="Arial Narrow" w:hAnsi="Arial Narrow"/>
                <w:sz w:val="20"/>
                <w:szCs w:val="20"/>
              </w:rPr>
              <w:t>Step 4</w:t>
            </w:r>
          </w:p>
        </w:tc>
        <w:tc>
          <w:tcPr>
            <w:tcW w:w="8170" w:type="dxa"/>
            <w:tcMar>
              <w:left w:w="28" w:type="dxa"/>
              <w:right w:w="28" w:type="dxa"/>
            </w:tcMar>
          </w:tcPr>
          <w:p w:rsidR="008E5F26" w:rsidRPr="003C2F36" w:rsidRDefault="008E5F26" w:rsidP="00F22877">
            <w:pPr>
              <w:pStyle w:val="3Bodytext"/>
              <w:keepNext/>
              <w:numPr>
                <w:ilvl w:val="0"/>
                <w:numId w:val="0"/>
              </w:numPr>
              <w:spacing w:after="0"/>
              <w:jc w:val="both"/>
              <w:rPr>
                <w:rFonts w:ascii="Arial Narrow" w:hAnsi="Arial Narrow"/>
                <w:sz w:val="20"/>
                <w:szCs w:val="20"/>
              </w:rPr>
            </w:pPr>
            <w:r>
              <w:rPr>
                <w:rFonts w:ascii="Arial Narrow" w:hAnsi="Arial Narrow"/>
                <w:sz w:val="20"/>
                <w:szCs w:val="20"/>
              </w:rPr>
              <w:t xml:space="preserve">Calculate the number of patients who will be treated in both the adjuvant and </w:t>
            </w:r>
            <w:proofErr w:type="spellStart"/>
            <w:r>
              <w:rPr>
                <w:rFonts w:ascii="Arial Narrow" w:hAnsi="Arial Narrow"/>
                <w:sz w:val="20"/>
                <w:szCs w:val="20"/>
              </w:rPr>
              <w:t>unresectable</w:t>
            </w:r>
            <w:proofErr w:type="spellEnd"/>
            <w:r>
              <w:rPr>
                <w:rFonts w:ascii="Arial Narrow" w:hAnsi="Arial Narrow"/>
                <w:sz w:val="20"/>
                <w:szCs w:val="20"/>
              </w:rPr>
              <w:t xml:space="preserve"> or metastatic setting (i.e. who receive retreatment). This could be based on the modelled estimates from KN045 (the key </w:t>
            </w:r>
            <w:proofErr w:type="spellStart"/>
            <w:r>
              <w:rPr>
                <w:rFonts w:ascii="Arial Narrow" w:hAnsi="Arial Narrow"/>
                <w:sz w:val="20"/>
                <w:szCs w:val="20"/>
              </w:rPr>
              <w:t>pembrolizumab</w:t>
            </w:r>
            <w:proofErr w:type="spellEnd"/>
            <w:r>
              <w:rPr>
                <w:rFonts w:ascii="Arial Narrow" w:hAnsi="Arial Narrow"/>
                <w:sz w:val="20"/>
                <w:szCs w:val="20"/>
              </w:rPr>
              <w:t xml:space="preserve"> trial) and would consist of patients who received 12 months adjuvant treatment and who remained recurrence free for at least 6 months after completing therapy. The minor resubmission stated that this represents approximately 5% of the PD-1 inhibitor treated adjuvant population.</w:t>
            </w:r>
          </w:p>
        </w:tc>
      </w:tr>
      <w:tr w:rsidR="008E5F26" w:rsidTr="00F22877">
        <w:tc>
          <w:tcPr>
            <w:tcW w:w="846" w:type="dxa"/>
            <w:tcMar>
              <w:left w:w="28" w:type="dxa"/>
              <w:right w:w="28" w:type="dxa"/>
            </w:tcMar>
          </w:tcPr>
          <w:p w:rsidR="008E5F26" w:rsidRPr="003C2F36" w:rsidRDefault="008E5F26" w:rsidP="00F22877">
            <w:pPr>
              <w:pStyle w:val="3Bodytext"/>
              <w:keepNext/>
              <w:numPr>
                <w:ilvl w:val="0"/>
                <w:numId w:val="0"/>
              </w:numPr>
              <w:spacing w:after="0"/>
              <w:jc w:val="both"/>
              <w:rPr>
                <w:rFonts w:ascii="Arial Narrow" w:hAnsi="Arial Narrow"/>
                <w:sz w:val="20"/>
                <w:szCs w:val="20"/>
              </w:rPr>
            </w:pPr>
            <w:r>
              <w:rPr>
                <w:rFonts w:ascii="Arial Narrow" w:hAnsi="Arial Narrow"/>
                <w:sz w:val="20"/>
                <w:szCs w:val="20"/>
              </w:rPr>
              <w:t>Step 5</w:t>
            </w:r>
          </w:p>
        </w:tc>
        <w:tc>
          <w:tcPr>
            <w:tcW w:w="8170" w:type="dxa"/>
            <w:tcMar>
              <w:left w:w="28" w:type="dxa"/>
              <w:right w:w="28" w:type="dxa"/>
            </w:tcMar>
          </w:tcPr>
          <w:p w:rsidR="008E5F26" w:rsidRPr="003C2F36" w:rsidRDefault="008E5F26" w:rsidP="00F22877">
            <w:pPr>
              <w:pStyle w:val="3Bodytext"/>
              <w:keepNext/>
              <w:numPr>
                <w:ilvl w:val="0"/>
                <w:numId w:val="0"/>
              </w:numPr>
              <w:spacing w:after="0"/>
              <w:jc w:val="both"/>
              <w:rPr>
                <w:rFonts w:ascii="Arial Narrow" w:hAnsi="Arial Narrow"/>
                <w:sz w:val="20"/>
                <w:szCs w:val="20"/>
              </w:rPr>
            </w:pPr>
            <w:r>
              <w:rPr>
                <w:rFonts w:ascii="Arial Narrow" w:hAnsi="Arial Narrow"/>
                <w:sz w:val="20"/>
                <w:szCs w:val="20"/>
              </w:rPr>
              <w:t xml:space="preserve">Calculate the offset to the PD-1 inhibitors in the </w:t>
            </w:r>
            <w:proofErr w:type="spellStart"/>
            <w:r>
              <w:rPr>
                <w:rFonts w:ascii="Arial Narrow" w:hAnsi="Arial Narrow"/>
                <w:sz w:val="20"/>
                <w:szCs w:val="20"/>
              </w:rPr>
              <w:t>unresectable</w:t>
            </w:r>
            <w:proofErr w:type="spellEnd"/>
            <w:r>
              <w:rPr>
                <w:rFonts w:ascii="Arial Narrow" w:hAnsi="Arial Narrow"/>
                <w:sz w:val="20"/>
                <w:szCs w:val="20"/>
              </w:rPr>
              <w:t xml:space="preserve"> or metastatic setting by estimating the proportion of adjuvant patients treated who no longer progress to the metastatic setting. The minor resubmission used the modelled estimates from KN054 which were included in the financial estimates provided above from Year 2 onwards. This represented approximately 22% of PD-1 inhibitor treated adjuvant population (0% in Year 1, plateauing at 32% in Year 6).</w:t>
            </w:r>
          </w:p>
        </w:tc>
      </w:tr>
      <w:tr w:rsidR="008E5F26" w:rsidTr="00F22877">
        <w:tc>
          <w:tcPr>
            <w:tcW w:w="846" w:type="dxa"/>
            <w:tcMar>
              <w:left w:w="28" w:type="dxa"/>
              <w:right w:w="28" w:type="dxa"/>
            </w:tcMar>
          </w:tcPr>
          <w:p w:rsidR="008E5F26" w:rsidRPr="003C2F36" w:rsidRDefault="008E5F26" w:rsidP="00F22877">
            <w:pPr>
              <w:pStyle w:val="3Bodytext"/>
              <w:keepNext/>
              <w:numPr>
                <w:ilvl w:val="0"/>
                <w:numId w:val="0"/>
              </w:numPr>
              <w:spacing w:after="0"/>
              <w:jc w:val="both"/>
              <w:rPr>
                <w:rFonts w:ascii="Arial Narrow" w:hAnsi="Arial Narrow"/>
                <w:sz w:val="20"/>
                <w:szCs w:val="20"/>
              </w:rPr>
            </w:pPr>
            <w:r>
              <w:rPr>
                <w:rFonts w:ascii="Arial Narrow" w:hAnsi="Arial Narrow"/>
                <w:sz w:val="20"/>
                <w:szCs w:val="20"/>
              </w:rPr>
              <w:t>Step 6</w:t>
            </w:r>
          </w:p>
        </w:tc>
        <w:tc>
          <w:tcPr>
            <w:tcW w:w="8170" w:type="dxa"/>
            <w:tcMar>
              <w:left w:w="28" w:type="dxa"/>
              <w:right w:w="28" w:type="dxa"/>
            </w:tcMar>
          </w:tcPr>
          <w:p w:rsidR="008E5F26" w:rsidRPr="003C2F36" w:rsidRDefault="008E5F26" w:rsidP="00F22877">
            <w:pPr>
              <w:pStyle w:val="3Bodytext"/>
              <w:keepNext/>
              <w:numPr>
                <w:ilvl w:val="0"/>
                <w:numId w:val="0"/>
              </w:numPr>
              <w:spacing w:after="0"/>
              <w:jc w:val="both"/>
              <w:rPr>
                <w:rFonts w:ascii="Arial Narrow" w:hAnsi="Arial Narrow"/>
                <w:sz w:val="20"/>
                <w:szCs w:val="20"/>
              </w:rPr>
            </w:pPr>
            <w:r>
              <w:rPr>
                <w:rFonts w:ascii="Arial Narrow" w:hAnsi="Arial Narrow"/>
                <w:sz w:val="20"/>
                <w:szCs w:val="20"/>
              </w:rPr>
              <w:t>Calculation of subsidisation caps (Sum of Steps 1-4), with rebates paid for any cost to government above these totals.</w:t>
            </w:r>
          </w:p>
        </w:tc>
      </w:tr>
    </w:tbl>
    <w:p w:rsidR="00D7517B" w:rsidRDefault="00D7517B" w:rsidP="008E5F26">
      <w:pPr>
        <w:pStyle w:val="TableFooter"/>
      </w:pPr>
      <w:r>
        <w:t>PD-1 = programmed cell death-1; RSA = Risk Sharing Arrangement</w:t>
      </w:r>
    </w:p>
    <w:p w:rsidR="008E5F26" w:rsidRDefault="008E5F26" w:rsidP="008E5F26">
      <w:pPr>
        <w:pStyle w:val="TableFooter"/>
      </w:pPr>
      <w:r w:rsidRPr="00E779E0">
        <w:t>Source: Text, pp14-15 of the minor resubmission</w:t>
      </w:r>
    </w:p>
    <w:p w:rsidR="00557A63" w:rsidRPr="003E6804" w:rsidRDefault="00557A63" w:rsidP="008E5F26"/>
    <w:p w:rsidR="00055C70" w:rsidRDefault="00055C70" w:rsidP="00055C70">
      <w:pPr>
        <w:rPr>
          <w:rFonts w:asciiTheme="minorHAnsi" w:hAnsiTheme="minorHAnsi"/>
          <w:i/>
        </w:rPr>
      </w:pPr>
      <w:r>
        <w:tab/>
      </w:r>
      <w:r w:rsidRPr="00055C70">
        <w:rPr>
          <w:rFonts w:asciiTheme="minorHAnsi" w:hAnsiTheme="minorHAnsi"/>
          <w:i/>
        </w:rPr>
        <w:t>For more deta</w:t>
      </w:r>
      <w:r w:rsidR="00EF33B0">
        <w:rPr>
          <w:rFonts w:asciiTheme="minorHAnsi" w:hAnsiTheme="minorHAnsi"/>
          <w:i/>
        </w:rPr>
        <w:t>il on PBAC’s view, see section 6</w:t>
      </w:r>
      <w:r w:rsidRPr="00055C70">
        <w:rPr>
          <w:rFonts w:asciiTheme="minorHAnsi" w:hAnsiTheme="minorHAnsi"/>
          <w:i/>
        </w:rPr>
        <w:t xml:space="preserve"> PBAC outcome.</w:t>
      </w:r>
    </w:p>
    <w:p w:rsidR="00055C70" w:rsidRPr="00D52702" w:rsidRDefault="00055C70" w:rsidP="00D3491A">
      <w:pPr>
        <w:pStyle w:val="2Sections"/>
        <w:keepNext/>
        <w:keepLines/>
      </w:pPr>
      <w:r w:rsidRPr="00D52702">
        <w:t>PBAC Outcome</w:t>
      </w:r>
    </w:p>
    <w:p w:rsidR="00FB3FB4" w:rsidRDefault="00FB3FB4" w:rsidP="00D3491A">
      <w:pPr>
        <w:keepNext/>
        <w:keepLines/>
        <w:widowControl w:val="0"/>
        <w:numPr>
          <w:ilvl w:val="1"/>
          <w:numId w:val="1"/>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deferred making a </w:t>
      </w:r>
      <w:r w:rsidR="00D7517B">
        <w:rPr>
          <w:rFonts w:asciiTheme="minorHAnsi" w:hAnsiTheme="minorHAnsi" w:cs="Arial"/>
          <w:bCs/>
          <w:snapToGrid w:val="0"/>
          <w:lang w:val="en-GB"/>
        </w:rPr>
        <w:t>recommendation</w:t>
      </w:r>
      <w:r>
        <w:rPr>
          <w:rFonts w:asciiTheme="minorHAnsi" w:hAnsiTheme="minorHAnsi" w:cs="Arial"/>
          <w:bCs/>
          <w:snapToGrid w:val="0"/>
          <w:lang w:val="en-GB"/>
        </w:rPr>
        <w:t xml:space="preserve"> regarding the listing of </w:t>
      </w:r>
      <w:proofErr w:type="spellStart"/>
      <w:r>
        <w:rPr>
          <w:rFonts w:asciiTheme="minorHAnsi" w:hAnsiTheme="minorHAnsi" w:cs="Arial"/>
          <w:bCs/>
          <w:snapToGrid w:val="0"/>
          <w:lang w:val="en-GB"/>
        </w:rPr>
        <w:t>pembrolizumab</w:t>
      </w:r>
      <w:proofErr w:type="spellEnd"/>
      <w:r>
        <w:rPr>
          <w:rFonts w:asciiTheme="minorHAnsi" w:hAnsiTheme="minorHAnsi" w:cs="Arial"/>
          <w:bCs/>
          <w:snapToGrid w:val="0"/>
          <w:lang w:val="en-GB"/>
        </w:rPr>
        <w:t xml:space="preserve"> as adjuvant treatment for patients with completely resected Stage IIIB, IIIC or IIID </w:t>
      </w:r>
      <w:r w:rsidR="00D7517B">
        <w:rPr>
          <w:rFonts w:asciiTheme="minorHAnsi" w:hAnsiTheme="minorHAnsi" w:cs="Arial"/>
          <w:bCs/>
          <w:snapToGrid w:val="0"/>
          <w:lang w:val="en-GB"/>
        </w:rPr>
        <w:t xml:space="preserve">malignant </w:t>
      </w:r>
      <w:r>
        <w:rPr>
          <w:rFonts w:asciiTheme="minorHAnsi" w:hAnsiTheme="minorHAnsi" w:cs="Arial"/>
          <w:bCs/>
          <w:snapToGrid w:val="0"/>
          <w:lang w:val="en-GB"/>
        </w:rPr>
        <w:t>melanoma</w:t>
      </w:r>
      <w:r w:rsidR="00D7517B">
        <w:rPr>
          <w:rFonts w:asciiTheme="minorHAnsi" w:hAnsiTheme="minorHAnsi" w:cs="Arial"/>
          <w:bCs/>
          <w:snapToGrid w:val="0"/>
          <w:lang w:val="en-GB"/>
        </w:rPr>
        <w:t xml:space="preserve">. The PBAC considered it appropriate for </w:t>
      </w:r>
      <w:proofErr w:type="spellStart"/>
      <w:r w:rsidR="00D7517B">
        <w:rPr>
          <w:rFonts w:asciiTheme="minorHAnsi" w:hAnsiTheme="minorHAnsi" w:cs="Arial"/>
          <w:bCs/>
          <w:snapToGrid w:val="0"/>
          <w:lang w:val="en-GB"/>
        </w:rPr>
        <w:t>pembrolizumab</w:t>
      </w:r>
      <w:proofErr w:type="spellEnd"/>
      <w:r w:rsidR="00D7517B">
        <w:rPr>
          <w:rFonts w:asciiTheme="minorHAnsi" w:hAnsiTheme="minorHAnsi" w:cs="Arial"/>
          <w:bCs/>
          <w:snapToGrid w:val="0"/>
          <w:lang w:val="en-GB"/>
        </w:rPr>
        <w:t xml:space="preserve"> to be listed on a cost minimisation basis versus </w:t>
      </w:r>
      <w:proofErr w:type="spellStart"/>
      <w:r w:rsidR="00D7517B">
        <w:rPr>
          <w:rFonts w:asciiTheme="minorHAnsi" w:hAnsiTheme="minorHAnsi" w:cs="Arial"/>
          <w:bCs/>
          <w:snapToGrid w:val="0"/>
          <w:lang w:val="en-GB"/>
        </w:rPr>
        <w:t>nivolumab</w:t>
      </w:r>
      <w:proofErr w:type="spellEnd"/>
      <w:r w:rsidR="00177A20">
        <w:rPr>
          <w:rFonts w:asciiTheme="minorHAnsi" w:hAnsiTheme="minorHAnsi" w:cs="Arial"/>
          <w:bCs/>
          <w:snapToGrid w:val="0"/>
          <w:lang w:val="en-GB"/>
        </w:rPr>
        <w:t>, noting</w:t>
      </w:r>
      <w:r w:rsidR="00D7517B">
        <w:rPr>
          <w:rFonts w:asciiTheme="minorHAnsi" w:hAnsiTheme="minorHAnsi" w:cs="Arial"/>
          <w:bCs/>
          <w:snapToGrid w:val="0"/>
          <w:lang w:val="en-GB"/>
        </w:rPr>
        <w:t xml:space="preserve"> that a list</w:t>
      </w:r>
      <w:r w:rsidR="00177A20">
        <w:rPr>
          <w:rFonts w:asciiTheme="minorHAnsi" w:hAnsiTheme="minorHAnsi" w:cs="Arial"/>
          <w:bCs/>
          <w:snapToGrid w:val="0"/>
          <w:lang w:val="en-GB"/>
        </w:rPr>
        <w:t xml:space="preserve">ing for </w:t>
      </w:r>
      <w:proofErr w:type="spellStart"/>
      <w:r w:rsidR="00177A20">
        <w:rPr>
          <w:rFonts w:asciiTheme="minorHAnsi" w:hAnsiTheme="minorHAnsi" w:cs="Arial"/>
          <w:bCs/>
          <w:snapToGrid w:val="0"/>
          <w:lang w:val="en-GB"/>
        </w:rPr>
        <w:t>pembrolizumab</w:t>
      </w:r>
      <w:proofErr w:type="spellEnd"/>
      <w:r w:rsidR="00177A20">
        <w:rPr>
          <w:rFonts w:asciiTheme="minorHAnsi" w:hAnsiTheme="minorHAnsi" w:cs="Arial"/>
          <w:bCs/>
          <w:snapToGrid w:val="0"/>
          <w:lang w:val="en-GB"/>
        </w:rPr>
        <w:t xml:space="preserve"> would be unable to proceed until a listing was agreed for </w:t>
      </w:r>
      <w:proofErr w:type="spellStart"/>
      <w:r w:rsidR="00177A20">
        <w:rPr>
          <w:rFonts w:asciiTheme="minorHAnsi" w:hAnsiTheme="minorHAnsi" w:cs="Arial"/>
          <w:bCs/>
          <w:snapToGrid w:val="0"/>
          <w:lang w:val="en-GB"/>
        </w:rPr>
        <w:t>nivolumab</w:t>
      </w:r>
      <w:proofErr w:type="spellEnd"/>
      <w:r w:rsidR="00177A20">
        <w:rPr>
          <w:rFonts w:asciiTheme="minorHAnsi" w:hAnsiTheme="minorHAnsi" w:cs="Arial"/>
          <w:bCs/>
          <w:snapToGrid w:val="0"/>
          <w:lang w:val="en-GB"/>
        </w:rPr>
        <w:t xml:space="preserve">. </w:t>
      </w:r>
    </w:p>
    <w:p w:rsidR="00FB3FB4" w:rsidRDefault="00FB3FB4" w:rsidP="00055C70">
      <w:pPr>
        <w:widowControl w:val="0"/>
        <w:numPr>
          <w:ilvl w:val="1"/>
          <w:numId w:val="1"/>
        </w:numPr>
        <w:spacing w:after="120"/>
        <w:jc w:val="both"/>
        <w:rPr>
          <w:rFonts w:asciiTheme="minorHAnsi" w:hAnsiTheme="minorHAnsi" w:cs="Arial"/>
          <w:bCs/>
          <w:snapToGrid w:val="0"/>
          <w:lang w:val="en-GB"/>
        </w:rPr>
      </w:pPr>
      <w:r>
        <w:rPr>
          <w:rFonts w:asciiTheme="minorHAnsi" w:hAnsiTheme="minorHAnsi" w:cs="Arial"/>
          <w:bCs/>
          <w:snapToGrid w:val="0"/>
          <w:lang w:val="en-GB"/>
        </w:rPr>
        <w:t>The PBAC acknowledged that there was a high clinical need for effective therapies to reduce the risk of recurrence for patients with resected Stage IIIB, IIIC or IIID melanoma. The PBAC acknowledged the consumer comments</w:t>
      </w:r>
      <w:r w:rsidR="007C13D4">
        <w:rPr>
          <w:rFonts w:asciiTheme="minorHAnsi" w:hAnsiTheme="minorHAnsi" w:cs="Arial"/>
          <w:bCs/>
          <w:snapToGrid w:val="0"/>
          <w:lang w:val="en-GB"/>
        </w:rPr>
        <w:t xml:space="preserve"> that described the benefits of treatment with adjuvant </w:t>
      </w:r>
      <w:proofErr w:type="spellStart"/>
      <w:r w:rsidR="007C13D4">
        <w:rPr>
          <w:rFonts w:asciiTheme="minorHAnsi" w:hAnsiTheme="minorHAnsi" w:cs="Arial"/>
          <w:bCs/>
          <w:snapToGrid w:val="0"/>
          <w:lang w:val="en-GB"/>
        </w:rPr>
        <w:t>pembrolizumab</w:t>
      </w:r>
      <w:proofErr w:type="spellEnd"/>
      <w:r w:rsidR="007C13D4">
        <w:rPr>
          <w:rFonts w:asciiTheme="minorHAnsi" w:hAnsiTheme="minorHAnsi" w:cs="Arial"/>
          <w:bCs/>
          <w:snapToGrid w:val="0"/>
          <w:lang w:val="en-GB"/>
        </w:rPr>
        <w:t>, including prolonged survival and improved quality of life and the strong support from the Medical Oncology Group of Australia.</w:t>
      </w:r>
    </w:p>
    <w:p w:rsidR="00D7517B" w:rsidRDefault="00D7517B" w:rsidP="00D7517B">
      <w:pPr>
        <w:widowControl w:val="0"/>
        <w:numPr>
          <w:ilvl w:val="1"/>
          <w:numId w:val="1"/>
        </w:numPr>
        <w:spacing w:after="120"/>
        <w:jc w:val="both"/>
        <w:rPr>
          <w:rFonts w:asciiTheme="minorHAnsi" w:hAnsiTheme="minorHAnsi" w:cs="Arial"/>
          <w:bCs/>
          <w:snapToGrid w:val="0"/>
          <w:lang w:val="en-GB"/>
        </w:rPr>
      </w:pPr>
      <w:r>
        <w:rPr>
          <w:rFonts w:asciiTheme="minorHAnsi" w:hAnsiTheme="minorHAnsi" w:cs="Arial"/>
          <w:bCs/>
          <w:snapToGrid w:val="0"/>
          <w:lang w:val="en-GB"/>
        </w:rPr>
        <w:t>In terms of the proposed restriction, the PBAC considered that:</w:t>
      </w:r>
    </w:p>
    <w:p w:rsidR="00D7517B" w:rsidRDefault="00D7517B" w:rsidP="00D7517B">
      <w:pPr>
        <w:widowControl w:val="0"/>
        <w:numPr>
          <w:ilvl w:val="1"/>
          <w:numId w:val="40"/>
        </w:numPr>
        <w:spacing w:after="120"/>
        <w:ind w:left="1077" w:hanging="357"/>
        <w:jc w:val="both"/>
        <w:rPr>
          <w:rFonts w:asciiTheme="minorHAnsi" w:hAnsiTheme="minorHAnsi" w:cs="Arial"/>
          <w:bCs/>
          <w:snapToGrid w:val="0"/>
          <w:lang w:val="en-GB"/>
        </w:rPr>
      </w:pPr>
      <w:r>
        <w:rPr>
          <w:rFonts w:asciiTheme="minorHAnsi" w:hAnsiTheme="minorHAnsi" w:cs="Arial"/>
          <w:bCs/>
          <w:snapToGrid w:val="0"/>
          <w:lang w:val="en-GB"/>
        </w:rPr>
        <w:t xml:space="preserve">it would be appropriate for the </w:t>
      </w:r>
      <w:proofErr w:type="spellStart"/>
      <w:r>
        <w:rPr>
          <w:rFonts w:asciiTheme="minorHAnsi" w:hAnsiTheme="minorHAnsi" w:cs="Arial"/>
          <w:bCs/>
          <w:snapToGrid w:val="0"/>
          <w:lang w:val="en-GB"/>
        </w:rPr>
        <w:t>pembrolizumab</w:t>
      </w:r>
      <w:proofErr w:type="spellEnd"/>
      <w:r>
        <w:rPr>
          <w:rFonts w:asciiTheme="minorHAnsi" w:hAnsiTheme="minorHAnsi" w:cs="Arial"/>
          <w:bCs/>
          <w:snapToGrid w:val="0"/>
          <w:lang w:val="en-GB"/>
        </w:rPr>
        <w:t xml:space="preserve"> restriction for the adjuvant </w:t>
      </w:r>
      <w:r>
        <w:rPr>
          <w:rFonts w:asciiTheme="minorHAnsi" w:hAnsiTheme="minorHAnsi" w:cs="Arial"/>
          <w:bCs/>
          <w:snapToGrid w:val="0"/>
          <w:lang w:val="en-GB"/>
        </w:rPr>
        <w:lastRenderedPageBreak/>
        <w:t xml:space="preserve">treatment of melanoma to be split into an initial and continuing phase, as per the current restrictions for </w:t>
      </w:r>
      <w:proofErr w:type="spellStart"/>
      <w:r>
        <w:rPr>
          <w:rFonts w:asciiTheme="minorHAnsi" w:hAnsiTheme="minorHAnsi" w:cs="Arial"/>
          <w:bCs/>
          <w:snapToGrid w:val="0"/>
          <w:lang w:val="en-GB"/>
        </w:rPr>
        <w:t>dabrafenib</w:t>
      </w:r>
      <w:proofErr w:type="spellEnd"/>
      <w:r>
        <w:rPr>
          <w:rFonts w:asciiTheme="minorHAnsi" w:hAnsiTheme="minorHAnsi" w:cs="Arial"/>
          <w:bCs/>
          <w:snapToGrid w:val="0"/>
          <w:lang w:val="en-GB"/>
        </w:rPr>
        <w:t xml:space="preserve"> + </w:t>
      </w:r>
      <w:proofErr w:type="spellStart"/>
      <w:r>
        <w:rPr>
          <w:rFonts w:asciiTheme="minorHAnsi" w:hAnsiTheme="minorHAnsi" w:cs="Arial"/>
          <w:bCs/>
          <w:snapToGrid w:val="0"/>
          <w:lang w:val="en-GB"/>
        </w:rPr>
        <w:t>trametinib</w:t>
      </w:r>
      <w:proofErr w:type="spellEnd"/>
      <w:r>
        <w:rPr>
          <w:rFonts w:asciiTheme="minorHAnsi" w:hAnsiTheme="minorHAnsi" w:cs="Arial"/>
          <w:bCs/>
          <w:snapToGrid w:val="0"/>
          <w:lang w:val="en-GB"/>
        </w:rPr>
        <w:t xml:space="preserve"> in the adjuvant setting;</w:t>
      </w:r>
    </w:p>
    <w:p w:rsidR="00D7517B" w:rsidRDefault="00D7517B" w:rsidP="00D7517B">
      <w:pPr>
        <w:widowControl w:val="0"/>
        <w:numPr>
          <w:ilvl w:val="1"/>
          <w:numId w:val="40"/>
        </w:numPr>
        <w:spacing w:after="120"/>
        <w:ind w:left="1077" w:hanging="357"/>
        <w:jc w:val="both"/>
        <w:rPr>
          <w:rFonts w:asciiTheme="minorHAnsi" w:hAnsiTheme="minorHAnsi" w:cs="Arial"/>
          <w:bCs/>
          <w:snapToGrid w:val="0"/>
          <w:lang w:val="en-GB"/>
        </w:rPr>
      </w:pPr>
      <w:r>
        <w:rPr>
          <w:rFonts w:asciiTheme="minorHAnsi" w:hAnsiTheme="minorHAnsi" w:cs="Arial"/>
          <w:bCs/>
          <w:snapToGrid w:val="0"/>
          <w:lang w:val="en-GB"/>
        </w:rPr>
        <w:t>adjuvant treatment should commence within 12 weeks of complete resection; and</w:t>
      </w:r>
    </w:p>
    <w:p w:rsidR="00D7517B" w:rsidRPr="00D7517B" w:rsidRDefault="00D7517B" w:rsidP="00D7517B">
      <w:pPr>
        <w:widowControl w:val="0"/>
        <w:numPr>
          <w:ilvl w:val="1"/>
          <w:numId w:val="40"/>
        </w:numPr>
        <w:spacing w:after="120"/>
        <w:ind w:left="1077" w:hanging="357"/>
        <w:jc w:val="both"/>
        <w:rPr>
          <w:rFonts w:asciiTheme="minorHAnsi" w:hAnsiTheme="minorHAnsi" w:cs="Arial"/>
          <w:bCs/>
          <w:snapToGrid w:val="0"/>
          <w:lang w:val="en-GB"/>
        </w:rPr>
      </w:pPr>
      <w:proofErr w:type="gramStart"/>
      <w:r w:rsidRPr="00D7517B">
        <w:rPr>
          <w:rFonts w:asciiTheme="minorHAnsi" w:hAnsiTheme="minorHAnsi" w:cs="Arial"/>
          <w:bCs/>
          <w:snapToGrid w:val="0"/>
          <w:lang w:val="en-GB"/>
        </w:rPr>
        <w:t>flow-on</w:t>
      </w:r>
      <w:proofErr w:type="gramEnd"/>
      <w:r w:rsidRPr="00D7517B">
        <w:rPr>
          <w:rFonts w:asciiTheme="minorHAnsi" w:hAnsiTheme="minorHAnsi" w:cs="Arial"/>
          <w:bCs/>
          <w:snapToGrid w:val="0"/>
          <w:lang w:val="en-GB"/>
        </w:rPr>
        <w:t xml:space="preserve"> restrictions would be required for treatments in the </w:t>
      </w:r>
      <w:proofErr w:type="spellStart"/>
      <w:r w:rsidRPr="00D7517B">
        <w:rPr>
          <w:rFonts w:asciiTheme="minorHAnsi" w:hAnsiTheme="minorHAnsi" w:cs="Arial"/>
          <w:bCs/>
          <w:snapToGrid w:val="0"/>
          <w:lang w:val="en-GB"/>
        </w:rPr>
        <w:t>unresectable</w:t>
      </w:r>
      <w:proofErr w:type="spellEnd"/>
      <w:r w:rsidRPr="00D7517B">
        <w:rPr>
          <w:rFonts w:asciiTheme="minorHAnsi" w:hAnsiTheme="minorHAnsi" w:cs="Arial"/>
          <w:bCs/>
          <w:snapToGrid w:val="0"/>
          <w:lang w:val="en-GB"/>
        </w:rPr>
        <w:t xml:space="preserve"> or metastatic setting to allow retreatment.</w:t>
      </w:r>
    </w:p>
    <w:p w:rsidR="00FB3FB4" w:rsidRDefault="007C13D4" w:rsidP="00055C70">
      <w:pPr>
        <w:widowControl w:val="0"/>
        <w:numPr>
          <w:ilvl w:val="1"/>
          <w:numId w:val="1"/>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noted that no new clinical data was presented in the minor resubmission. The PBAC remained satisfied that </w:t>
      </w:r>
      <w:proofErr w:type="spellStart"/>
      <w:r>
        <w:rPr>
          <w:rFonts w:asciiTheme="minorHAnsi" w:hAnsiTheme="minorHAnsi" w:cs="Arial"/>
          <w:bCs/>
          <w:snapToGrid w:val="0"/>
          <w:lang w:val="en-GB"/>
        </w:rPr>
        <w:t>pembrolizumab</w:t>
      </w:r>
      <w:proofErr w:type="spellEnd"/>
      <w:r>
        <w:rPr>
          <w:rFonts w:asciiTheme="minorHAnsi" w:hAnsiTheme="minorHAnsi" w:cs="Arial"/>
          <w:bCs/>
          <w:snapToGrid w:val="0"/>
          <w:lang w:val="en-GB"/>
        </w:rPr>
        <w:t xml:space="preserve"> was non-inferior </w:t>
      </w:r>
      <w:r w:rsidR="003658D5">
        <w:rPr>
          <w:rFonts w:asciiTheme="minorHAnsi" w:hAnsiTheme="minorHAnsi" w:cs="Arial"/>
          <w:bCs/>
          <w:snapToGrid w:val="0"/>
          <w:lang w:val="en-GB"/>
        </w:rPr>
        <w:t xml:space="preserve">in terms of efficacy to </w:t>
      </w:r>
      <w:proofErr w:type="spellStart"/>
      <w:r w:rsidR="003658D5">
        <w:rPr>
          <w:rFonts w:asciiTheme="minorHAnsi" w:hAnsiTheme="minorHAnsi" w:cs="Arial"/>
          <w:bCs/>
          <w:snapToGrid w:val="0"/>
          <w:lang w:val="en-GB"/>
        </w:rPr>
        <w:t>nivolumab</w:t>
      </w:r>
      <w:proofErr w:type="spellEnd"/>
      <w:r w:rsidR="003658D5">
        <w:rPr>
          <w:rFonts w:asciiTheme="minorHAnsi" w:hAnsiTheme="minorHAnsi" w:cs="Arial"/>
          <w:bCs/>
          <w:snapToGrid w:val="0"/>
          <w:lang w:val="en-GB"/>
        </w:rPr>
        <w:t xml:space="preserve"> and, in BRAF mutant patients, </w:t>
      </w:r>
      <w:proofErr w:type="spellStart"/>
      <w:r>
        <w:rPr>
          <w:rFonts w:asciiTheme="minorHAnsi" w:hAnsiTheme="minorHAnsi" w:cs="Arial"/>
          <w:bCs/>
          <w:snapToGrid w:val="0"/>
          <w:lang w:val="en-GB"/>
        </w:rPr>
        <w:t>dabrafenib</w:t>
      </w:r>
      <w:proofErr w:type="spellEnd"/>
      <w:r w:rsidR="00D633CC">
        <w:rPr>
          <w:rFonts w:asciiTheme="minorHAnsi" w:hAnsiTheme="minorHAnsi" w:cs="Arial"/>
          <w:bCs/>
          <w:snapToGrid w:val="0"/>
          <w:lang w:val="en-GB"/>
        </w:rPr>
        <w:t xml:space="preserve"> </w:t>
      </w:r>
      <w:r>
        <w:rPr>
          <w:rFonts w:asciiTheme="minorHAnsi" w:hAnsiTheme="minorHAnsi" w:cs="Arial"/>
          <w:bCs/>
          <w:snapToGrid w:val="0"/>
          <w:lang w:val="en-GB"/>
        </w:rPr>
        <w:t>+</w:t>
      </w:r>
      <w:r w:rsidR="00D633CC">
        <w:rPr>
          <w:rFonts w:asciiTheme="minorHAnsi" w:hAnsiTheme="minorHAnsi" w:cs="Arial"/>
          <w:bCs/>
          <w:snapToGrid w:val="0"/>
          <w:lang w:val="en-GB"/>
        </w:rPr>
        <w:t xml:space="preserve"> </w:t>
      </w:r>
      <w:proofErr w:type="spellStart"/>
      <w:r>
        <w:rPr>
          <w:rFonts w:asciiTheme="minorHAnsi" w:hAnsiTheme="minorHAnsi" w:cs="Arial"/>
          <w:bCs/>
          <w:snapToGrid w:val="0"/>
          <w:lang w:val="en-GB"/>
        </w:rPr>
        <w:t>trametin</w:t>
      </w:r>
      <w:r w:rsidR="003658D5">
        <w:rPr>
          <w:rFonts w:asciiTheme="minorHAnsi" w:hAnsiTheme="minorHAnsi" w:cs="Arial"/>
          <w:bCs/>
          <w:snapToGrid w:val="0"/>
          <w:lang w:val="en-GB"/>
        </w:rPr>
        <w:t>ib</w:t>
      </w:r>
      <w:proofErr w:type="spellEnd"/>
      <w:r w:rsidR="003658D5">
        <w:rPr>
          <w:rFonts w:asciiTheme="minorHAnsi" w:hAnsiTheme="minorHAnsi" w:cs="Arial"/>
          <w:bCs/>
          <w:snapToGrid w:val="0"/>
          <w:lang w:val="en-GB"/>
        </w:rPr>
        <w:t xml:space="preserve">. The PBAC noted that there was currently limited overall survival data. In terms of safety, the PBAC recalled that it previously considered that </w:t>
      </w:r>
      <w:proofErr w:type="spellStart"/>
      <w:r w:rsidR="003658D5">
        <w:rPr>
          <w:rFonts w:asciiTheme="minorHAnsi" w:hAnsiTheme="minorHAnsi" w:cs="Arial"/>
          <w:bCs/>
          <w:snapToGrid w:val="0"/>
          <w:lang w:val="en-GB"/>
        </w:rPr>
        <w:t>nivolumab</w:t>
      </w:r>
      <w:proofErr w:type="spellEnd"/>
      <w:r w:rsidR="003658D5">
        <w:rPr>
          <w:rFonts w:asciiTheme="minorHAnsi" w:hAnsiTheme="minorHAnsi" w:cs="Arial"/>
          <w:bCs/>
          <w:snapToGrid w:val="0"/>
          <w:lang w:val="en-GB"/>
        </w:rPr>
        <w:t xml:space="preserve"> </w:t>
      </w:r>
      <w:r w:rsidR="007C4BEE">
        <w:rPr>
          <w:rFonts w:asciiTheme="minorHAnsi" w:hAnsiTheme="minorHAnsi" w:cs="Arial"/>
          <w:bCs/>
          <w:snapToGrid w:val="0"/>
          <w:lang w:val="en-GB"/>
        </w:rPr>
        <w:t xml:space="preserve">had a non-inferior profile compared to </w:t>
      </w:r>
      <w:proofErr w:type="spellStart"/>
      <w:r w:rsidR="007C4BEE">
        <w:rPr>
          <w:rFonts w:asciiTheme="minorHAnsi" w:hAnsiTheme="minorHAnsi" w:cs="Arial"/>
          <w:bCs/>
          <w:snapToGrid w:val="0"/>
          <w:lang w:val="en-GB"/>
        </w:rPr>
        <w:t>pembrolizumab</w:t>
      </w:r>
      <w:proofErr w:type="spellEnd"/>
      <w:r w:rsidR="007C4BEE">
        <w:rPr>
          <w:rFonts w:asciiTheme="minorHAnsi" w:hAnsiTheme="minorHAnsi" w:cs="Arial"/>
          <w:bCs/>
          <w:snapToGrid w:val="0"/>
          <w:lang w:val="en-GB"/>
        </w:rPr>
        <w:t xml:space="preserve"> in the adjuvant setting, and that both </w:t>
      </w:r>
      <w:proofErr w:type="spellStart"/>
      <w:r w:rsidR="007C4BEE">
        <w:rPr>
          <w:rFonts w:asciiTheme="minorHAnsi" w:hAnsiTheme="minorHAnsi" w:cs="Arial"/>
          <w:bCs/>
          <w:snapToGrid w:val="0"/>
          <w:lang w:val="en-GB"/>
        </w:rPr>
        <w:t>nivolumab</w:t>
      </w:r>
      <w:proofErr w:type="spellEnd"/>
      <w:r w:rsidR="007C4BEE">
        <w:rPr>
          <w:rFonts w:asciiTheme="minorHAnsi" w:hAnsiTheme="minorHAnsi" w:cs="Arial"/>
          <w:bCs/>
          <w:snapToGrid w:val="0"/>
          <w:lang w:val="en-GB"/>
        </w:rPr>
        <w:t xml:space="preserve"> and </w:t>
      </w:r>
      <w:proofErr w:type="spellStart"/>
      <w:r w:rsidR="007C4BEE">
        <w:rPr>
          <w:rFonts w:asciiTheme="minorHAnsi" w:hAnsiTheme="minorHAnsi" w:cs="Arial"/>
          <w:bCs/>
          <w:snapToGrid w:val="0"/>
          <w:lang w:val="en-GB"/>
        </w:rPr>
        <w:t>pembrolizumab</w:t>
      </w:r>
      <w:proofErr w:type="spellEnd"/>
      <w:r w:rsidR="007C4BEE">
        <w:rPr>
          <w:rFonts w:asciiTheme="minorHAnsi" w:hAnsiTheme="minorHAnsi" w:cs="Arial"/>
          <w:bCs/>
          <w:snapToGrid w:val="0"/>
          <w:lang w:val="en-GB"/>
        </w:rPr>
        <w:t xml:space="preserve"> might be better tolerated that </w:t>
      </w:r>
      <w:proofErr w:type="spellStart"/>
      <w:r w:rsidR="00D633CC">
        <w:rPr>
          <w:rFonts w:asciiTheme="minorHAnsi" w:hAnsiTheme="minorHAnsi" w:cs="Arial"/>
          <w:bCs/>
          <w:snapToGrid w:val="0"/>
          <w:lang w:val="en-GB"/>
        </w:rPr>
        <w:t>dabrafenib</w:t>
      </w:r>
      <w:proofErr w:type="spellEnd"/>
      <w:r w:rsidR="00D633CC">
        <w:rPr>
          <w:rFonts w:asciiTheme="minorHAnsi" w:hAnsiTheme="minorHAnsi" w:cs="Arial"/>
          <w:bCs/>
          <w:snapToGrid w:val="0"/>
          <w:lang w:val="en-GB"/>
        </w:rPr>
        <w:t xml:space="preserve"> + </w:t>
      </w:r>
      <w:proofErr w:type="spellStart"/>
      <w:r w:rsidR="00D633CC">
        <w:rPr>
          <w:rFonts w:asciiTheme="minorHAnsi" w:hAnsiTheme="minorHAnsi" w:cs="Arial"/>
          <w:bCs/>
          <w:snapToGrid w:val="0"/>
          <w:lang w:val="en-GB"/>
        </w:rPr>
        <w:t>trametinib</w:t>
      </w:r>
      <w:proofErr w:type="spellEnd"/>
      <w:r w:rsidR="003658D5">
        <w:rPr>
          <w:rFonts w:asciiTheme="minorHAnsi" w:hAnsiTheme="minorHAnsi" w:cs="Arial"/>
          <w:bCs/>
          <w:snapToGrid w:val="0"/>
          <w:lang w:val="en-GB"/>
        </w:rPr>
        <w:t>.</w:t>
      </w:r>
    </w:p>
    <w:p w:rsidR="003658D5" w:rsidRDefault="003658D5" w:rsidP="00055C70">
      <w:pPr>
        <w:widowControl w:val="0"/>
        <w:numPr>
          <w:ilvl w:val="1"/>
          <w:numId w:val="1"/>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recalled that it had previously considered that the cost effectiveness model comparing </w:t>
      </w:r>
      <w:proofErr w:type="spellStart"/>
      <w:r>
        <w:rPr>
          <w:rFonts w:asciiTheme="minorHAnsi" w:hAnsiTheme="minorHAnsi" w:cs="Arial"/>
          <w:bCs/>
          <w:snapToGrid w:val="0"/>
          <w:lang w:val="en-GB"/>
        </w:rPr>
        <w:t>pembrolizumab</w:t>
      </w:r>
      <w:proofErr w:type="spellEnd"/>
      <w:r>
        <w:rPr>
          <w:rFonts w:asciiTheme="minorHAnsi" w:hAnsiTheme="minorHAnsi" w:cs="Arial"/>
          <w:bCs/>
          <w:snapToGrid w:val="0"/>
          <w:lang w:val="en-GB"/>
        </w:rPr>
        <w:t xml:space="preserve"> with routine follow-up appeared to have resulted in an overestimate of the incremental benefits and that the incremental cost effectiveness ratio (ICER) was highly uncertain, variable and most likely underestimated. </w:t>
      </w:r>
    </w:p>
    <w:p w:rsidR="003658D5" w:rsidRDefault="003658D5" w:rsidP="00055C70">
      <w:pPr>
        <w:widowControl w:val="0"/>
        <w:numPr>
          <w:ilvl w:val="1"/>
          <w:numId w:val="1"/>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recalled that it recommended that if </w:t>
      </w:r>
      <w:proofErr w:type="spellStart"/>
      <w:r>
        <w:rPr>
          <w:rFonts w:asciiTheme="minorHAnsi" w:hAnsiTheme="minorHAnsi" w:cs="Arial"/>
          <w:bCs/>
          <w:snapToGrid w:val="0"/>
          <w:lang w:val="en-GB"/>
        </w:rPr>
        <w:t>nivolumab</w:t>
      </w:r>
      <w:proofErr w:type="spellEnd"/>
      <w:r>
        <w:rPr>
          <w:rFonts w:asciiTheme="minorHAnsi" w:hAnsiTheme="minorHAnsi" w:cs="Arial"/>
          <w:bCs/>
          <w:snapToGrid w:val="0"/>
          <w:lang w:val="en-GB"/>
        </w:rPr>
        <w:t xml:space="preserve"> was listed on the PBS for the adjuvant treatment of melanoma that it would be appropriate for </w:t>
      </w:r>
      <w:proofErr w:type="spellStart"/>
      <w:r>
        <w:rPr>
          <w:rFonts w:asciiTheme="minorHAnsi" w:hAnsiTheme="minorHAnsi" w:cs="Arial"/>
          <w:bCs/>
          <w:snapToGrid w:val="0"/>
          <w:lang w:val="en-GB"/>
        </w:rPr>
        <w:t>pembrolizumab</w:t>
      </w:r>
      <w:proofErr w:type="spellEnd"/>
      <w:r>
        <w:rPr>
          <w:rFonts w:asciiTheme="minorHAnsi" w:hAnsiTheme="minorHAnsi" w:cs="Arial"/>
          <w:bCs/>
          <w:snapToGrid w:val="0"/>
          <w:lang w:val="en-GB"/>
        </w:rPr>
        <w:t xml:space="preserve"> to be cost minimised to </w:t>
      </w:r>
      <w:proofErr w:type="spellStart"/>
      <w:r>
        <w:rPr>
          <w:rFonts w:asciiTheme="minorHAnsi" w:hAnsiTheme="minorHAnsi" w:cs="Arial"/>
          <w:bCs/>
          <w:snapToGrid w:val="0"/>
          <w:lang w:val="en-GB"/>
        </w:rPr>
        <w:t>nivolumab</w:t>
      </w:r>
      <w:proofErr w:type="spellEnd"/>
      <w:r>
        <w:rPr>
          <w:rFonts w:asciiTheme="minorHAnsi" w:hAnsiTheme="minorHAnsi" w:cs="Arial"/>
          <w:bCs/>
          <w:snapToGrid w:val="0"/>
          <w:lang w:val="en-GB"/>
        </w:rPr>
        <w:t>. The PBAC</w:t>
      </w:r>
      <w:r w:rsidR="00363311">
        <w:rPr>
          <w:rFonts w:asciiTheme="minorHAnsi" w:hAnsiTheme="minorHAnsi" w:cs="Arial"/>
          <w:bCs/>
          <w:snapToGrid w:val="0"/>
          <w:lang w:val="en-GB"/>
        </w:rPr>
        <w:t xml:space="preserve"> </w:t>
      </w:r>
      <w:r w:rsidR="00D633CC">
        <w:rPr>
          <w:rFonts w:asciiTheme="minorHAnsi" w:hAnsiTheme="minorHAnsi" w:cs="Arial"/>
          <w:bCs/>
          <w:snapToGrid w:val="0"/>
          <w:lang w:val="en-GB"/>
        </w:rPr>
        <w:t>considered that the</w:t>
      </w:r>
      <w:r>
        <w:rPr>
          <w:rFonts w:asciiTheme="minorHAnsi" w:hAnsiTheme="minorHAnsi" w:cs="Arial"/>
          <w:bCs/>
          <w:snapToGrid w:val="0"/>
          <w:lang w:val="en-GB"/>
        </w:rPr>
        <w:t xml:space="preserve"> cost minimisation analysis between </w:t>
      </w:r>
      <w:proofErr w:type="spellStart"/>
      <w:r>
        <w:rPr>
          <w:rFonts w:asciiTheme="minorHAnsi" w:hAnsiTheme="minorHAnsi" w:cs="Arial"/>
          <w:bCs/>
          <w:snapToGrid w:val="0"/>
          <w:lang w:val="en-GB"/>
        </w:rPr>
        <w:t>pembrolizumab</w:t>
      </w:r>
      <w:proofErr w:type="spellEnd"/>
      <w:r>
        <w:rPr>
          <w:rFonts w:asciiTheme="minorHAnsi" w:hAnsiTheme="minorHAnsi" w:cs="Arial"/>
          <w:bCs/>
          <w:snapToGrid w:val="0"/>
          <w:lang w:val="en-GB"/>
        </w:rPr>
        <w:t xml:space="preserve"> and </w:t>
      </w:r>
      <w:proofErr w:type="spellStart"/>
      <w:r>
        <w:rPr>
          <w:rFonts w:asciiTheme="minorHAnsi" w:hAnsiTheme="minorHAnsi" w:cs="Arial"/>
          <w:bCs/>
          <w:snapToGrid w:val="0"/>
          <w:lang w:val="en-GB"/>
        </w:rPr>
        <w:t>nivolumab</w:t>
      </w:r>
      <w:proofErr w:type="spellEnd"/>
      <w:r w:rsidR="00D633CC">
        <w:rPr>
          <w:rFonts w:asciiTheme="minorHAnsi" w:hAnsiTheme="minorHAnsi" w:cs="Arial"/>
          <w:bCs/>
          <w:snapToGrid w:val="0"/>
          <w:lang w:val="en-GB"/>
        </w:rPr>
        <w:t xml:space="preserve"> presented in the minor resubmission was appropriate</w:t>
      </w:r>
      <w:r>
        <w:rPr>
          <w:rFonts w:asciiTheme="minorHAnsi" w:hAnsiTheme="minorHAnsi" w:cs="Arial"/>
          <w:bCs/>
          <w:snapToGrid w:val="0"/>
          <w:lang w:val="en-GB"/>
        </w:rPr>
        <w:t xml:space="preserve">. </w:t>
      </w:r>
      <w:r w:rsidR="007C4BEE">
        <w:rPr>
          <w:rFonts w:asciiTheme="minorHAnsi" w:hAnsiTheme="minorHAnsi" w:cs="Arial"/>
          <w:bCs/>
          <w:snapToGrid w:val="0"/>
          <w:lang w:val="en-GB"/>
        </w:rPr>
        <w:t>The PBAC considered that the equi-effective doses were:</w:t>
      </w:r>
    </w:p>
    <w:p w:rsidR="007C4BEE" w:rsidRDefault="007C4BEE" w:rsidP="007C4BEE">
      <w:pPr>
        <w:widowControl w:val="0"/>
        <w:spacing w:after="120"/>
        <w:ind w:left="1440"/>
        <w:jc w:val="both"/>
        <w:rPr>
          <w:rFonts w:asciiTheme="minorHAnsi" w:hAnsiTheme="minorHAnsi" w:cs="Arial"/>
          <w:bCs/>
          <w:snapToGrid w:val="0"/>
          <w:lang w:val="en-GB"/>
        </w:rPr>
      </w:pPr>
      <w:proofErr w:type="spellStart"/>
      <w:r>
        <w:rPr>
          <w:rFonts w:asciiTheme="minorHAnsi" w:hAnsiTheme="minorHAnsi" w:cs="Arial"/>
          <w:bCs/>
          <w:snapToGrid w:val="0"/>
          <w:lang w:val="en-GB"/>
        </w:rPr>
        <w:t>Pembrolizumab</w:t>
      </w:r>
      <w:proofErr w:type="spellEnd"/>
      <w:r>
        <w:rPr>
          <w:rFonts w:asciiTheme="minorHAnsi" w:hAnsiTheme="minorHAnsi" w:cs="Arial"/>
          <w:bCs/>
          <w:snapToGrid w:val="0"/>
          <w:lang w:val="en-GB"/>
        </w:rPr>
        <w:t xml:space="preserve"> 200 mg every 3 weeks = </w:t>
      </w:r>
      <w:proofErr w:type="spellStart"/>
      <w:r>
        <w:rPr>
          <w:rFonts w:asciiTheme="minorHAnsi" w:hAnsiTheme="minorHAnsi" w:cs="Arial"/>
          <w:bCs/>
          <w:snapToGrid w:val="0"/>
          <w:lang w:val="en-GB"/>
        </w:rPr>
        <w:t>Nivolumab</w:t>
      </w:r>
      <w:proofErr w:type="spellEnd"/>
      <w:r>
        <w:rPr>
          <w:rFonts w:asciiTheme="minorHAnsi" w:hAnsiTheme="minorHAnsi" w:cs="Arial"/>
          <w:bCs/>
          <w:snapToGrid w:val="0"/>
          <w:lang w:val="en-GB"/>
        </w:rPr>
        <w:t xml:space="preserve"> 480 mg every 4 weeks </w:t>
      </w:r>
    </w:p>
    <w:p w:rsidR="007035DA" w:rsidRDefault="007C4BEE" w:rsidP="007035DA">
      <w:pPr>
        <w:widowControl w:val="0"/>
        <w:numPr>
          <w:ilvl w:val="1"/>
          <w:numId w:val="1"/>
        </w:numPr>
        <w:spacing w:after="120"/>
        <w:jc w:val="both"/>
        <w:rPr>
          <w:rFonts w:asciiTheme="minorHAnsi" w:hAnsiTheme="minorHAnsi" w:cs="Arial"/>
          <w:bCs/>
          <w:snapToGrid w:val="0"/>
          <w:lang w:val="en-GB"/>
        </w:rPr>
      </w:pPr>
      <w:r>
        <w:rPr>
          <w:rFonts w:asciiTheme="minorHAnsi" w:hAnsiTheme="minorHAnsi" w:cs="Arial"/>
          <w:bCs/>
          <w:snapToGrid w:val="0"/>
          <w:lang w:val="en-GB"/>
        </w:rPr>
        <w:t>The PBAC considered that as adjuvant therapy with both treatment is a fixed 12 month course, it was reasonable for the equi-effective doses to not reflect the mean treatment duration from the trials.</w:t>
      </w:r>
    </w:p>
    <w:p w:rsidR="007035DA" w:rsidRDefault="007035DA" w:rsidP="007035DA">
      <w:pPr>
        <w:widowControl w:val="0"/>
        <w:numPr>
          <w:ilvl w:val="1"/>
          <w:numId w:val="1"/>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noted that the derivation of </w:t>
      </w:r>
      <w:r w:rsidR="00806668">
        <w:rPr>
          <w:rFonts w:asciiTheme="minorHAnsi" w:hAnsiTheme="minorHAnsi" w:cs="Arial"/>
          <w:bCs/>
          <w:snapToGrid w:val="0"/>
          <w:lang w:val="en-GB"/>
        </w:rPr>
        <w:t>the</w:t>
      </w:r>
      <w:r w:rsidR="00EE4A3B">
        <w:rPr>
          <w:rFonts w:asciiTheme="minorHAnsi" w:hAnsiTheme="minorHAnsi" w:cs="Arial"/>
          <w:bCs/>
          <w:snapToGrid w:val="0"/>
          <w:lang w:val="en-GB"/>
        </w:rPr>
        <w:t xml:space="preserve"> effective </w:t>
      </w:r>
      <w:r>
        <w:rPr>
          <w:rFonts w:asciiTheme="minorHAnsi" w:hAnsiTheme="minorHAnsi" w:cs="Arial"/>
          <w:bCs/>
          <w:snapToGrid w:val="0"/>
          <w:lang w:val="en-GB"/>
        </w:rPr>
        <w:t xml:space="preserve">price for </w:t>
      </w:r>
      <w:proofErr w:type="spellStart"/>
      <w:r>
        <w:rPr>
          <w:rFonts w:asciiTheme="minorHAnsi" w:hAnsiTheme="minorHAnsi" w:cs="Arial"/>
          <w:bCs/>
          <w:snapToGrid w:val="0"/>
          <w:lang w:val="en-GB"/>
        </w:rPr>
        <w:t>pembrolizumab</w:t>
      </w:r>
      <w:proofErr w:type="spellEnd"/>
      <w:r>
        <w:rPr>
          <w:rFonts w:asciiTheme="minorHAnsi" w:hAnsiTheme="minorHAnsi" w:cs="Arial"/>
          <w:bCs/>
          <w:snapToGrid w:val="0"/>
          <w:lang w:val="en-GB"/>
        </w:rPr>
        <w:t xml:space="preserve"> </w:t>
      </w:r>
      <w:r w:rsidR="00363311">
        <w:rPr>
          <w:rFonts w:asciiTheme="minorHAnsi" w:hAnsiTheme="minorHAnsi" w:cs="Arial"/>
          <w:bCs/>
          <w:snapToGrid w:val="0"/>
          <w:lang w:val="en-GB"/>
        </w:rPr>
        <w:t xml:space="preserve">in all adjuvant patients </w:t>
      </w:r>
      <w:r>
        <w:rPr>
          <w:rFonts w:asciiTheme="minorHAnsi" w:hAnsiTheme="minorHAnsi" w:cs="Arial"/>
          <w:bCs/>
          <w:snapToGrid w:val="0"/>
          <w:lang w:val="en-GB"/>
        </w:rPr>
        <w:t>w</w:t>
      </w:r>
      <w:r w:rsidR="00363311">
        <w:rPr>
          <w:rFonts w:asciiTheme="minorHAnsi" w:hAnsiTheme="minorHAnsi" w:cs="Arial"/>
          <w:bCs/>
          <w:snapToGrid w:val="0"/>
          <w:lang w:val="en-GB"/>
        </w:rPr>
        <w:t>ould be</w:t>
      </w:r>
      <w:r>
        <w:rPr>
          <w:rFonts w:asciiTheme="minorHAnsi" w:hAnsiTheme="minorHAnsi" w:cs="Arial"/>
          <w:bCs/>
          <w:snapToGrid w:val="0"/>
          <w:lang w:val="en-GB"/>
        </w:rPr>
        <w:t xml:space="preserve"> reliant on </w:t>
      </w:r>
      <w:r w:rsidR="00EE4A3B">
        <w:rPr>
          <w:rFonts w:asciiTheme="minorHAnsi" w:hAnsiTheme="minorHAnsi" w:cs="Arial"/>
          <w:bCs/>
          <w:snapToGrid w:val="0"/>
          <w:lang w:val="en-GB"/>
        </w:rPr>
        <w:t xml:space="preserve">the </w:t>
      </w:r>
      <w:r w:rsidR="00806668">
        <w:rPr>
          <w:rFonts w:asciiTheme="minorHAnsi" w:hAnsiTheme="minorHAnsi" w:cs="Arial"/>
          <w:bCs/>
          <w:snapToGrid w:val="0"/>
          <w:lang w:val="en-GB"/>
        </w:rPr>
        <w:t xml:space="preserve">effective </w:t>
      </w:r>
      <w:r w:rsidR="00EE4A3B">
        <w:rPr>
          <w:rFonts w:asciiTheme="minorHAnsi" w:hAnsiTheme="minorHAnsi" w:cs="Arial"/>
          <w:bCs/>
          <w:snapToGrid w:val="0"/>
          <w:lang w:val="en-GB"/>
        </w:rPr>
        <w:t xml:space="preserve">price of </w:t>
      </w:r>
      <w:proofErr w:type="spellStart"/>
      <w:r w:rsidR="00EE4A3B">
        <w:rPr>
          <w:rFonts w:asciiTheme="minorHAnsi" w:hAnsiTheme="minorHAnsi" w:cs="Arial"/>
          <w:bCs/>
          <w:snapToGrid w:val="0"/>
          <w:lang w:val="en-GB"/>
        </w:rPr>
        <w:t>nivolumab</w:t>
      </w:r>
      <w:proofErr w:type="spellEnd"/>
      <w:r w:rsidR="000562AF">
        <w:rPr>
          <w:rFonts w:asciiTheme="minorHAnsi" w:hAnsiTheme="minorHAnsi" w:cs="Arial"/>
          <w:bCs/>
          <w:snapToGrid w:val="0"/>
          <w:lang w:val="en-GB"/>
        </w:rPr>
        <w:t xml:space="preserve">, which would incorporate both </w:t>
      </w:r>
      <w:r w:rsidR="00EE4A3B">
        <w:rPr>
          <w:rFonts w:asciiTheme="minorHAnsi" w:hAnsiTheme="minorHAnsi" w:cs="Arial"/>
          <w:bCs/>
          <w:snapToGrid w:val="0"/>
          <w:lang w:val="en-GB"/>
        </w:rPr>
        <w:t>the BRAF mutant and BRAF wild type populations.</w:t>
      </w:r>
      <w:r>
        <w:rPr>
          <w:rFonts w:asciiTheme="minorHAnsi" w:hAnsiTheme="minorHAnsi" w:cs="Arial"/>
          <w:bCs/>
          <w:snapToGrid w:val="0"/>
          <w:lang w:val="en-GB"/>
        </w:rPr>
        <w:t xml:space="preserve"> </w:t>
      </w:r>
    </w:p>
    <w:p w:rsidR="008E5F26" w:rsidRDefault="008E5F26" w:rsidP="007035DA">
      <w:pPr>
        <w:widowControl w:val="0"/>
        <w:numPr>
          <w:ilvl w:val="1"/>
          <w:numId w:val="1"/>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considered that if </w:t>
      </w:r>
      <w:proofErr w:type="spellStart"/>
      <w:r>
        <w:rPr>
          <w:rFonts w:asciiTheme="minorHAnsi" w:hAnsiTheme="minorHAnsi" w:cs="Arial"/>
          <w:bCs/>
          <w:snapToGrid w:val="0"/>
          <w:lang w:val="en-GB"/>
        </w:rPr>
        <w:t>nivolumab</w:t>
      </w:r>
      <w:proofErr w:type="spellEnd"/>
      <w:r>
        <w:rPr>
          <w:rFonts w:asciiTheme="minorHAnsi" w:hAnsiTheme="minorHAnsi" w:cs="Arial"/>
          <w:bCs/>
          <w:snapToGrid w:val="0"/>
          <w:lang w:val="en-GB"/>
        </w:rPr>
        <w:t xml:space="preserve"> was not listed on the PBS, </w:t>
      </w:r>
      <w:proofErr w:type="spellStart"/>
      <w:r>
        <w:rPr>
          <w:rFonts w:asciiTheme="minorHAnsi" w:hAnsiTheme="minorHAnsi" w:cs="Arial"/>
          <w:bCs/>
          <w:snapToGrid w:val="0"/>
          <w:lang w:val="en-GB"/>
        </w:rPr>
        <w:t>pembrolizumab</w:t>
      </w:r>
      <w:proofErr w:type="spellEnd"/>
      <w:r>
        <w:rPr>
          <w:rFonts w:asciiTheme="minorHAnsi" w:hAnsiTheme="minorHAnsi" w:cs="Arial"/>
          <w:bCs/>
          <w:snapToGrid w:val="0"/>
          <w:lang w:val="en-GB"/>
        </w:rPr>
        <w:t xml:space="preserve"> could be cost minimised to </w:t>
      </w:r>
      <w:proofErr w:type="spellStart"/>
      <w:r>
        <w:rPr>
          <w:rFonts w:asciiTheme="minorHAnsi" w:hAnsiTheme="minorHAnsi" w:cs="Arial"/>
          <w:bCs/>
          <w:snapToGrid w:val="0"/>
          <w:lang w:val="en-GB"/>
        </w:rPr>
        <w:t>dabrafenib</w:t>
      </w:r>
      <w:proofErr w:type="spellEnd"/>
      <w:r>
        <w:rPr>
          <w:rFonts w:asciiTheme="minorHAnsi" w:hAnsiTheme="minorHAnsi" w:cs="Arial"/>
          <w:bCs/>
          <w:snapToGrid w:val="0"/>
          <w:lang w:val="en-GB"/>
        </w:rPr>
        <w:t xml:space="preserve"> + </w:t>
      </w:r>
      <w:proofErr w:type="spellStart"/>
      <w:r>
        <w:rPr>
          <w:rFonts w:asciiTheme="minorHAnsi" w:hAnsiTheme="minorHAnsi" w:cs="Arial"/>
          <w:bCs/>
          <w:snapToGrid w:val="0"/>
          <w:lang w:val="en-GB"/>
        </w:rPr>
        <w:t>trametinib</w:t>
      </w:r>
      <w:proofErr w:type="spellEnd"/>
      <w:r>
        <w:rPr>
          <w:rFonts w:asciiTheme="minorHAnsi" w:hAnsiTheme="minorHAnsi" w:cs="Arial"/>
          <w:bCs/>
          <w:snapToGrid w:val="0"/>
          <w:lang w:val="en-GB"/>
        </w:rPr>
        <w:t xml:space="preserve"> in the BRAF mutant population.</w:t>
      </w:r>
      <w:r w:rsidR="00EF66D6">
        <w:rPr>
          <w:rFonts w:asciiTheme="minorHAnsi" w:hAnsiTheme="minorHAnsi" w:cs="Arial"/>
          <w:bCs/>
          <w:snapToGrid w:val="0"/>
          <w:lang w:val="en-GB"/>
        </w:rPr>
        <w:t xml:space="preserve"> The equi-effective doses were:</w:t>
      </w:r>
    </w:p>
    <w:p w:rsidR="00EF66D6" w:rsidRDefault="00EF66D6" w:rsidP="00EF66D6">
      <w:pPr>
        <w:widowControl w:val="0"/>
        <w:ind w:left="1440"/>
        <w:jc w:val="both"/>
        <w:rPr>
          <w:rFonts w:asciiTheme="minorHAnsi" w:hAnsiTheme="minorHAnsi" w:cs="Arial"/>
          <w:bCs/>
          <w:snapToGrid w:val="0"/>
          <w:lang w:val="en-GB"/>
        </w:rPr>
      </w:pPr>
      <w:proofErr w:type="spellStart"/>
      <w:r>
        <w:rPr>
          <w:rFonts w:asciiTheme="minorHAnsi" w:hAnsiTheme="minorHAnsi" w:cs="Arial"/>
          <w:bCs/>
          <w:snapToGrid w:val="0"/>
          <w:lang w:val="en-GB"/>
        </w:rPr>
        <w:t>Pembrolizumab</w:t>
      </w:r>
      <w:proofErr w:type="spellEnd"/>
      <w:r>
        <w:rPr>
          <w:rFonts w:asciiTheme="minorHAnsi" w:hAnsiTheme="minorHAnsi" w:cs="Arial"/>
          <w:bCs/>
          <w:snapToGrid w:val="0"/>
          <w:lang w:val="en-GB"/>
        </w:rPr>
        <w:t xml:space="preserve"> 200 mg every 3 weeks = </w:t>
      </w:r>
    </w:p>
    <w:p w:rsidR="00EF66D6" w:rsidRDefault="00EF66D6" w:rsidP="00EF66D6">
      <w:pPr>
        <w:widowControl w:val="0"/>
        <w:spacing w:after="120"/>
        <w:ind w:left="1440"/>
        <w:jc w:val="both"/>
        <w:rPr>
          <w:rFonts w:asciiTheme="minorHAnsi" w:hAnsiTheme="minorHAnsi" w:cs="Arial"/>
          <w:bCs/>
          <w:snapToGrid w:val="0"/>
          <w:lang w:val="en-GB"/>
        </w:rPr>
      </w:pPr>
      <w:proofErr w:type="spellStart"/>
      <w:r>
        <w:rPr>
          <w:rFonts w:asciiTheme="minorHAnsi" w:hAnsiTheme="minorHAnsi" w:cs="Arial"/>
          <w:bCs/>
          <w:snapToGrid w:val="0"/>
          <w:lang w:val="en-GB"/>
        </w:rPr>
        <w:t>Dabrafenib</w:t>
      </w:r>
      <w:proofErr w:type="spellEnd"/>
      <w:r>
        <w:rPr>
          <w:rFonts w:asciiTheme="minorHAnsi" w:hAnsiTheme="minorHAnsi" w:cs="Arial"/>
          <w:bCs/>
          <w:snapToGrid w:val="0"/>
          <w:lang w:val="en-GB"/>
        </w:rPr>
        <w:t xml:space="preserve"> 150 mg twice daily + </w:t>
      </w:r>
      <w:proofErr w:type="spellStart"/>
      <w:r>
        <w:rPr>
          <w:rFonts w:asciiTheme="minorHAnsi" w:hAnsiTheme="minorHAnsi" w:cs="Arial"/>
          <w:bCs/>
          <w:snapToGrid w:val="0"/>
          <w:lang w:val="en-GB"/>
        </w:rPr>
        <w:t>trametinib</w:t>
      </w:r>
      <w:proofErr w:type="spellEnd"/>
      <w:r>
        <w:rPr>
          <w:rFonts w:asciiTheme="minorHAnsi" w:hAnsiTheme="minorHAnsi" w:cs="Arial"/>
          <w:bCs/>
          <w:snapToGrid w:val="0"/>
          <w:lang w:val="en-GB"/>
        </w:rPr>
        <w:t xml:space="preserve"> 2 mg once daily</w:t>
      </w:r>
    </w:p>
    <w:p w:rsidR="007035DA" w:rsidRDefault="007035DA" w:rsidP="007035DA">
      <w:pPr>
        <w:widowControl w:val="0"/>
        <w:numPr>
          <w:ilvl w:val="1"/>
          <w:numId w:val="1"/>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noted that the estimated financial implications of listing </w:t>
      </w:r>
      <w:proofErr w:type="spellStart"/>
      <w:r>
        <w:rPr>
          <w:rFonts w:asciiTheme="minorHAnsi" w:hAnsiTheme="minorHAnsi" w:cs="Arial"/>
          <w:bCs/>
          <w:snapToGrid w:val="0"/>
          <w:lang w:val="en-GB"/>
        </w:rPr>
        <w:t>pembrolizumab</w:t>
      </w:r>
      <w:proofErr w:type="spellEnd"/>
      <w:r>
        <w:rPr>
          <w:rFonts w:asciiTheme="minorHAnsi" w:hAnsiTheme="minorHAnsi" w:cs="Arial"/>
          <w:bCs/>
          <w:snapToGrid w:val="0"/>
          <w:lang w:val="en-GB"/>
        </w:rPr>
        <w:t xml:space="preserve"> on the PBS for use in adjuvant melanoma stated that the net budget impact of listing </w:t>
      </w:r>
      <w:proofErr w:type="spellStart"/>
      <w:r>
        <w:rPr>
          <w:rFonts w:asciiTheme="minorHAnsi" w:hAnsiTheme="minorHAnsi" w:cs="Arial"/>
          <w:bCs/>
          <w:snapToGrid w:val="0"/>
          <w:lang w:val="en-GB"/>
        </w:rPr>
        <w:t>pembrolizumab</w:t>
      </w:r>
      <w:proofErr w:type="spellEnd"/>
      <w:r>
        <w:rPr>
          <w:rFonts w:asciiTheme="minorHAnsi" w:hAnsiTheme="minorHAnsi" w:cs="Arial"/>
          <w:bCs/>
          <w:snapToGrid w:val="0"/>
          <w:lang w:val="en-GB"/>
        </w:rPr>
        <w:t xml:space="preserve"> on the PBS/RPBS would be cost neutral compared to </w:t>
      </w:r>
      <w:proofErr w:type="spellStart"/>
      <w:r>
        <w:rPr>
          <w:rFonts w:asciiTheme="minorHAnsi" w:hAnsiTheme="minorHAnsi" w:cs="Arial"/>
          <w:bCs/>
          <w:snapToGrid w:val="0"/>
          <w:lang w:val="en-GB"/>
        </w:rPr>
        <w:t>nivolumab</w:t>
      </w:r>
      <w:proofErr w:type="spellEnd"/>
      <w:r w:rsidR="00381938">
        <w:rPr>
          <w:rFonts w:asciiTheme="minorHAnsi" w:hAnsiTheme="minorHAnsi" w:cs="Arial"/>
          <w:bCs/>
          <w:snapToGrid w:val="0"/>
          <w:lang w:val="en-GB"/>
        </w:rPr>
        <w:t xml:space="preserve"> should </w:t>
      </w:r>
      <w:proofErr w:type="spellStart"/>
      <w:r w:rsidR="00381938">
        <w:rPr>
          <w:rFonts w:asciiTheme="minorHAnsi" w:hAnsiTheme="minorHAnsi" w:cs="Arial"/>
          <w:bCs/>
          <w:snapToGrid w:val="0"/>
          <w:lang w:val="en-GB"/>
        </w:rPr>
        <w:t>nivolumab</w:t>
      </w:r>
      <w:proofErr w:type="spellEnd"/>
      <w:r w:rsidR="00381938">
        <w:rPr>
          <w:rFonts w:asciiTheme="minorHAnsi" w:hAnsiTheme="minorHAnsi" w:cs="Arial"/>
          <w:bCs/>
          <w:snapToGrid w:val="0"/>
          <w:lang w:val="en-GB"/>
        </w:rPr>
        <w:t xml:space="preserve"> be listed on the PBS for this indication</w:t>
      </w:r>
      <w:r w:rsidR="00EE4A3B">
        <w:rPr>
          <w:rFonts w:asciiTheme="minorHAnsi" w:hAnsiTheme="minorHAnsi" w:cs="Arial"/>
          <w:bCs/>
          <w:snapToGrid w:val="0"/>
          <w:lang w:val="en-GB"/>
        </w:rPr>
        <w:t xml:space="preserve">. The PBAC </w:t>
      </w:r>
      <w:r w:rsidR="008E5F26">
        <w:rPr>
          <w:rFonts w:asciiTheme="minorHAnsi" w:hAnsiTheme="minorHAnsi" w:cs="Arial"/>
          <w:bCs/>
          <w:snapToGrid w:val="0"/>
          <w:lang w:val="en-GB"/>
        </w:rPr>
        <w:t>noted</w:t>
      </w:r>
      <w:r w:rsidR="00D7517B">
        <w:rPr>
          <w:rFonts w:asciiTheme="minorHAnsi" w:hAnsiTheme="minorHAnsi" w:cs="Arial"/>
          <w:bCs/>
          <w:snapToGrid w:val="0"/>
          <w:lang w:val="en-GB"/>
        </w:rPr>
        <w:t xml:space="preserve"> </w:t>
      </w:r>
      <w:r>
        <w:rPr>
          <w:rFonts w:asciiTheme="minorHAnsi" w:hAnsiTheme="minorHAnsi" w:cs="Arial"/>
          <w:bCs/>
          <w:snapToGrid w:val="0"/>
          <w:lang w:val="en-GB"/>
        </w:rPr>
        <w:t xml:space="preserve">that this relied on the assumption that </w:t>
      </w:r>
      <w:proofErr w:type="spellStart"/>
      <w:r>
        <w:rPr>
          <w:rFonts w:asciiTheme="minorHAnsi" w:hAnsiTheme="minorHAnsi" w:cs="Arial"/>
          <w:bCs/>
          <w:snapToGrid w:val="0"/>
          <w:lang w:val="en-GB"/>
        </w:rPr>
        <w:t>nivolumab</w:t>
      </w:r>
      <w:proofErr w:type="spellEnd"/>
      <w:r>
        <w:rPr>
          <w:rFonts w:asciiTheme="minorHAnsi" w:hAnsiTheme="minorHAnsi" w:cs="Arial"/>
          <w:bCs/>
          <w:snapToGrid w:val="0"/>
          <w:lang w:val="en-GB"/>
        </w:rPr>
        <w:t xml:space="preserve"> would be recommended prior to </w:t>
      </w:r>
      <w:proofErr w:type="spellStart"/>
      <w:r>
        <w:rPr>
          <w:rFonts w:asciiTheme="minorHAnsi" w:hAnsiTheme="minorHAnsi" w:cs="Arial"/>
          <w:bCs/>
          <w:snapToGrid w:val="0"/>
          <w:lang w:val="en-GB"/>
        </w:rPr>
        <w:t>pembrolizumab</w:t>
      </w:r>
      <w:proofErr w:type="spellEnd"/>
      <w:r w:rsidR="00EE4A3B">
        <w:rPr>
          <w:rFonts w:asciiTheme="minorHAnsi" w:hAnsiTheme="minorHAnsi" w:cs="Arial"/>
          <w:bCs/>
          <w:snapToGrid w:val="0"/>
          <w:lang w:val="en-GB"/>
        </w:rPr>
        <w:t>,</w:t>
      </w:r>
      <w:r>
        <w:rPr>
          <w:rFonts w:asciiTheme="minorHAnsi" w:hAnsiTheme="minorHAnsi" w:cs="Arial"/>
          <w:bCs/>
          <w:snapToGrid w:val="0"/>
          <w:lang w:val="en-GB"/>
        </w:rPr>
        <w:t xml:space="preserve"> as the cost-neutrality of </w:t>
      </w:r>
      <w:proofErr w:type="spellStart"/>
      <w:r>
        <w:rPr>
          <w:rFonts w:asciiTheme="minorHAnsi" w:hAnsiTheme="minorHAnsi" w:cs="Arial"/>
          <w:bCs/>
          <w:snapToGrid w:val="0"/>
          <w:lang w:val="en-GB"/>
        </w:rPr>
        <w:t>pembrolizumab</w:t>
      </w:r>
      <w:proofErr w:type="spellEnd"/>
      <w:r>
        <w:rPr>
          <w:rFonts w:asciiTheme="minorHAnsi" w:hAnsiTheme="minorHAnsi" w:cs="Arial"/>
          <w:bCs/>
          <w:snapToGrid w:val="0"/>
          <w:lang w:val="en-GB"/>
        </w:rPr>
        <w:t xml:space="preserve"> relies on the cost </w:t>
      </w:r>
      <w:r>
        <w:rPr>
          <w:rFonts w:asciiTheme="minorHAnsi" w:hAnsiTheme="minorHAnsi" w:cs="Arial"/>
          <w:bCs/>
          <w:snapToGrid w:val="0"/>
          <w:lang w:val="en-GB"/>
        </w:rPr>
        <w:lastRenderedPageBreak/>
        <w:t xml:space="preserve">minimisation analysis with </w:t>
      </w:r>
      <w:proofErr w:type="spellStart"/>
      <w:r>
        <w:rPr>
          <w:rFonts w:asciiTheme="minorHAnsi" w:hAnsiTheme="minorHAnsi" w:cs="Arial"/>
          <w:bCs/>
          <w:snapToGrid w:val="0"/>
          <w:lang w:val="en-GB"/>
        </w:rPr>
        <w:t>nivolumab</w:t>
      </w:r>
      <w:proofErr w:type="spellEnd"/>
      <w:r>
        <w:rPr>
          <w:rFonts w:asciiTheme="minorHAnsi" w:hAnsiTheme="minorHAnsi" w:cs="Arial"/>
          <w:bCs/>
          <w:snapToGrid w:val="0"/>
          <w:lang w:val="en-GB"/>
        </w:rPr>
        <w:t>.</w:t>
      </w:r>
    </w:p>
    <w:p w:rsidR="005A7705" w:rsidRPr="00D7517B" w:rsidRDefault="002715C1" w:rsidP="00D7517B">
      <w:pPr>
        <w:widowControl w:val="0"/>
        <w:numPr>
          <w:ilvl w:val="1"/>
          <w:numId w:val="1"/>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considered that the proposal of a RSA consisting of PD-1 inhibitor subsidisation caps across both the adjuvant and </w:t>
      </w:r>
      <w:proofErr w:type="spellStart"/>
      <w:r>
        <w:rPr>
          <w:rFonts w:asciiTheme="minorHAnsi" w:hAnsiTheme="minorHAnsi" w:cs="Arial"/>
          <w:bCs/>
          <w:snapToGrid w:val="0"/>
          <w:lang w:val="en-GB"/>
        </w:rPr>
        <w:t>unresectable</w:t>
      </w:r>
      <w:proofErr w:type="spellEnd"/>
      <w:r>
        <w:rPr>
          <w:rFonts w:asciiTheme="minorHAnsi" w:hAnsiTheme="minorHAnsi" w:cs="Arial"/>
          <w:bCs/>
          <w:snapToGrid w:val="0"/>
          <w:lang w:val="en-GB"/>
        </w:rPr>
        <w:t xml:space="preserve"> or metastatic settings, beyond which 100% rebates would apply, was appropriate to manage the uncertainty around uptake in the adjuvant setting and </w:t>
      </w:r>
      <w:r w:rsidR="000562AF">
        <w:rPr>
          <w:rFonts w:asciiTheme="minorHAnsi" w:hAnsiTheme="minorHAnsi" w:cs="Arial"/>
          <w:bCs/>
          <w:snapToGrid w:val="0"/>
          <w:lang w:val="en-GB"/>
        </w:rPr>
        <w:t xml:space="preserve">the </w:t>
      </w:r>
      <w:r>
        <w:rPr>
          <w:rFonts w:asciiTheme="minorHAnsi" w:hAnsiTheme="minorHAnsi" w:cs="Arial"/>
          <w:bCs/>
          <w:snapToGrid w:val="0"/>
          <w:lang w:val="en-GB"/>
        </w:rPr>
        <w:t xml:space="preserve">changes </w:t>
      </w:r>
      <w:r w:rsidR="000562AF">
        <w:rPr>
          <w:rFonts w:asciiTheme="minorHAnsi" w:hAnsiTheme="minorHAnsi" w:cs="Arial"/>
          <w:bCs/>
          <w:snapToGrid w:val="0"/>
          <w:lang w:val="en-GB"/>
        </w:rPr>
        <w:t xml:space="preserve">in </w:t>
      </w:r>
      <w:r>
        <w:rPr>
          <w:rFonts w:asciiTheme="minorHAnsi" w:hAnsiTheme="minorHAnsi" w:cs="Arial"/>
          <w:bCs/>
          <w:snapToGrid w:val="0"/>
          <w:lang w:val="en-GB"/>
        </w:rPr>
        <w:t xml:space="preserve">use in the </w:t>
      </w:r>
      <w:proofErr w:type="spellStart"/>
      <w:r>
        <w:rPr>
          <w:rFonts w:asciiTheme="minorHAnsi" w:hAnsiTheme="minorHAnsi" w:cs="Arial"/>
          <w:bCs/>
          <w:snapToGrid w:val="0"/>
          <w:lang w:val="en-GB"/>
        </w:rPr>
        <w:t>unresectable</w:t>
      </w:r>
      <w:proofErr w:type="spellEnd"/>
      <w:r>
        <w:rPr>
          <w:rFonts w:asciiTheme="minorHAnsi" w:hAnsiTheme="minorHAnsi" w:cs="Arial"/>
          <w:bCs/>
          <w:snapToGrid w:val="0"/>
          <w:lang w:val="en-GB"/>
        </w:rPr>
        <w:t xml:space="preserve"> </w:t>
      </w:r>
      <w:r w:rsidR="00363311">
        <w:rPr>
          <w:rFonts w:asciiTheme="minorHAnsi" w:hAnsiTheme="minorHAnsi" w:cs="Arial"/>
          <w:bCs/>
          <w:snapToGrid w:val="0"/>
          <w:lang w:val="en-GB"/>
        </w:rPr>
        <w:t>or metastatic setting</w:t>
      </w:r>
      <w:r w:rsidR="000562AF">
        <w:rPr>
          <w:rFonts w:asciiTheme="minorHAnsi" w:hAnsiTheme="minorHAnsi" w:cs="Arial"/>
          <w:bCs/>
          <w:snapToGrid w:val="0"/>
          <w:lang w:val="en-GB"/>
        </w:rPr>
        <w:t xml:space="preserve"> due to patients no longer requiring (due to cure in the adjuvant setting) or no longer being eligible to receive (due to relapse whilst receiving, or within six months of completing adjuvant treatment) treatment</w:t>
      </w:r>
      <w:r w:rsidR="00363311">
        <w:rPr>
          <w:rFonts w:asciiTheme="minorHAnsi" w:hAnsiTheme="minorHAnsi" w:cs="Arial"/>
          <w:bCs/>
          <w:snapToGrid w:val="0"/>
          <w:lang w:val="en-GB"/>
        </w:rPr>
        <w:t xml:space="preserve">. </w:t>
      </w:r>
    </w:p>
    <w:p w:rsidR="00055C70" w:rsidRPr="00525B39" w:rsidRDefault="00055C70" w:rsidP="00055C70">
      <w:pPr>
        <w:spacing w:before="24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
    <w:p w:rsidR="00055C70" w:rsidRPr="00F90947" w:rsidRDefault="005A7705" w:rsidP="00F90947">
      <w:pPr>
        <w:jc w:val="both"/>
        <w:rPr>
          <w:rFonts w:asciiTheme="minorHAnsi" w:hAnsiTheme="minorHAnsi" w:cs="Arial"/>
          <w:bCs/>
          <w:snapToGrid w:val="0"/>
          <w:lang w:val="en-GB"/>
        </w:rPr>
      </w:pPr>
      <w:r>
        <w:rPr>
          <w:rFonts w:asciiTheme="minorHAnsi" w:hAnsiTheme="minorHAnsi" w:cs="Arial"/>
          <w:bCs/>
          <w:snapToGrid w:val="0"/>
          <w:lang w:val="en-GB"/>
        </w:rPr>
        <w:t>Deferred</w:t>
      </w:r>
    </w:p>
    <w:p w:rsidR="00007559" w:rsidRPr="00D52702" w:rsidRDefault="00007559" w:rsidP="00007559">
      <w:pPr>
        <w:pStyle w:val="2Sections"/>
      </w:pPr>
      <w:r>
        <w:t>Recommended listing</w:t>
      </w:r>
    </w:p>
    <w:p w:rsidR="00055C70" w:rsidRDefault="00055C70" w:rsidP="00055C70">
      <w:pPr>
        <w:pStyle w:val="NoSpacing"/>
        <w:rPr>
          <w:lang w:val="en-GB"/>
        </w:rPr>
      </w:pPr>
    </w:p>
    <w:p w:rsidR="00007559" w:rsidRPr="00230741" w:rsidRDefault="00007559" w:rsidP="00007559">
      <w:pPr>
        <w:jc w:val="both"/>
        <w:rPr>
          <w:rFonts w:asciiTheme="minorHAnsi" w:hAnsiTheme="minorHAnsi" w:cstheme="minorHAnsi"/>
          <w:u w:val="single"/>
        </w:rPr>
      </w:pPr>
      <w:r w:rsidRPr="00230741">
        <w:rPr>
          <w:rFonts w:asciiTheme="minorHAnsi" w:hAnsiTheme="minorHAnsi" w:cstheme="minorHAnsi"/>
          <w:u w:val="single"/>
        </w:rPr>
        <w:t xml:space="preserve">Flow-on changes to </w:t>
      </w:r>
      <w:proofErr w:type="spellStart"/>
      <w:r w:rsidRPr="00230741">
        <w:rPr>
          <w:rFonts w:asciiTheme="minorHAnsi" w:hAnsiTheme="minorHAnsi" w:cstheme="minorHAnsi"/>
          <w:u w:val="single"/>
        </w:rPr>
        <w:t>pembrolizumab</w:t>
      </w:r>
      <w:proofErr w:type="spellEnd"/>
      <w:r>
        <w:rPr>
          <w:rFonts w:asciiTheme="minorHAnsi" w:hAnsiTheme="minorHAnsi" w:cstheme="minorHAnsi"/>
          <w:u w:val="single"/>
        </w:rPr>
        <w:t xml:space="preserve"> </w:t>
      </w:r>
      <w:r w:rsidRPr="00230741">
        <w:rPr>
          <w:rFonts w:asciiTheme="minorHAnsi" w:hAnsiTheme="minorHAnsi" w:cstheme="minorHAnsi"/>
          <w:u w:val="single"/>
        </w:rPr>
        <w:t xml:space="preserve">restrictions for </w:t>
      </w:r>
      <w:proofErr w:type="spellStart"/>
      <w:r w:rsidRPr="00230741">
        <w:rPr>
          <w:rFonts w:asciiTheme="minorHAnsi" w:hAnsiTheme="minorHAnsi" w:cstheme="minorHAnsi"/>
          <w:u w:val="single"/>
        </w:rPr>
        <w:t>unresectable</w:t>
      </w:r>
      <w:proofErr w:type="spellEnd"/>
      <w:r w:rsidRPr="00230741">
        <w:rPr>
          <w:rFonts w:asciiTheme="minorHAnsi" w:hAnsiTheme="minorHAnsi" w:cstheme="minorHAnsi"/>
          <w:u w:val="single"/>
        </w:rPr>
        <w:t xml:space="preserve"> Stage III or Stage IV disease</w:t>
      </w:r>
    </w:p>
    <w:p w:rsidR="00007559" w:rsidRDefault="00007559" w:rsidP="00007559">
      <w:pPr>
        <w:jc w:val="both"/>
        <w:rPr>
          <w:rFonts w:asciiTheme="minorHAnsi" w:hAnsiTheme="minorHAnsi" w:cstheme="minorHAnsi"/>
        </w:rPr>
      </w:pPr>
    </w:p>
    <w:p w:rsidR="00007559" w:rsidRPr="00275BB0" w:rsidRDefault="00007559" w:rsidP="00007559">
      <w:pPr>
        <w:jc w:val="both"/>
        <w:rPr>
          <w:rFonts w:asciiTheme="minorHAnsi" w:hAnsiTheme="minorHAnsi" w:cstheme="minorHAnsi"/>
          <w:i/>
        </w:rPr>
      </w:pPr>
      <w:r w:rsidRPr="00275BB0">
        <w:rPr>
          <w:rFonts w:asciiTheme="minorHAnsi" w:hAnsiTheme="minorHAnsi" w:cstheme="minorHAnsi"/>
          <w:i/>
        </w:rPr>
        <w:t>Amend existing restrictions as follows</w:t>
      </w:r>
      <w:r>
        <w:rPr>
          <w:rFonts w:asciiTheme="minorHAnsi" w:hAnsiTheme="minorHAnsi" w:cstheme="minorHAnsi"/>
          <w:i/>
        </w:rPr>
        <w:t xml:space="preserve"> as a result of the PBAC’s November 2019 recommendation for item 4.03 (may be subject to further changes following an outcome for the PBAC’s November 2019 deferral of agenda item 7.12; to be implemented at the same time</w:t>
      </w:r>
      <w:r w:rsidR="00E44CFA">
        <w:rPr>
          <w:rFonts w:asciiTheme="minorHAnsi" w:hAnsiTheme="minorHAnsi" w:cstheme="minorHAnsi"/>
          <w:i/>
        </w:rPr>
        <w:t xml:space="preserve"> </w:t>
      </w:r>
      <w:r>
        <w:rPr>
          <w:rFonts w:asciiTheme="minorHAnsi" w:hAnsiTheme="minorHAnsi" w:cstheme="minorHAnsi"/>
          <w:i/>
        </w:rPr>
        <w:t>as PBAC’s recommendation for item 4.03 of this meeting)</w:t>
      </w:r>
      <w:r w:rsidRPr="00275BB0">
        <w:rPr>
          <w:rFonts w:asciiTheme="minorHAnsi" w:hAnsiTheme="minorHAnsi" w:cstheme="minorHAnsi"/>
          <w:i/>
        </w:rPr>
        <w:t>:</w:t>
      </w:r>
    </w:p>
    <w:p w:rsidR="00007559" w:rsidRDefault="00007559" w:rsidP="00007559">
      <w:pPr>
        <w:jc w:val="both"/>
        <w:rPr>
          <w:rFonts w:asciiTheme="minorHAnsi" w:hAnsiTheme="minorHAnsi" w:cstheme="minorHAnsi"/>
          <w:lang w:val="en-GB"/>
        </w:rPr>
      </w:pPr>
    </w:p>
    <w:p w:rsidR="00007559" w:rsidRPr="00280F2B" w:rsidRDefault="00007559" w:rsidP="00D3491A">
      <w:pPr>
        <w:keepNext/>
        <w:keepLines/>
        <w:jc w:val="both"/>
        <w:rPr>
          <w:rFonts w:ascii="Arial Narrow" w:hAnsi="Arial Narrow" w:cstheme="minorHAnsi"/>
          <w:b/>
          <w:sz w:val="18"/>
          <w:szCs w:val="18"/>
          <w:lang w:val="en-GB"/>
        </w:rPr>
      </w:pPr>
      <w:r>
        <w:rPr>
          <w:rFonts w:ascii="Arial Narrow" w:hAnsi="Arial Narrow" w:cstheme="minorHAnsi"/>
          <w:b/>
          <w:sz w:val="18"/>
          <w:szCs w:val="18"/>
          <w:lang w:val="en-GB"/>
        </w:rPr>
        <w:t>Initial treatment 1 R</w:t>
      </w:r>
      <w:r w:rsidRPr="00280F2B">
        <w:rPr>
          <w:rFonts w:ascii="Arial Narrow" w:hAnsi="Arial Narrow" w:cstheme="minorHAnsi"/>
          <w:b/>
          <w:sz w:val="18"/>
          <w:szCs w:val="18"/>
          <w:lang w:val="en-GB"/>
        </w:rPr>
        <w:t>estriction Summary 9</w:t>
      </w:r>
      <w:r w:rsidR="00AB19EB">
        <w:rPr>
          <w:rFonts w:ascii="Arial Narrow" w:hAnsi="Arial Narrow" w:cstheme="minorHAnsi"/>
          <w:b/>
          <w:sz w:val="18"/>
          <w:szCs w:val="18"/>
          <w:lang w:val="en-GB"/>
        </w:rPr>
        <w:t>925</w:t>
      </w:r>
      <w:r w:rsidRPr="00280F2B">
        <w:rPr>
          <w:rFonts w:ascii="Arial Narrow" w:hAnsi="Arial Narrow" w:cstheme="minorHAnsi"/>
          <w:b/>
          <w:sz w:val="18"/>
          <w:szCs w:val="18"/>
          <w:lang w:val="en-GB"/>
        </w:rPr>
        <w:t xml:space="preserve"> / Treatment of Concept: 98</w:t>
      </w:r>
      <w:r w:rsidR="00AB19EB">
        <w:rPr>
          <w:rFonts w:ascii="Arial Narrow" w:hAnsi="Arial Narrow" w:cstheme="minorHAnsi"/>
          <w:b/>
          <w:sz w:val="18"/>
          <w:szCs w:val="18"/>
          <w:lang w:val="en-GB"/>
        </w:rPr>
        <w:t>95</w:t>
      </w:r>
    </w:p>
    <w:p w:rsidR="00007559" w:rsidRPr="00280F2B" w:rsidRDefault="00007559" w:rsidP="00D3491A">
      <w:pPr>
        <w:keepNext/>
        <w:keepLines/>
        <w:jc w:val="both"/>
        <w:rPr>
          <w:rFonts w:ascii="Arial Narrow" w:hAnsi="Arial Narrow" w:cstheme="minorHAnsi"/>
          <w:b/>
          <w:sz w:val="18"/>
          <w:szCs w:val="18"/>
          <w:lang w:val="en-GB"/>
        </w:rPr>
      </w:pPr>
      <w:r w:rsidRPr="00280F2B">
        <w:rPr>
          <w:rFonts w:ascii="Arial Narrow" w:hAnsi="Arial Narrow" w:cstheme="minorHAnsi"/>
          <w:b/>
          <w:sz w:val="18"/>
          <w:szCs w:val="18"/>
          <w:lang w:val="en-GB"/>
        </w:rPr>
        <w:t>PBS item codes</w:t>
      </w:r>
      <w:r>
        <w:rPr>
          <w:rFonts w:ascii="Arial Narrow" w:hAnsi="Arial Narrow" w:cstheme="minorHAnsi"/>
          <w:b/>
          <w:sz w:val="18"/>
          <w:szCs w:val="18"/>
          <w:lang w:val="en-GB"/>
        </w:rPr>
        <w:t>:</w:t>
      </w:r>
      <w:r w:rsidRPr="00280F2B">
        <w:rPr>
          <w:rFonts w:ascii="Arial Narrow" w:hAnsi="Arial Narrow" w:cstheme="minorHAnsi"/>
          <w:b/>
          <w:sz w:val="18"/>
          <w:szCs w:val="18"/>
          <w:lang w:val="en-GB"/>
        </w:rPr>
        <w:t xml:space="preserve"> 10493G (Public) / 10475H (Private)</w:t>
      </w:r>
    </w:p>
    <w:p w:rsidR="00007559" w:rsidRPr="00230741" w:rsidRDefault="00007559" w:rsidP="00D3491A">
      <w:pPr>
        <w:keepNext/>
        <w:keepLines/>
        <w:jc w:val="both"/>
        <w:rPr>
          <w:rFonts w:asciiTheme="minorHAnsi" w:hAnsiTheme="minorHAnsi" w:cstheme="minorHAnsi"/>
        </w:rPr>
      </w:pPr>
    </w:p>
    <w:tbl>
      <w:tblPr>
        <w:tblW w:w="9067" w:type="dxa"/>
        <w:tblLayout w:type="fixed"/>
        <w:tblLook w:val="0000" w:firstRow="0" w:lastRow="0" w:firstColumn="0" w:lastColumn="0" w:noHBand="0" w:noVBand="0"/>
      </w:tblPr>
      <w:tblGrid>
        <w:gridCol w:w="847"/>
        <w:gridCol w:w="8220"/>
      </w:tblGrid>
      <w:tr w:rsidR="00AB19EB" w:rsidRPr="00A4483F" w:rsidTr="00AB19EB">
        <w:trPr>
          <w:cantSplit/>
          <w:trHeight w:val="158"/>
        </w:trPr>
        <w:tc>
          <w:tcPr>
            <w:tcW w:w="847" w:type="dxa"/>
            <w:tcBorders>
              <w:top w:val="single" w:sz="4" w:space="0" w:color="auto"/>
              <w:left w:val="single" w:sz="4" w:space="0" w:color="auto"/>
              <w:bottom w:val="single" w:sz="4" w:space="0" w:color="auto"/>
              <w:right w:val="single" w:sz="4" w:space="0" w:color="auto"/>
            </w:tcBorders>
            <w:tcMar>
              <w:left w:w="28" w:type="dxa"/>
              <w:right w:w="28" w:type="dxa"/>
            </w:tcMar>
          </w:tcPr>
          <w:p w:rsidR="00AB19EB" w:rsidRPr="00A4483F" w:rsidRDefault="00AB19EB" w:rsidP="00D3491A">
            <w:pPr>
              <w:pStyle w:val="Tabletext"/>
              <w:keepNext/>
              <w:keepLines/>
              <w:spacing w:after="0"/>
              <w:rPr>
                <w:rFonts w:ascii="Arial Narrow" w:eastAsia="Calibri" w:hAnsi="Arial Narrow"/>
                <w:b/>
                <w:sz w:val="18"/>
                <w:szCs w:val="18"/>
              </w:rPr>
            </w:pPr>
            <w:r>
              <w:rPr>
                <w:rFonts w:ascii="Arial Narrow" w:eastAsia="Calibri" w:hAnsi="Arial Narrow"/>
                <w:b/>
                <w:sz w:val="18"/>
                <w:szCs w:val="18"/>
              </w:rPr>
              <w:t>Concept ID</w:t>
            </w:r>
          </w:p>
        </w:tc>
        <w:tc>
          <w:tcPr>
            <w:tcW w:w="8220" w:type="dxa"/>
            <w:tcBorders>
              <w:top w:val="single" w:sz="4" w:space="0" w:color="auto"/>
              <w:left w:val="single" w:sz="4" w:space="0" w:color="auto"/>
              <w:bottom w:val="single" w:sz="4" w:space="0" w:color="auto"/>
              <w:right w:val="single" w:sz="4" w:space="0" w:color="auto"/>
            </w:tcBorders>
            <w:tcMar>
              <w:left w:w="28" w:type="dxa"/>
              <w:right w:w="28" w:type="dxa"/>
            </w:tcMar>
          </w:tcPr>
          <w:p w:rsidR="00AB19EB" w:rsidRPr="00A4483F" w:rsidRDefault="00AB19EB" w:rsidP="00D3491A">
            <w:pPr>
              <w:pStyle w:val="Tabletext"/>
              <w:keepNext/>
              <w:keepLines/>
              <w:spacing w:after="0"/>
              <w:rPr>
                <w:rFonts w:ascii="Arial Narrow" w:eastAsia="Calibri" w:hAnsi="Arial Narrow"/>
                <w:sz w:val="18"/>
                <w:szCs w:val="18"/>
              </w:rPr>
            </w:pPr>
            <w:r w:rsidRPr="00280F2B">
              <w:rPr>
                <w:rFonts w:ascii="Arial Narrow" w:eastAsia="Calibri" w:hAnsi="Arial Narrow"/>
                <w:b/>
                <w:sz w:val="18"/>
                <w:szCs w:val="18"/>
              </w:rPr>
              <w:t>Category/Program:</w:t>
            </w:r>
            <w:r>
              <w:rPr>
                <w:rFonts w:ascii="Arial Narrow" w:eastAsia="Calibri" w:hAnsi="Arial Narrow"/>
                <w:b/>
                <w:sz w:val="18"/>
                <w:szCs w:val="18"/>
              </w:rPr>
              <w:t xml:space="preserve"> </w:t>
            </w:r>
            <w:r w:rsidRPr="00A4483F">
              <w:rPr>
                <w:rFonts w:ascii="Arial Narrow" w:eastAsia="Calibri" w:hAnsi="Arial Narrow"/>
                <w:sz w:val="18"/>
                <w:szCs w:val="18"/>
              </w:rPr>
              <w:t>Section 100 Efficient Funding of Chemotherapy</w:t>
            </w:r>
          </w:p>
        </w:tc>
      </w:tr>
      <w:tr w:rsidR="00AB19EB" w:rsidRPr="00A4483F" w:rsidTr="00AB19EB">
        <w:trPr>
          <w:cantSplit/>
          <w:trHeight w:val="91"/>
        </w:trPr>
        <w:tc>
          <w:tcPr>
            <w:tcW w:w="847" w:type="dxa"/>
            <w:tcBorders>
              <w:top w:val="single" w:sz="4" w:space="0" w:color="auto"/>
              <w:left w:val="single" w:sz="4" w:space="0" w:color="auto"/>
              <w:bottom w:val="single" w:sz="4" w:space="0" w:color="auto"/>
              <w:right w:val="single" w:sz="4" w:space="0" w:color="auto"/>
            </w:tcBorders>
            <w:tcMar>
              <w:left w:w="28" w:type="dxa"/>
              <w:right w:w="28" w:type="dxa"/>
            </w:tcMar>
          </w:tcPr>
          <w:p w:rsidR="00AB19EB" w:rsidRPr="00A4483F" w:rsidRDefault="00AB19EB" w:rsidP="00AB19EB">
            <w:pPr>
              <w:pStyle w:val="Tabletext"/>
              <w:spacing w:after="0"/>
              <w:rPr>
                <w:rFonts w:ascii="Arial Narrow" w:eastAsia="Calibri" w:hAnsi="Arial Narrow"/>
                <w:b/>
                <w:sz w:val="18"/>
                <w:szCs w:val="18"/>
              </w:rPr>
            </w:pPr>
          </w:p>
        </w:tc>
        <w:tc>
          <w:tcPr>
            <w:tcW w:w="8220" w:type="dxa"/>
            <w:tcBorders>
              <w:top w:val="single" w:sz="4" w:space="0" w:color="auto"/>
              <w:left w:val="single" w:sz="4" w:space="0" w:color="auto"/>
              <w:bottom w:val="single" w:sz="4" w:space="0" w:color="auto"/>
              <w:right w:val="single" w:sz="4" w:space="0" w:color="auto"/>
            </w:tcBorders>
            <w:tcMar>
              <w:left w:w="28" w:type="dxa"/>
              <w:right w:w="28" w:type="dxa"/>
            </w:tcMar>
          </w:tcPr>
          <w:p w:rsidR="00AB19EB" w:rsidRPr="00A4483F" w:rsidRDefault="00AB19EB" w:rsidP="00AB19EB">
            <w:pPr>
              <w:pStyle w:val="Tabletext"/>
              <w:spacing w:after="0"/>
              <w:rPr>
                <w:rFonts w:ascii="Arial Narrow" w:eastAsia="Calibri" w:hAnsi="Arial Narrow"/>
                <w:sz w:val="18"/>
                <w:szCs w:val="18"/>
              </w:rPr>
            </w:pPr>
            <w:r w:rsidRPr="00280F2B">
              <w:rPr>
                <w:rFonts w:ascii="Arial Narrow" w:eastAsia="Calibri" w:hAnsi="Arial Narrow"/>
                <w:b/>
                <w:sz w:val="18"/>
                <w:szCs w:val="18"/>
              </w:rPr>
              <w:t>Prescriber type:</w:t>
            </w:r>
            <w:r>
              <w:rPr>
                <w:rFonts w:ascii="Arial Narrow" w:eastAsia="Calibri" w:hAnsi="Arial Narrow"/>
                <w:b/>
                <w:sz w:val="18"/>
                <w:szCs w:val="18"/>
              </w:rPr>
              <w:t xml:space="preserve">  </w:t>
            </w:r>
            <w:r w:rsidRPr="00A4483F">
              <w:rPr>
                <w:rFonts w:ascii="Arial Narrow" w:eastAsia="Calibri" w:hAnsi="Arial Narrow"/>
                <w:sz w:val="18"/>
                <w:szCs w:val="18"/>
              </w:rPr>
              <w:fldChar w:fldCharType="begin">
                <w:ffData>
                  <w:name w:val="Check1"/>
                  <w:enabled/>
                  <w:calcOnExit w:val="0"/>
                  <w:checkBox>
                    <w:sizeAuto/>
                    <w:default w:val="0"/>
                  </w:checkBox>
                </w:ffData>
              </w:fldChar>
            </w:r>
            <w:r w:rsidRPr="00A4483F">
              <w:rPr>
                <w:rFonts w:ascii="Arial Narrow" w:eastAsia="Calibri" w:hAnsi="Arial Narrow"/>
                <w:sz w:val="18"/>
                <w:szCs w:val="18"/>
              </w:rPr>
              <w:instrText xml:space="preserve"> FORMCHECKBOX </w:instrText>
            </w:r>
            <w:r w:rsidR="00643DA7">
              <w:rPr>
                <w:rFonts w:ascii="Arial Narrow" w:eastAsia="Calibri" w:hAnsi="Arial Narrow"/>
                <w:sz w:val="18"/>
                <w:szCs w:val="18"/>
              </w:rPr>
            </w:r>
            <w:r w:rsidR="00643DA7">
              <w:rPr>
                <w:rFonts w:ascii="Arial Narrow" w:eastAsia="Calibri" w:hAnsi="Arial Narrow"/>
                <w:sz w:val="18"/>
                <w:szCs w:val="18"/>
              </w:rPr>
              <w:fldChar w:fldCharType="separate"/>
            </w:r>
            <w:r w:rsidRPr="00A4483F">
              <w:rPr>
                <w:rFonts w:ascii="Arial Narrow" w:eastAsia="Calibri" w:hAnsi="Arial Narrow"/>
                <w:sz w:val="18"/>
                <w:szCs w:val="18"/>
              </w:rPr>
              <w:fldChar w:fldCharType="end"/>
            </w:r>
            <w:r w:rsidRPr="00A4483F">
              <w:rPr>
                <w:rFonts w:ascii="Arial Narrow" w:eastAsia="Calibri" w:hAnsi="Arial Narrow"/>
                <w:sz w:val="18"/>
                <w:szCs w:val="18"/>
              </w:rPr>
              <w:t>Dental</w:t>
            </w:r>
            <w:r>
              <w:rPr>
                <w:rFonts w:ascii="Arial Narrow" w:eastAsia="Calibri" w:hAnsi="Arial Narrow"/>
                <w:sz w:val="18"/>
                <w:szCs w:val="18"/>
              </w:rPr>
              <w:t xml:space="preserve">  </w:t>
            </w:r>
            <w:r w:rsidRPr="00A4483F">
              <w:rPr>
                <w:rFonts w:ascii="Arial Narrow" w:eastAsia="Calibri" w:hAnsi="Arial Narrow"/>
                <w:sz w:val="18"/>
                <w:szCs w:val="18"/>
              </w:rPr>
              <w:t xml:space="preserve"> </w:t>
            </w:r>
            <w:r w:rsidRPr="00A4483F">
              <w:rPr>
                <w:rFonts w:ascii="Arial Narrow" w:eastAsia="Calibri" w:hAnsi="Arial Narrow"/>
                <w:sz w:val="18"/>
                <w:szCs w:val="18"/>
              </w:rPr>
              <w:fldChar w:fldCharType="begin">
                <w:ffData>
                  <w:name w:val=""/>
                  <w:enabled/>
                  <w:calcOnExit w:val="0"/>
                  <w:checkBox>
                    <w:sizeAuto/>
                    <w:default w:val="1"/>
                  </w:checkBox>
                </w:ffData>
              </w:fldChar>
            </w:r>
            <w:r w:rsidRPr="00A4483F">
              <w:rPr>
                <w:rFonts w:ascii="Arial Narrow" w:eastAsia="Calibri" w:hAnsi="Arial Narrow"/>
                <w:sz w:val="18"/>
                <w:szCs w:val="18"/>
              </w:rPr>
              <w:instrText xml:space="preserve"> FORMCHECKBOX </w:instrText>
            </w:r>
            <w:r w:rsidR="00643DA7">
              <w:rPr>
                <w:rFonts w:ascii="Arial Narrow" w:eastAsia="Calibri" w:hAnsi="Arial Narrow"/>
                <w:sz w:val="18"/>
                <w:szCs w:val="18"/>
              </w:rPr>
            </w:r>
            <w:r w:rsidR="00643DA7">
              <w:rPr>
                <w:rFonts w:ascii="Arial Narrow" w:eastAsia="Calibri" w:hAnsi="Arial Narrow"/>
                <w:sz w:val="18"/>
                <w:szCs w:val="18"/>
              </w:rPr>
              <w:fldChar w:fldCharType="separate"/>
            </w:r>
            <w:r w:rsidRPr="00A4483F">
              <w:rPr>
                <w:rFonts w:ascii="Arial Narrow" w:eastAsia="Calibri" w:hAnsi="Arial Narrow"/>
                <w:sz w:val="18"/>
                <w:szCs w:val="18"/>
              </w:rPr>
              <w:fldChar w:fldCharType="end"/>
            </w:r>
            <w:r w:rsidRPr="00A4483F">
              <w:rPr>
                <w:rFonts w:ascii="Arial Narrow" w:eastAsia="Calibri" w:hAnsi="Arial Narrow"/>
                <w:sz w:val="18"/>
                <w:szCs w:val="18"/>
              </w:rPr>
              <w:t>Medical Practitioners</w:t>
            </w:r>
            <w:r>
              <w:rPr>
                <w:rFonts w:ascii="Arial Narrow" w:eastAsia="Calibri" w:hAnsi="Arial Narrow"/>
                <w:sz w:val="18"/>
                <w:szCs w:val="18"/>
              </w:rPr>
              <w:t xml:space="preserve">  </w:t>
            </w:r>
            <w:r w:rsidRPr="00A4483F">
              <w:rPr>
                <w:rFonts w:ascii="Arial Narrow" w:eastAsia="Calibri" w:hAnsi="Arial Narrow"/>
                <w:sz w:val="18"/>
                <w:szCs w:val="18"/>
              </w:rPr>
              <w:t xml:space="preserve"> </w:t>
            </w:r>
            <w:r w:rsidRPr="00A4483F">
              <w:rPr>
                <w:rFonts w:ascii="Arial Narrow" w:eastAsia="Calibri" w:hAnsi="Arial Narrow"/>
                <w:sz w:val="18"/>
                <w:szCs w:val="18"/>
              </w:rPr>
              <w:fldChar w:fldCharType="begin">
                <w:ffData>
                  <w:name w:val="Check3"/>
                  <w:enabled/>
                  <w:calcOnExit w:val="0"/>
                  <w:checkBox>
                    <w:sizeAuto/>
                    <w:default w:val="0"/>
                  </w:checkBox>
                </w:ffData>
              </w:fldChar>
            </w:r>
            <w:r w:rsidRPr="00A4483F">
              <w:rPr>
                <w:rFonts w:ascii="Arial Narrow" w:eastAsia="Calibri" w:hAnsi="Arial Narrow"/>
                <w:sz w:val="18"/>
                <w:szCs w:val="18"/>
              </w:rPr>
              <w:instrText xml:space="preserve"> FORMCHECKBOX </w:instrText>
            </w:r>
            <w:r w:rsidR="00643DA7">
              <w:rPr>
                <w:rFonts w:ascii="Arial Narrow" w:eastAsia="Calibri" w:hAnsi="Arial Narrow"/>
                <w:sz w:val="18"/>
                <w:szCs w:val="18"/>
              </w:rPr>
            </w:r>
            <w:r w:rsidR="00643DA7">
              <w:rPr>
                <w:rFonts w:ascii="Arial Narrow" w:eastAsia="Calibri" w:hAnsi="Arial Narrow"/>
                <w:sz w:val="18"/>
                <w:szCs w:val="18"/>
              </w:rPr>
              <w:fldChar w:fldCharType="separate"/>
            </w:r>
            <w:r w:rsidRPr="00A4483F">
              <w:rPr>
                <w:rFonts w:ascii="Arial Narrow" w:eastAsia="Calibri" w:hAnsi="Arial Narrow"/>
                <w:sz w:val="18"/>
                <w:szCs w:val="18"/>
              </w:rPr>
              <w:fldChar w:fldCharType="end"/>
            </w:r>
            <w:r w:rsidRPr="00A4483F">
              <w:rPr>
                <w:rFonts w:ascii="Arial Narrow" w:eastAsia="Calibri" w:hAnsi="Arial Narrow"/>
                <w:sz w:val="18"/>
                <w:szCs w:val="18"/>
              </w:rPr>
              <w:t xml:space="preserve">Nurse practitioners </w:t>
            </w:r>
            <w:r w:rsidRPr="00A4483F">
              <w:rPr>
                <w:rFonts w:ascii="Arial Narrow" w:eastAsia="Calibri" w:hAnsi="Arial Narrow"/>
                <w:sz w:val="18"/>
                <w:szCs w:val="18"/>
              </w:rPr>
              <w:fldChar w:fldCharType="begin">
                <w:ffData>
                  <w:name w:val=""/>
                  <w:enabled/>
                  <w:calcOnExit w:val="0"/>
                  <w:checkBox>
                    <w:sizeAuto/>
                    <w:default w:val="0"/>
                  </w:checkBox>
                </w:ffData>
              </w:fldChar>
            </w:r>
            <w:r w:rsidRPr="00A4483F">
              <w:rPr>
                <w:rFonts w:ascii="Arial Narrow" w:eastAsia="Calibri" w:hAnsi="Arial Narrow"/>
                <w:sz w:val="18"/>
                <w:szCs w:val="18"/>
              </w:rPr>
              <w:instrText xml:space="preserve"> FORMCHECKBOX </w:instrText>
            </w:r>
            <w:r w:rsidR="00643DA7">
              <w:rPr>
                <w:rFonts w:ascii="Arial Narrow" w:eastAsia="Calibri" w:hAnsi="Arial Narrow"/>
                <w:sz w:val="18"/>
                <w:szCs w:val="18"/>
              </w:rPr>
            </w:r>
            <w:r w:rsidR="00643DA7">
              <w:rPr>
                <w:rFonts w:ascii="Arial Narrow" w:eastAsia="Calibri" w:hAnsi="Arial Narrow"/>
                <w:sz w:val="18"/>
                <w:szCs w:val="18"/>
              </w:rPr>
              <w:fldChar w:fldCharType="separate"/>
            </w:r>
            <w:r w:rsidRPr="00A4483F">
              <w:rPr>
                <w:rFonts w:ascii="Arial Narrow" w:eastAsia="Calibri" w:hAnsi="Arial Narrow"/>
                <w:sz w:val="18"/>
                <w:szCs w:val="18"/>
              </w:rPr>
              <w:fldChar w:fldCharType="end"/>
            </w:r>
            <w:r w:rsidRPr="00A4483F">
              <w:rPr>
                <w:rFonts w:ascii="Arial Narrow" w:eastAsia="Calibri" w:hAnsi="Arial Narrow"/>
                <w:sz w:val="18"/>
                <w:szCs w:val="18"/>
              </w:rPr>
              <w:t xml:space="preserve">Optometrists </w:t>
            </w:r>
            <w:r w:rsidRPr="00A4483F">
              <w:rPr>
                <w:rFonts w:ascii="Arial Narrow" w:eastAsia="Calibri" w:hAnsi="Arial Narrow"/>
                <w:sz w:val="18"/>
                <w:szCs w:val="18"/>
              </w:rPr>
              <w:fldChar w:fldCharType="begin">
                <w:ffData>
                  <w:name w:val="Check5"/>
                  <w:enabled/>
                  <w:calcOnExit w:val="0"/>
                  <w:checkBox>
                    <w:sizeAuto/>
                    <w:default w:val="0"/>
                  </w:checkBox>
                </w:ffData>
              </w:fldChar>
            </w:r>
            <w:r w:rsidRPr="00A4483F">
              <w:rPr>
                <w:rFonts w:ascii="Arial Narrow" w:eastAsia="Calibri" w:hAnsi="Arial Narrow"/>
                <w:sz w:val="18"/>
                <w:szCs w:val="18"/>
              </w:rPr>
              <w:instrText xml:space="preserve"> FORMCHECKBOX </w:instrText>
            </w:r>
            <w:r w:rsidR="00643DA7">
              <w:rPr>
                <w:rFonts w:ascii="Arial Narrow" w:eastAsia="Calibri" w:hAnsi="Arial Narrow"/>
                <w:sz w:val="18"/>
                <w:szCs w:val="18"/>
              </w:rPr>
            </w:r>
            <w:r w:rsidR="00643DA7">
              <w:rPr>
                <w:rFonts w:ascii="Arial Narrow" w:eastAsia="Calibri" w:hAnsi="Arial Narrow"/>
                <w:sz w:val="18"/>
                <w:szCs w:val="18"/>
              </w:rPr>
              <w:fldChar w:fldCharType="separate"/>
            </w:r>
            <w:r w:rsidRPr="00A4483F">
              <w:rPr>
                <w:rFonts w:ascii="Arial Narrow" w:eastAsia="Calibri" w:hAnsi="Arial Narrow"/>
                <w:sz w:val="18"/>
                <w:szCs w:val="18"/>
              </w:rPr>
              <w:fldChar w:fldCharType="end"/>
            </w:r>
            <w:r w:rsidRPr="00A4483F">
              <w:rPr>
                <w:rFonts w:ascii="Arial Narrow" w:eastAsia="Calibri" w:hAnsi="Arial Narrow"/>
                <w:sz w:val="18"/>
                <w:szCs w:val="18"/>
              </w:rPr>
              <w:t>Midwives</w:t>
            </w:r>
          </w:p>
        </w:tc>
      </w:tr>
      <w:tr w:rsidR="00AB19EB" w:rsidRPr="00A4483F" w:rsidTr="00AB19EB">
        <w:trPr>
          <w:cantSplit/>
          <w:trHeight w:val="186"/>
        </w:trPr>
        <w:tc>
          <w:tcPr>
            <w:tcW w:w="847" w:type="dxa"/>
            <w:tcBorders>
              <w:top w:val="single" w:sz="4" w:space="0" w:color="auto"/>
              <w:left w:val="single" w:sz="4" w:space="0" w:color="auto"/>
              <w:bottom w:val="single" w:sz="4" w:space="0" w:color="auto"/>
              <w:right w:val="single" w:sz="4" w:space="0" w:color="auto"/>
            </w:tcBorders>
            <w:tcMar>
              <w:left w:w="28" w:type="dxa"/>
              <w:right w:w="28" w:type="dxa"/>
            </w:tcMar>
          </w:tcPr>
          <w:p w:rsidR="00AB19EB" w:rsidRPr="00A4483F" w:rsidRDefault="00AB19EB" w:rsidP="00AB19EB">
            <w:pPr>
              <w:pStyle w:val="Tabletext"/>
              <w:spacing w:after="0"/>
              <w:rPr>
                <w:rFonts w:ascii="Arial Narrow" w:eastAsia="Calibri" w:hAnsi="Arial Narrow"/>
                <w:b/>
                <w:sz w:val="18"/>
                <w:szCs w:val="18"/>
              </w:rPr>
            </w:pPr>
          </w:p>
        </w:tc>
        <w:tc>
          <w:tcPr>
            <w:tcW w:w="8220" w:type="dxa"/>
            <w:tcBorders>
              <w:top w:val="single" w:sz="4" w:space="0" w:color="auto"/>
              <w:left w:val="single" w:sz="4" w:space="0" w:color="auto"/>
              <w:bottom w:val="single" w:sz="4" w:space="0" w:color="auto"/>
              <w:right w:val="single" w:sz="4" w:space="0" w:color="auto"/>
            </w:tcBorders>
            <w:tcMar>
              <w:left w:w="28" w:type="dxa"/>
              <w:right w:w="28" w:type="dxa"/>
            </w:tcMar>
          </w:tcPr>
          <w:p w:rsidR="00AB19EB" w:rsidRPr="00A4483F" w:rsidRDefault="00AB19EB" w:rsidP="00AB19EB">
            <w:pPr>
              <w:pStyle w:val="Tabletext"/>
              <w:spacing w:after="0"/>
              <w:rPr>
                <w:rFonts w:ascii="Arial Narrow" w:eastAsia="Calibri" w:hAnsi="Arial Narrow"/>
                <w:sz w:val="18"/>
                <w:szCs w:val="18"/>
              </w:rPr>
            </w:pPr>
            <w:r w:rsidRPr="00A4483F">
              <w:rPr>
                <w:rFonts w:ascii="Arial Narrow" w:eastAsia="Calibri" w:hAnsi="Arial Narrow"/>
                <w:b/>
                <w:sz w:val="18"/>
                <w:szCs w:val="18"/>
              </w:rPr>
              <w:t>Restriction level:</w:t>
            </w:r>
            <w:r>
              <w:rPr>
                <w:rFonts w:ascii="Arial Narrow" w:eastAsia="Calibri" w:hAnsi="Arial Narrow"/>
                <w:sz w:val="18"/>
                <w:szCs w:val="18"/>
              </w:rPr>
              <w:t xml:space="preserve">  </w:t>
            </w:r>
            <w:r w:rsidRPr="00A4483F">
              <w:rPr>
                <w:rFonts w:ascii="Arial Narrow" w:eastAsia="Calibri" w:hAnsi="Arial Narrow"/>
                <w:sz w:val="18"/>
                <w:szCs w:val="18"/>
              </w:rPr>
              <w:fldChar w:fldCharType="begin">
                <w:ffData>
                  <w:name w:val=""/>
                  <w:enabled/>
                  <w:calcOnExit w:val="0"/>
                  <w:checkBox>
                    <w:sizeAuto/>
                    <w:default w:val="1"/>
                  </w:checkBox>
                </w:ffData>
              </w:fldChar>
            </w:r>
            <w:r w:rsidRPr="00A4483F">
              <w:rPr>
                <w:rFonts w:ascii="Arial Narrow" w:eastAsia="Calibri" w:hAnsi="Arial Narrow"/>
                <w:sz w:val="18"/>
                <w:szCs w:val="18"/>
              </w:rPr>
              <w:instrText xml:space="preserve"> FORMCHECKBOX </w:instrText>
            </w:r>
            <w:r w:rsidR="00643DA7">
              <w:rPr>
                <w:rFonts w:ascii="Arial Narrow" w:eastAsia="Calibri" w:hAnsi="Arial Narrow"/>
                <w:sz w:val="18"/>
                <w:szCs w:val="18"/>
              </w:rPr>
            </w:r>
            <w:r w:rsidR="00643DA7">
              <w:rPr>
                <w:rFonts w:ascii="Arial Narrow" w:eastAsia="Calibri" w:hAnsi="Arial Narrow"/>
                <w:sz w:val="18"/>
                <w:szCs w:val="18"/>
              </w:rPr>
              <w:fldChar w:fldCharType="separate"/>
            </w:r>
            <w:r w:rsidRPr="00A4483F">
              <w:rPr>
                <w:rFonts w:ascii="Arial Narrow" w:eastAsia="Calibri" w:hAnsi="Arial Narrow"/>
                <w:sz w:val="18"/>
                <w:szCs w:val="18"/>
              </w:rPr>
              <w:fldChar w:fldCharType="end"/>
            </w:r>
            <w:r w:rsidRPr="00A4483F">
              <w:rPr>
                <w:rFonts w:ascii="Arial Narrow" w:eastAsia="Calibri" w:hAnsi="Arial Narrow"/>
                <w:sz w:val="18"/>
                <w:szCs w:val="18"/>
              </w:rPr>
              <w:t>Authority required - Streamlined (9</w:t>
            </w:r>
            <w:r>
              <w:rPr>
                <w:rFonts w:ascii="Arial Narrow" w:eastAsia="Calibri" w:hAnsi="Arial Narrow"/>
                <w:sz w:val="18"/>
                <w:szCs w:val="18"/>
              </w:rPr>
              <w:t>895</w:t>
            </w:r>
            <w:r w:rsidRPr="00A4483F">
              <w:rPr>
                <w:rFonts w:ascii="Arial Narrow" w:eastAsia="Calibri" w:hAnsi="Arial Narrow"/>
                <w:sz w:val="18"/>
                <w:szCs w:val="18"/>
              </w:rPr>
              <w:t>)</w:t>
            </w:r>
          </w:p>
        </w:tc>
      </w:tr>
      <w:tr w:rsidR="00AB19EB" w:rsidRPr="00ED7A87" w:rsidTr="00AB1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Align w:val="center"/>
            <w:hideMark/>
          </w:tcPr>
          <w:p w:rsidR="00AB19EB" w:rsidRPr="00ED7A87" w:rsidRDefault="00AB19EB" w:rsidP="00AB19EB">
            <w:pPr>
              <w:pStyle w:val="NormalWeb"/>
              <w:spacing w:before="0" w:beforeAutospacing="0" w:after="0" w:afterAutospacing="0"/>
              <w:jc w:val="center"/>
              <w:rPr>
                <w:rFonts w:ascii="Arial Narrow" w:hAnsi="Arial Narrow"/>
                <w:color w:val="333333"/>
                <w:sz w:val="18"/>
                <w:szCs w:val="18"/>
              </w:rPr>
            </w:pPr>
            <w:r>
              <w:rPr>
                <w:rFonts w:ascii="Arial Narrow" w:hAnsi="Arial Narrow"/>
                <w:color w:val="333333"/>
                <w:sz w:val="18"/>
                <w:szCs w:val="18"/>
              </w:rPr>
              <w:t>7608</w:t>
            </w:r>
          </w:p>
        </w:tc>
        <w:tc>
          <w:tcPr>
            <w:tcW w:w="8220" w:type="dxa"/>
            <w:vAlign w:val="center"/>
            <w:hideMark/>
          </w:tcPr>
          <w:p w:rsidR="00AB19EB" w:rsidRPr="00ED7A87" w:rsidRDefault="00AB19EB" w:rsidP="00AB19EB">
            <w:pPr>
              <w:pStyle w:val="NormalWeb"/>
              <w:spacing w:before="0" w:beforeAutospacing="0" w:after="0" w:afterAutospacing="0"/>
              <w:rPr>
                <w:rFonts w:ascii="Arial Narrow" w:hAnsi="Arial Narrow"/>
                <w:color w:val="333333"/>
                <w:sz w:val="18"/>
                <w:szCs w:val="18"/>
              </w:rPr>
            </w:pPr>
            <w:r w:rsidRPr="00ED7A87">
              <w:rPr>
                <w:rStyle w:val="Strong"/>
                <w:rFonts w:ascii="Arial Narrow" w:hAnsi="Arial Narrow"/>
                <w:color w:val="333333"/>
                <w:sz w:val="18"/>
                <w:szCs w:val="18"/>
              </w:rPr>
              <w:t>Administrative Advice:</w:t>
            </w:r>
            <w:r>
              <w:t xml:space="preserve"> </w:t>
            </w:r>
            <w:r w:rsidRPr="00ED7A87">
              <w:rPr>
                <w:rFonts w:ascii="Arial Narrow" w:hAnsi="Arial Narrow"/>
                <w:color w:val="333333"/>
                <w:sz w:val="18"/>
                <w:szCs w:val="18"/>
              </w:rPr>
              <w:t>Special Pricing Arrangements apply.</w:t>
            </w:r>
          </w:p>
        </w:tc>
      </w:tr>
      <w:tr w:rsidR="00AB19EB" w:rsidRPr="00ED7A87" w:rsidTr="00AB1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Align w:val="center"/>
            <w:hideMark/>
          </w:tcPr>
          <w:p w:rsidR="00AB19EB" w:rsidRPr="00ED7A87" w:rsidRDefault="00AB19EB" w:rsidP="00AB19EB">
            <w:pPr>
              <w:pStyle w:val="NormalWeb"/>
              <w:spacing w:before="0" w:beforeAutospacing="0" w:after="0" w:afterAutospacing="0"/>
              <w:jc w:val="center"/>
              <w:rPr>
                <w:rFonts w:ascii="Arial Narrow" w:hAnsi="Arial Narrow"/>
                <w:color w:val="333333"/>
                <w:sz w:val="18"/>
                <w:szCs w:val="18"/>
              </w:rPr>
            </w:pPr>
            <w:r>
              <w:rPr>
                <w:rFonts w:ascii="Arial Narrow" w:hAnsi="Arial Narrow"/>
                <w:color w:val="333333"/>
                <w:sz w:val="18"/>
                <w:szCs w:val="18"/>
              </w:rPr>
              <w:t>7607</w:t>
            </w:r>
          </w:p>
        </w:tc>
        <w:tc>
          <w:tcPr>
            <w:tcW w:w="8220" w:type="dxa"/>
            <w:vAlign w:val="center"/>
            <w:hideMark/>
          </w:tcPr>
          <w:p w:rsidR="00AB19EB" w:rsidRPr="00ED7A87" w:rsidRDefault="00AB19EB" w:rsidP="00AB19EB">
            <w:pPr>
              <w:pStyle w:val="NormalWeb"/>
              <w:spacing w:before="0" w:beforeAutospacing="0" w:after="0" w:afterAutospacing="0"/>
              <w:rPr>
                <w:rFonts w:ascii="Arial Narrow" w:hAnsi="Arial Narrow"/>
                <w:color w:val="333333"/>
                <w:sz w:val="18"/>
                <w:szCs w:val="18"/>
              </w:rPr>
            </w:pPr>
            <w:r w:rsidRPr="00ED7A87">
              <w:rPr>
                <w:rStyle w:val="Strong"/>
                <w:rFonts w:ascii="Arial Narrow" w:hAnsi="Arial Narrow"/>
                <w:color w:val="333333"/>
                <w:sz w:val="18"/>
                <w:szCs w:val="18"/>
              </w:rPr>
              <w:t>Administrative Advice:</w:t>
            </w:r>
            <w:r>
              <w:rPr>
                <w:rFonts w:ascii="Arial Narrow" w:hAnsi="Arial Narrow"/>
                <w:color w:val="333333"/>
                <w:sz w:val="18"/>
                <w:szCs w:val="18"/>
              </w:rPr>
              <w:t xml:space="preserve"> </w:t>
            </w:r>
            <w:r w:rsidRPr="00ED7A87">
              <w:rPr>
                <w:rFonts w:ascii="Arial Narrow" w:hAnsi="Arial Narrow"/>
                <w:color w:val="333333"/>
                <w:sz w:val="18"/>
                <w:szCs w:val="18"/>
              </w:rPr>
              <w:t>No increase in the maximum number of repeats may be authorised.</w:t>
            </w:r>
          </w:p>
        </w:tc>
      </w:tr>
      <w:tr w:rsidR="005D7A69" w:rsidRPr="00ED7A87" w:rsidTr="00AB1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Align w:val="center"/>
          </w:tcPr>
          <w:p w:rsidR="005D7A69" w:rsidRDefault="005D7A69" w:rsidP="005D7A69">
            <w:pPr>
              <w:pStyle w:val="NormalWeb"/>
              <w:spacing w:before="0" w:beforeAutospacing="0" w:after="0" w:afterAutospacing="0"/>
              <w:jc w:val="center"/>
              <w:rPr>
                <w:rFonts w:ascii="Arial Narrow" w:hAnsi="Arial Narrow"/>
                <w:color w:val="333333"/>
                <w:sz w:val="18"/>
                <w:szCs w:val="18"/>
              </w:rPr>
            </w:pPr>
            <w:r>
              <w:rPr>
                <w:rFonts w:ascii="Arial Narrow" w:hAnsi="Arial Narrow"/>
                <w:color w:val="333333"/>
                <w:sz w:val="18"/>
                <w:szCs w:val="18"/>
              </w:rPr>
              <w:t>25071</w:t>
            </w:r>
          </w:p>
        </w:tc>
        <w:tc>
          <w:tcPr>
            <w:tcW w:w="8220" w:type="dxa"/>
            <w:vAlign w:val="center"/>
          </w:tcPr>
          <w:p w:rsidR="005D7A69" w:rsidRPr="00ED7A87" w:rsidRDefault="005D7A69" w:rsidP="005D7A69">
            <w:pPr>
              <w:pStyle w:val="NormalWeb"/>
              <w:spacing w:before="0" w:beforeAutospacing="0" w:after="0" w:afterAutospacing="0"/>
              <w:rPr>
                <w:rStyle w:val="Strong"/>
                <w:rFonts w:ascii="Arial Narrow" w:hAnsi="Arial Narrow"/>
                <w:color w:val="333333"/>
                <w:sz w:val="18"/>
                <w:szCs w:val="18"/>
              </w:rPr>
            </w:pPr>
            <w:r w:rsidRPr="00640440">
              <w:rPr>
                <w:rFonts w:ascii="Arial Narrow" w:hAnsi="Arial Narrow"/>
                <w:b/>
                <w:bCs/>
                <w:color w:val="333333"/>
                <w:sz w:val="18"/>
                <w:szCs w:val="18"/>
              </w:rPr>
              <w:t>Administrative Advice:</w:t>
            </w:r>
            <w:r>
              <w:rPr>
                <w:rFonts w:ascii="Arial Narrow" w:hAnsi="Arial Narrow"/>
                <w:b/>
                <w:bCs/>
                <w:color w:val="333333"/>
                <w:sz w:val="18"/>
                <w:szCs w:val="18"/>
              </w:rPr>
              <w:t xml:space="preserve"> </w:t>
            </w:r>
            <w:r w:rsidRPr="00640440">
              <w:rPr>
                <w:rFonts w:ascii="Arial Narrow" w:hAnsi="Arial Narrow"/>
                <w:bCs/>
                <w:color w:val="333333"/>
                <w:sz w:val="18"/>
                <w:szCs w:val="18"/>
              </w:rPr>
              <w:t xml:space="preserve">Patient should be treated with the recommended dose of </w:t>
            </w:r>
            <w:proofErr w:type="spellStart"/>
            <w:r w:rsidRPr="00640440">
              <w:rPr>
                <w:rFonts w:ascii="Arial Narrow" w:hAnsi="Arial Narrow"/>
                <w:bCs/>
                <w:color w:val="333333"/>
                <w:sz w:val="18"/>
                <w:szCs w:val="18"/>
              </w:rPr>
              <w:t>pembrolizumab</w:t>
            </w:r>
            <w:proofErr w:type="spellEnd"/>
            <w:r w:rsidRPr="00640440">
              <w:rPr>
                <w:rFonts w:ascii="Arial Narrow" w:hAnsi="Arial Narrow"/>
                <w:bCs/>
                <w:color w:val="333333"/>
                <w:sz w:val="18"/>
                <w:szCs w:val="18"/>
              </w:rPr>
              <w:t xml:space="preserve"> according to the TGA-approved Product Information.</w:t>
            </w:r>
          </w:p>
        </w:tc>
      </w:tr>
      <w:tr w:rsidR="005D7A69" w:rsidRPr="00ED7A87" w:rsidTr="00AB1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Align w:val="center"/>
            <w:hideMark/>
          </w:tcPr>
          <w:p w:rsidR="005D7A69" w:rsidRPr="00ED7A87" w:rsidRDefault="005D7A69" w:rsidP="005D7A69">
            <w:pPr>
              <w:pStyle w:val="NormalWeb"/>
              <w:spacing w:before="0" w:beforeAutospacing="0" w:after="0" w:afterAutospacing="0"/>
              <w:jc w:val="center"/>
              <w:rPr>
                <w:rFonts w:ascii="Arial Narrow" w:hAnsi="Arial Narrow"/>
                <w:color w:val="333333"/>
                <w:sz w:val="18"/>
                <w:szCs w:val="18"/>
              </w:rPr>
            </w:pPr>
            <w:r>
              <w:rPr>
                <w:rFonts w:ascii="Arial Narrow" w:hAnsi="Arial Narrow"/>
                <w:color w:val="333333"/>
                <w:sz w:val="18"/>
                <w:szCs w:val="18"/>
              </w:rPr>
              <w:t>8676</w:t>
            </w:r>
          </w:p>
        </w:tc>
        <w:tc>
          <w:tcPr>
            <w:tcW w:w="8220" w:type="dxa"/>
            <w:vAlign w:val="center"/>
            <w:hideMark/>
          </w:tcPr>
          <w:p w:rsidR="005D7A69" w:rsidRPr="00ED7A87" w:rsidRDefault="005D7A69" w:rsidP="005D7A69">
            <w:pPr>
              <w:pStyle w:val="NormalWeb"/>
              <w:spacing w:before="0" w:beforeAutospacing="0" w:after="0" w:afterAutospacing="0"/>
              <w:rPr>
                <w:rFonts w:ascii="Arial Narrow" w:hAnsi="Arial Narrow"/>
                <w:color w:val="333333"/>
                <w:sz w:val="18"/>
                <w:szCs w:val="18"/>
              </w:rPr>
            </w:pPr>
            <w:r w:rsidRPr="00ED7A87">
              <w:rPr>
                <w:rStyle w:val="Strong"/>
                <w:rFonts w:ascii="Arial Narrow" w:hAnsi="Arial Narrow"/>
                <w:color w:val="333333"/>
                <w:sz w:val="18"/>
                <w:szCs w:val="18"/>
              </w:rPr>
              <w:t>Indication:</w:t>
            </w:r>
            <w:r>
              <w:rPr>
                <w:rFonts w:ascii="Arial Narrow" w:hAnsi="Arial Narrow"/>
                <w:color w:val="333333"/>
                <w:sz w:val="18"/>
                <w:szCs w:val="18"/>
              </w:rPr>
              <w:t xml:space="preserve"> </w:t>
            </w:r>
            <w:proofErr w:type="spellStart"/>
            <w:r w:rsidRPr="00ED7A87">
              <w:rPr>
                <w:rFonts w:ascii="Arial Narrow" w:hAnsi="Arial Narrow"/>
                <w:color w:val="333333"/>
                <w:sz w:val="18"/>
                <w:szCs w:val="18"/>
              </w:rPr>
              <w:t>Unresectable</w:t>
            </w:r>
            <w:proofErr w:type="spellEnd"/>
            <w:r w:rsidRPr="00ED7A87">
              <w:rPr>
                <w:rFonts w:ascii="Arial Narrow" w:hAnsi="Arial Narrow"/>
                <w:color w:val="333333"/>
                <w:sz w:val="18"/>
                <w:szCs w:val="18"/>
              </w:rPr>
              <w:t xml:space="preserve"> Stage III or Stage IV malignant melanoma</w:t>
            </w:r>
          </w:p>
        </w:tc>
      </w:tr>
      <w:tr w:rsidR="005D7A69" w:rsidRPr="00ED7A87" w:rsidTr="00AB1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Align w:val="center"/>
            <w:hideMark/>
          </w:tcPr>
          <w:p w:rsidR="005D7A69" w:rsidRPr="00922F96" w:rsidRDefault="005D7A69" w:rsidP="005D7A69">
            <w:pPr>
              <w:jc w:val="center"/>
              <w:rPr>
                <w:rFonts w:ascii="Arial Narrow" w:hAnsi="Arial Narrow"/>
                <w:color w:val="FF00FF"/>
                <w:sz w:val="18"/>
                <w:szCs w:val="18"/>
              </w:rPr>
            </w:pPr>
            <w:r>
              <w:rPr>
                <w:rFonts w:ascii="Arial Narrow" w:hAnsi="Arial Narrow"/>
                <w:color w:val="FF00FF"/>
                <w:sz w:val="18"/>
                <w:szCs w:val="18"/>
              </w:rPr>
              <w:t>edit</w:t>
            </w:r>
          </w:p>
        </w:tc>
        <w:tc>
          <w:tcPr>
            <w:tcW w:w="8220" w:type="dxa"/>
            <w:vAlign w:val="center"/>
            <w:hideMark/>
          </w:tcPr>
          <w:p w:rsidR="005D7A69" w:rsidRPr="00922F96" w:rsidRDefault="005D7A69" w:rsidP="005D7A69">
            <w:pPr>
              <w:pStyle w:val="NormalWeb"/>
              <w:spacing w:before="0" w:beforeAutospacing="0" w:after="0" w:afterAutospacing="0"/>
              <w:rPr>
                <w:rFonts w:ascii="Arial Narrow" w:hAnsi="Arial Narrow"/>
                <w:i/>
                <w:color w:val="333333"/>
                <w:sz w:val="18"/>
                <w:szCs w:val="18"/>
              </w:rPr>
            </w:pPr>
            <w:r w:rsidRPr="00ED7A87">
              <w:rPr>
                <w:rStyle w:val="Strong"/>
                <w:rFonts w:ascii="Arial Narrow" w:hAnsi="Arial Narrow"/>
                <w:color w:val="333333"/>
                <w:sz w:val="18"/>
                <w:szCs w:val="18"/>
              </w:rPr>
              <w:t>Treatment Phase:</w:t>
            </w:r>
            <w:r>
              <w:rPr>
                <w:rStyle w:val="Strong"/>
                <w:rFonts w:ascii="Arial Narrow" w:hAnsi="Arial Narrow"/>
                <w:color w:val="333333"/>
                <w:sz w:val="18"/>
                <w:szCs w:val="18"/>
              </w:rPr>
              <w:t xml:space="preserve"> </w:t>
            </w:r>
            <w:r w:rsidRPr="00ED7A87">
              <w:rPr>
                <w:rFonts w:ascii="Arial Narrow" w:hAnsi="Arial Narrow"/>
                <w:color w:val="333333"/>
                <w:sz w:val="18"/>
                <w:szCs w:val="18"/>
              </w:rPr>
              <w:t>Initial treatment 1</w:t>
            </w:r>
            <w:r>
              <w:rPr>
                <w:rFonts w:ascii="Arial Narrow" w:hAnsi="Arial Narrow"/>
                <w:color w:val="333333"/>
                <w:sz w:val="18"/>
                <w:szCs w:val="18"/>
              </w:rPr>
              <w:t xml:space="preserve"> </w:t>
            </w:r>
            <w:r>
              <w:rPr>
                <w:rFonts w:ascii="Arial Narrow" w:hAnsi="Arial Narrow"/>
                <w:i/>
                <w:color w:val="333333"/>
                <w:sz w:val="18"/>
                <w:szCs w:val="18"/>
              </w:rPr>
              <w:t>– 3 weekly treatment regimen</w:t>
            </w:r>
          </w:p>
        </w:tc>
      </w:tr>
      <w:tr w:rsidR="005D7A69" w:rsidRPr="00ED7A87" w:rsidTr="00AB1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Align w:val="center"/>
            <w:hideMark/>
          </w:tcPr>
          <w:p w:rsidR="005D7A69" w:rsidRPr="00ED7A87" w:rsidRDefault="005D7A69" w:rsidP="005D7A69">
            <w:pPr>
              <w:pStyle w:val="NormalWeb"/>
              <w:spacing w:before="0" w:beforeAutospacing="0" w:after="0" w:afterAutospacing="0"/>
              <w:jc w:val="center"/>
              <w:rPr>
                <w:rFonts w:ascii="Arial Narrow" w:hAnsi="Arial Narrow"/>
                <w:color w:val="333333"/>
                <w:sz w:val="18"/>
                <w:szCs w:val="18"/>
              </w:rPr>
            </w:pPr>
            <w:r>
              <w:rPr>
                <w:rFonts w:ascii="Arial Narrow" w:hAnsi="Arial Narrow"/>
                <w:color w:val="333333"/>
                <w:sz w:val="18"/>
                <w:szCs w:val="18"/>
              </w:rPr>
              <w:t>9245</w:t>
            </w:r>
          </w:p>
        </w:tc>
        <w:tc>
          <w:tcPr>
            <w:tcW w:w="8220" w:type="dxa"/>
            <w:vAlign w:val="center"/>
            <w:hideMark/>
          </w:tcPr>
          <w:p w:rsidR="005D7A69" w:rsidRPr="00ED7A87" w:rsidRDefault="005D7A69" w:rsidP="005D7A69">
            <w:pPr>
              <w:pStyle w:val="NormalWeb"/>
              <w:spacing w:before="0" w:beforeAutospacing="0" w:after="0" w:afterAutospacing="0"/>
              <w:rPr>
                <w:rFonts w:ascii="Arial Narrow" w:hAnsi="Arial Narrow"/>
                <w:color w:val="333333"/>
                <w:sz w:val="18"/>
                <w:szCs w:val="18"/>
              </w:rPr>
            </w:pPr>
            <w:r w:rsidRPr="00ED7A87">
              <w:rPr>
                <w:rStyle w:val="Strong"/>
                <w:rFonts w:ascii="Arial Narrow" w:hAnsi="Arial Narrow"/>
                <w:color w:val="333333"/>
                <w:sz w:val="18"/>
                <w:szCs w:val="18"/>
              </w:rPr>
              <w:t>Clinical criteria:</w:t>
            </w:r>
          </w:p>
        </w:tc>
      </w:tr>
      <w:tr w:rsidR="005D7A69" w:rsidRPr="00ED7A87" w:rsidTr="00AB1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Align w:val="center"/>
            <w:hideMark/>
          </w:tcPr>
          <w:p w:rsidR="005D7A69" w:rsidRPr="00ED7A87" w:rsidRDefault="005D7A69" w:rsidP="005D7A69">
            <w:pPr>
              <w:pStyle w:val="NormalWeb"/>
              <w:spacing w:before="0" w:beforeAutospacing="0" w:after="0" w:afterAutospacing="0"/>
              <w:jc w:val="center"/>
              <w:rPr>
                <w:rFonts w:ascii="Arial Narrow" w:hAnsi="Arial Narrow"/>
                <w:color w:val="333333"/>
                <w:sz w:val="18"/>
                <w:szCs w:val="18"/>
              </w:rPr>
            </w:pPr>
            <w:r>
              <w:rPr>
                <w:rFonts w:ascii="Arial Narrow" w:hAnsi="Arial Narrow"/>
                <w:color w:val="333333"/>
                <w:sz w:val="18"/>
                <w:szCs w:val="18"/>
              </w:rPr>
              <w:t>9244</w:t>
            </w:r>
          </w:p>
        </w:tc>
        <w:tc>
          <w:tcPr>
            <w:tcW w:w="8220" w:type="dxa"/>
            <w:vAlign w:val="center"/>
            <w:hideMark/>
          </w:tcPr>
          <w:p w:rsidR="005D7A69" w:rsidRPr="00ED7A87" w:rsidRDefault="005D7A69" w:rsidP="005D7A69">
            <w:pPr>
              <w:rPr>
                <w:rFonts w:ascii="Arial Narrow" w:hAnsi="Arial Narrow"/>
                <w:color w:val="333333"/>
                <w:sz w:val="18"/>
                <w:szCs w:val="18"/>
              </w:rPr>
            </w:pPr>
            <w:r w:rsidRPr="00ED7A87">
              <w:rPr>
                <w:rFonts w:ascii="Arial Narrow" w:hAnsi="Arial Narrow"/>
                <w:color w:val="333333"/>
                <w:sz w:val="18"/>
                <w:szCs w:val="18"/>
              </w:rPr>
              <w:t>The condition must be positive for a BRAF V600 mutation</w:t>
            </w:r>
          </w:p>
        </w:tc>
      </w:tr>
      <w:tr w:rsidR="005D7A69" w:rsidRPr="00ED7A87" w:rsidTr="00AB1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Align w:val="center"/>
            <w:hideMark/>
          </w:tcPr>
          <w:p w:rsidR="005D7A69" w:rsidRPr="00ED7A87" w:rsidRDefault="005D7A69" w:rsidP="005D7A69">
            <w:pPr>
              <w:jc w:val="center"/>
              <w:rPr>
                <w:rFonts w:ascii="Arial Narrow" w:hAnsi="Arial Narrow"/>
                <w:color w:val="333333"/>
                <w:sz w:val="18"/>
                <w:szCs w:val="18"/>
              </w:rPr>
            </w:pPr>
          </w:p>
        </w:tc>
        <w:tc>
          <w:tcPr>
            <w:tcW w:w="8220" w:type="dxa"/>
            <w:vAlign w:val="center"/>
            <w:hideMark/>
          </w:tcPr>
          <w:p w:rsidR="005D7A69" w:rsidRPr="00ED7A87" w:rsidRDefault="005D7A69" w:rsidP="005D7A69">
            <w:pPr>
              <w:rPr>
                <w:rFonts w:ascii="Arial Narrow" w:hAnsi="Arial Narrow"/>
                <w:color w:val="333333"/>
                <w:sz w:val="18"/>
                <w:szCs w:val="18"/>
              </w:rPr>
            </w:pPr>
            <w:r w:rsidRPr="00ED7A87">
              <w:rPr>
                <w:rStyle w:val="Strong"/>
                <w:rFonts w:ascii="Arial Narrow" w:hAnsi="Arial Narrow"/>
                <w:color w:val="333333"/>
                <w:sz w:val="18"/>
                <w:szCs w:val="18"/>
              </w:rPr>
              <w:t>AND</w:t>
            </w:r>
          </w:p>
        </w:tc>
      </w:tr>
      <w:tr w:rsidR="005D7A69" w:rsidRPr="00ED7A87" w:rsidTr="00AB1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Align w:val="center"/>
            <w:hideMark/>
          </w:tcPr>
          <w:p w:rsidR="005D7A69" w:rsidRPr="00ED7A87" w:rsidRDefault="005D7A69" w:rsidP="005D7A69">
            <w:pPr>
              <w:pStyle w:val="NormalWeb"/>
              <w:spacing w:before="0" w:beforeAutospacing="0" w:after="0" w:afterAutospacing="0"/>
              <w:jc w:val="center"/>
              <w:rPr>
                <w:rFonts w:ascii="Arial Narrow" w:hAnsi="Arial Narrow"/>
                <w:color w:val="333333"/>
                <w:sz w:val="18"/>
                <w:szCs w:val="18"/>
              </w:rPr>
            </w:pPr>
            <w:r>
              <w:rPr>
                <w:rFonts w:ascii="Arial Narrow" w:hAnsi="Arial Narrow"/>
                <w:color w:val="333333"/>
                <w:sz w:val="18"/>
                <w:szCs w:val="18"/>
              </w:rPr>
              <w:t>24933</w:t>
            </w:r>
          </w:p>
        </w:tc>
        <w:tc>
          <w:tcPr>
            <w:tcW w:w="8220" w:type="dxa"/>
            <w:vAlign w:val="center"/>
            <w:hideMark/>
          </w:tcPr>
          <w:p w:rsidR="005D7A69" w:rsidRPr="00ED7A87" w:rsidRDefault="005D7A69" w:rsidP="005D7A69">
            <w:pPr>
              <w:pStyle w:val="NormalWeb"/>
              <w:spacing w:before="0" w:beforeAutospacing="0" w:after="0" w:afterAutospacing="0"/>
              <w:rPr>
                <w:rFonts w:ascii="Arial Narrow" w:hAnsi="Arial Narrow"/>
                <w:color w:val="333333"/>
                <w:sz w:val="18"/>
                <w:szCs w:val="18"/>
              </w:rPr>
            </w:pPr>
            <w:r w:rsidRPr="00ED7A87">
              <w:rPr>
                <w:rStyle w:val="Strong"/>
                <w:rFonts w:ascii="Arial Narrow" w:hAnsi="Arial Narrow"/>
                <w:color w:val="333333"/>
                <w:sz w:val="18"/>
                <w:szCs w:val="18"/>
              </w:rPr>
              <w:t>Clinical criteria:</w:t>
            </w:r>
          </w:p>
        </w:tc>
      </w:tr>
      <w:tr w:rsidR="005D7A69" w:rsidRPr="00ED7A87" w:rsidTr="00AB1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448"/>
        </w:trPr>
        <w:tc>
          <w:tcPr>
            <w:tcW w:w="847" w:type="dxa"/>
            <w:vAlign w:val="center"/>
            <w:hideMark/>
          </w:tcPr>
          <w:p w:rsidR="005D7A69" w:rsidRPr="00ED7A87" w:rsidRDefault="005D7A69" w:rsidP="005D7A69">
            <w:pPr>
              <w:pStyle w:val="NormalWeb"/>
              <w:spacing w:before="0" w:beforeAutospacing="0" w:after="0" w:afterAutospacing="0"/>
              <w:jc w:val="center"/>
              <w:rPr>
                <w:rFonts w:ascii="Arial Narrow" w:hAnsi="Arial Narrow"/>
                <w:color w:val="333333"/>
                <w:sz w:val="18"/>
                <w:szCs w:val="18"/>
              </w:rPr>
            </w:pPr>
            <w:r>
              <w:rPr>
                <w:rFonts w:ascii="Arial Narrow" w:hAnsi="Arial Narrow"/>
                <w:color w:val="333333"/>
                <w:sz w:val="18"/>
                <w:szCs w:val="18"/>
              </w:rPr>
              <w:t>24871</w:t>
            </w:r>
          </w:p>
        </w:tc>
        <w:tc>
          <w:tcPr>
            <w:tcW w:w="8220" w:type="dxa"/>
            <w:vAlign w:val="center"/>
            <w:hideMark/>
          </w:tcPr>
          <w:p w:rsidR="005D7A69" w:rsidRPr="00ED7A87" w:rsidRDefault="005D7A69" w:rsidP="005D7A69">
            <w:pPr>
              <w:rPr>
                <w:rFonts w:ascii="Arial Narrow" w:hAnsi="Arial Narrow"/>
                <w:color w:val="333333"/>
                <w:sz w:val="18"/>
                <w:szCs w:val="18"/>
              </w:rPr>
            </w:pPr>
            <w:r w:rsidRPr="00ED7A87">
              <w:rPr>
                <w:rFonts w:ascii="Arial Narrow" w:hAnsi="Arial Narrow"/>
                <w:color w:val="333333"/>
                <w:sz w:val="18"/>
                <w:szCs w:val="18"/>
              </w:rPr>
              <w:t xml:space="preserve">Patient must have progressed following treatment with a BRAF inhibitor (with or without a MEK inhibitor) in the </w:t>
            </w:r>
            <w:proofErr w:type="spellStart"/>
            <w:r w:rsidRPr="00ED7A87">
              <w:rPr>
                <w:rFonts w:ascii="Arial Narrow" w:hAnsi="Arial Narrow"/>
                <w:color w:val="333333"/>
                <w:sz w:val="18"/>
                <w:szCs w:val="18"/>
              </w:rPr>
              <w:t>unresectable</w:t>
            </w:r>
            <w:proofErr w:type="spellEnd"/>
            <w:r w:rsidRPr="00ED7A87">
              <w:rPr>
                <w:rFonts w:ascii="Arial Narrow" w:hAnsi="Arial Narrow"/>
                <w:color w:val="333333"/>
                <w:sz w:val="18"/>
                <w:szCs w:val="18"/>
              </w:rPr>
              <w:t xml:space="preserve"> or metastatic setting unless contraindicated or not tolerated according to the TGA approved Product Information; or</w:t>
            </w:r>
          </w:p>
        </w:tc>
      </w:tr>
      <w:tr w:rsidR="005D7A69" w:rsidRPr="00ED7A87" w:rsidTr="00AB1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348"/>
        </w:trPr>
        <w:tc>
          <w:tcPr>
            <w:tcW w:w="847" w:type="dxa"/>
            <w:vAlign w:val="center"/>
            <w:hideMark/>
          </w:tcPr>
          <w:p w:rsidR="005D7A69" w:rsidRPr="00ED7A87" w:rsidRDefault="005D7A69" w:rsidP="005D7A69">
            <w:pPr>
              <w:pStyle w:val="NormalWeb"/>
              <w:spacing w:before="0" w:beforeAutospacing="0" w:after="0" w:afterAutospacing="0"/>
              <w:jc w:val="center"/>
              <w:rPr>
                <w:rFonts w:ascii="Arial Narrow" w:hAnsi="Arial Narrow"/>
                <w:color w:val="333333"/>
                <w:sz w:val="18"/>
                <w:szCs w:val="18"/>
              </w:rPr>
            </w:pPr>
            <w:r>
              <w:rPr>
                <w:rFonts w:ascii="Arial Narrow" w:hAnsi="Arial Narrow"/>
                <w:color w:val="333333"/>
                <w:sz w:val="18"/>
                <w:szCs w:val="18"/>
              </w:rPr>
              <w:t>24934</w:t>
            </w:r>
          </w:p>
        </w:tc>
        <w:tc>
          <w:tcPr>
            <w:tcW w:w="8220" w:type="dxa"/>
            <w:vAlign w:val="center"/>
            <w:hideMark/>
          </w:tcPr>
          <w:p w:rsidR="005D7A69" w:rsidRPr="00ED7A87" w:rsidRDefault="005D7A69" w:rsidP="005D7A69">
            <w:pPr>
              <w:rPr>
                <w:rFonts w:ascii="Arial Narrow" w:hAnsi="Arial Narrow"/>
                <w:color w:val="333333"/>
                <w:sz w:val="18"/>
                <w:szCs w:val="18"/>
              </w:rPr>
            </w:pPr>
            <w:r w:rsidRPr="00ED7A87">
              <w:rPr>
                <w:rFonts w:ascii="Arial Narrow" w:hAnsi="Arial Narrow"/>
                <w:color w:val="333333"/>
                <w:sz w:val="18"/>
                <w:szCs w:val="18"/>
              </w:rPr>
              <w:t>Patient must have experienced disease recurrence whilst receiving a BRAF inhibitor with MEK inhibitor as an adjuvant treatment for resected Stage IIIB, IIIC or IIID melanoma; or</w:t>
            </w:r>
          </w:p>
        </w:tc>
      </w:tr>
      <w:tr w:rsidR="005D7A69" w:rsidRPr="00ED7A87" w:rsidTr="00AB1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170"/>
        </w:trPr>
        <w:tc>
          <w:tcPr>
            <w:tcW w:w="847" w:type="dxa"/>
            <w:vAlign w:val="center"/>
            <w:hideMark/>
          </w:tcPr>
          <w:p w:rsidR="005D7A69" w:rsidRPr="00ED7A87" w:rsidRDefault="005D7A69" w:rsidP="005D7A69">
            <w:pPr>
              <w:pStyle w:val="NormalWeb"/>
              <w:spacing w:before="0" w:beforeAutospacing="0" w:after="0" w:afterAutospacing="0"/>
              <w:jc w:val="center"/>
              <w:rPr>
                <w:rFonts w:ascii="Arial Narrow" w:hAnsi="Arial Narrow"/>
                <w:color w:val="333333"/>
                <w:sz w:val="18"/>
                <w:szCs w:val="18"/>
              </w:rPr>
            </w:pPr>
            <w:r>
              <w:rPr>
                <w:rFonts w:ascii="Arial Narrow" w:hAnsi="Arial Narrow"/>
                <w:color w:val="333333"/>
                <w:sz w:val="18"/>
                <w:szCs w:val="18"/>
              </w:rPr>
              <w:t>24935</w:t>
            </w:r>
          </w:p>
        </w:tc>
        <w:tc>
          <w:tcPr>
            <w:tcW w:w="8220" w:type="dxa"/>
            <w:vAlign w:val="center"/>
            <w:hideMark/>
          </w:tcPr>
          <w:p w:rsidR="005D7A69" w:rsidRPr="00ED7A87" w:rsidRDefault="005D7A69" w:rsidP="005D7A69">
            <w:pPr>
              <w:rPr>
                <w:rFonts w:ascii="Arial Narrow" w:hAnsi="Arial Narrow"/>
                <w:color w:val="333333"/>
                <w:sz w:val="18"/>
                <w:szCs w:val="18"/>
              </w:rPr>
            </w:pPr>
            <w:r w:rsidRPr="00ED7A87">
              <w:rPr>
                <w:rFonts w:ascii="Arial Narrow" w:hAnsi="Arial Narrow"/>
                <w:color w:val="333333"/>
                <w:sz w:val="18"/>
                <w:szCs w:val="18"/>
              </w:rPr>
              <w:t>Patient must have experienced disease recurrence within 6 months of completion of adjuvant BRAF inhibitor with MEK inhibitor treatment</w:t>
            </w:r>
          </w:p>
        </w:tc>
      </w:tr>
      <w:tr w:rsidR="005D7A69" w:rsidRPr="00ED7A87" w:rsidTr="00AB1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Align w:val="center"/>
          </w:tcPr>
          <w:p w:rsidR="005D7A69" w:rsidRPr="00ED7A87" w:rsidRDefault="005D7A69" w:rsidP="005D7A69">
            <w:pPr>
              <w:pStyle w:val="NormalWeb"/>
              <w:spacing w:before="0" w:beforeAutospacing="0" w:after="0" w:afterAutospacing="0"/>
              <w:jc w:val="center"/>
              <w:rPr>
                <w:rFonts w:ascii="Arial Narrow" w:hAnsi="Arial Narrow"/>
                <w:color w:val="333333"/>
                <w:sz w:val="18"/>
                <w:szCs w:val="18"/>
              </w:rPr>
            </w:pPr>
          </w:p>
        </w:tc>
        <w:tc>
          <w:tcPr>
            <w:tcW w:w="8220" w:type="dxa"/>
            <w:vAlign w:val="center"/>
          </w:tcPr>
          <w:p w:rsidR="005D7A69" w:rsidRPr="002E78C2" w:rsidRDefault="005D7A69" w:rsidP="005D7A69">
            <w:pPr>
              <w:rPr>
                <w:rFonts w:ascii="Arial Narrow" w:hAnsi="Arial Narrow"/>
                <w:b/>
                <w:i/>
                <w:color w:val="333333"/>
                <w:sz w:val="18"/>
                <w:szCs w:val="18"/>
              </w:rPr>
            </w:pPr>
            <w:r w:rsidRPr="002E78C2">
              <w:rPr>
                <w:rFonts w:ascii="Arial Narrow" w:hAnsi="Arial Narrow"/>
                <w:b/>
                <w:i/>
                <w:color w:val="333333"/>
                <w:sz w:val="18"/>
                <w:szCs w:val="18"/>
              </w:rPr>
              <w:t>AND</w:t>
            </w:r>
          </w:p>
        </w:tc>
      </w:tr>
      <w:tr w:rsidR="005D7A69" w:rsidRPr="00ED7A87" w:rsidTr="00AB1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Merge w:val="restart"/>
            <w:vAlign w:val="center"/>
          </w:tcPr>
          <w:p w:rsidR="005D7A69" w:rsidRPr="002E78C2" w:rsidRDefault="005D7A69" w:rsidP="005D7A69">
            <w:pPr>
              <w:pStyle w:val="NormalWeb"/>
              <w:spacing w:before="0" w:beforeAutospacing="0" w:after="0" w:afterAutospacing="0"/>
              <w:jc w:val="center"/>
              <w:rPr>
                <w:rFonts w:ascii="Arial Narrow" w:hAnsi="Arial Narrow"/>
                <w:color w:val="FF00FF"/>
                <w:sz w:val="18"/>
                <w:szCs w:val="18"/>
              </w:rPr>
            </w:pPr>
            <w:r w:rsidRPr="002E78C2">
              <w:rPr>
                <w:rFonts w:ascii="Arial Narrow" w:hAnsi="Arial Narrow"/>
                <w:color w:val="FF00FF"/>
                <w:sz w:val="18"/>
                <w:szCs w:val="18"/>
              </w:rPr>
              <w:t>insert</w:t>
            </w:r>
          </w:p>
          <w:p w:rsidR="005D7A69" w:rsidRPr="00ED7A87" w:rsidRDefault="005D7A69" w:rsidP="005D7A69">
            <w:pPr>
              <w:pStyle w:val="NormalWeb"/>
              <w:spacing w:before="0" w:beforeAutospacing="0" w:after="0" w:afterAutospacing="0"/>
              <w:jc w:val="center"/>
              <w:rPr>
                <w:rFonts w:ascii="Arial Narrow" w:hAnsi="Arial Narrow"/>
                <w:color w:val="333333"/>
                <w:sz w:val="18"/>
                <w:szCs w:val="18"/>
              </w:rPr>
            </w:pPr>
            <w:r>
              <w:rPr>
                <w:rFonts w:ascii="Arial Narrow" w:hAnsi="Arial Narrow"/>
                <w:color w:val="333333"/>
                <w:sz w:val="18"/>
                <w:szCs w:val="18"/>
              </w:rPr>
              <w:t>NEW</w:t>
            </w:r>
          </w:p>
        </w:tc>
        <w:tc>
          <w:tcPr>
            <w:tcW w:w="8220" w:type="dxa"/>
            <w:vAlign w:val="center"/>
          </w:tcPr>
          <w:p w:rsidR="005D7A69" w:rsidRPr="002E78C2" w:rsidRDefault="005D7A69" w:rsidP="005D7A69">
            <w:pPr>
              <w:rPr>
                <w:rFonts w:ascii="Arial Narrow" w:hAnsi="Arial Narrow"/>
                <w:b/>
                <w:i/>
                <w:color w:val="333333"/>
                <w:sz w:val="18"/>
                <w:szCs w:val="18"/>
              </w:rPr>
            </w:pPr>
            <w:r w:rsidRPr="002E78C2">
              <w:rPr>
                <w:rFonts w:ascii="Arial Narrow" w:hAnsi="Arial Narrow"/>
                <w:b/>
                <w:i/>
                <w:color w:val="333333"/>
                <w:sz w:val="18"/>
                <w:szCs w:val="18"/>
              </w:rPr>
              <w:t>Clinical criteria:</w:t>
            </w:r>
          </w:p>
        </w:tc>
      </w:tr>
      <w:tr w:rsidR="005D7A69" w:rsidRPr="00ED7A87" w:rsidTr="00AB1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Merge/>
            <w:vAlign w:val="center"/>
          </w:tcPr>
          <w:p w:rsidR="005D7A69" w:rsidRPr="00ED7A87" w:rsidRDefault="005D7A69" w:rsidP="005D7A69">
            <w:pPr>
              <w:pStyle w:val="NormalWeb"/>
              <w:spacing w:before="0" w:beforeAutospacing="0" w:after="0" w:afterAutospacing="0"/>
              <w:jc w:val="center"/>
              <w:rPr>
                <w:rFonts w:ascii="Arial Narrow" w:hAnsi="Arial Narrow"/>
                <w:color w:val="333333"/>
                <w:sz w:val="18"/>
                <w:szCs w:val="18"/>
              </w:rPr>
            </w:pPr>
          </w:p>
        </w:tc>
        <w:tc>
          <w:tcPr>
            <w:tcW w:w="8220" w:type="dxa"/>
            <w:vAlign w:val="center"/>
          </w:tcPr>
          <w:p w:rsidR="005D7A69" w:rsidRPr="002E78C2" w:rsidRDefault="005D7A69" w:rsidP="005D7A69">
            <w:pPr>
              <w:rPr>
                <w:rFonts w:ascii="Arial Narrow" w:hAnsi="Arial Narrow"/>
                <w:i/>
                <w:color w:val="333333"/>
                <w:sz w:val="18"/>
                <w:szCs w:val="18"/>
              </w:rPr>
            </w:pPr>
            <w:r w:rsidRPr="002E78C2">
              <w:rPr>
                <w:rFonts w:ascii="Arial Narrow" w:hAnsi="Arial Narrow"/>
                <w:i/>
                <w:color w:val="333333"/>
                <w:sz w:val="18"/>
                <w:szCs w:val="18"/>
              </w:rPr>
              <w:t>Patient must not have been treated with an adjuvant programmed cell death-1 (PD-1) inhibitor for resected Stage IIIB, IIIC, IIID or IV melanoma; or</w:t>
            </w:r>
          </w:p>
        </w:tc>
      </w:tr>
      <w:tr w:rsidR="005D7A69" w:rsidRPr="00ED7A87" w:rsidTr="00AB1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Merge/>
            <w:vAlign w:val="center"/>
          </w:tcPr>
          <w:p w:rsidR="005D7A69" w:rsidRPr="00ED7A87" w:rsidRDefault="005D7A69" w:rsidP="005D7A69">
            <w:pPr>
              <w:pStyle w:val="NormalWeb"/>
              <w:spacing w:before="0" w:beforeAutospacing="0" w:after="0" w:afterAutospacing="0"/>
              <w:jc w:val="center"/>
              <w:rPr>
                <w:rFonts w:ascii="Arial Narrow" w:hAnsi="Arial Narrow"/>
                <w:color w:val="333333"/>
                <w:sz w:val="18"/>
                <w:szCs w:val="18"/>
              </w:rPr>
            </w:pPr>
          </w:p>
        </w:tc>
        <w:tc>
          <w:tcPr>
            <w:tcW w:w="8220" w:type="dxa"/>
            <w:vAlign w:val="center"/>
          </w:tcPr>
          <w:p w:rsidR="005D7A69" w:rsidRPr="002E78C2" w:rsidRDefault="005D7A69" w:rsidP="005D7A69">
            <w:pPr>
              <w:rPr>
                <w:rFonts w:ascii="Arial Narrow" w:hAnsi="Arial Narrow"/>
                <w:i/>
                <w:color w:val="333333"/>
                <w:sz w:val="18"/>
                <w:szCs w:val="18"/>
              </w:rPr>
            </w:pPr>
            <w:r w:rsidRPr="002E78C2">
              <w:rPr>
                <w:rFonts w:ascii="Arial Narrow" w:hAnsi="Arial Narrow"/>
                <w:i/>
                <w:color w:val="333333"/>
                <w:sz w:val="18"/>
                <w:szCs w:val="18"/>
              </w:rPr>
              <w:t xml:space="preserve">Patient must have experienced disease recurrence after at least 6 months from completion of an adjuvant PD-1 inhibitor for resected Stage IIIB, IIIC, IIID or IV melanoma, followed by disease progression after treatment with a BRAF inhibitor (with or without MEK inhibitor) in the </w:t>
            </w:r>
            <w:proofErr w:type="spellStart"/>
            <w:r w:rsidRPr="002E78C2">
              <w:rPr>
                <w:rFonts w:ascii="Arial Narrow" w:hAnsi="Arial Narrow"/>
                <w:i/>
                <w:color w:val="333333"/>
                <w:sz w:val="18"/>
                <w:szCs w:val="18"/>
              </w:rPr>
              <w:t>unresectable</w:t>
            </w:r>
            <w:proofErr w:type="spellEnd"/>
            <w:r w:rsidRPr="002E78C2">
              <w:rPr>
                <w:rFonts w:ascii="Arial Narrow" w:hAnsi="Arial Narrow"/>
                <w:i/>
                <w:color w:val="333333"/>
                <w:sz w:val="18"/>
                <w:szCs w:val="18"/>
              </w:rPr>
              <w:t xml:space="preserve"> or metastatic setting unless contraindicated or not tolerated according to the TGA approved Product Information</w:t>
            </w:r>
          </w:p>
        </w:tc>
      </w:tr>
      <w:tr w:rsidR="005D7A69" w:rsidRPr="00ED7A87" w:rsidTr="00AB1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Align w:val="center"/>
            <w:hideMark/>
          </w:tcPr>
          <w:p w:rsidR="005D7A69" w:rsidRPr="00ED7A87" w:rsidRDefault="005D7A69" w:rsidP="005D7A69">
            <w:pPr>
              <w:jc w:val="center"/>
              <w:rPr>
                <w:rFonts w:ascii="Arial Narrow" w:hAnsi="Arial Narrow"/>
                <w:color w:val="333333"/>
                <w:sz w:val="18"/>
                <w:szCs w:val="18"/>
              </w:rPr>
            </w:pPr>
          </w:p>
        </w:tc>
        <w:tc>
          <w:tcPr>
            <w:tcW w:w="8220" w:type="dxa"/>
            <w:vAlign w:val="center"/>
            <w:hideMark/>
          </w:tcPr>
          <w:p w:rsidR="005D7A69" w:rsidRPr="00ED7A87" w:rsidRDefault="005D7A69" w:rsidP="005D7A69">
            <w:pPr>
              <w:rPr>
                <w:rFonts w:ascii="Arial Narrow" w:hAnsi="Arial Narrow"/>
                <w:color w:val="333333"/>
                <w:sz w:val="18"/>
                <w:szCs w:val="18"/>
              </w:rPr>
            </w:pPr>
            <w:r w:rsidRPr="00ED7A87">
              <w:rPr>
                <w:rStyle w:val="Strong"/>
                <w:rFonts w:ascii="Arial Narrow" w:hAnsi="Arial Narrow"/>
                <w:color w:val="333333"/>
                <w:sz w:val="18"/>
                <w:szCs w:val="18"/>
              </w:rPr>
              <w:t>AND</w:t>
            </w:r>
          </w:p>
        </w:tc>
      </w:tr>
      <w:tr w:rsidR="005D7A69" w:rsidRPr="00ED7A87" w:rsidTr="00AB1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Align w:val="center"/>
            <w:hideMark/>
          </w:tcPr>
          <w:p w:rsidR="005D7A69" w:rsidRPr="00ED7A87" w:rsidRDefault="005D7A69" w:rsidP="005D7A69">
            <w:pPr>
              <w:pStyle w:val="NormalWeb"/>
              <w:spacing w:before="0" w:beforeAutospacing="0" w:after="0" w:afterAutospacing="0"/>
              <w:jc w:val="center"/>
              <w:rPr>
                <w:rFonts w:ascii="Arial Narrow" w:hAnsi="Arial Narrow"/>
                <w:color w:val="333333"/>
                <w:sz w:val="18"/>
                <w:szCs w:val="18"/>
              </w:rPr>
            </w:pPr>
            <w:r>
              <w:rPr>
                <w:rFonts w:ascii="Arial Narrow" w:hAnsi="Arial Narrow"/>
                <w:color w:val="333333"/>
                <w:sz w:val="18"/>
                <w:szCs w:val="18"/>
              </w:rPr>
              <w:t>24876</w:t>
            </w:r>
          </w:p>
        </w:tc>
        <w:tc>
          <w:tcPr>
            <w:tcW w:w="8220" w:type="dxa"/>
            <w:vAlign w:val="center"/>
            <w:hideMark/>
          </w:tcPr>
          <w:p w:rsidR="005D7A69" w:rsidRPr="00ED7A87" w:rsidRDefault="005D7A69" w:rsidP="005D7A69">
            <w:pPr>
              <w:pStyle w:val="NormalWeb"/>
              <w:spacing w:before="0" w:beforeAutospacing="0" w:after="0" w:afterAutospacing="0"/>
              <w:rPr>
                <w:rFonts w:ascii="Arial Narrow" w:hAnsi="Arial Narrow"/>
                <w:color w:val="333333"/>
                <w:sz w:val="18"/>
                <w:szCs w:val="18"/>
              </w:rPr>
            </w:pPr>
            <w:r w:rsidRPr="00ED7A87">
              <w:rPr>
                <w:rStyle w:val="Strong"/>
                <w:rFonts w:ascii="Arial Narrow" w:hAnsi="Arial Narrow"/>
                <w:color w:val="333333"/>
                <w:sz w:val="18"/>
                <w:szCs w:val="18"/>
              </w:rPr>
              <w:t>Clinical criteria:</w:t>
            </w:r>
          </w:p>
        </w:tc>
      </w:tr>
      <w:tr w:rsidR="005D7A69" w:rsidRPr="00ED7A87" w:rsidTr="00AB1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Align w:val="center"/>
            <w:hideMark/>
          </w:tcPr>
          <w:p w:rsidR="005D7A69" w:rsidRPr="00ED7A87" w:rsidRDefault="005D7A69" w:rsidP="005D7A69">
            <w:pPr>
              <w:pStyle w:val="NormalWeb"/>
              <w:spacing w:before="0" w:beforeAutospacing="0" w:after="0" w:afterAutospacing="0"/>
              <w:jc w:val="center"/>
              <w:rPr>
                <w:rFonts w:ascii="Arial Narrow" w:hAnsi="Arial Narrow"/>
                <w:color w:val="333333"/>
                <w:sz w:val="18"/>
                <w:szCs w:val="18"/>
              </w:rPr>
            </w:pPr>
            <w:r>
              <w:rPr>
                <w:rFonts w:ascii="Arial Narrow" w:hAnsi="Arial Narrow"/>
                <w:color w:val="333333"/>
                <w:sz w:val="18"/>
                <w:szCs w:val="18"/>
              </w:rPr>
              <w:t>24875</w:t>
            </w:r>
          </w:p>
        </w:tc>
        <w:tc>
          <w:tcPr>
            <w:tcW w:w="8220" w:type="dxa"/>
            <w:vAlign w:val="center"/>
            <w:hideMark/>
          </w:tcPr>
          <w:p w:rsidR="005D7A69" w:rsidRPr="00ED7A87" w:rsidRDefault="005D7A69" w:rsidP="005D7A69">
            <w:pPr>
              <w:rPr>
                <w:rFonts w:ascii="Arial Narrow" w:hAnsi="Arial Narrow"/>
                <w:color w:val="333333"/>
                <w:sz w:val="18"/>
                <w:szCs w:val="18"/>
              </w:rPr>
            </w:pPr>
            <w:r w:rsidRPr="00ED7A87">
              <w:rPr>
                <w:rFonts w:ascii="Arial Narrow" w:hAnsi="Arial Narrow"/>
                <w:color w:val="333333"/>
                <w:sz w:val="18"/>
                <w:szCs w:val="18"/>
              </w:rPr>
              <w:t xml:space="preserve">Patient must not have received prior treatment with </w:t>
            </w:r>
            <w:proofErr w:type="spellStart"/>
            <w:r w:rsidRPr="00ED7A87">
              <w:rPr>
                <w:rFonts w:ascii="Arial Narrow" w:hAnsi="Arial Narrow"/>
                <w:color w:val="333333"/>
                <w:sz w:val="18"/>
                <w:szCs w:val="18"/>
              </w:rPr>
              <w:t>ipilimumab</w:t>
            </w:r>
            <w:proofErr w:type="spellEnd"/>
            <w:r w:rsidRPr="00ED7A87">
              <w:rPr>
                <w:rFonts w:ascii="Arial Narrow" w:hAnsi="Arial Narrow"/>
                <w:color w:val="333333"/>
                <w:sz w:val="18"/>
                <w:szCs w:val="18"/>
              </w:rPr>
              <w:t xml:space="preserve"> or a PD-1 (programmed cell death-1) inhibitor for the treatment of </w:t>
            </w:r>
            <w:proofErr w:type="spellStart"/>
            <w:r w:rsidRPr="00ED7A87">
              <w:rPr>
                <w:rFonts w:ascii="Arial Narrow" w:hAnsi="Arial Narrow"/>
                <w:color w:val="333333"/>
                <w:sz w:val="18"/>
                <w:szCs w:val="18"/>
              </w:rPr>
              <w:t>unresectable</w:t>
            </w:r>
            <w:proofErr w:type="spellEnd"/>
            <w:r w:rsidRPr="00ED7A87">
              <w:rPr>
                <w:rFonts w:ascii="Arial Narrow" w:hAnsi="Arial Narrow"/>
                <w:color w:val="333333"/>
                <w:sz w:val="18"/>
                <w:szCs w:val="18"/>
              </w:rPr>
              <w:t xml:space="preserve"> Stage III or Stage IV malignant melanoma</w:t>
            </w:r>
          </w:p>
        </w:tc>
      </w:tr>
      <w:tr w:rsidR="005D7A69" w:rsidRPr="00ED7A87" w:rsidTr="00AB1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Align w:val="center"/>
            <w:hideMark/>
          </w:tcPr>
          <w:p w:rsidR="005D7A69" w:rsidRPr="00ED7A87" w:rsidRDefault="005D7A69" w:rsidP="005D7A69">
            <w:pPr>
              <w:jc w:val="center"/>
              <w:rPr>
                <w:rFonts w:ascii="Arial Narrow" w:hAnsi="Arial Narrow"/>
                <w:color w:val="333333"/>
                <w:sz w:val="18"/>
                <w:szCs w:val="18"/>
              </w:rPr>
            </w:pPr>
          </w:p>
        </w:tc>
        <w:tc>
          <w:tcPr>
            <w:tcW w:w="8220" w:type="dxa"/>
            <w:vAlign w:val="center"/>
            <w:hideMark/>
          </w:tcPr>
          <w:p w:rsidR="005D7A69" w:rsidRPr="00ED7A87" w:rsidRDefault="005D7A69" w:rsidP="005D7A69">
            <w:pPr>
              <w:rPr>
                <w:rFonts w:ascii="Arial Narrow" w:hAnsi="Arial Narrow"/>
                <w:color w:val="333333"/>
                <w:sz w:val="18"/>
                <w:szCs w:val="18"/>
              </w:rPr>
            </w:pPr>
            <w:r w:rsidRPr="00ED7A87">
              <w:rPr>
                <w:rStyle w:val="Strong"/>
                <w:rFonts w:ascii="Arial Narrow" w:hAnsi="Arial Narrow"/>
                <w:color w:val="333333"/>
                <w:sz w:val="18"/>
                <w:szCs w:val="18"/>
              </w:rPr>
              <w:t>AND</w:t>
            </w:r>
          </w:p>
        </w:tc>
      </w:tr>
      <w:tr w:rsidR="005D7A69" w:rsidRPr="00ED7A87" w:rsidTr="00AB1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Align w:val="center"/>
            <w:hideMark/>
          </w:tcPr>
          <w:p w:rsidR="005D7A69" w:rsidRPr="00ED7A87" w:rsidRDefault="005D7A69" w:rsidP="005D7A69">
            <w:pPr>
              <w:pStyle w:val="NormalWeb"/>
              <w:spacing w:before="0" w:beforeAutospacing="0" w:after="0" w:afterAutospacing="0"/>
              <w:jc w:val="center"/>
              <w:rPr>
                <w:rFonts w:ascii="Arial Narrow" w:hAnsi="Arial Narrow"/>
                <w:color w:val="333333"/>
                <w:sz w:val="18"/>
                <w:szCs w:val="18"/>
              </w:rPr>
            </w:pPr>
            <w:r>
              <w:rPr>
                <w:rFonts w:ascii="Arial Narrow" w:hAnsi="Arial Narrow"/>
                <w:color w:val="333333"/>
                <w:sz w:val="18"/>
                <w:szCs w:val="18"/>
              </w:rPr>
              <w:t>7890</w:t>
            </w:r>
          </w:p>
        </w:tc>
        <w:tc>
          <w:tcPr>
            <w:tcW w:w="8220" w:type="dxa"/>
            <w:vAlign w:val="center"/>
            <w:hideMark/>
          </w:tcPr>
          <w:p w:rsidR="005D7A69" w:rsidRPr="00ED7A87" w:rsidRDefault="005D7A69" w:rsidP="005D7A69">
            <w:pPr>
              <w:pStyle w:val="NormalWeb"/>
              <w:spacing w:before="0" w:beforeAutospacing="0" w:after="0" w:afterAutospacing="0"/>
              <w:rPr>
                <w:rFonts w:ascii="Arial Narrow" w:hAnsi="Arial Narrow"/>
                <w:color w:val="333333"/>
                <w:sz w:val="18"/>
                <w:szCs w:val="18"/>
              </w:rPr>
            </w:pPr>
            <w:r w:rsidRPr="00ED7A87">
              <w:rPr>
                <w:rStyle w:val="Strong"/>
                <w:rFonts w:ascii="Arial Narrow" w:hAnsi="Arial Narrow"/>
                <w:color w:val="333333"/>
                <w:sz w:val="18"/>
                <w:szCs w:val="18"/>
              </w:rPr>
              <w:t>Clinical criteria:</w:t>
            </w:r>
          </w:p>
        </w:tc>
      </w:tr>
      <w:tr w:rsidR="005D7A69" w:rsidRPr="00ED7A87" w:rsidTr="00AB1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Align w:val="center"/>
            <w:hideMark/>
          </w:tcPr>
          <w:p w:rsidR="005D7A69" w:rsidRPr="00ED7A87" w:rsidRDefault="005D7A69" w:rsidP="005D7A69">
            <w:pPr>
              <w:pStyle w:val="NormalWeb"/>
              <w:spacing w:before="0" w:beforeAutospacing="0" w:after="0" w:afterAutospacing="0"/>
              <w:jc w:val="center"/>
              <w:rPr>
                <w:rFonts w:ascii="Arial Narrow" w:hAnsi="Arial Narrow"/>
                <w:color w:val="333333"/>
                <w:sz w:val="18"/>
                <w:szCs w:val="18"/>
              </w:rPr>
            </w:pPr>
            <w:r>
              <w:rPr>
                <w:rFonts w:ascii="Arial Narrow" w:hAnsi="Arial Narrow"/>
                <w:color w:val="333333"/>
                <w:sz w:val="18"/>
                <w:szCs w:val="18"/>
              </w:rPr>
              <w:t>7889</w:t>
            </w:r>
          </w:p>
        </w:tc>
        <w:tc>
          <w:tcPr>
            <w:tcW w:w="8220" w:type="dxa"/>
            <w:vAlign w:val="center"/>
            <w:hideMark/>
          </w:tcPr>
          <w:p w:rsidR="005D7A69" w:rsidRPr="00ED7A87" w:rsidRDefault="005D7A69" w:rsidP="005D7A69">
            <w:pPr>
              <w:rPr>
                <w:rFonts w:ascii="Arial Narrow" w:hAnsi="Arial Narrow"/>
                <w:color w:val="333333"/>
                <w:sz w:val="18"/>
                <w:szCs w:val="18"/>
              </w:rPr>
            </w:pPr>
            <w:r w:rsidRPr="00ED7A87">
              <w:rPr>
                <w:rFonts w:ascii="Arial Narrow" w:hAnsi="Arial Narrow"/>
                <w:color w:val="333333"/>
                <w:sz w:val="18"/>
                <w:szCs w:val="18"/>
              </w:rPr>
              <w:t>The treatment must be the sole PBS-subsidised therapy for this condition</w:t>
            </w:r>
          </w:p>
        </w:tc>
      </w:tr>
      <w:tr w:rsidR="005D7A69" w:rsidRPr="00ED7A87" w:rsidTr="00AB1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Align w:val="center"/>
            <w:hideMark/>
          </w:tcPr>
          <w:p w:rsidR="005D7A69" w:rsidRPr="00ED7A87" w:rsidRDefault="005D7A69" w:rsidP="005D7A69">
            <w:pPr>
              <w:jc w:val="center"/>
              <w:rPr>
                <w:rFonts w:ascii="Arial Narrow" w:hAnsi="Arial Narrow"/>
                <w:color w:val="333333"/>
                <w:sz w:val="18"/>
                <w:szCs w:val="18"/>
              </w:rPr>
            </w:pPr>
          </w:p>
        </w:tc>
        <w:tc>
          <w:tcPr>
            <w:tcW w:w="8220" w:type="dxa"/>
            <w:vAlign w:val="center"/>
            <w:hideMark/>
          </w:tcPr>
          <w:p w:rsidR="005D7A69" w:rsidRPr="00ED7A87" w:rsidRDefault="005D7A69" w:rsidP="005D7A69">
            <w:pPr>
              <w:rPr>
                <w:rFonts w:ascii="Arial Narrow" w:hAnsi="Arial Narrow"/>
                <w:color w:val="333333"/>
                <w:sz w:val="18"/>
                <w:szCs w:val="18"/>
              </w:rPr>
            </w:pPr>
            <w:r w:rsidRPr="00ED7A87">
              <w:rPr>
                <w:rStyle w:val="Strong"/>
                <w:rFonts w:ascii="Arial Narrow" w:hAnsi="Arial Narrow"/>
                <w:color w:val="333333"/>
                <w:sz w:val="18"/>
                <w:szCs w:val="18"/>
              </w:rPr>
              <w:t>AND</w:t>
            </w:r>
          </w:p>
        </w:tc>
      </w:tr>
      <w:tr w:rsidR="005D7A69" w:rsidRPr="00ED7A87" w:rsidTr="00AB1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Align w:val="center"/>
            <w:hideMark/>
          </w:tcPr>
          <w:p w:rsidR="005D7A69" w:rsidRPr="00ED7A87" w:rsidRDefault="005D7A69" w:rsidP="005D7A69">
            <w:pPr>
              <w:pStyle w:val="NormalWeb"/>
              <w:spacing w:before="0" w:beforeAutospacing="0" w:after="0" w:afterAutospacing="0"/>
              <w:jc w:val="center"/>
              <w:rPr>
                <w:rFonts w:ascii="Arial Narrow" w:hAnsi="Arial Narrow"/>
                <w:color w:val="333333"/>
                <w:sz w:val="18"/>
                <w:szCs w:val="18"/>
              </w:rPr>
            </w:pPr>
            <w:r>
              <w:rPr>
                <w:rFonts w:ascii="Arial Narrow" w:hAnsi="Arial Narrow"/>
                <w:color w:val="333333"/>
                <w:sz w:val="18"/>
                <w:szCs w:val="18"/>
              </w:rPr>
              <w:t>25069</w:t>
            </w:r>
          </w:p>
        </w:tc>
        <w:tc>
          <w:tcPr>
            <w:tcW w:w="8220" w:type="dxa"/>
            <w:vAlign w:val="center"/>
            <w:hideMark/>
          </w:tcPr>
          <w:p w:rsidR="005D7A69" w:rsidRPr="00ED7A87" w:rsidRDefault="005D7A69" w:rsidP="005D7A69">
            <w:pPr>
              <w:pStyle w:val="NormalWeb"/>
              <w:spacing w:before="0" w:beforeAutospacing="0" w:after="0" w:afterAutospacing="0"/>
              <w:rPr>
                <w:rFonts w:ascii="Arial Narrow" w:hAnsi="Arial Narrow"/>
                <w:color w:val="333333"/>
                <w:sz w:val="18"/>
                <w:szCs w:val="18"/>
              </w:rPr>
            </w:pPr>
            <w:r w:rsidRPr="00ED7A87">
              <w:rPr>
                <w:rStyle w:val="Strong"/>
                <w:rFonts w:ascii="Arial Narrow" w:hAnsi="Arial Narrow"/>
                <w:color w:val="333333"/>
                <w:sz w:val="18"/>
                <w:szCs w:val="18"/>
              </w:rPr>
              <w:t>Clinical criteria:</w:t>
            </w:r>
          </w:p>
        </w:tc>
      </w:tr>
      <w:tr w:rsidR="005D7A69" w:rsidRPr="00ED7A87" w:rsidTr="00AB1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259"/>
        </w:trPr>
        <w:tc>
          <w:tcPr>
            <w:tcW w:w="847" w:type="dxa"/>
            <w:vAlign w:val="center"/>
            <w:hideMark/>
          </w:tcPr>
          <w:p w:rsidR="005D7A69" w:rsidRPr="00ED7A87" w:rsidRDefault="005D7A69" w:rsidP="005D7A69">
            <w:pPr>
              <w:pStyle w:val="NormalWeb"/>
              <w:spacing w:before="0" w:beforeAutospacing="0" w:after="0" w:afterAutospacing="0"/>
              <w:jc w:val="center"/>
              <w:rPr>
                <w:rFonts w:ascii="Arial Narrow" w:hAnsi="Arial Narrow"/>
                <w:color w:val="333333"/>
                <w:sz w:val="18"/>
                <w:szCs w:val="18"/>
              </w:rPr>
            </w:pPr>
            <w:r>
              <w:rPr>
                <w:rFonts w:ascii="Arial Narrow" w:hAnsi="Arial Narrow"/>
                <w:color w:val="333333"/>
                <w:sz w:val="18"/>
                <w:szCs w:val="18"/>
              </w:rPr>
              <w:t>25068</w:t>
            </w:r>
          </w:p>
        </w:tc>
        <w:tc>
          <w:tcPr>
            <w:tcW w:w="8220" w:type="dxa"/>
            <w:vAlign w:val="center"/>
            <w:hideMark/>
          </w:tcPr>
          <w:p w:rsidR="005D7A69" w:rsidRPr="00ED7A87" w:rsidRDefault="005D7A69" w:rsidP="005D7A69">
            <w:pPr>
              <w:rPr>
                <w:rFonts w:ascii="Arial Narrow" w:hAnsi="Arial Narrow"/>
                <w:color w:val="333333"/>
                <w:sz w:val="18"/>
                <w:szCs w:val="18"/>
              </w:rPr>
            </w:pPr>
            <w:r w:rsidRPr="00F87996">
              <w:rPr>
                <w:rFonts w:ascii="Arial Narrow" w:hAnsi="Arial Narrow"/>
                <w:color w:val="333333"/>
                <w:sz w:val="18"/>
                <w:szCs w:val="18"/>
              </w:rPr>
              <w:t>The treatment must not exceed a total of 6 doses under this restriction</w:t>
            </w:r>
          </w:p>
        </w:tc>
      </w:tr>
      <w:tr w:rsidR="005D7A69" w:rsidRPr="002E067B" w:rsidTr="00AB1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Align w:val="center"/>
            <w:hideMark/>
          </w:tcPr>
          <w:p w:rsidR="005D7A69" w:rsidRPr="002E067B" w:rsidRDefault="005D7A69" w:rsidP="005D7A69">
            <w:pPr>
              <w:pStyle w:val="NormalWeb"/>
              <w:spacing w:before="0" w:beforeAutospacing="0" w:after="0" w:afterAutospacing="0"/>
              <w:jc w:val="center"/>
              <w:rPr>
                <w:rFonts w:ascii="Arial Narrow" w:hAnsi="Arial Narrow"/>
                <w:strike/>
                <w:color w:val="333333"/>
                <w:sz w:val="18"/>
                <w:szCs w:val="18"/>
              </w:rPr>
            </w:pPr>
            <w:r>
              <w:rPr>
                <w:rFonts w:ascii="Arial Narrow" w:hAnsi="Arial Narrow"/>
                <w:color w:val="333333"/>
                <w:sz w:val="18"/>
                <w:szCs w:val="18"/>
              </w:rPr>
              <w:t>14458</w:t>
            </w:r>
          </w:p>
        </w:tc>
        <w:tc>
          <w:tcPr>
            <w:tcW w:w="8220" w:type="dxa"/>
            <w:vAlign w:val="center"/>
            <w:hideMark/>
          </w:tcPr>
          <w:p w:rsidR="005D7A69" w:rsidRPr="00ED7A87" w:rsidRDefault="005D7A69" w:rsidP="005D7A69">
            <w:pPr>
              <w:pStyle w:val="NormalWeb"/>
              <w:spacing w:before="0" w:beforeAutospacing="0" w:after="0" w:afterAutospacing="0"/>
              <w:rPr>
                <w:rFonts w:ascii="Arial Narrow" w:hAnsi="Arial Narrow"/>
                <w:color w:val="333333"/>
                <w:sz w:val="18"/>
                <w:szCs w:val="18"/>
              </w:rPr>
            </w:pPr>
            <w:r w:rsidRPr="00ED7A87">
              <w:rPr>
                <w:rStyle w:val="Strong"/>
                <w:rFonts w:ascii="Arial Narrow" w:hAnsi="Arial Narrow"/>
                <w:color w:val="333333"/>
                <w:sz w:val="18"/>
                <w:szCs w:val="18"/>
              </w:rPr>
              <w:t>Administrative Advice:</w:t>
            </w:r>
          </w:p>
          <w:p w:rsidR="005D7A69" w:rsidRPr="002E067B" w:rsidRDefault="005D7A69" w:rsidP="005D7A69">
            <w:pPr>
              <w:pStyle w:val="NormalWeb"/>
              <w:spacing w:before="0" w:beforeAutospacing="0" w:after="0" w:afterAutospacing="0"/>
              <w:rPr>
                <w:rFonts w:ascii="Arial Narrow" w:hAnsi="Arial Narrow"/>
                <w:strike/>
                <w:color w:val="333333"/>
                <w:sz w:val="18"/>
                <w:szCs w:val="18"/>
              </w:rPr>
            </w:pPr>
            <w:r w:rsidRPr="00ED7A87">
              <w:rPr>
                <w:rFonts w:ascii="Arial Narrow" w:hAnsi="Arial Narrow"/>
                <w:color w:val="333333"/>
                <w:sz w:val="18"/>
                <w:szCs w:val="18"/>
              </w:rPr>
              <w:t>In the first few months after start of immunotherapy, some patients can have a transient tumour flare with subsequent disease response. When progression is suspected, this should be confirmed through a confirmatory scan, taken at least 4 weeks later.</w:t>
            </w:r>
          </w:p>
        </w:tc>
      </w:tr>
    </w:tbl>
    <w:p w:rsidR="00007559" w:rsidRDefault="00007559" w:rsidP="00007559">
      <w:pPr>
        <w:rPr>
          <w:rFonts w:ascii="Arial Narrow" w:hAnsi="Arial Narrow"/>
          <w:sz w:val="20"/>
          <w:szCs w:val="20"/>
        </w:rPr>
      </w:pPr>
    </w:p>
    <w:p w:rsidR="00007559" w:rsidRDefault="00007559" w:rsidP="00007559">
      <w:pPr>
        <w:jc w:val="both"/>
        <w:rPr>
          <w:rFonts w:asciiTheme="minorHAnsi" w:hAnsiTheme="minorHAnsi" w:cstheme="minorHAnsi"/>
          <w:lang w:val="en-GB"/>
        </w:rPr>
      </w:pPr>
      <w:r>
        <w:rPr>
          <w:rFonts w:asciiTheme="minorHAnsi" w:hAnsiTheme="minorHAnsi" w:cstheme="minorHAnsi"/>
          <w:lang w:val="en-GB"/>
        </w:rPr>
        <w:br w:type="column"/>
      </w:r>
    </w:p>
    <w:p w:rsidR="00AB19EB" w:rsidRDefault="00AB19EB" w:rsidP="00AB19EB">
      <w:pPr>
        <w:jc w:val="both"/>
        <w:rPr>
          <w:rFonts w:ascii="Arial Narrow" w:hAnsi="Arial Narrow" w:cstheme="minorHAnsi"/>
          <w:b/>
          <w:sz w:val="18"/>
          <w:szCs w:val="18"/>
          <w:lang w:val="en-GB"/>
        </w:rPr>
      </w:pPr>
      <w:r>
        <w:rPr>
          <w:rFonts w:ascii="Arial Narrow" w:hAnsi="Arial Narrow" w:cstheme="minorHAnsi"/>
          <w:b/>
          <w:sz w:val="18"/>
          <w:szCs w:val="18"/>
          <w:lang w:val="en-GB"/>
        </w:rPr>
        <w:t>Initial treatment 2</w:t>
      </w:r>
      <w:r w:rsidRPr="00280F2B">
        <w:rPr>
          <w:rFonts w:ascii="Arial Narrow" w:hAnsi="Arial Narrow" w:cstheme="minorHAnsi"/>
          <w:b/>
          <w:sz w:val="18"/>
          <w:szCs w:val="18"/>
          <w:lang w:val="en-GB"/>
        </w:rPr>
        <w:t xml:space="preserve"> Restriction Summary 9</w:t>
      </w:r>
      <w:r>
        <w:rPr>
          <w:rFonts w:ascii="Arial Narrow" w:hAnsi="Arial Narrow" w:cstheme="minorHAnsi"/>
          <w:b/>
          <w:sz w:val="18"/>
          <w:szCs w:val="18"/>
          <w:lang w:val="en-GB"/>
        </w:rPr>
        <w:t>865</w:t>
      </w:r>
      <w:r w:rsidRPr="00280F2B">
        <w:rPr>
          <w:rFonts w:ascii="Arial Narrow" w:hAnsi="Arial Narrow" w:cstheme="minorHAnsi"/>
          <w:b/>
          <w:sz w:val="18"/>
          <w:szCs w:val="18"/>
          <w:lang w:val="en-GB"/>
        </w:rPr>
        <w:t xml:space="preserve"> / </w:t>
      </w:r>
      <w:proofErr w:type="spellStart"/>
      <w:r w:rsidRPr="00280F2B">
        <w:rPr>
          <w:rFonts w:ascii="Arial Narrow" w:hAnsi="Arial Narrow" w:cstheme="minorHAnsi"/>
          <w:b/>
          <w:sz w:val="18"/>
          <w:szCs w:val="18"/>
          <w:lang w:val="en-GB"/>
        </w:rPr>
        <w:t>ToC</w:t>
      </w:r>
      <w:proofErr w:type="spellEnd"/>
      <w:r w:rsidRPr="00280F2B">
        <w:rPr>
          <w:rFonts w:ascii="Arial Narrow" w:hAnsi="Arial Narrow" w:cstheme="minorHAnsi"/>
          <w:b/>
          <w:sz w:val="18"/>
          <w:szCs w:val="18"/>
          <w:lang w:val="en-GB"/>
        </w:rPr>
        <w:t xml:space="preserve">: </w:t>
      </w:r>
      <w:r>
        <w:rPr>
          <w:rFonts w:ascii="Arial Narrow" w:hAnsi="Arial Narrow" w:cstheme="minorHAnsi"/>
          <w:b/>
          <w:sz w:val="18"/>
          <w:szCs w:val="18"/>
          <w:lang w:val="en-GB"/>
        </w:rPr>
        <w:t>9974</w:t>
      </w:r>
    </w:p>
    <w:p w:rsidR="00AB19EB" w:rsidRPr="00280F2B" w:rsidRDefault="00AB19EB" w:rsidP="00AB19EB">
      <w:pPr>
        <w:jc w:val="both"/>
        <w:rPr>
          <w:rFonts w:ascii="Arial Narrow" w:hAnsi="Arial Narrow" w:cstheme="minorHAnsi"/>
          <w:b/>
          <w:sz w:val="18"/>
          <w:szCs w:val="18"/>
          <w:lang w:val="en-GB"/>
        </w:rPr>
      </w:pPr>
      <w:r w:rsidRPr="00280F2B">
        <w:rPr>
          <w:rFonts w:ascii="Arial Narrow" w:hAnsi="Arial Narrow" w:cstheme="minorHAnsi"/>
          <w:b/>
          <w:sz w:val="18"/>
          <w:szCs w:val="18"/>
          <w:lang w:val="en-GB"/>
        </w:rPr>
        <w:t>PBS item codes: 10493G (Public) / 10475H (Private)</w:t>
      </w:r>
    </w:p>
    <w:p w:rsidR="00AB19EB" w:rsidRPr="00DE0260" w:rsidRDefault="00AB19EB" w:rsidP="00AB19EB">
      <w:pPr>
        <w:rPr>
          <w:rFonts w:ascii="Arial Narrow" w:hAnsi="Arial Narrow"/>
          <w:sz w:val="20"/>
          <w:szCs w:val="20"/>
        </w:rPr>
      </w:pPr>
    </w:p>
    <w:tbl>
      <w:tblPr>
        <w:tblW w:w="9067" w:type="dxa"/>
        <w:tblLayout w:type="fixed"/>
        <w:tblLook w:val="0000" w:firstRow="0" w:lastRow="0" w:firstColumn="0" w:lastColumn="0" w:noHBand="0" w:noVBand="0"/>
      </w:tblPr>
      <w:tblGrid>
        <w:gridCol w:w="847"/>
        <w:gridCol w:w="8220"/>
      </w:tblGrid>
      <w:tr w:rsidR="00AB19EB" w:rsidRPr="003845DD" w:rsidTr="002169C9">
        <w:trPr>
          <w:cantSplit/>
          <w:trHeight w:val="203"/>
        </w:trPr>
        <w:tc>
          <w:tcPr>
            <w:tcW w:w="847" w:type="dxa"/>
            <w:tcBorders>
              <w:top w:val="single" w:sz="4" w:space="0" w:color="auto"/>
              <w:left w:val="single" w:sz="4" w:space="0" w:color="auto"/>
              <w:bottom w:val="single" w:sz="4" w:space="0" w:color="auto"/>
              <w:right w:val="single" w:sz="4" w:space="0" w:color="auto"/>
            </w:tcBorders>
            <w:tcMar>
              <w:left w:w="28" w:type="dxa"/>
              <w:right w:w="28" w:type="dxa"/>
            </w:tcMar>
          </w:tcPr>
          <w:p w:rsidR="00AB19EB" w:rsidRPr="003845DD" w:rsidRDefault="00AB19EB" w:rsidP="002169C9">
            <w:pPr>
              <w:pStyle w:val="Tabletext"/>
              <w:spacing w:after="0"/>
              <w:rPr>
                <w:rFonts w:ascii="Arial Narrow" w:eastAsia="Calibri" w:hAnsi="Arial Narrow"/>
                <w:b/>
                <w:sz w:val="18"/>
                <w:szCs w:val="18"/>
              </w:rPr>
            </w:pPr>
            <w:r>
              <w:rPr>
                <w:rFonts w:ascii="Arial Narrow" w:eastAsia="Calibri" w:hAnsi="Arial Narrow"/>
                <w:b/>
                <w:sz w:val="18"/>
                <w:szCs w:val="18"/>
              </w:rPr>
              <w:t>Concept ID</w:t>
            </w:r>
          </w:p>
        </w:tc>
        <w:tc>
          <w:tcPr>
            <w:tcW w:w="8220" w:type="dxa"/>
            <w:tcBorders>
              <w:top w:val="single" w:sz="4" w:space="0" w:color="auto"/>
              <w:left w:val="single" w:sz="4" w:space="0" w:color="auto"/>
              <w:bottom w:val="single" w:sz="4" w:space="0" w:color="auto"/>
              <w:right w:val="single" w:sz="4" w:space="0" w:color="auto"/>
            </w:tcBorders>
            <w:tcMar>
              <w:left w:w="28" w:type="dxa"/>
              <w:right w:w="28" w:type="dxa"/>
            </w:tcMar>
          </w:tcPr>
          <w:p w:rsidR="00AB19EB" w:rsidRPr="003845DD" w:rsidRDefault="00AB19EB" w:rsidP="002169C9">
            <w:pPr>
              <w:pStyle w:val="Tabletext"/>
              <w:spacing w:after="0"/>
              <w:rPr>
                <w:rFonts w:ascii="Arial Narrow" w:eastAsia="Calibri" w:hAnsi="Arial Narrow"/>
                <w:sz w:val="18"/>
                <w:szCs w:val="18"/>
              </w:rPr>
            </w:pPr>
            <w:r w:rsidRPr="003845DD">
              <w:rPr>
                <w:rFonts w:ascii="Arial Narrow" w:eastAsia="Calibri" w:hAnsi="Arial Narrow"/>
                <w:b/>
                <w:sz w:val="18"/>
                <w:szCs w:val="18"/>
              </w:rPr>
              <w:t>Category/Program:</w:t>
            </w:r>
            <w:r>
              <w:rPr>
                <w:rFonts w:ascii="Arial Narrow" w:eastAsia="Calibri" w:hAnsi="Arial Narrow"/>
                <w:sz w:val="18"/>
                <w:szCs w:val="18"/>
              </w:rPr>
              <w:t xml:space="preserve"> </w:t>
            </w:r>
            <w:r w:rsidRPr="003845DD">
              <w:rPr>
                <w:rFonts w:ascii="Arial Narrow" w:eastAsia="Calibri" w:hAnsi="Arial Narrow"/>
                <w:sz w:val="18"/>
                <w:szCs w:val="18"/>
              </w:rPr>
              <w:t>Section 100 Efficient Funding of Chemotherapy</w:t>
            </w:r>
          </w:p>
        </w:tc>
      </w:tr>
      <w:tr w:rsidR="00AB19EB" w:rsidRPr="003845DD" w:rsidTr="002169C9">
        <w:trPr>
          <w:cantSplit/>
          <w:trHeight w:val="250"/>
        </w:trPr>
        <w:tc>
          <w:tcPr>
            <w:tcW w:w="847" w:type="dxa"/>
            <w:tcBorders>
              <w:top w:val="single" w:sz="4" w:space="0" w:color="auto"/>
              <w:left w:val="single" w:sz="4" w:space="0" w:color="auto"/>
              <w:bottom w:val="single" w:sz="4" w:space="0" w:color="auto"/>
              <w:right w:val="single" w:sz="4" w:space="0" w:color="auto"/>
            </w:tcBorders>
            <w:tcMar>
              <w:left w:w="28" w:type="dxa"/>
              <w:right w:w="28" w:type="dxa"/>
            </w:tcMar>
          </w:tcPr>
          <w:p w:rsidR="00AB19EB" w:rsidRPr="003845DD" w:rsidRDefault="00AB19EB" w:rsidP="002169C9">
            <w:pPr>
              <w:pStyle w:val="Tabletext"/>
              <w:spacing w:after="0"/>
              <w:rPr>
                <w:rFonts w:ascii="Arial Narrow" w:eastAsia="Calibri" w:hAnsi="Arial Narrow"/>
                <w:b/>
                <w:sz w:val="18"/>
                <w:szCs w:val="18"/>
              </w:rPr>
            </w:pPr>
          </w:p>
        </w:tc>
        <w:tc>
          <w:tcPr>
            <w:tcW w:w="8220" w:type="dxa"/>
            <w:tcBorders>
              <w:top w:val="single" w:sz="4" w:space="0" w:color="auto"/>
              <w:left w:val="single" w:sz="4" w:space="0" w:color="auto"/>
              <w:bottom w:val="single" w:sz="4" w:space="0" w:color="auto"/>
              <w:right w:val="single" w:sz="4" w:space="0" w:color="auto"/>
            </w:tcBorders>
            <w:tcMar>
              <w:left w:w="28" w:type="dxa"/>
              <w:right w:w="28" w:type="dxa"/>
            </w:tcMar>
          </w:tcPr>
          <w:p w:rsidR="00AB19EB" w:rsidRPr="003845DD" w:rsidRDefault="00AB19EB" w:rsidP="002169C9">
            <w:pPr>
              <w:pStyle w:val="Tabletext"/>
              <w:spacing w:after="0"/>
              <w:rPr>
                <w:rFonts w:ascii="Arial Narrow" w:eastAsia="Calibri" w:hAnsi="Arial Narrow"/>
                <w:sz w:val="18"/>
                <w:szCs w:val="18"/>
              </w:rPr>
            </w:pPr>
            <w:r w:rsidRPr="003845DD">
              <w:rPr>
                <w:rFonts w:ascii="Arial Narrow" w:eastAsia="Calibri" w:hAnsi="Arial Narrow"/>
                <w:b/>
                <w:sz w:val="18"/>
                <w:szCs w:val="18"/>
              </w:rPr>
              <w:t>Prescriber type:</w:t>
            </w:r>
            <w:r>
              <w:rPr>
                <w:rFonts w:ascii="Arial Narrow" w:eastAsia="Calibri" w:hAnsi="Arial Narrow"/>
                <w:sz w:val="18"/>
                <w:szCs w:val="18"/>
              </w:rPr>
              <w:t xml:space="preserve">  </w:t>
            </w:r>
            <w:r w:rsidRPr="003845DD">
              <w:rPr>
                <w:rFonts w:ascii="Arial Narrow" w:eastAsia="Calibri" w:hAnsi="Arial Narrow"/>
                <w:sz w:val="18"/>
                <w:szCs w:val="18"/>
              </w:rPr>
              <w:fldChar w:fldCharType="begin">
                <w:ffData>
                  <w:name w:val="Check1"/>
                  <w:enabled/>
                  <w:calcOnExit w:val="0"/>
                  <w:checkBox>
                    <w:sizeAuto/>
                    <w:default w:val="0"/>
                  </w:checkBox>
                </w:ffData>
              </w:fldChar>
            </w:r>
            <w:r w:rsidRPr="003845DD">
              <w:rPr>
                <w:rFonts w:ascii="Arial Narrow" w:eastAsia="Calibri" w:hAnsi="Arial Narrow"/>
                <w:sz w:val="18"/>
                <w:szCs w:val="18"/>
              </w:rPr>
              <w:instrText xml:space="preserve"> FORMCHECKBOX </w:instrText>
            </w:r>
            <w:r w:rsidR="00643DA7">
              <w:rPr>
                <w:rFonts w:ascii="Arial Narrow" w:eastAsia="Calibri" w:hAnsi="Arial Narrow"/>
                <w:sz w:val="18"/>
                <w:szCs w:val="18"/>
              </w:rPr>
            </w:r>
            <w:r w:rsidR="00643DA7">
              <w:rPr>
                <w:rFonts w:ascii="Arial Narrow" w:eastAsia="Calibri" w:hAnsi="Arial Narrow"/>
                <w:sz w:val="18"/>
                <w:szCs w:val="18"/>
              </w:rPr>
              <w:fldChar w:fldCharType="separate"/>
            </w:r>
            <w:r w:rsidRPr="003845DD">
              <w:rPr>
                <w:rFonts w:ascii="Arial Narrow" w:eastAsia="Calibri" w:hAnsi="Arial Narrow"/>
                <w:sz w:val="18"/>
                <w:szCs w:val="18"/>
              </w:rPr>
              <w:fldChar w:fldCharType="end"/>
            </w:r>
            <w:r w:rsidRPr="003845DD">
              <w:rPr>
                <w:rFonts w:ascii="Arial Narrow" w:eastAsia="Calibri" w:hAnsi="Arial Narrow"/>
                <w:sz w:val="18"/>
                <w:szCs w:val="18"/>
              </w:rPr>
              <w:t xml:space="preserve">Dental </w:t>
            </w:r>
            <w:r w:rsidRPr="003845DD">
              <w:rPr>
                <w:rFonts w:ascii="Arial Narrow" w:eastAsia="Calibri" w:hAnsi="Arial Narrow"/>
                <w:sz w:val="18"/>
                <w:szCs w:val="18"/>
              </w:rPr>
              <w:fldChar w:fldCharType="begin">
                <w:ffData>
                  <w:name w:val=""/>
                  <w:enabled/>
                  <w:calcOnExit w:val="0"/>
                  <w:checkBox>
                    <w:sizeAuto/>
                    <w:default w:val="1"/>
                  </w:checkBox>
                </w:ffData>
              </w:fldChar>
            </w:r>
            <w:r w:rsidRPr="003845DD">
              <w:rPr>
                <w:rFonts w:ascii="Arial Narrow" w:eastAsia="Calibri" w:hAnsi="Arial Narrow"/>
                <w:sz w:val="18"/>
                <w:szCs w:val="18"/>
              </w:rPr>
              <w:instrText xml:space="preserve"> FORMCHECKBOX </w:instrText>
            </w:r>
            <w:r w:rsidR="00643DA7">
              <w:rPr>
                <w:rFonts w:ascii="Arial Narrow" w:eastAsia="Calibri" w:hAnsi="Arial Narrow"/>
                <w:sz w:val="18"/>
                <w:szCs w:val="18"/>
              </w:rPr>
            </w:r>
            <w:r w:rsidR="00643DA7">
              <w:rPr>
                <w:rFonts w:ascii="Arial Narrow" w:eastAsia="Calibri" w:hAnsi="Arial Narrow"/>
                <w:sz w:val="18"/>
                <w:szCs w:val="18"/>
              </w:rPr>
              <w:fldChar w:fldCharType="separate"/>
            </w:r>
            <w:r w:rsidRPr="003845DD">
              <w:rPr>
                <w:rFonts w:ascii="Arial Narrow" w:eastAsia="Calibri" w:hAnsi="Arial Narrow"/>
                <w:sz w:val="18"/>
                <w:szCs w:val="18"/>
              </w:rPr>
              <w:fldChar w:fldCharType="end"/>
            </w:r>
            <w:r w:rsidRPr="003845DD">
              <w:rPr>
                <w:rFonts w:ascii="Arial Narrow" w:eastAsia="Calibri" w:hAnsi="Arial Narrow"/>
                <w:sz w:val="18"/>
                <w:szCs w:val="18"/>
              </w:rPr>
              <w:t xml:space="preserve">Medical Practitioners </w:t>
            </w:r>
            <w:r w:rsidRPr="003845DD">
              <w:rPr>
                <w:rFonts w:ascii="Arial Narrow" w:eastAsia="Calibri" w:hAnsi="Arial Narrow"/>
                <w:sz w:val="18"/>
                <w:szCs w:val="18"/>
              </w:rPr>
              <w:fldChar w:fldCharType="begin">
                <w:ffData>
                  <w:name w:val="Check3"/>
                  <w:enabled/>
                  <w:calcOnExit w:val="0"/>
                  <w:checkBox>
                    <w:sizeAuto/>
                    <w:default w:val="0"/>
                  </w:checkBox>
                </w:ffData>
              </w:fldChar>
            </w:r>
            <w:r w:rsidRPr="003845DD">
              <w:rPr>
                <w:rFonts w:ascii="Arial Narrow" w:eastAsia="Calibri" w:hAnsi="Arial Narrow"/>
                <w:sz w:val="18"/>
                <w:szCs w:val="18"/>
              </w:rPr>
              <w:instrText xml:space="preserve"> FORMCHECKBOX </w:instrText>
            </w:r>
            <w:r w:rsidR="00643DA7">
              <w:rPr>
                <w:rFonts w:ascii="Arial Narrow" w:eastAsia="Calibri" w:hAnsi="Arial Narrow"/>
                <w:sz w:val="18"/>
                <w:szCs w:val="18"/>
              </w:rPr>
            </w:r>
            <w:r w:rsidR="00643DA7">
              <w:rPr>
                <w:rFonts w:ascii="Arial Narrow" w:eastAsia="Calibri" w:hAnsi="Arial Narrow"/>
                <w:sz w:val="18"/>
                <w:szCs w:val="18"/>
              </w:rPr>
              <w:fldChar w:fldCharType="separate"/>
            </w:r>
            <w:r w:rsidRPr="003845DD">
              <w:rPr>
                <w:rFonts w:ascii="Arial Narrow" w:eastAsia="Calibri" w:hAnsi="Arial Narrow"/>
                <w:sz w:val="18"/>
                <w:szCs w:val="18"/>
              </w:rPr>
              <w:fldChar w:fldCharType="end"/>
            </w:r>
            <w:r w:rsidRPr="003845DD">
              <w:rPr>
                <w:rFonts w:ascii="Arial Narrow" w:eastAsia="Calibri" w:hAnsi="Arial Narrow"/>
                <w:sz w:val="18"/>
                <w:szCs w:val="18"/>
              </w:rPr>
              <w:t xml:space="preserve">Nurse practitioners </w:t>
            </w:r>
            <w:r w:rsidRPr="003845DD">
              <w:rPr>
                <w:rFonts w:ascii="Arial Narrow" w:eastAsia="Calibri" w:hAnsi="Arial Narrow"/>
                <w:sz w:val="18"/>
                <w:szCs w:val="18"/>
              </w:rPr>
              <w:fldChar w:fldCharType="begin">
                <w:ffData>
                  <w:name w:val=""/>
                  <w:enabled/>
                  <w:calcOnExit w:val="0"/>
                  <w:checkBox>
                    <w:sizeAuto/>
                    <w:default w:val="0"/>
                  </w:checkBox>
                </w:ffData>
              </w:fldChar>
            </w:r>
            <w:r w:rsidRPr="003845DD">
              <w:rPr>
                <w:rFonts w:ascii="Arial Narrow" w:eastAsia="Calibri" w:hAnsi="Arial Narrow"/>
                <w:sz w:val="18"/>
                <w:szCs w:val="18"/>
              </w:rPr>
              <w:instrText xml:space="preserve"> FORMCHECKBOX </w:instrText>
            </w:r>
            <w:r w:rsidR="00643DA7">
              <w:rPr>
                <w:rFonts w:ascii="Arial Narrow" w:eastAsia="Calibri" w:hAnsi="Arial Narrow"/>
                <w:sz w:val="18"/>
                <w:szCs w:val="18"/>
              </w:rPr>
            </w:r>
            <w:r w:rsidR="00643DA7">
              <w:rPr>
                <w:rFonts w:ascii="Arial Narrow" w:eastAsia="Calibri" w:hAnsi="Arial Narrow"/>
                <w:sz w:val="18"/>
                <w:szCs w:val="18"/>
              </w:rPr>
              <w:fldChar w:fldCharType="separate"/>
            </w:r>
            <w:r w:rsidRPr="003845DD">
              <w:rPr>
                <w:rFonts w:ascii="Arial Narrow" w:eastAsia="Calibri" w:hAnsi="Arial Narrow"/>
                <w:sz w:val="18"/>
                <w:szCs w:val="18"/>
              </w:rPr>
              <w:fldChar w:fldCharType="end"/>
            </w:r>
            <w:r w:rsidRPr="003845DD">
              <w:rPr>
                <w:rFonts w:ascii="Arial Narrow" w:eastAsia="Calibri" w:hAnsi="Arial Narrow"/>
                <w:sz w:val="18"/>
                <w:szCs w:val="18"/>
              </w:rPr>
              <w:t xml:space="preserve">Optometrists </w:t>
            </w:r>
            <w:r w:rsidRPr="003845DD">
              <w:rPr>
                <w:rFonts w:ascii="Arial Narrow" w:eastAsia="Calibri" w:hAnsi="Arial Narrow"/>
                <w:sz w:val="18"/>
                <w:szCs w:val="18"/>
              </w:rPr>
              <w:fldChar w:fldCharType="begin">
                <w:ffData>
                  <w:name w:val="Check5"/>
                  <w:enabled/>
                  <w:calcOnExit w:val="0"/>
                  <w:checkBox>
                    <w:sizeAuto/>
                    <w:default w:val="0"/>
                  </w:checkBox>
                </w:ffData>
              </w:fldChar>
            </w:r>
            <w:r w:rsidRPr="003845DD">
              <w:rPr>
                <w:rFonts w:ascii="Arial Narrow" w:eastAsia="Calibri" w:hAnsi="Arial Narrow"/>
                <w:sz w:val="18"/>
                <w:szCs w:val="18"/>
              </w:rPr>
              <w:instrText xml:space="preserve"> FORMCHECKBOX </w:instrText>
            </w:r>
            <w:r w:rsidR="00643DA7">
              <w:rPr>
                <w:rFonts w:ascii="Arial Narrow" w:eastAsia="Calibri" w:hAnsi="Arial Narrow"/>
                <w:sz w:val="18"/>
                <w:szCs w:val="18"/>
              </w:rPr>
            </w:r>
            <w:r w:rsidR="00643DA7">
              <w:rPr>
                <w:rFonts w:ascii="Arial Narrow" w:eastAsia="Calibri" w:hAnsi="Arial Narrow"/>
                <w:sz w:val="18"/>
                <w:szCs w:val="18"/>
              </w:rPr>
              <w:fldChar w:fldCharType="separate"/>
            </w:r>
            <w:r w:rsidRPr="003845DD">
              <w:rPr>
                <w:rFonts w:ascii="Arial Narrow" w:eastAsia="Calibri" w:hAnsi="Arial Narrow"/>
                <w:sz w:val="18"/>
                <w:szCs w:val="18"/>
              </w:rPr>
              <w:fldChar w:fldCharType="end"/>
            </w:r>
            <w:r w:rsidRPr="003845DD">
              <w:rPr>
                <w:rFonts w:ascii="Arial Narrow" w:eastAsia="Calibri" w:hAnsi="Arial Narrow"/>
                <w:sz w:val="18"/>
                <w:szCs w:val="18"/>
              </w:rPr>
              <w:t>Midwives</w:t>
            </w:r>
          </w:p>
        </w:tc>
      </w:tr>
      <w:tr w:rsidR="00AB19EB" w:rsidRPr="003845DD" w:rsidTr="002169C9">
        <w:trPr>
          <w:cantSplit/>
          <w:trHeight w:val="213"/>
        </w:trPr>
        <w:tc>
          <w:tcPr>
            <w:tcW w:w="847" w:type="dxa"/>
            <w:tcBorders>
              <w:top w:val="single" w:sz="4" w:space="0" w:color="auto"/>
              <w:left w:val="single" w:sz="4" w:space="0" w:color="auto"/>
              <w:bottom w:val="single" w:sz="4" w:space="0" w:color="auto"/>
              <w:right w:val="single" w:sz="4" w:space="0" w:color="auto"/>
            </w:tcBorders>
            <w:tcMar>
              <w:left w:w="28" w:type="dxa"/>
              <w:right w:w="28" w:type="dxa"/>
            </w:tcMar>
          </w:tcPr>
          <w:p w:rsidR="00AB19EB" w:rsidRPr="003845DD" w:rsidRDefault="00AB19EB" w:rsidP="002169C9">
            <w:pPr>
              <w:pStyle w:val="Tabletext"/>
              <w:spacing w:after="0"/>
              <w:rPr>
                <w:rFonts w:ascii="Arial Narrow" w:eastAsia="Calibri" w:hAnsi="Arial Narrow"/>
                <w:b/>
                <w:sz w:val="18"/>
                <w:szCs w:val="18"/>
              </w:rPr>
            </w:pPr>
          </w:p>
        </w:tc>
        <w:tc>
          <w:tcPr>
            <w:tcW w:w="8220" w:type="dxa"/>
            <w:tcBorders>
              <w:top w:val="single" w:sz="4" w:space="0" w:color="auto"/>
              <w:left w:val="single" w:sz="4" w:space="0" w:color="auto"/>
              <w:bottom w:val="single" w:sz="4" w:space="0" w:color="auto"/>
              <w:right w:val="single" w:sz="4" w:space="0" w:color="auto"/>
            </w:tcBorders>
            <w:tcMar>
              <w:left w:w="28" w:type="dxa"/>
              <w:right w:w="28" w:type="dxa"/>
            </w:tcMar>
          </w:tcPr>
          <w:p w:rsidR="00AB19EB" w:rsidRPr="003845DD" w:rsidRDefault="00AB19EB" w:rsidP="002169C9">
            <w:pPr>
              <w:pStyle w:val="Tabletext"/>
              <w:spacing w:after="0"/>
              <w:rPr>
                <w:rFonts w:ascii="Arial Narrow" w:eastAsia="Calibri" w:hAnsi="Arial Narrow"/>
                <w:b/>
                <w:sz w:val="18"/>
                <w:szCs w:val="18"/>
              </w:rPr>
            </w:pPr>
            <w:r w:rsidRPr="003845DD">
              <w:rPr>
                <w:rFonts w:ascii="Arial Narrow" w:eastAsia="Calibri" w:hAnsi="Arial Narrow"/>
                <w:b/>
                <w:sz w:val="18"/>
                <w:szCs w:val="18"/>
              </w:rPr>
              <w:t>Restriction level:</w:t>
            </w:r>
            <w:r>
              <w:rPr>
                <w:rFonts w:ascii="Arial Narrow" w:eastAsia="Calibri" w:hAnsi="Arial Narrow"/>
                <w:b/>
                <w:sz w:val="18"/>
                <w:szCs w:val="18"/>
              </w:rPr>
              <w:t xml:space="preserve">  </w:t>
            </w:r>
            <w:r w:rsidRPr="003845DD">
              <w:rPr>
                <w:rFonts w:ascii="Arial Narrow" w:eastAsia="Calibri" w:hAnsi="Arial Narrow"/>
                <w:sz w:val="18"/>
                <w:szCs w:val="18"/>
              </w:rPr>
              <w:fldChar w:fldCharType="begin">
                <w:ffData>
                  <w:name w:val=""/>
                  <w:enabled/>
                  <w:calcOnExit w:val="0"/>
                  <w:checkBox>
                    <w:sizeAuto/>
                    <w:default w:val="1"/>
                  </w:checkBox>
                </w:ffData>
              </w:fldChar>
            </w:r>
            <w:r w:rsidRPr="003845DD">
              <w:rPr>
                <w:rFonts w:ascii="Arial Narrow" w:eastAsia="Calibri" w:hAnsi="Arial Narrow"/>
                <w:sz w:val="18"/>
                <w:szCs w:val="18"/>
              </w:rPr>
              <w:instrText xml:space="preserve"> FORMCHECKBOX </w:instrText>
            </w:r>
            <w:r w:rsidR="00643DA7">
              <w:rPr>
                <w:rFonts w:ascii="Arial Narrow" w:eastAsia="Calibri" w:hAnsi="Arial Narrow"/>
                <w:sz w:val="18"/>
                <w:szCs w:val="18"/>
              </w:rPr>
            </w:r>
            <w:r w:rsidR="00643DA7">
              <w:rPr>
                <w:rFonts w:ascii="Arial Narrow" w:eastAsia="Calibri" w:hAnsi="Arial Narrow"/>
                <w:sz w:val="18"/>
                <w:szCs w:val="18"/>
              </w:rPr>
              <w:fldChar w:fldCharType="separate"/>
            </w:r>
            <w:r w:rsidRPr="003845DD">
              <w:rPr>
                <w:rFonts w:ascii="Arial Narrow" w:eastAsia="Calibri" w:hAnsi="Arial Narrow"/>
                <w:sz w:val="18"/>
                <w:szCs w:val="18"/>
              </w:rPr>
              <w:fldChar w:fldCharType="end"/>
            </w:r>
            <w:r>
              <w:rPr>
                <w:rFonts w:ascii="Arial Narrow" w:eastAsia="Calibri" w:hAnsi="Arial Narrow"/>
                <w:sz w:val="18"/>
                <w:szCs w:val="18"/>
              </w:rPr>
              <w:t xml:space="preserve">Authority required - </w:t>
            </w:r>
            <w:r w:rsidRPr="003845DD">
              <w:rPr>
                <w:rFonts w:ascii="Arial Narrow" w:eastAsia="Calibri" w:hAnsi="Arial Narrow"/>
                <w:sz w:val="18"/>
                <w:szCs w:val="18"/>
              </w:rPr>
              <w:t>Streamlined (9</w:t>
            </w:r>
            <w:r>
              <w:rPr>
                <w:rFonts w:ascii="Arial Narrow" w:eastAsia="Calibri" w:hAnsi="Arial Narrow"/>
                <w:sz w:val="18"/>
                <w:szCs w:val="18"/>
              </w:rPr>
              <w:t>974</w:t>
            </w:r>
            <w:r w:rsidRPr="003845DD">
              <w:rPr>
                <w:rFonts w:ascii="Arial Narrow" w:eastAsia="Calibri" w:hAnsi="Arial Narrow"/>
                <w:sz w:val="18"/>
                <w:szCs w:val="18"/>
              </w:rPr>
              <w:t>)</w:t>
            </w:r>
          </w:p>
        </w:tc>
      </w:tr>
      <w:tr w:rsidR="00AB19EB" w:rsidRPr="00B73775" w:rsidTr="002169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Align w:val="center"/>
            <w:hideMark/>
          </w:tcPr>
          <w:p w:rsidR="00AB19EB" w:rsidRPr="00B73775" w:rsidRDefault="00AB19EB" w:rsidP="002169C9">
            <w:pPr>
              <w:jc w:val="center"/>
              <w:rPr>
                <w:rFonts w:ascii="Arial Narrow" w:hAnsi="Arial Narrow"/>
                <w:sz w:val="18"/>
                <w:szCs w:val="18"/>
              </w:rPr>
            </w:pPr>
            <w:r>
              <w:rPr>
                <w:rFonts w:ascii="Arial Narrow" w:hAnsi="Arial Narrow"/>
                <w:sz w:val="18"/>
                <w:szCs w:val="18"/>
              </w:rPr>
              <w:t>7608</w:t>
            </w:r>
          </w:p>
        </w:tc>
        <w:tc>
          <w:tcPr>
            <w:tcW w:w="8220" w:type="dxa"/>
            <w:vAlign w:val="center"/>
            <w:hideMark/>
          </w:tcPr>
          <w:p w:rsidR="00AB19EB" w:rsidRPr="00B73775" w:rsidRDefault="00AB19EB" w:rsidP="002169C9">
            <w:pPr>
              <w:rPr>
                <w:rFonts w:ascii="Arial Narrow" w:hAnsi="Arial Narrow"/>
                <w:sz w:val="18"/>
                <w:szCs w:val="18"/>
              </w:rPr>
            </w:pPr>
            <w:r w:rsidRPr="00B73775">
              <w:rPr>
                <w:rFonts w:ascii="Arial Narrow" w:hAnsi="Arial Narrow"/>
                <w:b/>
                <w:bCs/>
                <w:sz w:val="18"/>
                <w:szCs w:val="18"/>
              </w:rPr>
              <w:t>Administrative Advice:</w:t>
            </w:r>
            <w:r>
              <w:rPr>
                <w:rFonts w:ascii="Arial Narrow" w:hAnsi="Arial Narrow"/>
                <w:sz w:val="18"/>
                <w:szCs w:val="18"/>
              </w:rPr>
              <w:t xml:space="preserve"> </w:t>
            </w:r>
            <w:r w:rsidRPr="00B73775">
              <w:rPr>
                <w:rFonts w:ascii="Arial Narrow" w:hAnsi="Arial Narrow"/>
                <w:sz w:val="18"/>
                <w:szCs w:val="18"/>
              </w:rPr>
              <w:t>Special Pricing Arrangements apply.</w:t>
            </w:r>
          </w:p>
        </w:tc>
      </w:tr>
      <w:tr w:rsidR="00AB19EB" w:rsidRPr="00B73775" w:rsidTr="002169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Align w:val="center"/>
            <w:hideMark/>
          </w:tcPr>
          <w:p w:rsidR="00AB19EB" w:rsidRPr="00B73775" w:rsidRDefault="00AB19EB" w:rsidP="002169C9">
            <w:pPr>
              <w:jc w:val="center"/>
              <w:rPr>
                <w:rFonts w:ascii="Arial Narrow" w:hAnsi="Arial Narrow"/>
                <w:sz w:val="18"/>
                <w:szCs w:val="18"/>
              </w:rPr>
            </w:pPr>
            <w:r>
              <w:rPr>
                <w:rFonts w:ascii="Arial Narrow" w:hAnsi="Arial Narrow"/>
                <w:sz w:val="18"/>
                <w:szCs w:val="18"/>
              </w:rPr>
              <w:t>7607</w:t>
            </w:r>
          </w:p>
        </w:tc>
        <w:tc>
          <w:tcPr>
            <w:tcW w:w="8220" w:type="dxa"/>
            <w:vAlign w:val="center"/>
            <w:hideMark/>
          </w:tcPr>
          <w:p w:rsidR="00AB19EB" w:rsidRPr="00B73775" w:rsidRDefault="00AB19EB" w:rsidP="002169C9">
            <w:pPr>
              <w:rPr>
                <w:rFonts w:ascii="Arial Narrow" w:hAnsi="Arial Narrow"/>
                <w:sz w:val="18"/>
                <w:szCs w:val="18"/>
              </w:rPr>
            </w:pPr>
            <w:r w:rsidRPr="00B73775">
              <w:rPr>
                <w:rFonts w:ascii="Arial Narrow" w:hAnsi="Arial Narrow"/>
                <w:b/>
                <w:bCs/>
                <w:sz w:val="18"/>
                <w:szCs w:val="18"/>
              </w:rPr>
              <w:t>Administrative Advice:</w:t>
            </w:r>
            <w:r>
              <w:rPr>
                <w:rFonts w:ascii="Arial Narrow" w:hAnsi="Arial Narrow"/>
                <w:sz w:val="18"/>
                <w:szCs w:val="18"/>
              </w:rPr>
              <w:t xml:space="preserve"> </w:t>
            </w:r>
            <w:r w:rsidRPr="00B73775">
              <w:rPr>
                <w:rFonts w:ascii="Arial Narrow" w:hAnsi="Arial Narrow"/>
                <w:sz w:val="18"/>
                <w:szCs w:val="18"/>
              </w:rPr>
              <w:t>No increase in the maximum number of repeats may be authorised.</w:t>
            </w:r>
          </w:p>
        </w:tc>
      </w:tr>
      <w:tr w:rsidR="005D7A69" w:rsidRPr="00B73775" w:rsidTr="002169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Align w:val="center"/>
          </w:tcPr>
          <w:p w:rsidR="005D7A69" w:rsidRDefault="005D7A69" w:rsidP="005D7A69">
            <w:pPr>
              <w:jc w:val="center"/>
              <w:rPr>
                <w:rFonts w:ascii="Arial Narrow" w:hAnsi="Arial Narrow"/>
                <w:sz w:val="18"/>
                <w:szCs w:val="18"/>
              </w:rPr>
            </w:pPr>
            <w:r>
              <w:rPr>
                <w:rFonts w:ascii="Arial Narrow" w:hAnsi="Arial Narrow"/>
                <w:sz w:val="18"/>
                <w:szCs w:val="18"/>
              </w:rPr>
              <w:t>25071</w:t>
            </w:r>
          </w:p>
        </w:tc>
        <w:tc>
          <w:tcPr>
            <w:tcW w:w="8220" w:type="dxa"/>
            <w:vAlign w:val="center"/>
          </w:tcPr>
          <w:p w:rsidR="005D7A69" w:rsidRPr="00640440" w:rsidRDefault="005D7A69" w:rsidP="005D7A69">
            <w:pPr>
              <w:rPr>
                <w:rFonts w:ascii="Arial Narrow" w:hAnsi="Arial Narrow"/>
                <w:b/>
                <w:bCs/>
                <w:sz w:val="18"/>
                <w:szCs w:val="18"/>
              </w:rPr>
            </w:pPr>
            <w:r w:rsidRPr="00640440">
              <w:rPr>
                <w:rFonts w:ascii="Arial Narrow" w:hAnsi="Arial Narrow"/>
                <w:b/>
                <w:bCs/>
                <w:sz w:val="18"/>
                <w:szCs w:val="18"/>
              </w:rPr>
              <w:t>Administrative Advice:</w:t>
            </w:r>
          </w:p>
          <w:p w:rsidR="005D7A69" w:rsidRPr="00B73775" w:rsidRDefault="005D7A69" w:rsidP="005D7A69">
            <w:pPr>
              <w:rPr>
                <w:rFonts w:ascii="Arial Narrow" w:hAnsi="Arial Narrow"/>
                <w:b/>
                <w:bCs/>
                <w:sz w:val="18"/>
                <w:szCs w:val="18"/>
              </w:rPr>
            </w:pPr>
            <w:r w:rsidRPr="00640440">
              <w:rPr>
                <w:rFonts w:ascii="Arial Narrow" w:hAnsi="Arial Narrow"/>
                <w:bCs/>
                <w:sz w:val="18"/>
                <w:szCs w:val="18"/>
              </w:rPr>
              <w:t xml:space="preserve">Patient should be treated with the recommended dose of </w:t>
            </w:r>
            <w:proofErr w:type="spellStart"/>
            <w:r w:rsidRPr="00640440">
              <w:rPr>
                <w:rFonts w:ascii="Arial Narrow" w:hAnsi="Arial Narrow"/>
                <w:bCs/>
                <w:sz w:val="18"/>
                <w:szCs w:val="18"/>
              </w:rPr>
              <w:t>pembrolizumab</w:t>
            </w:r>
            <w:proofErr w:type="spellEnd"/>
            <w:r w:rsidRPr="00640440">
              <w:rPr>
                <w:rFonts w:ascii="Arial Narrow" w:hAnsi="Arial Narrow"/>
                <w:bCs/>
                <w:sz w:val="18"/>
                <w:szCs w:val="18"/>
              </w:rPr>
              <w:t xml:space="preserve"> according to the TGA-approved Product Information.</w:t>
            </w:r>
          </w:p>
        </w:tc>
      </w:tr>
      <w:tr w:rsidR="005D7A69" w:rsidRPr="00B73775" w:rsidTr="002169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257"/>
        </w:trPr>
        <w:tc>
          <w:tcPr>
            <w:tcW w:w="847" w:type="dxa"/>
            <w:vAlign w:val="center"/>
            <w:hideMark/>
          </w:tcPr>
          <w:p w:rsidR="005D7A69" w:rsidRPr="00B73775" w:rsidRDefault="005D7A69" w:rsidP="005D7A69">
            <w:pPr>
              <w:jc w:val="center"/>
              <w:rPr>
                <w:rFonts w:ascii="Arial Narrow" w:hAnsi="Arial Narrow"/>
                <w:sz w:val="18"/>
                <w:szCs w:val="18"/>
              </w:rPr>
            </w:pPr>
            <w:r>
              <w:rPr>
                <w:rFonts w:ascii="Arial Narrow" w:hAnsi="Arial Narrow"/>
                <w:sz w:val="18"/>
                <w:szCs w:val="18"/>
              </w:rPr>
              <w:t>8676</w:t>
            </w:r>
          </w:p>
        </w:tc>
        <w:tc>
          <w:tcPr>
            <w:tcW w:w="8220" w:type="dxa"/>
            <w:vAlign w:val="center"/>
            <w:hideMark/>
          </w:tcPr>
          <w:p w:rsidR="005D7A69" w:rsidRPr="00B73775" w:rsidRDefault="005D7A69" w:rsidP="005D7A69">
            <w:pPr>
              <w:rPr>
                <w:rFonts w:ascii="Arial Narrow" w:hAnsi="Arial Narrow"/>
                <w:sz w:val="18"/>
                <w:szCs w:val="18"/>
              </w:rPr>
            </w:pPr>
            <w:r w:rsidRPr="00B73775">
              <w:rPr>
                <w:rFonts w:ascii="Arial Narrow" w:hAnsi="Arial Narrow"/>
                <w:b/>
                <w:bCs/>
                <w:sz w:val="18"/>
                <w:szCs w:val="18"/>
              </w:rPr>
              <w:t>Indication:</w:t>
            </w:r>
            <w:r>
              <w:rPr>
                <w:rFonts w:ascii="Arial Narrow" w:hAnsi="Arial Narrow"/>
                <w:sz w:val="18"/>
                <w:szCs w:val="18"/>
              </w:rPr>
              <w:t xml:space="preserve"> </w:t>
            </w:r>
            <w:proofErr w:type="spellStart"/>
            <w:r w:rsidRPr="00B73775">
              <w:rPr>
                <w:rFonts w:ascii="Arial Narrow" w:hAnsi="Arial Narrow"/>
                <w:sz w:val="18"/>
                <w:szCs w:val="18"/>
              </w:rPr>
              <w:t>Unresectable</w:t>
            </w:r>
            <w:proofErr w:type="spellEnd"/>
            <w:r w:rsidRPr="00B73775">
              <w:rPr>
                <w:rFonts w:ascii="Arial Narrow" w:hAnsi="Arial Narrow"/>
                <w:sz w:val="18"/>
                <w:szCs w:val="18"/>
              </w:rPr>
              <w:t xml:space="preserve"> Stage III or Stage IV malignant melanoma</w:t>
            </w:r>
          </w:p>
        </w:tc>
      </w:tr>
      <w:tr w:rsidR="005D7A69" w:rsidRPr="00B73775" w:rsidTr="002169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Align w:val="center"/>
            <w:hideMark/>
          </w:tcPr>
          <w:p w:rsidR="005D7A69" w:rsidRPr="00B73775" w:rsidRDefault="005D7A69" w:rsidP="005D7A69">
            <w:pPr>
              <w:jc w:val="center"/>
              <w:rPr>
                <w:rFonts w:ascii="Arial Narrow" w:hAnsi="Arial Narrow"/>
                <w:sz w:val="18"/>
                <w:szCs w:val="18"/>
              </w:rPr>
            </w:pPr>
          </w:p>
        </w:tc>
        <w:tc>
          <w:tcPr>
            <w:tcW w:w="8220" w:type="dxa"/>
            <w:vAlign w:val="center"/>
            <w:hideMark/>
          </w:tcPr>
          <w:p w:rsidR="005D7A69" w:rsidRPr="00922F96" w:rsidRDefault="005D7A69" w:rsidP="005D7A69">
            <w:pPr>
              <w:rPr>
                <w:rFonts w:ascii="Arial Narrow" w:hAnsi="Arial Narrow"/>
                <w:i/>
                <w:sz w:val="18"/>
                <w:szCs w:val="18"/>
              </w:rPr>
            </w:pPr>
            <w:r w:rsidRPr="00B73775">
              <w:rPr>
                <w:rFonts w:ascii="Arial Narrow" w:hAnsi="Arial Narrow"/>
                <w:b/>
                <w:bCs/>
                <w:sz w:val="18"/>
                <w:szCs w:val="18"/>
              </w:rPr>
              <w:t>Treatment Phase:</w:t>
            </w:r>
            <w:r>
              <w:rPr>
                <w:rFonts w:ascii="Arial Narrow" w:hAnsi="Arial Narrow"/>
                <w:sz w:val="18"/>
                <w:szCs w:val="18"/>
              </w:rPr>
              <w:t xml:space="preserve"> </w:t>
            </w:r>
            <w:r w:rsidRPr="00B73775">
              <w:rPr>
                <w:rFonts w:ascii="Arial Narrow" w:hAnsi="Arial Narrow"/>
                <w:sz w:val="18"/>
                <w:szCs w:val="18"/>
              </w:rPr>
              <w:t>Initial treatment 2</w:t>
            </w:r>
            <w:r>
              <w:rPr>
                <w:rFonts w:ascii="Arial Narrow" w:hAnsi="Arial Narrow"/>
                <w:sz w:val="18"/>
                <w:szCs w:val="18"/>
              </w:rPr>
              <w:t xml:space="preserve"> </w:t>
            </w:r>
            <w:r>
              <w:rPr>
                <w:rFonts w:ascii="Arial Narrow" w:hAnsi="Arial Narrow"/>
                <w:i/>
                <w:sz w:val="18"/>
                <w:szCs w:val="18"/>
              </w:rPr>
              <w:t>– 3 weekly treatment regimen</w:t>
            </w:r>
          </w:p>
        </w:tc>
      </w:tr>
      <w:tr w:rsidR="005D7A69" w:rsidRPr="00B73775" w:rsidTr="002169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Align w:val="center"/>
            <w:hideMark/>
          </w:tcPr>
          <w:p w:rsidR="005D7A69" w:rsidRPr="00B73775" w:rsidRDefault="005D7A69" w:rsidP="005D7A69">
            <w:pPr>
              <w:jc w:val="center"/>
              <w:rPr>
                <w:rFonts w:ascii="Arial Narrow" w:hAnsi="Arial Narrow"/>
                <w:sz w:val="18"/>
                <w:szCs w:val="18"/>
              </w:rPr>
            </w:pPr>
            <w:r>
              <w:rPr>
                <w:rFonts w:ascii="Arial Narrow" w:hAnsi="Arial Narrow"/>
                <w:sz w:val="18"/>
                <w:szCs w:val="18"/>
              </w:rPr>
              <w:t>16650</w:t>
            </w:r>
          </w:p>
        </w:tc>
        <w:tc>
          <w:tcPr>
            <w:tcW w:w="8220" w:type="dxa"/>
            <w:vAlign w:val="center"/>
            <w:hideMark/>
          </w:tcPr>
          <w:p w:rsidR="005D7A69" w:rsidRPr="00B73775" w:rsidRDefault="005D7A69" w:rsidP="005D7A69">
            <w:pPr>
              <w:rPr>
                <w:rFonts w:ascii="Arial Narrow" w:hAnsi="Arial Narrow"/>
                <w:sz w:val="18"/>
                <w:szCs w:val="18"/>
              </w:rPr>
            </w:pPr>
            <w:r w:rsidRPr="00B73775">
              <w:rPr>
                <w:rFonts w:ascii="Arial Narrow" w:hAnsi="Arial Narrow"/>
                <w:b/>
                <w:bCs/>
                <w:sz w:val="18"/>
                <w:szCs w:val="18"/>
              </w:rPr>
              <w:t>Clinical criteria:</w:t>
            </w:r>
          </w:p>
        </w:tc>
      </w:tr>
      <w:tr w:rsidR="005D7A69" w:rsidRPr="00B73775" w:rsidTr="002169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Align w:val="center"/>
            <w:hideMark/>
          </w:tcPr>
          <w:p w:rsidR="005D7A69" w:rsidRPr="00B73775" w:rsidRDefault="005D7A69" w:rsidP="005D7A69">
            <w:pPr>
              <w:jc w:val="center"/>
              <w:rPr>
                <w:rFonts w:ascii="Arial Narrow" w:hAnsi="Arial Narrow"/>
                <w:sz w:val="18"/>
                <w:szCs w:val="18"/>
              </w:rPr>
            </w:pPr>
            <w:r>
              <w:rPr>
                <w:rFonts w:ascii="Arial Narrow" w:hAnsi="Arial Narrow"/>
                <w:sz w:val="18"/>
                <w:szCs w:val="18"/>
              </w:rPr>
              <w:t>16649</w:t>
            </w:r>
          </w:p>
        </w:tc>
        <w:tc>
          <w:tcPr>
            <w:tcW w:w="8220" w:type="dxa"/>
            <w:vAlign w:val="center"/>
            <w:hideMark/>
          </w:tcPr>
          <w:p w:rsidR="005D7A69" w:rsidRPr="00B73775" w:rsidRDefault="005D7A69" w:rsidP="005D7A69">
            <w:pPr>
              <w:rPr>
                <w:rFonts w:ascii="Arial Narrow" w:hAnsi="Arial Narrow"/>
                <w:sz w:val="18"/>
                <w:szCs w:val="18"/>
              </w:rPr>
            </w:pPr>
            <w:r>
              <w:rPr>
                <w:rFonts w:ascii="Arial Narrow" w:hAnsi="Arial Narrow"/>
                <w:sz w:val="18"/>
                <w:szCs w:val="18"/>
              </w:rPr>
              <w:t>T</w:t>
            </w:r>
            <w:r w:rsidRPr="00B73775">
              <w:rPr>
                <w:rFonts w:ascii="Arial Narrow" w:hAnsi="Arial Narrow"/>
                <w:sz w:val="18"/>
                <w:szCs w:val="18"/>
              </w:rPr>
              <w:t>he condition must be negative for a BRAF V600 mutation</w:t>
            </w:r>
          </w:p>
        </w:tc>
      </w:tr>
      <w:tr w:rsidR="005D7A69" w:rsidRPr="00B73775" w:rsidTr="002169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Align w:val="center"/>
            <w:hideMark/>
          </w:tcPr>
          <w:p w:rsidR="005D7A69" w:rsidRPr="00B73775" w:rsidRDefault="005D7A69" w:rsidP="005D7A69">
            <w:pPr>
              <w:jc w:val="center"/>
              <w:rPr>
                <w:rFonts w:ascii="Arial Narrow" w:hAnsi="Arial Narrow"/>
                <w:sz w:val="18"/>
                <w:szCs w:val="18"/>
              </w:rPr>
            </w:pPr>
          </w:p>
        </w:tc>
        <w:tc>
          <w:tcPr>
            <w:tcW w:w="8220" w:type="dxa"/>
            <w:vAlign w:val="center"/>
            <w:hideMark/>
          </w:tcPr>
          <w:p w:rsidR="005D7A69" w:rsidRPr="00B73775" w:rsidRDefault="005D7A69" w:rsidP="005D7A69">
            <w:pPr>
              <w:rPr>
                <w:rFonts w:ascii="Arial Narrow" w:hAnsi="Arial Narrow"/>
                <w:sz w:val="18"/>
                <w:szCs w:val="18"/>
              </w:rPr>
            </w:pPr>
            <w:r w:rsidRPr="00B73775">
              <w:rPr>
                <w:rFonts w:ascii="Arial Narrow" w:hAnsi="Arial Narrow"/>
                <w:b/>
                <w:bCs/>
                <w:sz w:val="18"/>
                <w:szCs w:val="18"/>
              </w:rPr>
              <w:t>AND</w:t>
            </w:r>
          </w:p>
        </w:tc>
      </w:tr>
      <w:tr w:rsidR="005D7A69" w:rsidRPr="00B73775" w:rsidTr="002169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Align w:val="center"/>
            <w:hideMark/>
          </w:tcPr>
          <w:p w:rsidR="005D7A69" w:rsidRPr="00B73775" w:rsidRDefault="005D7A69" w:rsidP="005D7A69">
            <w:pPr>
              <w:jc w:val="center"/>
              <w:rPr>
                <w:rFonts w:ascii="Arial Narrow" w:hAnsi="Arial Narrow"/>
                <w:sz w:val="18"/>
                <w:szCs w:val="18"/>
              </w:rPr>
            </w:pPr>
            <w:r>
              <w:rPr>
                <w:rFonts w:ascii="Arial Narrow" w:hAnsi="Arial Narrow"/>
                <w:sz w:val="18"/>
                <w:szCs w:val="18"/>
              </w:rPr>
              <w:t>18686</w:t>
            </w:r>
          </w:p>
        </w:tc>
        <w:tc>
          <w:tcPr>
            <w:tcW w:w="8220" w:type="dxa"/>
            <w:vAlign w:val="center"/>
            <w:hideMark/>
          </w:tcPr>
          <w:p w:rsidR="005D7A69" w:rsidRPr="00B73775" w:rsidRDefault="005D7A69" w:rsidP="005D7A69">
            <w:pPr>
              <w:rPr>
                <w:rFonts w:ascii="Arial Narrow" w:hAnsi="Arial Narrow"/>
                <w:sz w:val="18"/>
                <w:szCs w:val="18"/>
              </w:rPr>
            </w:pPr>
            <w:r w:rsidRPr="00B73775">
              <w:rPr>
                <w:rFonts w:ascii="Arial Narrow" w:hAnsi="Arial Narrow"/>
                <w:b/>
                <w:bCs/>
                <w:sz w:val="18"/>
                <w:szCs w:val="18"/>
              </w:rPr>
              <w:t>Clinical criteria:</w:t>
            </w:r>
          </w:p>
        </w:tc>
      </w:tr>
      <w:tr w:rsidR="005D7A69" w:rsidRPr="00B73775" w:rsidTr="002169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477"/>
        </w:trPr>
        <w:tc>
          <w:tcPr>
            <w:tcW w:w="847" w:type="dxa"/>
            <w:vAlign w:val="center"/>
            <w:hideMark/>
          </w:tcPr>
          <w:p w:rsidR="005D7A69" w:rsidRPr="004134A8" w:rsidRDefault="005D7A69" w:rsidP="005D7A69">
            <w:pPr>
              <w:jc w:val="center"/>
              <w:rPr>
                <w:rFonts w:ascii="Arial Narrow" w:hAnsi="Arial Narrow"/>
                <w:color w:val="FF00FF"/>
                <w:sz w:val="18"/>
                <w:szCs w:val="18"/>
              </w:rPr>
            </w:pPr>
            <w:r w:rsidRPr="004134A8">
              <w:rPr>
                <w:rFonts w:ascii="Arial Narrow" w:hAnsi="Arial Narrow"/>
                <w:color w:val="FF00FF"/>
                <w:sz w:val="18"/>
                <w:szCs w:val="18"/>
              </w:rPr>
              <w:t>Edit</w:t>
            </w:r>
          </w:p>
          <w:p w:rsidR="005D7A69" w:rsidRPr="00B73775" w:rsidRDefault="005D7A69" w:rsidP="005D7A69">
            <w:pPr>
              <w:jc w:val="center"/>
              <w:rPr>
                <w:rFonts w:ascii="Arial Narrow" w:hAnsi="Arial Narrow"/>
                <w:sz w:val="18"/>
                <w:szCs w:val="18"/>
              </w:rPr>
            </w:pPr>
            <w:r>
              <w:rPr>
                <w:rFonts w:ascii="Arial Narrow" w:hAnsi="Arial Narrow"/>
                <w:sz w:val="18"/>
                <w:szCs w:val="18"/>
              </w:rPr>
              <w:t>18685</w:t>
            </w:r>
          </w:p>
        </w:tc>
        <w:tc>
          <w:tcPr>
            <w:tcW w:w="8220" w:type="dxa"/>
            <w:vAlign w:val="center"/>
            <w:hideMark/>
          </w:tcPr>
          <w:p w:rsidR="005D7A69" w:rsidRPr="00B73775" w:rsidRDefault="005D7A69" w:rsidP="005D7A69">
            <w:pPr>
              <w:rPr>
                <w:rFonts w:ascii="Arial Narrow" w:hAnsi="Arial Narrow"/>
                <w:sz w:val="18"/>
                <w:szCs w:val="18"/>
              </w:rPr>
            </w:pPr>
            <w:r w:rsidRPr="00B73775">
              <w:rPr>
                <w:rFonts w:ascii="Arial Narrow" w:hAnsi="Arial Narrow"/>
                <w:sz w:val="18"/>
                <w:szCs w:val="18"/>
              </w:rPr>
              <w:t xml:space="preserve">Patient must not have received prior treatment with </w:t>
            </w:r>
            <w:proofErr w:type="spellStart"/>
            <w:r w:rsidRPr="00B73775">
              <w:rPr>
                <w:rFonts w:ascii="Arial Narrow" w:hAnsi="Arial Narrow"/>
                <w:sz w:val="18"/>
                <w:szCs w:val="18"/>
              </w:rPr>
              <w:t>ipilimumab</w:t>
            </w:r>
            <w:proofErr w:type="spellEnd"/>
            <w:r w:rsidRPr="00B73775">
              <w:rPr>
                <w:rFonts w:ascii="Arial Narrow" w:hAnsi="Arial Narrow"/>
                <w:sz w:val="18"/>
                <w:szCs w:val="18"/>
              </w:rPr>
              <w:t xml:space="preserve"> or a PD-1 (programmed cell death-1) inhibitor for </w:t>
            </w:r>
            <w:r w:rsidRPr="004134A8">
              <w:rPr>
                <w:rFonts w:ascii="Arial Narrow" w:hAnsi="Arial Narrow"/>
                <w:strike/>
                <w:sz w:val="18"/>
                <w:szCs w:val="18"/>
              </w:rPr>
              <w:t>this condition</w:t>
            </w:r>
            <w:r w:rsidRPr="004134A8">
              <w:rPr>
                <w:rFonts w:ascii="Arial Narrow" w:hAnsi="Arial Narrow"/>
                <w:i/>
                <w:sz w:val="18"/>
                <w:szCs w:val="18"/>
              </w:rPr>
              <w:t xml:space="preserve"> the treatment of </w:t>
            </w:r>
            <w:proofErr w:type="spellStart"/>
            <w:r w:rsidRPr="004134A8">
              <w:rPr>
                <w:rFonts w:ascii="Arial Narrow" w:hAnsi="Arial Narrow"/>
                <w:i/>
                <w:sz w:val="18"/>
                <w:szCs w:val="18"/>
              </w:rPr>
              <w:t>unresectable</w:t>
            </w:r>
            <w:proofErr w:type="spellEnd"/>
            <w:r w:rsidRPr="004134A8">
              <w:rPr>
                <w:rFonts w:ascii="Arial Narrow" w:hAnsi="Arial Narrow"/>
                <w:i/>
                <w:sz w:val="18"/>
                <w:szCs w:val="18"/>
              </w:rPr>
              <w:t xml:space="preserve"> Stage III </w:t>
            </w:r>
            <w:r>
              <w:rPr>
                <w:rFonts w:ascii="Arial Narrow" w:hAnsi="Arial Narrow"/>
                <w:i/>
                <w:sz w:val="18"/>
                <w:szCs w:val="18"/>
              </w:rPr>
              <w:t>or Stage IV malignant melanoma</w:t>
            </w:r>
          </w:p>
        </w:tc>
      </w:tr>
      <w:tr w:rsidR="005D7A69" w:rsidRPr="00B73775" w:rsidTr="002169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116"/>
        </w:trPr>
        <w:tc>
          <w:tcPr>
            <w:tcW w:w="847" w:type="dxa"/>
            <w:vAlign w:val="center"/>
          </w:tcPr>
          <w:p w:rsidR="005D7A69" w:rsidRDefault="005D7A69" w:rsidP="005D7A69">
            <w:pPr>
              <w:jc w:val="center"/>
              <w:rPr>
                <w:rFonts w:ascii="Arial Narrow" w:hAnsi="Arial Narrow"/>
                <w:sz w:val="18"/>
                <w:szCs w:val="18"/>
              </w:rPr>
            </w:pPr>
          </w:p>
        </w:tc>
        <w:tc>
          <w:tcPr>
            <w:tcW w:w="8220" w:type="dxa"/>
            <w:vAlign w:val="center"/>
          </w:tcPr>
          <w:p w:rsidR="005D7A69" w:rsidRPr="004134A8" w:rsidRDefault="005D7A69" w:rsidP="005D7A69">
            <w:pPr>
              <w:rPr>
                <w:rFonts w:ascii="Arial Narrow" w:hAnsi="Arial Narrow"/>
                <w:b/>
                <w:i/>
                <w:sz w:val="18"/>
                <w:szCs w:val="18"/>
              </w:rPr>
            </w:pPr>
            <w:r w:rsidRPr="004134A8">
              <w:rPr>
                <w:rFonts w:ascii="Arial Narrow" w:hAnsi="Arial Narrow"/>
                <w:b/>
                <w:i/>
                <w:sz w:val="18"/>
                <w:szCs w:val="18"/>
              </w:rPr>
              <w:t>AND</w:t>
            </w:r>
          </w:p>
        </w:tc>
      </w:tr>
      <w:tr w:rsidR="005D7A69" w:rsidRPr="00B73775" w:rsidTr="002169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116"/>
        </w:trPr>
        <w:tc>
          <w:tcPr>
            <w:tcW w:w="847" w:type="dxa"/>
            <w:vMerge w:val="restart"/>
            <w:vAlign w:val="center"/>
          </w:tcPr>
          <w:p w:rsidR="005D7A69" w:rsidRPr="004134A8" w:rsidRDefault="005D7A69" w:rsidP="005D7A69">
            <w:pPr>
              <w:jc w:val="center"/>
              <w:rPr>
                <w:rFonts w:ascii="Arial Narrow" w:hAnsi="Arial Narrow"/>
                <w:color w:val="FF00FF"/>
                <w:sz w:val="18"/>
                <w:szCs w:val="18"/>
              </w:rPr>
            </w:pPr>
            <w:r w:rsidRPr="004134A8">
              <w:rPr>
                <w:rFonts w:ascii="Arial Narrow" w:hAnsi="Arial Narrow"/>
                <w:color w:val="FF00FF"/>
                <w:sz w:val="18"/>
                <w:szCs w:val="18"/>
              </w:rPr>
              <w:t>Insert</w:t>
            </w:r>
          </w:p>
          <w:p w:rsidR="005D7A69" w:rsidRDefault="005D7A69" w:rsidP="005D7A69">
            <w:pPr>
              <w:jc w:val="center"/>
              <w:rPr>
                <w:rFonts w:ascii="Arial Narrow" w:hAnsi="Arial Narrow"/>
                <w:sz w:val="18"/>
                <w:szCs w:val="18"/>
              </w:rPr>
            </w:pPr>
            <w:r>
              <w:rPr>
                <w:rFonts w:ascii="Arial Narrow" w:hAnsi="Arial Narrow"/>
                <w:sz w:val="18"/>
                <w:szCs w:val="18"/>
              </w:rPr>
              <w:t>NEW</w:t>
            </w:r>
          </w:p>
        </w:tc>
        <w:tc>
          <w:tcPr>
            <w:tcW w:w="8220" w:type="dxa"/>
            <w:vAlign w:val="center"/>
          </w:tcPr>
          <w:p w:rsidR="005D7A69" w:rsidRPr="004134A8" w:rsidRDefault="005D7A69" w:rsidP="005D7A69">
            <w:pPr>
              <w:rPr>
                <w:rFonts w:ascii="Arial Narrow" w:hAnsi="Arial Narrow"/>
                <w:b/>
                <w:i/>
                <w:sz w:val="18"/>
                <w:szCs w:val="18"/>
              </w:rPr>
            </w:pPr>
            <w:r w:rsidRPr="004134A8">
              <w:rPr>
                <w:rFonts w:ascii="Arial Narrow" w:hAnsi="Arial Narrow"/>
                <w:b/>
                <w:i/>
                <w:sz w:val="18"/>
                <w:szCs w:val="18"/>
              </w:rPr>
              <w:t>Clinical criteria:</w:t>
            </w:r>
          </w:p>
        </w:tc>
      </w:tr>
      <w:tr w:rsidR="005D7A69" w:rsidRPr="00B73775" w:rsidTr="002169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550"/>
        </w:trPr>
        <w:tc>
          <w:tcPr>
            <w:tcW w:w="847" w:type="dxa"/>
            <w:vMerge/>
            <w:vAlign w:val="center"/>
          </w:tcPr>
          <w:p w:rsidR="005D7A69" w:rsidRDefault="005D7A69" w:rsidP="005D7A69">
            <w:pPr>
              <w:jc w:val="center"/>
              <w:rPr>
                <w:rFonts w:ascii="Arial Narrow" w:hAnsi="Arial Narrow"/>
                <w:sz w:val="18"/>
                <w:szCs w:val="18"/>
              </w:rPr>
            </w:pPr>
          </w:p>
        </w:tc>
        <w:tc>
          <w:tcPr>
            <w:tcW w:w="8220" w:type="dxa"/>
            <w:vAlign w:val="center"/>
          </w:tcPr>
          <w:p w:rsidR="005D7A69" w:rsidRPr="00B73775" w:rsidRDefault="005D7A69" w:rsidP="005D7A69">
            <w:pPr>
              <w:rPr>
                <w:rFonts w:ascii="Arial Narrow" w:hAnsi="Arial Narrow"/>
                <w:sz w:val="18"/>
                <w:szCs w:val="18"/>
              </w:rPr>
            </w:pPr>
            <w:r w:rsidRPr="007E5071">
              <w:rPr>
                <w:rFonts w:ascii="Arial Narrow" w:hAnsi="Arial Narrow"/>
                <w:i/>
                <w:color w:val="333333"/>
                <w:sz w:val="18"/>
                <w:szCs w:val="18"/>
              </w:rPr>
              <w:t xml:space="preserve">Patient must not have experienced disease progression whilst on adjuvant PD-1 inhibitor treatment or disease recurrence within 6 months of completion of adjuvant PD-1 inhibitor treatment if treated for resected Stage IIIB, IIIC, IIID or IV melanoma </w:t>
            </w:r>
          </w:p>
        </w:tc>
      </w:tr>
      <w:tr w:rsidR="005D7A69" w:rsidRPr="00B73775" w:rsidTr="002169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Align w:val="center"/>
            <w:hideMark/>
          </w:tcPr>
          <w:p w:rsidR="005D7A69" w:rsidRPr="00B73775" w:rsidRDefault="005D7A69" w:rsidP="005D7A69">
            <w:pPr>
              <w:jc w:val="center"/>
              <w:rPr>
                <w:rFonts w:ascii="Arial Narrow" w:hAnsi="Arial Narrow"/>
                <w:sz w:val="18"/>
                <w:szCs w:val="18"/>
              </w:rPr>
            </w:pPr>
          </w:p>
        </w:tc>
        <w:tc>
          <w:tcPr>
            <w:tcW w:w="8220" w:type="dxa"/>
            <w:vAlign w:val="center"/>
            <w:hideMark/>
          </w:tcPr>
          <w:p w:rsidR="005D7A69" w:rsidRPr="00B73775" w:rsidRDefault="005D7A69" w:rsidP="005D7A69">
            <w:pPr>
              <w:rPr>
                <w:rFonts w:ascii="Arial Narrow" w:hAnsi="Arial Narrow"/>
                <w:sz w:val="18"/>
                <w:szCs w:val="18"/>
              </w:rPr>
            </w:pPr>
            <w:r w:rsidRPr="00B73775">
              <w:rPr>
                <w:rFonts w:ascii="Arial Narrow" w:hAnsi="Arial Narrow"/>
                <w:b/>
                <w:bCs/>
                <w:sz w:val="18"/>
                <w:szCs w:val="18"/>
              </w:rPr>
              <w:t>AND</w:t>
            </w:r>
          </w:p>
        </w:tc>
      </w:tr>
      <w:tr w:rsidR="005D7A69" w:rsidRPr="00B73775" w:rsidTr="002169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Align w:val="center"/>
            <w:hideMark/>
          </w:tcPr>
          <w:p w:rsidR="005D7A69" w:rsidRPr="00B73775" w:rsidRDefault="005D7A69" w:rsidP="005D7A69">
            <w:pPr>
              <w:jc w:val="center"/>
              <w:rPr>
                <w:rFonts w:ascii="Arial Narrow" w:hAnsi="Arial Narrow"/>
                <w:sz w:val="18"/>
                <w:szCs w:val="18"/>
              </w:rPr>
            </w:pPr>
            <w:r>
              <w:rPr>
                <w:rFonts w:ascii="Arial Narrow" w:hAnsi="Arial Narrow"/>
                <w:sz w:val="18"/>
                <w:szCs w:val="18"/>
              </w:rPr>
              <w:t>7890</w:t>
            </w:r>
          </w:p>
        </w:tc>
        <w:tc>
          <w:tcPr>
            <w:tcW w:w="8220" w:type="dxa"/>
            <w:vAlign w:val="center"/>
            <w:hideMark/>
          </w:tcPr>
          <w:p w:rsidR="005D7A69" w:rsidRPr="00B73775" w:rsidRDefault="005D7A69" w:rsidP="005D7A69">
            <w:pPr>
              <w:rPr>
                <w:rFonts w:ascii="Arial Narrow" w:hAnsi="Arial Narrow"/>
                <w:sz w:val="18"/>
                <w:szCs w:val="18"/>
              </w:rPr>
            </w:pPr>
            <w:r w:rsidRPr="00B73775">
              <w:rPr>
                <w:rFonts w:ascii="Arial Narrow" w:hAnsi="Arial Narrow"/>
                <w:b/>
                <w:bCs/>
                <w:sz w:val="18"/>
                <w:szCs w:val="18"/>
              </w:rPr>
              <w:t>Clinical criteria:</w:t>
            </w:r>
          </w:p>
        </w:tc>
      </w:tr>
      <w:tr w:rsidR="005D7A69" w:rsidRPr="00B73775" w:rsidTr="002169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Align w:val="center"/>
            <w:hideMark/>
          </w:tcPr>
          <w:p w:rsidR="005D7A69" w:rsidRPr="00B73775" w:rsidRDefault="005D7A69" w:rsidP="005D7A69">
            <w:pPr>
              <w:jc w:val="center"/>
              <w:rPr>
                <w:rFonts w:ascii="Arial Narrow" w:hAnsi="Arial Narrow"/>
                <w:sz w:val="18"/>
                <w:szCs w:val="18"/>
              </w:rPr>
            </w:pPr>
            <w:r>
              <w:rPr>
                <w:rFonts w:ascii="Arial Narrow" w:hAnsi="Arial Narrow"/>
                <w:sz w:val="18"/>
                <w:szCs w:val="18"/>
              </w:rPr>
              <w:t>7889</w:t>
            </w:r>
          </w:p>
        </w:tc>
        <w:tc>
          <w:tcPr>
            <w:tcW w:w="8220" w:type="dxa"/>
            <w:vAlign w:val="center"/>
            <w:hideMark/>
          </w:tcPr>
          <w:p w:rsidR="005D7A69" w:rsidRPr="00B73775" w:rsidRDefault="005D7A69" w:rsidP="005D7A69">
            <w:pPr>
              <w:rPr>
                <w:rFonts w:ascii="Arial Narrow" w:hAnsi="Arial Narrow"/>
                <w:sz w:val="18"/>
                <w:szCs w:val="18"/>
              </w:rPr>
            </w:pPr>
            <w:r w:rsidRPr="00B73775">
              <w:rPr>
                <w:rFonts w:ascii="Arial Narrow" w:hAnsi="Arial Narrow"/>
                <w:sz w:val="18"/>
                <w:szCs w:val="18"/>
              </w:rPr>
              <w:t>The treatment must be the sole PBS-subsidised therapy for this condition</w:t>
            </w:r>
          </w:p>
        </w:tc>
      </w:tr>
      <w:tr w:rsidR="005D7A69" w:rsidRPr="00B73775" w:rsidTr="002169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Align w:val="center"/>
            <w:hideMark/>
          </w:tcPr>
          <w:p w:rsidR="005D7A69" w:rsidRPr="00B73775" w:rsidRDefault="005D7A69" w:rsidP="005D7A69">
            <w:pPr>
              <w:jc w:val="center"/>
              <w:rPr>
                <w:rFonts w:ascii="Arial Narrow" w:hAnsi="Arial Narrow"/>
                <w:sz w:val="18"/>
                <w:szCs w:val="18"/>
              </w:rPr>
            </w:pPr>
          </w:p>
        </w:tc>
        <w:tc>
          <w:tcPr>
            <w:tcW w:w="8220" w:type="dxa"/>
            <w:vAlign w:val="center"/>
            <w:hideMark/>
          </w:tcPr>
          <w:p w:rsidR="005D7A69" w:rsidRPr="00B73775" w:rsidRDefault="005D7A69" w:rsidP="005D7A69">
            <w:pPr>
              <w:rPr>
                <w:rFonts w:ascii="Arial Narrow" w:hAnsi="Arial Narrow"/>
                <w:sz w:val="18"/>
                <w:szCs w:val="18"/>
              </w:rPr>
            </w:pPr>
            <w:r w:rsidRPr="00B73775">
              <w:rPr>
                <w:rFonts w:ascii="Arial Narrow" w:hAnsi="Arial Narrow"/>
                <w:b/>
                <w:bCs/>
                <w:sz w:val="18"/>
                <w:szCs w:val="18"/>
              </w:rPr>
              <w:t>AND</w:t>
            </w:r>
          </w:p>
        </w:tc>
      </w:tr>
      <w:tr w:rsidR="005D7A69" w:rsidRPr="00B73775" w:rsidTr="002169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Align w:val="center"/>
            <w:hideMark/>
          </w:tcPr>
          <w:p w:rsidR="005D7A69" w:rsidRPr="00B73775" w:rsidRDefault="005D7A69" w:rsidP="005D7A69">
            <w:pPr>
              <w:jc w:val="center"/>
              <w:rPr>
                <w:rFonts w:ascii="Arial Narrow" w:hAnsi="Arial Narrow"/>
                <w:sz w:val="18"/>
                <w:szCs w:val="18"/>
              </w:rPr>
            </w:pPr>
            <w:r>
              <w:rPr>
                <w:rFonts w:ascii="Arial Narrow" w:hAnsi="Arial Narrow"/>
                <w:sz w:val="18"/>
                <w:szCs w:val="18"/>
              </w:rPr>
              <w:t>25069</w:t>
            </w:r>
          </w:p>
        </w:tc>
        <w:tc>
          <w:tcPr>
            <w:tcW w:w="8220" w:type="dxa"/>
            <w:vAlign w:val="center"/>
            <w:hideMark/>
          </w:tcPr>
          <w:p w:rsidR="005D7A69" w:rsidRPr="00B73775" w:rsidRDefault="005D7A69" w:rsidP="005D7A69">
            <w:pPr>
              <w:rPr>
                <w:rFonts w:ascii="Arial Narrow" w:hAnsi="Arial Narrow"/>
                <w:sz w:val="18"/>
                <w:szCs w:val="18"/>
              </w:rPr>
            </w:pPr>
            <w:r w:rsidRPr="00B73775">
              <w:rPr>
                <w:rFonts w:ascii="Arial Narrow" w:hAnsi="Arial Narrow"/>
                <w:b/>
                <w:bCs/>
                <w:sz w:val="18"/>
                <w:szCs w:val="18"/>
              </w:rPr>
              <w:t>Clinical criteria:</w:t>
            </w:r>
          </w:p>
        </w:tc>
      </w:tr>
      <w:tr w:rsidR="005D7A69" w:rsidRPr="00B73775" w:rsidTr="002169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332"/>
        </w:trPr>
        <w:tc>
          <w:tcPr>
            <w:tcW w:w="847" w:type="dxa"/>
            <w:vAlign w:val="center"/>
            <w:hideMark/>
          </w:tcPr>
          <w:p w:rsidR="005D7A69" w:rsidRPr="00B73775" w:rsidRDefault="005D7A69" w:rsidP="005D7A69">
            <w:pPr>
              <w:jc w:val="center"/>
              <w:rPr>
                <w:rFonts w:ascii="Arial Narrow" w:hAnsi="Arial Narrow"/>
                <w:sz w:val="18"/>
                <w:szCs w:val="18"/>
              </w:rPr>
            </w:pPr>
            <w:r>
              <w:rPr>
                <w:rFonts w:ascii="Arial Narrow" w:hAnsi="Arial Narrow"/>
                <w:sz w:val="18"/>
                <w:szCs w:val="18"/>
              </w:rPr>
              <w:t>25068</w:t>
            </w:r>
          </w:p>
        </w:tc>
        <w:tc>
          <w:tcPr>
            <w:tcW w:w="8220" w:type="dxa"/>
            <w:vAlign w:val="center"/>
          </w:tcPr>
          <w:p w:rsidR="005D7A69" w:rsidRPr="00B73775" w:rsidRDefault="005D7A69" w:rsidP="005D7A69">
            <w:pPr>
              <w:rPr>
                <w:rFonts w:ascii="Arial Narrow" w:hAnsi="Arial Narrow"/>
                <w:sz w:val="18"/>
                <w:szCs w:val="18"/>
              </w:rPr>
            </w:pPr>
            <w:r w:rsidRPr="00D977CA">
              <w:rPr>
                <w:rFonts w:ascii="Arial Narrow" w:hAnsi="Arial Narrow"/>
                <w:sz w:val="18"/>
                <w:szCs w:val="18"/>
              </w:rPr>
              <w:t>The treatment must not exceed a total of 6 doses under this restriction</w:t>
            </w:r>
          </w:p>
        </w:tc>
      </w:tr>
      <w:tr w:rsidR="005D7A69" w:rsidRPr="00B73775" w:rsidTr="002169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47" w:type="dxa"/>
            <w:vAlign w:val="center"/>
            <w:hideMark/>
          </w:tcPr>
          <w:p w:rsidR="005D7A69" w:rsidRPr="00B73775" w:rsidRDefault="005D7A69" w:rsidP="005D7A69">
            <w:pPr>
              <w:jc w:val="center"/>
              <w:rPr>
                <w:rFonts w:ascii="Arial Narrow" w:hAnsi="Arial Narrow"/>
                <w:sz w:val="18"/>
                <w:szCs w:val="18"/>
              </w:rPr>
            </w:pPr>
            <w:r>
              <w:rPr>
                <w:rFonts w:ascii="Arial Narrow" w:hAnsi="Arial Narrow"/>
                <w:sz w:val="18"/>
                <w:szCs w:val="18"/>
              </w:rPr>
              <w:t>14458</w:t>
            </w:r>
          </w:p>
        </w:tc>
        <w:tc>
          <w:tcPr>
            <w:tcW w:w="8220" w:type="dxa"/>
            <w:vAlign w:val="center"/>
            <w:hideMark/>
          </w:tcPr>
          <w:p w:rsidR="005D7A69" w:rsidRPr="00B73775" w:rsidRDefault="005D7A69" w:rsidP="005D7A69">
            <w:pPr>
              <w:rPr>
                <w:rFonts w:ascii="Arial Narrow" w:hAnsi="Arial Narrow"/>
                <w:sz w:val="18"/>
                <w:szCs w:val="18"/>
              </w:rPr>
            </w:pPr>
            <w:r w:rsidRPr="00B73775">
              <w:rPr>
                <w:rFonts w:ascii="Arial Narrow" w:hAnsi="Arial Narrow"/>
                <w:b/>
                <w:bCs/>
                <w:sz w:val="18"/>
                <w:szCs w:val="18"/>
              </w:rPr>
              <w:t>Administrative Advice:</w:t>
            </w:r>
          </w:p>
          <w:p w:rsidR="005D7A69" w:rsidRPr="00B73775" w:rsidRDefault="005D7A69" w:rsidP="005D7A69">
            <w:pPr>
              <w:rPr>
                <w:rFonts w:ascii="Arial Narrow" w:hAnsi="Arial Narrow"/>
                <w:sz w:val="18"/>
                <w:szCs w:val="18"/>
              </w:rPr>
            </w:pPr>
            <w:r w:rsidRPr="00B73775">
              <w:rPr>
                <w:rFonts w:ascii="Arial Narrow" w:hAnsi="Arial Narrow"/>
                <w:sz w:val="18"/>
                <w:szCs w:val="18"/>
              </w:rPr>
              <w:t>In the first few months after start of immunotherapy, some patients can have a transient tumour flare with subsequent disease response. When progression is suspected, this should be confirmed through a confirmatory scan, taken at least 4 weeks later.</w:t>
            </w:r>
          </w:p>
        </w:tc>
      </w:tr>
    </w:tbl>
    <w:p w:rsidR="00055C70" w:rsidRDefault="00055C70" w:rsidP="00055C70">
      <w:pPr>
        <w:rPr>
          <w:rFonts w:asciiTheme="minorHAnsi" w:hAnsiTheme="minorHAnsi"/>
          <w:i/>
        </w:rPr>
      </w:pPr>
    </w:p>
    <w:p w:rsidR="00922F96" w:rsidRDefault="00922F96" w:rsidP="00055C70">
      <w:pPr>
        <w:rPr>
          <w:rFonts w:asciiTheme="minorHAnsi" w:hAnsiTheme="minorHAnsi"/>
          <w:i/>
        </w:rPr>
      </w:pPr>
      <w:r>
        <w:rPr>
          <w:rFonts w:asciiTheme="minorHAnsi" w:hAnsiTheme="minorHAnsi"/>
          <w:i/>
        </w:rPr>
        <w:t>These restrictions may be subject to further review. Should there be any changes made to the restriction the Sponsor will be informed.</w:t>
      </w:r>
    </w:p>
    <w:p w:rsidR="004178D9" w:rsidRDefault="004178D9" w:rsidP="00055C70">
      <w:pPr>
        <w:rPr>
          <w:rFonts w:asciiTheme="minorHAnsi" w:hAnsiTheme="minorHAnsi"/>
          <w:i/>
        </w:rPr>
      </w:pPr>
    </w:p>
    <w:p w:rsidR="004178D9" w:rsidRDefault="004178D9" w:rsidP="004178D9">
      <w:pPr>
        <w:pStyle w:val="2Sections"/>
        <w:numPr>
          <w:ilvl w:val="0"/>
          <w:numId w:val="1"/>
        </w:numPr>
        <w:rPr>
          <w:rFonts w:cstheme="minorHAnsi"/>
        </w:rPr>
      </w:pPr>
      <w:r>
        <w:t xml:space="preserve">Context for Decision </w:t>
      </w:r>
    </w:p>
    <w:p w:rsidR="004178D9" w:rsidRPr="00230403" w:rsidRDefault="004C2AC7" w:rsidP="00230403">
      <w:pPr>
        <w:jc w:val="both"/>
        <w:rPr>
          <w:rFonts w:asciiTheme="minorHAnsi" w:hAnsiTheme="minorHAnsi" w:cs="Arial"/>
        </w:rPr>
      </w:pPr>
      <w:r w:rsidRPr="004C2AC7">
        <w:rPr>
          <w:rFonts w:asciiTheme="minorHAnsi" w:hAnsiTheme="minorHAnsi" w:cs="Arial"/>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r w:rsidR="00230403">
        <w:rPr>
          <w:lang w:eastAsia="en-US"/>
        </w:rPr>
        <w:br w:type="page"/>
      </w:r>
    </w:p>
    <w:p w:rsidR="004178D9" w:rsidRPr="00D53BD3" w:rsidRDefault="004178D9" w:rsidP="004178D9">
      <w:pPr>
        <w:pStyle w:val="2Sections"/>
        <w:numPr>
          <w:ilvl w:val="0"/>
          <w:numId w:val="1"/>
        </w:numPr>
      </w:pPr>
      <w:r w:rsidRPr="00D53BD3">
        <w:lastRenderedPageBreak/>
        <w:t>Sponsor’s Comment</w:t>
      </w:r>
    </w:p>
    <w:p w:rsidR="004178D9" w:rsidRPr="00A20A1E" w:rsidRDefault="00A20A1E" w:rsidP="00055C70">
      <w:pPr>
        <w:rPr>
          <w:rFonts w:asciiTheme="minorHAnsi" w:hAnsiTheme="minorHAnsi"/>
        </w:rPr>
      </w:pPr>
      <w:r w:rsidRPr="00A20A1E">
        <w:rPr>
          <w:rFonts w:asciiTheme="minorHAnsi" w:hAnsiTheme="minorHAnsi"/>
        </w:rPr>
        <w:t xml:space="preserve">MSD is disappointed with the deferral and will continue to work with the PBAC towards a PBS listing for </w:t>
      </w:r>
      <w:proofErr w:type="spellStart"/>
      <w:r w:rsidRPr="00A20A1E">
        <w:rPr>
          <w:rFonts w:asciiTheme="minorHAnsi" w:hAnsiTheme="minorHAnsi"/>
        </w:rPr>
        <w:t>pembrolizumab</w:t>
      </w:r>
      <w:proofErr w:type="spellEnd"/>
      <w:r w:rsidRPr="00A20A1E">
        <w:rPr>
          <w:rFonts w:asciiTheme="minorHAnsi" w:hAnsiTheme="minorHAnsi"/>
        </w:rPr>
        <w:t xml:space="preserve"> for eligible adjuvant melanoma patients. More than 60% of patients are BRAF </w:t>
      </w:r>
      <w:proofErr w:type="spellStart"/>
      <w:r w:rsidRPr="00A20A1E">
        <w:rPr>
          <w:rFonts w:asciiTheme="minorHAnsi" w:hAnsiTheme="minorHAnsi"/>
        </w:rPr>
        <w:t>wildtype</w:t>
      </w:r>
      <w:proofErr w:type="spellEnd"/>
      <w:r w:rsidRPr="00A20A1E">
        <w:rPr>
          <w:rFonts w:asciiTheme="minorHAnsi" w:hAnsiTheme="minorHAnsi"/>
        </w:rPr>
        <w:t xml:space="preserve"> and currently do not have any treatment options reimbursed in the adjuvant setting.</w:t>
      </w:r>
    </w:p>
    <w:sectPr w:rsidR="004178D9" w:rsidRPr="00A20A1E" w:rsidSect="00C27B58">
      <w:headerReference w:type="even" r:id="rId7"/>
      <w:headerReference w:type="default" r:id="rId8"/>
      <w:footerReference w:type="even" r:id="rId9"/>
      <w:footerReference w:type="default" r:id="rId10"/>
      <w:footerReference w:type="first" r:id="rId11"/>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DA7" w:rsidRDefault="00643DA7">
      <w:r>
        <w:separator/>
      </w:r>
    </w:p>
    <w:p w:rsidR="00643DA7" w:rsidRDefault="00643DA7"/>
  </w:endnote>
  <w:endnote w:type="continuationSeparator" w:id="0">
    <w:p w:rsidR="00643DA7" w:rsidRDefault="00643DA7">
      <w:r>
        <w:continuationSeparator/>
      </w:r>
    </w:p>
    <w:p w:rsidR="00643DA7" w:rsidRDefault="00643D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A00002FF" w:usb1="28CFFCFA" w:usb2="00000016" w:usb3="00000000" w:csb0="00100001" w:csb1="00000000"/>
  </w:font>
  <w:font w:name="Arial Bold">
    <w:panose1 w:val="020B07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43DA7" w:rsidTr="005A3173">
      <w:trPr>
        <w:trHeight w:val="151"/>
      </w:trPr>
      <w:tc>
        <w:tcPr>
          <w:tcW w:w="2250" w:type="pct"/>
          <w:tcBorders>
            <w:top w:val="nil"/>
            <w:left w:val="nil"/>
            <w:bottom w:val="single" w:sz="4" w:space="0" w:color="4F81BD"/>
            <w:right w:val="nil"/>
          </w:tcBorders>
        </w:tcPr>
        <w:p w:rsidR="00643DA7" w:rsidRPr="005A3173" w:rsidRDefault="00643DA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43DA7" w:rsidRPr="005A3173" w:rsidRDefault="00643DA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43DA7" w:rsidRPr="005A3173" w:rsidRDefault="00643DA7" w:rsidP="005A3173">
          <w:pPr>
            <w:pStyle w:val="Header"/>
            <w:spacing w:line="276" w:lineRule="auto"/>
            <w:rPr>
              <w:rFonts w:ascii="Calibri" w:eastAsia="MS Gothic" w:hAnsi="Calibri"/>
              <w:b/>
              <w:bCs/>
              <w:color w:val="4F81BD"/>
            </w:rPr>
          </w:pPr>
        </w:p>
      </w:tc>
    </w:tr>
    <w:tr w:rsidR="00643DA7" w:rsidTr="005A3173">
      <w:trPr>
        <w:trHeight w:val="150"/>
      </w:trPr>
      <w:tc>
        <w:tcPr>
          <w:tcW w:w="2250" w:type="pct"/>
          <w:tcBorders>
            <w:top w:val="single" w:sz="4" w:space="0" w:color="4F81BD"/>
            <w:left w:val="nil"/>
            <w:bottom w:val="nil"/>
            <w:right w:val="nil"/>
          </w:tcBorders>
        </w:tcPr>
        <w:p w:rsidR="00643DA7" w:rsidRPr="005A3173" w:rsidRDefault="00643DA7" w:rsidP="005A3173">
          <w:pPr>
            <w:pStyle w:val="Header"/>
            <w:spacing w:line="276" w:lineRule="auto"/>
            <w:rPr>
              <w:rFonts w:ascii="Calibri" w:eastAsia="MS Gothic" w:hAnsi="Calibri"/>
              <w:b/>
              <w:bCs/>
              <w:color w:val="4F81BD"/>
            </w:rPr>
          </w:pPr>
        </w:p>
      </w:tc>
      <w:tc>
        <w:tcPr>
          <w:tcW w:w="0" w:type="auto"/>
          <w:vMerge/>
          <w:vAlign w:val="center"/>
          <w:hideMark/>
        </w:tcPr>
        <w:p w:rsidR="00643DA7" w:rsidRPr="005A3173" w:rsidRDefault="00643DA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43DA7" w:rsidRPr="005A3173" w:rsidRDefault="00643DA7" w:rsidP="005A3173">
          <w:pPr>
            <w:pStyle w:val="Header"/>
            <w:spacing w:line="276" w:lineRule="auto"/>
            <w:rPr>
              <w:rFonts w:ascii="Calibri" w:eastAsia="MS Gothic" w:hAnsi="Calibri"/>
              <w:b/>
              <w:bCs/>
              <w:color w:val="4F81BD"/>
            </w:rPr>
          </w:pPr>
        </w:p>
      </w:tc>
    </w:tr>
  </w:tbl>
  <w:p w:rsidR="00643DA7" w:rsidRDefault="00643DA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3DA7" w:rsidRDefault="00643DA7">
    <w:pPr>
      <w:pStyle w:val="Footer"/>
    </w:pPr>
  </w:p>
  <w:p w:rsidR="00643DA7" w:rsidRDefault="00643DA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553389"/>
      <w:docPartObj>
        <w:docPartGallery w:val="Page Numbers (Bottom of Page)"/>
        <w:docPartUnique/>
      </w:docPartObj>
    </w:sdtPr>
    <w:sdtEndPr>
      <w:rPr>
        <w:rFonts w:asciiTheme="minorHAnsi" w:hAnsiTheme="minorHAnsi"/>
        <w:b/>
        <w:noProof/>
      </w:rPr>
    </w:sdtEndPr>
    <w:sdtContent>
      <w:p w:rsidR="00643DA7" w:rsidRDefault="00643DA7">
        <w:pPr>
          <w:pStyle w:val="Footer"/>
          <w:jc w:val="center"/>
        </w:pPr>
      </w:p>
      <w:p w:rsidR="00643DA7" w:rsidRPr="00462950" w:rsidRDefault="00643DA7" w:rsidP="00462950">
        <w:pPr>
          <w:pStyle w:val="Footer"/>
          <w:jc w:val="center"/>
          <w:rPr>
            <w:rFonts w:asciiTheme="minorHAnsi" w:hAnsiTheme="minorHAnsi"/>
            <w:b/>
          </w:rPr>
        </w:pPr>
        <w:r w:rsidRPr="00055C70">
          <w:rPr>
            <w:rFonts w:asciiTheme="minorHAnsi" w:hAnsiTheme="minorHAnsi"/>
            <w:b/>
          </w:rPr>
          <w:fldChar w:fldCharType="begin"/>
        </w:r>
        <w:r w:rsidRPr="00055C70">
          <w:rPr>
            <w:rFonts w:asciiTheme="minorHAnsi" w:hAnsiTheme="minorHAnsi"/>
            <w:b/>
          </w:rPr>
          <w:instrText xml:space="preserve"> PAGE   \* MERGEFORMAT </w:instrText>
        </w:r>
        <w:r w:rsidRPr="00055C70">
          <w:rPr>
            <w:rFonts w:asciiTheme="minorHAnsi" w:hAnsiTheme="minorHAnsi"/>
            <w:b/>
          </w:rPr>
          <w:fldChar w:fldCharType="separate"/>
        </w:r>
        <w:r w:rsidR="007C7E03">
          <w:rPr>
            <w:rFonts w:asciiTheme="minorHAnsi" w:hAnsiTheme="minorHAnsi"/>
            <w:b/>
            <w:noProof/>
          </w:rPr>
          <w:t>15</w:t>
        </w:r>
        <w:r w:rsidRPr="00055C70">
          <w:rPr>
            <w:rFonts w:asciiTheme="minorHAnsi" w:hAnsiTheme="minorHAnsi"/>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643DA7" w:rsidTr="005A3173">
      <w:trPr>
        <w:trHeight w:val="151"/>
      </w:trPr>
      <w:tc>
        <w:tcPr>
          <w:tcW w:w="2250" w:type="pct"/>
          <w:tcBorders>
            <w:top w:val="nil"/>
            <w:left w:val="nil"/>
            <w:bottom w:val="single" w:sz="4" w:space="0" w:color="4F81BD"/>
            <w:right w:val="nil"/>
          </w:tcBorders>
        </w:tcPr>
        <w:p w:rsidR="00643DA7" w:rsidRPr="005A3173" w:rsidRDefault="00643DA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43DA7" w:rsidRPr="005A3173" w:rsidRDefault="00643DA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43DA7" w:rsidRPr="005A3173" w:rsidRDefault="00643DA7" w:rsidP="005A3173">
          <w:pPr>
            <w:pStyle w:val="Header"/>
            <w:spacing w:line="276" w:lineRule="auto"/>
            <w:rPr>
              <w:rFonts w:ascii="Calibri" w:eastAsia="MS Gothic" w:hAnsi="Calibri"/>
              <w:b/>
              <w:bCs/>
              <w:color w:val="4F81BD"/>
            </w:rPr>
          </w:pPr>
        </w:p>
      </w:tc>
    </w:tr>
    <w:tr w:rsidR="00643DA7" w:rsidTr="005A3173">
      <w:trPr>
        <w:trHeight w:val="150"/>
      </w:trPr>
      <w:tc>
        <w:tcPr>
          <w:tcW w:w="2250" w:type="pct"/>
          <w:tcBorders>
            <w:top w:val="single" w:sz="4" w:space="0" w:color="4F81BD"/>
            <w:left w:val="nil"/>
            <w:bottom w:val="nil"/>
            <w:right w:val="nil"/>
          </w:tcBorders>
        </w:tcPr>
        <w:p w:rsidR="00643DA7" w:rsidRPr="005A3173" w:rsidRDefault="00643DA7" w:rsidP="005A3173">
          <w:pPr>
            <w:pStyle w:val="Header"/>
            <w:spacing w:line="276" w:lineRule="auto"/>
            <w:rPr>
              <w:rFonts w:ascii="Calibri" w:eastAsia="MS Gothic" w:hAnsi="Calibri"/>
              <w:b/>
              <w:bCs/>
              <w:color w:val="4F81BD"/>
            </w:rPr>
          </w:pPr>
        </w:p>
      </w:tc>
      <w:tc>
        <w:tcPr>
          <w:tcW w:w="0" w:type="auto"/>
          <w:vMerge/>
          <w:vAlign w:val="center"/>
          <w:hideMark/>
        </w:tcPr>
        <w:p w:rsidR="00643DA7" w:rsidRPr="005A3173" w:rsidRDefault="00643DA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43DA7" w:rsidRPr="005A3173" w:rsidRDefault="00643DA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43DA7" w:rsidTr="005A3173">
      <w:trPr>
        <w:trHeight w:val="151"/>
      </w:trPr>
      <w:tc>
        <w:tcPr>
          <w:tcW w:w="2250" w:type="pct"/>
          <w:tcBorders>
            <w:top w:val="nil"/>
            <w:left w:val="nil"/>
            <w:bottom w:val="single" w:sz="4" w:space="0" w:color="4F81BD"/>
            <w:right w:val="nil"/>
          </w:tcBorders>
        </w:tcPr>
        <w:p w:rsidR="00643DA7" w:rsidRPr="005A3173" w:rsidRDefault="00643DA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43DA7" w:rsidRPr="005A3173" w:rsidRDefault="00643DA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43DA7" w:rsidRPr="005A3173" w:rsidRDefault="00643DA7" w:rsidP="005A3173">
          <w:pPr>
            <w:pStyle w:val="Header"/>
            <w:spacing w:line="276" w:lineRule="auto"/>
            <w:rPr>
              <w:rFonts w:ascii="Calibri" w:eastAsia="MS Gothic" w:hAnsi="Calibri"/>
              <w:b/>
              <w:bCs/>
              <w:color w:val="4F81BD"/>
            </w:rPr>
          </w:pPr>
        </w:p>
      </w:tc>
    </w:tr>
    <w:tr w:rsidR="00643DA7" w:rsidTr="005A3173">
      <w:trPr>
        <w:trHeight w:val="150"/>
      </w:trPr>
      <w:tc>
        <w:tcPr>
          <w:tcW w:w="2250" w:type="pct"/>
          <w:tcBorders>
            <w:top w:val="single" w:sz="4" w:space="0" w:color="4F81BD"/>
            <w:left w:val="nil"/>
            <w:bottom w:val="nil"/>
            <w:right w:val="nil"/>
          </w:tcBorders>
        </w:tcPr>
        <w:p w:rsidR="00643DA7" w:rsidRPr="005A3173" w:rsidRDefault="00643DA7" w:rsidP="005A3173">
          <w:pPr>
            <w:pStyle w:val="Header"/>
            <w:spacing w:line="276" w:lineRule="auto"/>
            <w:rPr>
              <w:rFonts w:ascii="Calibri" w:eastAsia="MS Gothic" w:hAnsi="Calibri"/>
              <w:b/>
              <w:bCs/>
              <w:color w:val="4F81BD"/>
            </w:rPr>
          </w:pPr>
        </w:p>
      </w:tc>
      <w:tc>
        <w:tcPr>
          <w:tcW w:w="0" w:type="auto"/>
          <w:vMerge/>
          <w:vAlign w:val="center"/>
          <w:hideMark/>
        </w:tcPr>
        <w:p w:rsidR="00643DA7" w:rsidRPr="005A3173" w:rsidRDefault="00643DA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43DA7" w:rsidRPr="005A3173" w:rsidRDefault="00643DA7" w:rsidP="005A3173">
          <w:pPr>
            <w:pStyle w:val="Header"/>
            <w:spacing w:line="276" w:lineRule="auto"/>
            <w:rPr>
              <w:rFonts w:ascii="Calibri" w:eastAsia="MS Gothic" w:hAnsi="Calibri"/>
              <w:b/>
              <w:bCs/>
              <w:color w:val="4F81BD"/>
            </w:rPr>
          </w:pPr>
        </w:p>
      </w:tc>
    </w:tr>
  </w:tbl>
  <w:p w:rsidR="00643DA7" w:rsidRPr="007C0F57" w:rsidRDefault="00643DA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643DA7" w:rsidRPr="007C0F57" w:rsidRDefault="00643DA7" w:rsidP="007C0F57">
    <w:pPr>
      <w:pStyle w:val="Footer"/>
      <w:jc w:val="center"/>
      <w:rPr>
        <w:b/>
        <w:i/>
        <w:sz w:val="20"/>
        <w:szCs w:val="20"/>
      </w:rPr>
    </w:pPr>
    <w:r w:rsidRPr="007C0F57">
      <w:rPr>
        <w:b/>
        <w:i/>
        <w:sz w:val="20"/>
        <w:szCs w:val="20"/>
      </w:rPr>
      <w:t>Commercial-in-Confidence</w:t>
    </w:r>
  </w:p>
  <w:p w:rsidR="00643DA7" w:rsidRDefault="00643DA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DA7" w:rsidRDefault="00643DA7">
      <w:r>
        <w:separator/>
      </w:r>
    </w:p>
    <w:p w:rsidR="00643DA7" w:rsidRDefault="00643DA7"/>
  </w:footnote>
  <w:footnote w:type="continuationSeparator" w:id="0">
    <w:p w:rsidR="00643DA7" w:rsidRDefault="00643DA7">
      <w:r>
        <w:continuationSeparator/>
      </w:r>
    </w:p>
    <w:p w:rsidR="00643DA7" w:rsidRDefault="00643DA7"/>
  </w:footnote>
  <w:footnote w:id="1">
    <w:p w:rsidR="00643DA7" w:rsidRDefault="00643DA7" w:rsidP="00267F89">
      <w:pPr>
        <w:pStyle w:val="FootnoteText"/>
      </w:pPr>
      <w:r>
        <w:rPr>
          <w:rStyle w:val="FootnoteReference"/>
        </w:rPr>
        <w:footnoteRef/>
      </w:r>
      <w:r>
        <w:t xml:space="preserve"> </w:t>
      </w:r>
      <w:proofErr w:type="spellStart"/>
      <w:r w:rsidRPr="002B02E0">
        <w:rPr>
          <w:rFonts w:asciiTheme="minorHAnsi" w:hAnsiTheme="minorHAnsi"/>
          <w:bCs/>
        </w:rPr>
        <w:t>Cherny</w:t>
      </w:r>
      <w:proofErr w:type="spellEnd"/>
      <w:r w:rsidRPr="002B02E0">
        <w:rPr>
          <w:rFonts w:asciiTheme="minorHAnsi" w:hAnsiTheme="minorHAnsi"/>
          <w:bCs/>
        </w:rPr>
        <w:t xml:space="preserve"> N, Dafni U, </w:t>
      </w:r>
      <w:proofErr w:type="spellStart"/>
      <w:r w:rsidRPr="002B02E0">
        <w:rPr>
          <w:rFonts w:asciiTheme="minorHAnsi" w:hAnsiTheme="minorHAnsi"/>
          <w:bCs/>
        </w:rPr>
        <w:t>Bogaerts</w:t>
      </w:r>
      <w:proofErr w:type="spellEnd"/>
      <w:r w:rsidRPr="002B02E0">
        <w:rPr>
          <w:rFonts w:asciiTheme="minorHAnsi" w:hAnsiTheme="minorHAnsi"/>
          <w:bCs/>
        </w:rPr>
        <w:t xml:space="preserve"> J, et al. ESMO-magnitude of clinical benefits scale, version 1.1. </w:t>
      </w:r>
      <w:r w:rsidRPr="002B02E0">
        <w:rPr>
          <w:rFonts w:asciiTheme="minorHAnsi" w:hAnsiTheme="minorHAnsi"/>
          <w:bCs/>
          <w:i/>
        </w:rPr>
        <w:t>Annals of Oncology</w:t>
      </w:r>
      <w:r w:rsidRPr="002B02E0">
        <w:rPr>
          <w:rFonts w:asciiTheme="minorHAnsi" w:hAnsiTheme="minorHAnsi"/>
          <w:bCs/>
        </w:rPr>
        <w:t>. 2017; 28: 2340-2366.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43DA7" w:rsidRPr="008E0D90" w:rsidTr="00A06225">
      <w:trPr>
        <w:trHeight w:val="151"/>
      </w:trPr>
      <w:tc>
        <w:tcPr>
          <w:tcW w:w="2389" w:type="pct"/>
          <w:tcBorders>
            <w:top w:val="nil"/>
            <w:left w:val="nil"/>
            <w:bottom w:val="single" w:sz="4" w:space="0" w:color="4F81BD"/>
            <w:right w:val="nil"/>
          </w:tcBorders>
        </w:tcPr>
        <w:p w:rsidR="00643DA7" w:rsidRPr="00A06225" w:rsidRDefault="00643DA7">
          <w:pPr>
            <w:pStyle w:val="Header"/>
            <w:spacing w:line="276" w:lineRule="auto"/>
            <w:rPr>
              <w:rFonts w:ascii="Cambria" w:eastAsia="MS Gothic" w:hAnsi="Cambria"/>
              <w:b/>
              <w:bCs/>
              <w:color w:val="4F81BD"/>
            </w:rPr>
          </w:pPr>
        </w:p>
      </w:tc>
      <w:tc>
        <w:tcPr>
          <w:tcW w:w="333" w:type="pct"/>
          <w:vMerge w:val="restart"/>
          <w:noWrap/>
          <w:vAlign w:val="center"/>
          <w:hideMark/>
        </w:tcPr>
        <w:p w:rsidR="00643DA7" w:rsidRPr="00A06225" w:rsidRDefault="00643DA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43DA7" w:rsidRPr="00A06225" w:rsidRDefault="00643DA7">
          <w:pPr>
            <w:pStyle w:val="Header"/>
            <w:spacing w:line="276" w:lineRule="auto"/>
            <w:rPr>
              <w:rFonts w:ascii="Cambria" w:eastAsia="MS Gothic" w:hAnsi="Cambria"/>
              <w:b/>
              <w:bCs/>
              <w:color w:val="4F81BD"/>
            </w:rPr>
          </w:pPr>
        </w:p>
      </w:tc>
    </w:tr>
    <w:tr w:rsidR="00643DA7" w:rsidRPr="008E0D90" w:rsidTr="00A06225">
      <w:trPr>
        <w:trHeight w:val="150"/>
      </w:trPr>
      <w:tc>
        <w:tcPr>
          <w:tcW w:w="2389" w:type="pct"/>
          <w:tcBorders>
            <w:top w:val="single" w:sz="4" w:space="0" w:color="4F81BD"/>
            <w:left w:val="nil"/>
            <w:bottom w:val="nil"/>
            <w:right w:val="nil"/>
          </w:tcBorders>
        </w:tcPr>
        <w:p w:rsidR="00643DA7" w:rsidRPr="00A06225" w:rsidRDefault="00643DA7">
          <w:pPr>
            <w:pStyle w:val="Header"/>
            <w:spacing w:line="276" w:lineRule="auto"/>
            <w:rPr>
              <w:rFonts w:ascii="Cambria" w:eastAsia="MS Gothic" w:hAnsi="Cambria"/>
              <w:b/>
              <w:bCs/>
              <w:color w:val="4F81BD"/>
            </w:rPr>
          </w:pPr>
        </w:p>
      </w:tc>
      <w:tc>
        <w:tcPr>
          <w:tcW w:w="0" w:type="auto"/>
          <w:vMerge/>
          <w:vAlign w:val="center"/>
          <w:hideMark/>
        </w:tcPr>
        <w:p w:rsidR="00643DA7" w:rsidRPr="00A06225" w:rsidRDefault="00643DA7">
          <w:pPr>
            <w:rPr>
              <w:rFonts w:ascii="Cambria" w:hAnsi="Cambria"/>
              <w:color w:val="4F81BD"/>
              <w:sz w:val="22"/>
              <w:szCs w:val="22"/>
            </w:rPr>
          </w:pPr>
        </w:p>
      </w:tc>
      <w:tc>
        <w:tcPr>
          <w:tcW w:w="2278" w:type="pct"/>
          <w:tcBorders>
            <w:top w:val="single" w:sz="4" w:space="0" w:color="4F81BD"/>
            <w:left w:val="nil"/>
            <w:bottom w:val="nil"/>
            <w:right w:val="nil"/>
          </w:tcBorders>
        </w:tcPr>
        <w:p w:rsidR="00643DA7" w:rsidRPr="00A06225" w:rsidRDefault="00643DA7">
          <w:pPr>
            <w:pStyle w:val="Header"/>
            <w:spacing w:line="276" w:lineRule="auto"/>
            <w:rPr>
              <w:rFonts w:ascii="Cambria" w:eastAsia="MS Gothic" w:hAnsi="Cambria"/>
              <w:b/>
              <w:bCs/>
              <w:color w:val="4F81BD"/>
            </w:rPr>
          </w:pPr>
        </w:p>
      </w:tc>
    </w:tr>
  </w:tbl>
  <w:p w:rsidR="00643DA7" w:rsidRDefault="00643DA7">
    <w:pPr>
      <w:pStyle w:val="Header"/>
    </w:pPr>
  </w:p>
  <w:p w:rsidR="00643DA7" w:rsidRDefault="00643DA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DA7" w:rsidRPr="00055C70" w:rsidRDefault="00643DA7" w:rsidP="00055C70">
    <w:pPr>
      <w:pStyle w:val="MinorOVRHeader"/>
      <w:jc w:val="center"/>
      <w:rPr>
        <w:i/>
      </w:rPr>
    </w:pPr>
    <w:r>
      <w:rPr>
        <w:i/>
      </w:rPr>
      <w:t xml:space="preserve">Public Summary Document </w:t>
    </w:r>
    <w:r w:rsidRPr="00055C70">
      <w:rPr>
        <w:i/>
      </w:rPr>
      <w:t>– November 2019 PBAC Minutes</w:t>
    </w:r>
  </w:p>
  <w:p w:rsidR="00643DA7" w:rsidRDefault="00643DA7"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497797"/>
    <w:multiLevelType w:val="hybridMultilevel"/>
    <w:tmpl w:val="51940C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427FD9"/>
    <w:multiLevelType w:val="hybridMultilevel"/>
    <w:tmpl w:val="83B8ADF6"/>
    <w:lvl w:ilvl="0" w:tplc="53B00E80">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6" w15:restartNumberingAfterBreak="0">
    <w:nsid w:val="0C9A1DC2"/>
    <w:multiLevelType w:val="hybridMultilevel"/>
    <w:tmpl w:val="C6BEFE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3E2534"/>
    <w:multiLevelType w:val="hybridMultilevel"/>
    <w:tmpl w:val="DF02D20E"/>
    <w:lvl w:ilvl="0" w:tplc="0C09001B">
      <w:start w:val="1"/>
      <w:numFmt w:val="lowerRoman"/>
      <w:lvlText w:val="%1."/>
      <w:lvlJc w:val="righ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8" w15:restartNumberingAfterBreak="0">
    <w:nsid w:val="10996683"/>
    <w:multiLevelType w:val="hybridMultilevel"/>
    <w:tmpl w:val="9492516E"/>
    <w:lvl w:ilvl="0" w:tplc="7C06699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CC04FC"/>
    <w:multiLevelType w:val="hybridMultilevel"/>
    <w:tmpl w:val="F1B42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AA6B2F"/>
    <w:multiLevelType w:val="multilevel"/>
    <w:tmpl w:val="8274054A"/>
    <w:lvl w:ilvl="0">
      <w:start w:val="1"/>
      <w:numFmt w:val="decimal"/>
      <w:lvlText w:val="%1"/>
      <w:lvlJc w:val="left"/>
      <w:pPr>
        <w:ind w:left="720" w:hanging="720"/>
      </w:pPr>
      <w:rPr>
        <w:rFonts w:hint="default"/>
        <w:b/>
        <w:color w:val="000000" w:themeColor="text1"/>
      </w:rPr>
    </w:lvl>
    <w:lvl w:ilvl="1">
      <w:start w:val="1"/>
      <w:numFmt w:val="bullet"/>
      <w:lvlText w:val=""/>
      <w:lvlJc w:val="left"/>
      <w:pPr>
        <w:ind w:left="720" w:hanging="720"/>
      </w:pPr>
      <w:rPr>
        <w:rFonts w:ascii="Symbol" w:hAnsi="Symbol"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A3F6FEB"/>
    <w:multiLevelType w:val="multilevel"/>
    <w:tmpl w:val="D8746FAC"/>
    <w:lvl w:ilvl="0">
      <w:start w:val="1"/>
      <w:numFmt w:val="decimal"/>
      <w:lvlText w:val="%1"/>
      <w:lvlJc w:val="left"/>
      <w:pPr>
        <w:ind w:left="720" w:hanging="720"/>
      </w:pPr>
      <w:rPr>
        <w:rFonts w:hint="default"/>
        <w:b/>
        <w:color w:val="000000" w:themeColor="text1"/>
      </w:rPr>
    </w:lvl>
    <w:lvl w:ilvl="1">
      <w:start w:val="1"/>
      <w:numFmt w:val="bullet"/>
      <w:lvlText w:val=""/>
      <w:lvlJc w:val="left"/>
      <w:pPr>
        <w:ind w:left="720" w:hanging="720"/>
      </w:pPr>
      <w:rPr>
        <w:rFonts w:ascii="Symbol" w:hAnsi="Symbol"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3C1827"/>
    <w:multiLevelType w:val="multilevel"/>
    <w:tmpl w:val="8274054A"/>
    <w:lvl w:ilvl="0">
      <w:start w:val="1"/>
      <w:numFmt w:val="decimal"/>
      <w:lvlText w:val="%1"/>
      <w:lvlJc w:val="left"/>
      <w:pPr>
        <w:ind w:left="720" w:hanging="720"/>
      </w:pPr>
      <w:rPr>
        <w:rFonts w:hint="default"/>
        <w:b/>
        <w:color w:val="000000" w:themeColor="text1"/>
      </w:rPr>
    </w:lvl>
    <w:lvl w:ilvl="1">
      <w:start w:val="1"/>
      <w:numFmt w:val="bullet"/>
      <w:lvlText w:val=""/>
      <w:lvlJc w:val="left"/>
      <w:pPr>
        <w:ind w:left="720" w:hanging="720"/>
      </w:pPr>
      <w:rPr>
        <w:rFonts w:ascii="Symbol" w:hAnsi="Symbol"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514810"/>
    <w:multiLevelType w:val="hybridMultilevel"/>
    <w:tmpl w:val="AFD40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E19DB"/>
    <w:multiLevelType w:val="singleLevel"/>
    <w:tmpl w:val="B67C5598"/>
    <w:lvl w:ilvl="0">
      <w:start w:val="1"/>
      <w:numFmt w:val="decimal"/>
      <w:lvlText w:val="%1)"/>
      <w:lvlJc w:val="left"/>
      <w:pPr>
        <w:tabs>
          <w:tab w:val="num" w:pos="1134"/>
        </w:tabs>
        <w:ind w:left="1134" w:hanging="567"/>
      </w:pPr>
      <w:rPr>
        <w:rFonts w:hint="default"/>
      </w:rPr>
    </w:lvl>
  </w:abstractNum>
  <w:abstractNum w:abstractNumId="20" w15:restartNumberingAfterBreak="0">
    <w:nsid w:val="4A0445F4"/>
    <w:multiLevelType w:val="multilevel"/>
    <w:tmpl w:val="2EB0A30E"/>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1"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39332A"/>
    <w:multiLevelType w:val="hybridMultilevel"/>
    <w:tmpl w:val="46DA9526"/>
    <w:lvl w:ilvl="0" w:tplc="73E224A2">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AF22442"/>
    <w:multiLevelType w:val="hybridMultilevel"/>
    <w:tmpl w:val="72023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41C15B6"/>
    <w:multiLevelType w:val="hybridMultilevel"/>
    <w:tmpl w:val="1BFA9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4D033C"/>
    <w:multiLevelType w:val="multilevel"/>
    <w:tmpl w:val="7C94DFB6"/>
    <w:lvl w:ilvl="0">
      <w:start w:val="1"/>
      <w:numFmt w:val="decimal"/>
      <w:pStyle w:val="2Sections"/>
      <w:lvlText w:val="%1"/>
      <w:lvlJc w:val="left"/>
      <w:pPr>
        <w:ind w:left="720" w:hanging="720"/>
      </w:pPr>
      <w:rPr>
        <w:rFonts w:hint="default"/>
        <w:b/>
        <w:color w:val="000000" w:themeColor="text1"/>
      </w:rPr>
    </w:lvl>
    <w:lvl w:ilvl="1">
      <w:start w:val="1"/>
      <w:numFmt w:val="decimal"/>
      <w:pStyle w:val="Bodytextitalics"/>
      <w:lvlText w:val="%1.%2"/>
      <w:lvlJc w:val="left"/>
      <w:pPr>
        <w:ind w:left="720" w:hanging="720"/>
      </w:pPr>
      <w:rPr>
        <w:rFonts w:asciiTheme="minorHAnsi" w:hAnsiTheme="minorHAnsi" w:cstheme="minorHAnsi"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BE84E97"/>
    <w:multiLevelType w:val="hybridMultilevel"/>
    <w:tmpl w:val="9EAA7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53672A"/>
    <w:multiLevelType w:val="hybridMultilevel"/>
    <w:tmpl w:val="31C00EDA"/>
    <w:lvl w:ilvl="0" w:tplc="2E3C16B2">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34" w15:restartNumberingAfterBreak="0">
    <w:nsid w:val="7FAC4CE1"/>
    <w:multiLevelType w:val="multilevel"/>
    <w:tmpl w:val="1C426464"/>
    <w:lvl w:ilvl="0">
      <w:start w:val="1"/>
      <w:numFmt w:val="decimal"/>
      <w:lvlText w:val="%1"/>
      <w:lvlJc w:val="left"/>
      <w:pPr>
        <w:ind w:left="720" w:hanging="720"/>
      </w:pPr>
      <w:rPr>
        <w:rFonts w:hint="default"/>
        <w:b/>
        <w:color w:val="000000" w:themeColor="text1"/>
      </w:rPr>
    </w:lvl>
    <w:lvl w:ilvl="1">
      <w:start w:val="1"/>
      <w:numFmt w:val="bullet"/>
      <w:lvlText w:val=""/>
      <w:lvlJc w:val="left"/>
      <w:pPr>
        <w:ind w:left="720" w:hanging="720"/>
      </w:pPr>
      <w:rPr>
        <w:rFonts w:ascii="Symbol" w:hAnsi="Symbol"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0"/>
  </w:num>
  <w:num w:numId="3">
    <w:abstractNumId w:val="30"/>
  </w:num>
  <w:num w:numId="4">
    <w:abstractNumId w:val="25"/>
  </w:num>
  <w:num w:numId="5">
    <w:abstractNumId w:val="18"/>
  </w:num>
  <w:num w:numId="6">
    <w:abstractNumId w:val="22"/>
  </w:num>
  <w:num w:numId="7">
    <w:abstractNumId w:val="31"/>
  </w:num>
  <w:num w:numId="8">
    <w:abstractNumId w:val="26"/>
  </w:num>
  <w:num w:numId="9">
    <w:abstractNumId w:val="28"/>
  </w:num>
  <w:num w:numId="10">
    <w:abstractNumId w:val="21"/>
  </w:num>
  <w:num w:numId="11">
    <w:abstractNumId w:val="8"/>
  </w:num>
  <w:num w:numId="12">
    <w:abstractNumId w:val="27"/>
  </w:num>
  <w:num w:numId="13">
    <w:abstractNumId w:val="17"/>
    <w:lvlOverride w:ilvl="0">
      <w:startOverride w:val="1"/>
    </w:lvlOverride>
  </w:num>
  <w:num w:numId="14">
    <w:abstractNumId w:val="17"/>
  </w:num>
  <w:num w:numId="15">
    <w:abstractNumId w:val="17"/>
    <w:lvlOverride w:ilvl="0">
      <w:startOverride w:val="1"/>
    </w:lvlOverride>
  </w:num>
  <w:num w:numId="16">
    <w:abstractNumId w:val="19"/>
  </w:num>
  <w:num w:numId="17">
    <w:abstractNumId w:val="17"/>
    <w:lvlOverride w:ilvl="0">
      <w:startOverride w:val="4"/>
    </w:lvlOverride>
  </w:num>
  <w:num w:numId="18">
    <w:abstractNumId w:val="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3"/>
  </w:num>
  <w:num w:numId="22">
    <w:abstractNumId w:val="6"/>
  </w:num>
  <w:num w:numId="23">
    <w:abstractNumId w:val="20"/>
  </w:num>
  <w:num w:numId="24">
    <w:abstractNumId w:val="13"/>
  </w:num>
  <w:num w:numId="25">
    <w:abstractNumId w:val="9"/>
  </w:num>
  <w:num w:numId="26">
    <w:abstractNumId w:val="15"/>
  </w:num>
  <w:num w:numId="27">
    <w:abstractNumId w:val="10"/>
  </w:num>
  <w:num w:numId="28">
    <w:abstractNumId w:val="32"/>
  </w:num>
  <w:num w:numId="29">
    <w:abstractNumId w:val="29"/>
  </w:num>
  <w:num w:numId="30">
    <w:abstractNumId w:val="5"/>
  </w:num>
  <w:num w:numId="31">
    <w:abstractNumId w:val="7"/>
  </w:num>
  <w:num w:numId="32">
    <w:abstractNumId w:val="2"/>
  </w:num>
  <w:num w:numId="33">
    <w:abstractNumId w:val="23"/>
  </w:num>
  <w:num w:numId="34">
    <w:abstractNumId w:val="24"/>
  </w:num>
  <w:num w:numId="35">
    <w:abstractNumId w:val="4"/>
  </w:num>
  <w:num w:numId="36">
    <w:abstractNumId w:val="1"/>
  </w:num>
  <w:num w:numId="37">
    <w:abstractNumId w:val="12"/>
  </w:num>
  <w:num w:numId="38">
    <w:abstractNumId w:val="14"/>
  </w:num>
  <w:num w:numId="39">
    <w:abstractNumId w:val="11"/>
  </w:num>
  <w:num w:numId="40">
    <w:abstractNumId w:val="34"/>
  </w:num>
  <w:num w:numId="41">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07559"/>
    <w:rsid w:val="00011A59"/>
    <w:rsid w:val="00015363"/>
    <w:rsid w:val="00016A41"/>
    <w:rsid w:val="000214D1"/>
    <w:rsid w:val="0002464A"/>
    <w:rsid w:val="0003106B"/>
    <w:rsid w:val="00034905"/>
    <w:rsid w:val="000421A1"/>
    <w:rsid w:val="0004240E"/>
    <w:rsid w:val="00045E26"/>
    <w:rsid w:val="000514B5"/>
    <w:rsid w:val="00055C70"/>
    <w:rsid w:val="000562AF"/>
    <w:rsid w:val="00060E64"/>
    <w:rsid w:val="00062280"/>
    <w:rsid w:val="00066755"/>
    <w:rsid w:val="000763D5"/>
    <w:rsid w:val="00077143"/>
    <w:rsid w:val="00080735"/>
    <w:rsid w:val="00082169"/>
    <w:rsid w:val="00082DB6"/>
    <w:rsid w:val="00083E1A"/>
    <w:rsid w:val="00086C44"/>
    <w:rsid w:val="000918CB"/>
    <w:rsid w:val="00091B06"/>
    <w:rsid w:val="000951C4"/>
    <w:rsid w:val="00095ADA"/>
    <w:rsid w:val="000969AD"/>
    <w:rsid w:val="000A3AA2"/>
    <w:rsid w:val="000A44B2"/>
    <w:rsid w:val="000B33CB"/>
    <w:rsid w:val="000B44C3"/>
    <w:rsid w:val="000B558D"/>
    <w:rsid w:val="000C5F95"/>
    <w:rsid w:val="000C6996"/>
    <w:rsid w:val="000D09E9"/>
    <w:rsid w:val="000D23BA"/>
    <w:rsid w:val="000E681E"/>
    <w:rsid w:val="000E69E3"/>
    <w:rsid w:val="000F0003"/>
    <w:rsid w:val="000F3384"/>
    <w:rsid w:val="000F3945"/>
    <w:rsid w:val="000F4E6A"/>
    <w:rsid w:val="000F7354"/>
    <w:rsid w:val="00102202"/>
    <w:rsid w:val="00104227"/>
    <w:rsid w:val="001107BF"/>
    <w:rsid w:val="00113649"/>
    <w:rsid w:val="00115720"/>
    <w:rsid w:val="0012417C"/>
    <w:rsid w:val="0012749D"/>
    <w:rsid w:val="00142395"/>
    <w:rsid w:val="00142714"/>
    <w:rsid w:val="001452ED"/>
    <w:rsid w:val="00147D84"/>
    <w:rsid w:val="001549C1"/>
    <w:rsid w:val="00162D4E"/>
    <w:rsid w:val="00163329"/>
    <w:rsid w:val="00164623"/>
    <w:rsid w:val="001652DE"/>
    <w:rsid w:val="00165B64"/>
    <w:rsid w:val="00177A20"/>
    <w:rsid w:val="00180713"/>
    <w:rsid w:val="001830CE"/>
    <w:rsid w:val="0018643B"/>
    <w:rsid w:val="001939F1"/>
    <w:rsid w:val="00196307"/>
    <w:rsid w:val="001A33EA"/>
    <w:rsid w:val="001A4C4F"/>
    <w:rsid w:val="001A56ED"/>
    <w:rsid w:val="001A76FB"/>
    <w:rsid w:val="001B017F"/>
    <w:rsid w:val="001B2BBC"/>
    <w:rsid w:val="001B3BF0"/>
    <w:rsid w:val="001B3FFE"/>
    <w:rsid w:val="001B4DA0"/>
    <w:rsid w:val="001B5129"/>
    <w:rsid w:val="001C0B4C"/>
    <w:rsid w:val="001C1195"/>
    <w:rsid w:val="001C664A"/>
    <w:rsid w:val="001D1F5F"/>
    <w:rsid w:val="001E06D2"/>
    <w:rsid w:val="001E2204"/>
    <w:rsid w:val="001F095C"/>
    <w:rsid w:val="001F1850"/>
    <w:rsid w:val="001F3189"/>
    <w:rsid w:val="00203FAC"/>
    <w:rsid w:val="00213CFB"/>
    <w:rsid w:val="0021553C"/>
    <w:rsid w:val="0021557B"/>
    <w:rsid w:val="002169C9"/>
    <w:rsid w:val="002174FD"/>
    <w:rsid w:val="00217BE1"/>
    <w:rsid w:val="00230403"/>
    <w:rsid w:val="00234252"/>
    <w:rsid w:val="00237AC6"/>
    <w:rsid w:val="00244490"/>
    <w:rsid w:val="00253499"/>
    <w:rsid w:val="002551A4"/>
    <w:rsid w:val="00257664"/>
    <w:rsid w:val="002607B0"/>
    <w:rsid w:val="00260CCA"/>
    <w:rsid w:val="00265151"/>
    <w:rsid w:val="00266509"/>
    <w:rsid w:val="00267F89"/>
    <w:rsid w:val="002715C1"/>
    <w:rsid w:val="00271BA1"/>
    <w:rsid w:val="002762FA"/>
    <w:rsid w:val="00277505"/>
    <w:rsid w:val="002823B6"/>
    <w:rsid w:val="00294274"/>
    <w:rsid w:val="0029458F"/>
    <w:rsid w:val="002A0E04"/>
    <w:rsid w:val="002A104C"/>
    <w:rsid w:val="002A494D"/>
    <w:rsid w:val="002A4960"/>
    <w:rsid w:val="002B0AE0"/>
    <w:rsid w:val="002B1AE6"/>
    <w:rsid w:val="002B1D51"/>
    <w:rsid w:val="002B2DE8"/>
    <w:rsid w:val="002B30F8"/>
    <w:rsid w:val="002B388A"/>
    <w:rsid w:val="002B5596"/>
    <w:rsid w:val="002C212F"/>
    <w:rsid w:val="002C7485"/>
    <w:rsid w:val="002D283A"/>
    <w:rsid w:val="002D4543"/>
    <w:rsid w:val="002E067B"/>
    <w:rsid w:val="002E3153"/>
    <w:rsid w:val="002E5292"/>
    <w:rsid w:val="002E72CA"/>
    <w:rsid w:val="002F600D"/>
    <w:rsid w:val="00300AD6"/>
    <w:rsid w:val="00300B1B"/>
    <w:rsid w:val="003019D0"/>
    <w:rsid w:val="003064AF"/>
    <w:rsid w:val="00317C6C"/>
    <w:rsid w:val="00320CD3"/>
    <w:rsid w:val="00326E79"/>
    <w:rsid w:val="003301B1"/>
    <w:rsid w:val="00331189"/>
    <w:rsid w:val="0033263D"/>
    <w:rsid w:val="0033518A"/>
    <w:rsid w:val="00335BCD"/>
    <w:rsid w:val="003367EF"/>
    <w:rsid w:val="00337078"/>
    <w:rsid w:val="00341AE4"/>
    <w:rsid w:val="00342A3F"/>
    <w:rsid w:val="0034380C"/>
    <w:rsid w:val="003476EE"/>
    <w:rsid w:val="00363311"/>
    <w:rsid w:val="003658D5"/>
    <w:rsid w:val="003736C9"/>
    <w:rsid w:val="00381938"/>
    <w:rsid w:val="00384988"/>
    <w:rsid w:val="003872CF"/>
    <w:rsid w:val="003976B6"/>
    <w:rsid w:val="0039782C"/>
    <w:rsid w:val="003A5B4A"/>
    <w:rsid w:val="003B23C5"/>
    <w:rsid w:val="003B2A75"/>
    <w:rsid w:val="003B6124"/>
    <w:rsid w:val="003C093A"/>
    <w:rsid w:val="003C0AE7"/>
    <w:rsid w:val="003C1ECF"/>
    <w:rsid w:val="003C2F36"/>
    <w:rsid w:val="003C2FB5"/>
    <w:rsid w:val="003D24C5"/>
    <w:rsid w:val="003D4AC4"/>
    <w:rsid w:val="003D63B7"/>
    <w:rsid w:val="003E0E4C"/>
    <w:rsid w:val="003E468B"/>
    <w:rsid w:val="003E62BD"/>
    <w:rsid w:val="003E6804"/>
    <w:rsid w:val="003F0C3A"/>
    <w:rsid w:val="003F3228"/>
    <w:rsid w:val="003F5C8C"/>
    <w:rsid w:val="003F775A"/>
    <w:rsid w:val="00400E55"/>
    <w:rsid w:val="0040128E"/>
    <w:rsid w:val="0040216B"/>
    <w:rsid w:val="00412602"/>
    <w:rsid w:val="004178D9"/>
    <w:rsid w:val="004252EC"/>
    <w:rsid w:val="00430D39"/>
    <w:rsid w:val="004343D8"/>
    <w:rsid w:val="004465BD"/>
    <w:rsid w:val="00460B1E"/>
    <w:rsid w:val="00461A44"/>
    <w:rsid w:val="00462950"/>
    <w:rsid w:val="00466ADA"/>
    <w:rsid w:val="004702BB"/>
    <w:rsid w:val="00471B51"/>
    <w:rsid w:val="0047349E"/>
    <w:rsid w:val="0047494B"/>
    <w:rsid w:val="00476245"/>
    <w:rsid w:val="00477A9B"/>
    <w:rsid w:val="00482E23"/>
    <w:rsid w:val="00483035"/>
    <w:rsid w:val="00484385"/>
    <w:rsid w:val="00485940"/>
    <w:rsid w:val="004904B9"/>
    <w:rsid w:val="004A2484"/>
    <w:rsid w:val="004A5A85"/>
    <w:rsid w:val="004A71D1"/>
    <w:rsid w:val="004A7C5B"/>
    <w:rsid w:val="004B2E98"/>
    <w:rsid w:val="004B5640"/>
    <w:rsid w:val="004C1BD7"/>
    <w:rsid w:val="004C2AC7"/>
    <w:rsid w:val="004C31FE"/>
    <w:rsid w:val="004C524C"/>
    <w:rsid w:val="004C691D"/>
    <w:rsid w:val="004C6C07"/>
    <w:rsid w:val="004C6C72"/>
    <w:rsid w:val="004D0E50"/>
    <w:rsid w:val="004D0E65"/>
    <w:rsid w:val="004D4FF6"/>
    <w:rsid w:val="004E05CA"/>
    <w:rsid w:val="004E692D"/>
    <w:rsid w:val="004E7D87"/>
    <w:rsid w:val="004F2553"/>
    <w:rsid w:val="005006A1"/>
    <w:rsid w:val="00501554"/>
    <w:rsid w:val="00502AFE"/>
    <w:rsid w:val="00503AD7"/>
    <w:rsid w:val="00503B83"/>
    <w:rsid w:val="00504E0C"/>
    <w:rsid w:val="005109D4"/>
    <w:rsid w:val="00514CD7"/>
    <w:rsid w:val="00520D6A"/>
    <w:rsid w:val="00522DB6"/>
    <w:rsid w:val="00523B95"/>
    <w:rsid w:val="00525CE5"/>
    <w:rsid w:val="0052792D"/>
    <w:rsid w:val="005319B2"/>
    <w:rsid w:val="00532402"/>
    <w:rsid w:val="00532C74"/>
    <w:rsid w:val="005334C2"/>
    <w:rsid w:val="00534E2E"/>
    <w:rsid w:val="00544552"/>
    <w:rsid w:val="0055286A"/>
    <w:rsid w:val="00555745"/>
    <w:rsid w:val="00557A63"/>
    <w:rsid w:val="00557D4F"/>
    <w:rsid w:val="00562272"/>
    <w:rsid w:val="0056484E"/>
    <w:rsid w:val="005764CD"/>
    <w:rsid w:val="00577C4D"/>
    <w:rsid w:val="00580532"/>
    <w:rsid w:val="00581932"/>
    <w:rsid w:val="005857F9"/>
    <w:rsid w:val="0058649D"/>
    <w:rsid w:val="00586B20"/>
    <w:rsid w:val="005963BB"/>
    <w:rsid w:val="005A3173"/>
    <w:rsid w:val="005A3223"/>
    <w:rsid w:val="005A3DA3"/>
    <w:rsid w:val="005A52C4"/>
    <w:rsid w:val="005A7705"/>
    <w:rsid w:val="005B799D"/>
    <w:rsid w:val="005D03AB"/>
    <w:rsid w:val="005D0E82"/>
    <w:rsid w:val="005D5017"/>
    <w:rsid w:val="005D63FA"/>
    <w:rsid w:val="005D72D8"/>
    <w:rsid w:val="005D7A69"/>
    <w:rsid w:val="005E02F9"/>
    <w:rsid w:val="005E1333"/>
    <w:rsid w:val="005E3136"/>
    <w:rsid w:val="005E507D"/>
    <w:rsid w:val="005F2392"/>
    <w:rsid w:val="00601A91"/>
    <w:rsid w:val="0060260E"/>
    <w:rsid w:val="00602BA3"/>
    <w:rsid w:val="00605B63"/>
    <w:rsid w:val="00606EED"/>
    <w:rsid w:val="00612E34"/>
    <w:rsid w:val="00614159"/>
    <w:rsid w:val="00614B5E"/>
    <w:rsid w:val="00616C5F"/>
    <w:rsid w:val="00616DAC"/>
    <w:rsid w:val="00617C00"/>
    <w:rsid w:val="006263BF"/>
    <w:rsid w:val="0062748A"/>
    <w:rsid w:val="00630A2C"/>
    <w:rsid w:val="0063126C"/>
    <w:rsid w:val="0063682E"/>
    <w:rsid w:val="006377E3"/>
    <w:rsid w:val="00642DA8"/>
    <w:rsid w:val="006436CD"/>
    <w:rsid w:val="00643DA7"/>
    <w:rsid w:val="00651169"/>
    <w:rsid w:val="00653D69"/>
    <w:rsid w:val="006552E6"/>
    <w:rsid w:val="00657C63"/>
    <w:rsid w:val="006670BE"/>
    <w:rsid w:val="00670A76"/>
    <w:rsid w:val="006711AA"/>
    <w:rsid w:val="00672B57"/>
    <w:rsid w:val="00675622"/>
    <w:rsid w:val="0067665F"/>
    <w:rsid w:val="0067747D"/>
    <w:rsid w:val="00681CA4"/>
    <w:rsid w:val="0069039D"/>
    <w:rsid w:val="006906DB"/>
    <w:rsid w:val="00691E6C"/>
    <w:rsid w:val="00693DFB"/>
    <w:rsid w:val="0069501D"/>
    <w:rsid w:val="00696129"/>
    <w:rsid w:val="00697CF2"/>
    <w:rsid w:val="006A12A5"/>
    <w:rsid w:val="006A5E20"/>
    <w:rsid w:val="006B0D94"/>
    <w:rsid w:val="006B485D"/>
    <w:rsid w:val="006B5CAB"/>
    <w:rsid w:val="006C334C"/>
    <w:rsid w:val="006C708E"/>
    <w:rsid w:val="006D14E7"/>
    <w:rsid w:val="006D4444"/>
    <w:rsid w:val="006D6493"/>
    <w:rsid w:val="006D6EC7"/>
    <w:rsid w:val="006E1BCD"/>
    <w:rsid w:val="006E7378"/>
    <w:rsid w:val="006F5125"/>
    <w:rsid w:val="006F733D"/>
    <w:rsid w:val="00701DC3"/>
    <w:rsid w:val="00702B6F"/>
    <w:rsid w:val="007035DA"/>
    <w:rsid w:val="00706A2F"/>
    <w:rsid w:val="0070718E"/>
    <w:rsid w:val="0071340B"/>
    <w:rsid w:val="007174BB"/>
    <w:rsid w:val="0072025D"/>
    <w:rsid w:val="0073137C"/>
    <w:rsid w:val="007353D3"/>
    <w:rsid w:val="0074156B"/>
    <w:rsid w:val="007555E8"/>
    <w:rsid w:val="0076420C"/>
    <w:rsid w:val="00771D07"/>
    <w:rsid w:val="00774E2C"/>
    <w:rsid w:val="007753C2"/>
    <w:rsid w:val="007811B1"/>
    <w:rsid w:val="007838B8"/>
    <w:rsid w:val="00783E17"/>
    <w:rsid w:val="007915BA"/>
    <w:rsid w:val="007A766B"/>
    <w:rsid w:val="007B3DDC"/>
    <w:rsid w:val="007B72A6"/>
    <w:rsid w:val="007C0F57"/>
    <w:rsid w:val="007C13D4"/>
    <w:rsid w:val="007C40B6"/>
    <w:rsid w:val="007C4BEE"/>
    <w:rsid w:val="007C729F"/>
    <w:rsid w:val="007C7E03"/>
    <w:rsid w:val="007E1D28"/>
    <w:rsid w:val="007F0021"/>
    <w:rsid w:val="007F2641"/>
    <w:rsid w:val="007F7C36"/>
    <w:rsid w:val="00804F85"/>
    <w:rsid w:val="00806668"/>
    <w:rsid w:val="00806796"/>
    <w:rsid w:val="00811CC0"/>
    <w:rsid w:val="008151D6"/>
    <w:rsid w:val="00817A73"/>
    <w:rsid w:val="00821527"/>
    <w:rsid w:val="008247C8"/>
    <w:rsid w:val="00824CB4"/>
    <w:rsid w:val="008254C2"/>
    <w:rsid w:val="008268BB"/>
    <w:rsid w:val="00826F6D"/>
    <w:rsid w:val="008306F3"/>
    <w:rsid w:val="00830E40"/>
    <w:rsid w:val="00851607"/>
    <w:rsid w:val="00855FD6"/>
    <w:rsid w:val="00856DDD"/>
    <w:rsid w:val="00863E68"/>
    <w:rsid w:val="008647B5"/>
    <w:rsid w:val="0087121E"/>
    <w:rsid w:val="00875DCB"/>
    <w:rsid w:val="00882085"/>
    <w:rsid w:val="008821FE"/>
    <w:rsid w:val="00883188"/>
    <w:rsid w:val="00897D58"/>
    <w:rsid w:val="00897F22"/>
    <w:rsid w:val="008A06F4"/>
    <w:rsid w:val="008A0B39"/>
    <w:rsid w:val="008A1956"/>
    <w:rsid w:val="008A4937"/>
    <w:rsid w:val="008A50F1"/>
    <w:rsid w:val="008A59D9"/>
    <w:rsid w:val="008A6819"/>
    <w:rsid w:val="008B2EC0"/>
    <w:rsid w:val="008D165A"/>
    <w:rsid w:val="008D1B5C"/>
    <w:rsid w:val="008D3C82"/>
    <w:rsid w:val="008D447E"/>
    <w:rsid w:val="008D7A41"/>
    <w:rsid w:val="008E2C72"/>
    <w:rsid w:val="008E3680"/>
    <w:rsid w:val="008E5870"/>
    <w:rsid w:val="008E5F26"/>
    <w:rsid w:val="008E6ADA"/>
    <w:rsid w:val="008F1434"/>
    <w:rsid w:val="008F54C3"/>
    <w:rsid w:val="008F7355"/>
    <w:rsid w:val="009023DC"/>
    <w:rsid w:val="009067B7"/>
    <w:rsid w:val="00912267"/>
    <w:rsid w:val="00913E76"/>
    <w:rsid w:val="00922C24"/>
    <w:rsid w:val="00922F96"/>
    <w:rsid w:val="00926560"/>
    <w:rsid w:val="00930937"/>
    <w:rsid w:val="009324A6"/>
    <w:rsid w:val="00932F5B"/>
    <w:rsid w:val="00933E6C"/>
    <w:rsid w:val="00937958"/>
    <w:rsid w:val="00941602"/>
    <w:rsid w:val="00942160"/>
    <w:rsid w:val="00950C44"/>
    <w:rsid w:val="0095146F"/>
    <w:rsid w:val="00957944"/>
    <w:rsid w:val="009602C5"/>
    <w:rsid w:val="00962223"/>
    <w:rsid w:val="00966D0D"/>
    <w:rsid w:val="0096783C"/>
    <w:rsid w:val="00970CFF"/>
    <w:rsid w:val="009722B3"/>
    <w:rsid w:val="00974C21"/>
    <w:rsid w:val="00977BF3"/>
    <w:rsid w:val="009803E4"/>
    <w:rsid w:val="00980B0E"/>
    <w:rsid w:val="009836A3"/>
    <w:rsid w:val="009855A8"/>
    <w:rsid w:val="009913F4"/>
    <w:rsid w:val="0099465B"/>
    <w:rsid w:val="00996781"/>
    <w:rsid w:val="00996FFA"/>
    <w:rsid w:val="009A0CDD"/>
    <w:rsid w:val="009A3168"/>
    <w:rsid w:val="009A61CA"/>
    <w:rsid w:val="009B0C64"/>
    <w:rsid w:val="009B0F67"/>
    <w:rsid w:val="009B65B8"/>
    <w:rsid w:val="009C6A86"/>
    <w:rsid w:val="009C703C"/>
    <w:rsid w:val="009D206E"/>
    <w:rsid w:val="009D3CAA"/>
    <w:rsid w:val="009D6532"/>
    <w:rsid w:val="009E40E1"/>
    <w:rsid w:val="009F0EFA"/>
    <w:rsid w:val="009F4E46"/>
    <w:rsid w:val="009F5B65"/>
    <w:rsid w:val="009F5F2E"/>
    <w:rsid w:val="00A05661"/>
    <w:rsid w:val="00A06225"/>
    <w:rsid w:val="00A128E6"/>
    <w:rsid w:val="00A144D3"/>
    <w:rsid w:val="00A20A1E"/>
    <w:rsid w:val="00A22AC3"/>
    <w:rsid w:val="00A242D9"/>
    <w:rsid w:val="00A2744D"/>
    <w:rsid w:val="00A310D4"/>
    <w:rsid w:val="00A34E6C"/>
    <w:rsid w:val="00A36398"/>
    <w:rsid w:val="00A37C8D"/>
    <w:rsid w:val="00A4020E"/>
    <w:rsid w:val="00A40FB5"/>
    <w:rsid w:val="00A42826"/>
    <w:rsid w:val="00A44900"/>
    <w:rsid w:val="00A5273B"/>
    <w:rsid w:val="00A53A9D"/>
    <w:rsid w:val="00A55FEE"/>
    <w:rsid w:val="00A61D72"/>
    <w:rsid w:val="00A62C1A"/>
    <w:rsid w:val="00A6426D"/>
    <w:rsid w:val="00A665C1"/>
    <w:rsid w:val="00A70622"/>
    <w:rsid w:val="00A70977"/>
    <w:rsid w:val="00A70D58"/>
    <w:rsid w:val="00A744F9"/>
    <w:rsid w:val="00A77613"/>
    <w:rsid w:val="00A8390C"/>
    <w:rsid w:val="00A911AF"/>
    <w:rsid w:val="00A928BD"/>
    <w:rsid w:val="00A97DE9"/>
    <w:rsid w:val="00AA12CD"/>
    <w:rsid w:val="00AA4D1C"/>
    <w:rsid w:val="00AB15EE"/>
    <w:rsid w:val="00AB19EB"/>
    <w:rsid w:val="00AB5856"/>
    <w:rsid w:val="00AC193C"/>
    <w:rsid w:val="00AC3BE9"/>
    <w:rsid w:val="00AC4DE5"/>
    <w:rsid w:val="00AC5206"/>
    <w:rsid w:val="00AD4322"/>
    <w:rsid w:val="00AE11A5"/>
    <w:rsid w:val="00AE13E2"/>
    <w:rsid w:val="00AE22D3"/>
    <w:rsid w:val="00AE5A49"/>
    <w:rsid w:val="00AF2388"/>
    <w:rsid w:val="00AF38E5"/>
    <w:rsid w:val="00AF4899"/>
    <w:rsid w:val="00AF62DF"/>
    <w:rsid w:val="00AF68CC"/>
    <w:rsid w:val="00AF70D7"/>
    <w:rsid w:val="00B07CFB"/>
    <w:rsid w:val="00B1059E"/>
    <w:rsid w:val="00B136AF"/>
    <w:rsid w:val="00B170A5"/>
    <w:rsid w:val="00B176C8"/>
    <w:rsid w:val="00B205AA"/>
    <w:rsid w:val="00B22C71"/>
    <w:rsid w:val="00B22E84"/>
    <w:rsid w:val="00B233AD"/>
    <w:rsid w:val="00B23E25"/>
    <w:rsid w:val="00B25F75"/>
    <w:rsid w:val="00B26B3F"/>
    <w:rsid w:val="00B2778F"/>
    <w:rsid w:val="00B33635"/>
    <w:rsid w:val="00B43E90"/>
    <w:rsid w:val="00B467DC"/>
    <w:rsid w:val="00B56118"/>
    <w:rsid w:val="00B6773F"/>
    <w:rsid w:val="00B71310"/>
    <w:rsid w:val="00B760FB"/>
    <w:rsid w:val="00B767AB"/>
    <w:rsid w:val="00B7751B"/>
    <w:rsid w:val="00B801BA"/>
    <w:rsid w:val="00B80E2F"/>
    <w:rsid w:val="00B84D5C"/>
    <w:rsid w:val="00B967F2"/>
    <w:rsid w:val="00BA19D0"/>
    <w:rsid w:val="00BA2DA8"/>
    <w:rsid w:val="00BA347C"/>
    <w:rsid w:val="00BB28EC"/>
    <w:rsid w:val="00BB69F5"/>
    <w:rsid w:val="00BB7EC3"/>
    <w:rsid w:val="00BC0671"/>
    <w:rsid w:val="00BC4B9A"/>
    <w:rsid w:val="00BC4D03"/>
    <w:rsid w:val="00BD02C3"/>
    <w:rsid w:val="00BD23C7"/>
    <w:rsid w:val="00BD4955"/>
    <w:rsid w:val="00BD4FB3"/>
    <w:rsid w:val="00BD784C"/>
    <w:rsid w:val="00BE020A"/>
    <w:rsid w:val="00BF092C"/>
    <w:rsid w:val="00BF27A0"/>
    <w:rsid w:val="00BF4CB6"/>
    <w:rsid w:val="00C00DA7"/>
    <w:rsid w:val="00C12768"/>
    <w:rsid w:val="00C12D70"/>
    <w:rsid w:val="00C21B09"/>
    <w:rsid w:val="00C2673A"/>
    <w:rsid w:val="00C27B58"/>
    <w:rsid w:val="00C35996"/>
    <w:rsid w:val="00C4430F"/>
    <w:rsid w:val="00C45370"/>
    <w:rsid w:val="00C4672F"/>
    <w:rsid w:val="00C4747E"/>
    <w:rsid w:val="00C5342C"/>
    <w:rsid w:val="00C53B2B"/>
    <w:rsid w:val="00C53CF0"/>
    <w:rsid w:val="00C60272"/>
    <w:rsid w:val="00C603D4"/>
    <w:rsid w:val="00C6256A"/>
    <w:rsid w:val="00C710E2"/>
    <w:rsid w:val="00C71C3F"/>
    <w:rsid w:val="00C72645"/>
    <w:rsid w:val="00C72EF6"/>
    <w:rsid w:val="00C7409E"/>
    <w:rsid w:val="00C76E76"/>
    <w:rsid w:val="00C77891"/>
    <w:rsid w:val="00C85D58"/>
    <w:rsid w:val="00C91449"/>
    <w:rsid w:val="00C92A3D"/>
    <w:rsid w:val="00C92D10"/>
    <w:rsid w:val="00CA1AD3"/>
    <w:rsid w:val="00CA36B6"/>
    <w:rsid w:val="00CA48D9"/>
    <w:rsid w:val="00CB1193"/>
    <w:rsid w:val="00CB4767"/>
    <w:rsid w:val="00CB493D"/>
    <w:rsid w:val="00CC3B97"/>
    <w:rsid w:val="00CE10C4"/>
    <w:rsid w:val="00CE233A"/>
    <w:rsid w:val="00CE27B5"/>
    <w:rsid w:val="00CE6DAF"/>
    <w:rsid w:val="00CF2555"/>
    <w:rsid w:val="00CF410A"/>
    <w:rsid w:val="00CF4F35"/>
    <w:rsid w:val="00CF7B51"/>
    <w:rsid w:val="00D0321E"/>
    <w:rsid w:val="00D07A8A"/>
    <w:rsid w:val="00D1455A"/>
    <w:rsid w:val="00D1459D"/>
    <w:rsid w:val="00D22093"/>
    <w:rsid w:val="00D31150"/>
    <w:rsid w:val="00D3138B"/>
    <w:rsid w:val="00D3280C"/>
    <w:rsid w:val="00D3406A"/>
    <w:rsid w:val="00D3491A"/>
    <w:rsid w:val="00D441F1"/>
    <w:rsid w:val="00D4572C"/>
    <w:rsid w:val="00D469B2"/>
    <w:rsid w:val="00D6108D"/>
    <w:rsid w:val="00D633CC"/>
    <w:rsid w:val="00D64AE2"/>
    <w:rsid w:val="00D65658"/>
    <w:rsid w:val="00D663E2"/>
    <w:rsid w:val="00D70D16"/>
    <w:rsid w:val="00D72B6F"/>
    <w:rsid w:val="00D741EB"/>
    <w:rsid w:val="00D7517B"/>
    <w:rsid w:val="00D763F6"/>
    <w:rsid w:val="00D7679C"/>
    <w:rsid w:val="00D820F3"/>
    <w:rsid w:val="00D83605"/>
    <w:rsid w:val="00D84934"/>
    <w:rsid w:val="00D85039"/>
    <w:rsid w:val="00D91271"/>
    <w:rsid w:val="00D914E2"/>
    <w:rsid w:val="00D919F5"/>
    <w:rsid w:val="00D94F03"/>
    <w:rsid w:val="00DA0D14"/>
    <w:rsid w:val="00DA1FC9"/>
    <w:rsid w:val="00DA2CB5"/>
    <w:rsid w:val="00DA4BAC"/>
    <w:rsid w:val="00DB0151"/>
    <w:rsid w:val="00DC2C3E"/>
    <w:rsid w:val="00DC324E"/>
    <w:rsid w:val="00DC4880"/>
    <w:rsid w:val="00DC6158"/>
    <w:rsid w:val="00DE6D27"/>
    <w:rsid w:val="00DF217D"/>
    <w:rsid w:val="00DF26A7"/>
    <w:rsid w:val="00DF3277"/>
    <w:rsid w:val="00DF7919"/>
    <w:rsid w:val="00E0207E"/>
    <w:rsid w:val="00E03912"/>
    <w:rsid w:val="00E10E7C"/>
    <w:rsid w:val="00E15627"/>
    <w:rsid w:val="00E164B3"/>
    <w:rsid w:val="00E16910"/>
    <w:rsid w:val="00E24E09"/>
    <w:rsid w:val="00E27234"/>
    <w:rsid w:val="00E35833"/>
    <w:rsid w:val="00E42BDB"/>
    <w:rsid w:val="00E42C7D"/>
    <w:rsid w:val="00E44CFA"/>
    <w:rsid w:val="00E526D0"/>
    <w:rsid w:val="00E53FA5"/>
    <w:rsid w:val="00E54910"/>
    <w:rsid w:val="00E5647A"/>
    <w:rsid w:val="00E57EEB"/>
    <w:rsid w:val="00E62D94"/>
    <w:rsid w:val="00E64F37"/>
    <w:rsid w:val="00E65E54"/>
    <w:rsid w:val="00E661C7"/>
    <w:rsid w:val="00E76D8A"/>
    <w:rsid w:val="00E779E0"/>
    <w:rsid w:val="00E80155"/>
    <w:rsid w:val="00E81E0D"/>
    <w:rsid w:val="00E81F28"/>
    <w:rsid w:val="00E848C0"/>
    <w:rsid w:val="00E8512C"/>
    <w:rsid w:val="00E87431"/>
    <w:rsid w:val="00E91B96"/>
    <w:rsid w:val="00E93D1E"/>
    <w:rsid w:val="00E941A1"/>
    <w:rsid w:val="00E95CE3"/>
    <w:rsid w:val="00EA252F"/>
    <w:rsid w:val="00EA2825"/>
    <w:rsid w:val="00EA7EDE"/>
    <w:rsid w:val="00EB0B63"/>
    <w:rsid w:val="00EB1936"/>
    <w:rsid w:val="00EB37BE"/>
    <w:rsid w:val="00EB5088"/>
    <w:rsid w:val="00EB5F98"/>
    <w:rsid w:val="00EC71BF"/>
    <w:rsid w:val="00ED1644"/>
    <w:rsid w:val="00ED2593"/>
    <w:rsid w:val="00ED7D9C"/>
    <w:rsid w:val="00EE4A3B"/>
    <w:rsid w:val="00EF0069"/>
    <w:rsid w:val="00EF33B0"/>
    <w:rsid w:val="00EF44A0"/>
    <w:rsid w:val="00EF4917"/>
    <w:rsid w:val="00EF4FED"/>
    <w:rsid w:val="00EF66D6"/>
    <w:rsid w:val="00F007C6"/>
    <w:rsid w:val="00F0172E"/>
    <w:rsid w:val="00F050BD"/>
    <w:rsid w:val="00F05657"/>
    <w:rsid w:val="00F170AE"/>
    <w:rsid w:val="00F209E2"/>
    <w:rsid w:val="00F22877"/>
    <w:rsid w:val="00F250C1"/>
    <w:rsid w:val="00F25578"/>
    <w:rsid w:val="00F258E5"/>
    <w:rsid w:val="00F25B9C"/>
    <w:rsid w:val="00F269F7"/>
    <w:rsid w:val="00F26CC6"/>
    <w:rsid w:val="00F300BC"/>
    <w:rsid w:val="00F3263C"/>
    <w:rsid w:val="00F3334E"/>
    <w:rsid w:val="00F36CCB"/>
    <w:rsid w:val="00F374E5"/>
    <w:rsid w:val="00F37B93"/>
    <w:rsid w:val="00F41A24"/>
    <w:rsid w:val="00F43AF2"/>
    <w:rsid w:val="00F5007E"/>
    <w:rsid w:val="00F50EC4"/>
    <w:rsid w:val="00F52232"/>
    <w:rsid w:val="00F550CF"/>
    <w:rsid w:val="00F57A6D"/>
    <w:rsid w:val="00F638CC"/>
    <w:rsid w:val="00F64C9E"/>
    <w:rsid w:val="00F64CC1"/>
    <w:rsid w:val="00F72317"/>
    <w:rsid w:val="00F76281"/>
    <w:rsid w:val="00F80475"/>
    <w:rsid w:val="00F8247A"/>
    <w:rsid w:val="00F90947"/>
    <w:rsid w:val="00F9549C"/>
    <w:rsid w:val="00F9629A"/>
    <w:rsid w:val="00F97EFC"/>
    <w:rsid w:val="00FA14E5"/>
    <w:rsid w:val="00FA1BDD"/>
    <w:rsid w:val="00FA4DD5"/>
    <w:rsid w:val="00FA5883"/>
    <w:rsid w:val="00FA6055"/>
    <w:rsid w:val="00FB322F"/>
    <w:rsid w:val="00FB3FB4"/>
    <w:rsid w:val="00FB442F"/>
    <w:rsid w:val="00FC1929"/>
    <w:rsid w:val="00FC3D94"/>
    <w:rsid w:val="00FC5B46"/>
    <w:rsid w:val="00FD6D8E"/>
    <w:rsid w:val="00FE0E94"/>
    <w:rsid w:val="00FE3CD9"/>
    <w:rsid w:val="00FF00BD"/>
    <w:rsid w:val="00FF1ED4"/>
    <w:rsid w:val="00FF2801"/>
    <w:rsid w:val="00FF4107"/>
    <w:rsid w:val="00FF4243"/>
    <w:rsid w:val="00FF57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6F3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3"/>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E0207E"/>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E0207E"/>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rmal"/>
    <w:link w:val="TableTextChar0"/>
    <w:qFormat/>
    <w:rsid w:val="00E03912"/>
    <w:rPr>
      <w:rFonts w:ascii="Arial Narrow" w:hAnsi="Arial Narrow" w:cs="Arial"/>
      <w:sz w:val="20"/>
      <w:szCs w:val="20"/>
    </w:rPr>
  </w:style>
  <w:style w:type="paragraph" w:customStyle="1" w:styleId="Lists">
    <w:name w:val="Lists"/>
    <w:basedOn w:val="3Bodytext"/>
    <w:link w:val="ListsChar"/>
    <w:qFormat/>
    <w:rsid w:val="000A44B2"/>
    <w:pPr>
      <w:numPr>
        <w:ilvl w:val="0"/>
        <w:numId w:val="4"/>
      </w:numPr>
    </w:pPr>
  </w:style>
  <w:style w:type="character" w:customStyle="1" w:styleId="TableTextChar0">
    <w:name w:val="Table Text Char"/>
    <w:basedOn w:val="NoSpacingChar"/>
    <w:link w:val="TableText0"/>
    <w:rsid w:val="00E03912"/>
    <w:rPr>
      <w:rFonts w:ascii="Arial Narrow" w:hAnsi="Arial Narrow" w:cs="Arial"/>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D72B6F"/>
    <w:pPr>
      <w:numPr>
        <w:numId w:val="5"/>
      </w:numPr>
      <w:ind w:left="425" w:hanging="425"/>
      <w:contextualSpacing w:val="0"/>
    </w:pPr>
    <w:rPr>
      <w:rFonts w:ascii="Calibri" w:hAnsi="Calibri"/>
      <w:sz w:val="24"/>
      <w:szCs w:val="24"/>
    </w:rPr>
  </w:style>
  <w:style w:type="paragraph" w:customStyle="1" w:styleId="TableFooter">
    <w:name w:val="Table Footer"/>
    <w:basedOn w:val="Normal"/>
    <w:link w:val="TableFooterChar"/>
    <w:qFormat/>
    <w:rsid w:val="00C7409E"/>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pPr>
      <w:numPr>
        <w:ilvl w:val="1"/>
        <w:numId w:val="3"/>
      </w:numPr>
    </w:pPr>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BF092C"/>
    <w:pPr>
      <w:spacing w:after="200"/>
    </w:pPr>
    <w:rPr>
      <w:rFonts w:ascii="Calibri" w:hAnsi="Calibri"/>
      <w:i/>
      <w:iCs/>
      <w:color w:val="000000" w:themeColor="text1"/>
      <w:sz w:val="18"/>
      <w:szCs w:val="18"/>
    </w:rPr>
  </w:style>
  <w:style w:type="paragraph" w:customStyle="1" w:styleId="ProcedureStep">
    <w:name w:val="ProcedureStep"/>
    <w:basedOn w:val="Normal"/>
    <w:rsid w:val="00BF27A0"/>
    <w:pPr>
      <w:numPr>
        <w:numId w:val="13"/>
      </w:numPr>
      <w:spacing w:before="60" w:after="60" w:line="300" w:lineRule="atLeast"/>
      <w:ind w:right="567"/>
    </w:pPr>
    <w:rPr>
      <w:rFonts w:ascii="Tahoma" w:hAnsi="Tahoma"/>
      <w:sz w:val="22"/>
      <w:szCs w:val="20"/>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locked/>
    <w:rsid w:val="005D72D8"/>
    <w:rPr>
      <w:rFonts w:ascii="Calibri" w:hAnsi="Calibri"/>
      <w:i/>
      <w:iCs/>
      <w:color w:val="000000" w:themeColor="text1"/>
      <w:sz w:val="18"/>
      <w:szCs w:val="18"/>
    </w:rPr>
  </w:style>
  <w:style w:type="table" w:customStyle="1" w:styleId="ASDTable2">
    <w:name w:val="ASD Table2"/>
    <w:basedOn w:val="TableNormal"/>
    <w:next w:val="TableGrid"/>
    <w:uiPriority w:val="59"/>
    <w:rsid w:val="00D66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4">
    <w:name w:val="ASD Table4"/>
    <w:basedOn w:val="TableNormal"/>
    <w:next w:val="TableGrid"/>
    <w:uiPriority w:val="59"/>
    <w:rsid w:val="00471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3">
    <w:name w:val="ASD Table3"/>
    <w:basedOn w:val="TableNormal"/>
    <w:next w:val="TableGrid"/>
    <w:uiPriority w:val="59"/>
    <w:rsid w:val="00B77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AB15EE"/>
    <w:rPr>
      <w:rFonts w:ascii="Tahoma" w:hAnsi="Tahoma" w:cs="Tahoma"/>
      <w:sz w:val="16"/>
      <w:szCs w:val="16"/>
    </w:rPr>
  </w:style>
  <w:style w:type="paragraph" w:styleId="FootnoteText">
    <w:name w:val="footnote text"/>
    <w:aliases w:val="Footnote Text Char1,Footnote Text Char Char,Footnote Text Char2,Footnote Text Char Char1"/>
    <w:basedOn w:val="Normal"/>
    <w:link w:val="FootnoteTextChar"/>
    <w:unhideWhenUsed/>
    <w:rsid w:val="00267F89"/>
    <w:pPr>
      <w:widowControl w:val="0"/>
      <w:jc w:val="both"/>
    </w:pPr>
    <w:rPr>
      <w:rFonts w:ascii="Calibri" w:hAnsi="Calibri" w:cs="Arial"/>
      <w:snapToGrid w:val="0"/>
      <w:sz w:val="20"/>
      <w:szCs w:val="20"/>
      <w:lang w:eastAsia="en-US"/>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rsid w:val="00267F89"/>
    <w:rPr>
      <w:rFonts w:ascii="Calibri" w:hAnsi="Calibri" w:cs="Arial"/>
      <w:snapToGrid w:val="0"/>
      <w:lang w:eastAsia="en-US"/>
    </w:rPr>
  </w:style>
  <w:style w:type="character" w:styleId="FootnoteReference">
    <w:name w:val="footnote reference"/>
    <w:basedOn w:val="DefaultParagraphFont"/>
    <w:unhideWhenUsed/>
    <w:rsid w:val="00267F89"/>
    <w:rPr>
      <w:vertAlign w:val="superscript"/>
    </w:rPr>
  </w:style>
  <w:style w:type="paragraph" w:styleId="NormalWeb">
    <w:name w:val="Normal (Web)"/>
    <w:basedOn w:val="Normal"/>
    <w:uiPriority w:val="99"/>
    <w:semiHidden/>
    <w:unhideWhenUsed/>
    <w:rsid w:val="00007559"/>
    <w:pPr>
      <w:spacing w:before="100" w:beforeAutospacing="1" w:after="100" w:afterAutospacing="1"/>
    </w:pPr>
  </w:style>
  <w:style w:type="character" w:styleId="Strong">
    <w:name w:val="Strong"/>
    <w:basedOn w:val="DefaultParagraphFont"/>
    <w:uiPriority w:val="22"/>
    <w:qFormat/>
    <w:rsid w:val="000075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20733170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53308750">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5484</Words>
  <Characters>30990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2020-02-17T02:11:00Z</dcterms:created>
  <dcterms:modified xsi:type="dcterms:W3CDTF">2020-02-26T04:17:00Z</dcterms:modified>
</cp:coreProperties>
</file>