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5CB" w:rsidRDefault="00D762CC" w:rsidP="002A32A6">
      <w:pPr>
        <w:ind w:left="720" w:hanging="720"/>
        <w:jc w:val="left"/>
        <w:outlineLvl w:val="0"/>
      </w:pPr>
      <w:r w:rsidRPr="00CE564A">
        <w:rPr>
          <w:b/>
          <w:sz w:val="36"/>
          <w:szCs w:val="36"/>
        </w:rPr>
        <w:t>5.08</w:t>
      </w:r>
      <w:r w:rsidR="00B60939" w:rsidRPr="00CE564A">
        <w:rPr>
          <w:b/>
          <w:sz w:val="36"/>
          <w:szCs w:val="36"/>
        </w:rPr>
        <w:tab/>
      </w:r>
      <w:r w:rsidR="00B27FA9" w:rsidRPr="00CE564A">
        <w:rPr>
          <w:b/>
          <w:sz w:val="36"/>
          <w:szCs w:val="36"/>
        </w:rPr>
        <w:t>PATIROMER</w:t>
      </w:r>
      <w:r w:rsidR="00B60939" w:rsidRPr="00CE564A">
        <w:rPr>
          <w:b/>
          <w:sz w:val="36"/>
          <w:szCs w:val="36"/>
        </w:rPr>
        <w:t xml:space="preserve">, </w:t>
      </w:r>
      <w:r w:rsidR="00CE564A">
        <w:rPr>
          <w:b/>
          <w:sz w:val="36"/>
          <w:szCs w:val="36"/>
        </w:rPr>
        <w:br/>
      </w:r>
      <w:r w:rsidR="003B6632" w:rsidRPr="00CE564A">
        <w:rPr>
          <w:b/>
          <w:sz w:val="36"/>
          <w:szCs w:val="36"/>
        </w:rPr>
        <w:t xml:space="preserve">Powder for oral liquid </w:t>
      </w:r>
      <w:r w:rsidR="00B27FA9" w:rsidRPr="00CE564A">
        <w:rPr>
          <w:b/>
          <w:sz w:val="36"/>
          <w:szCs w:val="36"/>
        </w:rPr>
        <w:t>8.4 g</w:t>
      </w:r>
      <w:r w:rsidR="003B6632" w:rsidRPr="00CE564A">
        <w:rPr>
          <w:b/>
          <w:sz w:val="36"/>
          <w:szCs w:val="36"/>
        </w:rPr>
        <w:t xml:space="preserve"> </w:t>
      </w:r>
      <w:r w:rsidR="00B27FA9" w:rsidRPr="00CE564A">
        <w:rPr>
          <w:b/>
          <w:sz w:val="36"/>
          <w:szCs w:val="36"/>
        </w:rPr>
        <w:t>and 16.8 g</w:t>
      </w:r>
      <w:r w:rsidRPr="00CE564A">
        <w:rPr>
          <w:b/>
          <w:sz w:val="36"/>
          <w:szCs w:val="36"/>
        </w:rPr>
        <w:t xml:space="preserve">, </w:t>
      </w:r>
      <w:r w:rsidR="00CE564A">
        <w:rPr>
          <w:b/>
          <w:sz w:val="36"/>
          <w:szCs w:val="36"/>
        </w:rPr>
        <w:br/>
      </w:r>
      <w:r w:rsidR="00B27FA9" w:rsidRPr="00CE564A">
        <w:rPr>
          <w:b/>
          <w:sz w:val="36"/>
          <w:szCs w:val="36"/>
        </w:rPr>
        <w:t>Veltassa</w:t>
      </w:r>
      <w:r w:rsidR="00B60939" w:rsidRPr="00CE564A">
        <w:rPr>
          <w:b/>
          <w:sz w:val="36"/>
          <w:szCs w:val="36"/>
        </w:rPr>
        <w:t xml:space="preserve">®, </w:t>
      </w:r>
      <w:r w:rsidR="00CE564A">
        <w:rPr>
          <w:b/>
          <w:sz w:val="36"/>
          <w:szCs w:val="36"/>
        </w:rPr>
        <w:br/>
      </w:r>
      <w:r w:rsidR="009625A2" w:rsidRPr="00CE564A">
        <w:rPr>
          <w:b/>
          <w:sz w:val="36"/>
          <w:szCs w:val="36"/>
        </w:rPr>
        <w:t>Vifor Pharma Pty Ltd</w:t>
      </w:r>
      <w:r w:rsidR="00B60939" w:rsidRPr="00CE564A">
        <w:rPr>
          <w:b/>
          <w:sz w:val="36"/>
          <w:szCs w:val="36"/>
        </w:rPr>
        <w:t>.</w:t>
      </w:r>
      <w:bookmarkStart w:id="0" w:name="_Toc19703811"/>
    </w:p>
    <w:p w:rsidR="00B50DB8" w:rsidRDefault="00B50DB8" w:rsidP="002A32A6">
      <w:pPr>
        <w:pStyle w:val="PBACHeading1"/>
        <w:spacing w:before="240" w:after="120"/>
        <w:outlineLvl w:val="0"/>
      </w:pPr>
      <w:r w:rsidRPr="000A1CD6">
        <w:t>Purpose of Application</w:t>
      </w:r>
      <w:bookmarkEnd w:id="0"/>
    </w:p>
    <w:p w:rsidR="002C2775" w:rsidRPr="008B1757" w:rsidRDefault="0039346D" w:rsidP="00E74A7B">
      <w:pPr>
        <w:pStyle w:val="ListParagraph"/>
        <w:widowControl/>
        <w:numPr>
          <w:ilvl w:val="1"/>
          <w:numId w:val="3"/>
        </w:numPr>
        <w:spacing w:after="120"/>
      </w:pPr>
      <w:r>
        <w:t xml:space="preserve">The submission requested an </w:t>
      </w:r>
      <w:r w:rsidR="0077321C">
        <w:t>Authority Required (</w:t>
      </w:r>
      <w:r w:rsidR="00DE6014">
        <w:t>STREAMLINED</w:t>
      </w:r>
      <w:r w:rsidR="003F626E">
        <w:t xml:space="preserve">) </w:t>
      </w:r>
      <w:r w:rsidR="008B1757" w:rsidRPr="004B3DDB">
        <w:t xml:space="preserve">listing for </w:t>
      </w:r>
      <w:r w:rsidR="003F626E">
        <w:t>patiromer</w:t>
      </w:r>
      <w:r w:rsidR="008B1757" w:rsidRPr="004B3DDB">
        <w:t xml:space="preserve"> for </w:t>
      </w:r>
      <w:r w:rsidR="003F626E">
        <w:t xml:space="preserve">initial and continuing </w:t>
      </w:r>
      <w:r w:rsidR="008B1757" w:rsidRPr="004B3DDB">
        <w:t xml:space="preserve">treatment of </w:t>
      </w:r>
      <w:r w:rsidR="003F626E">
        <w:t xml:space="preserve">hyperkalaemia in patients with </w:t>
      </w:r>
      <w:r w:rsidR="00BB69D7">
        <w:t>chronic kidney disease (</w:t>
      </w:r>
      <w:r w:rsidR="003F626E">
        <w:t>CKD</w:t>
      </w:r>
      <w:r w:rsidR="00BB69D7">
        <w:t>)</w:t>
      </w:r>
      <w:r w:rsidR="003F626E">
        <w:t xml:space="preserve"> Stage 3+</w:t>
      </w:r>
      <w:r w:rsidR="0077321C">
        <w:t xml:space="preserve"> </w:t>
      </w:r>
      <w:r w:rsidR="0077321C" w:rsidRPr="0077321C">
        <w:t>who are receiving one or more renin angiotensin aldosterone system inhibitor (RAASi) medicines</w:t>
      </w:r>
      <w:r w:rsidR="0077321C">
        <w:t xml:space="preserve">, </w:t>
      </w:r>
      <w:r w:rsidR="0077321C" w:rsidRPr="0077321C">
        <w:t xml:space="preserve">or are indicated for </w:t>
      </w:r>
      <w:r w:rsidR="0077321C">
        <w:t>a RAASi medicine but are unable to tolerate this due to complications of hyperkalaemia</w:t>
      </w:r>
      <w:r w:rsidR="0077321C" w:rsidRPr="0077321C">
        <w:t xml:space="preserve">, </w:t>
      </w:r>
      <w:r w:rsidR="0077321C">
        <w:t xml:space="preserve">and </w:t>
      </w:r>
      <w:r w:rsidR="0077321C" w:rsidRPr="0077321C">
        <w:t>have experienced a recent episode of hyperkalaemia requiring pharmacological intervention</w:t>
      </w:r>
      <w:r w:rsidR="0077321C">
        <w:t xml:space="preserve">. </w:t>
      </w:r>
      <w:r w:rsidR="003F626E">
        <w:t>Patiromer has not previously been considered by the PBAC.</w:t>
      </w:r>
    </w:p>
    <w:p w:rsidR="00C2778B" w:rsidRDefault="0077321C" w:rsidP="00E74A7B">
      <w:pPr>
        <w:pStyle w:val="ListParagraph"/>
        <w:widowControl/>
        <w:numPr>
          <w:ilvl w:val="1"/>
          <w:numId w:val="3"/>
        </w:numPr>
        <w:spacing w:after="120"/>
      </w:pPr>
      <w:r>
        <w:t>The requested listing was based on a cost-utility analysis of patiromer compared to placebo.</w:t>
      </w:r>
    </w:p>
    <w:p w:rsidR="008B1757" w:rsidRPr="008B1757" w:rsidRDefault="00110F33" w:rsidP="00E74A7B">
      <w:pPr>
        <w:keepNext/>
        <w:keepLines/>
        <w:widowControl/>
        <w:suppressLineNumbers/>
        <w:suppressAutoHyphens/>
        <w:rPr>
          <w:rStyle w:val="CommentReference"/>
        </w:rPr>
      </w:pPr>
      <w:r>
        <w:rPr>
          <w:rStyle w:val="CommentReference"/>
        </w:rPr>
        <w:t>Table 1</w:t>
      </w:r>
      <w:r w:rsidR="008B1757">
        <w:rPr>
          <w:rStyle w:val="CommentReference"/>
        </w:rPr>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988"/>
        <w:gridCol w:w="8029"/>
      </w:tblGrid>
      <w:tr w:rsidR="008B1757" w:rsidRPr="00691913" w:rsidTr="00F13BC7">
        <w:trPr>
          <w:cantSplit/>
          <w:tblHeader/>
        </w:trPr>
        <w:tc>
          <w:tcPr>
            <w:tcW w:w="548" w:type="pct"/>
            <w:shd w:val="clear" w:color="auto" w:fill="auto"/>
            <w:tcMar>
              <w:left w:w="28" w:type="dxa"/>
              <w:right w:w="28" w:type="dxa"/>
            </w:tcMar>
          </w:tcPr>
          <w:p w:rsidR="008B1757" w:rsidRPr="008B1757" w:rsidRDefault="008B1757" w:rsidP="00E74A7B">
            <w:pPr>
              <w:pStyle w:val="Tabletext"/>
              <w:keepNext/>
              <w:keepLines/>
              <w:suppressLineNumbers/>
              <w:suppressAutoHyphens/>
              <w:rPr>
                <w:b/>
                <w:szCs w:val="20"/>
              </w:rPr>
            </w:pPr>
            <w:r w:rsidRPr="008B1757">
              <w:rPr>
                <w:b/>
              </w:rPr>
              <w:t>Component</w:t>
            </w:r>
          </w:p>
        </w:tc>
        <w:tc>
          <w:tcPr>
            <w:tcW w:w="4452" w:type="pct"/>
            <w:shd w:val="clear" w:color="auto" w:fill="auto"/>
            <w:tcMar>
              <w:left w:w="28" w:type="dxa"/>
              <w:right w:w="28" w:type="dxa"/>
            </w:tcMar>
          </w:tcPr>
          <w:p w:rsidR="008B1757" w:rsidRPr="008B1757" w:rsidRDefault="008B1757" w:rsidP="00E74A7B">
            <w:pPr>
              <w:pStyle w:val="Tabletext"/>
              <w:keepNext/>
              <w:keepLines/>
              <w:suppressLineNumbers/>
              <w:suppressAutoHyphens/>
              <w:jc w:val="center"/>
              <w:rPr>
                <w:b/>
              </w:rPr>
            </w:pPr>
            <w:r w:rsidRPr="008B1757">
              <w:rPr>
                <w:b/>
              </w:rPr>
              <w:t>Description</w:t>
            </w:r>
          </w:p>
        </w:tc>
      </w:tr>
      <w:tr w:rsidR="008B1757" w:rsidRPr="00691913" w:rsidTr="00F13BC7">
        <w:trPr>
          <w:cantSplit/>
        </w:trPr>
        <w:tc>
          <w:tcPr>
            <w:tcW w:w="548" w:type="pct"/>
            <w:shd w:val="clear" w:color="auto" w:fill="auto"/>
            <w:tcMar>
              <w:left w:w="28" w:type="dxa"/>
              <w:right w:w="28" w:type="dxa"/>
            </w:tcMar>
          </w:tcPr>
          <w:p w:rsidR="008B1757" w:rsidRPr="00691913" w:rsidRDefault="008B1757" w:rsidP="00E74A7B">
            <w:pPr>
              <w:pStyle w:val="Tabletext"/>
              <w:keepNext/>
              <w:keepLines/>
              <w:suppressLineNumbers/>
              <w:suppressAutoHyphens/>
            </w:pPr>
            <w:r w:rsidRPr="00691913">
              <w:t>Population</w:t>
            </w:r>
          </w:p>
        </w:tc>
        <w:tc>
          <w:tcPr>
            <w:tcW w:w="4452" w:type="pct"/>
            <w:shd w:val="clear" w:color="auto" w:fill="auto"/>
            <w:tcMar>
              <w:left w:w="28" w:type="dxa"/>
              <w:right w:w="28" w:type="dxa"/>
            </w:tcMar>
          </w:tcPr>
          <w:p w:rsidR="008B1757" w:rsidRPr="00691913" w:rsidRDefault="0077321C" w:rsidP="00E74A7B">
            <w:pPr>
              <w:pStyle w:val="Tabletext"/>
              <w:keepNext/>
              <w:keepLines/>
              <w:suppressLineNumbers/>
              <w:suppressAutoHyphens/>
            </w:pPr>
            <w:r w:rsidRPr="009625A2">
              <w:t xml:space="preserve">Adult patients with </w:t>
            </w:r>
            <w:r>
              <w:t xml:space="preserve">CKD </w:t>
            </w:r>
            <w:r w:rsidRPr="009625A2">
              <w:t xml:space="preserve">Stage 3+ </w:t>
            </w:r>
            <w:r>
              <w:t>with or without</w:t>
            </w:r>
            <w:r w:rsidRPr="009625A2">
              <w:t xml:space="preserve"> comorbidities including T2DM and CHF</w:t>
            </w:r>
            <w:r>
              <w:t>,</w:t>
            </w:r>
            <w:r w:rsidRPr="009625A2">
              <w:t xml:space="preserve"> who are receiving one or more RAASi medicines</w:t>
            </w:r>
            <w:r>
              <w:t xml:space="preserve"> (</w:t>
            </w:r>
            <w:r w:rsidRPr="0077321C">
              <w:t xml:space="preserve">or are indicated for </w:t>
            </w:r>
            <w:r>
              <w:t>a RAASi medicine but are unable to tolerate this due to complications of hyperkalaemia)</w:t>
            </w:r>
            <w:r w:rsidRPr="009625A2">
              <w:t xml:space="preserve">, have experienced a recent episode of hyperkalaemia requiring pharmacological intervention, and need chronic management of serum </w:t>
            </w:r>
            <w:r>
              <w:t>potassium</w:t>
            </w:r>
            <w:r w:rsidRPr="009625A2">
              <w:t xml:space="preserve"> in order to prevent subsequent hyperkalaemia episodes, while maintaining guideline recommended m</w:t>
            </w:r>
            <w:r>
              <w:t>aximum doses of RAASi therapies</w:t>
            </w:r>
          </w:p>
        </w:tc>
      </w:tr>
      <w:tr w:rsidR="0077321C" w:rsidRPr="00691913" w:rsidTr="00F13BC7">
        <w:trPr>
          <w:cantSplit/>
        </w:trPr>
        <w:tc>
          <w:tcPr>
            <w:tcW w:w="548" w:type="pct"/>
            <w:shd w:val="clear" w:color="auto" w:fill="auto"/>
            <w:tcMar>
              <w:left w:w="28" w:type="dxa"/>
              <w:right w:w="28" w:type="dxa"/>
            </w:tcMar>
          </w:tcPr>
          <w:p w:rsidR="0077321C" w:rsidRPr="00691913" w:rsidRDefault="0077321C" w:rsidP="00E74A7B">
            <w:pPr>
              <w:pStyle w:val="Tabletext"/>
              <w:keepNext/>
              <w:keepLines/>
              <w:suppressLineNumbers/>
              <w:suppressAutoHyphens/>
            </w:pPr>
            <w:r w:rsidRPr="00691913">
              <w:t>Intervention</w:t>
            </w:r>
          </w:p>
        </w:tc>
        <w:tc>
          <w:tcPr>
            <w:tcW w:w="4452" w:type="pct"/>
            <w:shd w:val="clear" w:color="auto" w:fill="auto"/>
            <w:tcMar>
              <w:left w:w="28" w:type="dxa"/>
              <w:right w:w="28" w:type="dxa"/>
            </w:tcMar>
            <w:vAlign w:val="center"/>
          </w:tcPr>
          <w:p w:rsidR="0077321C" w:rsidRPr="00691913" w:rsidRDefault="0077321C" w:rsidP="00E74A7B">
            <w:pPr>
              <w:pStyle w:val="Tabletext"/>
              <w:keepNext/>
              <w:keepLines/>
              <w:suppressLineNumbers/>
              <w:suppressAutoHyphens/>
            </w:pPr>
            <w:r w:rsidRPr="009625A2">
              <w:t>Patiromer (as sorbitex calcium) at a starting dose of 8.4 g per day (with food), titrated at intervals of at least 1 week, by increments of 8.4 g, up to a</w:t>
            </w:r>
            <w:r>
              <w:t xml:space="preserve"> maximum dose of 25.2 g per day</w:t>
            </w:r>
          </w:p>
        </w:tc>
      </w:tr>
      <w:tr w:rsidR="0077321C" w:rsidRPr="00691913" w:rsidTr="00F13BC7">
        <w:trPr>
          <w:cantSplit/>
        </w:trPr>
        <w:tc>
          <w:tcPr>
            <w:tcW w:w="548" w:type="pct"/>
            <w:shd w:val="clear" w:color="auto" w:fill="auto"/>
            <w:tcMar>
              <w:left w:w="28" w:type="dxa"/>
              <w:right w:w="28" w:type="dxa"/>
            </w:tcMar>
          </w:tcPr>
          <w:p w:rsidR="0077321C" w:rsidRPr="00691913" w:rsidRDefault="0077321C" w:rsidP="00E74A7B">
            <w:pPr>
              <w:pStyle w:val="Tabletext"/>
              <w:keepNext/>
              <w:keepLines/>
              <w:suppressLineNumbers/>
              <w:suppressAutoHyphens/>
            </w:pPr>
            <w:r w:rsidRPr="00691913">
              <w:t>Comparator</w:t>
            </w:r>
          </w:p>
        </w:tc>
        <w:tc>
          <w:tcPr>
            <w:tcW w:w="4452" w:type="pct"/>
            <w:shd w:val="clear" w:color="auto" w:fill="auto"/>
            <w:tcMar>
              <w:left w:w="28" w:type="dxa"/>
              <w:right w:w="28" w:type="dxa"/>
            </w:tcMar>
            <w:vAlign w:val="center"/>
          </w:tcPr>
          <w:p w:rsidR="0077321C" w:rsidRPr="00691913" w:rsidRDefault="0077321C" w:rsidP="00E74A7B">
            <w:pPr>
              <w:pStyle w:val="Tabletext"/>
              <w:keepNext/>
              <w:keepLines/>
              <w:suppressLineNumbers/>
              <w:suppressAutoHyphens/>
            </w:pPr>
            <w:r w:rsidRPr="009625A2">
              <w:t>Placebo or no a</w:t>
            </w:r>
            <w:r w:rsidR="009D69C5">
              <w:t>ctive hyperkalaemia treatment</w:t>
            </w:r>
          </w:p>
        </w:tc>
      </w:tr>
      <w:tr w:rsidR="0077321C" w:rsidRPr="00691913" w:rsidTr="00F13BC7">
        <w:trPr>
          <w:cantSplit/>
        </w:trPr>
        <w:tc>
          <w:tcPr>
            <w:tcW w:w="548" w:type="pct"/>
            <w:shd w:val="clear" w:color="auto" w:fill="auto"/>
            <w:tcMar>
              <w:left w:w="28" w:type="dxa"/>
              <w:right w:w="28" w:type="dxa"/>
            </w:tcMar>
          </w:tcPr>
          <w:p w:rsidR="0077321C" w:rsidRPr="00691913" w:rsidRDefault="0077321C" w:rsidP="00E74A7B">
            <w:pPr>
              <w:pStyle w:val="Tabletext"/>
              <w:keepNext/>
              <w:keepLines/>
              <w:suppressLineNumbers/>
              <w:suppressAutoHyphens/>
            </w:pPr>
            <w:r w:rsidRPr="00691913">
              <w:t>Outcomes</w:t>
            </w:r>
          </w:p>
        </w:tc>
        <w:tc>
          <w:tcPr>
            <w:tcW w:w="4452" w:type="pct"/>
            <w:shd w:val="clear" w:color="auto" w:fill="auto"/>
            <w:tcMar>
              <w:left w:w="28" w:type="dxa"/>
              <w:right w:w="28" w:type="dxa"/>
            </w:tcMar>
            <w:vAlign w:val="center"/>
          </w:tcPr>
          <w:p w:rsidR="0077321C" w:rsidRDefault="0077321C" w:rsidP="00E74A7B">
            <w:pPr>
              <w:pStyle w:val="Tabletext"/>
              <w:keepNext/>
              <w:keepLines/>
              <w:suppressLineNumbers/>
              <w:suppressAutoHyphens/>
            </w:pPr>
            <w:r>
              <w:t>Direct outcomes of treatment with patiromer:</w:t>
            </w:r>
          </w:p>
          <w:p w:rsidR="0077321C" w:rsidRDefault="0077321C" w:rsidP="00E74A7B">
            <w:pPr>
              <w:pStyle w:val="Tabletext"/>
              <w:keepNext/>
              <w:keepLines/>
              <w:numPr>
                <w:ilvl w:val="0"/>
                <w:numId w:val="1"/>
              </w:numPr>
              <w:suppressLineNumbers/>
              <w:suppressAutoHyphens/>
              <w:ind w:left="203" w:hanging="203"/>
            </w:pPr>
            <w:r>
              <w:t>Maintenance of safe and acceptable serum potassium levels</w:t>
            </w:r>
          </w:p>
          <w:p w:rsidR="00D762CC" w:rsidRDefault="0077321C" w:rsidP="00E74A7B">
            <w:pPr>
              <w:pStyle w:val="Tabletext"/>
              <w:keepNext/>
              <w:keepLines/>
              <w:numPr>
                <w:ilvl w:val="0"/>
                <w:numId w:val="1"/>
              </w:numPr>
              <w:suppressLineNumbers/>
              <w:suppressAutoHyphens/>
              <w:ind w:left="203" w:hanging="203"/>
            </w:pPr>
            <w:r>
              <w:t>Maintenance or restoration of guideline recommended maximum RAASi doses</w:t>
            </w:r>
          </w:p>
          <w:p w:rsidR="00D762CC" w:rsidRPr="00691913" w:rsidRDefault="0077321C" w:rsidP="00E74A7B">
            <w:pPr>
              <w:pStyle w:val="Tabletext"/>
              <w:keepNext/>
              <w:keepLines/>
              <w:numPr>
                <w:ilvl w:val="0"/>
                <w:numId w:val="1"/>
              </w:numPr>
              <w:suppressLineNumbers/>
              <w:suppressAutoHyphens/>
              <w:ind w:left="203" w:hanging="203"/>
            </w:pPr>
            <w:r>
              <w:t>Reduction in recurrent episodes of hyperkalaemia</w:t>
            </w:r>
          </w:p>
        </w:tc>
      </w:tr>
      <w:tr w:rsidR="0077321C" w:rsidRPr="00691913" w:rsidTr="00F13BC7">
        <w:trPr>
          <w:cantSplit/>
        </w:trPr>
        <w:tc>
          <w:tcPr>
            <w:tcW w:w="548" w:type="pct"/>
            <w:shd w:val="clear" w:color="auto" w:fill="auto"/>
            <w:tcMar>
              <w:left w:w="28" w:type="dxa"/>
              <w:right w:w="28" w:type="dxa"/>
            </w:tcMar>
          </w:tcPr>
          <w:p w:rsidR="0077321C" w:rsidRPr="00691913" w:rsidRDefault="0077321C" w:rsidP="00E74A7B">
            <w:pPr>
              <w:pStyle w:val="Tabletext"/>
              <w:keepNext/>
              <w:keepLines/>
              <w:suppressLineNumbers/>
              <w:suppressAutoHyphens/>
            </w:pPr>
            <w:r w:rsidRPr="00691913">
              <w:t>Clinical claim</w:t>
            </w:r>
          </w:p>
        </w:tc>
        <w:tc>
          <w:tcPr>
            <w:tcW w:w="4452" w:type="pct"/>
            <w:shd w:val="clear" w:color="auto" w:fill="auto"/>
            <w:tcMar>
              <w:left w:w="28" w:type="dxa"/>
              <w:right w:w="28" w:type="dxa"/>
            </w:tcMar>
            <w:vAlign w:val="center"/>
          </w:tcPr>
          <w:p w:rsidR="0077321C" w:rsidRDefault="0077321C" w:rsidP="00E74A7B">
            <w:pPr>
              <w:pStyle w:val="Tabletext"/>
              <w:keepNext/>
              <w:keepLines/>
              <w:suppressLineNumbers/>
              <w:suppressAutoHyphens/>
            </w:pPr>
            <w:r>
              <w:t>In patients with CKD Stage 3+ (with or without other comorbidities) who are receiving RAASi therapy and require chronic management of hyperkalaemia in order to enable the guideline recommended maximum dose of their RAASi therapy:</w:t>
            </w:r>
          </w:p>
          <w:p w:rsidR="0077321C" w:rsidRDefault="0077321C" w:rsidP="00E74A7B">
            <w:pPr>
              <w:pStyle w:val="Tabletext"/>
              <w:keepNext/>
              <w:keepLines/>
              <w:numPr>
                <w:ilvl w:val="0"/>
                <w:numId w:val="1"/>
              </w:numPr>
              <w:suppressLineNumbers/>
              <w:suppressAutoHyphens/>
              <w:ind w:left="203" w:hanging="203"/>
            </w:pPr>
            <w:r>
              <w:t>Patiromer is more effective than placebo with respect to maintaining normal serum potassium levels;</w:t>
            </w:r>
          </w:p>
          <w:p w:rsidR="0039346D" w:rsidRDefault="0077321C" w:rsidP="00E74A7B">
            <w:pPr>
              <w:pStyle w:val="Tabletext"/>
              <w:keepNext/>
              <w:keepLines/>
              <w:numPr>
                <w:ilvl w:val="0"/>
                <w:numId w:val="1"/>
              </w:numPr>
              <w:suppressLineNumbers/>
              <w:suppressAutoHyphens/>
              <w:ind w:left="203" w:hanging="203"/>
            </w:pPr>
            <w:r>
              <w:t>T</w:t>
            </w:r>
            <w:r w:rsidRPr="001653CE">
              <w:t>h</w:t>
            </w:r>
            <w:r>
              <w:t xml:space="preserve">is effect facilitates </w:t>
            </w:r>
            <w:r w:rsidRPr="001653CE">
              <w:t>persistence to an optimal RAASi medication regimen</w:t>
            </w:r>
            <w:r>
              <w:t xml:space="preserve">, which will in turn unlock </w:t>
            </w:r>
            <w:r w:rsidRPr="001653CE">
              <w:t xml:space="preserve">a range of clinically important renal, cardiovascular, mortality and morbidity benefits </w:t>
            </w:r>
            <w:r>
              <w:t>associated with RAASi drugs in this clinical setting; and</w:t>
            </w:r>
          </w:p>
          <w:p w:rsidR="0077321C" w:rsidRPr="00691913" w:rsidRDefault="0077321C" w:rsidP="00E74A7B">
            <w:pPr>
              <w:pStyle w:val="Tabletext"/>
              <w:keepNext/>
              <w:keepLines/>
              <w:numPr>
                <w:ilvl w:val="0"/>
                <w:numId w:val="1"/>
              </w:numPr>
              <w:suppressLineNumbers/>
              <w:suppressAutoHyphens/>
              <w:ind w:left="203" w:hanging="203"/>
            </w:pPr>
            <w:r>
              <w:t xml:space="preserve">Patiromer is generally well tolerated, with a slightly inferior safety profile compared to no active treatment.  </w:t>
            </w:r>
          </w:p>
        </w:tc>
      </w:tr>
    </w:tbl>
    <w:p w:rsidR="00ED5330" w:rsidRDefault="00ED5330" w:rsidP="00E74A7B">
      <w:pPr>
        <w:pStyle w:val="TableFooter"/>
        <w:keepNext/>
        <w:keepLines/>
        <w:widowControl/>
        <w:suppressLineNumbers/>
        <w:suppressAutoHyphens/>
      </w:pPr>
      <w:r>
        <w:t>CHF = congestive heart failure; CKD = chronic kidney disease; RAASi = renin angiotensin aldosterone system inhibitor; T2DM = type 2 diabetes mellitus</w:t>
      </w:r>
    </w:p>
    <w:p w:rsidR="008B1757" w:rsidRPr="0023209F" w:rsidRDefault="008B1757" w:rsidP="00E74A7B">
      <w:pPr>
        <w:pStyle w:val="TableFooter"/>
        <w:keepNext/>
        <w:keepLines/>
        <w:widowControl/>
        <w:suppressLineNumbers/>
        <w:suppressAutoHyphens/>
        <w:rPr>
          <w:sz w:val="20"/>
        </w:rPr>
      </w:pPr>
      <w:r>
        <w:t xml:space="preserve">Source: </w:t>
      </w:r>
      <w:r w:rsidR="0077321C">
        <w:t>Table 1-1, p.25 of the submission</w:t>
      </w:r>
    </w:p>
    <w:p w:rsidR="006C0196" w:rsidRDefault="006C0196" w:rsidP="002A32A6">
      <w:pPr>
        <w:pStyle w:val="PBACHeading1"/>
        <w:spacing w:before="240" w:after="120"/>
        <w:outlineLvl w:val="0"/>
      </w:pPr>
      <w:r w:rsidRPr="00407F2D">
        <w:t>Background</w:t>
      </w:r>
      <w:bookmarkStart w:id="1" w:name="_GoBack"/>
      <w:bookmarkEnd w:id="1"/>
    </w:p>
    <w:p w:rsidR="006C0196" w:rsidRPr="004151CF" w:rsidRDefault="006C0196" w:rsidP="00E74A7B">
      <w:pPr>
        <w:pStyle w:val="Heading2"/>
        <w:widowControl/>
        <w:spacing w:after="120"/>
      </w:pPr>
      <w:r w:rsidRPr="004151CF">
        <w:t>Registration status</w:t>
      </w:r>
    </w:p>
    <w:p w:rsidR="006C0196" w:rsidRDefault="006C0196" w:rsidP="00E74A7B">
      <w:pPr>
        <w:pStyle w:val="ListParagraph"/>
        <w:widowControl/>
        <w:numPr>
          <w:ilvl w:val="1"/>
          <w:numId w:val="3"/>
        </w:numPr>
        <w:spacing w:after="120"/>
      </w:pPr>
      <w:r>
        <w:lastRenderedPageBreak/>
        <w:t xml:space="preserve">Patiromer was listed on the Australian Register of Therapeutic Goods (ARTG) on 12 December 2017 for the treatment of hyperkalaemia in adults. </w:t>
      </w:r>
    </w:p>
    <w:p w:rsidR="00B60939" w:rsidRDefault="00B50DB8" w:rsidP="002A32A6">
      <w:pPr>
        <w:pStyle w:val="PBACHeading1"/>
        <w:spacing w:before="240" w:after="120"/>
        <w:outlineLvl w:val="0"/>
      </w:pPr>
      <w:bookmarkStart w:id="2" w:name="_Toc19703812"/>
      <w:r w:rsidRPr="00DE42D1">
        <w:t>Requested listing</w:t>
      </w:r>
      <w:bookmarkEnd w:id="2"/>
    </w:p>
    <w:p w:rsidR="00DE6014" w:rsidRPr="0070617F" w:rsidRDefault="00DE6014" w:rsidP="00E74A7B">
      <w:pPr>
        <w:pStyle w:val="ListParagraph"/>
        <w:widowControl/>
        <w:numPr>
          <w:ilvl w:val="1"/>
          <w:numId w:val="3"/>
        </w:numPr>
        <w:spacing w:after="120"/>
      </w:pPr>
      <w:r w:rsidRPr="0070617F">
        <w:t>Suggestions and additions proposed by the Secretariat are added in italics and suggested deletions are crossed out with strikethrough.</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Caption w:val="Requested listings "/>
      </w:tblPr>
      <w:tblGrid>
        <w:gridCol w:w="1854"/>
        <w:gridCol w:w="691"/>
        <w:gridCol w:w="1276"/>
        <w:gridCol w:w="1129"/>
        <w:gridCol w:w="897"/>
        <w:gridCol w:w="1587"/>
        <w:gridCol w:w="1593"/>
      </w:tblGrid>
      <w:tr w:rsidR="00DE6014" w:rsidRPr="00057112" w:rsidTr="009D69C5">
        <w:trPr>
          <w:tblHeader/>
        </w:trPr>
        <w:tc>
          <w:tcPr>
            <w:tcW w:w="2545" w:type="dxa"/>
            <w:gridSpan w:val="2"/>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Name, restriction, manner of administration, form</w:t>
            </w:r>
          </w:p>
        </w:tc>
        <w:tc>
          <w:tcPr>
            <w:tcW w:w="1276" w:type="dxa"/>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Maximum quantity (packs)</w:t>
            </w:r>
          </w:p>
        </w:tc>
        <w:tc>
          <w:tcPr>
            <w:tcW w:w="1129" w:type="dxa"/>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Maximum quantity (units)</w:t>
            </w:r>
          </w:p>
        </w:tc>
        <w:tc>
          <w:tcPr>
            <w:tcW w:w="897" w:type="dxa"/>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No. of repeats</w:t>
            </w:r>
          </w:p>
        </w:tc>
        <w:tc>
          <w:tcPr>
            <w:tcW w:w="1587" w:type="dxa"/>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Dispensed price for maximum quantity (DPMQ)</w:t>
            </w:r>
          </w:p>
        </w:tc>
        <w:tc>
          <w:tcPr>
            <w:tcW w:w="1593" w:type="dxa"/>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Proprietary name and manufacturer</w:t>
            </w:r>
          </w:p>
        </w:tc>
      </w:tr>
      <w:tr w:rsidR="00DE6014" w:rsidRPr="00057112" w:rsidTr="009D69C5">
        <w:trPr>
          <w:tblHeader/>
        </w:trPr>
        <w:tc>
          <w:tcPr>
            <w:tcW w:w="2545" w:type="dxa"/>
            <w:gridSpan w:val="2"/>
            <w:hideMark/>
          </w:tcPr>
          <w:p w:rsidR="00DE6014" w:rsidRPr="00E74A7B" w:rsidRDefault="00DE6014" w:rsidP="002A39BE">
            <w:pPr>
              <w:pStyle w:val="Table"/>
              <w:rPr>
                <w:rFonts w:ascii="Arial Narrow" w:hAnsi="Arial Narrow"/>
                <w:szCs w:val="20"/>
              </w:rPr>
            </w:pPr>
            <w:r w:rsidRPr="00E74A7B">
              <w:rPr>
                <w:rFonts w:ascii="Arial Narrow" w:hAnsi="Arial Narrow"/>
                <w:szCs w:val="20"/>
              </w:rPr>
              <w:t>P</w:t>
            </w:r>
            <w:r w:rsidRPr="00E74A7B">
              <w:rPr>
                <w:rFonts w:ascii="Arial Narrow" w:hAnsi="Arial Narrow"/>
                <w:smallCaps/>
                <w:szCs w:val="20"/>
              </w:rPr>
              <w:t>atiromer,</w:t>
            </w:r>
          </w:p>
          <w:p w:rsidR="00DE6014" w:rsidRPr="00E74A7B" w:rsidRDefault="00DE6014" w:rsidP="002A39BE">
            <w:pPr>
              <w:pStyle w:val="Table"/>
              <w:rPr>
                <w:rFonts w:ascii="Arial Narrow" w:hAnsi="Arial Narrow"/>
                <w:szCs w:val="20"/>
              </w:rPr>
            </w:pPr>
            <w:r w:rsidRPr="00E74A7B">
              <w:rPr>
                <w:rFonts w:ascii="Arial Narrow" w:hAnsi="Arial Narrow"/>
                <w:szCs w:val="20"/>
              </w:rPr>
              <w:t>Powder for oral solution</w:t>
            </w:r>
          </w:p>
          <w:p w:rsidR="00DE6014" w:rsidRPr="00E74A7B" w:rsidRDefault="00DE6014" w:rsidP="002A39BE">
            <w:pPr>
              <w:pStyle w:val="Table"/>
              <w:rPr>
                <w:rFonts w:ascii="Arial Narrow" w:hAnsi="Arial Narrow"/>
                <w:szCs w:val="20"/>
              </w:rPr>
            </w:pPr>
            <w:r w:rsidRPr="00E74A7B">
              <w:rPr>
                <w:rFonts w:ascii="Arial Narrow" w:hAnsi="Arial Narrow"/>
                <w:szCs w:val="20"/>
              </w:rPr>
              <w:t>8.4 g sachet</w:t>
            </w:r>
          </w:p>
          <w:p w:rsidR="005D460D" w:rsidRPr="00E74A7B" w:rsidRDefault="00DE6014" w:rsidP="00E74A7B">
            <w:pPr>
              <w:pStyle w:val="Table"/>
              <w:rPr>
                <w:rStyle w:val="SmallHighlight"/>
                <w:rFonts w:ascii="Arial Narrow" w:hAnsi="Arial Narrow"/>
                <w:szCs w:val="20"/>
                <w:shd w:val="clear" w:color="auto" w:fill="auto"/>
              </w:rPr>
            </w:pPr>
            <w:r w:rsidRPr="00E74A7B">
              <w:rPr>
                <w:rFonts w:ascii="Arial Narrow" w:hAnsi="Arial Narrow"/>
                <w:szCs w:val="20"/>
              </w:rPr>
              <w:t>16.8 g sachet</w:t>
            </w:r>
          </w:p>
        </w:tc>
        <w:tc>
          <w:tcPr>
            <w:tcW w:w="1276" w:type="dxa"/>
            <w:hideMark/>
          </w:tcPr>
          <w:p w:rsidR="00DE6014" w:rsidRPr="00DE6014" w:rsidRDefault="00DE6014" w:rsidP="002A39BE">
            <w:pPr>
              <w:pStyle w:val="Table"/>
              <w:jc w:val="center"/>
              <w:rPr>
                <w:rFonts w:ascii="Arial Narrow" w:hAnsi="Arial Narrow"/>
                <w:szCs w:val="20"/>
              </w:rPr>
            </w:pPr>
          </w:p>
          <w:p w:rsidR="00DE6014" w:rsidRPr="00DE6014" w:rsidRDefault="00DE6014" w:rsidP="002A39BE">
            <w:pPr>
              <w:pStyle w:val="Table"/>
              <w:jc w:val="center"/>
              <w:rPr>
                <w:rFonts w:ascii="Arial Narrow" w:hAnsi="Arial Narrow"/>
                <w:szCs w:val="20"/>
              </w:rPr>
            </w:pPr>
          </w:p>
          <w:p w:rsidR="00DE6014" w:rsidRPr="00DE6014" w:rsidRDefault="00DE6014" w:rsidP="002A39BE">
            <w:pPr>
              <w:pStyle w:val="Table"/>
              <w:jc w:val="center"/>
              <w:rPr>
                <w:rFonts w:ascii="Arial Narrow" w:hAnsi="Arial Narrow"/>
                <w:szCs w:val="20"/>
              </w:rPr>
            </w:pPr>
            <w:r w:rsidRPr="00DE6014">
              <w:rPr>
                <w:rFonts w:ascii="Arial Narrow" w:hAnsi="Arial Narrow"/>
                <w:szCs w:val="20"/>
              </w:rPr>
              <w:t>1</w:t>
            </w:r>
          </w:p>
          <w:p w:rsidR="00DE6014" w:rsidRPr="00DE6014" w:rsidRDefault="00DE6014" w:rsidP="002A39BE">
            <w:pPr>
              <w:pStyle w:val="Table"/>
              <w:jc w:val="center"/>
              <w:rPr>
                <w:rFonts w:ascii="Arial Narrow" w:hAnsi="Arial Narrow"/>
                <w:szCs w:val="20"/>
              </w:rPr>
            </w:pPr>
            <w:r w:rsidRPr="00DE6014">
              <w:rPr>
                <w:rFonts w:ascii="Arial Narrow" w:hAnsi="Arial Narrow"/>
                <w:szCs w:val="20"/>
              </w:rPr>
              <w:t>1</w:t>
            </w:r>
          </w:p>
        </w:tc>
        <w:tc>
          <w:tcPr>
            <w:tcW w:w="1129" w:type="dxa"/>
            <w:hideMark/>
          </w:tcPr>
          <w:p w:rsidR="00DE6014" w:rsidRPr="00DE6014" w:rsidRDefault="00DE6014" w:rsidP="002A39BE">
            <w:pPr>
              <w:pStyle w:val="Table"/>
              <w:jc w:val="center"/>
              <w:rPr>
                <w:rFonts w:ascii="Arial Narrow" w:hAnsi="Arial Narrow"/>
                <w:szCs w:val="20"/>
              </w:rPr>
            </w:pPr>
          </w:p>
          <w:p w:rsidR="00DE6014" w:rsidRPr="00DE6014" w:rsidRDefault="00DE6014" w:rsidP="002A39BE">
            <w:pPr>
              <w:pStyle w:val="Table"/>
              <w:jc w:val="center"/>
              <w:rPr>
                <w:rFonts w:ascii="Arial Narrow" w:hAnsi="Arial Narrow"/>
                <w:szCs w:val="20"/>
              </w:rPr>
            </w:pPr>
          </w:p>
          <w:p w:rsidR="00DE6014" w:rsidRPr="00DE6014" w:rsidRDefault="00DE6014" w:rsidP="002A39BE">
            <w:pPr>
              <w:pStyle w:val="Table"/>
              <w:jc w:val="center"/>
              <w:rPr>
                <w:rFonts w:ascii="Arial Narrow" w:hAnsi="Arial Narrow"/>
                <w:szCs w:val="20"/>
              </w:rPr>
            </w:pPr>
            <w:r w:rsidRPr="00DE6014">
              <w:rPr>
                <w:rFonts w:ascii="Arial Narrow" w:hAnsi="Arial Narrow"/>
                <w:szCs w:val="20"/>
              </w:rPr>
              <w:t>30</w:t>
            </w:r>
          </w:p>
          <w:p w:rsidR="00DE6014" w:rsidRPr="00DE6014" w:rsidRDefault="00DE6014" w:rsidP="002A39BE">
            <w:pPr>
              <w:pStyle w:val="Table"/>
              <w:jc w:val="center"/>
              <w:rPr>
                <w:rFonts w:ascii="Arial Narrow" w:hAnsi="Arial Narrow"/>
                <w:szCs w:val="20"/>
              </w:rPr>
            </w:pPr>
            <w:r w:rsidRPr="00DE6014">
              <w:rPr>
                <w:rFonts w:ascii="Arial Narrow" w:hAnsi="Arial Narrow"/>
                <w:szCs w:val="20"/>
              </w:rPr>
              <w:t>30</w:t>
            </w:r>
          </w:p>
        </w:tc>
        <w:tc>
          <w:tcPr>
            <w:tcW w:w="897" w:type="dxa"/>
            <w:hideMark/>
          </w:tcPr>
          <w:p w:rsidR="00DE6014" w:rsidRPr="00DE6014" w:rsidRDefault="00DE6014" w:rsidP="002A39BE">
            <w:pPr>
              <w:pStyle w:val="Table"/>
              <w:jc w:val="center"/>
              <w:rPr>
                <w:rFonts w:ascii="Arial Narrow" w:hAnsi="Arial Narrow"/>
                <w:szCs w:val="20"/>
              </w:rPr>
            </w:pPr>
          </w:p>
          <w:p w:rsidR="00DE6014" w:rsidRPr="00DE6014" w:rsidRDefault="00DE6014" w:rsidP="002A39BE">
            <w:pPr>
              <w:pStyle w:val="Table"/>
              <w:jc w:val="center"/>
              <w:rPr>
                <w:rFonts w:ascii="Arial Narrow" w:hAnsi="Arial Narrow"/>
                <w:szCs w:val="20"/>
              </w:rPr>
            </w:pPr>
          </w:p>
          <w:p w:rsidR="00DE6014" w:rsidRPr="00DE6014" w:rsidRDefault="00DE6014" w:rsidP="002A39BE">
            <w:pPr>
              <w:pStyle w:val="Table"/>
              <w:jc w:val="center"/>
              <w:rPr>
                <w:rFonts w:ascii="Arial Narrow" w:hAnsi="Arial Narrow"/>
                <w:szCs w:val="20"/>
              </w:rPr>
            </w:pPr>
            <w:r w:rsidRPr="00DE6014">
              <w:rPr>
                <w:rFonts w:ascii="Arial Narrow" w:hAnsi="Arial Narrow"/>
                <w:szCs w:val="20"/>
              </w:rPr>
              <w:t>5</w:t>
            </w:r>
          </w:p>
          <w:p w:rsidR="00DE6014" w:rsidRPr="00DE6014" w:rsidRDefault="00DE6014" w:rsidP="002A39BE">
            <w:pPr>
              <w:pStyle w:val="Table"/>
              <w:jc w:val="center"/>
              <w:rPr>
                <w:rFonts w:ascii="Arial Narrow" w:hAnsi="Arial Narrow"/>
                <w:szCs w:val="20"/>
              </w:rPr>
            </w:pPr>
            <w:r w:rsidRPr="00DE6014">
              <w:rPr>
                <w:rFonts w:ascii="Arial Narrow" w:hAnsi="Arial Narrow"/>
                <w:szCs w:val="20"/>
              </w:rPr>
              <w:t>5</w:t>
            </w:r>
          </w:p>
        </w:tc>
        <w:tc>
          <w:tcPr>
            <w:tcW w:w="1587" w:type="dxa"/>
          </w:tcPr>
          <w:p w:rsidR="00DE6014" w:rsidRPr="00DE6014" w:rsidRDefault="00DE6014" w:rsidP="002A39BE">
            <w:pPr>
              <w:pStyle w:val="Table"/>
              <w:jc w:val="center"/>
              <w:rPr>
                <w:rFonts w:ascii="Arial Narrow" w:hAnsi="Arial Narrow"/>
                <w:szCs w:val="20"/>
              </w:rPr>
            </w:pPr>
          </w:p>
          <w:p w:rsidR="00DE6014" w:rsidRPr="00DE6014" w:rsidRDefault="00DE6014" w:rsidP="002A39BE">
            <w:pPr>
              <w:pStyle w:val="Table"/>
              <w:jc w:val="center"/>
              <w:rPr>
                <w:rFonts w:ascii="Arial Narrow" w:hAnsi="Arial Narrow"/>
                <w:szCs w:val="20"/>
              </w:rPr>
            </w:pPr>
          </w:p>
          <w:p w:rsidR="00DE6014" w:rsidRPr="00DE6014" w:rsidRDefault="00DE6014" w:rsidP="002A39BE">
            <w:pPr>
              <w:pStyle w:val="Table"/>
              <w:jc w:val="center"/>
              <w:rPr>
                <w:rFonts w:ascii="Arial Narrow" w:hAnsi="Arial Narrow"/>
                <w:szCs w:val="20"/>
              </w:rPr>
            </w:pPr>
            <w:r w:rsidRPr="00DE6014">
              <w:rPr>
                <w:rFonts w:ascii="Arial Narrow" w:hAnsi="Arial Narrow"/>
                <w:szCs w:val="20"/>
              </w:rPr>
              <w:t>$</w:t>
            </w:r>
            <w:r w:rsidR="00B07B22">
              <w:rPr>
                <w:rFonts w:ascii="Arial Narrow" w:hAnsi="Arial Narrow"/>
                <w:noProof/>
                <w:color w:val="000000"/>
                <w:szCs w:val="20"/>
                <w:highlight w:val="black"/>
              </w:rPr>
              <w:t>''''''''''''''''</w:t>
            </w:r>
          </w:p>
          <w:p w:rsidR="00DE6014" w:rsidRPr="00DE6014" w:rsidRDefault="00DE6014" w:rsidP="002A39BE">
            <w:pPr>
              <w:pStyle w:val="Table"/>
              <w:jc w:val="center"/>
              <w:rPr>
                <w:rFonts w:ascii="Arial Narrow" w:hAnsi="Arial Narrow"/>
                <w:szCs w:val="20"/>
              </w:rPr>
            </w:pPr>
            <w:r w:rsidRPr="00DE6014">
              <w:rPr>
                <w:rFonts w:ascii="Arial Narrow" w:hAnsi="Arial Narrow"/>
                <w:szCs w:val="20"/>
              </w:rPr>
              <w:t>$</w:t>
            </w:r>
            <w:r w:rsidR="00B07B22">
              <w:rPr>
                <w:rFonts w:ascii="Arial Narrow" w:hAnsi="Arial Narrow"/>
                <w:noProof/>
                <w:color w:val="000000"/>
                <w:szCs w:val="20"/>
                <w:highlight w:val="black"/>
              </w:rPr>
              <w:t>''''''''''''''''</w:t>
            </w:r>
          </w:p>
        </w:tc>
        <w:tc>
          <w:tcPr>
            <w:tcW w:w="1593" w:type="dxa"/>
            <w:hideMark/>
          </w:tcPr>
          <w:p w:rsidR="00DE6014" w:rsidRPr="00DE6014" w:rsidRDefault="00DE6014" w:rsidP="002A39BE">
            <w:pPr>
              <w:pStyle w:val="Table"/>
              <w:rPr>
                <w:rFonts w:ascii="Arial Narrow" w:hAnsi="Arial Narrow"/>
                <w:szCs w:val="20"/>
              </w:rPr>
            </w:pPr>
          </w:p>
          <w:p w:rsidR="00DE6014" w:rsidRPr="00DE6014" w:rsidRDefault="00DE6014" w:rsidP="002A39BE">
            <w:pPr>
              <w:pStyle w:val="Table"/>
              <w:rPr>
                <w:rFonts w:ascii="Arial Narrow" w:hAnsi="Arial Narrow"/>
                <w:szCs w:val="20"/>
              </w:rPr>
            </w:pPr>
            <w:r w:rsidRPr="00DE6014">
              <w:rPr>
                <w:rFonts w:ascii="Arial Narrow" w:hAnsi="Arial Narrow"/>
                <w:szCs w:val="20"/>
              </w:rPr>
              <w:t>Veltassa®</w:t>
            </w:r>
          </w:p>
          <w:p w:rsidR="00DE6014" w:rsidRPr="00DE6014" w:rsidRDefault="00DE6014" w:rsidP="002A39BE">
            <w:pPr>
              <w:pStyle w:val="Table"/>
              <w:rPr>
                <w:rFonts w:ascii="Arial Narrow" w:hAnsi="Arial Narrow"/>
                <w:szCs w:val="20"/>
              </w:rPr>
            </w:pPr>
            <w:r w:rsidRPr="00DE6014">
              <w:rPr>
                <w:rFonts w:ascii="Arial Narrow" w:hAnsi="Arial Narrow"/>
                <w:szCs w:val="20"/>
              </w:rPr>
              <w:t>Vifor Pharma</w:t>
            </w:r>
          </w:p>
        </w:tc>
      </w:tr>
      <w:tr w:rsidR="00DE6014" w:rsidRPr="00057112" w:rsidTr="009D69C5">
        <w:tblPrEx>
          <w:tblBorders>
            <w:left w:val="single" w:sz="4" w:space="0" w:color="auto"/>
            <w:right w:val="single" w:sz="4" w:space="0" w:color="auto"/>
            <w:insideV w:val="single" w:sz="4" w:space="0" w:color="auto"/>
          </w:tblBorders>
        </w:tblPrEx>
        <w:trPr>
          <w:trHeight w:val="70"/>
          <w:tblHeader/>
        </w:trPr>
        <w:tc>
          <w:tcPr>
            <w:tcW w:w="1854" w:type="dxa"/>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Category / program:</w:t>
            </w:r>
          </w:p>
        </w:tc>
        <w:tc>
          <w:tcPr>
            <w:tcW w:w="7173" w:type="dxa"/>
            <w:gridSpan w:val="6"/>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szCs w:val="20"/>
              </w:rPr>
              <w:t>General Schedule</w:t>
            </w:r>
          </w:p>
        </w:tc>
      </w:tr>
      <w:tr w:rsidR="00DE6014" w:rsidRPr="00057112" w:rsidTr="009D69C5">
        <w:tblPrEx>
          <w:tblBorders>
            <w:left w:val="single" w:sz="4" w:space="0" w:color="auto"/>
            <w:right w:val="single" w:sz="4" w:space="0" w:color="auto"/>
            <w:insideV w:val="single" w:sz="4" w:space="0" w:color="auto"/>
          </w:tblBorders>
        </w:tblPrEx>
        <w:trPr>
          <w:trHeight w:val="70"/>
          <w:tblHeader/>
        </w:trPr>
        <w:tc>
          <w:tcPr>
            <w:tcW w:w="1854" w:type="dxa"/>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Prescriber type:</w:t>
            </w:r>
          </w:p>
        </w:tc>
        <w:tc>
          <w:tcPr>
            <w:tcW w:w="7173" w:type="dxa"/>
            <w:gridSpan w:val="6"/>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szCs w:val="20"/>
              </w:rPr>
              <w:fldChar w:fldCharType="begin">
                <w:ffData>
                  <w:name w:val="Check1"/>
                  <w:enabled/>
                  <w:calcOnExit w:val="0"/>
                  <w:checkBox>
                    <w:sizeAuto/>
                    <w:default w:val="0"/>
                  </w:checkBox>
                </w:ffData>
              </w:fldChar>
            </w:r>
            <w:r w:rsidRPr="00DE6014">
              <w:rPr>
                <w:rFonts w:ascii="Arial Narrow" w:hAnsi="Arial Narrow"/>
                <w:szCs w:val="20"/>
              </w:rPr>
              <w:instrText xml:space="preserve"> FORMCHECKBOX </w:instrText>
            </w:r>
            <w:r w:rsidR="00441598">
              <w:rPr>
                <w:rFonts w:ascii="Arial Narrow" w:hAnsi="Arial Narrow"/>
                <w:szCs w:val="20"/>
              </w:rPr>
            </w:r>
            <w:r w:rsidR="00441598">
              <w:rPr>
                <w:rFonts w:ascii="Arial Narrow" w:hAnsi="Arial Narrow"/>
                <w:szCs w:val="20"/>
              </w:rPr>
              <w:fldChar w:fldCharType="separate"/>
            </w:r>
            <w:r w:rsidRPr="00DE6014">
              <w:rPr>
                <w:rFonts w:ascii="Arial Narrow" w:hAnsi="Arial Narrow"/>
                <w:szCs w:val="20"/>
              </w:rPr>
              <w:fldChar w:fldCharType="end"/>
            </w:r>
            <w:r w:rsidRPr="00DE6014">
              <w:rPr>
                <w:rFonts w:ascii="Arial Narrow" w:hAnsi="Arial Narrow"/>
                <w:szCs w:val="20"/>
              </w:rPr>
              <w:t xml:space="preserve">Dental  </w:t>
            </w:r>
            <w:r w:rsidRPr="00DE6014">
              <w:rPr>
                <w:rFonts w:ascii="Arial Narrow" w:hAnsi="Arial Narrow"/>
                <w:szCs w:val="20"/>
              </w:rPr>
              <w:fldChar w:fldCharType="begin">
                <w:ffData>
                  <w:name w:val=""/>
                  <w:enabled/>
                  <w:calcOnExit w:val="0"/>
                  <w:checkBox>
                    <w:sizeAuto/>
                    <w:default w:val="1"/>
                  </w:checkBox>
                </w:ffData>
              </w:fldChar>
            </w:r>
            <w:r w:rsidRPr="00DE6014">
              <w:rPr>
                <w:rFonts w:ascii="Arial Narrow" w:hAnsi="Arial Narrow"/>
                <w:szCs w:val="20"/>
              </w:rPr>
              <w:instrText xml:space="preserve"> FORMCHECKBOX </w:instrText>
            </w:r>
            <w:r w:rsidR="00441598">
              <w:rPr>
                <w:rFonts w:ascii="Arial Narrow" w:hAnsi="Arial Narrow"/>
                <w:szCs w:val="20"/>
              </w:rPr>
            </w:r>
            <w:r w:rsidR="00441598">
              <w:rPr>
                <w:rFonts w:ascii="Arial Narrow" w:hAnsi="Arial Narrow"/>
                <w:szCs w:val="20"/>
              </w:rPr>
              <w:fldChar w:fldCharType="separate"/>
            </w:r>
            <w:r w:rsidRPr="00DE6014">
              <w:rPr>
                <w:rFonts w:ascii="Arial Narrow" w:hAnsi="Arial Narrow"/>
                <w:szCs w:val="20"/>
              </w:rPr>
              <w:fldChar w:fldCharType="end"/>
            </w:r>
            <w:r w:rsidRPr="00DE6014">
              <w:rPr>
                <w:rFonts w:ascii="Arial Narrow" w:hAnsi="Arial Narrow"/>
                <w:szCs w:val="20"/>
              </w:rPr>
              <w:t xml:space="preserve">Medical Practitioners  </w:t>
            </w:r>
            <w:r w:rsidRPr="00DE6014">
              <w:rPr>
                <w:rFonts w:ascii="Arial Narrow" w:hAnsi="Arial Narrow"/>
                <w:strike/>
                <w:szCs w:val="20"/>
              </w:rPr>
              <w:fldChar w:fldCharType="begin">
                <w:ffData>
                  <w:name w:val="Check1"/>
                  <w:enabled/>
                  <w:calcOnExit w:val="0"/>
                  <w:checkBox>
                    <w:sizeAuto/>
                    <w:default w:val="1"/>
                  </w:checkBox>
                </w:ffData>
              </w:fldChar>
            </w:r>
            <w:r w:rsidRPr="00DE6014">
              <w:rPr>
                <w:rFonts w:ascii="Arial Narrow" w:hAnsi="Arial Narrow"/>
                <w:strike/>
                <w:szCs w:val="20"/>
              </w:rPr>
              <w:instrText xml:space="preserve"> FORMCHECKBOX </w:instrText>
            </w:r>
            <w:r w:rsidR="00441598">
              <w:rPr>
                <w:rFonts w:ascii="Arial Narrow" w:hAnsi="Arial Narrow"/>
                <w:strike/>
                <w:szCs w:val="20"/>
              </w:rPr>
            </w:r>
            <w:r w:rsidR="00441598">
              <w:rPr>
                <w:rFonts w:ascii="Arial Narrow" w:hAnsi="Arial Narrow"/>
                <w:strike/>
                <w:szCs w:val="20"/>
              </w:rPr>
              <w:fldChar w:fldCharType="separate"/>
            </w:r>
            <w:r w:rsidRPr="00DE6014">
              <w:rPr>
                <w:rFonts w:ascii="Arial Narrow" w:hAnsi="Arial Narrow"/>
                <w:strike/>
                <w:szCs w:val="20"/>
              </w:rPr>
              <w:fldChar w:fldCharType="end"/>
            </w:r>
            <w:r w:rsidRPr="00ED5330">
              <w:rPr>
                <w:rFonts w:ascii="Arial Narrow" w:hAnsi="Arial Narrow"/>
                <w:szCs w:val="20"/>
              </w:rPr>
              <w:t>Nurse Practitioners</w:t>
            </w:r>
            <w:r w:rsidRPr="00DE6014">
              <w:rPr>
                <w:rFonts w:ascii="Arial Narrow" w:hAnsi="Arial Narrow"/>
                <w:szCs w:val="20"/>
              </w:rPr>
              <w:t xml:space="preserve">  </w:t>
            </w:r>
            <w:r w:rsidRPr="00DE6014">
              <w:rPr>
                <w:rFonts w:ascii="Arial Narrow" w:hAnsi="Arial Narrow"/>
                <w:szCs w:val="20"/>
              </w:rPr>
              <w:fldChar w:fldCharType="begin">
                <w:ffData>
                  <w:name w:val="Check1"/>
                  <w:enabled/>
                  <w:calcOnExit w:val="0"/>
                  <w:checkBox>
                    <w:sizeAuto/>
                    <w:default w:val="0"/>
                  </w:checkBox>
                </w:ffData>
              </w:fldChar>
            </w:r>
            <w:r w:rsidRPr="00DE6014">
              <w:rPr>
                <w:rFonts w:ascii="Arial Narrow" w:hAnsi="Arial Narrow"/>
                <w:szCs w:val="20"/>
              </w:rPr>
              <w:instrText xml:space="preserve"> FORMCHECKBOX </w:instrText>
            </w:r>
            <w:r w:rsidR="00441598">
              <w:rPr>
                <w:rFonts w:ascii="Arial Narrow" w:hAnsi="Arial Narrow"/>
                <w:szCs w:val="20"/>
              </w:rPr>
            </w:r>
            <w:r w:rsidR="00441598">
              <w:rPr>
                <w:rFonts w:ascii="Arial Narrow" w:hAnsi="Arial Narrow"/>
                <w:szCs w:val="20"/>
              </w:rPr>
              <w:fldChar w:fldCharType="separate"/>
            </w:r>
            <w:r w:rsidRPr="00DE6014">
              <w:rPr>
                <w:rFonts w:ascii="Arial Narrow" w:hAnsi="Arial Narrow"/>
                <w:szCs w:val="20"/>
              </w:rPr>
              <w:fldChar w:fldCharType="end"/>
            </w:r>
            <w:r w:rsidRPr="00DE6014">
              <w:rPr>
                <w:rFonts w:ascii="Arial Narrow" w:hAnsi="Arial Narrow"/>
                <w:szCs w:val="20"/>
              </w:rPr>
              <w:t xml:space="preserve">Optometrists  </w:t>
            </w:r>
            <w:r w:rsidRPr="00DE6014">
              <w:rPr>
                <w:rFonts w:ascii="Arial Narrow" w:hAnsi="Arial Narrow"/>
                <w:szCs w:val="20"/>
              </w:rPr>
              <w:fldChar w:fldCharType="begin">
                <w:ffData>
                  <w:name w:val="Check1"/>
                  <w:enabled/>
                  <w:calcOnExit w:val="0"/>
                  <w:checkBox>
                    <w:sizeAuto/>
                    <w:default w:val="0"/>
                  </w:checkBox>
                </w:ffData>
              </w:fldChar>
            </w:r>
            <w:r w:rsidRPr="00DE6014">
              <w:rPr>
                <w:rFonts w:ascii="Arial Narrow" w:hAnsi="Arial Narrow"/>
                <w:szCs w:val="20"/>
              </w:rPr>
              <w:instrText xml:space="preserve"> FORMCHECKBOX </w:instrText>
            </w:r>
            <w:r w:rsidR="00441598">
              <w:rPr>
                <w:rFonts w:ascii="Arial Narrow" w:hAnsi="Arial Narrow"/>
                <w:szCs w:val="20"/>
              </w:rPr>
            </w:r>
            <w:r w:rsidR="00441598">
              <w:rPr>
                <w:rFonts w:ascii="Arial Narrow" w:hAnsi="Arial Narrow"/>
                <w:szCs w:val="20"/>
              </w:rPr>
              <w:fldChar w:fldCharType="separate"/>
            </w:r>
            <w:r w:rsidRPr="00DE6014">
              <w:rPr>
                <w:rFonts w:ascii="Arial Narrow" w:hAnsi="Arial Narrow"/>
                <w:szCs w:val="20"/>
              </w:rPr>
              <w:fldChar w:fldCharType="end"/>
            </w:r>
            <w:r w:rsidRPr="00DE6014">
              <w:rPr>
                <w:rFonts w:ascii="Arial Narrow" w:hAnsi="Arial Narrow"/>
                <w:szCs w:val="20"/>
              </w:rPr>
              <w:t>Midwives</w:t>
            </w:r>
          </w:p>
        </w:tc>
      </w:tr>
      <w:tr w:rsidR="00DE6014" w:rsidRPr="00057112" w:rsidTr="009D69C5">
        <w:tblPrEx>
          <w:tblBorders>
            <w:left w:val="single" w:sz="4" w:space="0" w:color="auto"/>
            <w:right w:val="single" w:sz="4" w:space="0" w:color="auto"/>
            <w:insideV w:val="single" w:sz="4" w:space="0" w:color="auto"/>
          </w:tblBorders>
        </w:tblPrEx>
        <w:trPr>
          <w:trHeight w:val="70"/>
          <w:tblHeader/>
        </w:trPr>
        <w:tc>
          <w:tcPr>
            <w:tcW w:w="1854" w:type="dxa"/>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Episodicity:</w:t>
            </w:r>
          </w:p>
        </w:tc>
        <w:tc>
          <w:tcPr>
            <w:tcW w:w="7173" w:type="dxa"/>
            <w:gridSpan w:val="6"/>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szCs w:val="20"/>
              </w:rPr>
              <w:t>Chronic</w:t>
            </w:r>
          </w:p>
        </w:tc>
      </w:tr>
      <w:tr w:rsidR="00DE6014" w:rsidRPr="00057112" w:rsidTr="009D69C5">
        <w:tblPrEx>
          <w:tblBorders>
            <w:left w:val="single" w:sz="4" w:space="0" w:color="auto"/>
            <w:right w:val="single" w:sz="4" w:space="0" w:color="auto"/>
            <w:insideV w:val="single" w:sz="4" w:space="0" w:color="auto"/>
          </w:tblBorders>
        </w:tblPrEx>
        <w:trPr>
          <w:trHeight w:val="181"/>
          <w:tblHeader/>
        </w:trPr>
        <w:tc>
          <w:tcPr>
            <w:tcW w:w="1854" w:type="dxa"/>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b/>
                <w:strike/>
                <w:szCs w:val="20"/>
              </w:rPr>
            </w:pPr>
            <w:r w:rsidRPr="00DE6014">
              <w:rPr>
                <w:rFonts w:ascii="Arial Narrow" w:hAnsi="Arial Narrow"/>
                <w:b/>
                <w:strike/>
                <w:szCs w:val="20"/>
              </w:rPr>
              <w:t>Severity:</w:t>
            </w:r>
          </w:p>
        </w:tc>
        <w:tc>
          <w:tcPr>
            <w:tcW w:w="7173" w:type="dxa"/>
            <w:gridSpan w:val="6"/>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strike/>
                <w:szCs w:val="20"/>
              </w:rPr>
            </w:pPr>
            <w:r w:rsidRPr="00DE6014">
              <w:rPr>
                <w:rFonts w:ascii="Arial Narrow" w:hAnsi="Arial Narrow"/>
                <w:strike/>
                <w:szCs w:val="20"/>
              </w:rPr>
              <w:t xml:space="preserve">NA </w:t>
            </w:r>
          </w:p>
        </w:tc>
      </w:tr>
      <w:tr w:rsidR="00DE6014" w:rsidRPr="00057112" w:rsidTr="009D69C5">
        <w:tblPrEx>
          <w:tblBorders>
            <w:left w:val="single" w:sz="4" w:space="0" w:color="auto"/>
            <w:right w:val="single" w:sz="4" w:space="0" w:color="auto"/>
            <w:insideV w:val="single" w:sz="4" w:space="0" w:color="auto"/>
          </w:tblBorders>
        </w:tblPrEx>
        <w:trPr>
          <w:trHeight w:val="72"/>
          <w:tblHeader/>
        </w:trPr>
        <w:tc>
          <w:tcPr>
            <w:tcW w:w="1854" w:type="dxa"/>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Condition:</w:t>
            </w:r>
          </w:p>
        </w:tc>
        <w:tc>
          <w:tcPr>
            <w:tcW w:w="7173" w:type="dxa"/>
            <w:gridSpan w:val="6"/>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szCs w:val="20"/>
              </w:rPr>
              <w:t>Hyperkalaemia</w:t>
            </w:r>
          </w:p>
        </w:tc>
      </w:tr>
      <w:tr w:rsidR="00DE6014" w:rsidRPr="00057112" w:rsidTr="009D69C5">
        <w:tblPrEx>
          <w:tblBorders>
            <w:left w:val="single" w:sz="4" w:space="0" w:color="auto"/>
            <w:right w:val="single" w:sz="4" w:space="0" w:color="auto"/>
            <w:insideV w:val="single" w:sz="4" w:space="0" w:color="auto"/>
          </w:tblBorders>
        </w:tblPrEx>
        <w:trPr>
          <w:trHeight w:val="70"/>
          <w:tblHeader/>
        </w:trPr>
        <w:tc>
          <w:tcPr>
            <w:tcW w:w="1854" w:type="dxa"/>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PBS Indication:</w:t>
            </w:r>
          </w:p>
        </w:tc>
        <w:tc>
          <w:tcPr>
            <w:tcW w:w="7173" w:type="dxa"/>
            <w:gridSpan w:val="6"/>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i/>
                <w:szCs w:val="20"/>
              </w:rPr>
              <w:t>Chronic</w:t>
            </w:r>
            <w:r w:rsidRPr="00DE6014">
              <w:rPr>
                <w:rFonts w:ascii="Arial Narrow" w:hAnsi="Arial Narrow"/>
                <w:szCs w:val="20"/>
              </w:rPr>
              <w:t xml:space="preserve"> hyperkalaemia </w:t>
            </w:r>
            <w:r w:rsidRPr="00DE6014">
              <w:rPr>
                <w:rFonts w:ascii="Arial Narrow" w:hAnsi="Arial Narrow"/>
                <w:strike/>
                <w:szCs w:val="20"/>
              </w:rPr>
              <w:t>with stage 3 or greater chronic kidney disease</w:t>
            </w:r>
            <w:r w:rsidRPr="00DE6014">
              <w:rPr>
                <w:rFonts w:ascii="Arial Narrow" w:hAnsi="Arial Narrow"/>
                <w:szCs w:val="20"/>
              </w:rPr>
              <w:t xml:space="preserve"> </w:t>
            </w:r>
          </w:p>
        </w:tc>
      </w:tr>
      <w:tr w:rsidR="00DE6014" w:rsidRPr="00057112" w:rsidTr="009D69C5">
        <w:tblPrEx>
          <w:tblBorders>
            <w:left w:val="single" w:sz="4" w:space="0" w:color="auto"/>
            <w:right w:val="single" w:sz="4" w:space="0" w:color="auto"/>
            <w:insideV w:val="single" w:sz="4" w:space="0" w:color="auto"/>
          </w:tblBorders>
        </w:tblPrEx>
        <w:trPr>
          <w:trHeight w:val="136"/>
          <w:tblHeader/>
        </w:trPr>
        <w:tc>
          <w:tcPr>
            <w:tcW w:w="1854" w:type="dxa"/>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Treatment phase:</w:t>
            </w:r>
          </w:p>
        </w:tc>
        <w:tc>
          <w:tcPr>
            <w:tcW w:w="7173" w:type="dxa"/>
            <w:gridSpan w:val="6"/>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szCs w:val="20"/>
              </w:rPr>
              <w:t xml:space="preserve">Initial </w:t>
            </w:r>
            <w:r w:rsidRPr="00DE6014">
              <w:rPr>
                <w:rFonts w:ascii="Arial Narrow" w:hAnsi="Arial Narrow"/>
                <w:strike/>
                <w:szCs w:val="20"/>
              </w:rPr>
              <w:t>and continuing</w:t>
            </w:r>
          </w:p>
        </w:tc>
      </w:tr>
      <w:tr w:rsidR="00DE6014" w:rsidRPr="00057112" w:rsidTr="009D69C5">
        <w:tblPrEx>
          <w:tblBorders>
            <w:left w:val="single" w:sz="4" w:space="0" w:color="auto"/>
            <w:right w:val="single" w:sz="4" w:space="0" w:color="auto"/>
            <w:insideV w:val="single" w:sz="4" w:space="0" w:color="auto"/>
          </w:tblBorders>
        </w:tblPrEx>
        <w:trPr>
          <w:trHeight w:val="178"/>
          <w:tblHeader/>
        </w:trPr>
        <w:tc>
          <w:tcPr>
            <w:tcW w:w="1854" w:type="dxa"/>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Restriction:</w:t>
            </w:r>
          </w:p>
        </w:tc>
        <w:tc>
          <w:tcPr>
            <w:tcW w:w="7173" w:type="dxa"/>
            <w:gridSpan w:val="6"/>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i/>
                <w:szCs w:val="20"/>
              </w:rPr>
            </w:pPr>
            <w:r w:rsidRPr="00DE6014">
              <w:rPr>
                <w:rFonts w:ascii="Arial Narrow" w:hAnsi="Arial Narrow"/>
                <w:szCs w:val="20"/>
              </w:rPr>
              <w:fldChar w:fldCharType="begin">
                <w:ffData>
                  <w:name w:val="Check5"/>
                  <w:enabled/>
                  <w:calcOnExit w:val="0"/>
                  <w:checkBox>
                    <w:sizeAuto/>
                    <w:default w:val="1"/>
                  </w:checkBox>
                </w:ffData>
              </w:fldChar>
            </w:r>
            <w:r w:rsidRPr="00DE6014">
              <w:rPr>
                <w:rFonts w:ascii="Arial Narrow" w:hAnsi="Arial Narrow"/>
                <w:szCs w:val="20"/>
              </w:rPr>
              <w:instrText xml:space="preserve"> FORMCHECKBOX </w:instrText>
            </w:r>
            <w:r w:rsidR="00441598">
              <w:rPr>
                <w:rFonts w:ascii="Arial Narrow" w:hAnsi="Arial Narrow"/>
                <w:szCs w:val="20"/>
              </w:rPr>
            </w:r>
            <w:r w:rsidR="00441598">
              <w:rPr>
                <w:rFonts w:ascii="Arial Narrow" w:hAnsi="Arial Narrow"/>
                <w:szCs w:val="20"/>
              </w:rPr>
              <w:fldChar w:fldCharType="separate"/>
            </w:r>
            <w:r w:rsidRPr="00DE6014">
              <w:rPr>
                <w:rFonts w:ascii="Arial Narrow" w:hAnsi="Arial Narrow"/>
                <w:szCs w:val="20"/>
              </w:rPr>
              <w:fldChar w:fldCharType="end"/>
            </w:r>
            <w:r w:rsidRPr="00DE6014">
              <w:rPr>
                <w:rFonts w:ascii="Arial Narrow" w:hAnsi="Arial Narrow"/>
                <w:i/>
                <w:szCs w:val="20"/>
              </w:rPr>
              <w:t>Authority Required (telephone)</w:t>
            </w:r>
          </w:p>
          <w:p w:rsidR="00DE6014" w:rsidRPr="00DE6014" w:rsidRDefault="00DE6014" w:rsidP="002A39BE">
            <w:pPr>
              <w:pStyle w:val="Table"/>
              <w:rPr>
                <w:rFonts w:ascii="Arial Narrow" w:hAnsi="Arial Narrow"/>
                <w:szCs w:val="20"/>
              </w:rPr>
            </w:pPr>
            <w:r w:rsidRPr="00DE6014">
              <w:rPr>
                <w:rFonts w:ascii="Arial Narrow" w:hAnsi="Arial Narrow"/>
                <w:strike/>
                <w:szCs w:val="20"/>
              </w:rPr>
              <w:fldChar w:fldCharType="begin">
                <w:ffData>
                  <w:name w:val="Check5"/>
                  <w:enabled/>
                  <w:calcOnExit w:val="0"/>
                  <w:checkBox>
                    <w:sizeAuto/>
                    <w:default w:val="1"/>
                  </w:checkBox>
                </w:ffData>
              </w:fldChar>
            </w:r>
            <w:r w:rsidRPr="00DE6014">
              <w:rPr>
                <w:rFonts w:ascii="Arial Narrow" w:hAnsi="Arial Narrow"/>
                <w:strike/>
                <w:szCs w:val="20"/>
              </w:rPr>
              <w:instrText xml:space="preserve"> FORMCHECKBOX </w:instrText>
            </w:r>
            <w:r w:rsidR="00441598">
              <w:rPr>
                <w:rFonts w:ascii="Arial Narrow" w:hAnsi="Arial Narrow"/>
                <w:strike/>
                <w:szCs w:val="20"/>
              </w:rPr>
            </w:r>
            <w:r w:rsidR="00441598">
              <w:rPr>
                <w:rFonts w:ascii="Arial Narrow" w:hAnsi="Arial Narrow"/>
                <w:strike/>
                <w:szCs w:val="20"/>
              </w:rPr>
              <w:fldChar w:fldCharType="separate"/>
            </w:r>
            <w:r w:rsidRPr="00DE6014">
              <w:rPr>
                <w:rFonts w:ascii="Arial Narrow" w:hAnsi="Arial Narrow"/>
                <w:strike/>
                <w:szCs w:val="20"/>
              </w:rPr>
              <w:fldChar w:fldCharType="end"/>
            </w:r>
            <w:r w:rsidRPr="00DE6014">
              <w:rPr>
                <w:rFonts w:ascii="Arial Narrow" w:hAnsi="Arial Narrow"/>
                <w:strike/>
                <w:szCs w:val="20"/>
              </w:rPr>
              <w:t>Authority Required (STREAMLINED)</w:t>
            </w:r>
          </w:p>
        </w:tc>
      </w:tr>
      <w:tr w:rsidR="00DE6014" w:rsidRPr="00057112" w:rsidTr="009D69C5">
        <w:tblPrEx>
          <w:tblBorders>
            <w:left w:val="single" w:sz="4" w:space="0" w:color="auto"/>
            <w:right w:val="single" w:sz="4" w:space="0" w:color="auto"/>
            <w:insideV w:val="single" w:sz="4" w:space="0" w:color="auto"/>
          </w:tblBorders>
        </w:tblPrEx>
        <w:trPr>
          <w:trHeight w:val="360"/>
          <w:tblHeader/>
        </w:trPr>
        <w:tc>
          <w:tcPr>
            <w:tcW w:w="1854" w:type="dxa"/>
            <w:tcBorders>
              <w:top w:val="single" w:sz="4" w:space="0" w:color="auto"/>
              <w:left w:val="single" w:sz="4" w:space="0" w:color="auto"/>
              <w:bottom w:val="single" w:sz="4" w:space="0" w:color="auto"/>
              <w:right w:val="single" w:sz="4" w:space="0" w:color="auto"/>
            </w:tcBorders>
          </w:tcPr>
          <w:p w:rsidR="00DE6014" w:rsidRPr="00DE6014" w:rsidRDefault="00DE6014" w:rsidP="002A39BE">
            <w:pPr>
              <w:pStyle w:val="Table"/>
              <w:rPr>
                <w:rFonts w:ascii="Arial Narrow" w:hAnsi="Arial Narrow"/>
                <w:b/>
                <w:szCs w:val="20"/>
              </w:rPr>
            </w:pPr>
            <w:r w:rsidRPr="00DE6014">
              <w:rPr>
                <w:rFonts w:ascii="Arial Narrow" w:hAnsi="Arial Narrow"/>
                <w:b/>
                <w:szCs w:val="20"/>
              </w:rPr>
              <w:t>Clinical criteria:</w:t>
            </w:r>
          </w:p>
          <w:p w:rsidR="00DE6014" w:rsidRPr="00DE6014" w:rsidRDefault="00DE6014" w:rsidP="002A39BE">
            <w:pPr>
              <w:pStyle w:val="Table"/>
              <w:rPr>
                <w:rFonts w:ascii="Arial Narrow" w:hAnsi="Arial Narrow"/>
                <w:b/>
                <w:szCs w:val="20"/>
              </w:rPr>
            </w:pPr>
          </w:p>
          <w:p w:rsidR="00DE6014" w:rsidRPr="00DE6014" w:rsidRDefault="00DE6014" w:rsidP="002A39BE">
            <w:pPr>
              <w:pStyle w:val="Table"/>
              <w:rPr>
                <w:rFonts w:ascii="Arial Narrow" w:hAnsi="Arial Narrow"/>
                <w:b/>
                <w:szCs w:val="20"/>
              </w:rPr>
            </w:pPr>
          </w:p>
        </w:tc>
        <w:tc>
          <w:tcPr>
            <w:tcW w:w="7173" w:type="dxa"/>
            <w:gridSpan w:val="6"/>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szCs w:val="20"/>
              </w:rPr>
              <w:t>Patient must have stage 3 or greater chronic kidney disease (estimated glomerular filtration rate &lt; 60 ml per minute per 1.73 m</w:t>
            </w:r>
            <w:r w:rsidRPr="00DE6014">
              <w:rPr>
                <w:rStyle w:val="SmallSuperscript"/>
                <w:rFonts w:ascii="Arial Narrow" w:hAnsi="Arial Narrow"/>
                <w:szCs w:val="20"/>
              </w:rPr>
              <w:t>2</w:t>
            </w:r>
            <w:r w:rsidRPr="00DE6014">
              <w:rPr>
                <w:rFonts w:ascii="Arial Narrow" w:hAnsi="Arial Narrow"/>
                <w:szCs w:val="20"/>
              </w:rPr>
              <w:t xml:space="preserve">); </w:t>
            </w:r>
          </w:p>
          <w:p w:rsidR="00DE6014" w:rsidRPr="00DE6014" w:rsidRDefault="00DE6014" w:rsidP="002A39BE">
            <w:pPr>
              <w:pStyle w:val="Table"/>
              <w:rPr>
                <w:rFonts w:ascii="Arial Narrow" w:hAnsi="Arial Narrow"/>
                <w:szCs w:val="20"/>
              </w:rPr>
            </w:pPr>
            <w:r w:rsidRPr="00DE6014">
              <w:rPr>
                <w:rFonts w:ascii="Arial Narrow" w:hAnsi="Arial Narrow"/>
                <w:szCs w:val="20"/>
              </w:rPr>
              <w:t>AND</w:t>
            </w:r>
          </w:p>
          <w:p w:rsidR="00DE6014" w:rsidRPr="00DE6014" w:rsidRDefault="00DE6014" w:rsidP="002A39BE">
            <w:pPr>
              <w:pStyle w:val="Table"/>
              <w:rPr>
                <w:rFonts w:ascii="Arial Narrow" w:hAnsi="Arial Narrow"/>
                <w:szCs w:val="20"/>
              </w:rPr>
            </w:pPr>
            <w:r w:rsidRPr="00DE6014">
              <w:rPr>
                <w:rFonts w:ascii="Arial Narrow" w:hAnsi="Arial Narrow"/>
                <w:szCs w:val="20"/>
              </w:rPr>
              <w:t>Patient must have experienced a recent episode of hyperkalaemia requiring active pharmacological treatment</w:t>
            </w:r>
            <w:r w:rsidR="00E74A7B">
              <w:rPr>
                <w:rFonts w:ascii="Arial Narrow" w:hAnsi="Arial Narrow"/>
                <w:szCs w:val="20"/>
              </w:rPr>
              <w:t>;</w:t>
            </w:r>
          </w:p>
          <w:p w:rsidR="00DE6014" w:rsidRPr="00DE6014" w:rsidRDefault="00DE6014" w:rsidP="002A39BE">
            <w:pPr>
              <w:pStyle w:val="Table"/>
              <w:rPr>
                <w:rFonts w:ascii="Arial Narrow" w:hAnsi="Arial Narrow"/>
                <w:i/>
                <w:szCs w:val="20"/>
              </w:rPr>
            </w:pPr>
            <w:r w:rsidRPr="00DE6014">
              <w:rPr>
                <w:rFonts w:ascii="Arial Narrow" w:hAnsi="Arial Narrow"/>
                <w:i/>
                <w:szCs w:val="20"/>
              </w:rPr>
              <w:t>AND</w:t>
            </w:r>
          </w:p>
          <w:p w:rsidR="00DE6014" w:rsidRPr="00DE6014" w:rsidRDefault="00DE6014" w:rsidP="002A39BE">
            <w:pPr>
              <w:pStyle w:val="Table"/>
              <w:rPr>
                <w:rFonts w:ascii="Arial Narrow" w:hAnsi="Arial Narrow"/>
                <w:i/>
                <w:szCs w:val="20"/>
              </w:rPr>
            </w:pPr>
            <w:r w:rsidRPr="00DE6014">
              <w:rPr>
                <w:rFonts w:ascii="Arial Narrow" w:hAnsi="Arial Narrow"/>
                <w:i/>
                <w:szCs w:val="20"/>
              </w:rPr>
              <w:t>Patient must be receiving treatment with at least one renin angiotensin aldosterone system inhibitor; OR</w:t>
            </w:r>
          </w:p>
          <w:p w:rsidR="00DE6014" w:rsidRPr="00DE6014" w:rsidRDefault="00DE6014" w:rsidP="002A39BE">
            <w:pPr>
              <w:pStyle w:val="Table"/>
              <w:rPr>
                <w:rFonts w:ascii="Arial Narrow" w:hAnsi="Arial Narrow"/>
                <w:szCs w:val="20"/>
              </w:rPr>
            </w:pPr>
            <w:r w:rsidRPr="00DE6014">
              <w:rPr>
                <w:rFonts w:ascii="Arial Narrow" w:hAnsi="Arial Narrow"/>
                <w:i/>
                <w:szCs w:val="20"/>
              </w:rPr>
              <w:t>Patient must be indicated for treatment with at least one renin angiotensin aldosterone system inhibitor and unable to tolerate this due to complications of hyperkalaemia</w:t>
            </w:r>
            <w:r w:rsidR="00E74A7B">
              <w:rPr>
                <w:rFonts w:ascii="Arial Narrow" w:hAnsi="Arial Narrow"/>
                <w:i/>
                <w:szCs w:val="20"/>
              </w:rPr>
              <w:t>.</w:t>
            </w:r>
          </w:p>
        </w:tc>
      </w:tr>
      <w:tr w:rsidR="00DE6014" w:rsidRPr="00057112" w:rsidTr="009D69C5">
        <w:tblPrEx>
          <w:tblBorders>
            <w:left w:val="single" w:sz="4" w:space="0" w:color="auto"/>
            <w:right w:val="single" w:sz="4" w:space="0" w:color="auto"/>
            <w:insideV w:val="single" w:sz="4" w:space="0" w:color="auto"/>
          </w:tblBorders>
        </w:tblPrEx>
        <w:trPr>
          <w:trHeight w:val="360"/>
          <w:tblHeader/>
        </w:trPr>
        <w:tc>
          <w:tcPr>
            <w:tcW w:w="1854" w:type="dxa"/>
            <w:tcBorders>
              <w:top w:val="single" w:sz="4" w:space="0" w:color="auto"/>
              <w:left w:val="single" w:sz="4" w:space="0" w:color="auto"/>
              <w:bottom w:val="single" w:sz="4" w:space="0" w:color="auto"/>
              <w:right w:val="single" w:sz="4" w:space="0" w:color="auto"/>
            </w:tcBorders>
          </w:tcPr>
          <w:p w:rsidR="00DE6014" w:rsidRPr="00DE6014" w:rsidRDefault="00DE6014" w:rsidP="002A39BE">
            <w:pPr>
              <w:pStyle w:val="Table"/>
              <w:rPr>
                <w:rFonts w:ascii="Arial Narrow" w:hAnsi="Arial Narrow"/>
                <w:b/>
                <w:szCs w:val="20"/>
              </w:rPr>
            </w:pPr>
            <w:r w:rsidRPr="00DE6014">
              <w:rPr>
                <w:rFonts w:ascii="Arial Narrow" w:hAnsi="Arial Narrow"/>
                <w:b/>
                <w:szCs w:val="20"/>
              </w:rPr>
              <w:t>Treatment criteria:</w:t>
            </w:r>
          </w:p>
          <w:p w:rsidR="00DE6014" w:rsidRPr="00DE6014" w:rsidRDefault="00DE6014" w:rsidP="002A39BE">
            <w:pPr>
              <w:pStyle w:val="Table"/>
              <w:rPr>
                <w:rFonts w:ascii="Arial Narrow" w:hAnsi="Arial Narrow"/>
                <w:b/>
                <w:szCs w:val="20"/>
              </w:rPr>
            </w:pPr>
          </w:p>
        </w:tc>
        <w:tc>
          <w:tcPr>
            <w:tcW w:w="7173" w:type="dxa"/>
            <w:gridSpan w:val="6"/>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strike/>
                <w:szCs w:val="20"/>
              </w:rPr>
            </w:pPr>
            <w:r w:rsidRPr="00DE6014">
              <w:rPr>
                <w:rFonts w:ascii="Arial Narrow" w:hAnsi="Arial Narrow"/>
                <w:strike/>
                <w:szCs w:val="20"/>
              </w:rPr>
              <w:t>Patient must be receiving treatment with at least one renin angiotensin aldosterone system inhibitor; OR</w:t>
            </w:r>
          </w:p>
          <w:p w:rsidR="00DE6014" w:rsidRPr="00DE6014" w:rsidRDefault="00DE6014" w:rsidP="002A39BE">
            <w:pPr>
              <w:pStyle w:val="Table"/>
              <w:rPr>
                <w:rFonts w:ascii="Arial Narrow" w:hAnsi="Arial Narrow"/>
                <w:szCs w:val="20"/>
              </w:rPr>
            </w:pPr>
            <w:r w:rsidRPr="00DE6014">
              <w:rPr>
                <w:rFonts w:ascii="Arial Narrow" w:hAnsi="Arial Narrow"/>
                <w:strike/>
                <w:szCs w:val="20"/>
              </w:rPr>
              <w:t xml:space="preserve">Patient must be indicated for treatment with at least one renin angiotensin aldosterone system inhibitor and unable to tolerate this due to complications of hyperkalaemia  </w:t>
            </w:r>
          </w:p>
        </w:tc>
      </w:tr>
      <w:tr w:rsidR="00DE6014" w:rsidRPr="00057112" w:rsidTr="009D69C5">
        <w:tblPrEx>
          <w:tblBorders>
            <w:left w:val="single" w:sz="4" w:space="0" w:color="auto"/>
            <w:right w:val="single" w:sz="4" w:space="0" w:color="auto"/>
            <w:insideV w:val="single" w:sz="4" w:space="0" w:color="auto"/>
          </w:tblBorders>
        </w:tblPrEx>
        <w:trPr>
          <w:trHeight w:val="70"/>
          <w:tblHeader/>
        </w:trPr>
        <w:tc>
          <w:tcPr>
            <w:tcW w:w="1854" w:type="dxa"/>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trike/>
                <w:szCs w:val="20"/>
              </w:rPr>
              <w:t>Cautions</w:t>
            </w:r>
            <w:r w:rsidRPr="00DE6014">
              <w:rPr>
                <w:rFonts w:ascii="Arial Narrow" w:hAnsi="Arial Narrow"/>
                <w:b/>
                <w:szCs w:val="20"/>
              </w:rPr>
              <w:t xml:space="preserve"> </w:t>
            </w:r>
            <w:r w:rsidRPr="00DE6014">
              <w:rPr>
                <w:rFonts w:ascii="Arial Narrow" w:hAnsi="Arial Narrow"/>
                <w:b/>
                <w:i/>
                <w:szCs w:val="20"/>
              </w:rPr>
              <w:t>Administrative advice</w:t>
            </w:r>
          </w:p>
        </w:tc>
        <w:tc>
          <w:tcPr>
            <w:tcW w:w="7173" w:type="dxa"/>
            <w:gridSpan w:val="6"/>
            <w:tcBorders>
              <w:top w:val="single" w:sz="4" w:space="0" w:color="auto"/>
              <w:left w:val="single" w:sz="4" w:space="0" w:color="auto"/>
              <w:bottom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szCs w:val="20"/>
              </w:rPr>
              <w:t>Patiromer should not replace emergency treatment of hyperkalaemia</w:t>
            </w:r>
            <w:r w:rsidR="00E74A7B">
              <w:rPr>
                <w:rFonts w:ascii="Arial Narrow" w:hAnsi="Arial Narrow"/>
                <w:szCs w:val="20"/>
              </w:rPr>
              <w:t>.</w:t>
            </w:r>
          </w:p>
        </w:tc>
      </w:tr>
      <w:tr w:rsidR="00DE6014" w:rsidRPr="00057112" w:rsidTr="009D69C5">
        <w:trPr>
          <w:trHeight w:val="70"/>
          <w:tblHeader/>
        </w:trPr>
        <w:tc>
          <w:tcPr>
            <w:tcW w:w="1854" w:type="dxa"/>
            <w:tcBorders>
              <w:left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Treatment phase:</w:t>
            </w:r>
          </w:p>
        </w:tc>
        <w:tc>
          <w:tcPr>
            <w:tcW w:w="7173" w:type="dxa"/>
            <w:gridSpan w:val="6"/>
            <w:tcBorders>
              <w:left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strike/>
                <w:szCs w:val="20"/>
              </w:rPr>
              <w:t>Initial and</w:t>
            </w:r>
            <w:r w:rsidRPr="00DE6014">
              <w:rPr>
                <w:rFonts w:ascii="Arial Narrow" w:hAnsi="Arial Narrow"/>
                <w:szCs w:val="20"/>
              </w:rPr>
              <w:t xml:space="preserve"> Continuing</w:t>
            </w:r>
          </w:p>
        </w:tc>
      </w:tr>
      <w:tr w:rsidR="00DE6014" w:rsidRPr="00057112" w:rsidTr="009D69C5">
        <w:trPr>
          <w:trHeight w:val="70"/>
          <w:tblHeader/>
        </w:trPr>
        <w:tc>
          <w:tcPr>
            <w:tcW w:w="1854" w:type="dxa"/>
            <w:tcBorders>
              <w:left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Restriction:</w:t>
            </w:r>
          </w:p>
        </w:tc>
        <w:tc>
          <w:tcPr>
            <w:tcW w:w="7173" w:type="dxa"/>
            <w:gridSpan w:val="6"/>
            <w:tcBorders>
              <w:left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szCs w:val="20"/>
              </w:rPr>
              <w:fldChar w:fldCharType="begin">
                <w:ffData>
                  <w:name w:val="Check5"/>
                  <w:enabled/>
                  <w:calcOnExit w:val="0"/>
                  <w:checkBox>
                    <w:sizeAuto/>
                    <w:default w:val="1"/>
                  </w:checkBox>
                </w:ffData>
              </w:fldChar>
            </w:r>
            <w:r w:rsidRPr="00DE6014">
              <w:rPr>
                <w:rFonts w:ascii="Arial Narrow" w:hAnsi="Arial Narrow"/>
                <w:szCs w:val="20"/>
              </w:rPr>
              <w:instrText xml:space="preserve"> FORMCHECKBOX </w:instrText>
            </w:r>
            <w:r w:rsidR="00441598">
              <w:rPr>
                <w:rFonts w:ascii="Arial Narrow" w:hAnsi="Arial Narrow"/>
                <w:szCs w:val="20"/>
              </w:rPr>
            </w:r>
            <w:r w:rsidR="00441598">
              <w:rPr>
                <w:rFonts w:ascii="Arial Narrow" w:hAnsi="Arial Narrow"/>
                <w:szCs w:val="20"/>
              </w:rPr>
              <w:fldChar w:fldCharType="separate"/>
            </w:r>
            <w:r w:rsidRPr="00DE6014">
              <w:rPr>
                <w:rFonts w:ascii="Arial Narrow" w:hAnsi="Arial Narrow"/>
                <w:szCs w:val="20"/>
              </w:rPr>
              <w:fldChar w:fldCharType="end"/>
            </w:r>
            <w:r w:rsidRPr="00DE6014">
              <w:rPr>
                <w:rFonts w:ascii="Arial Narrow" w:hAnsi="Arial Narrow"/>
                <w:szCs w:val="20"/>
              </w:rPr>
              <w:t>Authority Required (STREAMLINED)</w:t>
            </w:r>
          </w:p>
        </w:tc>
      </w:tr>
      <w:tr w:rsidR="00DE6014" w:rsidRPr="00057112" w:rsidTr="009D69C5">
        <w:trPr>
          <w:trHeight w:val="70"/>
          <w:tblHeader/>
        </w:trPr>
        <w:tc>
          <w:tcPr>
            <w:tcW w:w="1854" w:type="dxa"/>
            <w:tcBorders>
              <w:left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zCs w:val="20"/>
              </w:rPr>
              <w:t>Clinical criteria:</w:t>
            </w:r>
          </w:p>
          <w:p w:rsidR="00DE6014" w:rsidRPr="00DE6014" w:rsidRDefault="00DE6014" w:rsidP="002A39BE">
            <w:pPr>
              <w:pStyle w:val="Table"/>
              <w:rPr>
                <w:rFonts w:ascii="Arial Narrow" w:hAnsi="Arial Narrow"/>
                <w:b/>
                <w:szCs w:val="20"/>
              </w:rPr>
            </w:pPr>
          </w:p>
        </w:tc>
        <w:tc>
          <w:tcPr>
            <w:tcW w:w="7173" w:type="dxa"/>
            <w:gridSpan w:val="6"/>
            <w:tcBorders>
              <w:left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i/>
                <w:szCs w:val="20"/>
                <w:lang w:eastAsia="en-AU"/>
              </w:rPr>
              <w:t>Patient must have previously received PBS-subsidised treatment with this drug for this condition</w:t>
            </w:r>
            <w:r w:rsidR="00E74A7B">
              <w:rPr>
                <w:rFonts w:ascii="Arial Narrow" w:hAnsi="Arial Narrow"/>
                <w:i/>
                <w:szCs w:val="20"/>
                <w:lang w:eastAsia="en-AU"/>
              </w:rPr>
              <w:t>.</w:t>
            </w:r>
            <w:r w:rsidRPr="00DE6014">
              <w:rPr>
                <w:rFonts w:ascii="Arial Narrow" w:hAnsi="Arial Narrow"/>
                <w:i/>
                <w:szCs w:val="20"/>
                <w:lang w:eastAsia="en-AU"/>
              </w:rPr>
              <w:t xml:space="preserve"> </w:t>
            </w:r>
          </w:p>
        </w:tc>
      </w:tr>
      <w:tr w:rsidR="00DE6014" w:rsidRPr="00057112" w:rsidTr="009D69C5">
        <w:trPr>
          <w:trHeight w:val="72"/>
          <w:tblHeader/>
        </w:trPr>
        <w:tc>
          <w:tcPr>
            <w:tcW w:w="1854" w:type="dxa"/>
            <w:tcBorders>
              <w:left w:val="single" w:sz="4" w:space="0" w:color="auto"/>
              <w:right w:val="single" w:sz="4" w:space="0" w:color="auto"/>
            </w:tcBorders>
            <w:hideMark/>
          </w:tcPr>
          <w:p w:rsidR="00DE6014" w:rsidRPr="00DE6014" w:rsidRDefault="00DE6014" w:rsidP="002A39BE">
            <w:pPr>
              <w:pStyle w:val="Table"/>
              <w:rPr>
                <w:rFonts w:ascii="Arial Narrow" w:hAnsi="Arial Narrow"/>
                <w:b/>
                <w:szCs w:val="20"/>
              </w:rPr>
            </w:pPr>
            <w:r w:rsidRPr="00DE6014">
              <w:rPr>
                <w:rFonts w:ascii="Arial Narrow" w:hAnsi="Arial Narrow"/>
                <w:b/>
                <w:strike/>
                <w:szCs w:val="20"/>
              </w:rPr>
              <w:t>Cautions</w:t>
            </w:r>
            <w:r w:rsidRPr="00DE6014">
              <w:rPr>
                <w:rFonts w:ascii="Arial Narrow" w:hAnsi="Arial Narrow"/>
                <w:b/>
                <w:szCs w:val="20"/>
              </w:rPr>
              <w:t xml:space="preserve"> </w:t>
            </w:r>
            <w:r w:rsidRPr="00DE6014">
              <w:rPr>
                <w:rFonts w:ascii="Arial Narrow" w:hAnsi="Arial Narrow"/>
                <w:b/>
                <w:i/>
                <w:szCs w:val="20"/>
              </w:rPr>
              <w:t>Administrative advice</w:t>
            </w:r>
          </w:p>
        </w:tc>
        <w:tc>
          <w:tcPr>
            <w:tcW w:w="7173" w:type="dxa"/>
            <w:gridSpan w:val="6"/>
            <w:tcBorders>
              <w:left w:val="single" w:sz="4" w:space="0" w:color="auto"/>
              <w:right w:val="single" w:sz="4" w:space="0" w:color="auto"/>
            </w:tcBorders>
            <w:hideMark/>
          </w:tcPr>
          <w:p w:rsidR="00DE6014" w:rsidRPr="00DE6014" w:rsidRDefault="00DE6014" w:rsidP="002A39BE">
            <w:pPr>
              <w:pStyle w:val="Table"/>
              <w:rPr>
                <w:rFonts w:ascii="Arial Narrow" w:hAnsi="Arial Narrow"/>
                <w:szCs w:val="20"/>
              </w:rPr>
            </w:pPr>
            <w:r w:rsidRPr="00DE6014">
              <w:rPr>
                <w:rFonts w:ascii="Arial Narrow" w:hAnsi="Arial Narrow"/>
                <w:szCs w:val="20"/>
              </w:rPr>
              <w:t>Patiromer should not replace emergency treatment of hyperkalaemia</w:t>
            </w:r>
            <w:r w:rsidR="00E74A7B">
              <w:rPr>
                <w:rFonts w:ascii="Arial Narrow" w:hAnsi="Arial Narrow"/>
                <w:szCs w:val="20"/>
              </w:rPr>
              <w:t>.</w:t>
            </w:r>
          </w:p>
        </w:tc>
      </w:tr>
    </w:tbl>
    <w:p w:rsidR="00B0590F" w:rsidRDefault="00B0590F" w:rsidP="00C209C6">
      <w:pPr>
        <w:pStyle w:val="TableFooter"/>
        <w:keepNext/>
        <w:keepLines/>
        <w:widowControl/>
      </w:pPr>
      <w:r>
        <w:t xml:space="preserve">Source: Table 1-4, p.31 of the submission </w:t>
      </w:r>
    </w:p>
    <w:p w:rsidR="00591957" w:rsidRPr="008F5654" w:rsidRDefault="008F5654" w:rsidP="00E74A7B">
      <w:pPr>
        <w:pStyle w:val="ListParagraph"/>
        <w:widowControl/>
        <w:numPr>
          <w:ilvl w:val="1"/>
          <w:numId w:val="3"/>
        </w:numPr>
        <w:spacing w:after="120"/>
      </w:pPr>
      <w:r w:rsidRPr="008F5654">
        <w:t xml:space="preserve">A patiromer 25.2 g sachet also listed on the ARTG </w:t>
      </w:r>
      <w:r w:rsidR="009865FB">
        <w:t>wa</w:t>
      </w:r>
      <w:r w:rsidRPr="008F5654">
        <w:t xml:space="preserve">s </w:t>
      </w:r>
      <w:r w:rsidR="007F7D2D">
        <w:t>not included in the PBS listing. Patient</w:t>
      </w:r>
      <w:r w:rsidR="0039346D">
        <w:t>s</w:t>
      </w:r>
      <w:r w:rsidR="007F7D2D">
        <w:t xml:space="preserve"> requiring the maximum recommended dose of patiromer (25.2 g/day), would require one 8.4 g and one 16.8 g sachet daily.</w:t>
      </w:r>
      <w:r w:rsidRPr="008F5654">
        <w:t xml:space="preserve"> </w:t>
      </w:r>
    </w:p>
    <w:p w:rsidR="00591957" w:rsidRPr="008F5654" w:rsidRDefault="008F5654" w:rsidP="00E74A7B">
      <w:pPr>
        <w:pStyle w:val="ListParagraph"/>
        <w:widowControl/>
        <w:numPr>
          <w:ilvl w:val="1"/>
          <w:numId w:val="3"/>
        </w:numPr>
        <w:spacing w:after="120"/>
      </w:pPr>
      <w:r w:rsidRPr="008F5654">
        <w:lastRenderedPageBreak/>
        <w:t xml:space="preserve">The requested restriction </w:t>
      </w:r>
      <w:r w:rsidR="009865FB">
        <w:t>was</w:t>
      </w:r>
      <w:r w:rsidRPr="008F5654">
        <w:t xml:space="preserve"> narrower than the TGA indication (</w:t>
      </w:r>
      <w:r w:rsidR="00565C54">
        <w:t xml:space="preserve">“The treatment of </w:t>
      </w:r>
      <w:r w:rsidRPr="008F5654">
        <w:t>hyperkalaemia</w:t>
      </w:r>
      <w:r w:rsidR="00565C54">
        <w:t xml:space="preserve"> in adults”</w:t>
      </w:r>
      <w:r w:rsidRPr="008F5654">
        <w:t>), and limit</w:t>
      </w:r>
      <w:r w:rsidR="005D460D">
        <w:t>ed</w:t>
      </w:r>
      <w:r w:rsidRPr="008F5654">
        <w:t xml:space="preserve"> eligibility to patients with CKD Stage 3+ (with or without comorbidities) treated with one or more RAASi</w:t>
      </w:r>
      <w:r>
        <w:t xml:space="preserve"> medicine</w:t>
      </w:r>
      <w:r w:rsidR="0023603B">
        <w:t>s</w:t>
      </w:r>
      <w:r w:rsidRPr="008F5654">
        <w:t>, or unable to tolerate treatment with a RAASi due to complications of hyperkalaemia, who have experienced a recent episode of hyperkalaemia requiring active pharmacological intervention.</w:t>
      </w:r>
    </w:p>
    <w:p w:rsidR="0020732F" w:rsidRDefault="00565C54" w:rsidP="00470786">
      <w:pPr>
        <w:pStyle w:val="ListParagraph"/>
        <w:widowControl/>
        <w:numPr>
          <w:ilvl w:val="1"/>
          <w:numId w:val="3"/>
        </w:numPr>
        <w:spacing w:after="120"/>
        <w:rPr>
          <w:i/>
        </w:rPr>
      </w:pPr>
      <w:r>
        <w:t>H</w:t>
      </w:r>
      <w:r w:rsidR="008F5654" w:rsidRPr="00BE38FB">
        <w:t xml:space="preserve">yperkalaemia </w:t>
      </w:r>
      <w:r w:rsidR="009865FB">
        <w:t>was</w:t>
      </w:r>
      <w:r w:rsidR="008F5654" w:rsidRPr="00BE38FB">
        <w:t xml:space="preserve"> not </w:t>
      </w:r>
      <w:r w:rsidR="007F7D2D" w:rsidRPr="00BE38FB">
        <w:t xml:space="preserve">defined </w:t>
      </w:r>
      <w:r w:rsidR="008F5654" w:rsidRPr="00BE38FB">
        <w:t>as a clinical criterion and patients experiencing a single acute episode of hyperkalaemia requiring pharmacological intervention, regardless of underlying pathology</w:t>
      </w:r>
      <w:r>
        <w:t xml:space="preserve"> or the severity of the hyperkalaemia</w:t>
      </w:r>
      <w:r w:rsidR="008F5654" w:rsidRPr="00BE38FB">
        <w:t xml:space="preserve">, would be eligible </w:t>
      </w:r>
      <w:r w:rsidR="00471984">
        <w:t xml:space="preserve">to receive patiromer </w:t>
      </w:r>
      <w:r w:rsidR="008F5654" w:rsidRPr="00BE38FB">
        <w:t xml:space="preserve">under the requested restriction. </w:t>
      </w:r>
      <w:r w:rsidR="002C46C2" w:rsidRPr="00D03515">
        <w:t xml:space="preserve">The </w:t>
      </w:r>
      <w:r w:rsidR="00470786" w:rsidRPr="00167BA5">
        <w:rPr>
          <w:rFonts w:asciiTheme="minorHAnsi" w:hAnsiTheme="minorHAnsi" w:cstheme="minorHAnsi"/>
          <w:szCs w:val="24"/>
        </w:rPr>
        <w:t>Economics Sub-Committee</w:t>
      </w:r>
      <w:r w:rsidR="00470786" w:rsidRPr="00D03515">
        <w:t xml:space="preserve"> </w:t>
      </w:r>
      <w:r w:rsidR="00470786">
        <w:t>(</w:t>
      </w:r>
      <w:r w:rsidR="002C46C2" w:rsidRPr="00D03515">
        <w:t>ESC</w:t>
      </w:r>
      <w:r w:rsidR="00470786">
        <w:t>)</w:t>
      </w:r>
      <w:r w:rsidR="002C46C2" w:rsidRPr="00D03515">
        <w:t xml:space="preserve"> </w:t>
      </w:r>
      <w:r w:rsidR="00DC06F9" w:rsidRPr="00D03515">
        <w:t>considered</w:t>
      </w:r>
      <w:r w:rsidR="002C46C2" w:rsidRPr="00D03515">
        <w:t xml:space="preserve"> that h</w:t>
      </w:r>
      <w:r w:rsidR="008F5654" w:rsidRPr="00D03515">
        <w:t xml:space="preserve">yperkalaemia </w:t>
      </w:r>
      <w:r w:rsidR="007F7D2D" w:rsidRPr="00D03515">
        <w:t xml:space="preserve">requiring </w:t>
      </w:r>
      <w:r w:rsidR="002C46C2" w:rsidRPr="00D03515">
        <w:t xml:space="preserve">active </w:t>
      </w:r>
      <w:r w:rsidR="007F7D2D" w:rsidRPr="00D03515">
        <w:t xml:space="preserve">pharmacological intervention </w:t>
      </w:r>
      <w:r w:rsidR="009865FB">
        <w:t>was</w:t>
      </w:r>
      <w:r w:rsidR="008F5654" w:rsidRPr="00D03515">
        <w:t xml:space="preserve"> not adequately defined</w:t>
      </w:r>
      <w:r w:rsidR="00DC06F9" w:rsidRPr="00D03515">
        <w:t xml:space="preserve"> within the</w:t>
      </w:r>
      <w:r w:rsidR="00DC06F9">
        <w:rPr>
          <w:i/>
        </w:rPr>
        <w:t xml:space="preserve"> </w:t>
      </w:r>
      <w:r w:rsidR="00DC06F9" w:rsidRPr="00D03515">
        <w:t>restriction</w:t>
      </w:r>
      <w:r w:rsidR="008F5654" w:rsidRPr="00D03515">
        <w:t xml:space="preserve"> in terms of serum potassium concentration</w:t>
      </w:r>
      <w:r w:rsidR="007F7D2D" w:rsidRPr="00D03515">
        <w:t xml:space="preserve">, and </w:t>
      </w:r>
      <w:r w:rsidR="003D5910" w:rsidRPr="00D03515">
        <w:t>it was unclear what wa</w:t>
      </w:r>
      <w:r w:rsidRPr="00D03515">
        <w:t>s meant by pharmacological therapy (</w:t>
      </w:r>
      <w:r w:rsidR="00DC06F9" w:rsidRPr="00D03515">
        <w:t>e.g.</w:t>
      </w:r>
      <w:r w:rsidRPr="00D03515">
        <w:t xml:space="preserve"> </w:t>
      </w:r>
      <w:r w:rsidR="002C46C2" w:rsidRPr="00D03515">
        <w:t xml:space="preserve">thiazides or loop acting diuretics </w:t>
      </w:r>
      <w:r w:rsidR="0023603B" w:rsidRPr="00D03515">
        <w:t xml:space="preserve">may </w:t>
      </w:r>
      <w:r w:rsidR="002C46C2" w:rsidRPr="00D03515">
        <w:t>be considered a pharmacological intervention). Hence</w:t>
      </w:r>
      <w:r w:rsidR="005D460D">
        <w:t>,</w:t>
      </w:r>
      <w:r w:rsidR="002C46C2" w:rsidRPr="00D03515">
        <w:t xml:space="preserve"> the ESC </w:t>
      </w:r>
      <w:r w:rsidR="00DC06F9" w:rsidRPr="00D03515">
        <w:t>considered</w:t>
      </w:r>
      <w:r w:rsidR="002C46C2" w:rsidRPr="00D03515">
        <w:t xml:space="preserve"> that </w:t>
      </w:r>
      <w:r w:rsidR="007F7D2D" w:rsidRPr="00D03515">
        <w:t xml:space="preserve">eligibility for subsidised treatment </w:t>
      </w:r>
      <w:r w:rsidR="00912BF5" w:rsidRPr="00D03515">
        <w:t xml:space="preserve">was unclear and </w:t>
      </w:r>
      <w:r w:rsidR="002C46C2" w:rsidRPr="00D03515">
        <w:t xml:space="preserve">may </w:t>
      </w:r>
      <w:r w:rsidR="007F7D2D" w:rsidRPr="00D03515">
        <w:t xml:space="preserve">vary </w:t>
      </w:r>
      <w:r w:rsidR="002C46C2" w:rsidRPr="00D03515">
        <w:t xml:space="preserve">greatly </w:t>
      </w:r>
      <w:r w:rsidR="00912BF5" w:rsidRPr="00D03515">
        <w:t>according to</w:t>
      </w:r>
      <w:r w:rsidR="007F7D2D" w:rsidRPr="00D03515">
        <w:t xml:space="preserve"> clinician discretion</w:t>
      </w:r>
      <w:r w:rsidR="008F5654" w:rsidRPr="00D03515">
        <w:t>.</w:t>
      </w:r>
    </w:p>
    <w:p w:rsidR="009A38C4" w:rsidRPr="00D03515" w:rsidRDefault="009A38C4" w:rsidP="00E74A7B">
      <w:pPr>
        <w:pStyle w:val="ListParagraph"/>
        <w:widowControl/>
        <w:numPr>
          <w:ilvl w:val="1"/>
          <w:numId w:val="3"/>
        </w:numPr>
        <w:spacing w:after="120"/>
      </w:pPr>
      <w:r w:rsidRPr="00D03515">
        <w:t xml:space="preserve">The ESC noted that it can be difficult to establish the severity of hyperkalaemia as thresholds for the </w:t>
      </w:r>
      <w:r w:rsidR="003D5910" w:rsidRPr="00D03515">
        <w:t xml:space="preserve">severity </w:t>
      </w:r>
      <w:r w:rsidRPr="00D03515">
        <w:t>definition</w:t>
      </w:r>
      <w:r w:rsidR="003B5295" w:rsidRPr="00D03515">
        <w:t xml:space="preserve">s </w:t>
      </w:r>
      <w:r w:rsidRPr="00D03515">
        <w:t>of hyperkalaemia differ between classifications</w:t>
      </w:r>
      <w:r w:rsidR="00912BF5" w:rsidRPr="00D03515">
        <w:t>, patients and clinical circumstances</w:t>
      </w:r>
      <w:r w:rsidRPr="00D03515">
        <w:t xml:space="preserve">. </w:t>
      </w:r>
      <w:r w:rsidR="001E2085" w:rsidRPr="00D03515">
        <w:t>The ESC also noted</w:t>
      </w:r>
      <w:r w:rsidR="003B5295" w:rsidRPr="00D03515">
        <w:t xml:space="preserve"> that</w:t>
      </w:r>
      <w:r w:rsidR="001E2085" w:rsidRPr="00D03515">
        <w:t xml:space="preserve"> there is no uniformly accepted threshold for </w:t>
      </w:r>
      <w:r w:rsidR="003B5295" w:rsidRPr="00D03515">
        <w:t xml:space="preserve">the </w:t>
      </w:r>
      <w:r w:rsidR="001E2085" w:rsidRPr="00D03515">
        <w:t>treatment of hyperkalaemia and treatment is dependent on a number of factors, including a patient’s underlying disease and medications</w:t>
      </w:r>
      <w:r w:rsidR="000A1CD6" w:rsidRPr="00D03515">
        <w:rPr>
          <w:rStyle w:val="FootnoteReference"/>
        </w:rPr>
        <w:footnoteReference w:id="1"/>
      </w:r>
      <w:r w:rsidR="001E2085" w:rsidRPr="00D03515">
        <w:t>.</w:t>
      </w:r>
    </w:p>
    <w:p w:rsidR="008F5654" w:rsidRPr="00BE38FB" w:rsidRDefault="008F5654" w:rsidP="00E74A7B">
      <w:pPr>
        <w:pStyle w:val="ListParagraph"/>
        <w:widowControl/>
        <w:numPr>
          <w:ilvl w:val="1"/>
          <w:numId w:val="3"/>
        </w:numPr>
        <w:spacing w:after="120"/>
      </w:pPr>
      <w:r w:rsidRPr="00BE38FB">
        <w:t xml:space="preserve">Patients </w:t>
      </w:r>
      <w:r w:rsidR="002C46C2">
        <w:t xml:space="preserve">who need </w:t>
      </w:r>
      <w:r w:rsidRPr="00BE38FB">
        <w:t xml:space="preserve">chronic </w:t>
      </w:r>
      <w:r w:rsidR="002C46C2">
        <w:t xml:space="preserve">management of serum potassium </w:t>
      </w:r>
      <w:r w:rsidR="006C0196">
        <w:t xml:space="preserve">and who </w:t>
      </w:r>
      <w:r w:rsidRPr="00BE38FB">
        <w:t xml:space="preserve">may be effectively controlled with dietary modification, medication adjustment or treatment of underlying pathology, and patients who </w:t>
      </w:r>
      <w:r w:rsidR="007D7129" w:rsidRPr="00BE38FB">
        <w:t>may be</w:t>
      </w:r>
      <w:r w:rsidRPr="00BE38FB">
        <w:t xml:space="preserve"> optimally treated on reduced RAASi doses or other non-RAASi cardiovascular therapies (</w:t>
      </w:r>
      <w:r w:rsidR="003D5910">
        <w:t xml:space="preserve">e.g. </w:t>
      </w:r>
      <w:r w:rsidRPr="00BE38FB">
        <w:t>calcium channel blockers</w:t>
      </w:r>
      <w:r w:rsidR="003D5910">
        <w:t>,</w:t>
      </w:r>
      <w:r w:rsidRPr="00BE38FB">
        <w:t xml:space="preserve"> thiazide or loop diuretics) will also be eligible for subsidised treatment with patiromer.</w:t>
      </w:r>
    </w:p>
    <w:p w:rsidR="00EC12C5" w:rsidRDefault="008F5654" w:rsidP="00E74A7B">
      <w:pPr>
        <w:pStyle w:val="ListParagraph"/>
        <w:widowControl/>
        <w:numPr>
          <w:ilvl w:val="1"/>
          <w:numId w:val="3"/>
        </w:numPr>
        <w:spacing w:after="120"/>
      </w:pPr>
      <w:r w:rsidRPr="00BE38FB">
        <w:t xml:space="preserve">The requested restriction </w:t>
      </w:r>
      <w:r w:rsidR="009865FB">
        <w:t>did</w:t>
      </w:r>
      <w:r w:rsidRPr="00BE38FB">
        <w:t xml:space="preserve"> not include a discontinuation rule, and eligible patients may continue treatment with patiromer </w:t>
      </w:r>
      <w:r w:rsidR="006C36BE" w:rsidRPr="00BE38FB">
        <w:t>from</w:t>
      </w:r>
      <w:r w:rsidRPr="00BE38FB">
        <w:t xml:space="preserve"> progression </w:t>
      </w:r>
      <w:r w:rsidR="006C36BE" w:rsidRPr="00BE38FB">
        <w:t>of</w:t>
      </w:r>
      <w:r w:rsidRPr="00BE38FB">
        <w:t xml:space="preserve"> mild kidney disease (CKD 3) to </w:t>
      </w:r>
      <w:r w:rsidR="002C46C2">
        <w:t xml:space="preserve">more </w:t>
      </w:r>
      <w:r w:rsidRPr="00BE38FB">
        <w:t xml:space="preserve">severe kidney disease (CKD 4), and may </w:t>
      </w:r>
      <w:r w:rsidR="002C46C2">
        <w:t xml:space="preserve">even </w:t>
      </w:r>
      <w:r w:rsidR="00930C04">
        <w:t xml:space="preserve">be able to </w:t>
      </w:r>
      <w:r w:rsidRPr="00BE38FB">
        <w:t xml:space="preserve">initiate or continue treatment with patiromer in end stage kidney disease (ESKD) </w:t>
      </w:r>
      <w:r w:rsidR="002C46C2">
        <w:t>or when undergoing</w:t>
      </w:r>
      <w:r w:rsidR="002C46C2" w:rsidRPr="00BE38FB">
        <w:t xml:space="preserve"> </w:t>
      </w:r>
      <w:r w:rsidRPr="00BE38FB">
        <w:t>dialysis</w:t>
      </w:r>
      <w:r w:rsidR="007D7129" w:rsidRPr="00BE38FB">
        <w:t>.</w:t>
      </w:r>
    </w:p>
    <w:p w:rsidR="009321DF" w:rsidRPr="009321DF" w:rsidRDefault="009321DF" w:rsidP="00E74A7B">
      <w:pPr>
        <w:pStyle w:val="PBACHeading1"/>
        <w:numPr>
          <w:ilvl w:val="0"/>
          <w:numId w:val="0"/>
        </w:numPr>
        <w:spacing w:after="120"/>
        <w:ind w:left="720"/>
        <w:rPr>
          <w:b w:val="0"/>
          <w:i/>
          <w:sz w:val="24"/>
        </w:rPr>
      </w:pPr>
      <w:r w:rsidRPr="009321DF">
        <w:rPr>
          <w:b w:val="0"/>
          <w:i/>
          <w:sz w:val="24"/>
        </w:rPr>
        <w:t>For more detail on PBAC’s view, see section 7 PBAC outcome.</w:t>
      </w:r>
    </w:p>
    <w:p w:rsidR="00B50DB8" w:rsidRPr="00407F2D" w:rsidRDefault="00203181" w:rsidP="002A32A6">
      <w:pPr>
        <w:pStyle w:val="PBACHeading1"/>
        <w:spacing w:before="240" w:after="120"/>
        <w:outlineLvl w:val="0"/>
      </w:pPr>
      <w:bookmarkStart w:id="3" w:name="_Toc19703814"/>
      <w:r>
        <w:t xml:space="preserve">Population and </w:t>
      </w:r>
      <w:r w:rsidR="008E0D3C">
        <w:t>d</w:t>
      </w:r>
      <w:r>
        <w:t>isease</w:t>
      </w:r>
      <w:bookmarkEnd w:id="3"/>
    </w:p>
    <w:p w:rsidR="00894489" w:rsidRPr="002C2775" w:rsidRDefault="00BB69D7" w:rsidP="00E74A7B">
      <w:pPr>
        <w:pStyle w:val="ListParagraph"/>
        <w:keepNext/>
        <w:widowControl/>
        <w:numPr>
          <w:ilvl w:val="1"/>
          <w:numId w:val="3"/>
        </w:numPr>
        <w:spacing w:after="120"/>
      </w:pPr>
      <w:r w:rsidRPr="000A7B3E">
        <w:rPr>
          <w:rFonts w:asciiTheme="minorHAnsi" w:hAnsiTheme="minorHAnsi" w:cstheme="minorHAnsi"/>
        </w:rPr>
        <w:t>Hyperkalaemia is a common electrolyte abnormality re</w:t>
      </w:r>
      <w:r>
        <w:rPr>
          <w:rFonts w:asciiTheme="minorHAnsi" w:hAnsiTheme="minorHAnsi" w:cstheme="minorHAnsi"/>
        </w:rPr>
        <w:t>sulting from a variety of causes related to decreased excretion</w:t>
      </w:r>
      <w:r w:rsidR="00F839B4">
        <w:rPr>
          <w:rFonts w:asciiTheme="minorHAnsi" w:hAnsiTheme="minorHAnsi" w:cstheme="minorHAnsi"/>
        </w:rPr>
        <w:t>, transcellular potassium shifts</w:t>
      </w:r>
      <w:r>
        <w:rPr>
          <w:rFonts w:asciiTheme="minorHAnsi" w:hAnsiTheme="minorHAnsi" w:cstheme="minorHAnsi"/>
        </w:rPr>
        <w:t xml:space="preserve"> </w:t>
      </w:r>
      <w:r w:rsidR="00F839B4">
        <w:rPr>
          <w:rFonts w:asciiTheme="minorHAnsi" w:hAnsiTheme="minorHAnsi" w:cstheme="minorHAnsi"/>
        </w:rPr>
        <w:t>or</w:t>
      </w:r>
      <w:r>
        <w:rPr>
          <w:rFonts w:asciiTheme="minorHAnsi" w:hAnsiTheme="minorHAnsi" w:cstheme="minorHAnsi"/>
        </w:rPr>
        <w:t xml:space="preserve"> exogenous sources</w:t>
      </w:r>
      <w:r w:rsidR="00735931">
        <w:rPr>
          <w:rFonts w:asciiTheme="minorHAnsi" w:hAnsiTheme="minorHAnsi" w:cstheme="minorHAnsi"/>
        </w:rPr>
        <w:t>, and may be exacerbated by administration of medicines impacting potassium excretion via the kidney</w:t>
      </w:r>
      <w:r w:rsidR="00F839B4">
        <w:rPr>
          <w:rFonts w:asciiTheme="minorHAnsi" w:hAnsiTheme="minorHAnsi" w:cstheme="minorHAnsi"/>
        </w:rPr>
        <w:t xml:space="preserve">; e.g. </w:t>
      </w:r>
      <w:r w:rsidR="00F839B4" w:rsidRPr="000A7B3E">
        <w:rPr>
          <w:rFonts w:asciiTheme="minorHAnsi" w:hAnsiTheme="minorHAnsi" w:cstheme="minorHAnsi"/>
        </w:rPr>
        <w:t>renin-angiotensin-aldosterone system inhibitors (RAASi)</w:t>
      </w:r>
      <w:r w:rsidR="00F839B4">
        <w:rPr>
          <w:rFonts w:asciiTheme="minorHAnsi" w:hAnsiTheme="minorHAnsi" w:cstheme="minorHAnsi"/>
        </w:rPr>
        <w:t xml:space="preserve">, </w:t>
      </w:r>
      <w:r w:rsidR="00F839B4" w:rsidRPr="006C69CC">
        <w:rPr>
          <w:rFonts w:asciiTheme="minorHAnsi" w:hAnsiTheme="minorHAnsi" w:cstheme="minorHAnsi"/>
        </w:rPr>
        <w:t>nonsteroidal anti-inflammatory drugs</w:t>
      </w:r>
      <w:r w:rsidR="00F839B4">
        <w:rPr>
          <w:rFonts w:asciiTheme="minorHAnsi" w:hAnsiTheme="minorHAnsi" w:cstheme="minorHAnsi"/>
        </w:rPr>
        <w:t xml:space="preserve"> (NSAIDs), and potassium sparing diuretics (</w:t>
      </w:r>
      <w:r w:rsidR="00912BF5">
        <w:rPr>
          <w:rFonts w:asciiTheme="minorHAnsi" w:hAnsiTheme="minorHAnsi" w:cstheme="minorHAnsi"/>
        </w:rPr>
        <w:t xml:space="preserve">e.g. </w:t>
      </w:r>
      <w:r w:rsidR="00F839B4">
        <w:rPr>
          <w:rFonts w:asciiTheme="minorHAnsi" w:hAnsiTheme="minorHAnsi" w:cstheme="minorHAnsi"/>
        </w:rPr>
        <w:t>spironolactone</w:t>
      </w:r>
      <w:r w:rsidR="00912BF5">
        <w:rPr>
          <w:rFonts w:asciiTheme="minorHAnsi" w:hAnsiTheme="minorHAnsi" w:cstheme="minorHAnsi"/>
        </w:rPr>
        <w:t xml:space="preserve"> or amiloride</w:t>
      </w:r>
      <w:r w:rsidR="00F839B4">
        <w:rPr>
          <w:rFonts w:asciiTheme="minorHAnsi" w:hAnsiTheme="minorHAnsi" w:cstheme="minorHAnsi"/>
        </w:rPr>
        <w:t>). Hyperkalaemia is most</w:t>
      </w:r>
      <w:r w:rsidR="009F1026">
        <w:rPr>
          <w:rFonts w:asciiTheme="minorHAnsi" w:hAnsiTheme="minorHAnsi" w:cstheme="minorHAnsi"/>
        </w:rPr>
        <w:t xml:space="preserve"> </w:t>
      </w:r>
      <w:r w:rsidR="00735931">
        <w:rPr>
          <w:rFonts w:asciiTheme="minorHAnsi" w:hAnsiTheme="minorHAnsi" w:cstheme="minorHAnsi"/>
        </w:rPr>
        <w:t>commonly observed in patients with acute kidney injury and/</w:t>
      </w:r>
      <w:r w:rsidR="00F839B4">
        <w:rPr>
          <w:rFonts w:asciiTheme="minorHAnsi" w:hAnsiTheme="minorHAnsi" w:cstheme="minorHAnsi"/>
        </w:rPr>
        <w:t xml:space="preserve">or chronic kidney disease (CKD), particularly in </w:t>
      </w:r>
      <w:r w:rsidR="00F839B4">
        <w:rPr>
          <w:rFonts w:asciiTheme="minorHAnsi" w:hAnsiTheme="minorHAnsi" w:cstheme="minorHAnsi"/>
        </w:rPr>
        <w:lastRenderedPageBreak/>
        <w:t xml:space="preserve">combination with </w:t>
      </w:r>
      <w:r w:rsidR="00F839B4" w:rsidRPr="000A7B3E">
        <w:rPr>
          <w:rFonts w:asciiTheme="minorHAnsi" w:hAnsiTheme="minorHAnsi" w:cstheme="minorHAnsi"/>
        </w:rPr>
        <w:t>type 2 diabetes mellitus (T2DM) and/or c</w:t>
      </w:r>
      <w:r w:rsidR="005D460D">
        <w:rPr>
          <w:rFonts w:asciiTheme="minorHAnsi" w:hAnsiTheme="minorHAnsi" w:cstheme="minorHAnsi"/>
        </w:rPr>
        <w:t>ongestive</w:t>
      </w:r>
      <w:r w:rsidR="00F839B4" w:rsidRPr="000A7B3E">
        <w:rPr>
          <w:rFonts w:asciiTheme="minorHAnsi" w:hAnsiTheme="minorHAnsi" w:cstheme="minorHAnsi"/>
        </w:rPr>
        <w:t xml:space="preserve"> heart failure (CHF)</w:t>
      </w:r>
      <w:r w:rsidR="00F839B4">
        <w:rPr>
          <w:rFonts w:asciiTheme="minorHAnsi" w:hAnsiTheme="minorHAnsi" w:cstheme="minorHAnsi"/>
        </w:rPr>
        <w:t>.</w:t>
      </w:r>
      <w:r w:rsidR="00735931">
        <w:rPr>
          <w:rFonts w:asciiTheme="minorHAnsi" w:hAnsiTheme="minorHAnsi" w:cstheme="minorHAnsi"/>
        </w:rPr>
        <w:t xml:space="preserve"> </w:t>
      </w:r>
    </w:p>
    <w:p w:rsidR="00C06B60" w:rsidRDefault="00F839B4" w:rsidP="00E74A7B">
      <w:pPr>
        <w:pStyle w:val="ListParagraph"/>
        <w:widowControl/>
        <w:numPr>
          <w:ilvl w:val="1"/>
          <w:numId w:val="3"/>
        </w:numPr>
        <w:spacing w:after="120"/>
      </w:pPr>
      <w:r>
        <w:t>A d</w:t>
      </w:r>
      <w:r w:rsidRPr="009B3238">
        <w:t xml:space="preserve">iagnosis of hyperkalaemia </w:t>
      </w:r>
      <w:r>
        <w:t xml:space="preserve">is based on laboratory assessed serum potassium concentrations and </w:t>
      </w:r>
      <w:r w:rsidR="002C46C2">
        <w:t xml:space="preserve">may cause </w:t>
      </w:r>
      <w:r>
        <w:t>clinical symptoms</w:t>
      </w:r>
      <w:r w:rsidRPr="009B3238">
        <w:t> </w:t>
      </w:r>
      <w:r>
        <w:t>(</w:t>
      </w:r>
      <w:r w:rsidRPr="004614AA">
        <w:t>muscle weakness, ascending paralysis</w:t>
      </w:r>
      <w:r w:rsidR="002C46C2">
        <w:t xml:space="preserve">) or electrocardiographic (ECG) changes such as </w:t>
      </w:r>
      <w:r w:rsidRPr="004614AA">
        <w:t>cardiac conduction abnormalities</w:t>
      </w:r>
      <w:r>
        <w:t>,</w:t>
      </w:r>
      <w:r w:rsidRPr="004614AA">
        <w:t xml:space="preserve"> arrhythmias </w:t>
      </w:r>
      <w:r w:rsidR="002C46C2">
        <w:t>or</w:t>
      </w:r>
      <w:r w:rsidR="002C46C2" w:rsidRPr="004614AA">
        <w:t xml:space="preserve"> </w:t>
      </w:r>
      <w:r>
        <w:t xml:space="preserve">other </w:t>
      </w:r>
      <w:r w:rsidRPr="004614AA">
        <w:t xml:space="preserve">ECG changes. </w:t>
      </w:r>
      <w:r w:rsidR="007F7D2D">
        <w:t xml:space="preserve">There is </w:t>
      </w:r>
      <w:r w:rsidR="002C46C2">
        <w:t>no universally agreed consensus on the</w:t>
      </w:r>
      <w:r w:rsidR="007F7D2D">
        <w:t xml:space="preserve"> normal range of serum potassium concentration or definition of hyperkalaemia, or hyperkalaemia requiring pharmaceutical </w:t>
      </w:r>
      <w:r w:rsidR="007F7D2D" w:rsidRPr="007160B2">
        <w:t>intervention</w:t>
      </w:r>
      <w:r w:rsidR="006C0196" w:rsidRPr="007160B2">
        <w:rPr>
          <w:vertAlign w:val="superscript"/>
        </w:rPr>
        <w:t>1</w:t>
      </w:r>
      <w:r w:rsidR="007F7D2D" w:rsidRPr="007160B2">
        <w:t>.</w:t>
      </w:r>
      <w:r w:rsidR="007F7D2D">
        <w:t xml:space="preserve"> A serum potassium within the range of 3.5</w:t>
      </w:r>
      <w:r w:rsidR="003D5910">
        <w:t xml:space="preserve"> to </w:t>
      </w:r>
      <w:r w:rsidR="007F7D2D">
        <w:t xml:space="preserve">5.0 mmol/L is generally considered </w:t>
      </w:r>
      <w:r w:rsidR="003D5910">
        <w:t xml:space="preserve">as </w:t>
      </w:r>
      <w:r w:rsidR="007F7D2D">
        <w:t>normal</w:t>
      </w:r>
      <w:r w:rsidR="002C46C2">
        <w:t xml:space="preserve">, </w:t>
      </w:r>
      <w:r w:rsidR="003D5910">
        <w:t xml:space="preserve">potassium within the </w:t>
      </w:r>
      <w:r w:rsidR="002C46C2">
        <w:t>ranges of 5.0</w:t>
      </w:r>
      <w:r w:rsidR="006C0196">
        <w:t xml:space="preserve"> to </w:t>
      </w:r>
      <w:r w:rsidR="002C46C2">
        <w:t xml:space="preserve">5.5 mmol/L </w:t>
      </w:r>
      <w:r w:rsidR="003D5910">
        <w:t xml:space="preserve">is generally considered to be </w:t>
      </w:r>
      <w:r w:rsidR="002C46C2">
        <w:t>mild</w:t>
      </w:r>
      <w:r w:rsidR="003D5910">
        <w:t xml:space="preserve"> hyperkalaemia</w:t>
      </w:r>
      <w:r w:rsidR="002C46C2">
        <w:t>, 5.5</w:t>
      </w:r>
      <w:r w:rsidR="003D5910">
        <w:t xml:space="preserve"> to 6.0 mmol/L is moderate, and greater than </w:t>
      </w:r>
      <w:r w:rsidR="002C46C2">
        <w:t xml:space="preserve">6.0 mmol/L </w:t>
      </w:r>
      <w:r w:rsidR="003D5910">
        <w:t xml:space="preserve">is </w:t>
      </w:r>
      <w:r w:rsidR="002C46C2">
        <w:t>severe</w:t>
      </w:r>
      <w:r w:rsidR="007F7D2D">
        <w:t xml:space="preserve">. </w:t>
      </w:r>
      <w:r>
        <w:t>Untreated, hyperkalaemia may result in paralysis of the respiratory muscles, fatal cardiac arrhythmias and sudden death.</w:t>
      </w:r>
    </w:p>
    <w:p w:rsidR="00471489" w:rsidRPr="00D03515" w:rsidRDefault="00471489" w:rsidP="00E74A7B">
      <w:pPr>
        <w:pStyle w:val="ListParagraph"/>
        <w:widowControl/>
        <w:numPr>
          <w:ilvl w:val="1"/>
          <w:numId w:val="3"/>
        </w:numPr>
        <w:spacing w:after="120"/>
      </w:pPr>
      <w:r w:rsidRPr="00D03515">
        <w:t xml:space="preserve">The </w:t>
      </w:r>
      <w:r w:rsidR="00E8202C" w:rsidRPr="00167BA5">
        <w:rPr>
          <w:rFonts w:asciiTheme="minorHAnsi" w:hAnsiTheme="minorHAnsi" w:cstheme="minorHAnsi"/>
        </w:rPr>
        <w:t>Pre-Sub-Committee-Response</w:t>
      </w:r>
      <w:r w:rsidR="00E8202C" w:rsidRPr="00D03515">
        <w:t xml:space="preserve"> </w:t>
      </w:r>
      <w:r w:rsidR="00E8202C">
        <w:t>(</w:t>
      </w:r>
      <w:r w:rsidRPr="00D03515">
        <w:t>PSCR</w:t>
      </w:r>
      <w:r w:rsidR="00E8202C">
        <w:t>)</w:t>
      </w:r>
      <w:r w:rsidRPr="00D03515">
        <w:t xml:space="preserve"> noted that potassium level related mortality follows a U-shaped curve (Collins, 2017</w:t>
      </w:r>
      <w:r w:rsidR="001A0234" w:rsidRPr="00D03515">
        <w:rPr>
          <w:rStyle w:val="FootnoteReference"/>
        </w:rPr>
        <w:footnoteReference w:id="2"/>
      </w:r>
      <w:r w:rsidR="003D5910" w:rsidRPr="00D03515">
        <w:t xml:space="preserve">), with hypokalaemia also resulting in </w:t>
      </w:r>
      <w:r w:rsidR="00912BF5" w:rsidRPr="00D03515">
        <w:t xml:space="preserve">an increased risk of </w:t>
      </w:r>
      <w:r w:rsidR="003D5910" w:rsidRPr="00D03515">
        <w:t>death.</w:t>
      </w:r>
      <w:r w:rsidR="00900F55" w:rsidRPr="00D03515">
        <w:t xml:space="preserve"> The ESC noted that the predicted probability of mortality increased with potassium levels below 3.5 and above 6.0 mmol/L.</w:t>
      </w:r>
    </w:p>
    <w:p w:rsidR="00471489" w:rsidRPr="00291179" w:rsidRDefault="00471489" w:rsidP="00E74A7B">
      <w:pPr>
        <w:pStyle w:val="TableHeading0"/>
        <w:keepLines/>
        <w:suppressLineNumbers/>
        <w:suppressAutoHyphens/>
        <w:spacing w:after="0"/>
      </w:pPr>
      <w:r>
        <w:t>Figure 1: Hyperkalaemia mortality in selected risk and control populations</w:t>
      </w:r>
    </w:p>
    <w:p w:rsidR="00471489" w:rsidRDefault="00471489" w:rsidP="00E74A7B">
      <w:pPr>
        <w:keepNext/>
        <w:keepLines/>
        <w:widowControl/>
        <w:suppressLineNumbers/>
        <w:suppressAutoHyphens/>
      </w:pPr>
      <w:r>
        <w:rPr>
          <w:noProof/>
          <w:lang w:eastAsia="en-AU"/>
        </w:rPr>
        <w:drawing>
          <wp:inline distT="0" distB="0" distL="0" distR="0" wp14:anchorId="3B669E6B" wp14:editId="3103907A">
            <wp:extent cx="5670645" cy="3166281"/>
            <wp:effectExtent l="0" t="0" r="6350" b="0"/>
            <wp:docPr id="4" name="Picture 4" title="Figure 1: Hyperkalaemia mortality in selected risk and control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723"/>
                    <a:stretch/>
                  </pic:blipFill>
                  <pic:spPr bwMode="auto">
                    <a:xfrm>
                      <a:off x="0" y="0"/>
                      <a:ext cx="5671139" cy="3166557"/>
                    </a:xfrm>
                    <a:prstGeom prst="rect">
                      <a:avLst/>
                    </a:prstGeom>
                    <a:noFill/>
                    <a:ln>
                      <a:noFill/>
                    </a:ln>
                    <a:extLst>
                      <a:ext uri="{53640926-AAD7-44D8-BBD7-CCE9431645EC}">
                        <a14:shadowObscured xmlns:a14="http://schemas.microsoft.com/office/drawing/2010/main"/>
                      </a:ext>
                    </a:extLst>
                  </pic:spPr>
                </pic:pic>
              </a:graphicData>
            </a:graphic>
          </wp:inline>
        </w:drawing>
      </w:r>
    </w:p>
    <w:p w:rsidR="005D460D" w:rsidRDefault="005D460D" w:rsidP="00E74A7B">
      <w:pPr>
        <w:keepNext/>
        <w:keepLines/>
        <w:widowControl/>
        <w:suppressLineNumbers/>
        <w:suppressAutoHyphens/>
        <w:rPr>
          <w:rFonts w:ascii="Arial Narrow" w:hAnsi="Arial Narrow"/>
          <w:sz w:val="18"/>
          <w:szCs w:val="18"/>
        </w:rPr>
      </w:pPr>
      <w:r>
        <w:rPr>
          <w:rFonts w:ascii="Arial Narrow" w:hAnsi="Arial Narrow"/>
          <w:sz w:val="18"/>
          <w:szCs w:val="18"/>
        </w:rPr>
        <w:t>CKD = chronic kidney disease; DM = diabetes mellitus; HF = heart failure</w:t>
      </w:r>
    </w:p>
    <w:p w:rsidR="00471489" w:rsidRDefault="00471489" w:rsidP="00033AE8">
      <w:pPr>
        <w:keepNext/>
        <w:keepLines/>
        <w:widowControl/>
        <w:suppressLineNumbers/>
        <w:suppressAutoHyphens/>
        <w:spacing w:after="120"/>
        <w:rPr>
          <w:rFonts w:ascii="Arial Narrow" w:hAnsi="Arial Narrow"/>
          <w:sz w:val="18"/>
          <w:szCs w:val="18"/>
        </w:rPr>
      </w:pPr>
      <w:r w:rsidRPr="001A0234">
        <w:rPr>
          <w:rFonts w:ascii="Arial Narrow" w:hAnsi="Arial Narrow"/>
          <w:sz w:val="18"/>
          <w:szCs w:val="18"/>
        </w:rPr>
        <w:t>Source: PSCR, Attachment 2</w:t>
      </w:r>
    </w:p>
    <w:p w:rsidR="002C2775" w:rsidRPr="004E3503" w:rsidRDefault="007F7D2D" w:rsidP="00E74A7B">
      <w:pPr>
        <w:pStyle w:val="ListParagraph"/>
        <w:widowControl/>
        <w:numPr>
          <w:ilvl w:val="1"/>
          <w:numId w:val="3"/>
        </w:numPr>
        <w:spacing w:after="120"/>
      </w:pPr>
      <w:r>
        <w:t xml:space="preserve">Patiromer </w:t>
      </w:r>
      <w:r w:rsidRPr="00DB7404">
        <w:t>is a</w:t>
      </w:r>
      <w:r>
        <w:t>n insoluble</w:t>
      </w:r>
      <w:r w:rsidRPr="00DB7404">
        <w:t xml:space="preserve"> non-absorb</w:t>
      </w:r>
      <w:r>
        <w:t>able</w:t>
      </w:r>
      <w:r w:rsidRPr="00DB7404">
        <w:t xml:space="preserve">, cation exchange polymer </w:t>
      </w:r>
      <w:r>
        <w:t>that binds</w:t>
      </w:r>
      <w:r w:rsidRPr="00DB7404">
        <w:t xml:space="preserve"> </w:t>
      </w:r>
      <w:r>
        <w:t xml:space="preserve">and facilitates the </w:t>
      </w:r>
      <w:r w:rsidRPr="00DB7404">
        <w:t xml:space="preserve">excretion </w:t>
      </w:r>
      <w:r w:rsidR="000153CF">
        <w:t xml:space="preserve">of </w:t>
      </w:r>
      <w:r>
        <w:t xml:space="preserve">potassium </w:t>
      </w:r>
      <w:r w:rsidRPr="00DB7404">
        <w:t>through the gastrointestinal tract</w:t>
      </w:r>
      <w:r>
        <w:t>, reducing serum potassium levels</w:t>
      </w:r>
      <w:r w:rsidRPr="00DB7404">
        <w:t>.</w:t>
      </w:r>
      <w:r w:rsidR="00506905">
        <w:t xml:space="preserve"> </w:t>
      </w:r>
      <w:r w:rsidR="00506905" w:rsidRPr="00DB7404">
        <w:t xml:space="preserve">The proposed course of </w:t>
      </w:r>
      <w:r w:rsidR="00506905">
        <w:t xml:space="preserve">patiromer </w:t>
      </w:r>
      <w:r w:rsidR="00506905" w:rsidRPr="00DB7404">
        <w:t xml:space="preserve">treatment is </w:t>
      </w:r>
      <w:r w:rsidR="00506905">
        <w:t xml:space="preserve">continuing </w:t>
      </w:r>
      <w:r w:rsidR="00506905">
        <w:lastRenderedPageBreak/>
        <w:t>oral therapy</w:t>
      </w:r>
      <w:r w:rsidR="00506905" w:rsidRPr="00DB7404">
        <w:t xml:space="preserve"> </w:t>
      </w:r>
      <w:r w:rsidR="00506905">
        <w:t xml:space="preserve">commencing at </w:t>
      </w:r>
      <w:r w:rsidR="00506905" w:rsidRPr="00DB7404">
        <w:t xml:space="preserve">8.4 g </w:t>
      </w:r>
      <w:r w:rsidR="00506905">
        <w:t>once daily (taken with food)</w:t>
      </w:r>
      <w:r w:rsidR="00506905" w:rsidRPr="00DB7404">
        <w:t xml:space="preserve">, </w:t>
      </w:r>
      <w:r w:rsidR="00506905">
        <w:t xml:space="preserve">increased by </w:t>
      </w:r>
      <w:r w:rsidR="00506905" w:rsidRPr="00DB7404">
        <w:t>increments of 8.4</w:t>
      </w:r>
      <w:r w:rsidR="00506905">
        <w:t> </w:t>
      </w:r>
      <w:r w:rsidR="00506905" w:rsidRPr="00DB7404">
        <w:t xml:space="preserve">g as </w:t>
      </w:r>
      <w:r w:rsidR="00506905">
        <w:t>required at one week intervals</w:t>
      </w:r>
      <w:r w:rsidR="00506905" w:rsidRPr="00DB7404">
        <w:t xml:space="preserve"> up to a maximum dose of 25.2 g </w:t>
      </w:r>
      <w:r w:rsidR="00506905">
        <w:t xml:space="preserve">daily, if </w:t>
      </w:r>
      <w:r w:rsidR="00506905" w:rsidRPr="004E3503">
        <w:t xml:space="preserve">required. This is consistent with the patiromer Product Information. However, the Product Information also recommends that patiromer should only be initiated where serum potassium is not adequately controlled with dietary modification alone </w:t>
      </w:r>
      <w:r w:rsidR="00506905" w:rsidRPr="004E3503">
        <w:rPr>
          <w:szCs w:val="24"/>
        </w:rPr>
        <w:t>and should be reduced or discontinued when potassium levels fall below the desired range (not specified).</w:t>
      </w:r>
      <w:r w:rsidR="002C46C2">
        <w:t xml:space="preserve">  </w:t>
      </w:r>
    </w:p>
    <w:p w:rsidR="003F7E9D" w:rsidRDefault="003E31A7" w:rsidP="00E74A7B">
      <w:pPr>
        <w:pStyle w:val="ListParagraph"/>
        <w:widowControl/>
        <w:numPr>
          <w:ilvl w:val="1"/>
          <w:numId w:val="3"/>
        </w:numPr>
        <w:spacing w:after="120"/>
        <w:rPr>
          <w:rFonts w:asciiTheme="minorHAnsi" w:hAnsiTheme="minorHAnsi" w:cstheme="minorHAnsi"/>
        </w:rPr>
      </w:pPr>
      <w:r w:rsidRPr="004E3503">
        <w:rPr>
          <w:rFonts w:asciiTheme="minorHAnsi" w:hAnsiTheme="minorHAnsi" w:cstheme="minorHAnsi"/>
        </w:rPr>
        <w:t xml:space="preserve">The </w:t>
      </w:r>
      <w:r w:rsidR="003C74A2" w:rsidRPr="004E3503">
        <w:rPr>
          <w:rFonts w:asciiTheme="minorHAnsi" w:hAnsiTheme="minorHAnsi" w:cstheme="minorHAnsi"/>
        </w:rPr>
        <w:t xml:space="preserve">submission proposed </w:t>
      </w:r>
      <w:r w:rsidRPr="004E3503">
        <w:rPr>
          <w:rFonts w:asciiTheme="minorHAnsi" w:hAnsiTheme="minorHAnsi" w:cstheme="minorHAnsi"/>
        </w:rPr>
        <w:t>that all patients with CKD Stage 3+ treated with RAASi medicines (or indicated for a RAASi medicine but unable to tolerate this due to complications of hyperkalaemia) experiencing</w:t>
      </w:r>
      <w:r w:rsidR="00C41072">
        <w:rPr>
          <w:rFonts w:asciiTheme="minorHAnsi" w:hAnsiTheme="minorHAnsi" w:cstheme="minorHAnsi"/>
        </w:rPr>
        <w:t xml:space="preserve"> </w:t>
      </w:r>
      <w:r w:rsidRPr="004E3503">
        <w:rPr>
          <w:rFonts w:asciiTheme="minorHAnsi" w:hAnsiTheme="minorHAnsi" w:cstheme="minorHAnsi"/>
        </w:rPr>
        <w:t xml:space="preserve">hyperkalaemia </w:t>
      </w:r>
      <w:r w:rsidR="003C74A2" w:rsidRPr="004E3503">
        <w:rPr>
          <w:rFonts w:asciiTheme="minorHAnsi" w:hAnsiTheme="minorHAnsi" w:cstheme="minorHAnsi"/>
        </w:rPr>
        <w:t>should</w:t>
      </w:r>
      <w:r w:rsidRPr="004E3503">
        <w:rPr>
          <w:rFonts w:asciiTheme="minorHAnsi" w:hAnsiTheme="minorHAnsi" w:cstheme="minorHAnsi"/>
        </w:rPr>
        <w:t xml:space="preserve"> receive an acute intervention and then commence ongoing lifelong treatment with patiromer to prevent recurrence of hyperkalaemia and enable maximal RAASi therapy</w:t>
      </w:r>
      <w:r w:rsidR="00907715" w:rsidRPr="004E3503">
        <w:rPr>
          <w:rFonts w:asciiTheme="minorHAnsi" w:hAnsiTheme="minorHAnsi" w:cstheme="minorHAnsi"/>
        </w:rPr>
        <w:t xml:space="preserve">. </w:t>
      </w:r>
      <w:r w:rsidR="003C74A2" w:rsidRPr="004E3503">
        <w:rPr>
          <w:rFonts w:asciiTheme="minorHAnsi" w:hAnsiTheme="minorHAnsi" w:cstheme="minorHAnsi"/>
        </w:rPr>
        <w:t>The initiation of acute or long term pharmacological interventions when serum potassium levels are &gt; 5.0 mmol/L is not consistent with Australian clinical guidelines</w:t>
      </w:r>
      <w:r w:rsidR="00DB2111">
        <w:rPr>
          <w:rFonts w:asciiTheme="minorHAnsi" w:hAnsiTheme="minorHAnsi" w:cstheme="minorHAnsi"/>
        </w:rPr>
        <w:t>,</w:t>
      </w:r>
      <w:r w:rsidR="003C74A2" w:rsidRPr="004E3503">
        <w:rPr>
          <w:rFonts w:asciiTheme="minorHAnsi" w:hAnsiTheme="minorHAnsi" w:cstheme="minorHAnsi"/>
        </w:rPr>
        <w:t xml:space="preserve"> which suggest a target serum potassium of ≤ 6.0 mmol/L, dietary control as first line therapy, calcium or sodium polystyrene sulfonate resins for intermittent control of hyperkalaemia and acute intervention </w:t>
      </w:r>
      <w:r w:rsidR="00DB2111">
        <w:rPr>
          <w:rFonts w:asciiTheme="minorHAnsi" w:hAnsiTheme="minorHAnsi" w:cstheme="minorHAnsi"/>
        </w:rPr>
        <w:t xml:space="preserve">in the hospital setting </w:t>
      </w:r>
      <w:r w:rsidR="003C74A2" w:rsidRPr="004E3503">
        <w:rPr>
          <w:rFonts w:asciiTheme="minorHAnsi" w:hAnsiTheme="minorHAnsi" w:cstheme="minorHAnsi"/>
        </w:rPr>
        <w:t>if serum potassium is &gt;</w:t>
      </w:r>
      <w:r w:rsidR="006E52DB">
        <w:rPr>
          <w:rFonts w:asciiTheme="minorHAnsi" w:hAnsiTheme="minorHAnsi" w:cstheme="minorHAnsi"/>
        </w:rPr>
        <w:t> </w:t>
      </w:r>
      <w:r w:rsidR="003C74A2" w:rsidRPr="004E3503">
        <w:rPr>
          <w:rFonts w:asciiTheme="minorHAnsi" w:hAnsiTheme="minorHAnsi" w:cstheme="minorHAnsi"/>
        </w:rPr>
        <w:t>6.5 mmol/L (Chronic Kidney Disease Management in General Practice, KHA 2015</w:t>
      </w:r>
      <w:r w:rsidR="003C74A2" w:rsidRPr="00D03515">
        <w:rPr>
          <w:rFonts w:asciiTheme="minorHAnsi" w:hAnsiTheme="minorHAnsi" w:cstheme="minorHAnsi"/>
        </w:rPr>
        <w:t>).</w:t>
      </w:r>
      <w:r w:rsidR="00200BA7" w:rsidRPr="00D03515">
        <w:rPr>
          <w:rFonts w:asciiTheme="minorHAnsi" w:hAnsiTheme="minorHAnsi" w:cstheme="minorHAnsi"/>
        </w:rPr>
        <w:t xml:space="preserve"> </w:t>
      </w:r>
      <w:r w:rsidR="00DB2111" w:rsidRPr="00D03515">
        <w:rPr>
          <w:rFonts w:asciiTheme="minorHAnsi" w:hAnsiTheme="minorHAnsi" w:cstheme="minorHAnsi"/>
        </w:rPr>
        <w:t xml:space="preserve">The ESC </w:t>
      </w:r>
      <w:r w:rsidR="00C41072" w:rsidRPr="00D03515">
        <w:rPr>
          <w:rFonts w:asciiTheme="minorHAnsi" w:hAnsiTheme="minorHAnsi" w:cstheme="minorHAnsi"/>
        </w:rPr>
        <w:t>reiterated</w:t>
      </w:r>
      <w:r w:rsidR="00DB2111" w:rsidRPr="00D03515">
        <w:rPr>
          <w:rFonts w:asciiTheme="minorHAnsi" w:hAnsiTheme="minorHAnsi" w:cstheme="minorHAnsi"/>
        </w:rPr>
        <w:t xml:space="preserve"> that there are multiple treatment guidelines available</w:t>
      </w:r>
      <w:r w:rsidR="00C41072" w:rsidRPr="00D03515">
        <w:rPr>
          <w:rFonts w:asciiTheme="minorHAnsi" w:hAnsiTheme="minorHAnsi" w:cstheme="minorHAnsi"/>
          <w:vertAlign w:val="superscript"/>
        </w:rPr>
        <w:t>1</w:t>
      </w:r>
      <w:r w:rsidR="00DB2111" w:rsidRPr="00D03515">
        <w:rPr>
          <w:rFonts w:asciiTheme="minorHAnsi" w:hAnsiTheme="minorHAnsi" w:cstheme="minorHAnsi"/>
        </w:rPr>
        <w:t xml:space="preserve"> and </w:t>
      </w:r>
      <w:r w:rsidR="00C41072" w:rsidRPr="00D03515">
        <w:rPr>
          <w:rFonts w:asciiTheme="minorHAnsi" w:hAnsiTheme="minorHAnsi" w:cstheme="minorHAnsi"/>
        </w:rPr>
        <w:t xml:space="preserve">considered that the </w:t>
      </w:r>
      <w:r w:rsidR="00DB2111" w:rsidRPr="00D03515">
        <w:rPr>
          <w:rFonts w:asciiTheme="minorHAnsi" w:hAnsiTheme="minorHAnsi" w:cstheme="minorHAnsi"/>
        </w:rPr>
        <w:t>treatm</w:t>
      </w:r>
      <w:r w:rsidR="000153CF" w:rsidRPr="00D03515">
        <w:rPr>
          <w:rFonts w:asciiTheme="minorHAnsi" w:hAnsiTheme="minorHAnsi" w:cstheme="minorHAnsi"/>
        </w:rPr>
        <w:t>ent of hyperkalaemia is complex and may differ between different patient populations.</w:t>
      </w:r>
    </w:p>
    <w:p w:rsidR="009321DF" w:rsidRPr="009321DF" w:rsidRDefault="009321DF" w:rsidP="00E74A7B">
      <w:pPr>
        <w:pStyle w:val="PBACHeading1"/>
        <w:numPr>
          <w:ilvl w:val="0"/>
          <w:numId w:val="0"/>
        </w:numPr>
        <w:spacing w:after="120"/>
        <w:ind w:left="720"/>
        <w:rPr>
          <w:b w:val="0"/>
          <w:i/>
          <w:sz w:val="24"/>
        </w:rPr>
      </w:pPr>
      <w:r w:rsidRPr="009321DF">
        <w:rPr>
          <w:b w:val="0"/>
          <w:i/>
          <w:sz w:val="24"/>
        </w:rPr>
        <w:t>For more detail on PBAC’s view, see section 7 PBAC outcome.</w:t>
      </w:r>
    </w:p>
    <w:p w:rsidR="00B50DB8" w:rsidRPr="00407F2D" w:rsidRDefault="00B50DB8" w:rsidP="002A32A6">
      <w:pPr>
        <w:pStyle w:val="PBACHeading1"/>
        <w:spacing w:before="240" w:after="120"/>
        <w:outlineLvl w:val="0"/>
      </w:pPr>
      <w:bookmarkStart w:id="4" w:name="_Toc19703815"/>
      <w:r w:rsidRPr="00407F2D">
        <w:t>Comparator</w:t>
      </w:r>
      <w:bookmarkEnd w:id="4"/>
    </w:p>
    <w:p w:rsidR="004B1E4C" w:rsidRDefault="007D7129" w:rsidP="00E74A7B">
      <w:pPr>
        <w:pStyle w:val="ListParagraph"/>
        <w:widowControl/>
        <w:numPr>
          <w:ilvl w:val="1"/>
          <w:numId w:val="3"/>
        </w:numPr>
        <w:spacing w:after="120"/>
        <w:rPr>
          <w:rFonts w:cs="Calibri"/>
          <w:snapToGrid/>
          <w:szCs w:val="24"/>
          <w:lang w:val="en-US" w:eastAsia="en-AU"/>
        </w:rPr>
      </w:pPr>
      <w:r w:rsidRPr="004B1E4C">
        <w:rPr>
          <w:rFonts w:cs="Calibri"/>
          <w:snapToGrid/>
          <w:szCs w:val="24"/>
          <w:lang w:val="en-US" w:eastAsia="en-AU"/>
        </w:rPr>
        <w:t xml:space="preserve">The submission nominated placebo as the main comparator. The main arguments provided in support of this nomination </w:t>
      </w:r>
      <w:r w:rsidR="00CC71CC">
        <w:rPr>
          <w:rFonts w:cs="Calibri"/>
          <w:snapToGrid/>
          <w:szCs w:val="24"/>
          <w:lang w:val="en-US" w:eastAsia="en-AU"/>
        </w:rPr>
        <w:t xml:space="preserve">by the submission </w:t>
      </w:r>
      <w:r w:rsidRPr="004B1E4C">
        <w:rPr>
          <w:rFonts w:cs="Calibri"/>
          <w:snapToGrid/>
          <w:szCs w:val="24"/>
          <w:lang w:val="en-US" w:eastAsia="en-AU"/>
        </w:rPr>
        <w:t xml:space="preserve">were </w:t>
      </w:r>
      <w:r w:rsidR="00C371E9">
        <w:rPr>
          <w:rFonts w:cs="Calibri"/>
          <w:snapToGrid/>
          <w:szCs w:val="24"/>
          <w:lang w:val="en-US" w:eastAsia="en-AU"/>
        </w:rPr>
        <w:t>that:</w:t>
      </w:r>
    </w:p>
    <w:p w:rsidR="004B1E4C" w:rsidRDefault="004B1E4C" w:rsidP="00E74A7B">
      <w:pPr>
        <w:pStyle w:val="ListParagraph"/>
        <w:widowControl/>
        <w:numPr>
          <w:ilvl w:val="0"/>
          <w:numId w:val="6"/>
        </w:numPr>
        <w:spacing w:after="120"/>
        <w:ind w:left="1237" w:hanging="386"/>
        <w:rPr>
          <w:rFonts w:cs="Calibri"/>
          <w:snapToGrid/>
          <w:szCs w:val="24"/>
          <w:lang w:val="en-US" w:eastAsia="en-AU"/>
        </w:rPr>
      </w:pPr>
      <w:r>
        <w:rPr>
          <w:rFonts w:cs="Calibri"/>
          <w:snapToGrid/>
          <w:szCs w:val="24"/>
          <w:lang w:val="en-US" w:eastAsia="en-AU"/>
        </w:rPr>
        <w:t xml:space="preserve">available </w:t>
      </w:r>
      <w:r w:rsidRPr="004B1E4C">
        <w:rPr>
          <w:rFonts w:cs="Calibri"/>
          <w:snapToGrid/>
          <w:szCs w:val="24"/>
          <w:lang w:val="en-US" w:eastAsia="en-AU"/>
        </w:rPr>
        <w:t>effective treatments for hyperkalaemia (e.g. intravenous calci</w:t>
      </w:r>
      <w:r>
        <w:rPr>
          <w:rFonts w:cs="Calibri"/>
          <w:snapToGrid/>
          <w:szCs w:val="24"/>
          <w:lang w:val="en-US" w:eastAsia="en-AU"/>
        </w:rPr>
        <w:t>um, insulin</w:t>
      </w:r>
      <w:r w:rsidR="00EF0143">
        <w:rPr>
          <w:rFonts w:cs="Calibri"/>
          <w:snapToGrid/>
          <w:szCs w:val="24"/>
          <w:lang w:val="en-US" w:eastAsia="en-AU"/>
        </w:rPr>
        <w:t xml:space="preserve"> and glucose</w:t>
      </w:r>
      <w:r w:rsidRPr="004B1E4C">
        <w:rPr>
          <w:rFonts w:cs="Calibri"/>
          <w:snapToGrid/>
          <w:szCs w:val="24"/>
          <w:lang w:val="en-US" w:eastAsia="en-AU"/>
        </w:rPr>
        <w:t xml:space="preserve">, sodium bicarbonate, </w:t>
      </w:r>
      <w:r w:rsidR="00EF0143">
        <w:rPr>
          <w:rFonts w:cs="Calibri"/>
          <w:snapToGrid/>
          <w:szCs w:val="24"/>
          <w:lang w:val="en-US" w:eastAsia="en-AU"/>
        </w:rPr>
        <w:t xml:space="preserve">intravenous </w:t>
      </w:r>
      <w:r w:rsidRPr="004B1E4C">
        <w:rPr>
          <w:rFonts w:cs="Calibri"/>
          <w:snapToGrid/>
          <w:szCs w:val="24"/>
          <w:lang w:val="en-US" w:eastAsia="en-AU"/>
        </w:rPr>
        <w:t>loop diuretics and dialysis), are lim</w:t>
      </w:r>
      <w:r>
        <w:rPr>
          <w:rFonts w:cs="Calibri"/>
          <w:snapToGrid/>
          <w:szCs w:val="24"/>
          <w:lang w:val="en-US" w:eastAsia="en-AU"/>
        </w:rPr>
        <w:t>ited to acute hospital settings;</w:t>
      </w:r>
    </w:p>
    <w:p w:rsidR="007D7129" w:rsidRDefault="004B1E4C" w:rsidP="00E74A7B">
      <w:pPr>
        <w:pStyle w:val="ListParagraph"/>
        <w:widowControl/>
        <w:numPr>
          <w:ilvl w:val="0"/>
          <w:numId w:val="6"/>
        </w:numPr>
        <w:spacing w:after="120"/>
        <w:ind w:left="1237" w:hanging="386"/>
        <w:rPr>
          <w:rFonts w:cs="Calibri"/>
          <w:snapToGrid/>
          <w:szCs w:val="24"/>
          <w:lang w:val="en-US" w:eastAsia="en-AU"/>
        </w:rPr>
      </w:pPr>
      <w:r w:rsidRPr="004B1E4C">
        <w:rPr>
          <w:rFonts w:cs="Calibri"/>
          <w:snapToGrid/>
          <w:szCs w:val="24"/>
          <w:lang w:val="en-US" w:eastAsia="en-AU"/>
        </w:rPr>
        <w:t xml:space="preserve">potassium binding resins approved by the TGA for the treatment of hyperkalaemia in </w:t>
      </w:r>
      <w:r w:rsidR="00EF0143">
        <w:rPr>
          <w:rFonts w:cs="Calibri"/>
          <w:snapToGrid/>
          <w:szCs w:val="24"/>
          <w:lang w:val="en-US" w:eastAsia="en-AU"/>
        </w:rPr>
        <w:t xml:space="preserve">hospitals or in </w:t>
      </w:r>
      <w:r w:rsidRPr="004B1E4C">
        <w:rPr>
          <w:rFonts w:cs="Calibri"/>
          <w:snapToGrid/>
          <w:szCs w:val="24"/>
          <w:lang w:val="en-US" w:eastAsia="en-AU"/>
        </w:rPr>
        <w:t xml:space="preserve">less urgent community settings (sodium polystyrene sulfonate </w:t>
      </w:r>
      <w:r w:rsidR="0049186A">
        <w:rPr>
          <w:rFonts w:cs="Calibri"/>
          <w:snapToGrid/>
          <w:szCs w:val="24"/>
          <w:lang w:val="en-US" w:eastAsia="en-AU"/>
        </w:rPr>
        <w:t xml:space="preserve">(SPS) </w:t>
      </w:r>
      <w:r w:rsidRPr="004B1E4C">
        <w:rPr>
          <w:rFonts w:cs="Calibri"/>
          <w:snapToGrid/>
          <w:szCs w:val="24"/>
          <w:lang w:val="en-US" w:eastAsia="en-AU"/>
        </w:rPr>
        <w:t>and calcium polystyrene sulfonate</w:t>
      </w:r>
      <w:r w:rsidR="0049186A">
        <w:rPr>
          <w:rFonts w:cs="Calibri"/>
          <w:snapToGrid/>
          <w:szCs w:val="24"/>
          <w:lang w:val="en-US" w:eastAsia="en-AU"/>
        </w:rPr>
        <w:t xml:space="preserve"> (CPS)</w:t>
      </w:r>
      <w:r w:rsidRPr="004B1E4C">
        <w:rPr>
          <w:rFonts w:cs="Calibri"/>
          <w:snapToGrid/>
          <w:szCs w:val="24"/>
          <w:lang w:val="en-US" w:eastAsia="en-AU"/>
        </w:rPr>
        <w:t xml:space="preserve">) are unsuitable for chronic management, are contraindicated when serum potassium reaches &lt; 5.0 mmol/L and may be associated with poor gastrointestinal tolerability. </w:t>
      </w:r>
      <w:r>
        <w:rPr>
          <w:rFonts w:cs="Calibri"/>
          <w:snapToGrid/>
          <w:szCs w:val="24"/>
          <w:lang w:val="en-US" w:eastAsia="en-AU"/>
        </w:rPr>
        <w:t>S</w:t>
      </w:r>
      <w:r w:rsidRPr="004B1E4C">
        <w:rPr>
          <w:rFonts w:cs="Calibri"/>
          <w:snapToGrid/>
          <w:szCs w:val="24"/>
          <w:lang w:val="en-US" w:eastAsia="en-AU"/>
        </w:rPr>
        <w:t>odium polystyrene sulfonate is currently listed on the RPBS (Resonium-A</w:t>
      </w:r>
      <w:r w:rsidR="0044074F">
        <w:rPr>
          <w:rFonts w:cs="Calibri"/>
          <w:snapToGrid/>
          <w:szCs w:val="24"/>
          <w:lang w:val="en-US" w:eastAsia="en-AU"/>
        </w:rPr>
        <w:t>®</w:t>
      </w:r>
      <w:r w:rsidRPr="004B1E4C">
        <w:rPr>
          <w:rFonts w:cs="Calibri"/>
          <w:snapToGrid/>
          <w:szCs w:val="24"/>
          <w:lang w:val="en-US" w:eastAsia="en-AU"/>
        </w:rPr>
        <w:t>; Item 4470G)</w:t>
      </w:r>
      <w:r>
        <w:rPr>
          <w:rFonts w:cs="Calibri"/>
          <w:snapToGrid/>
          <w:szCs w:val="24"/>
          <w:lang w:val="en-US" w:eastAsia="en-AU"/>
        </w:rPr>
        <w:t>; and</w:t>
      </w:r>
    </w:p>
    <w:p w:rsidR="004B1E4C" w:rsidRPr="004B1E4C" w:rsidRDefault="00CB0A0E" w:rsidP="00E74A7B">
      <w:pPr>
        <w:pStyle w:val="ListParagraph"/>
        <w:widowControl/>
        <w:numPr>
          <w:ilvl w:val="0"/>
          <w:numId w:val="6"/>
        </w:numPr>
        <w:spacing w:after="120"/>
        <w:ind w:left="1237" w:hanging="386"/>
        <w:rPr>
          <w:rFonts w:cs="Calibri"/>
          <w:snapToGrid/>
          <w:szCs w:val="24"/>
          <w:lang w:val="en-US" w:eastAsia="en-AU"/>
        </w:rPr>
      </w:pPr>
      <w:r>
        <w:rPr>
          <w:rFonts w:cs="Calibri"/>
          <w:snapToGrid/>
          <w:szCs w:val="24"/>
          <w:lang w:val="en-US" w:eastAsia="en-AU"/>
        </w:rPr>
        <w:t>SPS</w:t>
      </w:r>
      <w:r w:rsidR="004B1E4C" w:rsidRPr="004B1E4C">
        <w:rPr>
          <w:rFonts w:cs="Calibri"/>
          <w:snapToGrid/>
          <w:szCs w:val="24"/>
          <w:lang w:val="en-US" w:eastAsia="en-AU"/>
        </w:rPr>
        <w:t xml:space="preserve"> and </w:t>
      </w:r>
      <w:r>
        <w:rPr>
          <w:rFonts w:cs="Calibri"/>
          <w:snapToGrid/>
          <w:szCs w:val="24"/>
          <w:lang w:val="en-US" w:eastAsia="en-AU"/>
        </w:rPr>
        <w:t>CPS</w:t>
      </w:r>
      <w:r w:rsidR="004B1E4C" w:rsidRPr="004B1E4C">
        <w:rPr>
          <w:rFonts w:cs="Calibri"/>
          <w:snapToGrid/>
          <w:szCs w:val="24"/>
          <w:lang w:val="en-US" w:eastAsia="en-AU"/>
        </w:rPr>
        <w:t xml:space="preserve"> are supported by poor clinical data.</w:t>
      </w:r>
    </w:p>
    <w:p w:rsidR="00F009AE" w:rsidRPr="00D03515" w:rsidRDefault="00F009AE" w:rsidP="00E74A7B">
      <w:pPr>
        <w:pStyle w:val="ListParagraph"/>
        <w:widowControl/>
        <w:numPr>
          <w:ilvl w:val="1"/>
          <w:numId w:val="3"/>
        </w:numPr>
        <w:spacing w:after="120"/>
      </w:pPr>
      <w:r w:rsidRPr="00D03515">
        <w:t>The PSCR stated that placebo was a proxy for standard of care, and that this would incorporate guideline recommended doses of RAASi medications and dietary restriction of potassium intake.</w:t>
      </w:r>
    </w:p>
    <w:p w:rsidR="00885B3A" w:rsidRDefault="00704F82" w:rsidP="00E74A7B">
      <w:pPr>
        <w:pStyle w:val="ListParagraph"/>
        <w:widowControl/>
        <w:numPr>
          <w:ilvl w:val="1"/>
          <w:numId w:val="3"/>
        </w:numPr>
        <w:spacing w:after="120"/>
      </w:pPr>
      <w:r w:rsidRPr="00D03515">
        <w:t>The ESC considered the submission’s nominated comparator</w:t>
      </w:r>
      <w:r w:rsidR="007D4BD9" w:rsidRPr="00D03515">
        <w:t xml:space="preserve"> was inadequately justified</w:t>
      </w:r>
      <w:r w:rsidRPr="00D03515">
        <w:t xml:space="preserve">. </w:t>
      </w:r>
      <w:r w:rsidR="004D3F3F" w:rsidRPr="00D03515">
        <w:t>The</w:t>
      </w:r>
      <w:r w:rsidRPr="00D03515">
        <w:t xml:space="preserve"> ESC noted that alternative strategies most commonly used to manage </w:t>
      </w:r>
      <w:r w:rsidRPr="00D03515">
        <w:lastRenderedPageBreak/>
        <w:t>hyperkalaemia, such as diet modification</w:t>
      </w:r>
      <w:r w:rsidR="003D3F72" w:rsidRPr="00D03515">
        <w:t xml:space="preserve"> and medication management</w:t>
      </w:r>
      <w:r w:rsidR="0044074F" w:rsidRPr="00D03515">
        <w:t>,</w:t>
      </w:r>
      <w:r w:rsidRPr="00D03515">
        <w:t xml:space="preserve"> were not </w:t>
      </w:r>
      <w:r w:rsidR="000153CF" w:rsidRPr="00D03515">
        <w:t xml:space="preserve">specifically </w:t>
      </w:r>
      <w:r w:rsidRPr="00D03515">
        <w:t xml:space="preserve">discussed in the submission.  </w:t>
      </w:r>
      <w:r w:rsidR="0044074F" w:rsidRPr="00D03515">
        <w:t xml:space="preserve">In addition, the </w:t>
      </w:r>
      <w:r w:rsidR="0049186A" w:rsidRPr="00D03515">
        <w:t xml:space="preserve">ESC </w:t>
      </w:r>
      <w:r w:rsidR="00CB0A0E" w:rsidRPr="00D03515">
        <w:t>considered</w:t>
      </w:r>
      <w:r w:rsidR="0049186A" w:rsidRPr="00D03515">
        <w:t xml:space="preserve"> that</w:t>
      </w:r>
      <w:r w:rsidR="00CB0A0E" w:rsidRPr="00D03515">
        <w:t xml:space="preserve"> the submission did</w:t>
      </w:r>
      <w:r w:rsidR="0049186A" w:rsidRPr="00D03515">
        <w:t xml:space="preserve"> not adequately </w:t>
      </w:r>
      <w:r w:rsidR="00CB0A0E" w:rsidRPr="00D03515">
        <w:t>demonstrate that</w:t>
      </w:r>
      <w:r w:rsidR="0049186A" w:rsidRPr="00D03515">
        <w:t xml:space="preserve"> intermittent use of existing polystyrene resins was inappropriate in </w:t>
      </w:r>
      <w:r w:rsidR="00930C04">
        <w:t xml:space="preserve">patients with CKD who experience </w:t>
      </w:r>
      <w:r w:rsidR="0049186A" w:rsidRPr="00D03515">
        <w:t>hyperkalaemia</w:t>
      </w:r>
      <w:r w:rsidR="0044074F" w:rsidRPr="00D03515">
        <w:t xml:space="preserve">. The ESC </w:t>
      </w:r>
      <w:r w:rsidR="0049186A" w:rsidRPr="00D03515">
        <w:t xml:space="preserve">noted that </w:t>
      </w:r>
      <w:r w:rsidR="000153CF" w:rsidRPr="00D03515">
        <w:t xml:space="preserve">it is not </w:t>
      </w:r>
      <w:r w:rsidR="00287D5B" w:rsidRPr="00D03515">
        <w:t>uncommon</w:t>
      </w:r>
      <w:r w:rsidR="000153CF" w:rsidRPr="00D03515">
        <w:t xml:space="preserve"> for </w:t>
      </w:r>
      <w:r w:rsidR="0044074F" w:rsidRPr="00D03515">
        <w:t xml:space="preserve">clinicians </w:t>
      </w:r>
      <w:r w:rsidR="000153CF" w:rsidRPr="00D03515">
        <w:t xml:space="preserve">to </w:t>
      </w:r>
      <w:r w:rsidR="0044074F" w:rsidRPr="00D03515">
        <w:t xml:space="preserve">use </w:t>
      </w:r>
      <w:r w:rsidR="0049186A" w:rsidRPr="00D03515">
        <w:t>small maintenance doses of SPS to control chronic hyperkalaemia</w:t>
      </w:r>
      <w:r w:rsidR="00930C04">
        <w:t>. The ESC</w:t>
      </w:r>
      <w:r w:rsidR="0044074F" w:rsidRPr="00D03515">
        <w:t xml:space="preserve"> identified </w:t>
      </w:r>
      <w:r w:rsidR="0049186A" w:rsidRPr="00D03515">
        <w:t xml:space="preserve">a small retrospective study </w:t>
      </w:r>
      <w:r w:rsidR="0044074F" w:rsidRPr="00D03515">
        <w:t xml:space="preserve">using </w:t>
      </w:r>
      <w:r w:rsidR="00311036" w:rsidRPr="00D03515">
        <w:t>SPS</w:t>
      </w:r>
      <w:r w:rsidR="002773E4" w:rsidRPr="00D03515">
        <w:rPr>
          <w:rStyle w:val="FootnoteReference"/>
        </w:rPr>
        <w:footnoteReference w:id="3"/>
      </w:r>
      <w:r w:rsidR="0049186A" w:rsidRPr="00D03515">
        <w:t xml:space="preserve"> and a moderate sized retrospective study </w:t>
      </w:r>
      <w:r w:rsidR="0044074F" w:rsidRPr="00D03515">
        <w:t xml:space="preserve">using </w:t>
      </w:r>
      <w:r w:rsidR="0049186A" w:rsidRPr="00D03515">
        <w:t>CPS</w:t>
      </w:r>
      <w:r w:rsidR="002773E4" w:rsidRPr="00D03515">
        <w:rPr>
          <w:rStyle w:val="FootnoteReference"/>
        </w:rPr>
        <w:footnoteReference w:id="4"/>
      </w:r>
      <w:r w:rsidR="0049186A" w:rsidRPr="00D03515">
        <w:t xml:space="preserve"> for the chronic management of hyperkalaemia.  No significant safety issues were noted in </w:t>
      </w:r>
      <w:r w:rsidR="00311036" w:rsidRPr="00D03515">
        <w:t xml:space="preserve">either of </w:t>
      </w:r>
      <w:r w:rsidR="0049186A" w:rsidRPr="00D03515">
        <w:t>these studies to 12 months.</w:t>
      </w:r>
      <w:r w:rsidR="000153CF" w:rsidRPr="00D03515">
        <w:t xml:space="preserve"> </w:t>
      </w:r>
      <w:r w:rsidR="00A478FB">
        <w:t xml:space="preserve">In addition, </w:t>
      </w:r>
      <w:r w:rsidR="00A478FB" w:rsidRPr="00A478FB">
        <w:rPr>
          <w:color w:val="000000" w:themeColor="text1"/>
        </w:rPr>
        <w:t>DUSC noted research</w:t>
      </w:r>
      <w:r w:rsidR="00A478FB" w:rsidRPr="00A478FB">
        <w:rPr>
          <w:rStyle w:val="FootnoteReference"/>
          <w:color w:val="000000" w:themeColor="text1"/>
        </w:rPr>
        <w:footnoteReference w:id="5"/>
      </w:r>
      <w:r w:rsidR="007F4C79">
        <w:rPr>
          <w:color w:val="000000" w:themeColor="text1"/>
        </w:rPr>
        <w:t>,</w:t>
      </w:r>
      <w:r w:rsidR="00A478FB">
        <w:rPr>
          <w:color w:val="000000" w:themeColor="text1"/>
        </w:rPr>
        <w:t xml:space="preserve"> which </w:t>
      </w:r>
      <w:r w:rsidR="00A478FB" w:rsidRPr="00A478FB">
        <w:rPr>
          <w:color w:val="000000" w:themeColor="text1"/>
        </w:rPr>
        <w:t>evaluat</w:t>
      </w:r>
      <w:r w:rsidR="00A478FB">
        <w:rPr>
          <w:color w:val="000000" w:themeColor="text1"/>
        </w:rPr>
        <w:t>ed</w:t>
      </w:r>
      <w:r w:rsidR="00A478FB" w:rsidRPr="00A478FB">
        <w:rPr>
          <w:color w:val="000000" w:themeColor="text1"/>
        </w:rPr>
        <w:t xml:space="preserve"> the chronic use of SPS (Resonium</w:t>
      </w:r>
      <w:r w:rsidR="00FA2F01">
        <w:rPr>
          <w:color w:val="000000" w:themeColor="text1"/>
        </w:rPr>
        <w:t>-A</w:t>
      </w:r>
      <w:r w:rsidR="00A478FB">
        <w:rPr>
          <w:rFonts w:cs="Calibri"/>
          <w:color w:val="000000" w:themeColor="text1"/>
        </w:rPr>
        <w:t>®</w:t>
      </w:r>
      <w:r w:rsidR="00A478FB" w:rsidRPr="00A478FB">
        <w:rPr>
          <w:color w:val="000000" w:themeColor="text1"/>
        </w:rPr>
        <w:t xml:space="preserve">) in chronic kidney disease patients focusing on </w:t>
      </w:r>
      <w:r w:rsidR="00A478FB">
        <w:rPr>
          <w:color w:val="000000" w:themeColor="text1"/>
        </w:rPr>
        <w:t>r</w:t>
      </w:r>
      <w:r w:rsidR="00A478FB" w:rsidRPr="00A478FB">
        <w:rPr>
          <w:color w:val="000000" w:themeColor="text1"/>
        </w:rPr>
        <w:t>enin-</w:t>
      </w:r>
      <w:r w:rsidR="00A478FB">
        <w:rPr>
          <w:color w:val="000000" w:themeColor="text1"/>
        </w:rPr>
        <w:t>a</w:t>
      </w:r>
      <w:r w:rsidR="00A478FB" w:rsidRPr="00A478FB">
        <w:rPr>
          <w:color w:val="000000" w:themeColor="text1"/>
        </w:rPr>
        <w:t>ngiotensin-</w:t>
      </w:r>
      <w:r w:rsidR="00A478FB">
        <w:rPr>
          <w:color w:val="000000" w:themeColor="text1"/>
        </w:rPr>
        <w:t>a</w:t>
      </w:r>
      <w:r w:rsidR="00A478FB" w:rsidRPr="00A478FB">
        <w:rPr>
          <w:color w:val="000000" w:themeColor="text1"/>
        </w:rPr>
        <w:t xml:space="preserve">ldosterone inhibition. DUSC </w:t>
      </w:r>
      <w:r w:rsidR="00A478FB">
        <w:rPr>
          <w:color w:val="000000" w:themeColor="text1"/>
        </w:rPr>
        <w:t>considered that</w:t>
      </w:r>
      <w:r w:rsidR="00A478FB" w:rsidRPr="00A478FB">
        <w:rPr>
          <w:color w:val="000000" w:themeColor="text1"/>
        </w:rPr>
        <w:t xml:space="preserve"> the findings from this study </w:t>
      </w:r>
      <w:r w:rsidR="00A478FB">
        <w:rPr>
          <w:color w:val="000000" w:themeColor="text1"/>
        </w:rPr>
        <w:t xml:space="preserve">indicated </w:t>
      </w:r>
      <w:r w:rsidR="00A478FB" w:rsidRPr="00A478FB">
        <w:rPr>
          <w:color w:val="000000" w:themeColor="text1"/>
        </w:rPr>
        <w:t xml:space="preserve">that chronic use of SPS is safe and eases a barrier in full RAASi implementation in CKD with reasonable compliance. </w:t>
      </w:r>
    </w:p>
    <w:p w:rsidR="003D3FBF" w:rsidRDefault="00885B3A" w:rsidP="00E74A7B">
      <w:pPr>
        <w:pStyle w:val="ListParagraph"/>
        <w:widowControl/>
        <w:numPr>
          <w:ilvl w:val="1"/>
          <w:numId w:val="3"/>
        </w:numPr>
        <w:spacing w:after="120"/>
      </w:pPr>
      <w:r>
        <w:t>The pre-PBAC response stated that intermittent use of SPS or CPS to manage recurrent hyperkalaemia was clinically unrealistic, as it would necessitate high patient compliance and frequent serum potassium monitoring.</w:t>
      </w:r>
    </w:p>
    <w:p w:rsidR="00775F05" w:rsidRDefault="00775F05" w:rsidP="00E74A7B">
      <w:pPr>
        <w:pStyle w:val="ListParagraph"/>
        <w:widowControl/>
        <w:numPr>
          <w:ilvl w:val="1"/>
          <w:numId w:val="3"/>
        </w:numPr>
        <w:spacing w:after="120"/>
      </w:pPr>
      <w:r>
        <w:t>The PBAC</w:t>
      </w:r>
      <w:r w:rsidR="006578C0">
        <w:t>,</w:t>
      </w:r>
      <w:r>
        <w:t xml:space="preserve"> acknowledg</w:t>
      </w:r>
      <w:r w:rsidR="006578C0">
        <w:t>ing</w:t>
      </w:r>
      <w:r>
        <w:t xml:space="preserve"> the limitations of the clinical data supporting the use of </w:t>
      </w:r>
      <w:r w:rsidR="006578C0">
        <w:t xml:space="preserve">SPS and CPS </w:t>
      </w:r>
      <w:r>
        <w:t xml:space="preserve">and </w:t>
      </w:r>
      <w:r w:rsidR="006578C0">
        <w:t xml:space="preserve">noting </w:t>
      </w:r>
      <w:r>
        <w:t>that the</w:t>
      </w:r>
      <w:r w:rsidRPr="00775F05">
        <w:rPr>
          <w:rFonts w:cs="Calibri"/>
          <w:snapToGrid/>
          <w:szCs w:val="24"/>
          <w:lang w:val="en-US" w:eastAsia="en-AU"/>
        </w:rPr>
        <w:t xml:space="preserve"> </w:t>
      </w:r>
      <w:r>
        <w:rPr>
          <w:rFonts w:cs="Calibri"/>
          <w:snapToGrid/>
          <w:szCs w:val="24"/>
          <w:lang w:val="en-US" w:eastAsia="en-AU"/>
        </w:rPr>
        <w:t xml:space="preserve">Product Information </w:t>
      </w:r>
      <w:r w:rsidR="006578C0">
        <w:rPr>
          <w:rFonts w:cs="Calibri"/>
          <w:snapToGrid/>
          <w:szCs w:val="24"/>
          <w:lang w:val="en-US" w:eastAsia="en-AU"/>
        </w:rPr>
        <w:t>for Resonium</w:t>
      </w:r>
      <w:r w:rsidR="00FA2F01">
        <w:rPr>
          <w:rFonts w:cs="Calibri"/>
          <w:snapToGrid/>
          <w:szCs w:val="24"/>
          <w:lang w:val="en-US" w:eastAsia="en-AU"/>
        </w:rPr>
        <w:t>-A</w:t>
      </w:r>
      <w:r w:rsidR="006578C0">
        <w:rPr>
          <w:rFonts w:cs="Calibri"/>
          <w:snapToGrid/>
          <w:szCs w:val="24"/>
          <w:lang w:val="en-US" w:eastAsia="en-AU"/>
        </w:rPr>
        <w:t xml:space="preserve">® </w:t>
      </w:r>
      <w:r>
        <w:rPr>
          <w:rFonts w:cs="Calibri"/>
          <w:snapToGrid/>
          <w:szCs w:val="24"/>
          <w:lang w:val="en-US" w:eastAsia="en-AU"/>
        </w:rPr>
        <w:t xml:space="preserve">states that it is </w:t>
      </w:r>
      <w:r w:rsidRPr="004B1E4C">
        <w:rPr>
          <w:rFonts w:cs="Calibri"/>
          <w:snapToGrid/>
          <w:szCs w:val="24"/>
          <w:lang w:val="en-US" w:eastAsia="en-AU"/>
        </w:rPr>
        <w:t xml:space="preserve">contraindicated when serum potassium </w:t>
      </w:r>
      <w:r w:rsidR="006578C0">
        <w:rPr>
          <w:rFonts w:cs="Calibri"/>
          <w:snapToGrid/>
          <w:szCs w:val="24"/>
          <w:lang w:val="en-US" w:eastAsia="en-AU"/>
        </w:rPr>
        <w:t>falls below</w:t>
      </w:r>
      <w:r w:rsidRPr="004B1E4C">
        <w:rPr>
          <w:rFonts w:cs="Calibri"/>
          <w:snapToGrid/>
          <w:szCs w:val="24"/>
          <w:lang w:val="en-US" w:eastAsia="en-AU"/>
        </w:rPr>
        <w:t xml:space="preserve"> 5.0 mmol/L</w:t>
      </w:r>
      <w:r>
        <w:t>, considered that</w:t>
      </w:r>
      <w:r w:rsidRPr="00775F05">
        <w:t xml:space="preserve"> </w:t>
      </w:r>
      <w:r>
        <w:t xml:space="preserve">SPS </w:t>
      </w:r>
      <w:r w:rsidR="00FA2F01">
        <w:t>is</w:t>
      </w:r>
      <w:r>
        <w:t xml:space="preserve"> </w:t>
      </w:r>
      <w:r w:rsidR="00930C04">
        <w:t xml:space="preserve">nevertheless </w:t>
      </w:r>
      <w:r>
        <w:t xml:space="preserve">widely used in </w:t>
      </w:r>
      <w:r w:rsidR="00E60036">
        <w:t xml:space="preserve">Australian </w:t>
      </w:r>
      <w:r>
        <w:t>clinical practice</w:t>
      </w:r>
      <w:r w:rsidR="006578C0">
        <w:t xml:space="preserve"> to control hyperkalaemia, particularly on an intermit</w:t>
      </w:r>
      <w:r>
        <w:t xml:space="preserve">tent </w:t>
      </w:r>
      <w:r w:rsidR="006578C0">
        <w:t>basis</w:t>
      </w:r>
      <w:r>
        <w:t xml:space="preserve">.  </w:t>
      </w:r>
    </w:p>
    <w:p w:rsidR="009321DF" w:rsidRDefault="009321DF" w:rsidP="00E74A7B">
      <w:pPr>
        <w:pStyle w:val="PBACHeading1"/>
        <w:numPr>
          <w:ilvl w:val="0"/>
          <w:numId w:val="0"/>
        </w:numPr>
        <w:spacing w:after="120"/>
        <w:ind w:left="720"/>
        <w:rPr>
          <w:b w:val="0"/>
          <w:i/>
          <w:sz w:val="24"/>
        </w:rPr>
      </w:pPr>
      <w:r w:rsidRPr="009321DF">
        <w:rPr>
          <w:b w:val="0"/>
          <w:i/>
          <w:sz w:val="24"/>
        </w:rPr>
        <w:t>For more detail on PBAC’s view, see section 7 PBAC outcome.</w:t>
      </w:r>
    </w:p>
    <w:p w:rsidR="00B50DB8" w:rsidRDefault="00BD6CF3" w:rsidP="002A32A6">
      <w:pPr>
        <w:pStyle w:val="PBACHeading1"/>
        <w:spacing w:before="240" w:after="120"/>
        <w:outlineLvl w:val="0"/>
      </w:pPr>
      <w:bookmarkStart w:id="5" w:name="_Toc19703816"/>
      <w:r>
        <w:t>C</w:t>
      </w:r>
      <w:r w:rsidR="00B50DB8" w:rsidRPr="00407F2D">
        <w:t>onsideration of the evidence</w:t>
      </w:r>
      <w:bookmarkEnd w:id="5"/>
    </w:p>
    <w:p w:rsidR="001B2B81" w:rsidRDefault="001B2B81" w:rsidP="00E74A7B">
      <w:pPr>
        <w:pStyle w:val="Heading2"/>
        <w:widowControl/>
        <w:spacing w:after="120"/>
      </w:pPr>
      <w:r>
        <w:t>Sponsor hearing</w:t>
      </w:r>
    </w:p>
    <w:p w:rsidR="001B2B81" w:rsidRDefault="00FE3DF4" w:rsidP="00E74A7B">
      <w:pPr>
        <w:pStyle w:val="ListParagraph"/>
        <w:widowControl/>
        <w:numPr>
          <w:ilvl w:val="1"/>
          <w:numId w:val="3"/>
        </w:numPr>
        <w:spacing w:after="120"/>
      </w:pPr>
      <w:r>
        <w:t>There was no hearing for this item.</w:t>
      </w:r>
    </w:p>
    <w:p w:rsidR="009321DF" w:rsidRPr="009321DF" w:rsidRDefault="009321DF" w:rsidP="00E74A7B">
      <w:pPr>
        <w:pStyle w:val="Heading2"/>
        <w:widowControl/>
        <w:spacing w:after="120"/>
      </w:pPr>
      <w:r w:rsidRPr="00836F75">
        <w:t>Consumer comments</w:t>
      </w:r>
    </w:p>
    <w:p w:rsidR="009321DF" w:rsidRDefault="009321DF" w:rsidP="00E74A7B">
      <w:pPr>
        <w:pStyle w:val="ListParagraph"/>
        <w:widowControl/>
        <w:numPr>
          <w:ilvl w:val="1"/>
          <w:numId w:val="3"/>
        </w:numPr>
        <w:spacing w:after="120"/>
      </w:pPr>
      <w:r w:rsidRPr="009321DF">
        <w:t>The PBAC noted and welcomed the input fr</w:t>
      </w:r>
      <w:r w:rsidR="00E06137">
        <w:t>om health care professionals (2</w:t>
      </w:r>
      <w:r w:rsidRPr="009321DF">
        <w:t>) and organisations (1) via the Consumer Comments facility on the PBS website.  The comments described</w:t>
      </w:r>
      <w:r w:rsidR="00E06137">
        <w:t xml:space="preserve"> the primary benefit</w:t>
      </w:r>
      <w:r w:rsidRPr="009321DF">
        <w:t xml:space="preserve"> of treatment with </w:t>
      </w:r>
      <w:r w:rsidR="00E06137">
        <w:t xml:space="preserve">patiromer </w:t>
      </w:r>
      <w:r w:rsidR="00CC71CC">
        <w:t xml:space="preserve">as </w:t>
      </w:r>
      <w:r w:rsidR="00E06137">
        <w:t>prolonging/optimising the use of RA</w:t>
      </w:r>
      <w:r w:rsidR="00930C04">
        <w:t>A</w:t>
      </w:r>
      <w:r w:rsidR="00E06137">
        <w:t>Si medications in patients with CKD, thereby delaying progression of the disease and prolonging time to dialysis</w:t>
      </w:r>
      <w:r w:rsidRPr="009321DF">
        <w:t>.</w:t>
      </w:r>
      <w:r w:rsidR="00CE3645">
        <w:t xml:space="preserve"> </w:t>
      </w:r>
    </w:p>
    <w:p w:rsidR="009321DF" w:rsidRPr="00407F2D" w:rsidRDefault="00CE3645" w:rsidP="00E74A7B">
      <w:pPr>
        <w:pStyle w:val="ListParagraph"/>
        <w:numPr>
          <w:ilvl w:val="1"/>
          <w:numId w:val="3"/>
        </w:numPr>
        <w:spacing w:after="120"/>
      </w:pPr>
      <w:r w:rsidRPr="00CE3645">
        <w:lastRenderedPageBreak/>
        <w:t xml:space="preserve">The PBAC noted the advice received from </w:t>
      </w:r>
      <w:r>
        <w:t>the Centre of Community Driven Research</w:t>
      </w:r>
      <w:r w:rsidR="00CC71CC">
        <w:t xml:space="preserve"> that </w:t>
      </w:r>
      <w:r w:rsidR="00E34AC7">
        <w:t xml:space="preserve">identified that baseline health for patients with hyperkalaemia was poorer in terms of physical functioning, social functioning and general health. </w:t>
      </w:r>
    </w:p>
    <w:p w:rsidR="00B60939" w:rsidRDefault="00B60939" w:rsidP="00E74A7B">
      <w:pPr>
        <w:pStyle w:val="Heading2"/>
        <w:keepNext/>
        <w:widowControl/>
        <w:spacing w:after="120"/>
      </w:pPr>
      <w:bookmarkStart w:id="6" w:name="_Toc19703817"/>
      <w:r w:rsidRPr="00C9624D">
        <w:t>Clinical trials</w:t>
      </w:r>
      <w:bookmarkEnd w:id="6"/>
    </w:p>
    <w:p w:rsidR="009C421E" w:rsidRDefault="009C421E" w:rsidP="00E74A7B">
      <w:pPr>
        <w:pStyle w:val="ListParagraph"/>
        <w:keepNext/>
        <w:widowControl/>
        <w:numPr>
          <w:ilvl w:val="1"/>
          <w:numId w:val="3"/>
        </w:numPr>
        <w:spacing w:after="120"/>
      </w:pPr>
      <w:r>
        <w:t xml:space="preserve">The submission was based on one </w:t>
      </w:r>
      <w:r w:rsidR="00E34AC7">
        <w:t>P</w:t>
      </w:r>
      <w:r>
        <w:t xml:space="preserve">hase III and two </w:t>
      </w:r>
      <w:r w:rsidR="00E34AC7">
        <w:t>P</w:t>
      </w:r>
      <w:r>
        <w:t>hase II studies of adult patients with hyperkalaemia or a recent history of hyperkalaemia:</w:t>
      </w:r>
    </w:p>
    <w:p w:rsidR="007F1017" w:rsidRDefault="009C421E" w:rsidP="00E74A7B">
      <w:pPr>
        <w:pStyle w:val="ListParagraph"/>
        <w:widowControl/>
        <w:numPr>
          <w:ilvl w:val="0"/>
          <w:numId w:val="7"/>
        </w:numPr>
        <w:spacing w:after="120"/>
        <w:ind w:left="1237" w:hanging="386"/>
      </w:pPr>
      <w:r>
        <w:t xml:space="preserve">OPAL-HK: a two part phase III dosing/withdrawal study of </w:t>
      </w:r>
      <w:r w:rsidRPr="00D32373">
        <w:t xml:space="preserve">adult patients with </w:t>
      </w:r>
      <w:r>
        <w:t>CKD related hyperkalaemia,</w:t>
      </w:r>
      <w:r w:rsidRPr="00D32373">
        <w:t xml:space="preserve"> receiving RAASi medications </w:t>
      </w:r>
      <w:r>
        <w:t>and treated with</w:t>
      </w:r>
      <w:r w:rsidRPr="00D32373">
        <w:t xml:space="preserve"> patiromer</w:t>
      </w:r>
      <w:r>
        <w:t>.</w:t>
      </w:r>
    </w:p>
    <w:p w:rsidR="009C421E" w:rsidRDefault="009C421E" w:rsidP="00E74A7B">
      <w:pPr>
        <w:pStyle w:val="ListParagraph"/>
        <w:widowControl/>
        <w:numPr>
          <w:ilvl w:val="0"/>
          <w:numId w:val="7"/>
        </w:numPr>
        <w:spacing w:after="120"/>
        <w:ind w:left="1237" w:hanging="386"/>
      </w:pPr>
      <w:r>
        <w:t>PEARL-HF: a randomised placebo controlled phase II study of adult patients with chronic heart failure and a history of hyperkalaemia resulting in discontinuation of a RAASi and/or a beta-adrenergic blocking agent, or CKD</w:t>
      </w:r>
      <w:r w:rsidR="00C371E9">
        <w:t>.</w:t>
      </w:r>
    </w:p>
    <w:p w:rsidR="009C421E" w:rsidRPr="009C421E" w:rsidRDefault="009C421E" w:rsidP="00E74A7B">
      <w:pPr>
        <w:pStyle w:val="ListParagraph"/>
        <w:widowControl/>
        <w:numPr>
          <w:ilvl w:val="0"/>
          <w:numId w:val="7"/>
        </w:numPr>
        <w:spacing w:after="120"/>
        <w:ind w:left="1237" w:hanging="386"/>
      </w:pPr>
      <w:r>
        <w:t xml:space="preserve">AMETHYST-DN: a long term randomised open label phase II dose ranging </w:t>
      </w:r>
      <w:r w:rsidRPr="00CA3E55">
        <w:t xml:space="preserve">study </w:t>
      </w:r>
      <w:r>
        <w:t>of patients with type 2 diabetes mellitus and CKD Stage 3 or Stage 4, receiving a RAASi</w:t>
      </w:r>
      <w:r w:rsidR="00C371E9">
        <w:t>.</w:t>
      </w:r>
    </w:p>
    <w:p w:rsidR="00E34AC7" w:rsidRPr="00D03515" w:rsidRDefault="000744F9" w:rsidP="00E74A7B">
      <w:pPr>
        <w:pStyle w:val="ListParagraph"/>
        <w:widowControl/>
        <w:numPr>
          <w:ilvl w:val="1"/>
          <w:numId w:val="3"/>
        </w:numPr>
        <w:spacing w:after="120"/>
      </w:pPr>
      <w:r>
        <w:t xml:space="preserve">A summary of unpublished results of the recently completed AMBER study, a </w:t>
      </w:r>
      <w:r w:rsidR="005D460D">
        <w:t>P</w:t>
      </w:r>
      <w:r w:rsidRPr="009321DF">
        <w:t xml:space="preserve">hase II, randomised controlled study of 295 adult patients </w:t>
      </w:r>
      <w:r w:rsidR="000153CF" w:rsidRPr="009321DF">
        <w:t>with CKD 3b/</w:t>
      </w:r>
      <w:r w:rsidRPr="009321DF">
        <w:t xml:space="preserve">4 and uncontrolled hypertension, treated with patiromer, </w:t>
      </w:r>
      <w:r>
        <w:t>was also presented.</w:t>
      </w:r>
      <w:r w:rsidR="00FB4066">
        <w:t xml:space="preserve">  </w:t>
      </w:r>
      <w:r w:rsidR="00FB4066" w:rsidRPr="00D03515">
        <w:t xml:space="preserve">The </w:t>
      </w:r>
      <w:r w:rsidR="00F009AE" w:rsidRPr="00D03515">
        <w:t xml:space="preserve">PSCR and </w:t>
      </w:r>
      <w:r w:rsidR="00FB4066" w:rsidRPr="00D03515">
        <w:t>ESC noted that this study has now been published</w:t>
      </w:r>
      <w:r w:rsidR="00F009AE" w:rsidRPr="00D11A91">
        <w:rPr>
          <w:vertAlign w:val="superscript"/>
        </w:rPr>
        <w:footnoteReference w:id="6"/>
      </w:r>
      <w:r w:rsidR="00FB4066" w:rsidRPr="00D03515">
        <w:t>.</w:t>
      </w:r>
    </w:p>
    <w:p w:rsidR="00862502" w:rsidRPr="00672E26" w:rsidRDefault="00A73134" w:rsidP="00E74A7B">
      <w:pPr>
        <w:pStyle w:val="ListParagraph"/>
        <w:widowControl/>
        <w:numPr>
          <w:ilvl w:val="1"/>
          <w:numId w:val="3"/>
        </w:numPr>
        <w:spacing w:after="120"/>
      </w:pPr>
      <w:r w:rsidRPr="009321DF">
        <w:t xml:space="preserve">Details of the </w:t>
      </w:r>
      <w:r w:rsidR="00D66E87">
        <w:t>studie</w:t>
      </w:r>
      <w:r w:rsidR="00D66E87" w:rsidRPr="009321DF">
        <w:t xml:space="preserve">s </w:t>
      </w:r>
      <w:r w:rsidRPr="009321DF">
        <w:t xml:space="preserve">presented in the submission are provided in the table below.  </w:t>
      </w:r>
    </w:p>
    <w:p w:rsidR="008E0D3C" w:rsidRDefault="006E139A" w:rsidP="00E74A7B">
      <w:pPr>
        <w:keepNext/>
        <w:keepLines/>
        <w:widowControl/>
        <w:suppressLineNumbers/>
        <w:suppressAutoHyphens/>
        <w:rPr>
          <w:rStyle w:val="CommentReference"/>
        </w:rPr>
      </w:pPr>
      <w:r>
        <w:rPr>
          <w:rStyle w:val="CommentReference"/>
        </w:rPr>
        <w:lastRenderedPageBreak/>
        <w:t>Table 2</w:t>
      </w:r>
      <w:r w:rsidR="008E0D3C" w:rsidRPr="008E0D3C">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272"/>
        <w:gridCol w:w="5244"/>
        <w:gridCol w:w="2501"/>
      </w:tblGrid>
      <w:tr w:rsidR="006E139A" w:rsidRPr="00B41614" w:rsidTr="00D070E9">
        <w:trPr>
          <w:tblHeader/>
        </w:trPr>
        <w:tc>
          <w:tcPr>
            <w:tcW w:w="705" w:type="pct"/>
            <w:vAlign w:val="center"/>
          </w:tcPr>
          <w:p w:rsidR="006E139A" w:rsidRPr="00D070E9" w:rsidRDefault="006E139A" w:rsidP="00E74A7B">
            <w:pPr>
              <w:pStyle w:val="Tabletext"/>
              <w:keepNext/>
              <w:keepLines/>
              <w:suppressLineNumbers/>
              <w:suppressAutoHyphens/>
              <w:rPr>
                <w:b/>
              </w:rPr>
            </w:pPr>
            <w:r w:rsidRPr="00D070E9">
              <w:rPr>
                <w:b/>
              </w:rPr>
              <w:t>Trial ID</w:t>
            </w:r>
          </w:p>
        </w:tc>
        <w:tc>
          <w:tcPr>
            <w:tcW w:w="2908" w:type="pct"/>
            <w:vAlign w:val="center"/>
          </w:tcPr>
          <w:p w:rsidR="006E139A" w:rsidRPr="00D070E9" w:rsidRDefault="006E139A" w:rsidP="00E74A7B">
            <w:pPr>
              <w:pStyle w:val="Tabletext"/>
              <w:keepNext/>
              <w:keepLines/>
              <w:suppressLineNumbers/>
              <w:suppressAutoHyphens/>
              <w:jc w:val="center"/>
              <w:rPr>
                <w:b/>
              </w:rPr>
            </w:pPr>
            <w:r w:rsidRPr="00D070E9">
              <w:rPr>
                <w:b/>
              </w:rPr>
              <w:t>Protocol title/ Publication title</w:t>
            </w:r>
          </w:p>
        </w:tc>
        <w:tc>
          <w:tcPr>
            <w:tcW w:w="1387" w:type="pct"/>
            <w:vAlign w:val="center"/>
          </w:tcPr>
          <w:p w:rsidR="006E139A" w:rsidRPr="00D070E9" w:rsidRDefault="006E139A" w:rsidP="00E74A7B">
            <w:pPr>
              <w:pStyle w:val="Tabletext"/>
              <w:keepNext/>
              <w:keepLines/>
              <w:suppressLineNumbers/>
              <w:suppressAutoHyphens/>
              <w:jc w:val="center"/>
              <w:rPr>
                <w:b/>
              </w:rPr>
            </w:pPr>
            <w:r w:rsidRPr="00D070E9">
              <w:rPr>
                <w:b/>
              </w:rPr>
              <w:t>Publication citation</w:t>
            </w:r>
          </w:p>
        </w:tc>
      </w:tr>
      <w:tr w:rsidR="006E139A" w:rsidRPr="00CB38A8" w:rsidTr="00D070E9">
        <w:tc>
          <w:tcPr>
            <w:tcW w:w="5000" w:type="pct"/>
            <w:gridSpan w:val="3"/>
            <w:tcBorders>
              <w:bottom w:val="nil"/>
            </w:tcBorders>
          </w:tcPr>
          <w:p w:rsidR="006E139A" w:rsidRPr="00D070E9" w:rsidRDefault="006E139A" w:rsidP="00E74A7B">
            <w:pPr>
              <w:pStyle w:val="Tabletext"/>
              <w:keepNext/>
              <w:keepLines/>
              <w:suppressLineNumbers/>
              <w:suppressAutoHyphens/>
              <w:rPr>
                <w:b/>
              </w:rPr>
            </w:pPr>
            <w:r w:rsidRPr="00D070E9">
              <w:rPr>
                <w:b/>
              </w:rPr>
              <w:t>Clinical studies</w:t>
            </w:r>
          </w:p>
        </w:tc>
      </w:tr>
      <w:tr w:rsidR="006E139A" w:rsidRPr="00CB38A8" w:rsidTr="00D070E9">
        <w:tc>
          <w:tcPr>
            <w:tcW w:w="705" w:type="pct"/>
            <w:tcBorders>
              <w:bottom w:val="nil"/>
            </w:tcBorders>
          </w:tcPr>
          <w:p w:rsidR="006E139A" w:rsidRPr="00D070E9" w:rsidRDefault="006E139A" w:rsidP="00E74A7B">
            <w:pPr>
              <w:pStyle w:val="Tabletext"/>
              <w:keepNext/>
              <w:keepLines/>
              <w:suppressLineNumbers/>
              <w:suppressAutoHyphens/>
            </w:pPr>
            <w:r w:rsidRPr="00D070E9">
              <w:t>OPAL-HK</w:t>
            </w:r>
          </w:p>
          <w:p w:rsidR="006E139A" w:rsidRPr="00D070E9" w:rsidRDefault="006E139A" w:rsidP="00E74A7B">
            <w:pPr>
              <w:pStyle w:val="Tabletext"/>
              <w:keepNext/>
              <w:keepLines/>
              <w:suppressLineNumbers/>
              <w:suppressAutoHyphens/>
            </w:pPr>
            <w:r w:rsidRPr="00D070E9">
              <w:t>(NCT01810939)</w:t>
            </w:r>
          </w:p>
        </w:tc>
        <w:tc>
          <w:tcPr>
            <w:tcW w:w="2908" w:type="pct"/>
            <w:tcBorders>
              <w:bottom w:val="nil"/>
            </w:tcBorders>
          </w:tcPr>
          <w:p w:rsidR="006E139A" w:rsidRPr="00D070E9" w:rsidRDefault="006E139A" w:rsidP="00E74A7B">
            <w:pPr>
              <w:pStyle w:val="Tabletext"/>
              <w:keepNext/>
              <w:keepLines/>
              <w:suppressLineNumbers/>
              <w:suppressAutoHyphens/>
              <w:rPr>
                <w:szCs w:val="18"/>
              </w:rPr>
            </w:pPr>
            <w:r w:rsidRPr="00D070E9">
              <w:rPr>
                <w:szCs w:val="18"/>
              </w:rPr>
              <w:t>A two-part, single-blind, phase 3 study evaluating the efficacy and safety of patiromer for the treatment of hyperkalemia</w:t>
            </w:r>
          </w:p>
        </w:tc>
        <w:tc>
          <w:tcPr>
            <w:tcW w:w="1387" w:type="pct"/>
            <w:tcBorders>
              <w:bottom w:val="nil"/>
            </w:tcBorders>
          </w:tcPr>
          <w:p w:rsidR="006E139A" w:rsidRPr="00D070E9" w:rsidRDefault="006E139A" w:rsidP="00E74A7B">
            <w:pPr>
              <w:pStyle w:val="Tabletext"/>
              <w:keepNext/>
              <w:keepLines/>
              <w:suppressLineNumbers/>
              <w:suppressAutoHyphens/>
            </w:pPr>
            <w:r w:rsidRPr="00D070E9">
              <w:t>18 September 2014</w:t>
            </w:r>
          </w:p>
        </w:tc>
      </w:tr>
      <w:tr w:rsidR="006E139A" w:rsidRPr="00CB38A8" w:rsidTr="00D070E9">
        <w:tc>
          <w:tcPr>
            <w:tcW w:w="705" w:type="pct"/>
            <w:tcBorders>
              <w:top w:val="nil"/>
              <w:bottom w:val="nil"/>
            </w:tcBorders>
          </w:tcPr>
          <w:p w:rsidR="006E139A" w:rsidRPr="00D070E9" w:rsidRDefault="006E139A" w:rsidP="00E74A7B">
            <w:pPr>
              <w:pStyle w:val="Tabletext"/>
              <w:keepNext/>
              <w:keepLines/>
              <w:suppressLineNumbers/>
              <w:suppressAutoHyphens/>
            </w:pPr>
          </w:p>
        </w:tc>
        <w:tc>
          <w:tcPr>
            <w:tcW w:w="2908" w:type="pct"/>
            <w:tcBorders>
              <w:top w:val="nil"/>
              <w:bottom w:val="nil"/>
            </w:tcBorders>
          </w:tcPr>
          <w:p w:rsidR="006E139A" w:rsidRPr="00D070E9" w:rsidRDefault="006E139A" w:rsidP="00E74A7B">
            <w:pPr>
              <w:pStyle w:val="Tabletext"/>
              <w:keepNext/>
              <w:keepLines/>
              <w:suppressLineNumbers/>
              <w:suppressAutoHyphens/>
              <w:rPr>
                <w:szCs w:val="18"/>
                <w:lang w:val="en-US" w:eastAsia="en-AU"/>
              </w:rPr>
            </w:pPr>
            <w:r w:rsidRPr="00D070E9">
              <w:rPr>
                <w:szCs w:val="18"/>
                <w:lang w:val="en-US" w:eastAsia="en-AU"/>
              </w:rPr>
              <w:t>Weir MR, Barkis GL, Bushinsky DA</w:t>
            </w:r>
            <w:r w:rsidR="000F63BA">
              <w:rPr>
                <w:szCs w:val="18"/>
                <w:lang w:val="en-US" w:eastAsia="en-AU"/>
              </w:rPr>
              <w:t>,</w:t>
            </w:r>
            <w:r w:rsidRPr="00D070E9">
              <w:rPr>
                <w:szCs w:val="18"/>
                <w:lang w:val="en-US" w:eastAsia="en-AU"/>
              </w:rPr>
              <w:t xml:space="preserve"> et al. Patiromer in patients with kidney disease and hyperkalaemia receiving RAAS inhibitors</w:t>
            </w:r>
          </w:p>
        </w:tc>
        <w:tc>
          <w:tcPr>
            <w:tcW w:w="1387" w:type="pct"/>
            <w:tcBorders>
              <w:top w:val="nil"/>
              <w:bottom w:val="nil"/>
            </w:tcBorders>
          </w:tcPr>
          <w:p w:rsidR="006E139A" w:rsidRPr="00D070E9" w:rsidRDefault="006E139A" w:rsidP="00E74A7B">
            <w:pPr>
              <w:pStyle w:val="Tabletext"/>
              <w:keepNext/>
              <w:keepLines/>
              <w:suppressLineNumbers/>
              <w:suppressAutoHyphens/>
              <w:rPr>
                <w:i/>
                <w:szCs w:val="18"/>
                <w:lang w:val="en-US" w:eastAsia="en-AU"/>
              </w:rPr>
            </w:pPr>
            <w:r w:rsidRPr="00D070E9">
              <w:rPr>
                <w:i/>
                <w:szCs w:val="18"/>
                <w:lang w:val="en-US" w:eastAsia="en-AU"/>
              </w:rPr>
              <w:t>New England Journal of Medicine</w:t>
            </w:r>
            <w:r w:rsidR="000F63BA">
              <w:rPr>
                <w:i/>
                <w:szCs w:val="18"/>
                <w:lang w:val="en-US" w:eastAsia="en-AU"/>
              </w:rPr>
              <w:t>.</w:t>
            </w:r>
            <w:r w:rsidRPr="00D070E9">
              <w:rPr>
                <w:i/>
                <w:szCs w:val="18"/>
                <w:lang w:val="en-US" w:eastAsia="en-AU"/>
              </w:rPr>
              <w:t xml:space="preserve"> </w:t>
            </w:r>
            <w:r w:rsidRPr="00D070E9">
              <w:rPr>
                <w:szCs w:val="18"/>
                <w:lang w:val="en-US" w:eastAsia="en-AU"/>
              </w:rPr>
              <w:t>2015; 372(3): 211-221</w:t>
            </w:r>
          </w:p>
        </w:tc>
      </w:tr>
      <w:tr w:rsidR="006E139A" w:rsidRPr="00CB38A8" w:rsidTr="00D070E9">
        <w:tc>
          <w:tcPr>
            <w:tcW w:w="705" w:type="pct"/>
            <w:tcBorders>
              <w:top w:val="nil"/>
              <w:bottom w:val="nil"/>
            </w:tcBorders>
          </w:tcPr>
          <w:p w:rsidR="006E139A" w:rsidRPr="00D070E9" w:rsidRDefault="006E139A" w:rsidP="00E74A7B">
            <w:pPr>
              <w:pStyle w:val="Tabletext"/>
              <w:keepNext/>
              <w:keepLines/>
              <w:suppressLineNumbers/>
              <w:suppressAutoHyphens/>
            </w:pPr>
          </w:p>
        </w:tc>
        <w:tc>
          <w:tcPr>
            <w:tcW w:w="2908" w:type="pct"/>
            <w:tcBorders>
              <w:top w:val="nil"/>
              <w:bottom w:val="nil"/>
            </w:tcBorders>
          </w:tcPr>
          <w:p w:rsidR="006E139A" w:rsidRPr="00D070E9" w:rsidRDefault="006E139A" w:rsidP="00E74A7B">
            <w:pPr>
              <w:pStyle w:val="Tabletext"/>
              <w:keepNext/>
              <w:keepLines/>
              <w:suppressLineNumbers/>
              <w:suppressAutoHyphens/>
              <w:rPr>
                <w:szCs w:val="18"/>
                <w:lang w:eastAsia="en-AU"/>
              </w:rPr>
            </w:pPr>
            <w:r w:rsidRPr="00D070E9">
              <w:rPr>
                <w:szCs w:val="18"/>
                <w:lang w:eastAsia="en-AU"/>
              </w:rPr>
              <w:t>Pitt B, Barkis GL, Bushinsky DA</w:t>
            </w:r>
            <w:r w:rsidR="000F63BA">
              <w:rPr>
                <w:szCs w:val="18"/>
                <w:lang w:eastAsia="en-AU"/>
              </w:rPr>
              <w:t>,</w:t>
            </w:r>
            <w:r w:rsidRPr="00D070E9">
              <w:rPr>
                <w:szCs w:val="18"/>
                <w:lang w:eastAsia="en-AU"/>
              </w:rPr>
              <w:t xml:space="preserve"> et al.  Effect of patiromer on reducing serum potassium and preventing recurrent hyperkalaemia in patients with heart failure and chronic kidney disease on RAAS inhibitors</w:t>
            </w:r>
          </w:p>
        </w:tc>
        <w:tc>
          <w:tcPr>
            <w:tcW w:w="1387" w:type="pct"/>
            <w:tcBorders>
              <w:top w:val="nil"/>
              <w:bottom w:val="nil"/>
            </w:tcBorders>
          </w:tcPr>
          <w:p w:rsidR="006E139A" w:rsidRPr="00D070E9" w:rsidRDefault="006E139A" w:rsidP="00E74A7B">
            <w:pPr>
              <w:pStyle w:val="Tabletext"/>
              <w:keepNext/>
              <w:keepLines/>
              <w:suppressLineNumbers/>
              <w:suppressAutoHyphens/>
              <w:rPr>
                <w:szCs w:val="18"/>
                <w:lang w:eastAsia="en-AU"/>
              </w:rPr>
            </w:pPr>
            <w:r w:rsidRPr="00D070E9">
              <w:rPr>
                <w:i/>
                <w:szCs w:val="18"/>
                <w:lang w:eastAsia="en-AU"/>
              </w:rPr>
              <w:t>European Journal of Heart Failure</w:t>
            </w:r>
            <w:r w:rsidR="000F63BA">
              <w:rPr>
                <w:i/>
                <w:szCs w:val="18"/>
                <w:lang w:eastAsia="en-AU"/>
              </w:rPr>
              <w:t>.</w:t>
            </w:r>
            <w:r w:rsidRPr="00D070E9">
              <w:rPr>
                <w:szCs w:val="18"/>
                <w:lang w:eastAsia="en-AU"/>
              </w:rPr>
              <w:t xml:space="preserve"> 2015; 17(10): 1057–1065</w:t>
            </w:r>
          </w:p>
        </w:tc>
      </w:tr>
      <w:tr w:rsidR="006E139A" w:rsidRPr="00CB38A8" w:rsidTr="00D070E9">
        <w:tc>
          <w:tcPr>
            <w:tcW w:w="705" w:type="pct"/>
            <w:tcBorders>
              <w:bottom w:val="nil"/>
            </w:tcBorders>
          </w:tcPr>
          <w:p w:rsidR="006E139A" w:rsidRPr="00D070E9" w:rsidRDefault="006E139A" w:rsidP="00E74A7B">
            <w:pPr>
              <w:pStyle w:val="Tabletext"/>
              <w:keepNext/>
              <w:keepLines/>
              <w:suppressLineNumbers/>
              <w:suppressAutoHyphens/>
            </w:pPr>
            <w:r w:rsidRPr="00D070E9">
              <w:t>PEARL-HF</w:t>
            </w:r>
          </w:p>
          <w:p w:rsidR="006E139A" w:rsidRPr="00D070E9" w:rsidRDefault="006E139A" w:rsidP="00E74A7B">
            <w:pPr>
              <w:pStyle w:val="Tabletext"/>
              <w:keepNext/>
              <w:keepLines/>
              <w:suppressLineNumbers/>
              <w:suppressAutoHyphens/>
            </w:pPr>
            <w:r w:rsidRPr="00D070E9">
              <w:t>(NCT00868439)</w:t>
            </w:r>
          </w:p>
        </w:tc>
        <w:tc>
          <w:tcPr>
            <w:tcW w:w="2908" w:type="pct"/>
            <w:tcBorders>
              <w:bottom w:val="nil"/>
            </w:tcBorders>
          </w:tcPr>
          <w:p w:rsidR="006E139A" w:rsidRPr="00D070E9" w:rsidRDefault="006E139A" w:rsidP="00E74A7B">
            <w:pPr>
              <w:pStyle w:val="Tabletext"/>
              <w:keepNext/>
              <w:keepLines/>
              <w:suppressLineNumbers/>
              <w:suppressAutoHyphens/>
              <w:rPr>
                <w:szCs w:val="18"/>
              </w:rPr>
            </w:pPr>
            <w:r w:rsidRPr="00D070E9">
              <w:rPr>
                <w:szCs w:val="18"/>
              </w:rPr>
              <w:t>A multicenter, randomized, double-blind, placebo-controlled, parallel-group, multiple-dose study to evaluate the effects of patiromer in heart failure patients</w:t>
            </w:r>
          </w:p>
        </w:tc>
        <w:tc>
          <w:tcPr>
            <w:tcW w:w="1387" w:type="pct"/>
            <w:tcBorders>
              <w:bottom w:val="nil"/>
            </w:tcBorders>
          </w:tcPr>
          <w:p w:rsidR="006E139A" w:rsidRPr="00D070E9" w:rsidRDefault="006E139A" w:rsidP="00E74A7B">
            <w:pPr>
              <w:pStyle w:val="Tabletext"/>
              <w:keepNext/>
              <w:keepLines/>
              <w:suppressLineNumbers/>
              <w:suppressAutoHyphens/>
            </w:pPr>
            <w:r w:rsidRPr="00D070E9">
              <w:t>30 July 2014</w:t>
            </w:r>
          </w:p>
        </w:tc>
      </w:tr>
      <w:tr w:rsidR="006E139A" w:rsidRPr="00CB38A8" w:rsidTr="00D070E9">
        <w:tc>
          <w:tcPr>
            <w:tcW w:w="705" w:type="pct"/>
            <w:tcBorders>
              <w:top w:val="nil"/>
              <w:bottom w:val="nil"/>
            </w:tcBorders>
          </w:tcPr>
          <w:p w:rsidR="006E139A" w:rsidRPr="00D070E9" w:rsidRDefault="006E139A" w:rsidP="00E74A7B">
            <w:pPr>
              <w:pStyle w:val="Tabletext"/>
              <w:keepNext/>
              <w:keepLines/>
              <w:suppressLineNumbers/>
              <w:suppressAutoHyphens/>
            </w:pPr>
          </w:p>
        </w:tc>
        <w:tc>
          <w:tcPr>
            <w:tcW w:w="2908" w:type="pct"/>
            <w:tcBorders>
              <w:top w:val="nil"/>
              <w:bottom w:val="nil"/>
            </w:tcBorders>
          </w:tcPr>
          <w:p w:rsidR="006E139A" w:rsidRPr="00D070E9" w:rsidRDefault="006E139A" w:rsidP="00E74A7B">
            <w:pPr>
              <w:pStyle w:val="Tabletext"/>
              <w:keepNext/>
              <w:keepLines/>
              <w:suppressLineNumbers/>
              <w:suppressAutoHyphens/>
              <w:rPr>
                <w:szCs w:val="18"/>
              </w:rPr>
            </w:pPr>
            <w:r w:rsidRPr="00D070E9">
              <w:rPr>
                <w:szCs w:val="18"/>
              </w:rPr>
              <w:t>Pitt B, Anker SD, Bushinsky DA</w:t>
            </w:r>
            <w:r w:rsidR="000F63BA">
              <w:rPr>
                <w:szCs w:val="18"/>
              </w:rPr>
              <w:t>,</w:t>
            </w:r>
            <w:r w:rsidRPr="00D070E9">
              <w:rPr>
                <w:szCs w:val="18"/>
              </w:rPr>
              <w:t xml:space="preserve"> et al. Evaluation of the efficacy and safety of RLY5016 (</w:t>
            </w:r>
            <w:r w:rsidRPr="00D070E9">
              <w:rPr>
                <w:i/>
                <w:szCs w:val="18"/>
              </w:rPr>
              <w:t>patiromer</w:t>
            </w:r>
            <w:r w:rsidRPr="00D070E9">
              <w:rPr>
                <w:szCs w:val="18"/>
              </w:rPr>
              <w:t>), a polymeric potassium binder, in a double-blind, placebo-controlled study in patients with chronic heart failure (the PEARL-HF) trial</w:t>
            </w:r>
          </w:p>
        </w:tc>
        <w:tc>
          <w:tcPr>
            <w:tcW w:w="1387" w:type="pct"/>
            <w:tcBorders>
              <w:top w:val="nil"/>
              <w:bottom w:val="nil"/>
            </w:tcBorders>
          </w:tcPr>
          <w:p w:rsidR="006E139A" w:rsidRPr="00D070E9" w:rsidRDefault="006E139A" w:rsidP="00E74A7B">
            <w:pPr>
              <w:pStyle w:val="Tabletext"/>
              <w:keepNext/>
              <w:keepLines/>
              <w:suppressLineNumbers/>
              <w:suppressAutoHyphens/>
              <w:rPr>
                <w:i/>
              </w:rPr>
            </w:pPr>
            <w:r w:rsidRPr="00D070E9">
              <w:rPr>
                <w:i/>
                <w:szCs w:val="18"/>
              </w:rPr>
              <w:t>European Heart Journal</w:t>
            </w:r>
            <w:r w:rsidR="000F63BA">
              <w:rPr>
                <w:i/>
                <w:szCs w:val="18"/>
              </w:rPr>
              <w:t>.</w:t>
            </w:r>
            <w:r w:rsidRPr="00D070E9">
              <w:rPr>
                <w:i/>
                <w:szCs w:val="18"/>
              </w:rPr>
              <w:t xml:space="preserve"> </w:t>
            </w:r>
            <w:r w:rsidRPr="00D070E9">
              <w:rPr>
                <w:szCs w:val="18"/>
              </w:rPr>
              <w:t>2011; 32(7): 820-828</w:t>
            </w:r>
          </w:p>
        </w:tc>
      </w:tr>
      <w:tr w:rsidR="006E139A" w:rsidRPr="00CB38A8" w:rsidTr="00D070E9">
        <w:tc>
          <w:tcPr>
            <w:tcW w:w="705" w:type="pct"/>
            <w:tcBorders>
              <w:top w:val="nil"/>
              <w:bottom w:val="nil"/>
            </w:tcBorders>
          </w:tcPr>
          <w:p w:rsidR="006E139A" w:rsidRPr="00D070E9" w:rsidRDefault="006E139A" w:rsidP="00E74A7B">
            <w:pPr>
              <w:pStyle w:val="Tabletext"/>
              <w:keepNext/>
              <w:keepLines/>
              <w:suppressLineNumbers/>
              <w:suppressAutoHyphens/>
            </w:pPr>
          </w:p>
        </w:tc>
        <w:tc>
          <w:tcPr>
            <w:tcW w:w="2908" w:type="pct"/>
            <w:tcBorders>
              <w:top w:val="nil"/>
              <w:bottom w:val="nil"/>
            </w:tcBorders>
          </w:tcPr>
          <w:p w:rsidR="006E139A" w:rsidRPr="00D070E9" w:rsidRDefault="006E139A" w:rsidP="00E74A7B">
            <w:pPr>
              <w:pStyle w:val="Tabletext"/>
              <w:keepNext/>
              <w:keepLines/>
              <w:suppressLineNumbers/>
              <w:suppressAutoHyphens/>
              <w:rPr>
                <w:szCs w:val="18"/>
              </w:rPr>
            </w:pPr>
            <w:r w:rsidRPr="00D070E9">
              <w:rPr>
                <w:szCs w:val="18"/>
              </w:rPr>
              <w:t>Buysse JM, Huang IZ and Pitt B. PEARL-HF: prevention of hyperkalemia in patients with heart failure using a novel polymeric potassium binder, RLY5016 (</w:t>
            </w:r>
            <w:r w:rsidRPr="00D070E9">
              <w:rPr>
                <w:i/>
                <w:szCs w:val="18"/>
              </w:rPr>
              <w:t>patiromer</w:t>
            </w:r>
            <w:r w:rsidRPr="00D070E9">
              <w:rPr>
                <w:szCs w:val="18"/>
              </w:rPr>
              <w:t>)</w:t>
            </w:r>
          </w:p>
        </w:tc>
        <w:tc>
          <w:tcPr>
            <w:tcW w:w="1387" w:type="pct"/>
            <w:tcBorders>
              <w:top w:val="nil"/>
              <w:bottom w:val="nil"/>
            </w:tcBorders>
          </w:tcPr>
          <w:p w:rsidR="006E139A" w:rsidRPr="00D070E9" w:rsidRDefault="006E139A" w:rsidP="00E74A7B">
            <w:pPr>
              <w:pStyle w:val="Tabletext"/>
              <w:keepNext/>
              <w:keepLines/>
              <w:suppressLineNumbers/>
              <w:suppressAutoHyphens/>
            </w:pPr>
            <w:r w:rsidRPr="00D070E9">
              <w:rPr>
                <w:i/>
                <w:szCs w:val="18"/>
              </w:rPr>
              <w:t>Future Cardiology</w:t>
            </w:r>
            <w:r w:rsidR="000F63BA">
              <w:rPr>
                <w:i/>
                <w:szCs w:val="18"/>
              </w:rPr>
              <w:t>.</w:t>
            </w:r>
            <w:r w:rsidRPr="00D070E9">
              <w:rPr>
                <w:i/>
                <w:szCs w:val="18"/>
              </w:rPr>
              <w:t xml:space="preserve"> </w:t>
            </w:r>
            <w:r w:rsidRPr="00D070E9">
              <w:rPr>
                <w:szCs w:val="18"/>
              </w:rPr>
              <w:t>2012; 8(1): 17-28</w:t>
            </w:r>
          </w:p>
        </w:tc>
      </w:tr>
      <w:tr w:rsidR="006E139A" w:rsidRPr="00CB38A8" w:rsidTr="00D070E9">
        <w:tc>
          <w:tcPr>
            <w:tcW w:w="705" w:type="pct"/>
            <w:tcBorders>
              <w:bottom w:val="nil"/>
            </w:tcBorders>
          </w:tcPr>
          <w:p w:rsidR="006E139A" w:rsidRPr="00D070E9" w:rsidRDefault="006E139A" w:rsidP="00E74A7B">
            <w:pPr>
              <w:pStyle w:val="Tabletext"/>
              <w:keepNext/>
              <w:keepLines/>
              <w:suppressLineNumbers/>
              <w:suppressAutoHyphens/>
            </w:pPr>
            <w:r w:rsidRPr="00D070E9">
              <w:t>AMETHYST-DN</w:t>
            </w:r>
          </w:p>
          <w:p w:rsidR="006E139A" w:rsidRPr="00D070E9" w:rsidRDefault="006E139A" w:rsidP="00E74A7B">
            <w:pPr>
              <w:pStyle w:val="Tabletext"/>
              <w:keepNext/>
              <w:keepLines/>
              <w:suppressLineNumbers/>
              <w:suppressAutoHyphens/>
            </w:pPr>
            <w:r w:rsidRPr="00D070E9">
              <w:t>(NCT01371747)</w:t>
            </w:r>
          </w:p>
        </w:tc>
        <w:tc>
          <w:tcPr>
            <w:tcW w:w="2908" w:type="pct"/>
            <w:tcBorders>
              <w:bottom w:val="nil"/>
            </w:tcBorders>
          </w:tcPr>
          <w:p w:rsidR="006E139A" w:rsidRPr="00D070E9" w:rsidRDefault="006E139A" w:rsidP="00E74A7B">
            <w:pPr>
              <w:pStyle w:val="Tabletext"/>
              <w:keepNext/>
              <w:keepLines/>
              <w:suppressLineNumbers/>
              <w:suppressAutoHyphens/>
              <w:rPr>
                <w:szCs w:val="18"/>
              </w:rPr>
            </w:pPr>
            <w:r w:rsidRPr="00D070E9">
              <w:rPr>
                <w:szCs w:val="18"/>
              </w:rPr>
              <w:t>A Multicenter, Randomized, Open-label, Dose Ranging Study to Evaluate the Efficacy and Safety of RLY5016 (</w:t>
            </w:r>
            <w:r w:rsidRPr="00D070E9">
              <w:rPr>
                <w:i/>
                <w:szCs w:val="18"/>
              </w:rPr>
              <w:t>Patiromer</w:t>
            </w:r>
            <w:r w:rsidRPr="00D070E9">
              <w:rPr>
                <w:szCs w:val="18"/>
              </w:rPr>
              <w:t>) in the Treatment of Hyperkalemia in Patients with Hypertension and Diabetic Nephropathy Receiving ACEI and/or ARB Drugs, with or without Spironolactone (AMETHYST-DN)</w:t>
            </w:r>
          </w:p>
        </w:tc>
        <w:tc>
          <w:tcPr>
            <w:tcW w:w="1387" w:type="pct"/>
            <w:tcBorders>
              <w:bottom w:val="nil"/>
            </w:tcBorders>
          </w:tcPr>
          <w:p w:rsidR="006E139A" w:rsidRPr="00D070E9" w:rsidRDefault="006E139A" w:rsidP="00E74A7B">
            <w:pPr>
              <w:pStyle w:val="Tabletext"/>
              <w:keepNext/>
              <w:keepLines/>
              <w:suppressLineNumbers/>
              <w:suppressAutoHyphens/>
            </w:pPr>
            <w:r w:rsidRPr="00D070E9">
              <w:t>24 September 2014</w:t>
            </w:r>
          </w:p>
        </w:tc>
      </w:tr>
      <w:tr w:rsidR="006E139A" w:rsidRPr="00CB38A8" w:rsidTr="00D070E9">
        <w:tc>
          <w:tcPr>
            <w:tcW w:w="705" w:type="pct"/>
            <w:tcBorders>
              <w:top w:val="nil"/>
              <w:bottom w:val="single" w:sz="4" w:space="0" w:color="auto"/>
            </w:tcBorders>
          </w:tcPr>
          <w:p w:rsidR="006E139A" w:rsidRPr="00D070E9" w:rsidRDefault="006E139A" w:rsidP="00E74A7B">
            <w:pPr>
              <w:pStyle w:val="Tabletext"/>
              <w:keepNext/>
              <w:keepLines/>
              <w:suppressLineNumbers/>
              <w:suppressAutoHyphens/>
            </w:pPr>
          </w:p>
        </w:tc>
        <w:tc>
          <w:tcPr>
            <w:tcW w:w="2908" w:type="pct"/>
            <w:tcBorders>
              <w:top w:val="nil"/>
              <w:bottom w:val="single" w:sz="4" w:space="0" w:color="auto"/>
            </w:tcBorders>
          </w:tcPr>
          <w:p w:rsidR="006E139A" w:rsidRPr="00D070E9" w:rsidRDefault="006E139A" w:rsidP="00E74A7B">
            <w:pPr>
              <w:pStyle w:val="Tabletext"/>
              <w:keepNext/>
              <w:keepLines/>
              <w:suppressLineNumbers/>
              <w:suppressAutoHyphens/>
              <w:rPr>
                <w:szCs w:val="18"/>
              </w:rPr>
            </w:pPr>
            <w:r w:rsidRPr="00D070E9">
              <w:rPr>
                <w:szCs w:val="18"/>
              </w:rPr>
              <w:t>Bakris GL, Pitt B, Weir MR</w:t>
            </w:r>
            <w:r w:rsidR="000F63BA">
              <w:rPr>
                <w:szCs w:val="18"/>
              </w:rPr>
              <w:t>,</w:t>
            </w:r>
            <w:r w:rsidRPr="00D070E9">
              <w:rPr>
                <w:szCs w:val="18"/>
              </w:rPr>
              <w:t xml:space="preserve"> et al. Effect of patiromer on serum potassium level in patients with hyperkalemia and diabetic kidney disease: the AMETHYST-DN randomized clinical trial </w:t>
            </w:r>
          </w:p>
        </w:tc>
        <w:tc>
          <w:tcPr>
            <w:tcW w:w="1387" w:type="pct"/>
            <w:tcBorders>
              <w:top w:val="nil"/>
              <w:bottom w:val="single" w:sz="4" w:space="0" w:color="auto"/>
            </w:tcBorders>
          </w:tcPr>
          <w:p w:rsidR="006E139A" w:rsidRPr="00D070E9" w:rsidRDefault="006E139A" w:rsidP="00E74A7B">
            <w:pPr>
              <w:pStyle w:val="Tabletext"/>
              <w:keepNext/>
              <w:keepLines/>
              <w:suppressLineNumbers/>
              <w:suppressAutoHyphens/>
            </w:pPr>
            <w:r w:rsidRPr="00D070E9">
              <w:rPr>
                <w:i/>
                <w:szCs w:val="18"/>
              </w:rPr>
              <w:t>JAMA</w:t>
            </w:r>
            <w:r w:rsidR="000F63BA">
              <w:rPr>
                <w:i/>
                <w:szCs w:val="18"/>
              </w:rPr>
              <w:t>.</w:t>
            </w:r>
            <w:r w:rsidRPr="00D070E9">
              <w:rPr>
                <w:szCs w:val="18"/>
              </w:rPr>
              <w:t xml:space="preserve"> 2015; 314 (2):151</w:t>
            </w:r>
            <w:r w:rsidRPr="00D070E9">
              <w:rPr>
                <w:rFonts w:ascii="Cambria Math" w:hAnsi="Cambria Math" w:cs="Cambria Math"/>
                <w:szCs w:val="18"/>
              </w:rPr>
              <w:t>‐</w:t>
            </w:r>
            <w:r w:rsidRPr="00D070E9">
              <w:rPr>
                <w:szCs w:val="18"/>
              </w:rPr>
              <w:t>161</w:t>
            </w:r>
          </w:p>
        </w:tc>
      </w:tr>
      <w:tr w:rsidR="006E139A" w:rsidRPr="00CB38A8" w:rsidTr="00D070E9">
        <w:tc>
          <w:tcPr>
            <w:tcW w:w="705" w:type="pct"/>
            <w:tcBorders>
              <w:bottom w:val="single" w:sz="4" w:space="0" w:color="auto"/>
            </w:tcBorders>
          </w:tcPr>
          <w:p w:rsidR="006E139A" w:rsidRPr="00D070E9" w:rsidRDefault="006E139A" w:rsidP="00E74A7B">
            <w:pPr>
              <w:pStyle w:val="Tabletext"/>
              <w:keepNext/>
              <w:keepLines/>
              <w:suppressLineNumbers/>
              <w:suppressAutoHyphens/>
              <w:rPr>
                <w:szCs w:val="18"/>
              </w:rPr>
            </w:pPr>
            <w:r w:rsidRPr="00D070E9">
              <w:rPr>
                <w:szCs w:val="18"/>
              </w:rPr>
              <w:t>AMBER</w:t>
            </w:r>
          </w:p>
          <w:p w:rsidR="006E139A" w:rsidRPr="00D070E9" w:rsidRDefault="006E139A" w:rsidP="00E74A7B">
            <w:pPr>
              <w:pStyle w:val="Tabletext"/>
              <w:keepNext/>
              <w:keepLines/>
              <w:suppressLineNumbers/>
              <w:suppressAutoHyphens/>
              <w:rPr>
                <w:szCs w:val="18"/>
              </w:rPr>
            </w:pPr>
            <w:r w:rsidRPr="00D070E9">
              <w:rPr>
                <w:szCs w:val="18"/>
              </w:rPr>
              <w:t>(NCT03071263)</w:t>
            </w:r>
          </w:p>
        </w:tc>
        <w:tc>
          <w:tcPr>
            <w:tcW w:w="2908" w:type="pct"/>
            <w:tcBorders>
              <w:bottom w:val="single" w:sz="4" w:space="0" w:color="auto"/>
            </w:tcBorders>
          </w:tcPr>
          <w:p w:rsidR="006E139A" w:rsidRPr="00D070E9" w:rsidRDefault="006E139A" w:rsidP="00E74A7B">
            <w:pPr>
              <w:pStyle w:val="Tabletext"/>
              <w:keepNext/>
              <w:keepLines/>
              <w:suppressLineNumbers/>
              <w:suppressAutoHyphens/>
              <w:rPr>
                <w:szCs w:val="18"/>
              </w:rPr>
            </w:pPr>
            <w:r w:rsidRPr="00D070E9">
              <w:rPr>
                <w:szCs w:val="18"/>
              </w:rPr>
              <w:t>Agarwal R</w:t>
            </w:r>
            <w:r w:rsidR="000F63BA">
              <w:rPr>
                <w:szCs w:val="18"/>
              </w:rPr>
              <w:t>, Rossignol P</w:t>
            </w:r>
            <w:r w:rsidRPr="00D070E9">
              <w:rPr>
                <w:szCs w:val="18"/>
              </w:rPr>
              <w:t>, Garza D</w:t>
            </w:r>
            <w:r w:rsidR="000F63BA">
              <w:rPr>
                <w:szCs w:val="18"/>
              </w:rPr>
              <w:t>,</w:t>
            </w:r>
            <w:r w:rsidRPr="00D070E9">
              <w:rPr>
                <w:szCs w:val="18"/>
              </w:rPr>
              <w:t xml:space="preserve"> et al. Patiromer to enable spironolactone use in the treatment of patients with resistant hypertension and chronic kidney disease: rationale and design of the AMBER study</w:t>
            </w:r>
          </w:p>
        </w:tc>
        <w:tc>
          <w:tcPr>
            <w:tcW w:w="1387" w:type="pct"/>
            <w:tcBorders>
              <w:bottom w:val="single" w:sz="4" w:space="0" w:color="auto"/>
            </w:tcBorders>
          </w:tcPr>
          <w:p w:rsidR="006E139A" w:rsidRPr="00D070E9" w:rsidRDefault="006E139A" w:rsidP="00E74A7B">
            <w:pPr>
              <w:pStyle w:val="Tabletext"/>
              <w:keepNext/>
              <w:keepLines/>
              <w:suppressLineNumbers/>
              <w:suppressAutoHyphens/>
            </w:pPr>
            <w:r w:rsidRPr="00D070E9">
              <w:rPr>
                <w:i/>
                <w:szCs w:val="18"/>
              </w:rPr>
              <w:t>American Journal of Nephrology</w:t>
            </w:r>
            <w:r w:rsidR="000F63BA">
              <w:rPr>
                <w:i/>
                <w:szCs w:val="18"/>
              </w:rPr>
              <w:t>.</w:t>
            </w:r>
            <w:r w:rsidRPr="00D070E9">
              <w:rPr>
                <w:szCs w:val="18"/>
              </w:rPr>
              <w:t xml:space="preserve"> 2018; 48(3): 172-180</w:t>
            </w:r>
          </w:p>
        </w:tc>
      </w:tr>
    </w:tbl>
    <w:p w:rsidR="006E139A" w:rsidRPr="00C371E9" w:rsidRDefault="006E139A" w:rsidP="00E74A7B">
      <w:pPr>
        <w:pStyle w:val="TableFooter"/>
        <w:keepNext/>
        <w:keepLines/>
        <w:widowControl/>
        <w:suppressLineNumbers/>
        <w:suppressAutoHyphens/>
        <w:rPr>
          <w:rStyle w:val="CommentReference"/>
          <w:b w:val="0"/>
          <w:szCs w:val="22"/>
        </w:rPr>
      </w:pPr>
      <w:r>
        <w:t>Source: Table 2-4, p.37 of the submission</w:t>
      </w:r>
    </w:p>
    <w:p w:rsidR="006E139A" w:rsidRDefault="008F120A" w:rsidP="009D69C5">
      <w:pPr>
        <w:pStyle w:val="ListParagraph"/>
        <w:widowControl/>
        <w:numPr>
          <w:ilvl w:val="1"/>
          <w:numId w:val="3"/>
        </w:numPr>
        <w:spacing w:before="120"/>
      </w:pPr>
      <w:r w:rsidRPr="00B50DB8">
        <w:t xml:space="preserve">The key features of the </w:t>
      </w:r>
      <w:r w:rsidR="006E139A">
        <w:t>included studies</w:t>
      </w:r>
      <w:r w:rsidRPr="00B50DB8">
        <w:t xml:space="preserve"> are </w:t>
      </w:r>
      <w:r w:rsidR="009D69C5">
        <w:t>summarised in the table below.</w:t>
      </w:r>
    </w:p>
    <w:p w:rsidR="007F1017" w:rsidRPr="00E2771E" w:rsidRDefault="007F1017" w:rsidP="009D69C5">
      <w:pPr>
        <w:keepNext/>
        <w:keepLines/>
        <w:widowControl/>
        <w:rPr>
          <w:rStyle w:val="CommentReference"/>
        </w:rPr>
      </w:pPr>
      <w:r w:rsidRPr="00E2771E">
        <w:rPr>
          <w:rStyle w:val="CommentReference"/>
        </w:rPr>
        <w:lastRenderedPageBreak/>
        <w:t>T</w:t>
      </w:r>
      <w:r w:rsidR="006E139A">
        <w:rPr>
          <w:rStyle w:val="CommentReference"/>
        </w:rPr>
        <w:t>able 3</w:t>
      </w:r>
      <w:r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69"/>
        <w:gridCol w:w="399"/>
        <w:gridCol w:w="1262"/>
        <w:gridCol w:w="694"/>
        <w:gridCol w:w="2254"/>
        <w:gridCol w:w="1969"/>
        <w:gridCol w:w="1170"/>
      </w:tblGrid>
      <w:tr w:rsidR="00B979DE" w:rsidRPr="00D070E9" w:rsidTr="00D070E9">
        <w:trPr>
          <w:tblHeader/>
        </w:trPr>
        <w:tc>
          <w:tcPr>
            <w:tcW w:w="703" w:type="pct"/>
            <w:shd w:val="clear" w:color="auto" w:fill="auto"/>
            <w:vAlign w:val="center"/>
          </w:tcPr>
          <w:p w:rsidR="007F1017" w:rsidRPr="00D070E9" w:rsidRDefault="007F1017" w:rsidP="009D69C5">
            <w:pPr>
              <w:pStyle w:val="Tabletext"/>
              <w:keepNext/>
              <w:keepLines/>
              <w:rPr>
                <w:b/>
                <w:szCs w:val="20"/>
                <w:lang w:val="en-US"/>
              </w:rPr>
            </w:pPr>
            <w:r w:rsidRPr="00D070E9">
              <w:rPr>
                <w:b/>
                <w:szCs w:val="20"/>
                <w:lang w:val="en-US"/>
              </w:rPr>
              <w:t>Trial</w:t>
            </w:r>
          </w:p>
        </w:tc>
        <w:tc>
          <w:tcPr>
            <w:tcW w:w="221" w:type="pct"/>
            <w:shd w:val="clear" w:color="auto" w:fill="auto"/>
            <w:vAlign w:val="center"/>
          </w:tcPr>
          <w:p w:rsidR="007F1017" w:rsidRPr="00D070E9" w:rsidRDefault="007F1017" w:rsidP="009D69C5">
            <w:pPr>
              <w:pStyle w:val="Tabletext"/>
              <w:keepNext/>
              <w:keepLines/>
              <w:jc w:val="center"/>
              <w:rPr>
                <w:b/>
                <w:szCs w:val="20"/>
                <w:lang w:val="en-US"/>
              </w:rPr>
            </w:pPr>
            <w:r w:rsidRPr="00D070E9">
              <w:rPr>
                <w:b/>
                <w:szCs w:val="20"/>
                <w:lang w:val="en-US"/>
              </w:rPr>
              <w:t>N</w:t>
            </w:r>
          </w:p>
        </w:tc>
        <w:tc>
          <w:tcPr>
            <w:tcW w:w="700" w:type="pct"/>
            <w:shd w:val="clear" w:color="auto" w:fill="auto"/>
            <w:vAlign w:val="center"/>
          </w:tcPr>
          <w:p w:rsidR="007F1017" w:rsidRPr="00D070E9" w:rsidRDefault="007F1017" w:rsidP="009D69C5">
            <w:pPr>
              <w:pStyle w:val="Tabletext"/>
              <w:keepNext/>
              <w:keepLines/>
              <w:jc w:val="center"/>
              <w:rPr>
                <w:b/>
                <w:szCs w:val="20"/>
                <w:lang w:val="en-US"/>
              </w:rPr>
            </w:pPr>
            <w:r w:rsidRPr="00D070E9">
              <w:rPr>
                <w:b/>
                <w:szCs w:val="20"/>
                <w:lang w:val="en-US"/>
              </w:rPr>
              <w:t>Design/ duration</w:t>
            </w:r>
          </w:p>
        </w:tc>
        <w:tc>
          <w:tcPr>
            <w:tcW w:w="385" w:type="pct"/>
            <w:shd w:val="clear" w:color="auto" w:fill="auto"/>
            <w:vAlign w:val="center"/>
          </w:tcPr>
          <w:p w:rsidR="007F1017" w:rsidRPr="00D070E9" w:rsidRDefault="007F1017" w:rsidP="009D69C5">
            <w:pPr>
              <w:pStyle w:val="Tabletext"/>
              <w:keepNext/>
              <w:keepLines/>
              <w:jc w:val="center"/>
              <w:rPr>
                <w:b/>
                <w:szCs w:val="20"/>
                <w:lang w:val="en-US"/>
              </w:rPr>
            </w:pPr>
            <w:r w:rsidRPr="00D070E9">
              <w:rPr>
                <w:b/>
                <w:szCs w:val="20"/>
                <w:lang w:val="en-US"/>
              </w:rPr>
              <w:t>Risk of bias</w:t>
            </w:r>
          </w:p>
        </w:tc>
        <w:tc>
          <w:tcPr>
            <w:tcW w:w="1250" w:type="pct"/>
            <w:shd w:val="clear" w:color="auto" w:fill="auto"/>
            <w:vAlign w:val="center"/>
          </w:tcPr>
          <w:p w:rsidR="007F1017" w:rsidRPr="00D070E9" w:rsidRDefault="007F1017" w:rsidP="009D69C5">
            <w:pPr>
              <w:pStyle w:val="Tabletext"/>
              <w:keepNext/>
              <w:keepLines/>
              <w:jc w:val="center"/>
              <w:rPr>
                <w:b/>
                <w:szCs w:val="20"/>
                <w:vertAlign w:val="superscript"/>
                <w:lang w:val="en-US"/>
              </w:rPr>
            </w:pPr>
            <w:r w:rsidRPr="00D070E9">
              <w:rPr>
                <w:b/>
                <w:szCs w:val="20"/>
                <w:lang w:val="en-US"/>
              </w:rPr>
              <w:t>Patient population</w:t>
            </w:r>
          </w:p>
        </w:tc>
        <w:tc>
          <w:tcPr>
            <w:tcW w:w="1092" w:type="pct"/>
            <w:shd w:val="clear" w:color="auto" w:fill="auto"/>
            <w:vAlign w:val="center"/>
          </w:tcPr>
          <w:p w:rsidR="007F1017" w:rsidRPr="00D070E9" w:rsidRDefault="005207BD" w:rsidP="009D69C5">
            <w:pPr>
              <w:pStyle w:val="Tabletext"/>
              <w:keepNext/>
              <w:keepLines/>
              <w:jc w:val="center"/>
              <w:rPr>
                <w:b/>
                <w:szCs w:val="20"/>
                <w:lang w:val="en-US"/>
              </w:rPr>
            </w:pPr>
            <w:r w:rsidRPr="00D070E9">
              <w:rPr>
                <w:b/>
                <w:szCs w:val="20"/>
                <w:lang w:val="en-US"/>
              </w:rPr>
              <w:t>Outcome</w:t>
            </w:r>
            <w:r w:rsidR="007F1017" w:rsidRPr="00D070E9">
              <w:rPr>
                <w:b/>
                <w:szCs w:val="20"/>
                <w:lang w:val="en-US"/>
              </w:rPr>
              <w:t>s</w:t>
            </w:r>
          </w:p>
        </w:tc>
        <w:tc>
          <w:tcPr>
            <w:tcW w:w="648" w:type="pct"/>
            <w:shd w:val="clear" w:color="auto" w:fill="auto"/>
            <w:vAlign w:val="center"/>
          </w:tcPr>
          <w:p w:rsidR="007F1017" w:rsidRPr="00D070E9" w:rsidRDefault="002D5E04" w:rsidP="009D69C5">
            <w:pPr>
              <w:pStyle w:val="Tabletext"/>
              <w:keepNext/>
              <w:keepLines/>
              <w:jc w:val="center"/>
              <w:rPr>
                <w:b/>
                <w:szCs w:val="20"/>
                <w:lang w:val="en-US"/>
              </w:rPr>
            </w:pPr>
            <w:r w:rsidRPr="00D070E9">
              <w:rPr>
                <w:b/>
                <w:szCs w:val="20"/>
                <w:lang w:val="en-US"/>
              </w:rPr>
              <w:t>Use in model</w:t>
            </w:r>
          </w:p>
        </w:tc>
      </w:tr>
      <w:tr w:rsidR="007F1017" w:rsidRPr="00D070E9" w:rsidTr="00D070E9">
        <w:tc>
          <w:tcPr>
            <w:tcW w:w="5000" w:type="pct"/>
            <w:gridSpan w:val="7"/>
            <w:tcBorders>
              <w:bottom w:val="single" w:sz="4" w:space="0" w:color="auto"/>
            </w:tcBorders>
            <w:shd w:val="clear" w:color="auto" w:fill="auto"/>
            <w:vAlign w:val="center"/>
          </w:tcPr>
          <w:p w:rsidR="007F1017" w:rsidRPr="00D070E9" w:rsidRDefault="00A04F06" w:rsidP="009D69C5">
            <w:pPr>
              <w:pStyle w:val="Tabletext"/>
              <w:keepNext/>
              <w:keepLines/>
              <w:rPr>
                <w:b/>
                <w:szCs w:val="20"/>
                <w:lang w:val="en-US"/>
              </w:rPr>
            </w:pPr>
            <w:r w:rsidRPr="00D070E9">
              <w:rPr>
                <w:b/>
                <w:szCs w:val="20"/>
                <w:lang w:val="en-US"/>
              </w:rPr>
              <w:t xml:space="preserve">Patiromer versus placebo </w:t>
            </w:r>
          </w:p>
        </w:tc>
      </w:tr>
      <w:tr w:rsidR="00B979DE" w:rsidRPr="00D070E9" w:rsidTr="00D070E9">
        <w:trPr>
          <w:trHeight w:val="395"/>
        </w:trPr>
        <w:tc>
          <w:tcPr>
            <w:tcW w:w="703" w:type="pct"/>
            <w:tcBorders>
              <w:bottom w:val="single" w:sz="4" w:space="0" w:color="auto"/>
            </w:tcBorders>
            <w:shd w:val="clear" w:color="auto" w:fill="auto"/>
            <w:vAlign w:val="center"/>
          </w:tcPr>
          <w:p w:rsidR="002A5D33" w:rsidRPr="00D070E9" w:rsidRDefault="002A5D33" w:rsidP="009D69C5">
            <w:pPr>
              <w:pStyle w:val="Tabletext"/>
              <w:keepNext/>
              <w:keepLines/>
              <w:rPr>
                <w:szCs w:val="20"/>
                <w:lang w:val="en-US"/>
              </w:rPr>
            </w:pPr>
            <w:r w:rsidRPr="00D070E9">
              <w:rPr>
                <w:szCs w:val="20"/>
                <w:lang w:val="en-US"/>
              </w:rPr>
              <w:t xml:space="preserve">OPAL-HK </w:t>
            </w:r>
          </w:p>
          <w:p w:rsidR="0074776D" w:rsidRPr="00D070E9" w:rsidRDefault="00AD7241" w:rsidP="009D69C5">
            <w:pPr>
              <w:pStyle w:val="Tabletext"/>
              <w:keepNext/>
              <w:keepLines/>
              <w:rPr>
                <w:szCs w:val="20"/>
                <w:lang w:val="en-US"/>
              </w:rPr>
            </w:pPr>
            <w:r w:rsidRPr="00D070E9">
              <w:rPr>
                <w:szCs w:val="20"/>
                <w:lang w:val="en-US"/>
              </w:rPr>
              <w:t>Part A</w:t>
            </w:r>
          </w:p>
        </w:tc>
        <w:tc>
          <w:tcPr>
            <w:tcW w:w="221" w:type="pct"/>
            <w:tcBorders>
              <w:bottom w:val="single" w:sz="4" w:space="0" w:color="auto"/>
            </w:tcBorders>
            <w:shd w:val="clear" w:color="auto" w:fill="auto"/>
            <w:vAlign w:val="center"/>
          </w:tcPr>
          <w:p w:rsidR="0074776D" w:rsidRPr="00D070E9" w:rsidRDefault="0074776D" w:rsidP="009D69C5">
            <w:pPr>
              <w:pStyle w:val="Tabletext"/>
              <w:keepNext/>
              <w:keepLines/>
              <w:jc w:val="center"/>
              <w:rPr>
                <w:szCs w:val="20"/>
                <w:lang w:val="en-US"/>
              </w:rPr>
            </w:pPr>
            <w:r w:rsidRPr="00D070E9">
              <w:rPr>
                <w:szCs w:val="20"/>
                <w:lang w:val="en-US"/>
              </w:rPr>
              <w:t>243</w:t>
            </w:r>
          </w:p>
        </w:tc>
        <w:tc>
          <w:tcPr>
            <w:tcW w:w="700" w:type="pct"/>
            <w:tcBorders>
              <w:bottom w:val="single" w:sz="4" w:space="0" w:color="auto"/>
            </w:tcBorders>
            <w:shd w:val="clear" w:color="auto" w:fill="auto"/>
            <w:vAlign w:val="center"/>
          </w:tcPr>
          <w:p w:rsidR="00AD7241" w:rsidRPr="00D070E9" w:rsidRDefault="00AD7241" w:rsidP="009D69C5">
            <w:pPr>
              <w:pStyle w:val="Tabletext"/>
              <w:keepNext/>
              <w:keepLines/>
              <w:jc w:val="center"/>
              <w:rPr>
                <w:szCs w:val="20"/>
                <w:lang w:val="en-US"/>
              </w:rPr>
            </w:pPr>
            <w:r w:rsidRPr="00D070E9">
              <w:rPr>
                <w:szCs w:val="20"/>
                <w:lang w:val="en-US"/>
              </w:rPr>
              <w:t xml:space="preserve">SA, SB, MC, </w:t>
            </w:r>
          </w:p>
          <w:p w:rsidR="0074776D" w:rsidRPr="00D070E9" w:rsidRDefault="0074776D" w:rsidP="009D69C5">
            <w:pPr>
              <w:pStyle w:val="Tabletext"/>
              <w:keepNext/>
              <w:keepLines/>
              <w:jc w:val="center"/>
              <w:rPr>
                <w:szCs w:val="20"/>
                <w:lang w:val="en-US"/>
              </w:rPr>
            </w:pPr>
            <w:r w:rsidRPr="00D070E9">
              <w:rPr>
                <w:szCs w:val="20"/>
                <w:lang w:val="en-US"/>
              </w:rPr>
              <w:t>4 week dosing</w:t>
            </w:r>
            <w:r w:rsidR="00AD7241" w:rsidRPr="00D070E9">
              <w:rPr>
                <w:szCs w:val="20"/>
                <w:lang w:val="en-US"/>
              </w:rPr>
              <w:t xml:space="preserve"> study</w:t>
            </w:r>
          </w:p>
        </w:tc>
        <w:tc>
          <w:tcPr>
            <w:tcW w:w="385" w:type="pct"/>
            <w:tcBorders>
              <w:bottom w:val="single" w:sz="4" w:space="0" w:color="auto"/>
            </w:tcBorders>
            <w:shd w:val="clear" w:color="auto" w:fill="auto"/>
            <w:vAlign w:val="center"/>
          </w:tcPr>
          <w:p w:rsidR="0074776D" w:rsidRPr="00D070E9" w:rsidRDefault="00AD7241" w:rsidP="009D69C5">
            <w:pPr>
              <w:pStyle w:val="Tabletext"/>
              <w:keepNext/>
              <w:keepLines/>
              <w:jc w:val="center"/>
              <w:rPr>
                <w:szCs w:val="20"/>
                <w:lang w:val="en-US"/>
              </w:rPr>
            </w:pPr>
            <w:r w:rsidRPr="00D070E9">
              <w:rPr>
                <w:szCs w:val="20"/>
                <w:lang w:val="en-US"/>
              </w:rPr>
              <w:t>High</w:t>
            </w:r>
          </w:p>
        </w:tc>
        <w:tc>
          <w:tcPr>
            <w:tcW w:w="1250" w:type="pct"/>
            <w:tcBorders>
              <w:bottom w:val="single" w:sz="4" w:space="0" w:color="auto"/>
            </w:tcBorders>
            <w:shd w:val="clear" w:color="auto" w:fill="auto"/>
            <w:vAlign w:val="center"/>
          </w:tcPr>
          <w:p w:rsidR="005207BD" w:rsidRPr="00D070E9" w:rsidRDefault="005207BD" w:rsidP="009D69C5">
            <w:pPr>
              <w:pStyle w:val="Tabletext"/>
              <w:keepNext/>
              <w:keepLines/>
              <w:jc w:val="center"/>
              <w:rPr>
                <w:szCs w:val="20"/>
                <w:lang w:val="en-US"/>
              </w:rPr>
            </w:pPr>
            <w:r w:rsidRPr="00D070E9">
              <w:rPr>
                <w:szCs w:val="20"/>
                <w:lang w:val="en-US"/>
              </w:rPr>
              <w:t>Adults 18-80 years,</w:t>
            </w:r>
          </w:p>
          <w:p w:rsidR="0074776D" w:rsidRPr="00D070E9" w:rsidRDefault="005207BD" w:rsidP="009D69C5">
            <w:pPr>
              <w:pStyle w:val="Tabletext"/>
              <w:keepNext/>
              <w:keepLines/>
              <w:jc w:val="center"/>
              <w:rPr>
                <w:szCs w:val="20"/>
                <w:lang w:val="en-US"/>
              </w:rPr>
            </w:pPr>
            <w:r w:rsidRPr="00D070E9">
              <w:rPr>
                <w:szCs w:val="20"/>
                <w:lang w:val="en-US"/>
              </w:rPr>
              <w:t>CKD</w:t>
            </w:r>
            <w:r w:rsidR="00D80FD6" w:rsidRPr="00D070E9">
              <w:rPr>
                <w:szCs w:val="20"/>
                <w:lang w:val="en-US"/>
              </w:rPr>
              <w:t xml:space="preserve"> Stage 3-4</w:t>
            </w:r>
            <w:r w:rsidRPr="00D070E9">
              <w:rPr>
                <w:szCs w:val="20"/>
                <w:lang w:val="en-US"/>
              </w:rPr>
              <w:t>,</w:t>
            </w:r>
          </w:p>
          <w:p w:rsidR="00B36E63" w:rsidRPr="00D070E9" w:rsidRDefault="00B36E63" w:rsidP="009D69C5">
            <w:pPr>
              <w:pStyle w:val="Tabletext"/>
              <w:keepNext/>
              <w:keepLines/>
              <w:jc w:val="center"/>
              <w:rPr>
                <w:szCs w:val="20"/>
                <w:lang w:val="en-US"/>
              </w:rPr>
            </w:pPr>
            <w:r w:rsidRPr="00D070E9">
              <w:rPr>
                <w:szCs w:val="20"/>
                <w:lang w:val="en-US"/>
              </w:rPr>
              <w:t xml:space="preserve">K+ </w:t>
            </w:r>
            <w:r w:rsidRPr="00D070E9">
              <w:rPr>
                <w:szCs w:val="20"/>
              </w:rPr>
              <w:t>5.1 to &lt; 6.5 mmol/L</w:t>
            </w:r>
            <w:r w:rsidRPr="00D070E9">
              <w:rPr>
                <w:szCs w:val="20"/>
                <w:lang w:val="en-US"/>
              </w:rPr>
              <w:t>,</w:t>
            </w:r>
          </w:p>
          <w:p w:rsidR="005207BD" w:rsidRPr="00D070E9" w:rsidRDefault="005207BD" w:rsidP="009D69C5">
            <w:pPr>
              <w:pStyle w:val="Tabletext"/>
              <w:keepNext/>
              <w:keepLines/>
              <w:jc w:val="center"/>
              <w:rPr>
                <w:szCs w:val="20"/>
                <w:lang w:val="en-US"/>
              </w:rPr>
            </w:pPr>
            <w:r w:rsidRPr="00D070E9">
              <w:rPr>
                <w:szCs w:val="20"/>
                <w:lang w:val="en-US"/>
              </w:rPr>
              <w:t>≥ 1 RAASi therapy</w:t>
            </w:r>
          </w:p>
        </w:tc>
        <w:tc>
          <w:tcPr>
            <w:tcW w:w="1092" w:type="pct"/>
            <w:tcBorders>
              <w:bottom w:val="single" w:sz="4" w:space="0" w:color="auto"/>
            </w:tcBorders>
            <w:shd w:val="clear" w:color="auto" w:fill="auto"/>
            <w:vAlign w:val="center"/>
          </w:tcPr>
          <w:p w:rsidR="0074776D" w:rsidRPr="00D070E9" w:rsidRDefault="002D5E04" w:rsidP="009D69C5">
            <w:pPr>
              <w:pStyle w:val="Tabletext"/>
              <w:keepNext/>
              <w:keepLines/>
              <w:jc w:val="center"/>
              <w:rPr>
                <w:szCs w:val="20"/>
                <w:lang w:val="en-US"/>
              </w:rPr>
            </w:pPr>
            <w:r w:rsidRPr="00D070E9">
              <w:rPr>
                <w:szCs w:val="20"/>
                <w:lang w:val="en-US"/>
              </w:rPr>
              <w:t>Mean c</w:t>
            </w:r>
            <w:r w:rsidR="00D80FD6" w:rsidRPr="00D070E9">
              <w:rPr>
                <w:szCs w:val="20"/>
                <w:lang w:val="en-US"/>
              </w:rPr>
              <w:t xml:space="preserve">hange </w:t>
            </w:r>
            <w:r w:rsidRPr="00D070E9">
              <w:rPr>
                <w:szCs w:val="20"/>
                <w:lang w:val="en-US"/>
              </w:rPr>
              <w:t>in K+ from baseline to week 4,</w:t>
            </w:r>
          </w:p>
          <w:p w:rsidR="002D5E04" w:rsidRPr="00D070E9" w:rsidRDefault="002D5E04" w:rsidP="009D69C5">
            <w:pPr>
              <w:pStyle w:val="Tabletext"/>
              <w:keepNext/>
              <w:keepLines/>
              <w:jc w:val="center"/>
              <w:rPr>
                <w:szCs w:val="20"/>
                <w:lang w:val="en-US"/>
              </w:rPr>
            </w:pPr>
            <w:r w:rsidRPr="00D070E9">
              <w:rPr>
                <w:szCs w:val="20"/>
                <w:lang w:val="en-US"/>
              </w:rPr>
              <w:t>Proportions of patient</w:t>
            </w:r>
            <w:r w:rsidR="006E139A" w:rsidRPr="00D070E9">
              <w:rPr>
                <w:szCs w:val="20"/>
                <w:lang w:val="en-US"/>
              </w:rPr>
              <w:t>s</w:t>
            </w:r>
            <w:r w:rsidRPr="00D070E9">
              <w:rPr>
                <w:szCs w:val="20"/>
                <w:lang w:val="en-US"/>
              </w:rPr>
              <w:t xml:space="preserve"> achieving</w:t>
            </w:r>
            <w:r w:rsidR="006E139A" w:rsidRPr="00D070E9">
              <w:rPr>
                <w:szCs w:val="20"/>
                <w:lang w:val="en-US"/>
              </w:rPr>
              <w:t xml:space="preserve"> </w:t>
            </w:r>
            <w:r w:rsidRPr="00D070E9">
              <w:rPr>
                <w:szCs w:val="20"/>
                <w:lang w:val="en-US"/>
              </w:rPr>
              <w:t>K+</w:t>
            </w:r>
            <w:r w:rsidR="006E139A" w:rsidRPr="00D070E9">
              <w:rPr>
                <w:szCs w:val="20"/>
                <w:lang w:val="en-US"/>
              </w:rPr>
              <w:t xml:space="preserve"> thresholds</w:t>
            </w:r>
            <w:r w:rsidR="00512204" w:rsidRPr="00D070E9">
              <w:rPr>
                <w:szCs w:val="20"/>
                <w:lang w:val="en-US"/>
              </w:rPr>
              <w:t>,</w:t>
            </w:r>
          </w:p>
          <w:p w:rsidR="00512204" w:rsidRPr="00D070E9" w:rsidRDefault="00512204" w:rsidP="009D69C5">
            <w:pPr>
              <w:pStyle w:val="Tabletext"/>
              <w:keepNext/>
              <w:keepLines/>
              <w:jc w:val="center"/>
              <w:rPr>
                <w:szCs w:val="20"/>
                <w:lang w:val="en-US"/>
              </w:rPr>
            </w:pPr>
            <w:r w:rsidRPr="00D070E9">
              <w:rPr>
                <w:szCs w:val="20"/>
                <w:lang w:val="en-US"/>
              </w:rPr>
              <w:t>Safety</w:t>
            </w:r>
          </w:p>
        </w:tc>
        <w:tc>
          <w:tcPr>
            <w:tcW w:w="648" w:type="pct"/>
            <w:tcBorders>
              <w:bottom w:val="single" w:sz="4" w:space="0" w:color="auto"/>
            </w:tcBorders>
            <w:shd w:val="clear" w:color="auto" w:fill="auto"/>
            <w:vAlign w:val="center"/>
          </w:tcPr>
          <w:p w:rsidR="0074776D" w:rsidRPr="00D070E9" w:rsidRDefault="0074776D" w:rsidP="009D69C5">
            <w:pPr>
              <w:pStyle w:val="Tabletext"/>
              <w:keepNext/>
              <w:keepLines/>
              <w:jc w:val="center"/>
              <w:rPr>
                <w:szCs w:val="20"/>
                <w:lang w:val="en-US"/>
              </w:rPr>
            </w:pPr>
            <w:r w:rsidRPr="00D070E9">
              <w:rPr>
                <w:szCs w:val="20"/>
                <w:lang w:val="en-US"/>
              </w:rPr>
              <w:t>Not used</w:t>
            </w:r>
          </w:p>
        </w:tc>
      </w:tr>
      <w:tr w:rsidR="00B979DE" w:rsidRPr="00D070E9" w:rsidTr="00D070E9">
        <w:tc>
          <w:tcPr>
            <w:tcW w:w="703" w:type="pct"/>
            <w:tcBorders>
              <w:top w:val="single" w:sz="4" w:space="0" w:color="auto"/>
            </w:tcBorders>
            <w:shd w:val="clear" w:color="auto" w:fill="auto"/>
            <w:vAlign w:val="center"/>
          </w:tcPr>
          <w:p w:rsidR="002A5D33" w:rsidRPr="00D070E9" w:rsidRDefault="002A5D33" w:rsidP="009D69C5">
            <w:pPr>
              <w:pStyle w:val="Tabletext"/>
              <w:keepNext/>
              <w:keepLines/>
              <w:rPr>
                <w:szCs w:val="20"/>
                <w:lang w:val="en-US"/>
              </w:rPr>
            </w:pPr>
            <w:r w:rsidRPr="00D070E9">
              <w:rPr>
                <w:szCs w:val="20"/>
                <w:lang w:val="en-US"/>
              </w:rPr>
              <w:t xml:space="preserve">OPAL-HK </w:t>
            </w:r>
          </w:p>
          <w:p w:rsidR="002D5E04" w:rsidRPr="00D070E9" w:rsidRDefault="00846329" w:rsidP="009D69C5">
            <w:pPr>
              <w:pStyle w:val="Tabletext"/>
              <w:keepNext/>
              <w:keepLines/>
              <w:rPr>
                <w:szCs w:val="20"/>
                <w:lang w:val="en-US"/>
              </w:rPr>
            </w:pPr>
            <w:r w:rsidRPr="00D070E9">
              <w:rPr>
                <w:szCs w:val="20"/>
                <w:lang w:val="en-US"/>
              </w:rPr>
              <w:t xml:space="preserve">Part </w:t>
            </w:r>
            <w:r w:rsidR="002D5E04" w:rsidRPr="00D070E9">
              <w:rPr>
                <w:szCs w:val="20"/>
                <w:lang w:val="en-US"/>
              </w:rPr>
              <w:t>B</w:t>
            </w:r>
          </w:p>
        </w:tc>
        <w:tc>
          <w:tcPr>
            <w:tcW w:w="221" w:type="pct"/>
            <w:tcBorders>
              <w:top w:val="nil"/>
            </w:tcBorders>
            <w:shd w:val="clear" w:color="auto" w:fill="auto"/>
            <w:vAlign w:val="center"/>
          </w:tcPr>
          <w:p w:rsidR="002D5E04" w:rsidRPr="00D070E9" w:rsidRDefault="002D5E04" w:rsidP="009D69C5">
            <w:pPr>
              <w:pStyle w:val="Tabletext"/>
              <w:keepNext/>
              <w:keepLines/>
              <w:jc w:val="center"/>
              <w:rPr>
                <w:szCs w:val="20"/>
                <w:lang w:val="en-US"/>
              </w:rPr>
            </w:pPr>
            <w:r w:rsidRPr="00D070E9">
              <w:rPr>
                <w:szCs w:val="20"/>
                <w:lang w:val="en-US"/>
              </w:rPr>
              <w:t>104</w:t>
            </w:r>
          </w:p>
        </w:tc>
        <w:tc>
          <w:tcPr>
            <w:tcW w:w="700" w:type="pct"/>
            <w:tcBorders>
              <w:top w:val="nil"/>
            </w:tcBorders>
            <w:shd w:val="clear" w:color="auto" w:fill="auto"/>
            <w:vAlign w:val="center"/>
          </w:tcPr>
          <w:p w:rsidR="002D5E04" w:rsidRPr="00D070E9" w:rsidRDefault="002D5E04" w:rsidP="009D69C5">
            <w:pPr>
              <w:pStyle w:val="Tabletext"/>
              <w:keepNext/>
              <w:keepLines/>
              <w:jc w:val="center"/>
              <w:rPr>
                <w:szCs w:val="20"/>
                <w:lang w:val="en-US"/>
              </w:rPr>
            </w:pPr>
            <w:r w:rsidRPr="00D070E9">
              <w:rPr>
                <w:szCs w:val="20"/>
                <w:lang w:val="en-US"/>
              </w:rPr>
              <w:t xml:space="preserve">R, PC, SB, MC, </w:t>
            </w:r>
          </w:p>
          <w:p w:rsidR="002D5E04" w:rsidRPr="00D070E9" w:rsidRDefault="002D5E04" w:rsidP="009D69C5">
            <w:pPr>
              <w:pStyle w:val="Tabletext"/>
              <w:keepNext/>
              <w:keepLines/>
              <w:jc w:val="center"/>
              <w:rPr>
                <w:szCs w:val="20"/>
                <w:lang w:val="en-US"/>
              </w:rPr>
            </w:pPr>
            <w:r w:rsidRPr="00D070E9">
              <w:rPr>
                <w:szCs w:val="20"/>
                <w:lang w:val="en-US"/>
              </w:rPr>
              <w:t>8 week withdrawal study</w:t>
            </w:r>
          </w:p>
        </w:tc>
        <w:tc>
          <w:tcPr>
            <w:tcW w:w="385" w:type="pct"/>
            <w:tcBorders>
              <w:top w:val="nil"/>
            </w:tcBorders>
            <w:shd w:val="clear" w:color="auto" w:fill="auto"/>
            <w:vAlign w:val="center"/>
          </w:tcPr>
          <w:p w:rsidR="002D5E04" w:rsidRPr="00D070E9" w:rsidRDefault="002D5E04" w:rsidP="009D69C5">
            <w:pPr>
              <w:pStyle w:val="Tabletext"/>
              <w:keepNext/>
              <w:keepLines/>
              <w:jc w:val="center"/>
              <w:rPr>
                <w:szCs w:val="20"/>
                <w:lang w:val="en-US"/>
              </w:rPr>
            </w:pPr>
            <w:r w:rsidRPr="00D070E9">
              <w:rPr>
                <w:szCs w:val="20"/>
                <w:lang w:val="en-US"/>
              </w:rPr>
              <w:t>High</w:t>
            </w:r>
          </w:p>
        </w:tc>
        <w:tc>
          <w:tcPr>
            <w:tcW w:w="1250" w:type="pct"/>
            <w:tcBorders>
              <w:top w:val="nil"/>
            </w:tcBorders>
            <w:shd w:val="clear" w:color="auto" w:fill="auto"/>
            <w:vAlign w:val="center"/>
          </w:tcPr>
          <w:p w:rsidR="002D5E04" w:rsidRPr="00D070E9" w:rsidRDefault="002D5E04" w:rsidP="009D69C5">
            <w:pPr>
              <w:pStyle w:val="Tabletext"/>
              <w:keepNext/>
              <w:keepLines/>
              <w:jc w:val="center"/>
              <w:rPr>
                <w:szCs w:val="20"/>
                <w:lang w:val="en-US"/>
              </w:rPr>
            </w:pPr>
            <w:r w:rsidRPr="00D070E9">
              <w:rPr>
                <w:szCs w:val="20"/>
                <w:lang w:val="en-US"/>
              </w:rPr>
              <w:t>Completed Part A</w:t>
            </w:r>
          </w:p>
          <w:p w:rsidR="002D5E04" w:rsidRPr="00D070E9" w:rsidRDefault="002D5E04" w:rsidP="009D69C5">
            <w:pPr>
              <w:pStyle w:val="Tabletext"/>
              <w:keepNext/>
              <w:keepLines/>
              <w:jc w:val="center"/>
              <w:rPr>
                <w:szCs w:val="20"/>
              </w:rPr>
            </w:pPr>
            <w:r w:rsidRPr="00D070E9">
              <w:rPr>
                <w:szCs w:val="20"/>
                <w:lang w:val="en-US"/>
              </w:rPr>
              <w:t xml:space="preserve">with K+ </w:t>
            </w:r>
            <w:r w:rsidRPr="00D070E9">
              <w:rPr>
                <w:szCs w:val="20"/>
              </w:rPr>
              <w:t>3.8 to &lt; 5.1 mmol/L,</w:t>
            </w:r>
          </w:p>
          <w:p w:rsidR="002D5E04" w:rsidRPr="00D070E9" w:rsidRDefault="002D5E04" w:rsidP="009D69C5">
            <w:pPr>
              <w:pStyle w:val="Tabletext"/>
              <w:keepNext/>
              <w:keepLines/>
              <w:jc w:val="center"/>
              <w:rPr>
                <w:szCs w:val="20"/>
                <w:lang w:val="en-US"/>
              </w:rPr>
            </w:pPr>
            <w:r w:rsidRPr="00D070E9">
              <w:rPr>
                <w:szCs w:val="20"/>
                <w:lang w:val="en-US"/>
              </w:rPr>
              <w:t xml:space="preserve">Part A baseline </w:t>
            </w:r>
          </w:p>
          <w:p w:rsidR="002D5E04" w:rsidRPr="00D070E9" w:rsidRDefault="002D5E04" w:rsidP="009D69C5">
            <w:pPr>
              <w:pStyle w:val="Tabletext"/>
              <w:keepNext/>
              <w:keepLines/>
              <w:jc w:val="center"/>
              <w:rPr>
                <w:szCs w:val="20"/>
                <w:lang w:val="en-US"/>
              </w:rPr>
            </w:pPr>
            <w:r w:rsidRPr="00D070E9">
              <w:rPr>
                <w:szCs w:val="20"/>
                <w:lang w:val="en-US"/>
              </w:rPr>
              <w:t xml:space="preserve">K+ ≥ </w:t>
            </w:r>
            <w:r w:rsidRPr="00D070E9">
              <w:rPr>
                <w:szCs w:val="20"/>
              </w:rPr>
              <w:t>5.5 mmol/L</w:t>
            </w:r>
            <w:r w:rsidRPr="00D070E9">
              <w:rPr>
                <w:szCs w:val="20"/>
                <w:lang w:val="en-US"/>
              </w:rPr>
              <w:t>,</w:t>
            </w:r>
          </w:p>
          <w:p w:rsidR="002D5E04" w:rsidRPr="00D070E9" w:rsidRDefault="002D5E04" w:rsidP="009D69C5">
            <w:pPr>
              <w:pStyle w:val="Tabletext"/>
              <w:keepNext/>
              <w:keepLines/>
              <w:jc w:val="center"/>
              <w:rPr>
                <w:szCs w:val="20"/>
                <w:lang w:val="en-US"/>
              </w:rPr>
            </w:pPr>
            <w:r w:rsidRPr="00D070E9">
              <w:rPr>
                <w:szCs w:val="20"/>
                <w:lang w:val="en-US"/>
              </w:rPr>
              <w:t>≥ 1 RAASi at Part A week 4</w:t>
            </w:r>
          </w:p>
        </w:tc>
        <w:tc>
          <w:tcPr>
            <w:tcW w:w="1092" w:type="pct"/>
            <w:tcBorders>
              <w:top w:val="nil"/>
            </w:tcBorders>
            <w:shd w:val="clear" w:color="auto" w:fill="auto"/>
            <w:vAlign w:val="center"/>
          </w:tcPr>
          <w:p w:rsidR="002D5E04" w:rsidRPr="00D070E9" w:rsidRDefault="002D5E04" w:rsidP="009D69C5">
            <w:pPr>
              <w:pStyle w:val="Tabletext"/>
              <w:keepNext/>
              <w:keepLines/>
              <w:jc w:val="center"/>
              <w:rPr>
                <w:szCs w:val="20"/>
                <w:lang w:val="en-US"/>
              </w:rPr>
            </w:pPr>
            <w:r w:rsidRPr="00D070E9">
              <w:rPr>
                <w:szCs w:val="20"/>
                <w:lang w:val="en-US"/>
              </w:rPr>
              <w:t>Mean change in K+ from baseline to week 8,</w:t>
            </w:r>
          </w:p>
          <w:p w:rsidR="002D5E04" w:rsidRPr="00D070E9" w:rsidRDefault="002D5E04" w:rsidP="009D69C5">
            <w:pPr>
              <w:pStyle w:val="Tabletext"/>
              <w:keepNext/>
              <w:keepLines/>
              <w:jc w:val="center"/>
              <w:rPr>
                <w:szCs w:val="20"/>
                <w:lang w:val="en-US"/>
              </w:rPr>
            </w:pPr>
            <w:r w:rsidRPr="00D070E9">
              <w:rPr>
                <w:szCs w:val="20"/>
                <w:lang w:val="en-US"/>
              </w:rPr>
              <w:t>Proportions of patient</w:t>
            </w:r>
            <w:r w:rsidR="006E139A" w:rsidRPr="00D070E9">
              <w:rPr>
                <w:szCs w:val="20"/>
                <w:lang w:val="en-US"/>
              </w:rPr>
              <w:t>s</w:t>
            </w:r>
            <w:r w:rsidRPr="00D070E9">
              <w:rPr>
                <w:szCs w:val="20"/>
                <w:lang w:val="en-US"/>
              </w:rPr>
              <w:t xml:space="preserve"> with  K+ ≥ 5.5 mmol/L,</w:t>
            </w:r>
          </w:p>
          <w:p w:rsidR="00512204" w:rsidRPr="00D070E9" w:rsidRDefault="006E139A" w:rsidP="009D69C5">
            <w:pPr>
              <w:pStyle w:val="Tabletext"/>
              <w:keepNext/>
              <w:keepLines/>
              <w:jc w:val="center"/>
              <w:rPr>
                <w:szCs w:val="20"/>
                <w:lang w:val="en-US"/>
              </w:rPr>
            </w:pPr>
            <w:r w:rsidRPr="00D070E9">
              <w:rPr>
                <w:szCs w:val="20"/>
                <w:lang w:val="en-US"/>
              </w:rPr>
              <w:t xml:space="preserve">Proportions of patients changing </w:t>
            </w:r>
            <w:r w:rsidR="002D5E04" w:rsidRPr="00D070E9">
              <w:rPr>
                <w:szCs w:val="20"/>
                <w:lang w:val="en-US"/>
              </w:rPr>
              <w:t>RAASi dose</w:t>
            </w:r>
            <w:r w:rsidR="00512204" w:rsidRPr="00D070E9">
              <w:rPr>
                <w:szCs w:val="20"/>
                <w:lang w:val="en-US"/>
              </w:rPr>
              <w:t>,</w:t>
            </w:r>
          </w:p>
          <w:p w:rsidR="002D5E04" w:rsidRPr="00D070E9" w:rsidRDefault="00512204" w:rsidP="009D69C5">
            <w:pPr>
              <w:pStyle w:val="Tabletext"/>
              <w:keepNext/>
              <w:keepLines/>
              <w:jc w:val="center"/>
              <w:rPr>
                <w:szCs w:val="20"/>
                <w:lang w:val="en-US"/>
              </w:rPr>
            </w:pPr>
            <w:r w:rsidRPr="00D070E9">
              <w:rPr>
                <w:szCs w:val="20"/>
                <w:lang w:val="en-US"/>
              </w:rPr>
              <w:t>Safety</w:t>
            </w:r>
          </w:p>
        </w:tc>
        <w:tc>
          <w:tcPr>
            <w:tcW w:w="648" w:type="pct"/>
            <w:tcBorders>
              <w:top w:val="nil"/>
            </w:tcBorders>
            <w:shd w:val="clear" w:color="auto" w:fill="auto"/>
            <w:vAlign w:val="center"/>
          </w:tcPr>
          <w:p w:rsidR="002D5E04" w:rsidRPr="00D070E9" w:rsidRDefault="00846329" w:rsidP="009D69C5">
            <w:pPr>
              <w:pStyle w:val="Tabletext"/>
              <w:keepNext/>
              <w:keepLines/>
              <w:jc w:val="center"/>
              <w:rPr>
                <w:szCs w:val="20"/>
                <w:lang w:val="en-US"/>
              </w:rPr>
            </w:pPr>
            <w:r w:rsidRPr="00D070E9">
              <w:rPr>
                <w:szCs w:val="20"/>
                <w:lang w:val="en-US"/>
              </w:rPr>
              <w:t>Patient characteristics,</w:t>
            </w:r>
          </w:p>
          <w:p w:rsidR="00846329" w:rsidRPr="00D070E9" w:rsidRDefault="00846329" w:rsidP="009D69C5">
            <w:pPr>
              <w:pStyle w:val="Tabletext"/>
              <w:keepNext/>
              <w:keepLines/>
              <w:jc w:val="center"/>
              <w:rPr>
                <w:szCs w:val="20"/>
                <w:lang w:val="en-US"/>
              </w:rPr>
            </w:pPr>
            <w:r w:rsidRPr="00D070E9">
              <w:rPr>
                <w:szCs w:val="20"/>
                <w:lang w:val="en-US"/>
              </w:rPr>
              <w:t>patiromer dose and treatment effect,</w:t>
            </w:r>
          </w:p>
          <w:p w:rsidR="00846329" w:rsidRPr="00D070E9" w:rsidRDefault="00B979DE" w:rsidP="009D69C5">
            <w:pPr>
              <w:pStyle w:val="Tabletext"/>
              <w:keepNext/>
              <w:keepLines/>
              <w:jc w:val="center"/>
              <w:rPr>
                <w:szCs w:val="20"/>
                <w:lang w:val="en-US"/>
              </w:rPr>
            </w:pPr>
            <w:r w:rsidRPr="00D070E9">
              <w:rPr>
                <w:szCs w:val="20"/>
                <w:lang w:val="en-US"/>
              </w:rPr>
              <w:t xml:space="preserve">short term incidence </w:t>
            </w:r>
            <w:r w:rsidR="00846329" w:rsidRPr="00D070E9">
              <w:rPr>
                <w:szCs w:val="20"/>
                <w:lang w:val="en-US"/>
              </w:rPr>
              <w:t>of</w:t>
            </w:r>
          </w:p>
          <w:p w:rsidR="00846329" w:rsidRPr="00D070E9" w:rsidRDefault="00846329" w:rsidP="009D69C5">
            <w:pPr>
              <w:pStyle w:val="Tabletext"/>
              <w:keepNext/>
              <w:keepLines/>
              <w:jc w:val="center"/>
              <w:rPr>
                <w:szCs w:val="20"/>
                <w:lang w:val="en-US"/>
              </w:rPr>
            </w:pPr>
            <w:r w:rsidRPr="00D070E9">
              <w:rPr>
                <w:szCs w:val="20"/>
                <w:lang w:val="en-US"/>
              </w:rPr>
              <w:t xml:space="preserve">hyperkalaemia </w:t>
            </w:r>
          </w:p>
        </w:tc>
      </w:tr>
      <w:tr w:rsidR="00B979DE" w:rsidRPr="00D070E9" w:rsidTr="00D070E9">
        <w:tc>
          <w:tcPr>
            <w:tcW w:w="703" w:type="pct"/>
            <w:shd w:val="clear" w:color="auto" w:fill="auto"/>
            <w:vAlign w:val="center"/>
          </w:tcPr>
          <w:p w:rsidR="002D5E04" w:rsidRPr="00D070E9" w:rsidRDefault="002D5E04" w:rsidP="009D69C5">
            <w:pPr>
              <w:pStyle w:val="Tabletext"/>
              <w:keepNext/>
              <w:keepLines/>
              <w:rPr>
                <w:szCs w:val="20"/>
                <w:lang w:val="en-US"/>
              </w:rPr>
            </w:pPr>
            <w:r w:rsidRPr="00D070E9">
              <w:rPr>
                <w:szCs w:val="20"/>
                <w:lang w:val="en-US"/>
              </w:rPr>
              <w:t>PEARL-HF</w:t>
            </w:r>
          </w:p>
        </w:tc>
        <w:tc>
          <w:tcPr>
            <w:tcW w:w="221" w:type="pct"/>
            <w:shd w:val="clear" w:color="auto" w:fill="auto"/>
            <w:vAlign w:val="center"/>
          </w:tcPr>
          <w:p w:rsidR="002D5E04" w:rsidRPr="00D070E9" w:rsidRDefault="002D5E04" w:rsidP="009D69C5">
            <w:pPr>
              <w:pStyle w:val="Tabletext"/>
              <w:keepNext/>
              <w:keepLines/>
              <w:jc w:val="center"/>
              <w:rPr>
                <w:szCs w:val="20"/>
                <w:lang w:val="en-US"/>
              </w:rPr>
            </w:pPr>
            <w:r w:rsidRPr="00D070E9">
              <w:rPr>
                <w:szCs w:val="20"/>
                <w:lang w:val="en-US"/>
              </w:rPr>
              <w:t>120</w:t>
            </w:r>
          </w:p>
        </w:tc>
        <w:tc>
          <w:tcPr>
            <w:tcW w:w="700" w:type="pct"/>
            <w:shd w:val="clear" w:color="auto" w:fill="auto"/>
            <w:vAlign w:val="center"/>
          </w:tcPr>
          <w:p w:rsidR="002D5E04" w:rsidRPr="00D070E9" w:rsidRDefault="002D5E04" w:rsidP="009D69C5">
            <w:pPr>
              <w:pStyle w:val="Tabletext"/>
              <w:keepNext/>
              <w:keepLines/>
              <w:jc w:val="center"/>
              <w:rPr>
                <w:szCs w:val="20"/>
                <w:lang w:val="en-US"/>
              </w:rPr>
            </w:pPr>
            <w:r w:rsidRPr="00D070E9">
              <w:rPr>
                <w:szCs w:val="20"/>
                <w:lang w:val="en-US"/>
              </w:rPr>
              <w:t xml:space="preserve">R, </w:t>
            </w:r>
            <w:r w:rsidR="00A04F06" w:rsidRPr="00D070E9">
              <w:rPr>
                <w:szCs w:val="20"/>
                <w:lang w:val="en-US"/>
              </w:rPr>
              <w:t xml:space="preserve">PC, </w:t>
            </w:r>
            <w:r w:rsidRPr="00D070E9">
              <w:rPr>
                <w:szCs w:val="20"/>
                <w:lang w:val="en-US"/>
              </w:rPr>
              <w:t xml:space="preserve">DB, MC, </w:t>
            </w:r>
          </w:p>
          <w:p w:rsidR="002D5E04" w:rsidRPr="00D070E9" w:rsidRDefault="00042F1D" w:rsidP="009D69C5">
            <w:pPr>
              <w:pStyle w:val="Tabletext"/>
              <w:keepNext/>
              <w:keepLines/>
              <w:jc w:val="center"/>
              <w:rPr>
                <w:szCs w:val="20"/>
                <w:lang w:val="en-US"/>
              </w:rPr>
            </w:pPr>
            <w:r w:rsidRPr="00D070E9">
              <w:rPr>
                <w:szCs w:val="20"/>
                <w:lang w:val="en-US"/>
              </w:rPr>
              <w:t>4 weeks</w:t>
            </w:r>
          </w:p>
        </w:tc>
        <w:tc>
          <w:tcPr>
            <w:tcW w:w="385" w:type="pct"/>
            <w:shd w:val="clear" w:color="auto" w:fill="auto"/>
            <w:vAlign w:val="center"/>
          </w:tcPr>
          <w:p w:rsidR="002D5E04" w:rsidRPr="00D070E9" w:rsidRDefault="002D5E04" w:rsidP="009D69C5">
            <w:pPr>
              <w:pStyle w:val="Tabletext"/>
              <w:keepNext/>
              <w:keepLines/>
              <w:jc w:val="center"/>
              <w:rPr>
                <w:szCs w:val="20"/>
                <w:lang w:val="en-US"/>
              </w:rPr>
            </w:pPr>
            <w:r w:rsidRPr="00D070E9">
              <w:rPr>
                <w:szCs w:val="20"/>
                <w:lang w:val="en-US"/>
              </w:rPr>
              <w:t>High</w:t>
            </w:r>
          </w:p>
        </w:tc>
        <w:tc>
          <w:tcPr>
            <w:tcW w:w="1250" w:type="pct"/>
            <w:shd w:val="clear" w:color="auto" w:fill="auto"/>
            <w:vAlign w:val="center"/>
          </w:tcPr>
          <w:p w:rsidR="002D5E04" w:rsidRPr="00D070E9" w:rsidRDefault="002D5E04" w:rsidP="009D69C5">
            <w:pPr>
              <w:pStyle w:val="Tabletext"/>
              <w:keepNext/>
              <w:keepLines/>
              <w:jc w:val="center"/>
              <w:rPr>
                <w:szCs w:val="20"/>
                <w:lang w:val="en-US"/>
              </w:rPr>
            </w:pPr>
            <w:r w:rsidRPr="00D070E9">
              <w:rPr>
                <w:szCs w:val="20"/>
                <w:lang w:val="en-US"/>
              </w:rPr>
              <w:t>Adults 30-80 years,</w:t>
            </w:r>
          </w:p>
          <w:p w:rsidR="002D5E04" w:rsidRPr="00D070E9" w:rsidRDefault="002D5E04" w:rsidP="009D69C5">
            <w:pPr>
              <w:pStyle w:val="Tabletext"/>
              <w:keepNext/>
              <w:keepLines/>
              <w:jc w:val="center"/>
              <w:rPr>
                <w:szCs w:val="20"/>
                <w:lang w:val="en-US"/>
              </w:rPr>
            </w:pPr>
            <w:r w:rsidRPr="00D070E9">
              <w:rPr>
                <w:szCs w:val="20"/>
                <w:lang w:val="en-US"/>
              </w:rPr>
              <w:t>CKD Stage 3+,</w:t>
            </w:r>
          </w:p>
          <w:p w:rsidR="002D5E04" w:rsidRPr="00D070E9" w:rsidRDefault="002D5E04" w:rsidP="009D69C5">
            <w:pPr>
              <w:pStyle w:val="Tabletext"/>
              <w:keepNext/>
              <w:keepLines/>
              <w:jc w:val="center"/>
              <w:rPr>
                <w:szCs w:val="20"/>
              </w:rPr>
            </w:pPr>
            <w:r w:rsidRPr="00D070E9">
              <w:rPr>
                <w:szCs w:val="20"/>
                <w:lang w:val="en-US"/>
              </w:rPr>
              <w:t xml:space="preserve">K+ </w:t>
            </w:r>
            <w:r w:rsidRPr="00D070E9">
              <w:rPr>
                <w:szCs w:val="20"/>
              </w:rPr>
              <w:t>4.3 to &lt; 5.1 mmol/L,</w:t>
            </w:r>
          </w:p>
          <w:p w:rsidR="002D5E04" w:rsidRPr="00D070E9" w:rsidRDefault="002D5E04" w:rsidP="009D69C5">
            <w:pPr>
              <w:pStyle w:val="Tabletext"/>
              <w:keepNext/>
              <w:keepLines/>
              <w:jc w:val="center"/>
              <w:rPr>
                <w:szCs w:val="20"/>
                <w:lang w:val="en-US"/>
              </w:rPr>
            </w:pPr>
            <w:r w:rsidRPr="00D070E9">
              <w:rPr>
                <w:szCs w:val="20"/>
              </w:rPr>
              <w:t xml:space="preserve">CHF indicated for spironolactone </w:t>
            </w:r>
          </w:p>
        </w:tc>
        <w:tc>
          <w:tcPr>
            <w:tcW w:w="1092" w:type="pct"/>
            <w:shd w:val="clear" w:color="auto" w:fill="auto"/>
            <w:vAlign w:val="center"/>
          </w:tcPr>
          <w:p w:rsidR="002D5E04" w:rsidRPr="00D070E9" w:rsidRDefault="002D5E04" w:rsidP="009D69C5">
            <w:pPr>
              <w:pStyle w:val="Tabletext"/>
              <w:keepNext/>
              <w:keepLines/>
              <w:jc w:val="center"/>
              <w:rPr>
                <w:szCs w:val="20"/>
                <w:lang w:val="en-US"/>
              </w:rPr>
            </w:pPr>
            <w:r w:rsidRPr="00D070E9">
              <w:rPr>
                <w:szCs w:val="20"/>
                <w:lang w:val="en-US"/>
              </w:rPr>
              <w:t>Mean change in K+ from baseline to week 4,</w:t>
            </w:r>
          </w:p>
          <w:p w:rsidR="002D5E04" w:rsidRPr="00D070E9" w:rsidRDefault="00512204" w:rsidP="009D69C5">
            <w:pPr>
              <w:pStyle w:val="Tabletext"/>
              <w:keepNext/>
              <w:keepLines/>
              <w:jc w:val="center"/>
              <w:rPr>
                <w:szCs w:val="20"/>
                <w:lang w:val="en-US"/>
              </w:rPr>
            </w:pPr>
            <w:r w:rsidRPr="00D070E9">
              <w:rPr>
                <w:szCs w:val="20"/>
                <w:lang w:val="en-US"/>
              </w:rPr>
              <w:t>Safety</w:t>
            </w:r>
          </w:p>
        </w:tc>
        <w:tc>
          <w:tcPr>
            <w:tcW w:w="648" w:type="pct"/>
            <w:shd w:val="clear" w:color="auto" w:fill="auto"/>
            <w:vAlign w:val="center"/>
          </w:tcPr>
          <w:p w:rsidR="002D5E04" w:rsidRPr="00D070E9" w:rsidRDefault="002D5E04" w:rsidP="009D69C5">
            <w:pPr>
              <w:pStyle w:val="Tabletext"/>
              <w:keepNext/>
              <w:keepLines/>
              <w:jc w:val="center"/>
              <w:rPr>
                <w:szCs w:val="20"/>
                <w:lang w:val="en-US"/>
              </w:rPr>
            </w:pPr>
            <w:r w:rsidRPr="00D070E9">
              <w:rPr>
                <w:szCs w:val="20"/>
                <w:lang w:val="en-US"/>
              </w:rPr>
              <w:t>Not used</w:t>
            </w:r>
          </w:p>
        </w:tc>
      </w:tr>
      <w:tr w:rsidR="00B979DE" w:rsidRPr="00D070E9" w:rsidTr="00D070E9">
        <w:tc>
          <w:tcPr>
            <w:tcW w:w="703" w:type="pct"/>
            <w:shd w:val="clear" w:color="auto" w:fill="auto"/>
            <w:vAlign w:val="center"/>
          </w:tcPr>
          <w:p w:rsidR="00512204" w:rsidRPr="00D070E9" w:rsidRDefault="00512204" w:rsidP="009D69C5">
            <w:pPr>
              <w:pStyle w:val="Tabletext"/>
              <w:keepNext/>
              <w:keepLines/>
              <w:rPr>
                <w:szCs w:val="20"/>
                <w:lang w:val="en-US"/>
              </w:rPr>
            </w:pPr>
            <w:r w:rsidRPr="00D070E9">
              <w:rPr>
                <w:szCs w:val="20"/>
                <w:lang w:val="en-US"/>
              </w:rPr>
              <w:t>AMETHYST-DN</w:t>
            </w:r>
          </w:p>
        </w:tc>
        <w:tc>
          <w:tcPr>
            <w:tcW w:w="221" w:type="pct"/>
            <w:shd w:val="clear" w:color="auto" w:fill="auto"/>
            <w:vAlign w:val="center"/>
          </w:tcPr>
          <w:p w:rsidR="00512204" w:rsidRPr="00D070E9" w:rsidRDefault="00512204" w:rsidP="009D69C5">
            <w:pPr>
              <w:pStyle w:val="Tabletext"/>
              <w:keepNext/>
              <w:keepLines/>
              <w:jc w:val="center"/>
              <w:rPr>
                <w:szCs w:val="20"/>
                <w:lang w:val="en-US"/>
              </w:rPr>
            </w:pPr>
            <w:r w:rsidRPr="00D070E9">
              <w:rPr>
                <w:szCs w:val="20"/>
                <w:lang w:val="en-US"/>
              </w:rPr>
              <w:t>306</w:t>
            </w:r>
          </w:p>
        </w:tc>
        <w:tc>
          <w:tcPr>
            <w:tcW w:w="700" w:type="pct"/>
            <w:shd w:val="clear" w:color="auto" w:fill="auto"/>
            <w:vAlign w:val="center"/>
          </w:tcPr>
          <w:p w:rsidR="00512204" w:rsidRPr="00D070E9" w:rsidRDefault="00512204" w:rsidP="009D69C5">
            <w:pPr>
              <w:pStyle w:val="Tabletext"/>
              <w:keepNext/>
              <w:keepLines/>
              <w:jc w:val="center"/>
              <w:rPr>
                <w:szCs w:val="20"/>
                <w:lang w:val="en-US"/>
              </w:rPr>
            </w:pPr>
            <w:r w:rsidRPr="00D070E9">
              <w:rPr>
                <w:szCs w:val="20"/>
                <w:lang w:val="en-US"/>
              </w:rPr>
              <w:t xml:space="preserve">OL, MC, </w:t>
            </w:r>
          </w:p>
          <w:p w:rsidR="008240CA" w:rsidRPr="00D070E9" w:rsidRDefault="008240CA" w:rsidP="009D69C5">
            <w:pPr>
              <w:pStyle w:val="Tabletext"/>
              <w:keepNext/>
              <w:keepLines/>
              <w:jc w:val="center"/>
              <w:rPr>
                <w:szCs w:val="20"/>
                <w:lang w:val="en-US"/>
              </w:rPr>
            </w:pPr>
            <w:r w:rsidRPr="00D070E9">
              <w:rPr>
                <w:szCs w:val="20"/>
                <w:lang w:val="en-US"/>
              </w:rPr>
              <w:t>52 week</w:t>
            </w:r>
          </w:p>
        </w:tc>
        <w:tc>
          <w:tcPr>
            <w:tcW w:w="385" w:type="pct"/>
            <w:shd w:val="clear" w:color="auto" w:fill="auto"/>
            <w:vAlign w:val="center"/>
          </w:tcPr>
          <w:p w:rsidR="00512204" w:rsidRPr="00D070E9" w:rsidRDefault="00512204" w:rsidP="009D69C5">
            <w:pPr>
              <w:pStyle w:val="Tabletext"/>
              <w:keepNext/>
              <w:keepLines/>
              <w:jc w:val="center"/>
              <w:rPr>
                <w:szCs w:val="20"/>
                <w:lang w:val="en-US"/>
              </w:rPr>
            </w:pPr>
            <w:r w:rsidRPr="00D070E9">
              <w:rPr>
                <w:szCs w:val="20"/>
                <w:lang w:val="en-US"/>
              </w:rPr>
              <w:t>High</w:t>
            </w:r>
          </w:p>
        </w:tc>
        <w:tc>
          <w:tcPr>
            <w:tcW w:w="1250" w:type="pct"/>
            <w:shd w:val="clear" w:color="auto" w:fill="auto"/>
            <w:vAlign w:val="center"/>
          </w:tcPr>
          <w:p w:rsidR="00512204" w:rsidRPr="00D070E9" w:rsidRDefault="00512204" w:rsidP="009D69C5">
            <w:pPr>
              <w:pStyle w:val="Tabletext"/>
              <w:keepNext/>
              <w:keepLines/>
              <w:jc w:val="center"/>
              <w:rPr>
                <w:szCs w:val="20"/>
                <w:lang w:val="en-US"/>
              </w:rPr>
            </w:pPr>
            <w:r w:rsidRPr="00D070E9">
              <w:rPr>
                <w:szCs w:val="20"/>
                <w:lang w:val="en-US"/>
              </w:rPr>
              <w:t>Adults 30-80 years,</w:t>
            </w:r>
          </w:p>
          <w:p w:rsidR="00512204" w:rsidRPr="00D070E9" w:rsidRDefault="00512204" w:rsidP="009D69C5">
            <w:pPr>
              <w:pStyle w:val="Tabletext"/>
              <w:keepNext/>
              <w:keepLines/>
              <w:jc w:val="center"/>
              <w:rPr>
                <w:szCs w:val="20"/>
                <w:lang w:val="en-US"/>
              </w:rPr>
            </w:pPr>
            <w:r w:rsidRPr="00D070E9">
              <w:rPr>
                <w:szCs w:val="20"/>
                <w:lang w:val="en-US"/>
              </w:rPr>
              <w:t>CKD Stage 3-4,</w:t>
            </w:r>
          </w:p>
          <w:p w:rsidR="00512204" w:rsidRPr="00D070E9" w:rsidRDefault="00512204" w:rsidP="009D69C5">
            <w:pPr>
              <w:pStyle w:val="Tabletext"/>
              <w:keepNext/>
              <w:keepLines/>
              <w:jc w:val="center"/>
              <w:rPr>
                <w:szCs w:val="20"/>
              </w:rPr>
            </w:pPr>
            <w:r w:rsidRPr="00D070E9">
              <w:rPr>
                <w:szCs w:val="20"/>
                <w:lang w:val="en-US"/>
              </w:rPr>
              <w:t xml:space="preserve">K+ </w:t>
            </w:r>
            <w:r w:rsidRPr="00D070E9">
              <w:rPr>
                <w:szCs w:val="20"/>
              </w:rPr>
              <w:t>5.0 to &lt; 6.0 mmol/L,</w:t>
            </w:r>
          </w:p>
          <w:p w:rsidR="00597769" w:rsidRPr="00D070E9" w:rsidRDefault="00512204" w:rsidP="009D69C5">
            <w:pPr>
              <w:pStyle w:val="Tabletext"/>
              <w:keepNext/>
              <w:keepLines/>
              <w:jc w:val="center"/>
              <w:rPr>
                <w:szCs w:val="20"/>
              </w:rPr>
            </w:pPr>
            <w:r w:rsidRPr="00D070E9">
              <w:rPr>
                <w:szCs w:val="20"/>
              </w:rPr>
              <w:t>T2DM diagnosed at 30+ years</w:t>
            </w:r>
            <w:r w:rsidR="004E7F33" w:rsidRPr="00D070E9">
              <w:rPr>
                <w:szCs w:val="20"/>
              </w:rPr>
              <w:t xml:space="preserve"> on pharmacological intervention</w:t>
            </w:r>
            <w:r w:rsidR="00597769" w:rsidRPr="00D070E9">
              <w:rPr>
                <w:szCs w:val="20"/>
              </w:rPr>
              <w:t>, hypertension,</w:t>
            </w:r>
          </w:p>
          <w:p w:rsidR="00597769" w:rsidRPr="00D070E9" w:rsidRDefault="00597769" w:rsidP="009D69C5">
            <w:pPr>
              <w:pStyle w:val="Tabletext"/>
              <w:keepNext/>
              <w:keepLines/>
              <w:jc w:val="center"/>
              <w:rPr>
                <w:szCs w:val="20"/>
              </w:rPr>
            </w:pPr>
            <w:r w:rsidRPr="00D070E9">
              <w:rPr>
                <w:szCs w:val="20"/>
                <w:lang w:val="en-US"/>
              </w:rPr>
              <w:t>≥ 1 RAASi</w:t>
            </w:r>
          </w:p>
        </w:tc>
        <w:tc>
          <w:tcPr>
            <w:tcW w:w="1092" w:type="pct"/>
            <w:shd w:val="clear" w:color="auto" w:fill="auto"/>
            <w:vAlign w:val="center"/>
          </w:tcPr>
          <w:p w:rsidR="00512204" w:rsidRPr="00D070E9" w:rsidRDefault="00512204" w:rsidP="009D69C5">
            <w:pPr>
              <w:pStyle w:val="Tabletext"/>
              <w:keepNext/>
              <w:keepLines/>
              <w:jc w:val="center"/>
              <w:rPr>
                <w:szCs w:val="20"/>
                <w:lang w:val="en-US"/>
              </w:rPr>
            </w:pPr>
            <w:r w:rsidRPr="00D070E9">
              <w:rPr>
                <w:szCs w:val="20"/>
                <w:lang w:val="en-US"/>
              </w:rPr>
              <w:t>Mean change in K+ baseli</w:t>
            </w:r>
            <w:r w:rsidR="006E139A" w:rsidRPr="00D070E9">
              <w:rPr>
                <w:szCs w:val="20"/>
                <w:lang w:val="en-US"/>
              </w:rPr>
              <w:t>ne to weeks 4 &amp; 8, or dose titr</w:t>
            </w:r>
            <w:r w:rsidRPr="00D070E9">
              <w:rPr>
                <w:szCs w:val="20"/>
                <w:lang w:val="en-US"/>
              </w:rPr>
              <w:t>ation</w:t>
            </w:r>
          </w:p>
          <w:p w:rsidR="00512204" w:rsidRPr="00D070E9" w:rsidRDefault="00512204" w:rsidP="009D69C5">
            <w:pPr>
              <w:pStyle w:val="Tabletext"/>
              <w:keepNext/>
              <w:keepLines/>
              <w:jc w:val="center"/>
              <w:rPr>
                <w:szCs w:val="20"/>
                <w:lang w:val="en-US"/>
              </w:rPr>
            </w:pPr>
            <w:r w:rsidRPr="00D070E9">
              <w:rPr>
                <w:szCs w:val="20"/>
                <w:lang w:val="en-US"/>
              </w:rPr>
              <w:t>Proportions of patient achieving K+ thresholds, Safety</w:t>
            </w:r>
          </w:p>
        </w:tc>
        <w:tc>
          <w:tcPr>
            <w:tcW w:w="648" w:type="pct"/>
            <w:shd w:val="clear" w:color="auto" w:fill="auto"/>
            <w:vAlign w:val="center"/>
          </w:tcPr>
          <w:p w:rsidR="00B979DE" w:rsidRPr="00D070E9" w:rsidRDefault="00B979DE" w:rsidP="009D69C5">
            <w:pPr>
              <w:pStyle w:val="Tabletext"/>
              <w:keepNext/>
              <w:keepLines/>
              <w:jc w:val="center"/>
              <w:rPr>
                <w:szCs w:val="20"/>
                <w:lang w:val="en-US"/>
              </w:rPr>
            </w:pPr>
            <w:r w:rsidRPr="00D070E9">
              <w:rPr>
                <w:szCs w:val="20"/>
                <w:lang w:val="en-US"/>
              </w:rPr>
              <w:t>Long term incidence of hyperkalaemia,</w:t>
            </w:r>
          </w:p>
          <w:p w:rsidR="00512204" w:rsidRPr="00D070E9" w:rsidRDefault="00B979DE" w:rsidP="009D69C5">
            <w:pPr>
              <w:pStyle w:val="Tabletext"/>
              <w:keepNext/>
              <w:keepLines/>
              <w:jc w:val="center"/>
              <w:rPr>
                <w:szCs w:val="20"/>
                <w:lang w:val="en-US"/>
              </w:rPr>
            </w:pPr>
            <w:r w:rsidRPr="00D070E9">
              <w:rPr>
                <w:szCs w:val="20"/>
                <w:lang w:val="en-US"/>
              </w:rPr>
              <w:t xml:space="preserve">patiromer compliance </w:t>
            </w:r>
          </w:p>
        </w:tc>
      </w:tr>
    </w:tbl>
    <w:p w:rsidR="007F1017" w:rsidRDefault="00F41A68" w:rsidP="009D69C5">
      <w:pPr>
        <w:pStyle w:val="TableFooter"/>
        <w:keepNext/>
        <w:keepLines/>
        <w:widowControl/>
        <w:rPr>
          <w:szCs w:val="18"/>
        </w:rPr>
      </w:pPr>
      <w:r>
        <w:t>CHF</w:t>
      </w:r>
      <w:r w:rsidR="00E34AC7">
        <w:t xml:space="preserve"> = congestive </w:t>
      </w:r>
      <w:r>
        <w:t xml:space="preserve">heart failure; </w:t>
      </w:r>
      <w:r w:rsidR="00512204">
        <w:rPr>
          <w:szCs w:val="18"/>
        </w:rPr>
        <w:t>CKD</w:t>
      </w:r>
      <w:r w:rsidR="00E34AC7">
        <w:rPr>
          <w:szCs w:val="18"/>
        </w:rPr>
        <w:t xml:space="preserve"> =</w:t>
      </w:r>
      <w:r w:rsidR="00512204">
        <w:rPr>
          <w:szCs w:val="18"/>
        </w:rPr>
        <w:t xml:space="preserve"> chronic kidney disease; </w:t>
      </w:r>
      <w:r w:rsidR="00AD7241">
        <w:t xml:space="preserve">DB </w:t>
      </w:r>
      <w:r w:rsidR="00E34AC7">
        <w:t xml:space="preserve">= </w:t>
      </w:r>
      <w:r w:rsidR="0074776D">
        <w:t xml:space="preserve">double blind; </w:t>
      </w:r>
      <w:r w:rsidR="00512204">
        <w:t>K+</w:t>
      </w:r>
      <w:r w:rsidR="00E34AC7">
        <w:t xml:space="preserve"> =</w:t>
      </w:r>
      <w:r w:rsidR="00512204">
        <w:t xml:space="preserve"> serum potassium concentration; </w:t>
      </w:r>
      <w:r w:rsidR="0074776D">
        <w:t>M</w:t>
      </w:r>
      <w:r w:rsidR="00512204">
        <w:t>C</w:t>
      </w:r>
      <w:r w:rsidR="00E34AC7">
        <w:t xml:space="preserve"> =</w:t>
      </w:r>
      <w:r w:rsidR="0074776D">
        <w:t xml:space="preserve"> multi-centre; </w:t>
      </w:r>
      <w:r w:rsidR="00E34AC7">
        <w:t xml:space="preserve">OL = open label; OS = </w:t>
      </w:r>
      <w:r w:rsidR="00E34AC7" w:rsidRPr="0072416F">
        <w:t>overall survival;</w:t>
      </w:r>
      <w:r w:rsidR="00E34AC7">
        <w:t xml:space="preserve"> </w:t>
      </w:r>
      <w:r w:rsidR="0074776D">
        <w:t>PC</w:t>
      </w:r>
      <w:r w:rsidR="00E34AC7">
        <w:t xml:space="preserve"> =</w:t>
      </w:r>
      <w:r w:rsidR="0074776D">
        <w:t xml:space="preserve"> placebo controlled; R</w:t>
      </w:r>
      <w:r w:rsidR="00E34AC7">
        <w:t xml:space="preserve"> =</w:t>
      </w:r>
      <w:r w:rsidR="0074776D">
        <w:t xml:space="preserve"> randomised; </w:t>
      </w:r>
      <w:r>
        <w:rPr>
          <w:szCs w:val="18"/>
        </w:rPr>
        <w:t>RAASi</w:t>
      </w:r>
      <w:r w:rsidR="00E34AC7">
        <w:rPr>
          <w:szCs w:val="18"/>
        </w:rPr>
        <w:t xml:space="preserve"> = </w:t>
      </w:r>
      <w:r>
        <w:rPr>
          <w:szCs w:val="18"/>
        </w:rPr>
        <w:t xml:space="preserve">renin angiotensin aldosterone system inhibitor; </w:t>
      </w:r>
      <w:r w:rsidR="00AD7241">
        <w:t>SA</w:t>
      </w:r>
      <w:r w:rsidR="00E34AC7">
        <w:t xml:space="preserve"> =</w:t>
      </w:r>
      <w:r w:rsidR="00AD7241">
        <w:t xml:space="preserve"> single arm; </w:t>
      </w:r>
      <w:r w:rsidR="0074776D">
        <w:t>S</w:t>
      </w:r>
      <w:r w:rsidR="00AD7241">
        <w:t>B</w:t>
      </w:r>
      <w:r w:rsidR="00E34AC7">
        <w:t xml:space="preserve"> =</w:t>
      </w:r>
      <w:r w:rsidR="00AD7241">
        <w:t xml:space="preserve"> single blind</w:t>
      </w:r>
      <w:r w:rsidR="00512204">
        <w:t xml:space="preserve">; </w:t>
      </w:r>
      <w:r w:rsidR="00512204">
        <w:rPr>
          <w:szCs w:val="18"/>
        </w:rPr>
        <w:t>T2DM</w:t>
      </w:r>
      <w:r w:rsidR="00E34AC7">
        <w:rPr>
          <w:szCs w:val="18"/>
        </w:rPr>
        <w:t xml:space="preserve"> =</w:t>
      </w:r>
      <w:r w:rsidR="00512204">
        <w:rPr>
          <w:szCs w:val="18"/>
        </w:rPr>
        <w:t xml:space="preserve"> type 2 diabetes mellitus</w:t>
      </w:r>
    </w:p>
    <w:p w:rsidR="005D460D" w:rsidRPr="0072416F" w:rsidRDefault="005D460D" w:rsidP="009D69C5">
      <w:pPr>
        <w:pStyle w:val="TableFooter"/>
        <w:keepNext/>
        <w:keepLines/>
        <w:widowControl/>
        <w:spacing w:after="120"/>
      </w:pPr>
      <w:r>
        <w:t>Source</w:t>
      </w:r>
      <w:r w:rsidRPr="00042F1D">
        <w:t>: Section 2.3.1, pp.39-43 of the submission; OPAL</w:t>
      </w:r>
      <w:r>
        <w:t>-HK, PEARL-HFR and AMETHYST-DN Clinical Study Reports</w:t>
      </w:r>
    </w:p>
    <w:p w:rsidR="00A96996" w:rsidRPr="004E3503" w:rsidRDefault="00A96996" w:rsidP="004B0BF4">
      <w:pPr>
        <w:pStyle w:val="ListParagraph"/>
        <w:widowControl/>
        <w:numPr>
          <w:ilvl w:val="1"/>
          <w:numId w:val="3"/>
        </w:numPr>
        <w:spacing w:after="120"/>
      </w:pPr>
      <w:r w:rsidRPr="009321DF">
        <w:t>The</w:t>
      </w:r>
      <w:r w:rsidR="00042F1D" w:rsidRPr="009321DF">
        <w:t xml:space="preserve"> ESC considered that the</w:t>
      </w:r>
      <w:r w:rsidRPr="009321DF">
        <w:t>re was a high risk of bias</w:t>
      </w:r>
      <w:r w:rsidRPr="004E3503">
        <w:t xml:space="preserve"> in all three clinical studies due to lack of a control arm (OPAL-HK Part A, AMETHYST-DN), potential unblinding of treatment allocation to patients and investigators by discernible differences between the reconstituted patiromer and matched placebo oral suspensions (OPAL-HK Part B and PEARL-HF), unblinding of investigators for dose titration (OPAL-HK Part B, PEARL-HF and AMETHYST-DN), open label design (AMETHYST-DN) and undisclosed randomisation methodology (OPAL-HK Part B). </w:t>
      </w:r>
    </w:p>
    <w:p w:rsidR="00362B7D" w:rsidRPr="004E3503" w:rsidRDefault="00362B7D" w:rsidP="004B0BF4">
      <w:pPr>
        <w:pStyle w:val="ListParagraph"/>
        <w:widowControl/>
        <w:numPr>
          <w:ilvl w:val="1"/>
          <w:numId w:val="3"/>
        </w:numPr>
        <w:spacing w:after="120"/>
      </w:pPr>
      <w:r w:rsidRPr="004E3503">
        <w:t>The patient populations in the OPAL-HK, PEARL-HF and AMETHYST-DN studies mostly resided in Europe</w:t>
      </w:r>
      <w:r w:rsidR="004907A0" w:rsidRPr="004E3503">
        <w:t>, were</w:t>
      </w:r>
      <w:r w:rsidRPr="004E3503">
        <w:t xml:space="preserve"> genera</w:t>
      </w:r>
      <w:r w:rsidR="004907A0" w:rsidRPr="004E3503">
        <w:t>lly younger and</w:t>
      </w:r>
      <w:r w:rsidRPr="004E3503">
        <w:t xml:space="preserve"> had more severe CKD at baseline compared to the </w:t>
      </w:r>
      <w:r w:rsidR="000153CF">
        <w:t>requested</w:t>
      </w:r>
      <w:r w:rsidRPr="004E3503">
        <w:t xml:space="preserve"> Australian population</w:t>
      </w:r>
      <w:r w:rsidR="005668A9">
        <w:t xml:space="preserve">. </w:t>
      </w:r>
      <w:r w:rsidRPr="004E3503">
        <w:t xml:space="preserve">The PEARL-HF study used a single patiromer </w:t>
      </w:r>
      <w:r w:rsidR="004907A0" w:rsidRPr="004E3503">
        <w:t>fixed dose (</w:t>
      </w:r>
      <w:r w:rsidR="00903005" w:rsidRPr="004E3503">
        <w:t>30 g/day</w:t>
      </w:r>
      <w:r w:rsidR="002C70AD" w:rsidRPr="004E3503">
        <w:t xml:space="preserve">, an early </w:t>
      </w:r>
      <w:r w:rsidR="002C70AD" w:rsidRPr="004E3503">
        <w:rPr>
          <w:rFonts w:eastAsia="Calibri"/>
        </w:rPr>
        <w:t>development calcium polymer</w:t>
      </w:r>
      <w:r w:rsidR="000B0E79" w:rsidRPr="004E3503">
        <w:rPr>
          <w:rFonts w:eastAsia="Calibri"/>
        </w:rPr>
        <w:t>,</w:t>
      </w:r>
      <w:r w:rsidR="002C70AD" w:rsidRPr="004E3503">
        <w:rPr>
          <w:rFonts w:eastAsia="Calibri"/>
        </w:rPr>
        <w:t xml:space="preserve"> equivalent to the final development 25.2 g anion polymer dose</w:t>
      </w:r>
      <w:r w:rsidR="000B0E79" w:rsidRPr="004E3503">
        <w:rPr>
          <w:rFonts w:eastAsia="Calibri"/>
        </w:rPr>
        <w:t xml:space="preserve">; </w:t>
      </w:r>
      <w:r w:rsidR="00903005" w:rsidRPr="004E3503">
        <w:t xml:space="preserve">the </w:t>
      </w:r>
      <w:r w:rsidRPr="004E3503">
        <w:t>maximum recommended dose in the patiromer Product Information</w:t>
      </w:r>
      <w:r w:rsidR="000B0E79" w:rsidRPr="004E3503">
        <w:t>)</w:t>
      </w:r>
      <w:r w:rsidRPr="004E3503">
        <w:t>. The OPAL-HK Part B and AMETHYST-DN studies inform key parameters in the economic evaluation.</w:t>
      </w:r>
    </w:p>
    <w:p w:rsidR="00045017" w:rsidRPr="006E139A" w:rsidRDefault="006538FC" w:rsidP="004B0BF4">
      <w:pPr>
        <w:pStyle w:val="ListParagraph"/>
        <w:widowControl/>
        <w:numPr>
          <w:ilvl w:val="1"/>
          <w:numId w:val="3"/>
        </w:numPr>
        <w:spacing w:after="120"/>
      </w:pPr>
      <w:r>
        <w:t xml:space="preserve">In </w:t>
      </w:r>
      <w:r w:rsidRPr="00B7270E">
        <w:t xml:space="preserve">OPAL-HK Part A </w:t>
      </w:r>
      <w:r w:rsidRPr="00D47874">
        <w:t xml:space="preserve">patients were assigned to patiromer </w:t>
      </w:r>
      <w:r>
        <w:t xml:space="preserve">starting </w:t>
      </w:r>
      <w:r w:rsidRPr="00D47874">
        <w:t>dose groups by baseline serum potassium concentration</w:t>
      </w:r>
      <w:r w:rsidR="00287D5B">
        <w:t xml:space="preserve"> (Dose G</w:t>
      </w:r>
      <w:r w:rsidRPr="00D47874">
        <w:t>roup 1</w:t>
      </w:r>
      <w:r w:rsidR="00311036">
        <w:t>:</w:t>
      </w:r>
      <w:r>
        <w:t xml:space="preserve"> &lt; 5.5 mmol/L, to receive patiromer </w:t>
      </w:r>
      <w:r w:rsidRPr="00D47874">
        <w:t xml:space="preserve">8.4 g/day; </w:t>
      </w:r>
      <w:r w:rsidR="00311036">
        <w:t>D</w:t>
      </w:r>
      <w:r w:rsidR="00287D5B">
        <w:t>ose G</w:t>
      </w:r>
      <w:r w:rsidRPr="00D47874">
        <w:t>roup</w:t>
      </w:r>
      <w:r>
        <w:t> 2</w:t>
      </w:r>
      <w:r w:rsidR="00311036">
        <w:t>:</w:t>
      </w:r>
      <w:r>
        <w:t xml:space="preserve"> </w:t>
      </w:r>
      <w:r w:rsidRPr="00D47874">
        <w:rPr>
          <w:rFonts w:cs="Calibri"/>
        </w:rPr>
        <w:t>≥</w:t>
      </w:r>
      <w:r>
        <w:t xml:space="preserve"> 5.5 mmol/L, to receive </w:t>
      </w:r>
      <w:r w:rsidRPr="00D47874">
        <w:t>16.8 g/day)</w:t>
      </w:r>
      <w:r>
        <w:t xml:space="preserve">, with doses then titrated by serum potassium concentration. The </w:t>
      </w:r>
      <w:r w:rsidRPr="00B7270E">
        <w:t xml:space="preserve">OPAL-HK Part B (withdrawal </w:t>
      </w:r>
      <w:r w:rsidRPr="00B7270E">
        <w:lastRenderedPageBreak/>
        <w:t>study)</w:t>
      </w:r>
      <w:r>
        <w:t xml:space="preserve"> only included p</w:t>
      </w:r>
      <w:r w:rsidRPr="00D47874">
        <w:t xml:space="preserve">atients with Part A baseline serum potassium concentrations </w:t>
      </w:r>
      <w:r w:rsidRPr="00D47874">
        <w:rPr>
          <w:rFonts w:cs="Calibri"/>
        </w:rPr>
        <w:t>≥ 5.5 mmol/L and Part A Week 4 normal serum potassium concent</w:t>
      </w:r>
      <w:r>
        <w:rPr>
          <w:rFonts w:cs="Calibri"/>
        </w:rPr>
        <w:t>rations (3.8</w:t>
      </w:r>
      <w:r w:rsidR="00311036">
        <w:rPr>
          <w:rFonts w:cs="Calibri"/>
        </w:rPr>
        <w:t xml:space="preserve"> to </w:t>
      </w:r>
      <w:r>
        <w:rPr>
          <w:rFonts w:cs="Calibri"/>
        </w:rPr>
        <w:t>5.1 mmol/L; N=107</w:t>
      </w:r>
      <w:r w:rsidRPr="00D47874">
        <w:rPr>
          <w:rFonts w:cs="Calibri"/>
        </w:rPr>
        <w:t>)</w:t>
      </w:r>
      <w:r>
        <w:rPr>
          <w:rFonts w:cs="Calibri"/>
        </w:rPr>
        <w:t>,</w:t>
      </w:r>
      <w:r w:rsidRPr="00D47874">
        <w:rPr>
          <w:rFonts w:cs="Calibri"/>
        </w:rPr>
        <w:t xml:space="preserve"> </w:t>
      </w:r>
      <w:r>
        <w:t>randomised to continue patiromer or switch to placebo (withdrawal)</w:t>
      </w:r>
      <w:r w:rsidRPr="00D47874">
        <w:rPr>
          <w:rFonts w:cs="Calibri"/>
        </w:rPr>
        <w:t xml:space="preserve">. </w:t>
      </w:r>
      <w:r w:rsidRPr="00D03515">
        <w:rPr>
          <w:rFonts w:cs="Calibri"/>
        </w:rPr>
        <w:t xml:space="preserve">The </w:t>
      </w:r>
      <w:r w:rsidR="00311036" w:rsidRPr="00D03515">
        <w:rPr>
          <w:rFonts w:cs="Calibri"/>
        </w:rPr>
        <w:t xml:space="preserve">ESC noted that the </w:t>
      </w:r>
      <w:r w:rsidRPr="00D03515">
        <w:rPr>
          <w:rFonts w:cs="Calibri"/>
        </w:rPr>
        <w:t>inclusion criteria</w:t>
      </w:r>
      <w:r w:rsidRPr="004E3503">
        <w:rPr>
          <w:rFonts w:cs="Calibri"/>
        </w:rPr>
        <w:t xml:space="preserve"> for Part B of the OPAL-HK study restricted entry to patiromer responders with baseline serum potassium concentrations ≥ 5.5 mmol/L, an enriched population appropriate for a treatment switching withdrawal study, but </w:t>
      </w:r>
      <w:r w:rsidR="00042F1D">
        <w:rPr>
          <w:rFonts w:cs="Calibri"/>
        </w:rPr>
        <w:t xml:space="preserve">was </w:t>
      </w:r>
      <w:r w:rsidR="000153CF">
        <w:rPr>
          <w:rFonts w:cs="Calibri"/>
        </w:rPr>
        <w:t xml:space="preserve">less </w:t>
      </w:r>
      <w:r w:rsidRPr="004E3503">
        <w:rPr>
          <w:rFonts w:cs="Calibri"/>
        </w:rPr>
        <w:t xml:space="preserve">likely to provide reliable measures of efficacy for patiromer across the broader </w:t>
      </w:r>
      <w:r w:rsidR="00B05301">
        <w:rPr>
          <w:rFonts w:cs="Calibri"/>
        </w:rPr>
        <w:t xml:space="preserve">PBS </w:t>
      </w:r>
      <w:r w:rsidRPr="004E3503">
        <w:rPr>
          <w:rFonts w:cs="Calibri"/>
        </w:rPr>
        <w:t>eligible population.</w:t>
      </w:r>
      <w:r w:rsidR="00B05301">
        <w:rPr>
          <w:rFonts w:cs="Calibri"/>
        </w:rPr>
        <w:t xml:space="preserve">  </w:t>
      </w:r>
    </w:p>
    <w:p w:rsidR="007F1017" w:rsidRPr="009D64A3" w:rsidRDefault="00597769" w:rsidP="004B0BF4">
      <w:pPr>
        <w:pStyle w:val="ListParagraph"/>
        <w:widowControl/>
        <w:numPr>
          <w:ilvl w:val="1"/>
          <w:numId w:val="3"/>
        </w:numPr>
        <w:spacing w:after="120"/>
      </w:pPr>
      <w:r>
        <w:t xml:space="preserve">AMETHYST-DN was a longer term, </w:t>
      </w:r>
      <w:r w:rsidR="005D460D">
        <w:t>52</w:t>
      </w:r>
      <w:r>
        <w:t xml:space="preserve"> week, open label, </w:t>
      </w:r>
      <w:r w:rsidR="005D460D">
        <w:t>P</w:t>
      </w:r>
      <w:r>
        <w:t xml:space="preserve">hase II patiromer dose ranging </w:t>
      </w:r>
      <w:r w:rsidRPr="00CA3E55">
        <w:t>study</w:t>
      </w:r>
      <w:r>
        <w:t xml:space="preserve"> in a subgroup of eligible patients with T2DM and hypertension</w:t>
      </w:r>
      <w:r w:rsidR="00A232A0">
        <w:t xml:space="preserve"> taking RAASi therapies</w:t>
      </w:r>
      <w:r>
        <w:t xml:space="preserve">. </w:t>
      </w:r>
      <w:r w:rsidR="009D64A3">
        <w:t xml:space="preserve">Participants </w:t>
      </w:r>
      <w:r>
        <w:t xml:space="preserve">with normal serum potassium concentrations </w:t>
      </w:r>
      <w:r w:rsidR="009D64A3">
        <w:t xml:space="preserve">at screening </w:t>
      </w:r>
      <w:r>
        <w:t>(</w:t>
      </w:r>
      <w:r w:rsidR="00C36C4A" w:rsidRPr="005A2E59">
        <w:t xml:space="preserve">≤ 5.0 </w:t>
      </w:r>
      <w:r w:rsidR="00C36C4A">
        <w:t xml:space="preserve">mmol/L) </w:t>
      </w:r>
      <w:r>
        <w:t xml:space="preserve">switched </w:t>
      </w:r>
      <w:r w:rsidR="00C36C4A">
        <w:t>from prior RAASi therapies</w:t>
      </w:r>
      <w:r>
        <w:t xml:space="preserve"> to losartan 100</w:t>
      </w:r>
      <w:r w:rsidR="0082717B">
        <w:t xml:space="preserve"> </w:t>
      </w:r>
      <w:r>
        <w:t>mg daily</w:t>
      </w:r>
      <w:r w:rsidR="00C36C4A" w:rsidRPr="00C36C4A">
        <w:t xml:space="preserve"> </w:t>
      </w:r>
      <w:r w:rsidR="00C36C4A">
        <w:t>(Cohort 1</w:t>
      </w:r>
      <w:r w:rsidR="00311036">
        <w:t>,</w:t>
      </w:r>
      <w:r w:rsidR="001D1430">
        <w:t xml:space="preserve"> N=58</w:t>
      </w:r>
      <w:r w:rsidR="00C36C4A">
        <w:t>) or continue</w:t>
      </w:r>
      <w:r w:rsidR="009D64A3">
        <w:t>d</w:t>
      </w:r>
      <w:r w:rsidR="00C36C4A">
        <w:t xml:space="preserve"> </w:t>
      </w:r>
      <w:r w:rsidR="009D64A3">
        <w:t xml:space="preserve">prior </w:t>
      </w:r>
      <w:r w:rsidR="00C36C4A">
        <w:t>RAASi therapies</w:t>
      </w:r>
      <w:r>
        <w:t xml:space="preserve"> </w:t>
      </w:r>
      <w:r w:rsidR="00C36C4A">
        <w:t>with the addition of spironolactone (</w:t>
      </w:r>
      <w:r>
        <w:t>Cohort 2</w:t>
      </w:r>
      <w:r w:rsidR="00311036">
        <w:t>,</w:t>
      </w:r>
      <w:r w:rsidR="001D1430">
        <w:t xml:space="preserve"> N=3</w:t>
      </w:r>
      <w:r w:rsidR="00C36C4A">
        <w:t>)</w:t>
      </w:r>
      <w:r w:rsidR="009D64A3">
        <w:t>.</w:t>
      </w:r>
      <w:r>
        <w:t xml:space="preserve"> </w:t>
      </w:r>
      <w:r w:rsidR="009D64A3">
        <w:t>An early protocol amendment enrolled</w:t>
      </w:r>
      <w:r w:rsidR="00353C5E">
        <w:t xml:space="preserve"> </w:t>
      </w:r>
      <w:r w:rsidR="00C36C4A">
        <w:t>patients with</w:t>
      </w:r>
      <w:r>
        <w:t xml:space="preserve"> elevated serum potassium concentrations</w:t>
      </w:r>
      <w:r w:rsidR="00C36C4A">
        <w:t xml:space="preserve"> </w:t>
      </w:r>
      <w:r w:rsidR="001D1430">
        <w:t xml:space="preserve">without </w:t>
      </w:r>
      <w:r w:rsidR="00AF75E9">
        <w:t xml:space="preserve">a required history </w:t>
      </w:r>
      <w:r w:rsidR="001D1430">
        <w:t xml:space="preserve">hypertension </w:t>
      </w:r>
      <w:r w:rsidR="00C36C4A">
        <w:t xml:space="preserve">(&gt; </w:t>
      </w:r>
      <w:r w:rsidR="00C36C4A" w:rsidRPr="00E00C73">
        <w:t>5.0</w:t>
      </w:r>
      <w:r w:rsidR="00C36C4A">
        <w:t xml:space="preserve"> </w:t>
      </w:r>
      <w:r w:rsidR="002C190B">
        <w:t>to</w:t>
      </w:r>
      <w:r w:rsidR="00C36C4A" w:rsidRPr="00E00C73">
        <w:t xml:space="preserve"> </w:t>
      </w:r>
      <w:r w:rsidR="00C36C4A">
        <w:t xml:space="preserve">&lt; </w:t>
      </w:r>
      <w:r w:rsidR="00C36C4A" w:rsidRPr="00E00C73">
        <w:t>6.0</w:t>
      </w:r>
      <w:r w:rsidR="00C36C4A">
        <w:t xml:space="preserve"> </w:t>
      </w:r>
      <w:r w:rsidR="00C36C4A" w:rsidRPr="00E00C73">
        <w:t>m</w:t>
      </w:r>
      <w:r w:rsidR="00C36C4A">
        <w:t>mol/L)</w:t>
      </w:r>
      <w:r w:rsidR="009D64A3">
        <w:t>,</w:t>
      </w:r>
      <w:r w:rsidR="00C36C4A">
        <w:t xml:space="preserve"> allowed to continue prior RAASi therapies without</w:t>
      </w:r>
      <w:r w:rsidR="001D1430">
        <w:t xml:space="preserve"> the addition of spironolactone (Cohort 3</w:t>
      </w:r>
      <w:r w:rsidR="00311036">
        <w:t>,</w:t>
      </w:r>
      <w:r w:rsidR="001D1430">
        <w:t xml:space="preserve"> N=243). </w:t>
      </w:r>
    </w:p>
    <w:p w:rsidR="008C021E" w:rsidRDefault="00AF75E9" w:rsidP="004B0BF4">
      <w:pPr>
        <w:pStyle w:val="ListParagraph"/>
        <w:widowControl/>
        <w:numPr>
          <w:ilvl w:val="1"/>
          <w:numId w:val="3"/>
        </w:numPr>
        <w:spacing w:after="120"/>
      </w:pPr>
      <w:r>
        <w:t xml:space="preserve">The OPAL-HK and AMETHYST-DN </w:t>
      </w:r>
      <w:r w:rsidR="0074278D">
        <w:t xml:space="preserve">study protocols included complex patiromer and RAASi therapy titration algorithms based on serum potassium concentrations and response to therapy. The algorithms required intensive </w:t>
      </w:r>
      <w:r w:rsidR="00FC0DBB">
        <w:t xml:space="preserve">patient </w:t>
      </w:r>
      <w:r w:rsidR="0074278D">
        <w:t xml:space="preserve">monitoring </w:t>
      </w:r>
      <w:r w:rsidR="00A232A0">
        <w:t xml:space="preserve">at weekly to monthly intervals </w:t>
      </w:r>
      <w:r w:rsidR="004D11CD">
        <w:t>or</w:t>
      </w:r>
      <w:r w:rsidR="00A232A0">
        <w:t xml:space="preserve"> more frequently in patients with unstable serum potassium concentrations (i.e. daily to third daily). Patients with repeated mild (&gt; 5.1 or 5.5 mmol/L)</w:t>
      </w:r>
      <w:r w:rsidR="008C021E">
        <w:t xml:space="preserve"> or</w:t>
      </w:r>
      <w:r w:rsidR="00A232A0">
        <w:t xml:space="preserve"> high (&gt; 6.0 mmol/L) serum potassium concentrations were selected for early study termination if not responding to </w:t>
      </w:r>
      <w:r w:rsidR="008C021E">
        <w:t>maximum</w:t>
      </w:r>
      <w:r w:rsidR="00A232A0">
        <w:t xml:space="preserve"> patiromer doses (up to 50 g/day)</w:t>
      </w:r>
      <w:r w:rsidR="008C021E">
        <w:t xml:space="preserve">. In the OPAL-HK Part B algorithm, </w:t>
      </w:r>
      <w:r w:rsidR="00FC0DBB">
        <w:t xml:space="preserve">titration of RAASi therapies </w:t>
      </w:r>
      <w:r w:rsidR="004D11CD">
        <w:t xml:space="preserve">differed between treatment arms; </w:t>
      </w:r>
      <w:r w:rsidR="00311036">
        <w:t>that is,</w:t>
      </w:r>
      <w:r w:rsidR="004D11CD">
        <w:t xml:space="preserve"> </w:t>
      </w:r>
      <w:r w:rsidR="008C021E">
        <w:t xml:space="preserve">patients receiving patiromer could only reduce RAASi doses after attempting the maximum patiromer dose of 50 g/day (a condition not reached in the Part B study), while patients receiving placebo reduced RAASi therapies at a much lower threshold. </w:t>
      </w:r>
      <w:r w:rsidR="004D11CD">
        <w:t xml:space="preserve">Down titration of RAASi therapies in the AMETHYST-DN study was only allowed for patients with serum potassium concentrations </w:t>
      </w:r>
      <w:r w:rsidR="004D11CD">
        <w:rPr>
          <w:rFonts w:cs="Calibri"/>
        </w:rPr>
        <w:t>≥</w:t>
      </w:r>
      <w:r w:rsidR="004D11CD">
        <w:t xml:space="preserve"> 6.0 </w:t>
      </w:r>
      <w:r w:rsidR="00311036">
        <w:t>to</w:t>
      </w:r>
      <w:r w:rsidR="004D11CD">
        <w:t xml:space="preserve"> &lt; 6.5 mmol/L in the long-term maintenance period.</w:t>
      </w:r>
    </w:p>
    <w:p w:rsidR="009D64A3" w:rsidRPr="00A96996" w:rsidRDefault="008C021E" w:rsidP="004B0BF4">
      <w:pPr>
        <w:pStyle w:val="ListParagraph"/>
        <w:widowControl/>
        <w:numPr>
          <w:ilvl w:val="1"/>
          <w:numId w:val="3"/>
        </w:numPr>
        <w:spacing w:after="120"/>
      </w:pPr>
      <w:r w:rsidRPr="004E3503">
        <w:t xml:space="preserve">The titration algorithms used in the OPAL-HK and AMETHYST-DN studies most likely impacted study outcomes, </w:t>
      </w:r>
      <w:r w:rsidR="004D11CD" w:rsidRPr="004E3503">
        <w:t xml:space="preserve">particularly </w:t>
      </w:r>
      <w:r w:rsidR="00A96996" w:rsidRPr="004E3503">
        <w:t xml:space="preserve">the incidence of achieved serum potassium concentrations and </w:t>
      </w:r>
      <w:r w:rsidR="004D11CD" w:rsidRPr="004E3503">
        <w:t xml:space="preserve">RAASi dose reduction/cessation, </w:t>
      </w:r>
      <w:r w:rsidRPr="004E3503">
        <w:t xml:space="preserve">and may have biased results in favour of patiromer. Patiromer starting doses in the OPAL-HK and AMETHYST-DN studies were mostly within the dose range </w:t>
      </w:r>
      <w:r w:rsidR="00AB0D39" w:rsidRPr="004E3503">
        <w:t>recommended in the patiromer Product Information, but were generally higher than the recommended starting dose of 8.4 g/day. Maximum doses of patiromer used in the OPAL-HK and AMETHYST-DN studies</w:t>
      </w:r>
      <w:r w:rsidR="00AB0D39">
        <w:rPr>
          <w:i/>
        </w:rPr>
        <w:t xml:space="preserve"> </w:t>
      </w:r>
      <w:r w:rsidR="004D11CD" w:rsidRPr="006759C0">
        <w:t>(up to 50</w:t>
      </w:r>
      <w:r w:rsidR="006759C0">
        <w:t>.4</w:t>
      </w:r>
      <w:r w:rsidR="004D11CD" w:rsidRPr="006759C0">
        <w:t xml:space="preserve"> g/day) </w:t>
      </w:r>
      <w:r w:rsidR="00B05301" w:rsidRPr="006759C0">
        <w:t>w</w:t>
      </w:r>
      <w:r w:rsidR="00317DF7" w:rsidRPr="006759C0">
        <w:t>ere</w:t>
      </w:r>
      <w:r w:rsidR="00B05301">
        <w:t xml:space="preserve"> much higher than </w:t>
      </w:r>
      <w:r w:rsidR="00AB0D39" w:rsidRPr="004E3503">
        <w:t>the maximum dose recommended in the P</w:t>
      </w:r>
      <w:r w:rsidR="004D11CD" w:rsidRPr="004E3503">
        <w:t>roduct Information (25.2 g/day).</w:t>
      </w:r>
    </w:p>
    <w:p w:rsidR="009321DF" w:rsidRPr="002C190B" w:rsidRDefault="002C1534" w:rsidP="004B0BF4">
      <w:pPr>
        <w:pStyle w:val="ListParagraph"/>
        <w:widowControl/>
        <w:numPr>
          <w:ilvl w:val="1"/>
          <w:numId w:val="3"/>
        </w:numPr>
        <w:spacing w:after="120"/>
        <w:rPr>
          <w:i/>
        </w:rPr>
      </w:pPr>
      <w:r>
        <w:t>A</w:t>
      </w:r>
      <w:r w:rsidRPr="001347FA">
        <w:t xml:space="preserve"> minimum detectable difference (MDD)</w:t>
      </w:r>
      <w:r>
        <w:t xml:space="preserve"> 0.70 mmol/L,</w:t>
      </w:r>
      <w:r w:rsidRPr="001347FA">
        <w:t xml:space="preserve"> based on doubling of the estimated maximum change from baseline in serum potassium expected due to undetected sample haemolysis (i.e. 2 </w:t>
      </w:r>
      <w:r w:rsidRPr="001347FA">
        <w:rPr>
          <w:rFonts w:cs="Calibri"/>
        </w:rPr>
        <w:t>×</w:t>
      </w:r>
      <w:r w:rsidRPr="001347FA">
        <w:t xml:space="preserve"> 0.36 mmol/L)</w:t>
      </w:r>
      <w:r>
        <w:t xml:space="preserve">, was used in the submission to </w:t>
      </w:r>
      <w:r w:rsidR="00900F55">
        <w:t xml:space="preserve">indicate a </w:t>
      </w:r>
      <w:r>
        <w:t>clinically meaning</w:t>
      </w:r>
      <w:r w:rsidRPr="00080478">
        <w:t xml:space="preserve">ful reduction in serum potassium in the OPAL-HK Part A </w:t>
      </w:r>
      <w:r w:rsidRPr="00080478">
        <w:lastRenderedPageBreak/>
        <w:t>study. The submission did not nominate an MCID, b</w:t>
      </w:r>
      <w:r w:rsidR="0082717B" w:rsidRPr="00080478">
        <w:t>u</w:t>
      </w:r>
      <w:r w:rsidRPr="00080478">
        <w:t xml:space="preserve">t referred to the MDD of </w:t>
      </w:r>
      <w:r w:rsidRPr="00080478">
        <w:rPr>
          <w:rFonts w:cs="Calibri"/>
        </w:rPr>
        <w:t>≥</w:t>
      </w:r>
      <w:r w:rsidRPr="00080478">
        <w:t xml:space="preserve"> 0.7 mmol/L as an MCID in Sections 2.5 and 2.6 of the submission. </w:t>
      </w:r>
      <w:r w:rsidRPr="00D03515">
        <w:t xml:space="preserve">The </w:t>
      </w:r>
      <w:r w:rsidR="00042F1D" w:rsidRPr="00D03515">
        <w:t>ESC considered that</w:t>
      </w:r>
      <w:r w:rsidR="00042F1D">
        <w:t xml:space="preserve"> </w:t>
      </w:r>
      <w:r w:rsidR="00311036">
        <w:t xml:space="preserve">although </w:t>
      </w:r>
      <w:r w:rsidR="00042F1D">
        <w:t xml:space="preserve">the </w:t>
      </w:r>
      <w:r w:rsidRPr="00080478">
        <w:t xml:space="preserve">MDD may provide a useful measure of </w:t>
      </w:r>
      <w:r w:rsidR="00317DF7">
        <w:t>test accurac</w:t>
      </w:r>
      <w:r w:rsidR="000F4381">
        <w:t>y</w:t>
      </w:r>
      <w:r w:rsidRPr="00080478">
        <w:t xml:space="preserve">, </w:t>
      </w:r>
      <w:r w:rsidR="00311036">
        <w:t xml:space="preserve">it </w:t>
      </w:r>
      <w:r w:rsidRPr="00080478">
        <w:t>has no plausible link to clinical outcomes, adverse events or patient experience of hyperkalaemia.</w:t>
      </w:r>
      <w:r w:rsidR="00295E1E">
        <w:rPr>
          <w:i/>
        </w:rPr>
        <w:t xml:space="preserve">  </w:t>
      </w:r>
    </w:p>
    <w:p w:rsidR="00B60939" w:rsidRPr="00C9624D" w:rsidRDefault="00B60939" w:rsidP="004B0BF4">
      <w:pPr>
        <w:pStyle w:val="Heading2"/>
        <w:widowControl/>
        <w:spacing w:after="120"/>
      </w:pPr>
      <w:bookmarkStart w:id="7" w:name="_Toc19703818"/>
      <w:r w:rsidRPr="00C9624D">
        <w:t>Comparative effectiveness</w:t>
      </w:r>
      <w:bookmarkEnd w:id="7"/>
    </w:p>
    <w:p w:rsidR="00B71693" w:rsidRDefault="00B71693" w:rsidP="004B0BF4">
      <w:pPr>
        <w:pStyle w:val="ListParagraph"/>
        <w:widowControl/>
        <w:numPr>
          <w:ilvl w:val="1"/>
          <w:numId w:val="3"/>
        </w:numPr>
        <w:spacing w:after="120"/>
      </w:pPr>
      <w:r>
        <w:t>Table 4 summarises the results of the primary outcome of the O</w:t>
      </w:r>
      <w:r w:rsidR="00405724">
        <w:t>PAL-HK study</w:t>
      </w:r>
      <w:r>
        <w:t>.</w:t>
      </w:r>
    </w:p>
    <w:p w:rsidR="00B71693" w:rsidRDefault="00B71693" w:rsidP="004B0BF4">
      <w:pPr>
        <w:pStyle w:val="ListParagraph"/>
        <w:keepNext/>
        <w:keepLines/>
        <w:widowControl/>
        <w:suppressLineNumbers/>
        <w:suppressAutoHyphens/>
        <w:spacing w:after="0"/>
        <w:ind w:left="0"/>
      </w:pPr>
      <w:r>
        <w:rPr>
          <w:rStyle w:val="CommentReference"/>
        </w:rPr>
        <w:t xml:space="preserve">Table 4: Change in serum potassium concentration from baseline OPAL-HK Part A and Part 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Change in serum potassium concentration from baseline OPAL-HK Part A and Part B "/>
      </w:tblPr>
      <w:tblGrid>
        <w:gridCol w:w="3397"/>
        <w:gridCol w:w="2810"/>
        <w:gridCol w:w="2810"/>
      </w:tblGrid>
      <w:tr w:rsidR="00B71693" w:rsidRPr="00B84117" w:rsidTr="00D070E9">
        <w:tc>
          <w:tcPr>
            <w:tcW w:w="1884" w:type="pct"/>
            <w:vAlign w:val="center"/>
          </w:tcPr>
          <w:p w:rsidR="00B71693" w:rsidRPr="00511EF9" w:rsidRDefault="002A5D33" w:rsidP="004B0BF4">
            <w:pPr>
              <w:pStyle w:val="Tabletext"/>
              <w:keepNext/>
              <w:keepLines/>
              <w:suppressLineNumbers/>
              <w:suppressAutoHyphens/>
              <w:ind w:right="-88"/>
              <w:rPr>
                <w:b/>
              </w:rPr>
            </w:pPr>
            <w:r>
              <w:rPr>
                <w:b/>
              </w:rPr>
              <w:t>OPAL-HK Part A (mITT)</w:t>
            </w:r>
          </w:p>
        </w:tc>
        <w:tc>
          <w:tcPr>
            <w:tcW w:w="1558" w:type="pct"/>
            <w:vAlign w:val="center"/>
          </w:tcPr>
          <w:p w:rsidR="00B71693" w:rsidRDefault="00D94975" w:rsidP="004B0BF4">
            <w:pPr>
              <w:pStyle w:val="Tabletext"/>
              <w:keepNext/>
              <w:keepLines/>
              <w:suppressLineNumbers/>
              <w:suppressAutoHyphens/>
              <w:ind w:left="-93" w:right="-110"/>
              <w:jc w:val="center"/>
              <w:rPr>
                <w:b/>
              </w:rPr>
            </w:pPr>
            <w:r>
              <w:rPr>
                <w:b/>
              </w:rPr>
              <w:t xml:space="preserve">Patiromer </w:t>
            </w:r>
            <w:r w:rsidR="00287D5B">
              <w:rPr>
                <w:b/>
              </w:rPr>
              <w:t>G</w:t>
            </w:r>
            <w:r w:rsidR="00B71693" w:rsidRPr="00BD31C4">
              <w:rPr>
                <w:b/>
              </w:rPr>
              <w:t>roup 1</w:t>
            </w:r>
            <w:r w:rsidR="00B71693">
              <w:rPr>
                <w:b/>
              </w:rPr>
              <w:t>,</w:t>
            </w:r>
            <w:r w:rsidR="00B71693" w:rsidRPr="00BD31C4">
              <w:rPr>
                <w:b/>
              </w:rPr>
              <w:t xml:space="preserve"> </w:t>
            </w:r>
            <w:r w:rsidR="002A5D33">
              <w:rPr>
                <w:b/>
              </w:rPr>
              <w:t>(</w:t>
            </w:r>
            <w:r w:rsidR="00B71693" w:rsidRPr="00BD31C4">
              <w:rPr>
                <w:b/>
              </w:rPr>
              <w:t>8.4</w:t>
            </w:r>
            <w:r w:rsidR="00B71693">
              <w:rPr>
                <w:b/>
              </w:rPr>
              <w:t xml:space="preserve"> g/day</w:t>
            </w:r>
            <w:r w:rsidR="002A5D33">
              <w:rPr>
                <w:b/>
              </w:rPr>
              <w:t>)</w:t>
            </w:r>
          </w:p>
          <w:p w:rsidR="00B71693" w:rsidRPr="00BD31C4" w:rsidRDefault="00B71693" w:rsidP="004B0BF4">
            <w:pPr>
              <w:pStyle w:val="Tabletext"/>
              <w:keepNext/>
              <w:keepLines/>
              <w:suppressLineNumbers/>
              <w:suppressAutoHyphens/>
              <w:ind w:left="-93" w:right="-110"/>
              <w:jc w:val="center"/>
              <w:rPr>
                <w:b/>
              </w:rPr>
            </w:pPr>
            <w:r>
              <w:rPr>
                <w:b/>
              </w:rPr>
              <w:t>(N=90)</w:t>
            </w:r>
          </w:p>
        </w:tc>
        <w:tc>
          <w:tcPr>
            <w:tcW w:w="1558" w:type="pct"/>
            <w:vAlign w:val="center"/>
          </w:tcPr>
          <w:p w:rsidR="00B71693" w:rsidRDefault="00D94975" w:rsidP="004B0BF4">
            <w:pPr>
              <w:pStyle w:val="Tabletext"/>
              <w:keepNext/>
              <w:keepLines/>
              <w:suppressLineNumbers/>
              <w:suppressAutoHyphens/>
              <w:ind w:left="-93" w:right="-110"/>
              <w:jc w:val="center"/>
              <w:rPr>
                <w:b/>
              </w:rPr>
            </w:pPr>
            <w:r>
              <w:rPr>
                <w:b/>
              </w:rPr>
              <w:t>Patiromer</w:t>
            </w:r>
            <w:r w:rsidR="00287D5B">
              <w:rPr>
                <w:b/>
              </w:rPr>
              <w:t xml:space="preserve"> G</w:t>
            </w:r>
            <w:r w:rsidR="00B71693" w:rsidRPr="00BD31C4">
              <w:rPr>
                <w:b/>
              </w:rPr>
              <w:t>roup 2</w:t>
            </w:r>
            <w:r w:rsidR="00B71693">
              <w:rPr>
                <w:b/>
              </w:rPr>
              <w:t>,</w:t>
            </w:r>
            <w:r w:rsidR="00B71693" w:rsidRPr="00BD31C4">
              <w:rPr>
                <w:b/>
              </w:rPr>
              <w:t xml:space="preserve"> </w:t>
            </w:r>
            <w:r w:rsidR="002A5D33">
              <w:rPr>
                <w:b/>
              </w:rPr>
              <w:t>(</w:t>
            </w:r>
            <w:r w:rsidR="00B71693">
              <w:rPr>
                <w:b/>
              </w:rPr>
              <w:t>16.8 g/day</w:t>
            </w:r>
            <w:r w:rsidR="002A5D33">
              <w:rPr>
                <w:b/>
              </w:rPr>
              <w:t>)</w:t>
            </w:r>
            <w:r w:rsidR="00B71693">
              <w:rPr>
                <w:b/>
              </w:rPr>
              <w:t xml:space="preserve"> </w:t>
            </w:r>
          </w:p>
          <w:p w:rsidR="00B71693" w:rsidRPr="00511EF9" w:rsidRDefault="00B71693" w:rsidP="004B0BF4">
            <w:pPr>
              <w:pStyle w:val="Tabletext"/>
              <w:keepNext/>
              <w:keepLines/>
              <w:suppressLineNumbers/>
              <w:suppressAutoHyphens/>
              <w:ind w:left="-93" w:right="-110"/>
              <w:jc w:val="center"/>
              <w:rPr>
                <w:b/>
              </w:rPr>
            </w:pPr>
            <w:r>
              <w:rPr>
                <w:b/>
              </w:rPr>
              <w:t>(N=147)</w:t>
            </w:r>
          </w:p>
        </w:tc>
      </w:tr>
      <w:tr w:rsidR="00B71693" w:rsidRPr="00B1011F" w:rsidTr="00D070E9">
        <w:tc>
          <w:tcPr>
            <w:tcW w:w="1884" w:type="pct"/>
            <w:vAlign w:val="center"/>
          </w:tcPr>
          <w:p w:rsidR="00B71693" w:rsidRPr="0011100D" w:rsidRDefault="00B71693" w:rsidP="004B0BF4">
            <w:pPr>
              <w:pStyle w:val="Tabletext"/>
              <w:keepNext/>
              <w:keepLines/>
              <w:suppressLineNumbers/>
              <w:suppressAutoHyphens/>
              <w:ind w:right="-88"/>
            </w:pPr>
            <w:r w:rsidRPr="00BD31C4">
              <w:t>Baseline mean serum K+</w:t>
            </w:r>
            <w:r w:rsidR="00006B45">
              <w:t>,</w:t>
            </w:r>
            <w:r w:rsidRPr="00BD31C4">
              <w:t xml:space="preserve"> mmol/L (SD)</w:t>
            </w:r>
          </w:p>
        </w:tc>
        <w:tc>
          <w:tcPr>
            <w:tcW w:w="1558" w:type="pct"/>
            <w:vAlign w:val="center"/>
          </w:tcPr>
          <w:p w:rsidR="00B71693" w:rsidRPr="00B1011F" w:rsidRDefault="00B71693" w:rsidP="004B0BF4">
            <w:pPr>
              <w:pStyle w:val="Tabletext"/>
              <w:keepNext/>
              <w:keepLines/>
              <w:suppressLineNumbers/>
              <w:suppressAutoHyphens/>
              <w:ind w:left="-93" w:right="-110"/>
              <w:jc w:val="center"/>
            </w:pPr>
            <w:r>
              <w:t>5.32 (0.06)</w:t>
            </w:r>
          </w:p>
        </w:tc>
        <w:tc>
          <w:tcPr>
            <w:tcW w:w="1558" w:type="pct"/>
            <w:vAlign w:val="center"/>
          </w:tcPr>
          <w:p w:rsidR="00B71693" w:rsidRPr="00B1011F" w:rsidRDefault="00B71693" w:rsidP="004B0BF4">
            <w:pPr>
              <w:pStyle w:val="Tabletext"/>
              <w:keepNext/>
              <w:keepLines/>
              <w:suppressLineNumbers/>
              <w:suppressAutoHyphens/>
              <w:jc w:val="center"/>
            </w:pPr>
            <w:r>
              <w:t>5.74 (0.03)</w:t>
            </w:r>
          </w:p>
        </w:tc>
      </w:tr>
      <w:tr w:rsidR="00B71693" w:rsidRPr="00B1011F" w:rsidTr="00D070E9">
        <w:tc>
          <w:tcPr>
            <w:tcW w:w="1884" w:type="pct"/>
            <w:vAlign w:val="center"/>
          </w:tcPr>
          <w:p w:rsidR="00B71693" w:rsidRDefault="00B71693" w:rsidP="004B0BF4">
            <w:pPr>
              <w:pStyle w:val="Tabletext"/>
              <w:keepNext/>
              <w:keepLines/>
              <w:suppressLineNumbers/>
              <w:suppressAutoHyphens/>
              <w:ind w:right="-88"/>
            </w:pPr>
            <w:r w:rsidRPr="00BD31C4">
              <w:t>Week 4 mean serum K+</w:t>
            </w:r>
            <w:r w:rsidR="00006B45">
              <w:t>,</w:t>
            </w:r>
            <w:r w:rsidRPr="00BD31C4">
              <w:t xml:space="preserve"> mmol/L (SD)</w:t>
            </w:r>
          </w:p>
        </w:tc>
        <w:tc>
          <w:tcPr>
            <w:tcW w:w="1558" w:type="pct"/>
            <w:vAlign w:val="center"/>
          </w:tcPr>
          <w:p w:rsidR="00B71693" w:rsidRPr="00B1011F" w:rsidRDefault="00B71693" w:rsidP="004B0BF4">
            <w:pPr>
              <w:pStyle w:val="Tabletext"/>
              <w:keepNext/>
              <w:keepLines/>
              <w:suppressLineNumbers/>
              <w:suppressAutoHyphens/>
              <w:ind w:left="-93" w:right="-110"/>
              <w:jc w:val="center"/>
            </w:pPr>
            <w:r>
              <w:t>4.66 (0.05)</w:t>
            </w:r>
          </w:p>
        </w:tc>
        <w:tc>
          <w:tcPr>
            <w:tcW w:w="1558" w:type="pct"/>
            <w:vAlign w:val="center"/>
          </w:tcPr>
          <w:p w:rsidR="00B71693" w:rsidRPr="00B1011F" w:rsidRDefault="00B71693" w:rsidP="004B0BF4">
            <w:pPr>
              <w:pStyle w:val="Tabletext"/>
              <w:keepNext/>
              <w:keepLines/>
              <w:suppressLineNumbers/>
              <w:suppressAutoHyphens/>
              <w:jc w:val="center"/>
            </w:pPr>
            <w:r>
              <w:t>4.51 (0.04)</w:t>
            </w:r>
          </w:p>
        </w:tc>
      </w:tr>
      <w:tr w:rsidR="00B71693" w:rsidRPr="00B1011F" w:rsidTr="00D070E9">
        <w:tc>
          <w:tcPr>
            <w:tcW w:w="1884" w:type="pct"/>
            <w:vAlign w:val="center"/>
          </w:tcPr>
          <w:p w:rsidR="00B71693" w:rsidRDefault="00B71693" w:rsidP="004B0BF4">
            <w:pPr>
              <w:pStyle w:val="Tabletext"/>
              <w:keepNext/>
              <w:keepLines/>
              <w:suppressLineNumbers/>
              <w:suppressAutoHyphens/>
              <w:ind w:right="-88"/>
            </w:pPr>
            <w:r w:rsidRPr="00BD31C4">
              <w:t xml:space="preserve">Mean change in serum K+ </w:t>
            </w:r>
            <w:r w:rsidR="00405724">
              <w:t>from baseline to Week 4</w:t>
            </w:r>
            <w:r w:rsidR="00006B45">
              <w:t>,</w:t>
            </w:r>
            <w:r w:rsidR="00405724">
              <w:t xml:space="preserve"> </w:t>
            </w:r>
            <w:r w:rsidRPr="00BD31C4">
              <w:t>mmol/L (95% CI)</w:t>
            </w:r>
          </w:p>
        </w:tc>
        <w:tc>
          <w:tcPr>
            <w:tcW w:w="1558" w:type="pct"/>
            <w:vAlign w:val="center"/>
          </w:tcPr>
          <w:p w:rsidR="00B71693" w:rsidRDefault="00B71693" w:rsidP="004B0BF4">
            <w:pPr>
              <w:pStyle w:val="Tabletext"/>
              <w:keepNext/>
              <w:keepLines/>
              <w:suppressLineNumbers/>
              <w:suppressAutoHyphens/>
              <w:ind w:left="-93" w:right="-110"/>
              <w:jc w:val="center"/>
            </w:pPr>
            <w:r>
              <w:t>-0.65 (-0.74, -0.55)</w:t>
            </w:r>
          </w:p>
        </w:tc>
        <w:tc>
          <w:tcPr>
            <w:tcW w:w="1558" w:type="pct"/>
            <w:vAlign w:val="center"/>
          </w:tcPr>
          <w:p w:rsidR="00B71693" w:rsidRDefault="00B71693" w:rsidP="004B0BF4">
            <w:pPr>
              <w:pStyle w:val="Tabletext"/>
              <w:keepNext/>
              <w:keepLines/>
              <w:suppressLineNumbers/>
              <w:suppressAutoHyphens/>
              <w:jc w:val="center"/>
            </w:pPr>
            <w:r>
              <w:t>-1.23 (-1.31, -1.16)</w:t>
            </w:r>
          </w:p>
        </w:tc>
      </w:tr>
      <w:tr w:rsidR="002A5D33" w:rsidRPr="002A5D33" w:rsidTr="00D070E9">
        <w:tc>
          <w:tcPr>
            <w:tcW w:w="1884" w:type="pct"/>
            <w:tcBorders>
              <w:top w:val="single" w:sz="4" w:space="0" w:color="auto"/>
              <w:left w:val="single" w:sz="4" w:space="0" w:color="auto"/>
              <w:bottom w:val="single" w:sz="4" w:space="0" w:color="auto"/>
              <w:right w:val="single" w:sz="4" w:space="0" w:color="auto"/>
            </w:tcBorders>
            <w:vAlign w:val="center"/>
          </w:tcPr>
          <w:p w:rsidR="002A5D33" w:rsidRPr="002A5D33" w:rsidRDefault="002A5D33" w:rsidP="004B0BF4">
            <w:pPr>
              <w:pStyle w:val="Tabletext"/>
              <w:keepNext/>
              <w:keepLines/>
              <w:suppressLineNumbers/>
              <w:suppressAutoHyphens/>
              <w:ind w:right="-88"/>
              <w:rPr>
                <w:b/>
              </w:rPr>
            </w:pPr>
            <w:r>
              <w:rPr>
                <w:b/>
              </w:rPr>
              <w:t>OPAL-HK Part B (ITT)</w:t>
            </w:r>
          </w:p>
        </w:tc>
        <w:tc>
          <w:tcPr>
            <w:tcW w:w="1558" w:type="pct"/>
            <w:tcBorders>
              <w:top w:val="single" w:sz="4" w:space="0" w:color="auto"/>
              <w:left w:val="single" w:sz="4" w:space="0" w:color="auto"/>
              <w:bottom w:val="single" w:sz="4" w:space="0" w:color="auto"/>
              <w:right w:val="single" w:sz="4" w:space="0" w:color="auto"/>
            </w:tcBorders>
            <w:vAlign w:val="center"/>
          </w:tcPr>
          <w:p w:rsidR="002A5D33" w:rsidRDefault="002A5D33" w:rsidP="004B0BF4">
            <w:pPr>
              <w:pStyle w:val="Tabletext"/>
              <w:keepNext/>
              <w:keepLines/>
              <w:suppressLineNumbers/>
              <w:suppressAutoHyphens/>
              <w:jc w:val="center"/>
              <w:rPr>
                <w:b/>
              </w:rPr>
            </w:pPr>
            <w:r>
              <w:rPr>
                <w:b/>
              </w:rPr>
              <w:t>Patiromer</w:t>
            </w:r>
          </w:p>
          <w:p w:rsidR="002A5D33" w:rsidRPr="002A5D33" w:rsidRDefault="002A5D33" w:rsidP="004B0BF4">
            <w:pPr>
              <w:pStyle w:val="Tabletext"/>
              <w:keepNext/>
              <w:keepLines/>
              <w:suppressLineNumbers/>
              <w:suppressAutoHyphens/>
              <w:ind w:left="-93" w:right="-110"/>
              <w:jc w:val="center"/>
              <w:rPr>
                <w:b/>
              </w:rPr>
            </w:pPr>
            <w:r>
              <w:rPr>
                <w:b/>
              </w:rPr>
              <w:t>(N=55)</w:t>
            </w:r>
          </w:p>
        </w:tc>
        <w:tc>
          <w:tcPr>
            <w:tcW w:w="1558" w:type="pct"/>
            <w:tcBorders>
              <w:top w:val="single" w:sz="4" w:space="0" w:color="auto"/>
              <w:left w:val="single" w:sz="4" w:space="0" w:color="auto"/>
              <w:bottom w:val="single" w:sz="4" w:space="0" w:color="auto"/>
              <w:right w:val="single" w:sz="4" w:space="0" w:color="auto"/>
            </w:tcBorders>
            <w:vAlign w:val="center"/>
          </w:tcPr>
          <w:p w:rsidR="002A5D33" w:rsidRDefault="002A5D33" w:rsidP="004B0BF4">
            <w:pPr>
              <w:pStyle w:val="Tabletext"/>
              <w:keepNext/>
              <w:keepLines/>
              <w:suppressLineNumbers/>
              <w:suppressAutoHyphens/>
              <w:jc w:val="center"/>
              <w:rPr>
                <w:b/>
              </w:rPr>
            </w:pPr>
            <w:r>
              <w:rPr>
                <w:b/>
              </w:rPr>
              <w:t>Placebo</w:t>
            </w:r>
          </w:p>
          <w:p w:rsidR="002A5D33" w:rsidRPr="002A5D33" w:rsidRDefault="002A5D33" w:rsidP="004B0BF4">
            <w:pPr>
              <w:pStyle w:val="Tabletext"/>
              <w:keepNext/>
              <w:keepLines/>
              <w:suppressLineNumbers/>
              <w:suppressAutoHyphens/>
              <w:jc w:val="center"/>
              <w:rPr>
                <w:b/>
              </w:rPr>
            </w:pPr>
            <w:r>
              <w:rPr>
                <w:b/>
              </w:rPr>
              <w:t>(N=52)</w:t>
            </w:r>
          </w:p>
        </w:tc>
      </w:tr>
      <w:tr w:rsidR="00405724" w:rsidRPr="00B1011F" w:rsidTr="00D070E9">
        <w:tc>
          <w:tcPr>
            <w:tcW w:w="1884" w:type="pct"/>
            <w:tcBorders>
              <w:top w:val="single" w:sz="4" w:space="0" w:color="auto"/>
              <w:left w:val="single" w:sz="4" w:space="0" w:color="auto"/>
              <w:bottom w:val="single" w:sz="4" w:space="0" w:color="auto"/>
              <w:right w:val="single" w:sz="4" w:space="0" w:color="auto"/>
            </w:tcBorders>
            <w:vAlign w:val="center"/>
          </w:tcPr>
          <w:p w:rsidR="00405724" w:rsidRPr="0011100D" w:rsidRDefault="00405724" w:rsidP="004B0BF4">
            <w:pPr>
              <w:pStyle w:val="Tabletext"/>
              <w:keepNext/>
              <w:keepLines/>
              <w:suppressLineNumbers/>
              <w:suppressAutoHyphens/>
              <w:ind w:right="-88"/>
            </w:pPr>
            <w:r w:rsidRPr="00BD31C4">
              <w:t>Baseline mean serum K+</w:t>
            </w:r>
            <w:r w:rsidR="00311036">
              <w:t>,</w:t>
            </w:r>
            <w:r w:rsidRPr="00BD31C4">
              <w:t xml:space="preserve"> mmol/L (SD)</w:t>
            </w:r>
          </w:p>
        </w:tc>
        <w:tc>
          <w:tcPr>
            <w:tcW w:w="1558" w:type="pct"/>
            <w:tcBorders>
              <w:top w:val="single" w:sz="4" w:space="0" w:color="auto"/>
              <w:left w:val="single" w:sz="4" w:space="0" w:color="auto"/>
              <w:bottom w:val="single" w:sz="4" w:space="0" w:color="auto"/>
              <w:right w:val="single" w:sz="4" w:space="0" w:color="auto"/>
            </w:tcBorders>
            <w:vAlign w:val="center"/>
          </w:tcPr>
          <w:p w:rsidR="00405724" w:rsidRPr="00B1011F" w:rsidRDefault="00405724" w:rsidP="004B0BF4">
            <w:pPr>
              <w:pStyle w:val="Tabletext"/>
              <w:keepNext/>
              <w:keepLines/>
              <w:suppressLineNumbers/>
              <w:suppressAutoHyphens/>
              <w:ind w:left="-93" w:right="-110"/>
              <w:jc w:val="center"/>
            </w:pPr>
            <w:r>
              <w:t>4.49 (0.43)</w:t>
            </w:r>
          </w:p>
        </w:tc>
        <w:tc>
          <w:tcPr>
            <w:tcW w:w="1558" w:type="pct"/>
            <w:tcBorders>
              <w:top w:val="single" w:sz="4" w:space="0" w:color="auto"/>
              <w:left w:val="single" w:sz="4" w:space="0" w:color="auto"/>
              <w:bottom w:val="single" w:sz="4" w:space="0" w:color="auto"/>
              <w:right w:val="single" w:sz="4" w:space="0" w:color="auto"/>
            </w:tcBorders>
          </w:tcPr>
          <w:p w:rsidR="00405724" w:rsidRPr="00B1011F" w:rsidRDefault="00405724" w:rsidP="004B0BF4">
            <w:pPr>
              <w:pStyle w:val="Tabletext"/>
              <w:keepNext/>
              <w:keepLines/>
              <w:suppressLineNumbers/>
              <w:suppressAutoHyphens/>
              <w:jc w:val="center"/>
            </w:pPr>
            <w:r>
              <w:t>4.45 (0.34)</w:t>
            </w:r>
          </w:p>
        </w:tc>
      </w:tr>
      <w:tr w:rsidR="00405724" w:rsidRPr="00B1011F" w:rsidTr="00D070E9">
        <w:tc>
          <w:tcPr>
            <w:tcW w:w="1884" w:type="pct"/>
            <w:tcBorders>
              <w:top w:val="single" w:sz="4" w:space="0" w:color="auto"/>
              <w:left w:val="single" w:sz="4" w:space="0" w:color="auto"/>
              <w:bottom w:val="single" w:sz="4" w:space="0" w:color="auto"/>
              <w:right w:val="single" w:sz="4" w:space="0" w:color="auto"/>
            </w:tcBorders>
            <w:vAlign w:val="center"/>
          </w:tcPr>
          <w:p w:rsidR="00405724" w:rsidRDefault="00405724" w:rsidP="004B0BF4">
            <w:pPr>
              <w:pStyle w:val="Tabletext"/>
              <w:keepNext/>
              <w:keepLines/>
              <w:suppressLineNumbers/>
              <w:suppressAutoHyphens/>
              <w:ind w:right="-88"/>
            </w:pPr>
            <w:r w:rsidRPr="00BD31C4">
              <w:t xml:space="preserve">Week </w:t>
            </w:r>
            <w:r>
              <w:t>8</w:t>
            </w:r>
            <w:r w:rsidRPr="00BD31C4">
              <w:t xml:space="preserve"> mean serum K+</w:t>
            </w:r>
            <w:r w:rsidR="00311036">
              <w:t>,</w:t>
            </w:r>
            <w:r w:rsidRPr="00BD31C4">
              <w:t xml:space="preserve"> mmol/L (SD)</w:t>
            </w:r>
          </w:p>
        </w:tc>
        <w:tc>
          <w:tcPr>
            <w:tcW w:w="1558" w:type="pct"/>
            <w:tcBorders>
              <w:top w:val="single" w:sz="4" w:space="0" w:color="auto"/>
              <w:left w:val="single" w:sz="4" w:space="0" w:color="auto"/>
              <w:bottom w:val="single" w:sz="4" w:space="0" w:color="auto"/>
              <w:right w:val="single" w:sz="4" w:space="0" w:color="auto"/>
            </w:tcBorders>
            <w:vAlign w:val="center"/>
          </w:tcPr>
          <w:p w:rsidR="00405724" w:rsidRPr="00B1011F" w:rsidRDefault="00405724" w:rsidP="004B0BF4">
            <w:pPr>
              <w:pStyle w:val="Tabletext"/>
              <w:keepNext/>
              <w:keepLines/>
              <w:suppressLineNumbers/>
              <w:suppressAutoHyphens/>
              <w:ind w:left="-93" w:right="-110"/>
              <w:jc w:val="center"/>
            </w:pPr>
            <w:r>
              <w:t>4.52 (0.40)</w:t>
            </w:r>
          </w:p>
        </w:tc>
        <w:tc>
          <w:tcPr>
            <w:tcW w:w="1558" w:type="pct"/>
            <w:tcBorders>
              <w:top w:val="single" w:sz="4" w:space="0" w:color="auto"/>
              <w:left w:val="single" w:sz="4" w:space="0" w:color="auto"/>
              <w:bottom w:val="single" w:sz="4" w:space="0" w:color="auto"/>
              <w:right w:val="single" w:sz="4" w:space="0" w:color="auto"/>
            </w:tcBorders>
          </w:tcPr>
          <w:p w:rsidR="00405724" w:rsidRPr="00B1011F" w:rsidRDefault="00405724" w:rsidP="004B0BF4">
            <w:pPr>
              <w:pStyle w:val="Tabletext"/>
              <w:keepNext/>
              <w:keepLines/>
              <w:suppressLineNumbers/>
              <w:suppressAutoHyphens/>
              <w:jc w:val="center"/>
            </w:pPr>
            <w:r>
              <w:t>4.85 (0.45)</w:t>
            </w:r>
          </w:p>
        </w:tc>
      </w:tr>
      <w:tr w:rsidR="002A5D33" w:rsidRPr="00B1011F" w:rsidTr="00D070E9">
        <w:tc>
          <w:tcPr>
            <w:tcW w:w="1884" w:type="pct"/>
            <w:tcBorders>
              <w:top w:val="single" w:sz="4" w:space="0" w:color="auto"/>
              <w:left w:val="single" w:sz="4" w:space="0" w:color="auto"/>
              <w:bottom w:val="single" w:sz="4" w:space="0" w:color="auto"/>
              <w:right w:val="single" w:sz="4" w:space="0" w:color="auto"/>
            </w:tcBorders>
            <w:vAlign w:val="center"/>
          </w:tcPr>
          <w:p w:rsidR="002A5D33" w:rsidRDefault="00ED7C19" w:rsidP="004B0BF4">
            <w:pPr>
              <w:pStyle w:val="Tabletext"/>
              <w:keepNext/>
              <w:keepLines/>
              <w:suppressLineNumbers/>
              <w:suppressAutoHyphens/>
              <w:ind w:right="-88"/>
            </w:pPr>
            <w:r>
              <w:t>Estimated m</w:t>
            </w:r>
            <w:r w:rsidR="002A5D33" w:rsidRPr="00BD31C4">
              <w:t xml:space="preserve">ean change in serum K+ </w:t>
            </w:r>
            <w:r w:rsidR="00405724">
              <w:t xml:space="preserve">from Part B baseline to Week 8, </w:t>
            </w:r>
            <w:r w:rsidR="002A5D33" w:rsidRPr="00BD31C4">
              <w:t>mmol/L (95% CI)</w:t>
            </w:r>
          </w:p>
        </w:tc>
        <w:tc>
          <w:tcPr>
            <w:tcW w:w="1558" w:type="pct"/>
            <w:tcBorders>
              <w:top w:val="single" w:sz="4" w:space="0" w:color="auto"/>
              <w:left w:val="single" w:sz="4" w:space="0" w:color="auto"/>
              <w:bottom w:val="single" w:sz="4" w:space="0" w:color="auto"/>
              <w:right w:val="single" w:sz="4" w:space="0" w:color="auto"/>
            </w:tcBorders>
            <w:vAlign w:val="center"/>
          </w:tcPr>
          <w:p w:rsidR="002A5D33" w:rsidRDefault="002A5D33" w:rsidP="004B0BF4">
            <w:pPr>
              <w:pStyle w:val="Tabletext"/>
              <w:keepNext/>
              <w:keepLines/>
              <w:suppressLineNumbers/>
              <w:suppressAutoHyphens/>
              <w:ind w:left="-93" w:right="-110"/>
              <w:jc w:val="center"/>
            </w:pPr>
            <w:r w:rsidRPr="00516574">
              <w:t>0.00 (-0.30, 0.30)</w:t>
            </w:r>
            <w:r>
              <w:rPr>
                <w:vertAlign w:val="superscript"/>
              </w:rPr>
              <w:t>a</w:t>
            </w:r>
          </w:p>
        </w:tc>
        <w:tc>
          <w:tcPr>
            <w:tcW w:w="1558" w:type="pct"/>
            <w:tcBorders>
              <w:top w:val="single" w:sz="4" w:space="0" w:color="auto"/>
              <w:left w:val="single" w:sz="4" w:space="0" w:color="auto"/>
              <w:bottom w:val="single" w:sz="4" w:space="0" w:color="auto"/>
              <w:right w:val="single" w:sz="4" w:space="0" w:color="auto"/>
            </w:tcBorders>
            <w:vAlign w:val="center"/>
          </w:tcPr>
          <w:p w:rsidR="002A5D33" w:rsidRDefault="002A5D33" w:rsidP="004B0BF4">
            <w:pPr>
              <w:pStyle w:val="Tabletext"/>
              <w:keepNext/>
              <w:keepLines/>
              <w:suppressLineNumbers/>
              <w:suppressAutoHyphens/>
              <w:jc w:val="center"/>
            </w:pPr>
            <w:r w:rsidRPr="00516574">
              <w:t>0.72 (0.22, 1.22)</w:t>
            </w:r>
            <w:r>
              <w:rPr>
                <w:vertAlign w:val="superscript"/>
              </w:rPr>
              <w:t>a</w:t>
            </w:r>
          </w:p>
        </w:tc>
      </w:tr>
      <w:tr w:rsidR="00ED7C19" w:rsidRPr="00B1011F" w:rsidTr="00D070E9">
        <w:tc>
          <w:tcPr>
            <w:tcW w:w="1884" w:type="pct"/>
            <w:tcBorders>
              <w:top w:val="single" w:sz="4" w:space="0" w:color="auto"/>
              <w:left w:val="single" w:sz="4" w:space="0" w:color="auto"/>
              <w:bottom w:val="single" w:sz="4" w:space="0" w:color="auto"/>
              <w:right w:val="single" w:sz="4" w:space="0" w:color="auto"/>
            </w:tcBorders>
            <w:vAlign w:val="center"/>
          </w:tcPr>
          <w:p w:rsidR="00ED7C19" w:rsidRPr="00BD31C4" w:rsidRDefault="00ED7C19" w:rsidP="004B0BF4">
            <w:pPr>
              <w:pStyle w:val="Tabletext"/>
              <w:keepNext/>
              <w:keepLines/>
              <w:suppressLineNumbers/>
              <w:suppressAutoHyphens/>
              <w:ind w:right="-88"/>
            </w:pPr>
            <w:r>
              <w:t>Observed m</w:t>
            </w:r>
            <w:r w:rsidRPr="00BD31C4">
              <w:t xml:space="preserve">ean change in serum K+ </w:t>
            </w:r>
            <w:r>
              <w:t xml:space="preserve">from Part B baseline to Week 8, </w:t>
            </w:r>
            <w:r w:rsidRPr="00BD31C4">
              <w:t>mmol/L (</w:t>
            </w:r>
            <w:r>
              <w:t>SD</w:t>
            </w:r>
            <w:r w:rsidRPr="00BD31C4">
              <w:t>)</w:t>
            </w:r>
          </w:p>
        </w:tc>
        <w:tc>
          <w:tcPr>
            <w:tcW w:w="1558" w:type="pct"/>
            <w:tcBorders>
              <w:top w:val="single" w:sz="4" w:space="0" w:color="auto"/>
              <w:left w:val="single" w:sz="4" w:space="0" w:color="auto"/>
              <w:bottom w:val="single" w:sz="4" w:space="0" w:color="auto"/>
              <w:right w:val="single" w:sz="4" w:space="0" w:color="auto"/>
            </w:tcBorders>
            <w:vAlign w:val="center"/>
          </w:tcPr>
          <w:p w:rsidR="00ED7C19" w:rsidRPr="00516574" w:rsidRDefault="00ED7C19" w:rsidP="004B0BF4">
            <w:pPr>
              <w:pStyle w:val="Tabletext"/>
              <w:keepNext/>
              <w:keepLines/>
              <w:suppressLineNumbers/>
              <w:suppressAutoHyphens/>
              <w:ind w:left="-93" w:right="-110"/>
              <w:jc w:val="center"/>
            </w:pPr>
            <w:r>
              <w:t>0.00 (0.56)</w:t>
            </w:r>
          </w:p>
        </w:tc>
        <w:tc>
          <w:tcPr>
            <w:tcW w:w="1558" w:type="pct"/>
            <w:tcBorders>
              <w:top w:val="single" w:sz="4" w:space="0" w:color="auto"/>
              <w:left w:val="single" w:sz="4" w:space="0" w:color="auto"/>
              <w:bottom w:val="single" w:sz="4" w:space="0" w:color="auto"/>
              <w:right w:val="single" w:sz="4" w:space="0" w:color="auto"/>
            </w:tcBorders>
            <w:vAlign w:val="center"/>
          </w:tcPr>
          <w:p w:rsidR="00ED7C19" w:rsidRPr="00516574" w:rsidRDefault="00ED7C19" w:rsidP="004B0BF4">
            <w:pPr>
              <w:pStyle w:val="Tabletext"/>
              <w:keepNext/>
              <w:keepLines/>
              <w:suppressLineNumbers/>
              <w:suppressAutoHyphens/>
              <w:jc w:val="center"/>
            </w:pPr>
            <w:r>
              <w:t>0.45 (0.45)</w:t>
            </w:r>
          </w:p>
        </w:tc>
      </w:tr>
    </w:tbl>
    <w:p w:rsidR="00B71693" w:rsidRDefault="002A5D33" w:rsidP="004B0BF4">
      <w:pPr>
        <w:pStyle w:val="ListParagraph"/>
        <w:keepNext/>
        <w:keepLines/>
        <w:widowControl/>
        <w:suppressLineNumbers/>
        <w:suppressAutoHyphens/>
        <w:spacing w:after="0"/>
        <w:ind w:left="0"/>
        <w:rPr>
          <w:rFonts w:ascii="Arial Narrow" w:eastAsia="Calibri" w:hAnsi="Arial Narrow"/>
          <w:sz w:val="18"/>
          <w:szCs w:val="18"/>
        </w:rPr>
      </w:pPr>
      <w:r w:rsidRPr="002A5D33">
        <w:rPr>
          <w:rFonts w:ascii="Arial Narrow" w:eastAsia="Calibri" w:hAnsi="Arial Narrow"/>
          <w:sz w:val="18"/>
          <w:szCs w:val="18"/>
        </w:rPr>
        <w:t>CI</w:t>
      </w:r>
      <w:r w:rsidR="00E34AC7">
        <w:rPr>
          <w:rFonts w:ascii="Arial Narrow" w:eastAsia="Calibri" w:hAnsi="Arial Narrow"/>
          <w:sz w:val="18"/>
          <w:szCs w:val="18"/>
        </w:rPr>
        <w:t xml:space="preserve"> =</w:t>
      </w:r>
      <w:r w:rsidRPr="002A5D33">
        <w:rPr>
          <w:rFonts w:ascii="Arial Narrow" w:eastAsia="Calibri" w:hAnsi="Arial Narrow"/>
          <w:sz w:val="18"/>
          <w:szCs w:val="18"/>
        </w:rPr>
        <w:t xml:space="preserve"> confidence interval, ITT</w:t>
      </w:r>
      <w:r w:rsidR="00E34AC7">
        <w:rPr>
          <w:rFonts w:ascii="Arial Narrow" w:eastAsia="Calibri" w:hAnsi="Arial Narrow"/>
          <w:sz w:val="18"/>
          <w:szCs w:val="18"/>
        </w:rPr>
        <w:t xml:space="preserve"> =</w:t>
      </w:r>
      <w:r w:rsidRPr="002A5D33">
        <w:rPr>
          <w:rFonts w:ascii="Arial Narrow" w:eastAsia="Calibri" w:hAnsi="Arial Narrow"/>
          <w:sz w:val="18"/>
          <w:szCs w:val="18"/>
        </w:rPr>
        <w:t xml:space="preserve"> intention-to-treat; K+</w:t>
      </w:r>
      <w:r w:rsidR="00E34AC7">
        <w:rPr>
          <w:rFonts w:ascii="Arial Narrow" w:eastAsia="Calibri" w:hAnsi="Arial Narrow"/>
          <w:sz w:val="18"/>
          <w:szCs w:val="18"/>
        </w:rPr>
        <w:t xml:space="preserve"> =</w:t>
      </w:r>
      <w:r w:rsidRPr="002A5D33">
        <w:rPr>
          <w:rFonts w:ascii="Arial Narrow" w:eastAsia="Calibri" w:hAnsi="Arial Narrow"/>
          <w:sz w:val="18"/>
          <w:szCs w:val="18"/>
        </w:rPr>
        <w:t xml:space="preserve"> potassium; mITT</w:t>
      </w:r>
      <w:r w:rsidR="00E34AC7">
        <w:rPr>
          <w:rFonts w:ascii="Arial Narrow" w:eastAsia="Calibri" w:hAnsi="Arial Narrow"/>
          <w:sz w:val="18"/>
          <w:szCs w:val="18"/>
        </w:rPr>
        <w:t xml:space="preserve"> =</w:t>
      </w:r>
      <w:r w:rsidRPr="002A5D33">
        <w:rPr>
          <w:rFonts w:ascii="Arial Narrow" w:eastAsia="Calibri" w:hAnsi="Arial Narrow"/>
          <w:sz w:val="18"/>
          <w:szCs w:val="18"/>
        </w:rPr>
        <w:t xml:space="preserve"> modified intention-to-treat; SD</w:t>
      </w:r>
      <w:r w:rsidR="00E34AC7">
        <w:rPr>
          <w:rFonts w:ascii="Arial Narrow" w:eastAsia="Calibri" w:hAnsi="Arial Narrow"/>
          <w:sz w:val="18"/>
          <w:szCs w:val="18"/>
        </w:rPr>
        <w:t xml:space="preserve"> =</w:t>
      </w:r>
      <w:r w:rsidRPr="002A5D33">
        <w:rPr>
          <w:rFonts w:ascii="Arial Narrow" w:eastAsia="Calibri" w:hAnsi="Arial Narrow"/>
          <w:sz w:val="18"/>
          <w:szCs w:val="18"/>
        </w:rPr>
        <w:t xml:space="preserve"> standard deviation</w:t>
      </w:r>
    </w:p>
    <w:p w:rsidR="002C190B" w:rsidRDefault="002C190B" w:rsidP="004B0BF4">
      <w:pPr>
        <w:pStyle w:val="TableFooter"/>
        <w:keepNext/>
        <w:keepLines/>
        <w:widowControl/>
        <w:suppressLineNumbers/>
        <w:suppressAutoHyphens/>
      </w:pPr>
      <w:r w:rsidRPr="002A5D33">
        <w:rPr>
          <w:szCs w:val="18"/>
        </w:rPr>
        <w:t>Source: Table 37, p.167 OPAL-HK CSR</w:t>
      </w:r>
      <w:r>
        <w:rPr>
          <w:szCs w:val="18"/>
        </w:rPr>
        <w:t xml:space="preserve">; </w:t>
      </w:r>
      <w:r>
        <w:t>Table 2-20, p.65 of the submission</w:t>
      </w:r>
    </w:p>
    <w:p w:rsidR="002C190B" w:rsidRPr="002A5D33" w:rsidRDefault="002C190B" w:rsidP="004B0BF4">
      <w:pPr>
        <w:pStyle w:val="ListParagraph"/>
        <w:keepNext/>
        <w:keepLines/>
        <w:widowControl/>
        <w:suppressLineNumbers/>
        <w:suppressAutoHyphens/>
        <w:spacing w:after="120"/>
        <w:ind w:left="0"/>
      </w:pPr>
      <w:r>
        <w:rPr>
          <w:rFonts w:ascii="Arial Narrow" w:hAnsi="Arial Narrow"/>
          <w:sz w:val="18"/>
          <w:szCs w:val="18"/>
          <w:vertAlign w:val="superscript"/>
        </w:rPr>
        <w:t>a</w:t>
      </w:r>
      <w:r>
        <w:rPr>
          <w:rFonts w:ascii="Arial Narrow" w:hAnsi="Arial Narrow"/>
          <w:sz w:val="18"/>
          <w:szCs w:val="18"/>
        </w:rPr>
        <w:t xml:space="preserve"> </w:t>
      </w:r>
      <w:r w:rsidRPr="002A5D33">
        <w:rPr>
          <w:rFonts w:ascii="Arial Narrow" w:hAnsi="Arial Narrow"/>
          <w:sz w:val="18"/>
          <w:szCs w:val="18"/>
        </w:rPr>
        <w:t xml:space="preserve">Estimated mean change in serum potassium including imputed endpoints for missing data </w:t>
      </w:r>
    </w:p>
    <w:p w:rsidR="00405724" w:rsidRPr="00D03515" w:rsidRDefault="00405724" w:rsidP="004B0BF4">
      <w:pPr>
        <w:pStyle w:val="ListParagraph"/>
        <w:widowControl/>
        <w:numPr>
          <w:ilvl w:val="1"/>
          <w:numId w:val="3"/>
        </w:numPr>
        <w:spacing w:after="120"/>
      </w:pPr>
      <w:r w:rsidRPr="00D528C4">
        <w:t xml:space="preserve">In Part A of the study there were statistically significant decreases in serum potassium concentrations from baseline to Week 4 in both </w:t>
      </w:r>
      <w:r w:rsidR="001E398D">
        <w:t xml:space="preserve">patiromer </w:t>
      </w:r>
      <w:r w:rsidRPr="00D528C4">
        <w:t xml:space="preserve">dose groups, but decreases in serum potassium concentrations were smaller for </w:t>
      </w:r>
      <w:r w:rsidR="00287D5B">
        <w:t>G</w:t>
      </w:r>
      <w:r w:rsidRPr="00D528C4">
        <w:t>roup 1 and less than the MDD of 0.7 mmol/</w:t>
      </w:r>
      <w:r w:rsidRPr="004E3503">
        <w:t xml:space="preserve">L. </w:t>
      </w:r>
      <w:r w:rsidR="00042F1D" w:rsidRPr="00D03515">
        <w:t>The ESC considered that it was</w:t>
      </w:r>
      <w:r w:rsidR="00320522" w:rsidRPr="00D03515">
        <w:t xml:space="preserve"> unclear whether the reduction in serum potassium reported</w:t>
      </w:r>
      <w:r w:rsidR="00287D5B" w:rsidRPr="00D03515">
        <w:t>, particularly for the G</w:t>
      </w:r>
      <w:r w:rsidR="000153CF" w:rsidRPr="00D03515">
        <w:t>roup 1 patients, was</w:t>
      </w:r>
      <w:r w:rsidR="00320522" w:rsidRPr="00D03515">
        <w:t xml:space="preserve"> clinically meaningful.</w:t>
      </w:r>
    </w:p>
    <w:p w:rsidR="002C2775" w:rsidRPr="00405724" w:rsidRDefault="00405724" w:rsidP="004B0BF4">
      <w:pPr>
        <w:pStyle w:val="ListParagraph"/>
        <w:widowControl/>
        <w:numPr>
          <w:ilvl w:val="1"/>
          <w:numId w:val="3"/>
        </w:numPr>
        <w:spacing w:after="120"/>
      </w:pPr>
      <w:r w:rsidRPr="00D528C4">
        <w:t xml:space="preserve">In Part B of the study patients continuing treatment with patiromer showed no change in mean serum potassium concentration from </w:t>
      </w:r>
      <w:r w:rsidR="002C1534" w:rsidRPr="00D528C4">
        <w:t xml:space="preserve">the Part B </w:t>
      </w:r>
      <w:r w:rsidRPr="00D528C4">
        <w:t xml:space="preserve">baseline to Week 8. Patients switching to placebo showed statistically significant increases in estimated mean serum potassium concentrations larger than the MDD (0.70 mmol/L), but less than the MDD in the unadjusted </w:t>
      </w:r>
      <w:r w:rsidR="00E00E97">
        <w:t>results</w:t>
      </w:r>
      <w:r w:rsidRPr="00D528C4">
        <w:t xml:space="preserve">. Mean serum potassium concentrations </w:t>
      </w:r>
      <w:r w:rsidR="00ED7C19" w:rsidRPr="00D528C4">
        <w:t>remained</w:t>
      </w:r>
      <w:r w:rsidRPr="00D528C4">
        <w:t xml:space="preserve"> &lt; 5.1 mmol/L for both treatment arms</w:t>
      </w:r>
      <w:r w:rsidRPr="009321DF">
        <w:t>.</w:t>
      </w:r>
    </w:p>
    <w:p w:rsidR="00405724" w:rsidRPr="00D528C4" w:rsidRDefault="00006B45" w:rsidP="004B0BF4">
      <w:pPr>
        <w:pStyle w:val="ListParagraph"/>
        <w:widowControl/>
        <w:numPr>
          <w:ilvl w:val="1"/>
          <w:numId w:val="3"/>
        </w:numPr>
        <w:spacing w:after="120"/>
      </w:pPr>
      <w:r>
        <w:t xml:space="preserve">The </w:t>
      </w:r>
      <w:r w:rsidRPr="00D528C4">
        <w:t xml:space="preserve">proportion of patients </w:t>
      </w:r>
      <w:r>
        <w:t xml:space="preserve">in Part A </w:t>
      </w:r>
      <w:r w:rsidRPr="00D528C4">
        <w:t xml:space="preserve">achieving target serum potassium concentrations of 3.8 </w:t>
      </w:r>
      <w:r w:rsidR="00311036">
        <w:t>to</w:t>
      </w:r>
      <w:r w:rsidRPr="00D528C4">
        <w:t xml:space="preserve"> &lt; 5.1 mmol/L</w:t>
      </w:r>
      <w:r>
        <w:t xml:space="preserve">, </w:t>
      </w:r>
      <w:r w:rsidR="00405724" w:rsidRPr="00D528C4">
        <w:t>the key secondary outcome</w:t>
      </w:r>
      <w:r>
        <w:t xml:space="preserve">, was </w:t>
      </w:r>
      <w:r w:rsidRPr="00D528C4">
        <w:t>76% (95% CI</w:t>
      </w:r>
      <w:r>
        <w:t>:</w:t>
      </w:r>
      <w:r w:rsidRPr="00D528C4">
        <w:t xml:space="preserve"> 70, 81)</w:t>
      </w:r>
      <w:r>
        <w:t xml:space="preserve"> </w:t>
      </w:r>
      <w:r w:rsidR="00405724" w:rsidRPr="00D528C4">
        <w:t>across both dose groups</w:t>
      </w:r>
      <w:r>
        <w:t xml:space="preserve">. </w:t>
      </w:r>
      <w:r w:rsidR="00405724" w:rsidRPr="00D528C4">
        <w:t xml:space="preserve"> </w:t>
      </w:r>
    </w:p>
    <w:p w:rsidR="00DA3167" w:rsidRDefault="00ED7C19" w:rsidP="004B0BF4">
      <w:pPr>
        <w:pStyle w:val="ListParagraph"/>
        <w:widowControl/>
        <w:numPr>
          <w:ilvl w:val="1"/>
          <w:numId w:val="3"/>
        </w:numPr>
        <w:spacing w:after="120"/>
      </w:pPr>
      <w:r w:rsidRPr="00ED7C19">
        <w:t xml:space="preserve">Table 5 shows the stratified </w:t>
      </w:r>
      <w:r w:rsidR="001E398D">
        <w:t>proportions</w:t>
      </w:r>
      <w:r w:rsidRPr="00ED7C19">
        <w:t xml:space="preserve"> of patients in OPAL-HK Part B with serum potassium concentrations &gt; 5.5 mmol/L or &gt; 5.1 mmol/L at any time during the </w:t>
      </w:r>
      <w:r w:rsidR="00E6266C">
        <w:t xml:space="preserve">eight week </w:t>
      </w:r>
      <w:r w:rsidRPr="00ED7C19">
        <w:t>treatment phase of the withdrawal study.</w:t>
      </w:r>
      <w:r w:rsidR="00EC12C5">
        <w:t xml:space="preserve"> </w:t>
      </w:r>
    </w:p>
    <w:p w:rsidR="00ED7C19" w:rsidRDefault="00ED7C19" w:rsidP="00C209C6">
      <w:pPr>
        <w:pStyle w:val="ListParagraph"/>
        <w:keepNext/>
        <w:keepLines/>
        <w:widowControl/>
        <w:spacing w:after="0"/>
        <w:ind w:left="0"/>
        <w:rPr>
          <w:rStyle w:val="CommentReference"/>
        </w:rPr>
      </w:pPr>
      <w:r>
        <w:rPr>
          <w:rStyle w:val="CommentReference"/>
        </w:rPr>
        <w:t>Table 5</w:t>
      </w:r>
      <w:r w:rsidRPr="00892A36">
        <w:rPr>
          <w:rStyle w:val="CommentReference"/>
        </w:rPr>
        <w:t xml:space="preserve">: </w:t>
      </w:r>
      <w:r>
        <w:rPr>
          <w:rStyle w:val="CommentReference"/>
        </w:rPr>
        <w:t>Stratified p</w:t>
      </w:r>
      <w:r w:rsidRPr="005B26DC">
        <w:rPr>
          <w:rStyle w:val="CommentReference"/>
        </w:rPr>
        <w:t>roportion</w:t>
      </w:r>
      <w:r>
        <w:rPr>
          <w:rStyle w:val="CommentReference"/>
        </w:rPr>
        <w:t>s</w:t>
      </w:r>
      <w:r w:rsidRPr="005B26DC">
        <w:rPr>
          <w:rStyle w:val="CommentReference"/>
        </w:rPr>
        <w:t xml:space="preserve"> of patients with </w:t>
      </w:r>
      <w:r>
        <w:rPr>
          <w:rStyle w:val="CommentReference"/>
        </w:rPr>
        <w:t xml:space="preserve">elevated </w:t>
      </w:r>
      <w:r w:rsidRPr="005B26DC">
        <w:rPr>
          <w:rStyle w:val="CommentReference"/>
        </w:rPr>
        <w:t xml:space="preserve">serum </w:t>
      </w:r>
      <w:r>
        <w:rPr>
          <w:rStyle w:val="CommentReference"/>
        </w:rPr>
        <w:t xml:space="preserve">potassium concentrations at any time </w:t>
      </w:r>
      <w:r w:rsidRPr="005B26DC">
        <w:rPr>
          <w:rStyle w:val="CommentReference"/>
        </w:rPr>
        <w:t xml:space="preserve">post baseline </w:t>
      </w:r>
      <w:r>
        <w:rPr>
          <w:rStyle w:val="CommentReference"/>
        </w:rPr>
        <w:t>in the OPAL-HK Part B withdrawal study (</w:t>
      </w:r>
      <w:r w:rsidR="00E6266C">
        <w:rPr>
          <w:rStyle w:val="CommentReference"/>
        </w:rPr>
        <w:t xml:space="preserve">8 weeks; </w:t>
      </w:r>
      <w:r>
        <w:rPr>
          <w:rStyle w:val="CommentReference"/>
        </w:rPr>
        <w:t>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tratified proportions of patients with elevated serum potassium concentrations at any time post baseline in the OPAL-HK Part B withdrawal study (8 weeks; ITT)"/>
      </w:tblPr>
      <w:tblGrid>
        <w:gridCol w:w="4248"/>
        <w:gridCol w:w="1701"/>
        <w:gridCol w:w="1560"/>
        <w:gridCol w:w="1508"/>
      </w:tblGrid>
      <w:tr w:rsidR="00ED7C19" w:rsidRPr="00B84117" w:rsidTr="00D070E9">
        <w:trPr>
          <w:trHeight w:val="469"/>
          <w:tblHeader/>
        </w:trPr>
        <w:tc>
          <w:tcPr>
            <w:tcW w:w="2356" w:type="pct"/>
            <w:vAlign w:val="center"/>
          </w:tcPr>
          <w:p w:rsidR="00ED7C19" w:rsidRPr="00511EF9" w:rsidRDefault="00ED7C19" w:rsidP="00C209C6">
            <w:pPr>
              <w:pStyle w:val="Tabletext"/>
              <w:keepNext/>
              <w:keepLines/>
              <w:rPr>
                <w:b/>
              </w:rPr>
            </w:pPr>
          </w:p>
        </w:tc>
        <w:tc>
          <w:tcPr>
            <w:tcW w:w="943" w:type="pct"/>
            <w:vAlign w:val="center"/>
          </w:tcPr>
          <w:p w:rsidR="00ED7C19" w:rsidRDefault="00ED7C19" w:rsidP="00C209C6">
            <w:pPr>
              <w:pStyle w:val="Tabletext"/>
              <w:keepNext/>
              <w:keepLines/>
              <w:jc w:val="center"/>
              <w:rPr>
                <w:b/>
              </w:rPr>
            </w:pPr>
            <w:r>
              <w:rPr>
                <w:b/>
              </w:rPr>
              <w:t>Patiromer</w:t>
            </w:r>
          </w:p>
          <w:p w:rsidR="00ED7C19" w:rsidRPr="00511EF9" w:rsidRDefault="00ED7C19" w:rsidP="00C209C6">
            <w:pPr>
              <w:pStyle w:val="Tabletext"/>
              <w:keepNext/>
              <w:keepLines/>
              <w:jc w:val="center"/>
              <w:rPr>
                <w:b/>
              </w:rPr>
            </w:pPr>
            <w:r>
              <w:rPr>
                <w:b/>
              </w:rPr>
              <w:t>(N=55)</w:t>
            </w:r>
          </w:p>
        </w:tc>
        <w:tc>
          <w:tcPr>
            <w:tcW w:w="865" w:type="pct"/>
            <w:vAlign w:val="center"/>
          </w:tcPr>
          <w:p w:rsidR="00ED7C19" w:rsidRDefault="00ED7C19" w:rsidP="00C209C6">
            <w:pPr>
              <w:pStyle w:val="Tabletext"/>
              <w:keepNext/>
              <w:keepLines/>
              <w:jc w:val="center"/>
              <w:rPr>
                <w:b/>
              </w:rPr>
            </w:pPr>
            <w:r>
              <w:rPr>
                <w:b/>
              </w:rPr>
              <w:t>Placebo</w:t>
            </w:r>
          </w:p>
          <w:p w:rsidR="00ED7C19" w:rsidRPr="00511EF9" w:rsidRDefault="00ED7C19" w:rsidP="00C209C6">
            <w:pPr>
              <w:pStyle w:val="Tabletext"/>
              <w:keepNext/>
              <w:keepLines/>
              <w:jc w:val="center"/>
              <w:rPr>
                <w:b/>
              </w:rPr>
            </w:pPr>
            <w:r>
              <w:rPr>
                <w:b/>
              </w:rPr>
              <w:t>(N=52)</w:t>
            </w:r>
          </w:p>
        </w:tc>
        <w:tc>
          <w:tcPr>
            <w:tcW w:w="836" w:type="pct"/>
            <w:vAlign w:val="center"/>
          </w:tcPr>
          <w:p w:rsidR="00ED7C19" w:rsidRDefault="00ED7C19" w:rsidP="00C209C6">
            <w:pPr>
              <w:pStyle w:val="Tabletext"/>
              <w:keepNext/>
              <w:keepLines/>
              <w:jc w:val="center"/>
              <w:rPr>
                <w:b/>
              </w:rPr>
            </w:pPr>
            <w:r>
              <w:rPr>
                <w:b/>
              </w:rPr>
              <w:t xml:space="preserve">Difference </w:t>
            </w:r>
          </w:p>
          <w:p w:rsidR="00ED7C19" w:rsidRPr="00511EF9" w:rsidRDefault="00ED7C19" w:rsidP="00C209C6">
            <w:pPr>
              <w:pStyle w:val="Tabletext"/>
              <w:keepNext/>
              <w:keepLines/>
              <w:jc w:val="center"/>
              <w:rPr>
                <w:b/>
              </w:rPr>
            </w:pPr>
            <w:r>
              <w:rPr>
                <w:b/>
              </w:rPr>
              <w:t>% (95% CI)</w:t>
            </w:r>
          </w:p>
        </w:tc>
      </w:tr>
      <w:tr w:rsidR="00ED7C19" w:rsidRPr="00B1011F" w:rsidTr="00D070E9">
        <w:tc>
          <w:tcPr>
            <w:tcW w:w="2356" w:type="pct"/>
            <w:vAlign w:val="center"/>
          </w:tcPr>
          <w:p w:rsidR="00ED7C19" w:rsidRPr="00487890" w:rsidRDefault="00ED7C19" w:rsidP="00C209C6">
            <w:pPr>
              <w:pStyle w:val="Tabletext"/>
              <w:keepNext/>
              <w:keepLines/>
              <w:rPr>
                <w:vertAlign w:val="superscript"/>
              </w:rPr>
            </w:pPr>
            <w:r>
              <w:t>Proportion with s</w:t>
            </w:r>
            <w:r w:rsidRPr="00487890">
              <w:t>erum K+ &gt; 5.5 mmol/L</w:t>
            </w:r>
            <w:r w:rsidR="00006B45">
              <w:t>, %</w:t>
            </w:r>
            <w:r>
              <w:t xml:space="preserve"> (95% CI)</w:t>
            </w:r>
            <w:r>
              <w:rPr>
                <w:vertAlign w:val="superscript"/>
              </w:rPr>
              <w:t>a</w:t>
            </w:r>
          </w:p>
        </w:tc>
        <w:tc>
          <w:tcPr>
            <w:tcW w:w="943" w:type="pct"/>
          </w:tcPr>
          <w:p w:rsidR="00ED7C19" w:rsidRPr="00B1011F" w:rsidRDefault="00ED7C19" w:rsidP="00C209C6">
            <w:pPr>
              <w:pStyle w:val="Tabletext"/>
              <w:keepNext/>
              <w:keepLines/>
              <w:jc w:val="center"/>
            </w:pPr>
            <w:r w:rsidRPr="00BB7FA4">
              <w:t>15</w:t>
            </w:r>
            <w:r>
              <w:t>%</w:t>
            </w:r>
            <w:r w:rsidRPr="00BB7FA4">
              <w:t xml:space="preserve"> (6, 24)</w:t>
            </w:r>
          </w:p>
        </w:tc>
        <w:tc>
          <w:tcPr>
            <w:tcW w:w="865" w:type="pct"/>
          </w:tcPr>
          <w:p w:rsidR="00ED7C19" w:rsidRPr="0011100D" w:rsidRDefault="00ED7C19" w:rsidP="00C209C6">
            <w:pPr>
              <w:pStyle w:val="Tabletext"/>
              <w:keepNext/>
              <w:keepLines/>
              <w:jc w:val="center"/>
            </w:pPr>
            <w:r w:rsidRPr="00BB7FA4">
              <w:t>60</w:t>
            </w:r>
            <w:r>
              <w:t>%</w:t>
            </w:r>
            <w:r w:rsidRPr="00BB7FA4">
              <w:t xml:space="preserve"> (47, 74)</w:t>
            </w:r>
          </w:p>
        </w:tc>
        <w:tc>
          <w:tcPr>
            <w:tcW w:w="836" w:type="pct"/>
          </w:tcPr>
          <w:p w:rsidR="00ED7C19" w:rsidRPr="00B1011F" w:rsidRDefault="00ED7C19" w:rsidP="00C209C6">
            <w:pPr>
              <w:pStyle w:val="Tabletext"/>
              <w:keepNext/>
              <w:keepLines/>
              <w:jc w:val="center"/>
            </w:pPr>
            <w:r w:rsidRPr="00BB7FA4">
              <w:t>45</w:t>
            </w:r>
            <w:r>
              <w:t>%</w:t>
            </w:r>
            <w:r w:rsidRPr="00BB7FA4">
              <w:t xml:space="preserve"> (29, 61)</w:t>
            </w:r>
          </w:p>
        </w:tc>
      </w:tr>
      <w:tr w:rsidR="00ED7C19" w:rsidRPr="00B1011F" w:rsidTr="00D070E9">
        <w:tc>
          <w:tcPr>
            <w:tcW w:w="2356" w:type="pct"/>
            <w:vAlign w:val="center"/>
          </w:tcPr>
          <w:p w:rsidR="00ED7C19" w:rsidRPr="00487890" w:rsidRDefault="00ED7C19" w:rsidP="00C209C6">
            <w:pPr>
              <w:pStyle w:val="Tabletext"/>
              <w:rPr>
                <w:vertAlign w:val="superscript"/>
              </w:rPr>
            </w:pPr>
            <w:r>
              <w:t>Proportion with s</w:t>
            </w:r>
            <w:r w:rsidRPr="00487890">
              <w:t>erum K+ &gt; 5.1 mmol/L</w:t>
            </w:r>
            <w:r w:rsidR="00006B45">
              <w:t>, %</w:t>
            </w:r>
            <w:r>
              <w:t xml:space="preserve"> (95% CI)</w:t>
            </w:r>
            <w:r>
              <w:rPr>
                <w:vertAlign w:val="superscript"/>
              </w:rPr>
              <w:t>a</w:t>
            </w:r>
          </w:p>
        </w:tc>
        <w:tc>
          <w:tcPr>
            <w:tcW w:w="943" w:type="pct"/>
          </w:tcPr>
          <w:p w:rsidR="00ED7C19" w:rsidRPr="00B1011F" w:rsidRDefault="00ED7C19" w:rsidP="00C209C6">
            <w:pPr>
              <w:pStyle w:val="Tabletext"/>
              <w:jc w:val="center"/>
            </w:pPr>
            <w:r w:rsidRPr="00BB7FA4">
              <w:t>43</w:t>
            </w:r>
            <w:r>
              <w:t>%</w:t>
            </w:r>
            <w:r w:rsidRPr="00BB7FA4">
              <w:t xml:space="preserve"> (30, 56)</w:t>
            </w:r>
          </w:p>
        </w:tc>
        <w:tc>
          <w:tcPr>
            <w:tcW w:w="865" w:type="pct"/>
          </w:tcPr>
          <w:p w:rsidR="00ED7C19" w:rsidRDefault="00ED7C19" w:rsidP="00C209C6">
            <w:pPr>
              <w:pStyle w:val="Tabletext"/>
              <w:jc w:val="center"/>
            </w:pPr>
            <w:r w:rsidRPr="00BB7FA4">
              <w:t>91</w:t>
            </w:r>
            <w:r>
              <w:t>%</w:t>
            </w:r>
            <w:r w:rsidRPr="00BB7FA4">
              <w:t xml:space="preserve"> (83, 99)</w:t>
            </w:r>
          </w:p>
        </w:tc>
        <w:tc>
          <w:tcPr>
            <w:tcW w:w="836" w:type="pct"/>
          </w:tcPr>
          <w:p w:rsidR="00ED7C19" w:rsidRPr="00B1011F" w:rsidRDefault="00ED7C19" w:rsidP="00C209C6">
            <w:pPr>
              <w:pStyle w:val="Tabletext"/>
              <w:jc w:val="center"/>
            </w:pPr>
            <w:r w:rsidRPr="00BB7FA4">
              <w:t>48</w:t>
            </w:r>
            <w:r>
              <w:t>%</w:t>
            </w:r>
            <w:r w:rsidRPr="00BB7FA4">
              <w:t xml:space="preserve"> (33, 63)</w:t>
            </w:r>
          </w:p>
        </w:tc>
      </w:tr>
    </w:tbl>
    <w:p w:rsidR="00ED7C19" w:rsidRDefault="00ED7C19" w:rsidP="00C209C6">
      <w:pPr>
        <w:pStyle w:val="TableFooter"/>
        <w:widowControl/>
        <w:rPr>
          <w:rFonts w:eastAsia="Calibri"/>
        </w:rPr>
      </w:pPr>
      <w:r>
        <w:rPr>
          <w:rFonts w:eastAsia="Calibri"/>
        </w:rPr>
        <w:lastRenderedPageBreak/>
        <w:t>CI</w:t>
      </w:r>
      <w:r w:rsidR="00E34AC7">
        <w:rPr>
          <w:rFonts w:eastAsia="Calibri"/>
        </w:rPr>
        <w:t xml:space="preserve"> =</w:t>
      </w:r>
      <w:r>
        <w:rPr>
          <w:rFonts w:eastAsia="Calibri"/>
        </w:rPr>
        <w:t xml:space="preserve"> confidence interval</w:t>
      </w:r>
      <w:r w:rsidR="00E34AC7">
        <w:rPr>
          <w:rFonts w:eastAsia="Calibri"/>
        </w:rPr>
        <w:t>;</w:t>
      </w:r>
      <w:r>
        <w:rPr>
          <w:rFonts w:eastAsia="Calibri"/>
        </w:rPr>
        <w:t xml:space="preserve"> K+</w:t>
      </w:r>
      <w:r w:rsidR="00E34AC7">
        <w:rPr>
          <w:rFonts w:eastAsia="Calibri"/>
        </w:rPr>
        <w:t xml:space="preserve"> =</w:t>
      </w:r>
      <w:r>
        <w:rPr>
          <w:rFonts w:eastAsia="Calibri"/>
        </w:rPr>
        <w:t xml:space="preserve"> potassium</w:t>
      </w:r>
      <w:r w:rsidR="00E34AC7">
        <w:rPr>
          <w:rFonts w:eastAsia="Calibri"/>
        </w:rPr>
        <w:t>; T2DM = type 2 diabetes mellitus</w:t>
      </w:r>
    </w:p>
    <w:p w:rsidR="002C190B" w:rsidRDefault="002C190B" w:rsidP="00C209C6">
      <w:pPr>
        <w:pStyle w:val="TableFooter"/>
        <w:widowControl/>
      </w:pPr>
      <w:r>
        <w:t xml:space="preserve">Source: Table 2-22, p.66 of the submission </w:t>
      </w:r>
    </w:p>
    <w:p w:rsidR="00ED7C19" w:rsidRPr="00ED7C19" w:rsidRDefault="00ED7C19" w:rsidP="004B0BF4">
      <w:pPr>
        <w:pStyle w:val="TableFooter"/>
        <w:widowControl/>
        <w:spacing w:after="120"/>
        <w:rPr>
          <w:rFonts w:eastAsia="Calibri"/>
        </w:rPr>
      </w:pPr>
      <w:r>
        <w:rPr>
          <w:rFonts w:eastAsia="Calibri"/>
          <w:vertAlign w:val="superscript"/>
        </w:rPr>
        <w:t>a</w:t>
      </w:r>
      <w:r>
        <w:rPr>
          <w:rFonts w:eastAsia="Calibri"/>
        </w:rPr>
        <w:t xml:space="preserve"> E</w:t>
      </w:r>
      <w:r w:rsidRPr="00487890">
        <w:rPr>
          <w:rFonts w:eastAsia="Calibri"/>
        </w:rPr>
        <w:t xml:space="preserve">stimated percentages stratified by </w:t>
      </w:r>
      <w:r>
        <w:rPr>
          <w:rFonts w:eastAsia="Calibri"/>
        </w:rPr>
        <w:t>T2DM and Part A b</w:t>
      </w:r>
      <w:r w:rsidRPr="00487890">
        <w:rPr>
          <w:rFonts w:eastAsia="Calibri"/>
        </w:rPr>
        <w:t xml:space="preserve">aseline </w:t>
      </w:r>
      <w:r>
        <w:rPr>
          <w:rFonts w:eastAsia="Calibri"/>
        </w:rPr>
        <w:t xml:space="preserve">central lab </w:t>
      </w:r>
      <w:r w:rsidRPr="00487890">
        <w:rPr>
          <w:rFonts w:eastAsia="Calibri"/>
        </w:rPr>
        <w:t xml:space="preserve">serum potassium </w:t>
      </w:r>
      <w:r>
        <w:rPr>
          <w:rFonts w:eastAsia="Calibri"/>
        </w:rPr>
        <w:t>assay</w:t>
      </w:r>
      <w:r w:rsidRPr="00487890">
        <w:rPr>
          <w:rFonts w:eastAsia="Calibri"/>
        </w:rPr>
        <w:t xml:space="preserve"> (&lt;</w:t>
      </w:r>
      <w:r>
        <w:rPr>
          <w:rFonts w:eastAsia="Calibri"/>
        </w:rPr>
        <w:t xml:space="preserve"> </w:t>
      </w:r>
      <w:r w:rsidRPr="00487890">
        <w:rPr>
          <w:rFonts w:eastAsia="Calibri"/>
        </w:rPr>
        <w:t>5.8 or ≥ 5.8 m</w:t>
      </w:r>
      <w:r>
        <w:rPr>
          <w:rFonts w:eastAsia="Calibri"/>
        </w:rPr>
        <w:t>mol/L)</w:t>
      </w:r>
    </w:p>
    <w:p w:rsidR="00247925" w:rsidRPr="00D528C4" w:rsidRDefault="00EC12C5" w:rsidP="004B0BF4">
      <w:pPr>
        <w:pStyle w:val="ListParagraph"/>
        <w:widowControl/>
        <w:numPr>
          <w:ilvl w:val="1"/>
          <w:numId w:val="3"/>
        </w:numPr>
        <w:spacing w:after="120"/>
      </w:pPr>
      <w:r w:rsidRPr="009865FB">
        <w:t>The ESC noted that l</w:t>
      </w:r>
      <w:r w:rsidR="00ED7C19" w:rsidRPr="009865FB">
        <w:t>arger proportions</w:t>
      </w:r>
      <w:r w:rsidR="00ED7C19" w:rsidRPr="00D528C4">
        <w:t xml:space="preserve"> of patients receiving placebo reported a serum potassium concentration of &gt; 5.5 or &gt; 5.1 mmol/L compared to patients treated with patiromer.</w:t>
      </w:r>
      <w:r w:rsidR="003C7E20" w:rsidRPr="00D528C4">
        <w:t xml:space="preserve"> However, mean serum potassium concentrations in both treatment arms </w:t>
      </w:r>
      <w:r w:rsidR="00D62762">
        <w:t>remained</w:t>
      </w:r>
      <w:r w:rsidR="00D62762" w:rsidRPr="00D528C4">
        <w:t xml:space="preserve"> </w:t>
      </w:r>
      <w:r w:rsidR="003C7E20" w:rsidRPr="00D528C4">
        <w:t xml:space="preserve">within the target range of 3.5 </w:t>
      </w:r>
      <w:r w:rsidR="00311036">
        <w:t>to</w:t>
      </w:r>
      <w:r w:rsidR="003C7E20" w:rsidRPr="00D528C4">
        <w:t xml:space="preserve"> &lt; 5.1 mmol/L</w:t>
      </w:r>
      <w:r w:rsidR="00D62762">
        <w:t xml:space="preserve"> over the eight week withdrawal study</w:t>
      </w:r>
      <w:r w:rsidR="009D69C5">
        <w:t>.</w:t>
      </w:r>
    </w:p>
    <w:p w:rsidR="00760C4E" w:rsidRDefault="003C7E20" w:rsidP="004B0BF4">
      <w:pPr>
        <w:pStyle w:val="ListParagraph"/>
        <w:widowControl/>
        <w:numPr>
          <w:ilvl w:val="1"/>
          <w:numId w:val="3"/>
        </w:numPr>
        <w:spacing w:after="120"/>
      </w:pPr>
      <w:r w:rsidRPr="003C7E20">
        <w:t xml:space="preserve">Table </w:t>
      </w:r>
      <w:r w:rsidR="0075362F">
        <w:t>6</w:t>
      </w:r>
      <w:r w:rsidRPr="003C7E20">
        <w:t xml:space="preserve"> shows exploratory outcomes of patiromer and RAASi use in the OPAL-HK study</w:t>
      </w:r>
      <w:r>
        <w:t>.</w:t>
      </w:r>
    </w:p>
    <w:p w:rsidR="003C7E20" w:rsidRDefault="0075362F" w:rsidP="004B0BF4">
      <w:pPr>
        <w:keepNext/>
        <w:keepLines/>
        <w:widowControl/>
        <w:rPr>
          <w:rStyle w:val="CommentReference"/>
        </w:rPr>
      </w:pPr>
      <w:r>
        <w:rPr>
          <w:rStyle w:val="CommentReference"/>
        </w:rPr>
        <w:t>Table 6</w:t>
      </w:r>
      <w:r w:rsidR="003C7E20" w:rsidRPr="00892A36">
        <w:rPr>
          <w:rStyle w:val="CommentReference"/>
        </w:rPr>
        <w:t xml:space="preserve">: </w:t>
      </w:r>
      <w:r w:rsidR="003C7E20">
        <w:rPr>
          <w:rStyle w:val="CommentReference"/>
        </w:rPr>
        <w:t>Patiromer and RAASi dose adjustment</w:t>
      </w:r>
      <w:r w:rsidR="00E23C01">
        <w:rPr>
          <w:rStyle w:val="CommentReference"/>
        </w:rPr>
        <w:t xml:space="preserve"> at Week 8</w:t>
      </w:r>
      <w:r w:rsidR="003C7E20" w:rsidRPr="005B26DC">
        <w:rPr>
          <w:rStyle w:val="CommentReference"/>
        </w:rPr>
        <w:t xml:space="preserve"> </w:t>
      </w:r>
      <w:r w:rsidR="003C7E20">
        <w:rPr>
          <w:rStyle w:val="CommentReference"/>
        </w:rPr>
        <w:t>in OPAL-HK Part B</w:t>
      </w:r>
      <w:r w:rsidR="003C7E20" w:rsidRPr="00892A36">
        <w:rPr>
          <w:rStyle w:val="CommentReference"/>
        </w:rPr>
        <w:t xml:space="preserve"> </w:t>
      </w:r>
      <w:r w:rsidR="003C7E20">
        <w:rPr>
          <w:rStyle w:val="CommentReference"/>
        </w:rPr>
        <w:t>withdrawal study (ITT; exploratory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Patiromer and RAASi dose adjustment at Week 8 in OPAL-HK Part B withdrawal study (ITT; exploratory outcomes)"/>
      </w:tblPr>
      <w:tblGrid>
        <w:gridCol w:w="5973"/>
        <w:gridCol w:w="1522"/>
        <w:gridCol w:w="1522"/>
      </w:tblGrid>
      <w:tr w:rsidR="003C7E20" w:rsidRPr="008C2D4D" w:rsidTr="00D070E9">
        <w:trPr>
          <w:trHeight w:val="469"/>
          <w:tblHeader/>
        </w:trPr>
        <w:tc>
          <w:tcPr>
            <w:tcW w:w="3312" w:type="pct"/>
            <w:vAlign w:val="center"/>
          </w:tcPr>
          <w:p w:rsidR="003C7E20" w:rsidRPr="008C2D4D" w:rsidRDefault="003C7E20" w:rsidP="004B0BF4">
            <w:pPr>
              <w:pStyle w:val="Tabletext"/>
              <w:keepNext/>
              <w:keepLines/>
              <w:rPr>
                <w:b/>
                <w:szCs w:val="20"/>
              </w:rPr>
            </w:pPr>
          </w:p>
        </w:tc>
        <w:tc>
          <w:tcPr>
            <w:tcW w:w="844" w:type="pct"/>
          </w:tcPr>
          <w:p w:rsidR="003C7E20" w:rsidRPr="008C2D4D" w:rsidRDefault="003C7E20" w:rsidP="004B0BF4">
            <w:pPr>
              <w:pStyle w:val="Tabletext"/>
              <w:keepNext/>
              <w:keepLines/>
              <w:jc w:val="center"/>
              <w:rPr>
                <w:b/>
                <w:szCs w:val="20"/>
              </w:rPr>
            </w:pPr>
            <w:r w:rsidRPr="008C2D4D">
              <w:rPr>
                <w:b/>
                <w:szCs w:val="20"/>
              </w:rPr>
              <w:t>Patiromer</w:t>
            </w:r>
          </w:p>
          <w:p w:rsidR="003C7E20" w:rsidRPr="008C2D4D" w:rsidRDefault="003C7E20" w:rsidP="004B0BF4">
            <w:pPr>
              <w:pStyle w:val="Tabletext"/>
              <w:keepNext/>
              <w:keepLines/>
              <w:jc w:val="center"/>
              <w:rPr>
                <w:b/>
                <w:szCs w:val="20"/>
              </w:rPr>
            </w:pPr>
            <w:r w:rsidRPr="008C2D4D">
              <w:rPr>
                <w:b/>
                <w:szCs w:val="20"/>
              </w:rPr>
              <w:t>(N=55)</w:t>
            </w:r>
          </w:p>
        </w:tc>
        <w:tc>
          <w:tcPr>
            <w:tcW w:w="844" w:type="pct"/>
            <w:vAlign w:val="center"/>
          </w:tcPr>
          <w:p w:rsidR="003C7E20" w:rsidRPr="008C2D4D" w:rsidRDefault="003C7E20" w:rsidP="004B0BF4">
            <w:pPr>
              <w:pStyle w:val="Tabletext"/>
              <w:keepNext/>
              <w:keepLines/>
              <w:jc w:val="center"/>
              <w:rPr>
                <w:b/>
                <w:szCs w:val="20"/>
              </w:rPr>
            </w:pPr>
            <w:r w:rsidRPr="008C2D4D">
              <w:rPr>
                <w:b/>
                <w:szCs w:val="20"/>
              </w:rPr>
              <w:t>Placebo</w:t>
            </w:r>
          </w:p>
          <w:p w:rsidR="003C7E20" w:rsidRPr="008C2D4D" w:rsidRDefault="003C7E20" w:rsidP="004B0BF4">
            <w:pPr>
              <w:pStyle w:val="Tabletext"/>
              <w:keepNext/>
              <w:keepLines/>
              <w:jc w:val="center"/>
              <w:rPr>
                <w:b/>
                <w:szCs w:val="20"/>
              </w:rPr>
            </w:pPr>
            <w:r w:rsidRPr="008C2D4D">
              <w:rPr>
                <w:b/>
                <w:szCs w:val="20"/>
              </w:rPr>
              <w:t>(N=52)</w:t>
            </w:r>
          </w:p>
        </w:tc>
      </w:tr>
      <w:tr w:rsidR="003C7E20" w:rsidRPr="000C387D" w:rsidTr="00D070E9">
        <w:tc>
          <w:tcPr>
            <w:tcW w:w="5000" w:type="pct"/>
            <w:gridSpan w:val="3"/>
            <w:vAlign w:val="center"/>
          </w:tcPr>
          <w:p w:rsidR="003C7E20" w:rsidRPr="000C387D" w:rsidRDefault="003C7E20" w:rsidP="004B0BF4">
            <w:pPr>
              <w:pStyle w:val="Tabletext"/>
              <w:keepNext/>
              <w:keepLines/>
              <w:ind w:right="-68"/>
              <w:rPr>
                <w:b/>
                <w:szCs w:val="20"/>
              </w:rPr>
            </w:pPr>
            <w:r w:rsidRPr="000C387D">
              <w:rPr>
                <w:b/>
                <w:szCs w:val="20"/>
              </w:rPr>
              <w:t>Management of recurrent hyperkalaemia</w:t>
            </w:r>
            <w:r w:rsidR="00833CBA">
              <w:rPr>
                <w:b/>
                <w:szCs w:val="20"/>
              </w:rPr>
              <w:t xml:space="preserve"> </w:t>
            </w:r>
            <w:r w:rsidR="00E23C01">
              <w:rPr>
                <w:b/>
                <w:szCs w:val="20"/>
              </w:rPr>
              <w:t>at Week 8</w:t>
            </w:r>
          </w:p>
        </w:tc>
      </w:tr>
      <w:tr w:rsidR="003C7E20" w:rsidRPr="008C2D4D" w:rsidTr="00D070E9">
        <w:tc>
          <w:tcPr>
            <w:tcW w:w="3312" w:type="pct"/>
            <w:vAlign w:val="center"/>
          </w:tcPr>
          <w:p w:rsidR="003C7E20" w:rsidRPr="008C2D4D" w:rsidRDefault="003C7E20" w:rsidP="004B0BF4">
            <w:pPr>
              <w:pStyle w:val="Tabletext"/>
              <w:keepNext/>
              <w:keepLines/>
              <w:ind w:right="-68"/>
              <w:rPr>
                <w:szCs w:val="20"/>
              </w:rPr>
            </w:pPr>
            <w:r>
              <w:rPr>
                <w:szCs w:val="20"/>
              </w:rPr>
              <w:t>Patiromer dose increased, n (%)</w:t>
            </w:r>
          </w:p>
        </w:tc>
        <w:tc>
          <w:tcPr>
            <w:tcW w:w="844" w:type="pct"/>
          </w:tcPr>
          <w:p w:rsidR="003C7E20" w:rsidRPr="008C2D4D" w:rsidRDefault="003C7E20" w:rsidP="004B0BF4">
            <w:pPr>
              <w:pStyle w:val="Tabletext"/>
              <w:keepNext/>
              <w:keepLines/>
              <w:ind w:right="-68"/>
              <w:jc w:val="center"/>
              <w:rPr>
                <w:szCs w:val="20"/>
              </w:rPr>
            </w:pPr>
            <w:r>
              <w:rPr>
                <w:szCs w:val="20"/>
              </w:rPr>
              <w:t>6 (11%)</w:t>
            </w:r>
          </w:p>
        </w:tc>
        <w:tc>
          <w:tcPr>
            <w:tcW w:w="844" w:type="pct"/>
          </w:tcPr>
          <w:p w:rsidR="003C7E20" w:rsidRPr="008C2D4D" w:rsidRDefault="003C7E20" w:rsidP="004B0BF4">
            <w:pPr>
              <w:pStyle w:val="Tabletext"/>
              <w:keepNext/>
              <w:keepLines/>
              <w:ind w:right="-68"/>
              <w:jc w:val="center"/>
              <w:rPr>
                <w:szCs w:val="20"/>
              </w:rPr>
            </w:pPr>
            <w:r>
              <w:rPr>
                <w:szCs w:val="20"/>
              </w:rPr>
              <w:t>NA</w:t>
            </w:r>
          </w:p>
        </w:tc>
      </w:tr>
      <w:tr w:rsidR="003C7E20" w:rsidRPr="008C2D4D" w:rsidTr="00D070E9">
        <w:tc>
          <w:tcPr>
            <w:tcW w:w="3312" w:type="pct"/>
            <w:vAlign w:val="center"/>
          </w:tcPr>
          <w:p w:rsidR="003C7E20" w:rsidRPr="008C2D4D" w:rsidRDefault="003C7E20" w:rsidP="004B0BF4">
            <w:pPr>
              <w:pStyle w:val="Tabletext"/>
              <w:keepNext/>
              <w:keepLines/>
              <w:ind w:right="-68"/>
              <w:rPr>
                <w:szCs w:val="20"/>
              </w:rPr>
            </w:pPr>
            <w:r w:rsidRPr="008C2D4D">
              <w:rPr>
                <w:szCs w:val="20"/>
              </w:rPr>
              <w:t>RAASi dose reduced by 50%</w:t>
            </w:r>
            <w:r>
              <w:rPr>
                <w:szCs w:val="20"/>
              </w:rPr>
              <w:t>, n (%)</w:t>
            </w:r>
          </w:p>
        </w:tc>
        <w:tc>
          <w:tcPr>
            <w:tcW w:w="844" w:type="pct"/>
          </w:tcPr>
          <w:p w:rsidR="003C7E20" w:rsidRPr="008C2D4D" w:rsidRDefault="003C7E20" w:rsidP="004B0BF4">
            <w:pPr>
              <w:pStyle w:val="Tabletext"/>
              <w:keepNext/>
              <w:keepLines/>
              <w:ind w:right="-68"/>
              <w:jc w:val="center"/>
              <w:rPr>
                <w:szCs w:val="20"/>
              </w:rPr>
            </w:pPr>
            <w:r>
              <w:rPr>
                <w:szCs w:val="20"/>
              </w:rPr>
              <w:t>NA</w:t>
            </w:r>
          </w:p>
        </w:tc>
        <w:tc>
          <w:tcPr>
            <w:tcW w:w="844" w:type="pct"/>
          </w:tcPr>
          <w:p w:rsidR="003C7E20" w:rsidRPr="008C2D4D" w:rsidRDefault="003C7E20" w:rsidP="004B0BF4">
            <w:pPr>
              <w:pStyle w:val="Tabletext"/>
              <w:keepNext/>
              <w:keepLines/>
              <w:ind w:right="-68"/>
              <w:jc w:val="center"/>
              <w:rPr>
                <w:szCs w:val="20"/>
              </w:rPr>
            </w:pPr>
            <w:r>
              <w:rPr>
                <w:szCs w:val="20"/>
              </w:rPr>
              <w:t>5 (10%)</w:t>
            </w:r>
          </w:p>
        </w:tc>
      </w:tr>
      <w:tr w:rsidR="003C7E20" w:rsidRPr="008C2D4D" w:rsidTr="00D070E9">
        <w:tc>
          <w:tcPr>
            <w:tcW w:w="3312" w:type="pct"/>
            <w:vAlign w:val="center"/>
          </w:tcPr>
          <w:p w:rsidR="003C7E20" w:rsidRPr="008C2D4D" w:rsidRDefault="003C7E20" w:rsidP="004B0BF4">
            <w:pPr>
              <w:pStyle w:val="Tabletext"/>
              <w:keepNext/>
              <w:keepLines/>
              <w:ind w:right="-68"/>
              <w:rPr>
                <w:szCs w:val="20"/>
              </w:rPr>
            </w:pPr>
            <w:r w:rsidRPr="008C2D4D">
              <w:rPr>
                <w:szCs w:val="20"/>
              </w:rPr>
              <w:t xml:space="preserve">RAASi </w:t>
            </w:r>
            <w:r>
              <w:rPr>
                <w:szCs w:val="20"/>
              </w:rPr>
              <w:t>discontinued, n (%)</w:t>
            </w:r>
          </w:p>
        </w:tc>
        <w:tc>
          <w:tcPr>
            <w:tcW w:w="844" w:type="pct"/>
          </w:tcPr>
          <w:p w:rsidR="003C7E20" w:rsidRPr="008C2D4D" w:rsidRDefault="003C7E20" w:rsidP="004B0BF4">
            <w:pPr>
              <w:pStyle w:val="Tabletext"/>
              <w:keepNext/>
              <w:keepLines/>
              <w:ind w:right="-68"/>
              <w:jc w:val="center"/>
              <w:rPr>
                <w:szCs w:val="20"/>
              </w:rPr>
            </w:pPr>
            <w:r>
              <w:rPr>
                <w:szCs w:val="20"/>
              </w:rPr>
              <w:t>3 (5%)</w:t>
            </w:r>
          </w:p>
        </w:tc>
        <w:tc>
          <w:tcPr>
            <w:tcW w:w="844" w:type="pct"/>
          </w:tcPr>
          <w:p w:rsidR="003C7E20" w:rsidRPr="008C2D4D" w:rsidRDefault="003C7E20" w:rsidP="004B0BF4">
            <w:pPr>
              <w:pStyle w:val="Tabletext"/>
              <w:keepNext/>
              <w:keepLines/>
              <w:ind w:right="-68"/>
              <w:jc w:val="center"/>
              <w:rPr>
                <w:szCs w:val="20"/>
              </w:rPr>
            </w:pPr>
            <w:r>
              <w:rPr>
                <w:szCs w:val="20"/>
              </w:rPr>
              <w:t>27 (52%)</w:t>
            </w:r>
          </w:p>
        </w:tc>
      </w:tr>
      <w:tr w:rsidR="003C7E20" w:rsidRPr="000C387D" w:rsidTr="00D070E9">
        <w:tc>
          <w:tcPr>
            <w:tcW w:w="5000" w:type="pct"/>
            <w:gridSpan w:val="3"/>
            <w:vAlign w:val="center"/>
          </w:tcPr>
          <w:p w:rsidR="003C7E20" w:rsidRPr="000C387D" w:rsidRDefault="003C7E20" w:rsidP="004B0BF4">
            <w:pPr>
              <w:pStyle w:val="Tabletext"/>
              <w:keepNext/>
              <w:keepLines/>
              <w:ind w:right="-68"/>
              <w:rPr>
                <w:b/>
                <w:szCs w:val="20"/>
              </w:rPr>
            </w:pPr>
            <w:r>
              <w:rPr>
                <w:b/>
                <w:szCs w:val="20"/>
              </w:rPr>
              <w:t xml:space="preserve">Patients taking any or </w:t>
            </w:r>
            <w:r w:rsidRPr="000C387D">
              <w:rPr>
                <w:b/>
                <w:szCs w:val="20"/>
              </w:rPr>
              <w:t>maximum RAASi dose</w:t>
            </w:r>
            <w:r>
              <w:rPr>
                <w:b/>
                <w:szCs w:val="20"/>
              </w:rPr>
              <w:t xml:space="preserve"> at W</w:t>
            </w:r>
            <w:r w:rsidRPr="000C387D">
              <w:rPr>
                <w:b/>
                <w:szCs w:val="20"/>
              </w:rPr>
              <w:t xml:space="preserve">eek 8 </w:t>
            </w:r>
          </w:p>
        </w:tc>
      </w:tr>
      <w:tr w:rsidR="003C7E20" w:rsidRPr="008C2D4D" w:rsidTr="00D070E9">
        <w:tc>
          <w:tcPr>
            <w:tcW w:w="3312" w:type="pct"/>
          </w:tcPr>
          <w:p w:rsidR="003C7E20" w:rsidRPr="008C2D4D" w:rsidRDefault="003C7E20" w:rsidP="004B0BF4">
            <w:pPr>
              <w:pStyle w:val="Tabletext"/>
              <w:keepNext/>
              <w:keepLines/>
              <w:ind w:right="-68"/>
              <w:rPr>
                <w:szCs w:val="20"/>
              </w:rPr>
            </w:pPr>
            <w:r>
              <w:t>Taking any RAASi dose, n (%)</w:t>
            </w:r>
          </w:p>
        </w:tc>
        <w:tc>
          <w:tcPr>
            <w:tcW w:w="844" w:type="pct"/>
          </w:tcPr>
          <w:p w:rsidR="003C7E20" w:rsidRPr="008C2D4D" w:rsidRDefault="003C7E20" w:rsidP="004B0BF4">
            <w:pPr>
              <w:pStyle w:val="Tabletext"/>
              <w:keepNext/>
              <w:keepLines/>
              <w:ind w:right="-68"/>
              <w:jc w:val="center"/>
              <w:rPr>
                <w:szCs w:val="20"/>
              </w:rPr>
            </w:pPr>
            <w:r>
              <w:rPr>
                <w:szCs w:val="20"/>
              </w:rPr>
              <w:t>43 (78%)</w:t>
            </w:r>
          </w:p>
        </w:tc>
        <w:tc>
          <w:tcPr>
            <w:tcW w:w="844" w:type="pct"/>
          </w:tcPr>
          <w:p w:rsidR="003C7E20" w:rsidRPr="008C2D4D" w:rsidRDefault="003C7E20" w:rsidP="004B0BF4">
            <w:pPr>
              <w:pStyle w:val="Tabletext"/>
              <w:keepNext/>
              <w:keepLines/>
              <w:ind w:right="-68"/>
              <w:jc w:val="center"/>
              <w:rPr>
                <w:szCs w:val="20"/>
              </w:rPr>
            </w:pPr>
            <w:r>
              <w:rPr>
                <w:szCs w:val="20"/>
              </w:rPr>
              <w:t>19 (37%)</w:t>
            </w:r>
          </w:p>
        </w:tc>
      </w:tr>
      <w:tr w:rsidR="003C7E20" w:rsidRPr="008C2D4D" w:rsidTr="00D070E9">
        <w:tc>
          <w:tcPr>
            <w:tcW w:w="3312" w:type="pct"/>
          </w:tcPr>
          <w:p w:rsidR="003C7E20" w:rsidRPr="008C2D4D" w:rsidRDefault="003C7E20" w:rsidP="004B0BF4">
            <w:pPr>
              <w:pStyle w:val="Tabletext"/>
              <w:keepNext/>
              <w:keepLines/>
              <w:ind w:right="-68"/>
              <w:rPr>
                <w:szCs w:val="20"/>
              </w:rPr>
            </w:pPr>
            <w:r>
              <w:t>Taking maximum RAASi dose, n (%)</w:t>
            </w:r>
          </w:p>
        </w:tc>
        <w:tc>
          <w:tcPr>
            <w:tcW w:w="844" w:type="pct"/>
          </w:tcPr>
          <w:p w:rsidR="003C7E20" w:rsidRPr="008C2D4D" w:rsidRDefault="003C7E20" w:rsidP="004B0BF4">
            <w:pPr>
              <w:pStyle w:val="Tabletext"/>
              <w:keepNext/>
              <w:keepLines/>
              <w:ind w:right="-68"/>
              <w:jc w:val="center"/>
              <w:rPr>
                <w:szCs w:val="20"/>
              </w:rPr>
            </w:pPr>
            <w:r>
              <w:rPr>
                <w:szCs w:val="20"/>
              </w:rPr>
              <w:t>14 (25%)</w:t>
            </w:r>
          </w:p>
        </w:tc>
        <w:tc>
          <w:tcPr>
            <w:tcW w:w="844" w:type="pct"/>
          </w:tcPr>
          <w:p w:rsidR="003C7E20" w:rsidRPr="008C2D4D" w:rsidRDefault="003C7E20" w:rsidP="004B0BF4">
            <w:pPr>
              <w:pStyle w:val="Tabletext"/>
              <w:keepNext/>
              <w:keepLines/>
              <w:ind w:right="-68"/>
              <w:jc w:val="center"/>
              <w:rPr>
                <w:szCs w:val="20"/>
              </w:rPr>
            </w:pPr>
            <w:r>
              <w:rPr>
                <w:szCs w:val="20"/>
              </w:rPr>
              <w:t>6 (12%)</w:t>
            </w:r>
          </w:p>
        </w:tc>
      </w:tr>
      <w:tr w:rsidR="003C7E20" w:rsidRPr="000C387D" w:rsidTr="00D070E9">
        <w:tc>
          <w:tcPr>
            <w:tcW w:w="5000" w:type="pct"/>
            <w:gridSpan w:val="3"/>
            <w:vAlign w:val="center"/>
          </w:tcPr>
          <w:p w:rsidR="003C7E20" w:rsidRPr="000C387D" w:rsidRDefault="003C7E20" w:rsidP="004B0BF4">
            <w:pPr>
              <w:pStyle w:val="Tabletext"/>
              <w:keepNext/>
              <w:keepLines/>
              <w:ind w:right="-68"/>
              <w:rPr>
                <w:b/>
                <w:szCs w:val="20"/>
              </w:rPr>
            </w:pPr>
            <w:r>
              <w:rPr>
                <w:b/>
                <w:szCs w:val="20"/>
              </w:rPr>
              <w:t>Estimated p</w:t>
            </w:r>
            <w:r w:rsidRPr="000C387D">
              <w:rPr>
                <w:b/>
                <w:szCs w:val="20"/>
              </w:rPr>
              <w:t>roportion</w:t>
            </w:r>
            <w:r>
              <w:rPr>
                <w:b/>
                <w:szCs w:val="20"/>
              </w:rPr>
              <w:t>s</w:t>
            </w:r>
            <w:r w:rsidRPr="000C387D">
              <w:rPr>
                <w:b/>
                <w:szCs w:val="20"/>
              </w:rPr>
              <w:t xml:space="preserve"> of patient</w:t>
            </w:r>
            <w:r>
              <w:rPr>
                <w:b/>
                <w:szCs w:val="20"/>
              </w:rPr>
              <w:t>s with exploratory outcomes at W</w:t>
            </w:r>
            <w:r w:rsidRPr="000C387D">
              <w:rPr>
                <w:b/>
                <w:szCs w:val="20"/>
              </w:rPr>
              <w:t xml:space="preserve">eek 8 </w:t>
            </w:r>
          </w:p>
        </w:tc>
      </w:tr>
      <w:tr w:rsidR="003C7E20" w:rsidRPr="008C2D4D" w:rsidTr="00D070E9">
        <w:tc>
          <w:tcPr>
            <w:tcW w:w="3312" w:type="pct"/>
          </w:tcPr>
          <w:p w:rsidR="003C7E20" w:rsidRPr="008C2D4D" w:rsidRDefault="003C7E20" w:rsidP="004B0BF4">
            <w:pPr>
              <w:pStyle w:val="Tabletext"/>
              <w:keepNext/>
              <w:keepLines/>
              <w:ind w:right="-68"/>
              <w:rPr>
                <w:szCs w:val="20"/>
              </w:rPr>
            </w:pPr>
            <w:r>
              <w:t>RAASi reduced due to hyperkalaemia, % (95% CI)</w:t>
            </w:r>
          </w:p>
        </w:tc>
        <w:tc>
          <w:tcPr>
            <w:tcW w:w="844" w:type="pct"/>
          </w:tcPr>
          <w:p w:rsidR="003C7E20" w:rsidRPr="008C2D4D" w:rsidRDefault="003C7E20" w:rsidP="004B0BF4">
            <w:pPr>
              <w:pStyle w:val="Tabletext"/>
              <w:keepNext/>
              <w:keepLines/>
              <w:ind w:right="-68"/>
              <w:jc w:val="center"/>
              <w:rPr>
                <w:szCs w:val="20"/>
              </w:rPr>
            </w:pPr>
            <w:r>
              <w:rPr>
                <w:szCs w:val="20"/>
              </w:rPr>
              <w:t>6% (2, 18)</w:t>
            </w:r>
          </w:p>
        </w:tc>
        <w:tc>
          <w:tcPr>
            <w:tcW w:w="844" w:type="pct"/>
          </w:tcPr>
          <w:p w:rsidR="003C7E20" w:rsidRPr="008C2D4D" w:rsidRDefault="003C7E20" w:rsidP="004B0BF4">
            <w:pPr>
              <w:pStyle w:val="Tabletext"/>
              <w:keepNext/>
              <w:keepLines/>
              <w:ind w:right="-68"/>
              <w:jc w:val="center"/>
              <w:rPr>
                <w:szCs w:val="20"/>
              </w:rPr>
            </w:pPr>
            <w:r>
              <w:rPr>
                <w:szCs w:val="20"/>
              </w:rPr>
              <w:t>66% (52, 79)</w:t>
            </w:r>
          </w:p>
        </w:tc>
      </w:tr>
      <w:tr w:rsidR="003C7E20" w:rsidRPr="008C2D4D" w:rsidTr="00D070E9">
        <w:tc>
          <w:tcPr>
            <w:tcW w:w="3312" w:type="pct"/>
          </w:tcPr>
          <w:p w:rsidR="003C7E20" w:rsidRPr="008C2D4D" w:rsidRDefault="003C7E20" w:rsidP="004B0BF4">
            <w:pPr>
              <w:pStyle w:val="Tabletext"/>
              <w:keepNext/>
              <w:keepLines/>
              <w:ind w:right="-68"/>
              <w:rPr>
                <w:szCs w:val="20"/>
              </w:rPr>
            </w:pPr>
            <w:r>
              <w:t>RAASi discontinued due to hyperkalaemia, % (95% CI)</w:t>
            </w:r>
          </w:p>
        </w:tc>
        <w:tc>
          <w:tcPr>
            <w:tcW w:w="844" w:type="pct"/>
          </w:tcPr>
          <w:p w:rsidR="003C7E20" w:rsidRPr="008C2D4D" w:rsidRDefault="003C7E20" w:rsidP="004B0BF4">
            <w:pPr>
              <w:pStyle w:val="Tabletext"/>
              <w:keepNext/>
              <w:keepLines/>
              <w:ind w:right="-68"/>
              <w:jc w:val="center"/>
              <w:rPr>
                <w:szCs w:val="20"/>
              </w:rPr>
            </w:pPr>
            <w:r>
              <w:rPr>
                <w:szCs w:val="20"/>
              </w:rPr>
              <w:t>6% (2, 18)</w:t>
            </w:r>
          </w:p>
        </w:tc>
        <w:tc>
          <w:tcPr>
            <w:tcW w:w="844" w:type="pct"/>
          </w:tcPr>
          <w:p w:rsidR="003C7E20" w:rsidRPr="008C2D4D" w:rsidRDefault="003C7E20" w:rsidP="004B0BF4">
            <w:pPr>
              <w:pStyle w:val="Tabletext"/>
              <w:keepNext/>
              <w:keepLines/>
              <w:ind w:right="-68"/>
              <w:jc w:val="center"/>
              <w:rPr>
                <w:szCs w:val="20"/>
              </w:rPr>
            </w:pPr>
            <w:r>
              <w:rPr>
                <w:szCs w:val="20"/>
              </w:rPr>
              <w:t>56% (42, 71)</w:t>
            </w:r>
          </w:p>
        </w:tc>
      </w:tr>
    </w:tbl>
    <w:p w:rsidR="003C7E20" w:rsidRDefault="003C7E20" w:rsidP="004B0BF4">
      <w:pPr>
        <w:keepNext/>
        <w:keepLines/>
        <w:widowControl/>
        <w:rPr>
          <w:rFonts w:ascii="Arial Narrow" w:hAnsi="Arial Narrow"/>
          <w:sz w:val="18"/>
          <w:szCs w:val="18"/>
        </w:rPr>
      </w:pPr>
      <w:r w:rsidRPr="007E49F2">
        <w:rPr>
          <w:rFonts w:ascii="Arial Narrow" w:eastAsia="Calibri" w:hAnsi="Arial Narrow"/>
          <w:sz w:val="18"/>
          <w:szCs w:val="18"/>
        </w:rPr>
        <w:t>CI</w:t>
      </w:r>
      <w:r w:rsidR="00365D06">
        <w:rPr>
          <w:rFonts w:ascii="Arial Narrow" w:eastAsia="Calibri" w:hAnsi="Arial Narrow"/>
          <w:sz w:val="18"/>
          <w:szCs w:val="18"/>
        </w:rPr>
        <w:t xml:space="preserve"> =</w:t>
      </w:r>
      <w:r w:rsidRPr="007E49F2">
        <w:rPr>
          <w:rFonts w:ascii="Arial Narrow" w:eastAsia="Calibri" w:hAnsi="Arial Narrow"/>
          <w:sz w:val="18"/>
          <w:szCs w:val="18"/>
        </w:rPr>
        <w:t xml:space="preserve"> confidence interval</w:t>
      </w:r>
      <w:r w:rsidR="00365D06">
        <w:rPr>
          <w:rFonts w:ascii="Arial Narrow" w:eastAsia="Calibri" w:hAnsi="Arial Narrow"/>
          <w:sz w:val="18"/>
          <w:szCs w:val="18"/>
        </w:rPr>
        <w:t>;</w:t>
      </w:r>
      <w:r w:rsidRPr="007E49F2">
        <w:rPr>
          <w:rFonts w:ascii="Arial Narrow" w:eastAsia="Calibri" w:hAnsi="Arial Narrow"/>
          <w:sz w:val="18"/>
          <w:szCs w:val="18"/>
        </w:rPr>
        <w:t xml:space="preserve"> </w:t>
      </w:r>
      <w:r w:rsidR="00365D06">
        <w:rPr>
          <w:rFonts w:ascii="Arial Narrow" w:eastAsia="Calibri" w:hAnsi="Arial Narrow"/>
          <w:sz w:val="18"/>
          <w:szCs w:val="18"/>
        </w:rPr>
        <w:t xml:space="preserve">ITT = intention to treat; </w:t>
      </w:r>
      <w:r w:rsidRPr="007E49F2">
        <w:rPr>
          <w:rFonts w:ascii="Arial Narrow" w:eastAsia="Calibri" w:hAnsi="Arial Narrow"/>
          <w:sz w:val="18"/>
          <w:szCs w:val="18"/>
        </w:rPr>
        <w:t>K</w:t>
      </w:r>
      <w:r>
        <w:rPr>
          <w:rFonts w:ascii="Arial Narrow" w:eastAsia="Calibri" w:hAnsi="Arial Narrow"/>
          <w:sz w:val="18"/>
          <w:szCs w:val="18"/>
        </w:rPr>
        <w:t>NA</w:t>
      </w:r>
      <w:r w:rsidR="00365D06">
        <w:rPr>
          <w:rFonts w:ascii="Arial Narrow" w:eastAsia="Calibri" w:hAnsi="Arial Narrow"/>
          <w:sz w:val="18"/>
          <w:szCs w:val="18"/>
        </w:rPr>
        <w:t xml:space="preserve"> =</w:t>
      </w:r>
      <w:r>
        <w:rPr>
          <w:rFonts w:ascii="Arial Narrow" w:eastAsia="Calibri" w:hAnsi="Arial Narrow"/>
          <w:sz w:val="18"/>
          <w:szCs w:val="18"/>
        </w:rPr>
        <w:t xml:space="preserve"> not applicable; </w:t>
      </w:r>
      <w:r w:rsidRPr="007E49F2">
        <w:rPr>
          <w:rFonts w:ascii="Arial Narrow" w:hAnsi="Arial Narrow"/>
          <w:sz w:val="18"/>
          <w:szCs w:val="18"/>
        </w:rPr>
        <w:t>RAASi</w:t>
      </w:r>
      <w:r w:rsidR="00365D06">
        <w:rPr>
          <w:rFonts w:ascii="Arial Narrow" w:hAnsi="Arial Narrow"/>
          <w:sz w:val="18"/>
          <w:szCs w:val="18"/>
        </w:rPr>
        <w:t xml:space="preserve"> =</w:t>
      </w:r>
      <w:r w:rsidRPr="007E49F2">
        <w:rPr>
          <w:rFonts w:ascii="Arial Narrow" w:hAnsi="Arial Narrow"/>
          <w:sz w:val="18"/>
          <w:szCs w:val="18"/>
        </w:rPr>
        <w:t xml:space="preserve"> renin angiotensin aldosterone system inhibitor</w:t>
      </w:r>
    </w:p>
    <w:p w:rsidR="002C190B" w:rsidRPr="003C7E20" w:rsidRDefault="002C190B" w:rsidP="004B0BF4">
      <w:pPr>
        <w:pStyle w:val="TableFooter"/>
        <w:keepNext/>
        <w:keepLines/>
        <w:widowControl/>
        <w:spacing w:after="120"/>
        <w:rPr>
          <w:szCs w:val="18"/>
        </w:rPr>
      </w:pPr>
      <w:r w:rsidRPr="007E49F2">
        <w:rPr>
          <w:szCs w:val="18"/>
        </w:rPr>
        <w:t>Source: Tables 2-24 and 2-25, p.6</w:t>
      </w:r>
      <w:r>
        <w:rPr>
          <w:szCs w:val="18"/>
        </w:rPr>
        <w:t>9</w:t>
      </w:r>
      <w:r w:rsidRPr="007E49F2">
        <w:rPr>
          <w:szCs w:val="18"/>
        </w:rPr>
        <w:t xml:space="preserve"> </w:t>
      </w:r>
      <w:r>
        <w:rPr>
          <w:szCs w:val="18"/>
        </w:rPr>
        <w:t>of the submission</w:t>
      </w:r>
    </w:p>
    <w:p w:rsidR="0075362F" w:rsidRPr="004E3503" w:rsidRDefault="003C7E20" w:rsidP="004B0BF4">
      <w:pPr>
        <w:pStyle w:val="ListParagraph"/>
        <w:widowControl/>
        <w:numPr>
          <w:ilvl w:val="1"/>
          <w:numId w:val="3"/>
        </w:numPr>
        <w:spacing w:after="120"/>
      </w:pPr>
      <w:r w:rsidRPr="00D528C4">
        <w:t xml:space="preserve">Larger proportions of patients receiving placebo </w:t>
      </w:r>
      <w:r w:rsidR="00320522" w:rsidRPr="00D528C4">
        <w:t xml:space="preserve">discontinued </w:t>
      </w:r>
      <w:r w:rsidRPr="00D528C4">
        <w:t>RAASi therapies compared to patiromer treated patients</w:t>
      </w:r>
      <w:r w:rsidR="0084155C">
        <w:t xml:space="preserve"> and 10% of placebo patients reduced their RAASi dose by 50%</w:t>
      </w:r>
      <w:r w:rsidRPr="00D528C4">
        <w:t xml:space="preserve">. </w:t>
      </w:r>
      <w:r w:rsidRPr="004E3503">
        <w:t xml:space="preserve">RAASi dose reductions were not permitted for patients receiving patiromer &lt; 50 g/day in the OPAL-HK study protocol. </w:t>
      </w:r>
    </w:p>
    <w:p w:rsidR="00B34FE2" w:rsidRPr="00E00E97" w:rsidRDefault="003C7E20" w:rsidP="004B0BF4">
      <w:pPr>
        <w:pStyle w:val="ListParagraph"/>
        <w:widowControl/>
        <w:numPr>
          <w:ilvl w:val="1"/>
          <w:numId w:val="3"/>
        </w:numPr>
        <w:spacing w:after="120"/>
      </w:pPr>
      <w:r w:rsidRPr="0075362F">
        <w:t>Larger proportions of patients treated with patiromer were receiving a RAASi therapy or receiving maximum RAASi doses at Part B Week 8 compared to placebo.</w:t>
      </w:r>
      <w:r w:rsidRPr="00D528C4">
        <w:rPr>
          <w:i/>
        </w:rPr>
        <w:t xml:space="preserve"> </w:t>
      </w:r>
      <w:r w:rsidR="00940EA9">
        <w:t>T</w:t>
      </w:r>
      <w:r w:rsidRPr="00940EA9">
        <w:t>he proportions of patients remaining on maximum RAASi doses were small in both treatment arms (patiromer 25% vs placebo 12%).</w:t>
      </w:r>
    </w:p>
    <w:p w:rsidR="00E00E97" w:rsidRPr="004E3503" w:rsidRDefault="00320522" w:rsidP="004B0BF4">
      <w:pPr>
        <w:pStyle w:val="ListParagraph"/>
        <w:widowControl/>
        <w:numPr>
          <w:ilvl w:val="1"/>
          <w:numId w:val="3"/>
        </w:numPr>
        <w:spacing w:after="120"/>
      </w:pPr>
      <w:r w:rsidRPr="004E3503">
        <w:t>T</w:t>
      </w:r>
      <w:r w:rsidR="00E00E97" w:rsidRPr="004E3503">
        <w:t xml:space="preserve">he </w:t>
      </w:r>
      <w:r w:rsidRPr="004E3503">
        <w:t xml:space="preserve">results of the </w:t>
      </w:r>
      <w:r w:rsidR="00E00E97" w:rsidRPr="004E3503">
        <w:t xml:space="preserve">OPAL-HK </w:t>
      </w:r>
      <w:r w:rsidRPr="004E3503">
        <w:t>Part B</w:t>
      </w:r>
      <w:r w:rsidR="00903005" w:rsidRPr="004E3503">
        <w:t xml:space="preserve"> </w:t>
      </w:r>
      <w:r w:rsidR="00E00E97" w:rsidRPr="004E3503">
        <w:t xml:space="preserve">study </w:t>
      </w:r>
      <w:r w:rsidRPr="004E3503">
        <w:t xml:space="preserve">reported for patients experiencing elevated serum potassium concentrations or discontinuation/reduction in RAASi doses were directly impacted by </w:t>
      </w:r>
      <w:r w:rsidR="004D4BA8" w:rsidRPr="004E3503">
        <w:t xml:space="preserve">intensive patient monitoring and </w:t>
      </w:r>
      <w:r w:rsidRPr="004E3503">
        <w:t>strict titration protocols</w:t>
      </w:r>
      <w:r w:rsidR="004D4BA8" w:rsidRPr="004E3503">
        <w:t xml:space="preserve"> that may have biased results in favour of patiromer. </w:t>
      </w:r>
    </w:p>
    <w:p w:rsidR="00E00E97" w:rsidRDefault="00E01E7F" w:rsidP="004B0BF4">
      <w:pPr>
        <w:pStyle w:val="ListParagraph"/>
        <w:widowControl/>
        <w:numPr>
          <w:ilvl w:val="1"/>
          <w:numId w:val="3"/>
        </w:numPr>
        <w:spacing w:after="120"/>
      </w:pPr>
      <w:r>
        <w:t>Table 7 shows the results of the primary outcome for the PEARL-HF study, mean change in serum potassium concentration from baseline to Week 4.</w:t>
      </w:r>
    </w:p>
    <w:p w:rsidR="00E01E7F" w:rsidRDefault="00E01E7F" w:rsidP="004B0BF4">
      <w:pPr>
        <w:keepNext/>
        <w:keepLines/>
        <w:widowControl/>
        <w:suppressLineNumbers/>
        <w:suppressAutoHyphens/>
        <w:rPr>
          <w:rStyle w:val="CommentReference"/>
        </w:rPr>
      </w:pPr>
      <w:r>
        <w:rPr>
          <w:rStyle w:val="CommentReference"/>
        </w:rPr>
        <w:lastRenderedPageBreak/>
        <w:t>Table 7</w:t>
      </w:r>
      <w:r w:rsidRPr="00892A36">
        <w:rPr>
          <w:rStyle w:val="CommentReference"/>
        </w:rPr>
        <w:t xml:space="preserve">: Results </w:t>
      </w:r>
      <w:r>
        <w:rPr>
          <w:rStyle w:val="CommentReference"/>
        </w:rPr>
        <w:t>for change in serum potassium concentration from baseline to Week 4 in PEARL-HF</w:t>
      </w:r>
      <w:r w:rsidRPr="00892A36">
        <w:rPr>
          <w:rStyle w:val="CommentReference"/>
        </w:rPr>
        <w:t xml:space="preserve"> </w:t>
      </w:r>
      <w:r>
        <w:rPr>
          <w:rStyle w:val="CommentReference"/>
        </w:rPr>
        <w:t>(FAS)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Results for change in serum potassium concentration from baseline to Week 4 in PEARL-HF (FAS)"/>
      </w:tblPr>
      <w:tblGrid>
        <w:gridCol w:w="3539"/>
        <w:gridCol w:w="2739"/>
        <w:gridCol w:w="2739"/>
      </w:tblGrid>
      <w:tr w:rsidR="00E01E7F" w:rsidRPr="00B84117" w:rsidTr="00D070E9">
        <w:trPr>
          <w:tblHeader/>
        </w:trPr>
        <w:tc>
          <w:tcPr>
            <w:tcW w:w="1962" w:type="pct"/>
            <w:vAlign w:val="center"/>
          </w:tcPr>
          <w:p w:rsidR="00E01E7F" w:rsidRPr="00511EF9" w:rsidRDefault="00E01E7F" w:rsidP="004B0BF4">
            <w:pPr>
              <w:pStyle w:val="Tabletext"/>
              <w:keepNext/>
              <w:keepLines/>
              <w:suppressLineNumbers/>
              <w:suppressAutoHyphens/>
              <w:ind w:right="-88"/>
              <w:jc w:val="center"/>
              <w:rPr>
                <w:b/>
              </w:rPr>
            </w:pPr>
          </w:p>
        </w:tc>
        <w:tc>
          <w:tcPr>
            <w:tcW w:w="1519" w:type="pct"/>
            <w:vAlign w:val="center"/>
          </w:tcPr>
          <w:p w:rsidR="00E01E7F" w:rsidRPr="00DF7709" w:rsidRDefault="00E01E7F" w:rsidP="004B0BF4">
            <w:pPr>
              <w:pStyle w:val="Tabletext"/>
              <w:keepNext/>
              <w:keepLines/>
              <w:suppressLineNumbers/>
              <w:suppressAutoHyphens/>
              <w:ind w:left="-93" w:right="-110"/>
              <w:jc w:val="center"/>
              <w:rPr>
                <w:b/>
                <w:vertAlign w:val="superscript"/>
              </w:rPr>
            </w:pPr>
            <w:r w:rsidRPr="00BD31C4">
              <w:rPr>
                <w:b/>
              </w:rPr>
              <w:t xml:space="preserve">Patiromer </w:t>
            </w:r>
            <w:r>
              <w:rPr>
                <w:b/>
              </w:rPr>
              <w:t>30 g/day</w:t>
            </w:r>
            <w:r>
              <w:rPr>
                <w:b/>
                <w:vertAlign w:val="superscript"/>
              </w:rPr>
              <w:t>a</w:t>
            </w:r>
          </w:p>
          <w:p w:rsidR="00E01E7F" w:rsidRPr="00BD31C4" w:rsidRDefault="00E01E7F" w:rsidP="004B0BF4">
            <w:pPr>
              <w:pStyle w:val="Tabletext"/>
              <w:keepNext/>
              <w:keepLines/>
              <w:suppressLineNumbers/>
              <w:suppressAutoHyphens/>
              <w:ind w:left="-93" w:right="-110"/>
              <w:jc w:val="center"/>
              <w:rPr>
                <w:b/>
              </w:rPr>
            </w:pPr>
            <w:r>
              <w:rPr>
                <w:b/>
              </w:rPr>
              <w:t>(N=55)</w:t>
            </w:r>
          </w:p>
        </w:tc>
        <w:tc>
          <w:tcPr>
            <w:tcW w:w="1519" w:type="pct"/>
            <w:vAlign w:val="center"/>
          </w:tcPr>
          <w:p w:rsidR="00E01E7F" w:rsidRDefault="00E01E7F" w:rsidP="004B0BF4">
            <w:pPr>
              <w:pStyle w:val="Tabletext"/>
              <w:keepNext/>
              <w:keepLines/>
              <w:suppressLineNumbers/>
              <w:suppressAutoHyphens/>
              <w:jc w:val="center"/>
              <w:rPr>
                <w:b/>
              </w:rPr>
            </w:pPr>
            <w:r>
              <w:rPr>
                <w:b/>
              </w:rPr>
              <w:t>Placebo</w:t>
            </w:r>
          </w:p>
          <w:p w:rsidR="00E01E7F" w:rsidRPr="00511EF9" w:rsidRDefault="00E01E7F" w:rsidP="004B0BF4">
            <w:pPr>
              <w:pStyle w:val="Tabletext"/>
              <w:keepNext/>
              <w:keepLines/>
              <w:suppressLineNumbers/>
              <w:suppressAutoHyphens/>
              <w:jc w:val="center"/>
              <w:rPr>
                <w:b/>
              </w:rPr>
            </w:pPr>
            <w:r>
              <w:rPr>
                <w:b/>
              </w:rPr>
              <w:t>(N=49)</w:t>
            </w:r>
          </w:p>
        </w:tc>
      </w:tr>
      <w:tr w:rsidR="00E01E7F" w:rsidRPr="00B1011F" w:rsidTr="00D070E9">
        <w:tc>
          <w:tcPr>
            <w:tcW w:w="1962" w:type="pct"/>
            <w:vAlign w:val="center"/>
          </w:tcPr>
          <w:p w:rsidR="00E01E7F" w:rsidRPr="0011100D" w:rsidRDefault="00E01E7F" w:rsidP="004B0BF4">
            <w:pPr>
              <w:pStyle w:val="Tabletext"/>
              <w:keepNext/>
              <w:keepLines/>
              <w:suppressLineNumbers/>
              <w:suppressAutoHyphens/>
              <w:ind w:right="-88"/>
            </w:pPr>
            <w:r w:rsidRPr="00BD31C4">
              <w:t xml:space="preserve">Baseline </w:t>
            </w:r>
            <w:r>
              <w:t xml:space="preserve">LS </w:t>
            </w:r>
            <w:r w:rsidRPr="00BD31C4">
              <w:t>mean serum K+</w:t>
            </w:r>
            <w:r w:rsidR="00F852C5">
              <w:t>,</w:t>
            </w:r>
            <w:r w:rsidRPr="00BD31C4">
              <w:t xml:space="preserve"> mmol/L (</w:t>
            </w:r>
            <w:r>
              <w:t>SE</w:t>
            </w:r>
            <w:r w:rsidRPr="00BD31C4">
              <w:t>)</w:t>
            </w:r>
          </w:p>
        </w:tc>
        <w:tc>
          <w:tcPr>
            <w:tcW w:w="1519" w:type="pct"/>
          </w:tcPr>
          <w:p w:rsidR="00E01E7F" w:rsidRPr="00B1011F" w:rsidRDefault="00E01E7F" w:rsidP="004B0BF4">
            <w:pPr>
              <w:pStyle w:val="Tabletext"/>
              <w:keepNext/>
              <w:keepLines/>
              <w:suppressLineNumbers/>
              <w:suppressAutoHyphens/>
              <w:ind w:left="-93" w:right="-110"/>
              <w:jc w:val="center"/>
            </w:pPr>
            <w:r w:rsidRPr="002F1C1C">
              <w:t>4.69 (0.06)</w:t>
            </w:r>
          </w:p>
        </w:tc>
        <w:tc>
          <w:tcPr>
            <w:tcW w:w="1519" w:type="pct"/>
          </w:tcPr>
          <w:p w:rsidR="00E01E7F" w:rsidRPr="00B1011F" w:rsidRDefault="00E01E7F" w:rsidP="004B0BF4">
            <w:pPr>
              <w:pStyle w:val="Tabletext"/>
              <w:keepNext/>
              <w:keepLines/>
              <w:suppressLineNumbers/>
              <w:suppressAutoHyphens/>
              <w:jc w:val="center"/>
            </w:pPr>
            <w:r w:rsidRPr="002F1C1C">
              <w:t>4.65 (0.07)</w:t>
            </w:r>
          </w:p>
        </w:tc>
      </w:tr>
      <w:tr w:rsidR="00E01E7F" w:rsidRPr="00B1011F" w:rsidTr="00D070E9">
        <w:tc>
          <w:tcPr>
            <w:tcW w:w="1962" w:type="pct"/>
            <w:vAlign w:val="center"/>
          </w:tcPr>
          <w:p w:rsidR="00E01E7F" w:rsidRDefault="00E01E7F" w:rsidP="004B0BF4">
            <w:pPr>
              <w:pStyle w:val="Tabletext"/>
              <w:keepNext/>
              <w:keepLines/>
              <w:suppressLineNumbers/>
              <w:suppressAutoHyphens/>
              <w:ind w:right="-88"/>
            </w:pPr>
            <w:r w:rsidRPr="00BD31C4">
              <w:t>Week 4 mean serum K+</w:t>
            </w:r>
            <w:r w:rsidR="00F852C5">
              <w:t>,</w:t>
            </w:r>
            <w:r w:rsidRPr="00BD31C4">
              <w:t xml:space="preserve"> mmol/L (</w:t>
            </w:r>
            <w:r>
              <w:t>SE</w:t>
            </w:r>
            <w:r w:rsidRPr="00BD31C4">
              <w:t>)</w:t>
            </w:r>
          </w:p>
        </w:tc>
        <w:tc>
          <w:tcPr>
            <w:tcW w:w="1519" w:type="pct"/>
          </w:tcPr>
          <w:p w:rsidR="00E01E7F" w:rsidRPr="00B1011F" w:rsidRDefault="00E01E7F" w:rsidP="004B0BF4">
            <w:pPr>
              <w:pStyle w:val="Tabletext"/>
              <w:keepNext/>
              <w:keepLines/>
              <w:suppressLineNumbers/>
              <w:suppressAutoHyphens/>
              <w:ind w:left="-93" w:right="-110"/>
              <w:jc w:val="center"/>
            </w:pPr>
            <w:r w:rsidRPr="002F1C1C">
              <w:t>4.48 (0.07)</w:t>
            </w:r>
          </w:p>
        </w:tc>
        <w:tc>
          <w:tcPr>
            <w:tcW w:w="1519" w:type="pct"/>
          </w:tcPr>
          <w:p w:rsidR="00E01E7F" w:rsidRPr="00B1011F" w:rsidRDefault="00E01E7F" w:rsidP="004B0BF4">
            <w:pPr>
              <w:pStyle w:val="Tabletext"/>
              <w:keepNext/>
              <w:keepLines/>
              <w:suppressLineNumbers/>
              <w:suppressAutoHyphens/>
              <w:jc w:val="center"/>
            </w:pPr>
            <w:r w:rsidRPr="002F1C1C">
              <w:t>4.93 (0.07)</w:t>
            </w:r>
          </w:p>
        </w:tc>
      </w:tr>
      <w:tr w:rsidR="00E01E7F" w:rsidRPr="00B1011F" w:rsidTr="00D070E9">
        <w:tc>
          <w:tcPr>
            <w:tcW w:w="1962" w:type="pct"/>
            <w:vAlign w:val="center"/>
          </w:tcPr>
          <w:p w:rsidR="00E01E7F" w:rsidRDefault="000B0E79" w:rsidP="004B0BF4">
            <w:pPr>
              <w:pStyle w:val="Tabletext"/>
              <w:keepNext/>
              <w:keepLines/>
              <w:suppressLineNumbers/>
              <w:suppressAutoHyphens/>
              <w:ind w:right="-88"/>
            </w:pPr>
            <w:r>
              <w:t>LS m</w:t>
            </w:r>
            <w:r w:rsidR="00E01E7F" w:rsidRPr="00BD31C4">
              <w:t>ean change in serum K+</w:t>
            </w:r>
            <w:r w:rsidR="00F852C5">
              <w:t>,</w:t>
            </w:r>
            <w:r w:rsidR="00E01E7F" w:rsidRPr="00BD31C4">
              <w:t xml:space="preserve"> mmol/L (</w:t>
            </w:r>
            <w:r>
              <w:t>SE</w:t>
            </w:r>
            <w:r w:rsidR="00E01E7F" w:rsidRPr="00BD31C4">
              <w:t>)</w:t>
            </w:r>
          </w:p>
        </w:tc>
        <w:tc>
          <w:tcPr>
            <w:tcW w:w="1519" w:type="pct"/>
          </w:tcPr>
          <w:p w:rsidR="00E01E7F" w:rsidRDefault="00E01E7F" w:rsidP="004B0BF4">
            <w:pPr>
              <w:pStyle w:val="Tabletext"/>
              <w:keepNext/>
              <w:keepLines/>
              <w:suppressLineNumbers/>
              <w:suppressAutoHyphens/>
              <w:ind w:left="-93" w:right="-110"/>
              <w:jc w:val="center"/>
            </w:pPr>
            <w:r w:rsidRPr="002F1C1C">
              <w:t>-0.21 (0.07)</w:t>
            </w:r>
          </w:p>
        </w:tc>
        <w:tc>
          <w:tcPr>
            <w:tcW w:w="1519" w:type="pct"/>
          </w:tcPr>
          <w:p w:rsidR="00E01E7F" w:rsidRDefault="00E01E7F" w:rsidP="004B0BF4">
            <w:pPr>
              <w:pStyle w:val="Tabletext"/>
              <w:keepNext/>
              <w:keepLines/>
              <w:suppressLineNumbers/>
              <w:suppressAutoHyphens/>
              <w:jc w:val="center"/>
            </w:pPr>
            <w:r w:rsidRPr="002F1C1C">
              <w:t>0.23 (0.07)</w:t>
            </w:r>
          </w:p>
        </w:tc>
      </w:tr>
      <w:tr w:rsidR="00E01E7F" w:rsidRPr="00B1011F" w:rsidTr="00D070E9">
        <w:tc>
          <w:tcPr>
            <w:tcW w:w="1962" w:type="pct"/>
            <w:vAlign w:val="center"/>
          </w:tcPr>
          <w:p w:rsidR="00E01E7F" w:rsidRPr="00BD31C4" w:rsidRDefault="00E01E7F" w:rsidP="004B0BF4">
            <w:pPr>
              <w:pStyle w:val="Tabletext"/>
              <w:keepNext/>
              <w:keepLines/>
              <w:suppressLineNumbers/>
              <w:suppressAutoHyphens/>
              <w:ind w:right="-88"/>
            </w:pPr>
            <w:r>
              <w:t>Difference between patiromer versus placebo, LS mean (95% CI)</w:t>
            </w:r>
          </w:p>
        </w:tc>
        <w:tc>
          <w:tcPr>
            <w:tcW w:w="3038" w:type="pct"/>
            <w:gridSpan w:val="2"/>
            <w:vAlign w:val="center"/>
          </w:tcPr>
          <w:p w:rsidR="00E01E7F" w:rsidRPr="002F1C1C" w:rsidRDefault="00E01E7F" w:rsidP="004B0BF4">
            <w:pPr>
              <w:pStyle w:val="Tabletext"/>
              <w:keepNext/>
              <w:keepLines/>
              <w:suppressLineNumbers/>
              <w:suppressAutoHyphens/>
              <w:ind w:left="-93" w:right="-110"/>
              <w:jc w:val="center"/>
            </w:pPr>
            <w:r w:rsidRPr="002F1C1C">
              <w:t>-0.45 (-0.63, -0.27)</w:t>
            </w:r>
          </w:p>
        </w:tc>
      </w:tr>
    </w:tbl>
    <w:p w:rsidR="00E01E7F" w:rsidRPr="00E01E7F" w:rsidRDefault="00E01E7F" w:rsidP="004B0BF4">
      <w:pPr>
        <w:pStyle w:val="TableFooter"/>
        <w:keepNext/>
        <w:keepLines/>
        <w:widowControl/>
        <w:suppressLineNumbers/>
        <w:suppressAutoHyphens/>
        <w:rPr>
          <w:rFonts w:eastAsia="Calibri"/>
          <w:szCs w:val="18"/>
        </w:rPr>
      </w:pPr>
      <w:r w:rsidRPr="00E01E7F">
        <w:rPr>
          <w:rFonts w:eastAsia="Calibri"/>
          <w:szCs w:val="18"/>
        </w:rPr>
        <w:t>CI</w:t>
      </w:r>
      <w:r w:rsidR="00365D06">
        <w:rPr>
          <w:rFonts w:eastAsia="Calibri"/>
          <w:szCs w:val="18"/>
        </w:rPr>
        <w:t xml:space="preserve"> =</w:t>
      </w:r>
      <w:r w:rsidRPr="00E01E7F">
        <w:rPr>
          <w:rFonts w:eastAsia="Calibri"/>
          <w:szCs w:val="18"/>
        </w:rPr>
        <w:t xml:space="preserve"> confidence interval</w:t>
      </w:r>
      <w:r w:rsidR="00365D06">
        <w:rPr>
          <w:rFonts w:eastAsia="Calibri"/>
          <w:szCs w:val="18"/>
        </w:rPr>
        <w:t xml:space="preserve">; </w:t>
      </w:r>
      <w:r w:rsidRPr="00E01E7F">
        <w:rPr>
          <w:rFonts w:eastAsia="Calibri"/>
          <w:szCs w:val="18"/>
        </w:rPr>
        <w:t>FAS</w:t>
      </w:r>
      <w:r w:rsidR="00365D06">
        <w:rPr>
          <w:rFonts w:eastAsia="Calibri"/>
          <w:szCs w:val="18"/>
        </w:rPr>
        <w:t xml:space="preserve"> =</w:t>
      </w:r>
      <w:r w:rsidRPr="00E01E7F">
        <w:rPr>
          <w:rFonts w:eastAsia="Calibri"/>
          <w:szCs w:val="18"/>
        </w:rPr>
        <w:t xml:space="preserve"> full analysis set; K+</w:t>
      </w:r>
      <w:r w:rsidR="00365D06">
        <w:rPr>
          <w:rFonts w:eastAsia="Calibri"/>
          <w:szCs w:val="18"/>
        </w:rPr>
        <w:t xml:space="preserve"> =</w:t>
      </w:r>
      <w:r w:rsidRPr="00E01E7F">
        <w:rPr>
          <w:rFonts w:eastAsia="Calibri"/>
          <w:szCs w:val="18"/>
        </w:rPr>
        <w:t xml:space="preserve"> potassium; LS</w:t>
      </w:r>
      <w:r w:rsidR="00365D06">
        <w:rPr>
          <w:rFonts w:eastAsia="Calibri"/>
          <w:szCs w:val="18"/>
        </w:rPr>
        <w:t xml:space="preserve"> =</w:t>
      </w:r>
      <w:r w:rsidRPr="00E01E7F">
        <w:rPr>
          <w:rFonts w:eastAsia="Calibri"/>
          <w:szCs w:val="18"/>
        </w:rPr>
        <w:t xml:space="preserve"> least squares; SE</w:t>
      </w:r>
      <w:r w:rsidR="00365D06">
        <w:rPr>
          <w:rFonts w:eastAsia="Calibri"/>
          <w:szCs w:val="18"/>
        </w:rPr>
        <w:t xml:space="preserve"> =</w:t>
      </w:r>
      <w:r w:rsidRPr="00E01E7F">
        <w:rPr>
          <w:rFonts w:eastAsia="Calibri"/>
          <w:szCs w:val="18"/>
        </w:rPr>
        <w:t xml:space="preserve"> standard error</w:t>
      </w:r>
    </w:p>
    <w:p w:rsidR="00E01E7F" w:rsidRDefault="00E01E7F" w:rsidP="004B0BF4">
      <w:pPr>
        <w:keepNext/>
        <w:keepLines/>
        <w:widowControl/>
        <w:suppressLineNumbers/>
        <w:suppressAutoHyphens/>
        <w:rPr>
          <w:rFonts w:ascii="Arial Narrow" w:eastAsia="Calibri" w:hAnsi="Arial Narrow"/>
          <w:sz w:val="18"/>
          <w:szCs w:val="18"/>
        </w:rPr>
      </w:pPr>
      <w:r w:rsidRPr="00E01E7F">
        <w:rPr>
          <w:rFonts w:ascii="Arial Narrow" w:eastAsia="Calibri" w:hAnsi="Arial Narrow"/>
          <w:sz w:val="18"/>
          <w:szCs w:val="18"/>
          <w:vertAlign w:val="superscript"/>
        </w:rPr>
        <w:t>a</w:t>
      </w:r>
      <w:r w:rsidRPr="00E01E7F">
        <w:rPr>
          <w:rFonts w:ascii="Arial Narrow" w:eastAsia="Calibri" w:hAnsi="Arial Narrow"/>
          <w:sz w:val="18"/>
          <w:szCs w:val="18"/>
        </w:rPr>
        <w:t xml:space="preserve"> The patiromer 30 g early development calcium polymer is equivalent to the current 25 g anion polymer dose</w:t>
      </w:r>
    </w:p>
    <w:p w:rsidR="00E01E7F" w:rsidRDefault="002C190B" w:rsidP="004B0BF4">
      <w:pPr>
        <w:pStyle w:val="TableFooter"/>
        <w:keepNext/>
        <w:keepLines/>
        <w:widowControl/>
        <w:suppressLineNumbers/>
        <w:suppressAutoHyphens/>
        <w:spacing w:after="120"/>
        <w:rPr>
          <w:szCs w:val="18"/>
        </w:rPr>
      </w:pPr>
      <w:r w:rsidRPr="00E01E7F">
        <w:rPr>
          <w:szCs w:val="18"/>
        </w:rPr>
        <w:t>Sour</w:t>
      </w:r>
      <w:r>
        <w:rPr>
          <w:szCs w:val="18"/>
        </w:rPr>
        <w:t>ce: Table 11, p.77 PEARL-HF CSR</w:t>
      </w:r>
    </w:p>
    <w:p w:rsidR="00E01E7F" w:rsidRPr="00D03515" w:rsidRDefault="00E01E7F" w:rsidP="004B0BF4">
      <w:pPr>
        <w:pStyle w:val="ListParagraph"/>
        <w:widowControl/>
        <w:numPr>
          <w:ilvl w:val="1"/>
          <w:numId w:val="3"/>
        </w:numPr>
        <w:spacing w:after="120"/>
      </w:pPr>
      <w:r w:rsidRPr="00037E9F">
        <w:t xml:space="preserve">The difference in mean change in serum potassium from baseline to Week 4 between patiromer and placebo statistically </w:t>
      </w:r>
      <w:r w:rsidR="00037E9F">
        <w:t xml:space="preserve">significantly favoured </w:t>
      </w:r>
      <w:r w:rsidR="00037E9F" w:rsidRPr="004E3503">
        <w:t>patiromer.</w:t>
      </w:r>
      <w:r w:rsidRPr="004E3503">
        <w:t xml:space="preserve"> </w:t>
      </w:r>
      <w:r w:rsidR="001F7911" w:rsidRPr="009865FB">
        <w:t>T</w:t>
      </w:r>
      <w:r w:rsidRPr="009865FB">
        <w:t xml:space="preserve">he </w:t>
      </w:r>
      <w:r w:rsidR="001F7911" w:rsidRPr="009865FB">
        <w:t>ESC noted that</w:t>
      </w:r>
      <w:r w:rsidR="001F7911" w:rsidRPr="001F7911">
        <w:rPr>
          <w:i/>
        </w:rPr>
        <w:t xml:space="preserve"> </w:t>
      </w:r>
      <w:r w:rsidR="001F7911">
        <w:t xml:space="preserve">the </w:t>
      </w:r>
      <w:r w:rsidRPr="004E3503">
        <w:t>change from baseline in both treatment arms and the difference between treatment arms was less than the MDD of 0.70 mmol/L</w:t>
      </w:r>
      <w:r w:rsidR="001F7911">
        <w:t xml:space="preserve">. </w:t>
      </w:r>
      <w:r w:rsidR="001F7911" w:rsidRPr="00D03515">
        <w:t xml:space="preserve">Due to the </w:t>
      </w:r>
      <w:r w:rsidR="000153CF" w:rsidRPr="00D03515">
        <w:t xml:space="preserve">relatively small change in serum potassium levels and </w:t>
      </w:r>
      <w:r w:rsidR="001F7911" w:rsidRPr="00D03515">
        <w:t>lack of a nominated MCID</w:t>
      </w:r>
      <w:r w:rsidR="000153CF" w:rsidRPr="00D03515">
        <w:t>,</w:t>
      </w:r>
      <w:r w:rsidR="001F7911" w:rsidRPr="00D03515">
        <w:t xml:space="preserve"> the ESC </w:t>
      </w:r>
      <w:r w:rsidR="00836C16" w:rsidRPr="00D03515">
        <w:t>considered that it was</w:t>
      </w:r>
      <w:r w:rsidR="001F7911" w:rsidRPr="00D03515">
        <w:t xml:space="preserve"> un</w:t>
      </w:r>
      <w:r w:rsidR="00836C16" w:rsidRPr="00D03515">
        <w:t>clear</w:t>
      </w:r>
      <w:r w:rsidR="001F7911" w:rsidRPr="00D03515">
        <w:t xml:space="preserve"> whether the change was</w:t>
      </w:r>
      <w:r w:rsidRPr="00D03515">
        <w:t xml:space="preserve"> clinically meaningful.</w:t>
      </w:r>
    </w:p>
    <w:p w:rsidR="0075362F" w:rsidRDefault="0075362F" w:rsidP="004B0BF4">
      <w:pPr>
        <w:pStyle w:val="ListParagraph"/>
        <w:widowControl/>
        <w:numPr>
          <w:ilvl w:val="1"/>
          <w:numId w:val="3"/>
        </w:numPr>
        <w:spacing w:after="120"/>
      </w:pPr>
      <w:r>
        <w:t>T</w:t>
      </w:r>
      <w:r w:rsidR="00E01E7F">
        <w:t>able 8</w:t>
      </w:r>
      <w:r w:rsidRPr="00B366ED">
        <w:t xml:space="preserve"> shows the </w:t>
      </w:r>
      <w:r>
        <w:t>results of the primary outcome for the AMETHYST-DN study, mean change in serum potassium concentration from baseline to Week 4 and Week 8 (or first dose titration) in the initial treatment period, and to Week 52/end-of-treatment (EOT) in the long term follow up treatment period (ITT).</w:t>
      </w:r>
    </w:p>
    <w:p w:rsidR="0075362F" w:rsidRDefault="0075362F" w:rsidP="00F92E72">
      <w:pPr>
        <w:keepNext/>
        <w:keepLines/>
        <w:widowControl/>
        <w:rPr>
          <w:rFonts w:ascii="Arial Narrow" w:hAnsi="Arial Narrow"/>
          <w:b/>
          <w:sz w:val="20"/>
          <w:szCs w:val="20"/>
        </w:rPr>
      </w:pPr>
      <w:r w:rsidRPr="00057EAC">
        <w:rPr>
          <w:rFonts w:ascii="Arial Narrow" w:hAnsi="Arial Narrow"/>
          <w:b/>
          <w:sz w:val="20"/>
          <w:szCs w:val="20"/>
        </w:rPr>
        <w:t>Table</w:t>
      </w:r>
      <w:r w:rsidR="00E01E7F">
        <w:rPr>
          <w:rFonts w:ascii="Arial Narrow" w:hAnsi="Arial Narrow"/>
          <w:b/>
          <w:sz w:val="20"/>
          <w:szCs w:val="20"/>
        </w:rPr>
        <w:t xml:space="preserve"> 8</w:t>
      </w:r>
      <w:r w:rsidRPr="00057EAC">
        <w:rPr>
          <w:rFonts w:ascii="Arial Narrow" w:hAnsi="Arial Narrow"/>
          <w:b/>
          <w:sz w:val="20"/>
          <w:szCs w:val="20"/>
        </w:rPr>
        <w:t>: Mean c</w:t>
      </w:r>
      <w:r>
        <w:rPr>
          <w:rFonts w:ascii="Arial Narrow" w:hAnsi="Arial Narrow"/>
          <w:b/>
          <w:sz w:val="20"/>
          <w:szCs w:val="20"/>
        </w:rPr>
        <w:t>hange in serum potassium concentration from baseline to W</w:t>
      </w:r>
      <w:r w:rsidRPr="00057EAC">
        <w:rPr>
          <w:rFonts w:ascii="Arial Narrow" w:hAnsi="Arial Narrow"/>
          <w:b/>
          <w:sz w:val="20"/>
          <w:szCs w:val="20"/>
        </w:rPr>
        <w:t xml:space="preserve">eek 4 </w:t>
      </w:r>
      <w:r>
        <w:rPr>
          <w:rFonts w:ascii="Arial Narrow" w:hAnsi="Arial Narrow"/>
          <w:b/>
          <w:sz w:val="20"/>
          <w:szCs w:val="20"/>
        </w:rPr>
        <w:t xml:space="preserve">or Week 8 </w:t>
      </w:r>
      <w:r w:rsidRPr="00057EAC">
        <w:rPr>
          <w:rFonts w:ascii="Arial Narrow" w:hAnsi="Arial Narrow"/>
          <w:b/>
          <w:sz w:val="20"/>
          <w:szCs w:val="20"/>
        </w:rPr>
        <w:t xml:space="preserve">or </w:t>
      </w:r>
      <w:r>
        <w:rPr>
          <w:rFonts w:ascii="Arial Narrow" w:hAnsi="Arial Narrow"/>
          <w:b/>
          <w:sz w:val="20"/>
          <w:szCs w:val="20"/>
        </w:rPr>
        <w:t xml:space="preserve">first </w:t>
      </w:r>
      <w:r w:rsidRPr="00057EAC">
        <w:rPr>
          <w:rFonts w:ascii="Arial Narrow" w:hAnsi="Arial Narrow"/>
          <w:b/>
          <w:sz w:val="20"/>
          <w:szCs w:val="20"/>
        </w:rPr>
        <w:t xml:space="preserve">dose titration </w:t>
      </w:r>
      <w:r>
        <w:rPr>
          <w:rFonts w:ascii="Arial Narrow" w:hAnsi="Arial Narrow"/>
          <w:b/>
          <w:sz w:val="20"/>
          <w:szCs w:val="20"/>
        </w:rPr>
        <w:t xml:space="preserve">in AMETHYST-DN </w:t>
      </w:r>
      <w:r w:rsidRPr="00057EAC">
        <w:rPr>
          <w:rFonts w:ascii="Arial Narrow" w:hAnsi="Arial Narrow"/>
          <w:b/>
          <w:sz w:val="20"/>
          <w:szCs w:val="20"/>
        </w:rPr>
        <w:t>(ITT)</w:t>
      </w:r>
    </w:p>
    <w:tbl>
      <w:tblPr>
        <w:tblStyle w:val="TableGrid"/>
        <w:tblW w:w="5000" w:type="pct"/>
        <w:tblCellMar>
          <w:left w:w="28" w:type="dxa"/>
          <w:right w:w="28" w:type="dxa"/>
        </w:tblCellMar>
        <w:tblLook w:val="04A0" w:firstRow="1" w:lastRow="0" w:firstColumn="1" w:lastColumn="0" w:noHBand="0" w:noVBand="1"/>
        <w:tblCaption w:val="Table 8: Mean change in serum potassium concentration from baseline to Week 4 or Week 8 or first dose titration in AMETHYST-DN (ITT)"/>
      </w:tblPr>
      <w:tblGrid>
        <w:gridCol w:w="1889"/>
        <w:gridCol w:w="1187"/>
        <w:gridCol w:w="1188"/>
        <w:gridCol w:w="1188"/>
        <w:gridCol w:w="1187"/>
        <w:gridCol w:w="1188"/>
        <w:gridCol w:w="1190"/>
      </w:tblGrid>
      <w:tr w:rsidR="0075362F" w:rsidRPr="00D070E9" w:rsidTr="00F92E72">
        <w:trPr>
          <w:trHeight w:val="198"/>
          <w:tblHeader/>
        </w:trPr>
        <w:tc>
          <w:tcPr>
            <w:tcW w:w="1047" w:type="pct"/>
            <w:vMerge w:val="restart"/>
            <w:shd w:val="clear" w:color="auto" w:fill="auto"/>
          </w:tcPr>
          <w:p w:rsidR="0075362F" w:rsidRPr="00D070E9" w:rsidRDefault="0075362F" w:rsidP="00F92E72">
            <w:pPr>
              <w:keepNext/>
              <w:keepLines/>
              <w:widowControl/>
              <w:ind w:right="-84"/>
              <w:rPr>
                <w:rFonts w:ascii="Arial Narrow" w:hAnsi="Arial Narrow"/>
                <w:sz w:val="20"/>
                <w:szCs w:val="20"/>
              </w:rPr>
            </w:pPr>
          </w:p>
        </w:tc>
        <w:tc>
          <w:tcPr>
            <w:tcW w:w="3953" w:type="pct"/>
            <w:gridSpan w:val="6"/>
            <w:shd w:val="clear" w:color="auto" w:fill="auto"/>
            <w:vAlign w:val="center"/>
          </w:tcPr>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Patiromer dose regimens</w:t>
            </w:r>
          </w:p>
        </w:tc>
      </w:tr>
      <w:tr w:rsidR="0075362F" w:rsidRPr="00D070E9" w:rsidTr="00F92E72">
        <w:trPr>
          <w:trHeight w:val="198"/>
          <w:tblHeader/>
        </w:trPr>
        <w:tc>
          <w:tcPr>
            <w:tcW w:w="1047" w:type="pct"/>
            <w:vMerge/>
            <w:shd w:val="clear" w:color="auto" w:fill="auto"/>
          </w:tcPr>
          <w:p w:rsidR="0075362F" w:rsidRPr="00D070E9" w:rsidRDefault="0075362F" w:rsidP="00F92E72">
            <w:pPr>
              <w:keepNext/>
              <w:keepLines/>
              <w:widowControl/>
              <w:ind w:right="-84"/>
              <w:rPr>
                <w:rFonts w:ascii="Arial Narrow" w:hAnsi="Arial Narrow"/>
                <w:sz w:val="20"/>
                <w:szCs w:val="20"/>
              </w:rPr>
            </w:pPr>
          </w:p>
        </w:tc>
        <w:tc>
          <w:tcPr>
            <w:tcW w:w="1976" w:type="pct"/>
            <w:gridSpan w:val="3"/>
            <w:shd w:val="clear" w:color="auto" w:fill="auto"/>
            <w:vAlign w:val="center"/>
          </w:tcPr>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Stratum 1</w:t>
            </w:r>
          </w:p>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(&gt; 5.0 – 5.5 mmol/L)</w:t>
            </w:r>
          </w:p>
        </w:tc>
        <w:tc>
          <w:tcPr>
            <w:tcW w:w="1976" w:type="pct"/>
            <w:gridSpan w:val="3"/>
            <w:shd w:val="clear" w:color="auto" w:fill="auto"/>
            <w:vAlign w:val="center"/>
          </w:tcPr>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Stratum 2</w:t>
            </w:r>
          </w:p>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(&gt; 5.5 - &lt; 6.0 mmol/L)</w:t>
            </w:r>
          </w:p>
        </w:tc>
      </w:tr>
      <w:tr w:rsidR="0075362F" w:rsidRPr="00D070E9" w:rsidTr="00F92E72">
        <w:trPr>
          <w:trHeight w:val="198"/>
          <w:tblHeader/>
        </w:trPr>
        <w:tc>
          <w:tcPr>
            <w:tcW w:w="1047" w:type="pct"/>
            <w:vMerge/>
            <w:tcBorders>
              <w:bottom w:val="single" w:sz="4" w:space="0" w:color="auto"/>
            </w:tcBorders>
            <w:shd w:val="clear" w:color="auto" w:fill="auto"/>
          </w:tcPr>
          <w:p w:rsidR="0075362F" w:rsidRPr="00D070E9" w:rsidRDefault="0075362F" w:rsidP="00F92E72">
            <w:pPr>
              <w:keepNext/>
              <w:keepLines/>
              <w:widowControl/>
              <w:ind w:right="-84"/>
              <w:rPr>
                <w:rFonts w:ascii="Arial Narrow" w:hAnsi="Arial Narrow"/>
                <w:sz w:val="20"/>
                <w:szCs w:val="20"/>
              </w:rPr>
            </w:pPr>
          </w:p>
        </w:tc>
        <w:tc>
          <w:tcPr>
            <w:tcW w:w="658" w:type="pct"/>
            <w:shd w:val="clear" w:color="auto" w:fill="auto"/>
            <w:vAlign w:val="center"/>
          </w:tcPr>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 xml:space="preserve">8.4 g/day </w:t>
            </w:r>
          </w:p>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(N=74)</w:t>
            </w:r>
          </w:p>
        </w:tc>
        <w:tc>
          <w:tcPr>
            <w:tcW w:w="659" w:type="pct"/>
            <w:shd w:val="clear" w:color="auto" w:fill="auto"/>
            <w:vAlign w:val="center"/>
          </w:tcPr>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16.8 g/day</w:t>
            </w:r>
          </w:p>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(N=73)</w:t>
            </w:r>
          </w:p>
        </w:tc>
        <w:tc>
          <w:tcPr>
            <w:tcW w:w="659" w:type="pct"/>
            <w:shd w:val="clear" w:color="auto" w:fill="auto"/>
            <w:vAlign w:val="center"/>
          </w:tcPr>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25.2 g/day</w:t>
            </w:r>
          </w:p>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(N=73)</w:t>
            </w:r>
          </w:p>
        </w:tc>
        <w:tc>
          <w:tcPr>
            <w:tcW w:w="658" w:type="pct"/>
            <w:shd w:val="clear" w:color="auto" w:fill="auto"/>
            <w:vAlign w:val="center"/>
          </w:tcPr>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16.8 g/day</w:t>
            </w:r>
          </w:p>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(N=26)</w:t>
            </w:r>
          </w:p>
        </w:tc>
        <w:tc>
          <w:tcPr>
            <w:tcW w:w="659" w:type="pct"/>
            <w:shd w:val="clear" w:color="auto" w:fill="auto"/>
            <w:vAlign w:val="center"/>
          </w:tcPr>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25.2 g/day</w:t>
            </w:r>
          </w:p>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(N=28)</w:t>
            </w:r>
          </w:p>
        </w:tc>
        <w:tc>
          <w:tcPr>
            <w:tcW w:w="659" w:type="pct"/>
            <w:shd w:val="clear" w:color="auto" w:fill="auto"/>
            <w:vAlign w:val="center"/>
          </w:tcPr>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33.6 g/day</w:t>
            </w:r>
          </w:p>
          <w:p w:rsidR="0075362F" w:rsidRPr="00D070E9" w:rsidRDefault="0075362F" w:rsidP="00F92E72">
            <w:pPr>
              <w:keepNext/>
              <w:keepLines/>
              <w:widowControl/>
              <w:jc w:val="center"/>
              <w:rPr>
                <w:rFonts w:ascii="Arial Narrow" w:hAnsi="Arial Narrow"/>
                <w:b/>
                <w:sz w:val="20"/>
                <w:szCs w:val="20"/>
              </w:rPr>
            </w:pPr>
            <w:r w:rsidRPr="00D070E9">
              <w:rPr>
                <w:rFonts w:ascii="Arial Narrow" w:hAnsi="Arial Narrow"/>
                <w:b/>
                <w:sz w:val="20"/>
                <w:szCs w:val="20"/>
              </w:rPr>
              <w:t>(N=30)</w:t>
            </w:r>
          </w:p>
        </w:tc>
      </w:tr>
      <w:tr w:rsidR="0075362F" w:rsidRPr="00D070E9" w:rsidTr="00F92E72">
        <w:trPr>
          <w:trHeight w:val="198"/>
        </w:trPr>
        <w:tc>
          <w:tcPr>
            <w:tcW w:w="1047" w:type="pct"/>
            <w:tcBorders>
              <w:bottom w:val="nil"/>
            </w:tcBorders>
          </w:tcPr>
          <w:p w:rsidR="0075362F" w:rsidRPr="00D070E9" w:rsidRDefault="0075362F" w:rsidP="00F92E72">
            <w:pPr>
              <w:keepNext/>
              <w:keepLines/>
              <w:widowControl/>
              <w:ind w:right="-84"/>
              <w:jc w:val="left"/>
              <w:rPr>
                <w:rFonts w:ascii="Arial Narrow" w:hAnsi="Arial Narrow"/>
                <w:sz w:val="20"/>
                <w:szCs w:val="20"/>
              </w:rPr>
            </w:pPr>
            <w:r w:rsidRPr="00D070E9">
              <w:rPr>
                <w:rFonts w:ascii="Arial Narrow" w:hAnsi="Arial Narrow"/>
                <w:sz w:val="20"/>
                <w:szCs w:val="20"/>
              </w:rPr>
              <w:t>Baseline serum K+</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N=73</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N=73</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N=72</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N=26</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N=28</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N=30</w:t>
            </w:r>
          </w:p>
        </w:tc>
      </w:tr>
      <w:tr w:rsidR="0075362F" w:rsidRPr="00D070E9" w:rsidTr="00F92E72">
        <w:trPr>
          <w:trHeight w:val="198"/>
        </w:trPr>
        <w:tc>
          <w:tcPr>
            <w:tcW w:w="1047" w:type="pct"/>
            <w:tcBorders>
              <w:top w:val="nil"/>
              <w:bottom w:val="single" w:sz="4" w:space="0" w:color="auto"/>
            </w:tcBorders>
          </w:tcPr>
          <w:p w:rsidR="0075362F" w:rsidRPr="00D070E9" w:rsidRDefault="0075362F" w:rsidP="00F92E72">
            <w:pPr>
              <w:keepNext/>
              <w:keepLines/>
              <w:widowControl/>
              <w:ind w:right="-84"/>
              <w:jc w:val="left"/>
              <w:rPr>
                <w:rFonts w:ascii="Arial Narrow" w:hAnsi="Arial Narrow"/>
                <w:sz w:val="20"/>
                <w:szCs w:val="20"/>
              </w:rPr>
            </w:pPr>
            <w:r w:rsidRPr="00D070E9">
              <w:rPr>
                <w:rFonts w:ascii="Arial Narrow" w:hAnsi="Arial Narrow"/>
                <w:sz w:val="20"/>
                <w:szCs w:val="20"/>
              </w:rPr>
              <w:t>mean mmol/L (SD)</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5.14 (0.259)</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5.17 (0.247)</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5.14 (0.249)</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5.70 (0.376)</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5.68 (0.312)</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5.61 (0.389)</w:t>
            </w:r>
          </w:p>
        </w:tc>
      </w:tr>
      <w:tr w:rsidR="0075362F" w:rsidRPr="00D070E9" w:rsidTr="00F92E72">
        <w:trPr>
          <w:trHeight w:val="198"/>
        </w:trPr>
        <w:tc>
          <w:tcPr>
            <w:tcW w:w="1047" w:type="pct"/>
            <w:tcBorders>
              <w:bottom w:val="nil"/>
            </w:tcBorders>
          </w:tcPr>
          <w:p w:rsidR="0075362F" w:rsidRPr="00D070E9" w:rsidRDefault="0075362F" w:rsidP="00F92E72">
            <w:pPr>
              <w:keepNext/>
              <w:keepLines/>
              <w:widowControl/>
              <w:ind w:right="-84"/>
              <w:jc w:val="left"/>
              <w:rPr>
                <w:rFonts w:ascii="Arial Narrow" w:hAnsi="Arial Narrow"/>
                <w:sz w:val="20"/>
                <w:szCs w:val="20"/>
              </w:rPr>
            </w:pPr>
            <w:r w:rsidRPr="00D070E9">
              <w:rPr>
                <w:rFonts w:ascii="Arial Narrow" w:hAnsi="Arial Narrow"/>
                <w:sz w:val="20"/>
                <w:szCs w:val="20"/>
              </w:rPr>
              <w:t>Week 4 serum K+</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N=74</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N=72</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N=73</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N=26</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N=28</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N=30</w:t>
            </w:r>
          </w:p>
        </w:tc>
      </w:tr>
      <w:tr w:rsidR="0075362F" w:rsidRPr="00D070E9" w:rsidTr="00F92E72">
        <w:trPr>
          <w:trHeight w:val="198"/>
        </w:trPr>
        <w:tc>
          <w:tcPr>
            <w:tcW w:w="1047" w:type="pct"/>
            <w:tcBorders>
              <w:top w:val="nil"/>
              <w:bottom w:val="single" w:sz="4" w:space="0" w:color="auto"/>
            </w:tcBorders>
          </w:tcPr>
          <w:p w:rsidR="0075362F" w:rsidRPr="00D070E9" w:rsidRDefault="0075362F" w:rsidP="00F92E72">
            <w:pPr>
              <w:keepNext/>
              <w:keepLines/>
              <w:widowControl/>
              <w:ind w:right="-84"/>
              <w:jc w:val="left"/>
              <w:rPr>
                <w:rFonts w:ascii="Arial Narrow" w:hAnsi="Arial Narrow"/>
                <w:sz w:val="20"/>
                <w:szCs w:val="20"/>
              </w:rPr>
            </w:pPr>
            <w:r w:rsidRPr="00D070E9">
              <w:rPr>
                <w:rFonts w:ascii="Arial Narrow" w:hAnsi="Arial Narrow"/>
                <w:sz w:val="20"/>
                <w:szCs w:val="20"/>
              </w:rPr>
              <w:t>mean mmol/L (SD)</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4.78 (0.563)</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4.64 (0.606)</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4.60 (0.544)</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4.80 (0.612)</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4.68 (0.548)</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4.74 (0.825)</w:t>
            </w:r>
          </w:p>
        </w:tc>
      </w:tr>
      <w:tr w:rsidR="0075362F" w:rsidRPr="00D070E9" w:rsidTr="00F92E72">
        <w:trPr>
          <w:trHeight w:val="198"/>
        </w:trPr>
        <w:tc>
          <w:tcPr>
            <w:tcW w:w="1047" w:type="pct"/>
            <w:tcBorders>
              <w:bottom w:val="nil"/>
            </w:tcBorders>
          </w:tcPr>
          <w:p w:rsidR="0075362F" w:rsidRPr="00D070E9" w:rsidRDefault="0075362F" w:rsidP="00F92E72">
            <w:pPr>
              <w:keepNext/>
              <w:keepLines/>
              <w:widowControl/>
              <w:ind w:right="-84"/>
              <w:jc w:val="left"/>
              <w:rPr>
                <w:rFonts w:ascii="Arial Narrow" w:hAnsi="Arial Narrow"/>
                <w:sz w:val="20"/>
                <w:szCs w:val="20"/>
              </w:rPr>
            </w:pPr>
            <w:r w:rsidRPr="00D070E9">
              <w:rPr>
                <w:rFonts w:ascii="Arial Narrow" w:hAnsi="Arial Narrow"/>
                <w:sz w:val="20"/>
                <w:szCs w:val="20"/>
              </w:rPr>
              <w:t>Week 8 serum K+</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N=74</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N=72</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N=73</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N=26</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N=28</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N=30</w:t>
            </w:r>
          </w:p>
        </w:tc>
      </w:tr>
      <w:tr w:rsidR="0075362F" w:rsidRPr="00D070E9" w:rsidTr="00F92E72">
        <w:trPr>
          <w:trHeight w:val="198"/>
        </w:trPr>
        <w:tc>
          <w:tcPr>
            <w:tcW w:w="1047" w:type="pct"/>
            <w:tcBorders>
              <w:top w:val="nil"/>
            </w:tcBorders>
          </w:tcPr>
          <w:p w:rsidR="0075362F" w:rsidRPr="00D070E9" w:rsidRDefault="0075362F" w:rsidP="00F92E72">
            <w:pPr>
              <w:keepNext/>
              <w:keepLines/>
              <w:widowControl/>
              <w:ind w:right="-84"/>
              <w:jc w:val="left"/>
              <w:rPr>
                <w:rFonts w:ascii="Arial Narrow" w:hAnsi="Arial Narrow"/>
                <w:sz w:val="20"/>
                <w:szCs w:val="20"/>
              </w:rPr>
            </w:pPr>
            <w:r w:rsidRPr="00D070E9">
              <w:rPr>
                <w:rFonts w:ascii="Arial Narrow" w:hAnsi="Arial Narrow"/>
                <w:sz w:val="20"/>
                <w:szCs w:val="20"/>
              </w:rPr>
              <w:t>mean mmol/L (SD)</w:t>
            </w:r>
          </w:p>
        </w:tc>
        <w:tc>
          <w:tcPr>
            <w:tcW w:w="658"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4.79 (0.587)</w:t>
            </w:r>
          </w:p>
        </w:tc>
        <w:tc>
          <w:tcPr>
            <w:tcW w:w="659"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4.68 (0.611)</w:t>
            </w:r>
          </w:p>
        </w:tc>
        <w:tc>
          <w:tcPr>
            <w:tcW w:w="659"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4.61 (0.594)</w:t>
            </w:r>
          </w:p>
        </w:tc>
        <w:tc>
          <w:tcPr>
            <w:tcW w:w="658"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4.79 (0.663)</w:t>
            </w:r>
          </w:p>
        </w:tc>
        <w:tc>
          <w:tcPr>
            <w:tcW w:w="659"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4.69 (0.602)</w:t>
            </w:r>
          </w:p>
        </w:tc>
        <w:tc>
          <w:tcPr>
            <w:tcW w:w="659"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4.75 (0.854)</w:t>
            </w:r>
          </w:p>
        </w:tc>
      </w:tr>
      <w:tr w:rsidR="0075362F" w:rsidRPr="00D070E9" w:rsidTr="00F92E72">
        <w:trPr>
          <w:trHeight w:val="198"/>
        </w:trPr>
        <w:tc>
          <w:tcPr>
            <w:tcW w:w="1047" w:type="pct"/>
            <w:tcBorders>
              <w:bottom w:val="nil"/>
            </w:tcBorders>
          </w:tcPr>
          <w:p w:rsidR="0075362F" w:rsidRPr="00D070E9" w:rsidRDefault="0075362F" w:rsidP="00F92E72">
            <w:pPr>
              <w:keepNext/>
              <w:keepLines/>
              <w:widowControl/>
              <w:ind w:right="-84"/>
              <w:jc w:val="left"/>
              <w:rPr>
                <w:rFonts w:ascii="Arial Narrow" w:hAnsi="Arial Narrow"/>
                <w:sz w:val="20"/>
                <w:szCs w:val="20"/>
              </w:rPr>
            </w:pPr>
            <w:r w:rsidRPr="00D070E9">
              <w:rPr>
                <w:rFonts w:ascii="Arial Narrow" w:hAnsi="Arial Narrow"/>
                <w:sz w:val="20"/>
                <w:szCs w:val="20"/>
              </w:rPr>
              <w:t>Week 52 serum K+</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N=55</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N=55</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N=50</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N=20</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N=21</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N=17</w:t>
            </w:r>
          </w:p>
        </w:tc>
      </w:tr>
      <w:tr w:rsidR="0075362F" w:rsidRPr="00D070E9" w:rsidTr="00F92E72">
        <w:trPr>
          <w:trHeight w:val="198"/>
        </w:trPr>
        <w:tc>
          <w:tcPr>
            <w:tcW w:w="1047" w:type="pct"/>
            <w:tcBorders>
              <w:top w:val="nil"/>
            </w:tcBorders>
          </w:tcPr>
          <w:p w:rsidR="0075362F" w:rsidRPr="00D070E9" w:rsidRDefault="0075362F" w:rsidP="00F92E72">
            <w:pPr>
              <w:keepNext/>
              <w:keepLines/>
              <w:widowControl/>
              <w:ind w:right="-84"/>
              <w:jc w:val="left"/>
              <w:rPr>
                <w:rFonts w:ascii="Arial Narrow" w:hAnsi="Arial Narrow"/>
                <w:sz w:val="20"/>
                <w:szCs w:val="20"/>
              </w:rPr>
            </w:pPr>
            <w:r w:rsidRPr="00D070E9">
              <w:rPr>
                <w:rFonts w:ascii="Arial Narrow" w:hAnsi="Arial Narrow"/>
                <w:sz w:val="20"/>
                <w:szCs w:val="20"/>
              </w:rPr>
              <w:t>mean mmol/L (SD)</w:t>
            </w:r>
          </w:p>
        </w:tc>
        <w:tc>
          <w:tcPr>
            <w:tcW w:w="658"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4.79 (0.587)</w:t>
            </w:r>
          </w:p>
        </w:tc>
        <w:tc>
          <w:tcPr>
            <w:tcW w:w="659"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4.68 (0.611)</w:t>
            </w:r>
          </w:p>
        </w:tc>
        <w:tc>
          <w:tcPr>
            <w:tcW w:w="659"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4.61 (0.594)</w:t>
            </w:r>
          </w:p>
        </w:tc>
        <w:tc>
          <w:tcPr>
            <w:tcW w:w="658"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4.79 (0.663)</w:t>
            </w:r>
          </w:p>
        </w:tc>
        <w:tc>
          <w:tcPr>
            <w:tcW w:w="659"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4.69 (0.602)</w:t>
            </w:r>
          </w:p>
        </w:tc>
        <w:tc>
          <w:tcPr>
            <w:tcW w:w="659" w:type="pct"/>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4.75 (0.854)</w:t>
            </w:r>
          </w:p>
        </w:tc>
      </w:tr>
      <w:tr w:rsidR="0075362F" w:rsidRPr="00D070E9" w:rsidTr="00F92E72">
        <w:trPr>
          <w:trHeight w:val="198"/>
        </w:trPr>
        <w:tc>
          <w:tcPr>
            <w:tcW w:w="5000" w:type="pct"/>
            <w:gridSpan w:val="7"/>
          </w:tcPr>
          <w:p w:rsidR="0075362F" w:rsidRPr="00D070E9" w:rsidRDefault="0075362F" w:rsidP="00F92E72">
            <w:pPr>
              <w:keepNext/>
              <w:keepLines/>
              <w:widowControl/>
              <w:ind w:right="-84"/>
              <w:jc w:val="left"/>
              <w:rPr>
                <w:rFonts w:ascii="Arial Narrow" w:hAnsi="Arial Narrow"/>
                <w:b/>
                <w:sz w:val="20"/>
                <w:szCs w:val="20"/>
              </w:rPr>
            </w:pPr>
            <w:r w:rsidRPr="00D070E9">
              <w:rPr>
                <w:rFonts w:ascii="Arial Narrow" w:hAnsi="Arial Narrow"/>
                <w:b/>
                <w:sz w:val="20"/>
                <w:szCs w:val="20"/>
              </w:rPr>
              <w:t>Least squares mean change in serum potassium from baseline</w:t>
            </w:r>
          </w:p>
        </w:tc>
      </w:tr>
      <w:tr w:rsidR="0075362F" w:rsidRPr="00D070E9" w:rsidTr="00F92E72">
        <w:trPr>
          <w:trHeight w:val="207"/>
        </w:trPr>
        <w:tc>
          <w:tcPr>
            <w:tcW w:w="1047" w:type="pct"/>
          </w:tcPr>
          <w:p w:rsidR="0075362F" w:rsidRPr="00D070E9" w:rsidRDefault="0075362F" w:rsidP="00F92E72">
            <w:pPr>
              <w:keepNext/>
              <w:keepLines/>
              <w:widowControl/>
              <w:ind w:right="-84"/>
              <w:jc w:val="left"/>
              <w:rPr>
                <w:rFonts w:ascii="Arial Narrow" w:hAnsi="Arial Narrow"/>
                <w:sz w:val="20"/>
                <w:szCs w:val="20"/>
              </w:rPr>
            </w:pPr>
            <w:r w:rsidRPr="00D070E9">
              <w:rPr>
                <w:rFonts w:ascii="Arial Narrow" w:hAnsi="Arial Narrow"/>
                <w:sz w:val="20"/>
                <w:szCs w:val="20"/>
              </w:rPr>
              <w:t>LS</w:t>
            </w:r>
            <w:r w:rsidR="00365D06">
              <w:rPr>
                <w:rFonts w:ascii="Arial Narrow" w:hAnsi="Arial Narrow"/>
                <w:sz w:val="20"/>
                <w:szCs w:val="20"/>
              </w:rPr>
              <w:t xml:space="preserve"> mean</w:t>
            </w:r>
            <w:r w:rsidRPr="00D070E9">
              <w:rPr>
                <w:rFonts w:ascii="Arial Narrow" w:hAnsi="Arial Narrow"/>
                <w:sz w:val="20"/>
                <w:szCs w:val="20"/>
              </w:rPr>
              <w:t xml:space="preserve"> change to Week 4 (95% CI)</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 xml:space="preserve">-0.35 </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(-0.48, -0.22)</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 xml:space="preserve">-0.51 </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(-0.64, -0.38)</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 xml:space="preserve">-0.55 </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(-0.68, -0.42)</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 xml:space="preserve">-0.87 </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(-1.14, -0.60)</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 xml:space="preserve">-0.97 </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(-1.23, -0.70)</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 xml:space="preserve">-0.92 </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(-1.17, -0.67)</w:t>
            </w:r>
          </w:p>
        </w:tc>
      </w:tr>
      <w:tr w:rsidR="0075362F" w:rsidRPr="00D070E9" w:rsidTr="00F92E72">
        <w:trPr>
          <w:trHeight w:val="207"/>
        </w:trPr>
        <w:tc>
          <w:tcPr>
            <w:tcW w:w="1047" w:type="pct"/>
          </w:tcPr>
          <w:p w:rsidR="0075362F" w:rsidRPr="00D070E9" w:rsidRDefault="0075362F" w:rsidP="00F92E72">
            <w:pPr>
              <w:keepNext/>
              <w:keepLines/>
              <w:widowControl/>
              <w:ind w:right="-84"/>
              <w:jc w:val="left"/>
              <w:rPr>
                <w:rFonts w:ascii="Arial Narrow" w:hAnsi="Arial Narrow"/>
                <w:sz w:val="20"/>
                <w:szCs w:val="20"/>
              </w:rPr>
            </w:pPr>
            <w:r w:rsidRPr="00D070E9">
              <w:rPr>
                <w:rFonts w:ascii="Arial Narrow" w:hAnsi="Arial Narrow"/>
                <w:sz w:val="20"/>
                <w:szCs w:val="20"/>
              </w:rPr>
              <w:t>LS</w:t>
            </w:r>
            <w:r w:rsidR="00365D06">
              <w:rPr>
                <w:rFonts w:ascii="Arial Narrow" w:hAnsi="Arial Narrow"/>
                <w:sz w:val="20"/>
                <w:szCs w:val="20"/>
              </w:rPr>
              <w:t xml:space="preserve"> mean</w:t>
            </w:r>
            <w:r w:rsidRPr="00D070E9">
              <w:rPr>
                <w:rFonts w:ascii="Arial Narrow" w:hAnsi="Arial Narrow"/>
                <w:sz w:val="20"/>
                <w:szCs w:val="20"/>
              </w:rPr>
              <w:t xml:space="preserve"> change to Week 8 (95% CI)</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 xml:space="preserve">-0.35 </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(-0.48, -0.21)</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-0.47</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(-0.61, -0.33)</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 xml:space="preserve">-0.54 </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(-0.68, -0.40)</w:t>
            </w:r>
          </w:p>
        </w:tc>
        <w:tc>
          <w:tcPr>
            <w:tcW w:w="658"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 xml:space="preserve">-0.88 </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(-1.16, -0.60)</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 xml:space="preserve">-0.95 </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(-1.23, -0.68)</w:t>
            </w:r>
          </w:p>
        </w:tc>
        <w:tc>
          <w:tcPr>
            <w:tcW w:w="659" w:type="pct"/>
            <w:vAlign w:val="center"/>
          </w:tcPr>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-0.92</w:t>
            </w:r>
          </w:p>
          <w:p w:rsidR="0075362F" w:rsidRPr="00D070E9" w:rsidRDefault="0075362F" w:rsidP="00F92E72">
            <w:pPr>
              <w:keepNext/>
              <w:keepLines/>
              <w:widowControl/>
              <w:jc w:val="center"/>
              <w:rPr>
                <w:rFonts w:ascii="Arial Narrow" w:hAnsi="Arial Narrow"/>
                <w:sz w:val="20"/>
                <w:szCs w:val="20"/>
              </w:rPr>
            </w:pPr>
            <w:r w:rsidRPr="00D070E9">
              <w:rPr>
                <w:rFonts w:ascii="Arial Narrow" w:hAnsi="Arial Narrow"/>
                <w:sz w:val="20"/>
                <w:szCs w:val="20"/>
              </w:rPr>
              <w:t>(-1.17, -0.64)</w:t>
            </w:r>
          </w:p>
        </w:tc>
      </w:tr>
      <w:tr w:rsidR="0075362F" w:rsidRPr="00D070E9" w:rsidTr="00F92E72">
        <w:tblPrEx>
          <w:tblCellMar>
            <w:left w:w="108" w:type="dxa"/>
            <w:right w:w="108" w:type="dxa"/>
          </w:tblCellMar>
        </w:tblPrEx>
        <w:trPr>
          <w:trHeight w:val="207"/>
        </w:trPr>
        <w:tc>
          <w:tcPr>
            <w:tcW w:w="1047" w:type="pct"/>
          </w:tcPr>
          <w:p w:rsidR="0075362F" w:rsidRPr="00D070E9" w:rsidRDefault="0075362F" w:rsidP="00F92E72">
            <w:pPr>
              <w:keepNext/>
              <w:keepLines/>
              <w:widowControl/>
              <w:spacing w:after="120"/>
              <w:ind w:left="-61" w:right="-84"/>
              <w:jc w:val="left"/>
              <w:rPr>
                <w:rFonts w:ascii="Arial Narrow" w:hAnsi="Arial Narrow"/>
                <w:sz w:val="20"/>
                <w:szCs w:val="20"/>
              </w:rPr>
            </w:pPr>
            <w:r w:rsidRPr="00D070E9">
              <w:rPr>
                <w:rFonts w:ascii="Arial Narrow" w:hAnsi="Arial Narrow"/>
                <w:sz w:val="20"/>
                <w:szCs w:val="20"/>
              </w:rPr>
              <w:t>LS</w:t>
            </w:r>
            <w:r w:rsidR="00365D06">
              <w:rPr>
                <w:rFonts w:ascii="Arial Narrow" w:hAnsi="Arial Narrow"/>
                <w:sz w:val="20"/>
                <w:szCs w:val="20"/>
              </w:rPr>
              <w:t xml:space="preserve"> mean</w:t>
            </w:r>
            <w:r w:rsidRPr="00D070E9">
              <w:rPr>
                <w:rFonts w:ascii="Arial Narrow" w:hAnsi="Arial Narrow"/>
                <w:sz w:val="20"/>
                <w:szCs w:val="20"/>
              </w:rPr>
              <w:t xml:space="preserve"> change to Week 52 EOT (SD)</w:t>
            </w:r>
          </w:p>
        </w:tc>
        <w:tc>
          <w:tcPr>
            <w:tcW w:w="658" w:type="pct"/>
            <w:vAlign w:val="center"/>
          </w:tcPr>
          <w:p w:rsidR="0075362F" w:rsidRPr="00D070E9" w:rsidRDefault="0075362F" w:rsidP="00F92E72">
            <w:pPr>
              <w:keepNext/>
              <w:keepLines/>
              <w:widowControl/>
              <w:spacing w:after="120"/>
              <w:jc w:val="center"/>
              <w:rPr>
                <w:rFonts w:ascii="Arial Narrow" w:hAnsi="Arial Narrow"/>
                <w:sz w:val="20"/>
                <w:szCs w:val="20"/>
              </w:rPr>
            </w:pPr>
            <w:r w:rsidRPr="00D070E9">
              <w:rPr>
                <w:rFonts w:ascii="Arial Narrow" w:hAnsi="Arial Narrow"/>
                <w:sz w:val="20"/>
                <w:szCs w:val="20"/>
              </w:rPr>
              <w:t>-0.55 (0.49)</w:t>
            </w:r>
          </w:p>
        </w:tc>
        <w:tc>
          <w:tcPr>
            <w:tcW w:w="659" w:type="pct"/>
            <w:vAlign w:val="center"/>
          </w:tcPr>
          <w:p w:rsidR="0075362F" w:rsidRPr="00D070E9" w:rsidRDefault="0075362F" w:rsidP="00F92E72">
            <w:pPr>
              <w:keepNext/>
              <w:keepLines/>
              <w:widowControl/>
              <w:spacing w:after="120"/>
              <w:jc w:val="center"/>
              <w:rPr>
                <w:rFonts w:ascii="Arial Narrow" w:hAnsi="Arial Narrow"/>
                <w:sz w:val="20"/>
                <w:szCs w:val="20"/>
              </w:rPr>
            </w:pPr>
            <w:r w:rsidRPr="00D070E9">
              <w:rPr>
                <w:rFonts w:ascii="Arial Narrow" w:hAnsi="Arial Narrow"/>
                <w:sz w:val="20"/>
                <w:szCs w:val="20"/>
              </w:rPr>
              <w:t>-0.44 (0.52)</w:t>
            </w:r>
          </w:p>
        </w:tc>
        <w:tc>
          <w:tcPr>
            <w:tcW w:w="659" w:type="pct"/>
            <w:vAlign w:val="center"/>
          </w:tcPr>
          <w:p w:rsidR="0075362F" w:rsidRPr="00D070E9" w:rsidRDefault="0075362F" w:rsidP="00F92E72">
            <w:pPr>
              <w:keepNext/>
              <w:keepLines/>
              <w:widowControl/>
              <w:spacing w:after="120"/>
              <w:jc w:val="center"/>
              <w:rPr>
                <w:rFonts w:ascii="Arial Narrow" w:hAnsi="Arial Narrow"/>
                <w:sz w:val="20"/>
                <w:szCs w:val="20"/>
              </w:rPr>
            </w:pPr>
            <w:r w:rsidRPr="00D070E9">
              <w:rPr>
                <w:rFonts w:ascii="Arial Narrow" w:hAnsi="Arial Narrow"/>
                <w:sz w:val="20"/>
                <w:szCs w:val="20"/>
              </w:rPr>
              <w:t>-0.47 (0.41)</w:t>
            </w:r>
          </w:p>
        </w:tc>
        <w:tc>
          <w:tcPr>
            <w:tcW w:w="658" w:type="pct"/>
            <w:vAlign w:val="center"/>
          </w:tcPr>
          <w:p w:rsidR="0075362F" w:rsidRPr="00D070E9" w:rsidRDefault="0075362F" w:rsidP="00F92E72">
            <w:pPr>
              <w:keepNext/>
              <w:keepLines/>
              <w:widowControl/>
              <w:spacing w:after="120"/>
              <w:jc w:val="center"/>
              <w:rPr>
                <w:rFonts w:ascii="Arial Narrow" w:hAnsi="Arial Narrow"/>
                <w:sz w:val="20"/>
                <w:szCs w:val="20"/>
              </w:rPr>
            </w:pPr>
            <w:r w:rsidRPr="00D070E9">
              <w:rPr>
                <w:rFonts w:ascii="Arial Narrow" w:hAnsi="Arial Narrow"/>
                <w:sz w:val="20"/>
                <w:szCs w:val="20"/>
              </w:rPr>
              <w:t>-0.98 (0.51)</w:t>
            </w:r>
          </w:p>
        </w:tc>
        <w:tc>
          <w:tcPr>
            <w:tcW w:w="659" w:type="pct"/>
            <w:vAlign w:val="center"/>
          </w:tcPr>
          <w:p w:rsidR="0075362F" w:rsidRPr="00D070E9" w:rsidRDefault="0075362F" w:rsidP="00F92E72">
            <w:pPr>
              <w:keepNext/>
              <w:keepLines/>
              <w:widowControl/>
              <w:spacing w:after="120"/>
              <w:jc w:val="center"/>
              <w:rPr>
                <w:rFonts w:ascii="Arial Narrow" w:hAnsi="Arial Narrow"/>
                <w:sz w:val="20"/>
                <w:szCs w:val="20"/>
              </w:rPr>
            </w:pPr>
            <w:r w:rsidRPr="00D070E9">
              <w:rPr>
                <w:rFonts w:ascii="Arial Narrow" w:hAnsi="Arial Narrow"/>
                <w:sz w:val="20"/>
                <w:szCs w:val="20"/>
              </w:rPr>
              <w:t>-0.94 (0.42)</w:t>
            </w:r>
          </w:p>
        </w:tc>
        <w:tc>
          <w:tcPr>
            <w:tcW w:w="659" w:type="pct"/>
            <w:vAlign w:val="center"/>
          </w:tcPr>
          <w:p w:rsidR="0075362F" w:rsidRPr="00D070E9" w:rsidRDefault="0075362F" w:rsidP="00F92E72">
            <w:pPr>
              <w:keepNext/>
              <w:keepLines/>
              <w:widowControl/>
              <w:spacing w:after="120"/>
              <w:jc w:val="center"/>
              <w:rPr>
                <w:rFonts w:ascii="Arial Narrow" w:hAnsi="Arial Narrow"/>
                <w:sz w:val="20"/>
                <w:szCs w:val="20"/>
              </w:rPr>
            </w:pPr>
            <w:r w:rsidRPr="00D070E9">
              <w:rPr>
                <w:rFonts w:ascii="Arial Narrow" w:hAnsi="Arial Narrow"/>
                <w:sz w:val="20"/>
                <w:szCs w:val="20"/>
              </w:rPr>
              <w:t>-1.16 (0.54)</w:t>
            </w:r>
          </w:p>
        </w:tc>
      </w:tr>
    </w:tbl>
    <w:p w:rsidR="00FE70C3" w:rsidRDefault="0075362F" w:rsidP="00F92E72">
      <w:pPr>
        <w:keepNext/>
        <w:keepLines/>
        <w:widowControl/>
        <w:spacing w:after="120"/>
        <w:rPr>
          <w:rFonts w:ascii="Arial Narrow" w:hAnsi="Arial Narrow"/>
          <w:sz w:val="18"/>
          <w:szCs w:val="18"/>
        </w:rPr>
      </w:pPr>
      <w:r w:rsidRPr="00D070E9">
        <w:rPr>
          <w:rFonts w:ascii="Arial Narrow" w:hAnsi="Arial Narrow"/>
          <w:sz w:val="18"/>
          <w:szCs w:val="18"/>
        </w:rPr>
        <w:t>CI</w:t>
      </w:r>
      <w:r w:rsidR="00365D06">
        <w:rPr>
          <w:rFonts w:ascii="Arial Narrow" w:hAnsi="Arial Narrow"/>
          <w:sz w:val="18"/>
          <w:szCs w:val="18"/>
        </w:rPr>
        <w:t xml:space="preserve"> =</w:t>
      </w:r>
      <w:r w:rsidRPr="00D070E9">
        <w:rPr>
          <w:rFonts w:ascii="Arial Narrow" w:hAnsi="Arial Narrow"/>
          <w:sz w:val="18"/>
          <w:szCs w:val="18"/>
        </w:rPr>
        <w:t xml:space="preserve"> confidence interval; EOT</w:t>
      </w:r>
      <w:r w:rsidR="00365D06">
        <w:rPr>
          <w:rFonts w:ascii="Arial Narrow" w:hAnsi="Arial Narrow"/>
          <w:sz w:val="18"/>
          <w:szCs w:val="18"/>
        </w:rPr>
        <w:t xml:space="preserve"> =</w:t>
      </w:r>
      <w:r w:rsidRPr="00D070E9">
        <w:rPr>
          <w:rFonts w:ascii="Arial Narrow" w:hAnsi="Arial Narrow"/>
          <w:sz w:val="18"/>
          <w:szCs w:val="18"/>
        </w:rPr>
        <w:t xml:space="preserve"> end-of-treatment; ITT</w:t>
      </w:r>
      <w:r w:rsidR="00365D06">
        <w:rPr>
          <w:rFonts w:ascii="Arial Narrow" w:hAnsi="Arial Narrow"/>
          <w:sz w:val="18"/>
          <w:szCs w:val="18"/>
        </w:rPr>
        <w:t xml:space="preserve"> =</w:t>
      </w:r>
      <w:r w:rsidRPr="00D070E9">
        <w:rPr>
          <w:rFonts w:ascii="Arial Narrow" w:hAnsi="Arial Narrow"/>
          <w:sz w:val="18"/>
          <w:szCs w:val="18"/>
        </w:rPr>
        <w:t xml:space="preserve"> intent-to-treat; K+</w:t>
      </w:r>
      <w:r w:rsidR="00365D06">
        <w:rPr>
          <w:rFonts w:ascii="Arial Narrow" w:hAnsi="Arial Narrow"/>
          <w:sz w:val="18"/>
          <w:szCs w:val="18"/>
        </w:rPr>
        <w:t xml:space="preserve"> =</w:t>
      </w:r>
      <w:r w:rsidRPr="00D070E9">
        <w:rPr>
          <w:rFonts w:ascii="Arial Narrow" w:hAnsi="Arial Narrow"/>
          <w:sz w:val="18"/>
          <w:szCs w:val="18"/>
        </w:rPr>
        <w:t xml:space="preserve"> serum potassium; LS</w:t>
      </w:r>
      <w:r w:rsidR="00365D06">
        <w:rPr>
          <w:rFonts w:ascii="Arial Narrow" w:hAnsi="Arial Narrow"/>
          <w:sz w:val="18"/>
          <w:szCs w:val="18"/>
        </w:rPr>
        <w:t xml:space="preserve"> =</w:t>
      </w:r>
      <w:r w:rsidRPr="00D070E9">
        <w:rPr>
          <w:rFonts w:ascii="Arial Narrow" w:hAnsi="Arial Narrow"/>
          <w:sz w:val="18"/>
          <w:szCs w:val="18"/>
        </w:rPr>
        <w:t xml:space="preserve"> least squares; </w:t>
      </w:r>
      <w:r w:rsidR="002C190B">
        <w:rPr>
          <w:rFonts w:ascii="Arial Narrow" w:hAnsi="Arial Narrow"/>
          <w:sz w:val="18"/>
          <w:szCs w:val="18"/>
        </w:rPr>
        <w:t>S</w:t>
      </w:r>
      <w:r w:rsidRPr="00D070E9">
        <w:rPr>
          <w:rFonts w:ascii="Arial Narrow" w:hAnsi="Arial Narrow"/>
          <w:sz w:val="18"/>
          <w:szCs w:val="18"/>
        </w:rPr>
        <w:t>D</w:t>
      </w:r>
      <w:r w:rsidR="00365D06">
        <w:rPr>
          <w:rFonts w:ascii="Arial Narrow" w:hAnsi="Arial Narrow"/>
          <w:sz w:val="18"/>
          <w:szCs w:val="18"/>
        </w:rPr>
        <w:t xml:space="preserve"> =</w:t>
      </w:r>
      <w:r w:rsidRPr="00D070E9">
        <w:rPr>
          <w:rFonts w:ascii="Arial Narrow" w:hAnsi="Arial Narrow"/>
          <w:sz w:val="18"/>
          <w:szCs w:val="18"/>
        </w:rPr>
        <w:t xml:space="preserve"> standard deviation</w:t>
      </w:r>
    </w:p>
    <w:p w:rsidR="002C190B" w:rsidRDefault="002C190B" w:rsidP="00F92E72">
      <w:pPr>
        <w:keepNext/>
        <w:keepLines/>
        <w:widowControl/>
        <w:spacing w:after="120"/>
        <w:rPr>
          <w:rFonts w:ascii="Arial Narrow" w:hAnsi="Arial Narrow"/>
          <w:sz w:val="18"/>
          <w:szCs w:val="18"/>
        </w:rPr>
      </w:pPr>
      <w:r w:rsidRPr="00D070E9">
        <w:rPr>
          <w:rFonts w:ascii="Arial Narrow" w:hAnsi="Arial Narrow"/>
          <w:sz w:val="18"/>
          <w:szCs w:val="18"/>
        </w:rPr>
        <w:t>Source: Tables 2-29 and 2</w:t>
      </w:r>
      <w:r>
        <w:rPr>
          <w:rFonts w:ascii="Arial Narrow" w:hAnsi="Arial Narrow"/>
          <w:sz w:val="18"/>
          <w:szCs w:val="18"/>
        </w:rPr>
        <w:t>-30, pp.73-74 of the submission</w:t>
      </w:r>
    </w:p>
    <w:p w:rsidR="00292316" w:rsidRPr="004E3503" w:rsidRDefault="00292316" w:rsidP="00F92E72">
      <w:pPr>
        <w:pStyle w:val="ListParagraph"/>
        <w:widowControl/>
        <w:numPr>
          <w:ilvl w:val="1"/>
          <w:numId w:val="3"/>
        </w:numPr>
        <w:spacing w:after="120"/>
      </w:pPr>
      <w:r w:rsidRPr="00C679D8">
        <w:t xml:space="preserve">There were statistically significant decreases in </w:t>
      </w:r>
      <w:r>
        <w:t xml:space="preserve">mean </w:t>
      </w:r>
      <w:r w:rsidRPr="00C679D8">
        <w:t>serum potassium concentration</w:t>
      </w:r>
      <w:r>
        <w:t>s</w:t>
      </w:r>
      <w:r w:rsidRPr="00C679D8">
        <w:t xml:space="preserve"> from baseline </w:t>
      </w:r>
      <w:r>
        <w:t xml:space="preserve">to Week 4, Week 8 and Week 52/end-of-treatment </w:t>
      </w:r>
      <w:r w:rsidRPr="00C679D8">
        <w:t xml:space="preserve">in all starting dose groups within both strata </w:t>
      </w:r>
      <w:r>
        <w:t>(</w:t>
      </w:r>
      <w:r w:rsidRPr="00C679D8">
        <w:t xml:space="preserve">p &lt; 0.001). </w:t>
      </w:r>
      <w:r w:rsidR="00037E9F" w:rsidRPr="004E3503">
        <w:t xml:space="preserve">Reductions in mean serum potassium concentrations were consistently smaller in Stratum 1 and less than the MDD of 0.70 </w:t>
      </w:r>
      <w:r w:rsidR="00037E9F" w:rsidRPr="004E3503">
        <w:lastRenderedPageBreak/>
        <w:t xml:space="preserve">mmol/L. </w:t>
      </w:r>
      <w:r w:rsidRPr="00D03515">
        <w:t xml:space="preserve">The </w:t>
      </w:r>
      <w:r w:rsidR="00006B45" w:rsidRPr="00D03515">
        <w:t>ESC considered that</w:t>
      </w:r>
      <w:r w:rsidR="00006B45">
        <w:t xml:space="preserve"> the </w:t>
      </w:r>
      <w:r w:rsidRPr="004E3503">
        <w:t xml:space="preserve">larger reductions observed in Stratum 2 </w:t>
      </w:r>
      <w:r w:rsidR="00B05301">
        <w:t>were likely</w:t>
      </w:r>
      <w:r w:rsidRPr="004E3503">
        <w:t xml:space="preserve"> due to higher baseline serum potassium concentrations.  </w:t>
      </w:r>
    </w:p>
    <w:p w:rsidR="00292316" w:rsidRPr="00292316" w:rsidRDefault="001F7911" w:rsidP="00F92E72">
      <w:pPr>
        <w:pStyle w:val="ListParagraph"/>
        <w:widowControl/>
        <w:numPr>
          <w:ilvl w:val="1"/>
          <w:numId w:val="3"/>
        </w:numPr>
        <w:spacing w:after="120"/>
      </w:pPr>
      <w:r w:rsidRPr="009865FB">
        <w:t>The ESC noted that</w:t>
      </w:r>
      <w:r w:rsidRPr="001F7911">
        <w:rPr>
          <w:i/>
        </w:rPr>
        <w:t xml:space="preserve"> </w:t>
      </w:r>
      <w:r>
        <w:t>c</w:t>
      </w:r>
      <w:r w:rsidR="00292316" w:rsidRPr="00292316">
        <w:t xml:space="preserve">hanges in serum potassium concentration over time </w:t>
      </w:r>
      <w:r>
        <w:t xml:space="preserve">demonstrated that </w:t>
      </w:r>
      <w:r w:rsidR="00292316" w:rsidRPr="00292316">
        <w:t>mean serum potassium concentrations for all patiromer dose regimens in both strata remained &lt; 5.0 mmol/L from Day 3 to Week 52/</w:t>
      </w:r>
      <w:r w:rsidR="00A56CE9">
        <w:t>end-of-treatment</w:t>
      </w:r>
      <w:r w:rsidR="00292316" w:rsidRPr="00292316">
        <w:t xml:space="preserve">, and &lt; 5.2 mmol/L during the 4 week follow up period following patiromer cessation. </w:t>
      </w:r>
    </w:p>
    <w:p w:rsidR="00292316" w:rsidRPr="00866EDF" w:rsidRDefault="00866EDF" w:rsidP="00F92E72">
      <w:pPr>
        <w:pStyle w:val="ListParagraph"/>
        <w:widowControl/>
        <w:numPr>
          <w:ilvl w:val="1"/>
          <w:numId w:val="3"/>
        </w:numPr>
        <w:spacing w:after="120"/>
      </w:pPr>
      <w:r>
        <w:t>Table 9</w:t>
      </w:r>
      <w:r w:rsidR="00563FE2">
        <w:t xml:space="preserve"> </w:t>
      </w:r>
      <w:r>
        <w:t>summarises</w:t>
      </w:r>
      <w:r w:rsidR="00563FE2">
        <w:t xml:space="preserve"> the </w:t>
      </w:r>
      <w:r>
        <w:t>numbers</w:t>
      </w:r>
      <w:r w:rsidR="00563FE2">
        <w:t xml:space="preserve"> of patients in the AMETHYST-DN LTMP study with serum potassium concentrations </w:t>
      </w:r>
      <w:r>
        <w:t>&gt; 5.5 mmol/L</w:t>
      </w:r>
      <w:r w:rsidR="00563FE2">
        <w:t xml:space="preserve">. </w:t>
      </w:r>
    </w:p>
    <w:p w:rsidR="00866EDF" w:rsidRDefault="00866EDF" w:rsidP="00F92E72">
      <w:pPr>
        <w:keepNext/>
        <w:keepLines/>
        <w:widowControl/>
      </w:pPr>
      <w:r>
        <w:rPr>
          <w:rFonts w:ascii="Arial Narrow" w:hAnsi="Arial Narrow"/>
          <w:b/>
          <w:sz w:val="20"/>
          <w:szCs w:val="20"/>
        </w:rPr>
        <w:t xml:space="preserve">Table 9: </w:t>
      </w:r>
      <w:r w:rsidR="00F852C5">
        <w:rPr>
          <w:rFonts w:ascii="Arial Narrow" w:hAnsi="Arial Narrow"/>
          <w:b/>
          <w:sz w:val="20"/>
          <w:szCs w:val="20"/>
        </w:rPr>
        <w:t xml:space="preserve">A summary of </w:t>
      </w:r>
      <w:r>
        <w:rPr>
          <w:rFonts w:ascii="Arial Narrow" w:hAnsi="Arial Narrow"/>
          <w:b/>
          <w:sz w:val="20"/>
          <w:szCs w:val="20"/>
        </w:rPr>
        <w:t>the numbers of patients with s</w:t>
      </w:r>
      <w:r w:rsidRPr="00A8005F">
        <w:rPr>
          <w:rFonts w:ascii="Arial Narrow" w:hAnsi="Arial Narrow"/>
          <w:b/>
          <w:sz w:val="20"/>
          <w:szCs w:val="20"/>
        </w:rPr>
        <w:t xml:space="preserve">erum potassium concentrations &gt; 5.5 mmol/L </w:t>
      </w:r>
      <w:r>
        <w:rPr>
          <w:rFonts w:ascii="Arial Narrow" w:hAnsi="Arial Narrow"/>
          <w:b/>
          <w:sz w:val="20"/>
          <w:szCs w:val="20"/>
        </w:rPr>
        <w:t xml:space="preserve">in the AMETHYST-DN long term maintenance period, </w:t>
      </w:r>
      <w:r w:rsidRPr="00A8005F">
        <w:rPr>
          <w:rFonts w:ascii="Arial Narrow" w:hAnsi="Arial Narrow"/>
          <w:b/>
          <w:sz w:val="20"/>
          <w:szCs w:val="20"/>
        </w:rPr>
        <w:t>by visit (4 weekly), for Stratum 1 and 2</w:t>
      </w:r>
      <w:r>
        <w:rPr>
          <w:rFonts w:ascii="Arial Narrow" w:hAnsi="Arial Narrow"/>
          <w:b/>
          <w:sz w:val="20"/>
          <w:szCs w:val="20"/>
        </w:rPr>
        <w:t>,</w:t>
      </w:r>
      <w:r w:rsidRPr="00A8005F">
        <w:rPr>
          <w:rFonts w:ascii="Arial Narrow" w:hAnsi="Arial Narrow"/>
          <w:b/>
          <w:sz w:val="20"/>
          <w:szCs w:val="20"/>
        </w:rPr>
        <w:t xml:space="preserve"> </w:t>
      </w:r>
      <w:r>
        <w:rPr>
          <w:rFonts w:ascii="Arial Narrow" w:hAnsi="Arial Narrow"/>
          <w:b/>
          <w:sz w:val="20"/>
          <w:szCs w:val="20"/>
        </w:rPr>
        <w:t>by</w:t>
      </w:r>
      <w:r w:rsidRPr="00A8005F">
        <w:rPr>
          <w:rFonts w:ascii="Arial Narrow" w:hAnsi="Arial Narrow"/>
          <w:b/>
          <w:sz w:val="20"/>
          <w:szCs w:val="20"/>
        </w:rPr>
        <w:t xml:space="preserve"> patiromer starting dose</w:t>
      </w:r>
      <w:r>
        <w:rPr>
          <w:rFonts w:ascii="Arial Narrow" w:hAnsi="Arial Narrow"/>
          <w:b/>
          <w:sz w:val="20"/>
          <w:szCs w:val="20"/>
        </w:rPr>
        <w:t xml:space="preserve"> (ITT)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A summary of the numbers of patients with serum potassium concentrations &gt; 5.5 mmol/L in the AMETHYST-DN long term maintenance period, by visit (4 weekly), for Stratum 1 and 2, by patiromer starting dose (ITT)"/>
      </w:tblPr>
      <w:tblGrid>
        <w:gridCol w:w="1117"/>
        <w:gridCol w:w="979"/>
        <w:gridCol w:w="1010"/>
        <w:gridCol w:w="979"/>
        <w:gridCol w:w="982"/>
        <w:gridCol w:w="1010"/>
        <w:gridCol w:w="980"/>
        <w:gridCol w:w="980"/>
        <w:gridCol w:w="980"/>
      </w:tblGrid>
      <w:tr w:rsidR="00866EDF" w:rsidRPr="00D070E9" w:rsidTr="00F92E72">
        <w:trPr>
          <w:trHeight w:val="315"/>
          <w:tblHeader/>
          <w:jc w:val="center"/>
        </w:trPr>
        <w:tc>
          <w:tcPr>
            <w:tcW w:w="623" w:type="pct"/>
            <w:vMerge w:val="restart"/>
            <w:vAlign w:val="center"/>
          </w:tcPr>
          <w:p w:rsidR="00866EDF" w:rsidRPr="00D070E9" w:rsidRDefault="00866EDF" w:rsidP="00F92E72">
            <w:pPr>
              <w:keepNext/>
              <w:keepLines/>
              <w:widowControl/>
              <w:ind w:right="-66"/>
              <w:rPr>
                <w:rFonts w:ascii="Arial Narrow" w:hAnsi="Arial Narrow" w:cs="Calibri"/>
                <w:b/>
                <w:color w:val="000000"/>
                <w:sz w:val="20"/>
                <w:szCs w:val="20"/>
                <w:lang w:eastAsia="en-AU"/>
              </w:rPr>
            </w:pPr>
          </w:p>
        </w:tc>
        <w:tc>
          <w:tcPr>
            <w:tcW w:w="2189" w:type="pct"/>
            <w:gridSpan w:val="4"/>
            <w:tcBorders>
              <w:right w:val="double" w:sz="4" w:space="0" w:color="auto"/>
            </w:tcBorders>
            <w:vAlign w:val="center"/>
          </w:tcPr>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Stratum 1</w:t>
            </w:r>
          </w:p>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(&gt; 5.0 – 5.5 mmol/L)</w:t>
            </w:r>
          </w:p>
        </w:tc>
        <w:tc>
          <w:tcPr>
            <w:tcW w:w="2189" w:type="pct"/>
            <w:gridSpan w:val="4"/>
            <w:tcBorders>
              <w:left w:val="double" w:sz="4" w:space="0" w:color="auto"/>
            </w:tcBorders>
            <w:shd w:val="clear" w:color="auto" w:fill="auto"/>
            <w:noWrap/>
            <w:vAlign w:val="center"/>
          </w:tcPr>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Stratum 2</w:t>
            </w:r>
          </w:p>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(&gt; 5.5 - &lt; 6.0 mmol/L)</w:t>
            </w:r>
          </w:p>
        </w:tc>
      </w:tr>
      <w:tr w:rsidR="00866EDF" w:rsidRPr="00D070E9" w:rsidTr="00F92E72">
        <w:trPr>
          <w:trHeight w:val="315"/>
          <w:tblHeader/>
          <w:jc w:val="center"/>
        </w:trPr>
        <w:tc>
          <w:tcPr>
            <w:tcW w:w="623" w:type="pct"/>
            <w:vMerge/>
            <w:vAlign w:val="center"/>
          </w:tcPr>
          <w:p w:rsidR="00866EDF" w:rsidRPr="00D070E9" w:rsidRDefault="00866EDF" w:rsidP="00F92E72">
            <w:pPr>
              <w:keepNext/>
              <w:keepLines/>
              <w:widowControl/>
              <w:ind w:right="-66"/>
              <w:rPr>
                <w:rFonts w:ascii="Arial Narrow" w:hAnsi="Arial Narrow" w:cs="Calibri"/>
                <w:b/>
                <w:color w:val="000000"/>
                <w:sz w:val="20"/>
                <w:szCs w:val="20"/>
                <w:lang w:eastAsia="en-AU"/>
              </w:rPr>
            </w:pPr>
          </w:p>
        </w:tc>
        <w:tc>
          <w:tcPr>
            <w:tcW w:w="547" w:type="pct"/>
            <w:vAlign w:val="center"/>
          </w:tcPr>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 xml:space="preserve">8.4 </w:t>
            </w:r>
          </w:p>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g/day</w:t>
            </w:r>
          </w:p>
        </w:tc>
        <w:tc>
          <w:tcPr>
            <w:tcW w:w="547" w:type="pct"/>
            <w:shd w:val="clear" w:color="auto" w:fill="auto"/>
            <w:noWrap/>
            <w:vAlign w:val="center"/>
          </w:tcPr>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16.8 g/day</w:t>
            </w:r>
          </w:p>
        </w:tc>
        <w:tc>
          <w:tcPr>
            <w:tcW w:w="547" w:type="pct"/>
            <w:shd w:val="clear" w:color="auto" w:fill="auto"/>
            <w:noWrap/>
            <w:vAlign w:val="center"/>
          </w:tcPr>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25.2</w:t>
            </w:r>
          </w:p>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g/day</w:t>
            </w:r>
          </w:p>
        </w:tc>
        <w:tc>
          <w:tcPr>
            <w:tcW w:w="548" w:type="pct"/>
            <w:tcBorders>
              <w:right w:val="double" w:sz="4" w:space="0" w:color="auto"/>
            </w:tcBorders>
            <w:shd w:val="clear" w:color="auto" w:fill="auto"/>
            <w:noWrap/>
            <w:vAlign w:val="center"/>
          </w:tcPr>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Total</w:t>
            </w:r>
          </w:p>
        </w:tc>
        <w:tc>
          <w:tcPr>
            <w:tcW w:w="547" w:type="pct"/>
            <w:tcBorders>
              <w:left w:val="double" w:sz="4" w:space="0" w:color="auto"/>
            </w:tcBorders>
            <w:shd w:val="clear" w:color="auto" w:fill="auto"/>
            <w:noWrap/>
            <w:vAlign w:val="center"/>
          </w:tcPr>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16.8 g/day</w:t>
            </w:r>
          </w:p>
        </w:tc>
        <w:tc>
          <w:tcPr>
            <w:tcW w:w="547" w:type="pct"/>
            <w:shd w:val="clear" w:color="auto" w:fill="auto"/>
            <w:noWrap/>
            <w:vAlign w:val="center"/>
          </w:tcPr>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25.2</w:t>
            </w:r>
          </w:p>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g/day</w:t>
            </w:r>
          </w:p>
        </w:tc>
        <w:tc>
          <w:tcPr>
            <w:tcW w:w="547" w:type="pct"/>
            <w:shd w:val="clear" w:color="auto" w:fill="auto"/>
            <w:noWrap/>
            <w:vAlign w:val="center"/>
          </w:tcPr>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33.6</w:t>
            </w:r>
          </w:p>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g/day</w:t>
            </w:r>
          </w:p>
        </w:tc>
        <w:tc>
          <w:tcPr>
            <w:tcW w:w="548" w:type="pct"/>
            <w:shd w:val="clear" w:color="auto" w:fill="auto"/>
            <w:noWrap/>
            <w:vAlign w:val="center"/>
          </w:tcPr>
          <w:p w:rsidR="00866EDF" w:rsidRPr="00D070E9" w:rsidRDefault="00866EDF" w:rsidP="00F92E72">
            <w:pPr>
              <w:keepNext/>
              <w:keepLines/>
              <w:widowControl/>
              <w:jc w:val="center"/>
              <w:rPr>
                <w:rFonts w:ascii="Arial Narrow" w:hAnsi="Arial Narrow"/>
                <w:b/>
                <w:sz w:val="20"/>
                <w:szCs w:val="20"/>
              </w:rPr>
            </w:pPr>
            <w:r w:rsidRPr="00D070E9">
              <w:rPr>
                <w:rFonts w:ascii="Arial Narrow" w:hAnsi="Arial Narrow"/>
                <w:b/>
                <w:sz w:val="20"/>
                <w:szCs w:val="20"/>
              </w:rPr>
              <w:t>Total</w:t>
            </w:r>
          </w:p>
        </w:tc>
      </w:tr>
      <w:tr w:rsidR="00866EDF" w:rsidRPr="00D070E9" w:rsidTr="00F92E72">
        <w:trPr>
          <w:trHeight w:val="166"/>
          <w:jc w:val="center"/>
        </w:trPr>
        <w:tc>
          <w:tcPr>
            <w:tcW w:w="623" w:type="pct"/>
            <w:tcBorders>
              <w:bottom w:val="single" w:sz="4" w:space="0" w:color="auto"/>
            </w:tcBorders>
            <w:vAlign w:val="center"/>
          </w:tcPr>
          <w:p w:rsidR="00866EDF" w:rsidRPr="00D070E9" w:rsidRDefault="00866EDF" w:rsidP="00F92E72">
            <w:pPr>
              <w:keepNext/>
              <w:keepLines/>
              <w:widowControl/>
              <w:ind w:right="-66"/>
              <w:rPr>
                <w:rFonts w:ascii="Arial Narrow" w:hAnsi="Arial Narrow" w:cs="Calibri"/>
                <w:color w:val="000000"/>
                <w:sz w:val="20"/>
                <w:szCs w:val="20"/>
                <w:lang w:eastAsia="en-AU"/>
              </w:rPr>
            </w:pPr>
            <w:r w:rsidRPr="00D070E9">
              <w:rPr>
                <w:rFonts w:ascii="Arial Narrow" w:hAnsi="Arial Narrow" w:cs="Calibri"/>
                <w:color w:val="000000"/>
                <w:sz w:val="20"/>
                <w:szCs w:val="20"/>
                <w:lang w:eastAsia="en-AU"/>
              </w:rPr>
              <w:t>N</w:t>
            </w:r>
          </w:p>
        </w:tc>
        <w:tc>
          <w:tcPr>
            <w:tcW w:w="547" w:type="pct"/>
            <w:tcBorders>
              <w:bottom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58</w:t>
            </w:r>
          </w:p>
        </w:tc>
        <w:tc>
          <w:tcPr>
            <w:tcW w:w="547" w:type="pct"/>
            <w:tcBorders>
              <w:bottom w:val="single" w:sz="4" w:space="0" w:color="auto"/>
            </w:tcBorders>
            <w:shd w:val="clear" w:color="auto" w:fill="auto"/>
            <w:noWrap/>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63</w:t>
            </w:r>
          </w:p>
        </w:tc>
        <w:tc>
          <w:tcPr>
            <w:tcW w:w="547" w:type="pct"/>
            <w:tcBorders>
              <w:bottom w:val="single" w:sz="4" w:space="0" w:color="auto"/>
            </w:tcBorders>
            <w:shd w:val="clear" w:color="auto" w:fill="auto"/>
            <w:noWrap/>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59</w:t>
            </w:r>
          </w:p>
        </w:tc>
        <w:tc>
          <w:tcPr>
            <w:tcW w:w="548" w:type="pct"/>
            <w:tcBorders>
              <w:bottom w:val="single" w:sz="4" w:space="0" w:color="auto"/>
              <w:right w:val="double" w:sz="4" w:space="0" w:color="auto"/>
            </w:tcBorders>
            <w:shd w:val="clear" w:color="auto" w:fill="auto"/>
            <w:noWrap/>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180</w:t>
            </w:r>
          </w:p>
        </w:tc>
        <w:tc>
          <w:tcPr>
            <w:tcW w:w="547" w:type="pct"/>
            <w:tcBorders>
              <w:left w:val="double" w:sz="4" w:space="0" w:color="auto"/>
              <w:bottom w:val="single" w:sz="4" w:space="0" w:color="auto"/>
            </w:tcBorders>
            <w:shd w:val="clear" w:color="auto" w:fill="auto"/>
            <w:noWrap/>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22</w:t>
            </w:r>
          </w:p>
        </w:tc>
        <w:tc>
          <w:tcPr>
            <w:tcW w:w="547" w:type="pct"/>
            <w:tcBorders>
              <w:bottom w:val="single" w:sz="4" w:space="0" w:color="auto"/>
            </w:tcBorders>
            <w:shd w:val="clear" w:color="auto" w:fill="auto"/>
            <w:noWrap/>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24</w:t>
            </w:r>
          </w:p>
        </w:tc>
        <w:tc>
          <w:tcPr>
            <w:tcW w:w="547" w:type="pct"/>
            <w:tcBorders>
              <w:bottom w:val="single" w:sz="4" w:space="0" w:color="auto"/>
            </w:tcBorders>
            <w:shd w:val="clear" w:color="auto" w:fill="auto"/>
            <w:noWrap/>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20</w:t>
            </w:r>
          </w:p>
        </w:tc>
        <w:tc>
          <w:tcPr>
            <w:tcW w:w="548" w:type="pct"/>
            <w:tcBorders>
              <w:bottom w:val="single" w:sz="4" w:space="0" w:color="auto"/>
            </w:tcBorders>
            <w:shd w:val="clear" w:color="auto" w:fill="auto"/>
            <w:noWrap/>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66</w:t>
            </w:r>
          </w:p>
        </w:tc>
      </w:tr>
      <w:tr w:rsidR="00866EDF" w:rsidRPr="00D070E9" w:rsidTr="00F92E72">
        <w:trPr>
          <w:trHeight w:val="166"/>
          <w:jc w:val="center"/>
        </w:trPr>
        <w:tc>
          <w:tcPr>
            <w:tcW w:w="623" w:type="pct"/>
            <w:tcBorders>
              <w:bottom w:val="single" w:sz="4" w:space="0" w:color="auto"/>
            </w:tcBorders>
            <w:vAlign w:val="center"/>
          </w:tcPr>
          <w:p w:rsidR="00866EDF" w:rsidRPr="00D070E9" w:rsidRDefault="00866EDF" w:rsidP="00F92E72">
            <w:pPr>
              <w:keepNext/>
              <w:keepLines/>
              <w:widowControl/>
              <w:ind w:right="-66"/>
              <w:rPr>
                <w:rFonts w:ascii="Arial Narrow" w:hAnsi="Arial Narrow" w:cs="Calibri"/>
                <w:color w:val="000000"/>
                <w:sz w:val="20"/>
                <w:szCs w:val="20"/>
                <w:lang w:eastAsia="en-AU"/>
              </w:rPr>
            </w:pPr>
            <w:r w:rsidRPr="00D070E9">
              <w:rPr>
                <w:rFonts w:ascii="Arial Narrow" w:hAnsi="Arial Narrow" w:cs="Calibri"/>
                <w:color w:val="000000"/>
                <w:sz w:val="20"/>
                <w:szCs w:val="20"/>
                <w:lang w:eastAsia="en-AU"/>
              </w:rPr>
              <w:t xml:space="preserve">Week 12 </w:t>
            </w:r>
          </w:p>
        </w:tc>
        <w:tc>
          <w:tcPr>
            <w:tcW w:w="547" w:type="pct"/>
            <w:tcBorders>
              <w:bottom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w:t>
            </w:r>
          </w:p>
        </w:tc>
        <w:tc>
          <w:tcPr>
            <w:tcW w:w="547" w:type="pct"/>
            <w:tcBorders>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cs="Calibri"/>
                <w:color w:val="000000"/>
                <w:sz w:val="20"/>
                <w:szCs w:val="20"/>
                <w:lang w:eastAsia="en-AU"/>
              </w:rPr>
            </w:pPr>
            <w:r w:rsidRPr="00D070E9">
              <w:rPr>
                <w:rFonts w:ascii="Arial Narrow" w:hAnsi="Arial Narrow" w:cs="Calibri"/>
                <w:color w:val="000000"/>
                <w:sz w:val="20"/>
                <w:szCs w:val="20"/>
                <w:lang w:eastAsia="en-AU"/>
              </w:rPr>
              <w:t>3</w:t>
            </w:r>
          </w:p>
        </w:tc>
        <w:tc>
          <w:tcPr>
            <w:tcW w:w="547" w:type="pct"/>
            <w:tcBorders>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cs="Calibri"/>
                <w:color w:val="000000"/>
                <w:sz w:val="20"/>
                <w:szCs w:val="20"/>
                <w:lang w:eastAsia="en-AU"/>
              </w:rPr>
            </w:pPr>
            <w:r w:rsidRPr="00D070E9">
              <w:rPr>
                <w:rFonts w:ascii="Arial Narrow" w:hAnsi="Arial Narrow" w:cs="Calibri"/>
                <w:color w:val="000000"/>
                <w:sz w:val="20"/>
                <w:szCs w:val="20"/>
                <w:lang w:eastAsia="en-AU"/>
              </w:rPr>
              <w:t>1</w:t>
            </w:r>
          </w:p>
        </w:tc>
        <w:tc>
          <w:tcPr>
            <w:tcW w:w="548" w:type="pct"/>
            <w:tcBorders>
              <w:bottom w:val="single" w:sz="4" w:space="0" w:color="auto"/>
              <w:right w:val="doub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5 (2.8%)</w:t>
            </w:r>
          </w:p>
        </w:tc>
        <w:tc>
          <w:tcPr>
            <w:tcW w:w="547" w:type="pct"/>
            <w:tcBorders>
              <w:left w:val="doub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w:t>
            </w:r>
          </w:p>
        </w:tc>
        <w:tc>
          <w:tcPr>
            <w:tcW w:w="547" w:type="pct"/>
            <w:tcBorders>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w:t>
            </w:r>
          </w:p>
        </w:tc>
        <w:tc>
          <w:tcPr>
            <w:tcW w:w="548" w:type="pct"/>
            <w:tcBorders>
              <w:bottom w:val="sing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3 (4.5%)</w:t>
            </w:r>
          </w:p>
        </w:tc>
      </w:tr>
      <w:tr w:rsidR="00866EDF" w:rsidRPr="00D070E9" w:rsidTr="00F92E72">
        <w:trPr>
          <w:trHeight w:val="57"/>
          <w:jc w:val="center"/>
        </w:trPr>
        <w:tc>
          <w:tcPr>
            <w:tcW w:w="623" w:type="pct"/>
            <w:tcBorders>
              <w:top w:val="single" w:sz="4" w:space="0" w:color="auto"/>
              <w:bottom w:val="single" w:sz="4" w:space="0" w:color="auto"/>
            </w:tcBorders>
            <w:vAlign w:val="center"/>
          </w:tcPr>
          <w:p w:rsidR="00866EDF" w:rsidRPr="00D070E9" w:rsidRDefault="00866EDF" w:rsidP="00F92E72">
            <w:pPr>
              <w:keepNext/>
              <w:keepLines/>
              <w:widowControl/>
              <w:ind w:right="-66"/>
              <w:rPr>
                <w:rFonts w:ascii="Arial Narrow" w:hAnsi="Arial Narrow"/>
                <w:sz w:val="20"/>
                <w:szCs w:val="20"/>
              </w:rPr>
            </w:pPr>
            <w:r w:rsidRPr="00D070E9">
              <w:rPr>
                <w:rFonts w:ascii="Arial Narrow" w:hAnsi="Arial Narrow"/>
                <w:sz w:val="20"/>
                <w:szCs w:val="20"/>
              </w:rPr>
              <w:t xml:space="preserve">Week 16 </w:t>
            </w:r>
          </w:p>
        </w:tc>
        <w:tc>
          <w:tcPr>
            <w:tcW w:w="547" w:type="pct"/>
            <w:tcBorders>
              <w:top w:val="single" w:sz="4" w:space="0" w:color="auto"/>
              <w:bottom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3</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right w:val="doub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5 (2.8%)</w:t>
            </w:r>
          </w:p>
        </w:tc>
        <w:tc>
          <w:tcPr>
            <w:tcW w:w="547" w:type="pct"/>
            <w:tcBorders>
              <w:top w:val="single" w:sz="4" w:space="0" w:color="auto"/>
              <w:left w:val="doub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w:t>
            </w:r>
          </w:p>
        </w:tc>
        <w:tc>
          <w:tcPr>
            <w:tcW w:w="548" w:type="pct"/>
            <w:tcBorders>
              <w:top w:val="single" w:sz="4" w:space="0" w:color="auto"/>
              <w:bottom w:val="sing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 (3.0%)</w:t>
            </w:r>
          </w:p>
        </w:tc>
      </w:tr>
      <w:tr w:rsidR="00866EDF" w:rsidRPr="00D070E9" w:rsidTr="00F92E72">
        <w:trPr>
          <w:trHeight w:val="57"/>
          <w:jc w:val="center"/>
        </w:trPr>
        <w:tc>
          <w:tcPr>
            <w:tcW w:w="623" w:type="pct"/>
            <w:tcBorders>
              <w:top w:val="single" w:sz="4" w:space="0" w:color="auto"/>
              <w:bottom w:val="single" w:sz="4" w:space="0" w:color="auto"/>
            </w:tcBorders>
            <w:vAlign w:val="center"/>
          </w:tcPr>
          <w:p w:rsidR="00866EDF" w:rsidRPr="00D070E9" w:rsidRDefault="00866EDF" w:rsidP="00F92E72">
            <w:pPr>
              <w:keepNext/>
              <w:keepLines/>
              <w:widowControl/>
              <w:ind w:right="-66"/>
              <w:rPr>
                <w:rFonts w:ascii="Arial Narrow" w:hAnsi="Arial Narrow"/>
                <w:sz w:val="20"/>
                <w:szCs w:val="20"/>
              </w:rPr>
            </w:pPr>
            <w:r w:rsidRPr="00D070E9">
              <w:rPr>
                <w:rFonts w:ascii="Arial Narrow" w:hAnsi="Arial Narrow"/>
                <w:sz w:val="20"/>
                <w:szCs w:val="20"/>
              </w:rPr>
              <w:t xml:space="preserve">Week 20 </w:t>
            </w:r>
          </w:p>
        </w:tc>
        <w:tc>
          <w:tcPr>
            <w:tcW w:w="547" w:type="pct"/>
            <w:tcBorders>
              <w:top w:val="single" w:sz="4" w:space="0" w:color="auto"/>
              <w:bottom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cs="Calibri"/>
                <w:color w:val="000000"/>
                <w:sz w:val="20"/>
                <w:szCs w:val="20"/>
                <w:lang w:eastAsia="en-AU"/>
              </w:rPr>
              <w:t xml:space="preserve">1 </w:t>
            </w:r>
          </w:p>
        </w:tc>
        <w:tc>
          <w:tcPr>
            <w:tcW w:w="548" w:type="pct"/>
            <w:tcBorders>
              <w:top w:val="single" w:sz="4" w:space="0" w:color="auto"/>
              <w:bottom w:val="single" w:sz="4" w:space="0" w:color="auto"/>
              <w:right w:val="doub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 (0.6%)</w:t>
            </w:r>
          </w:p>
        </w:tc>
        <w:tc>
          <w:tcPr>
            <w:tcW w:w="547" w:type="pct"/>
            <w:tcBorders>
              <w:top w:val="single" w:sz="4" w:space="0" w:color="auto"/>
              <w:left w:val="doub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0</w:t>
            </w:r>
          </w:p>
        </w:tc>
      </w:tr>
      <w:tr w:rsidR="00866EDF" w:rsidRPr="00D070E9" w:rsidTr="00F92E72">
        <w:trPr>
          <w:trHeight w:val="57"/>
          <w:jc w:val="center"/>
        </w:trPr>
        <w:tc>
          <w:tcPr>
            <w:tcW w:w="623" w:type="pct"/>
            <w:tcBorders>
              <w:top w:val="single" w:sz="4" w:space="0" w:color="auto"/>
              <w:bottom w:val="single" w:sz="4" w:space="0" w:color="auto"/>
            </w:tcBorders>
            <w:vAlign w:val="center"/>
          </w:tcPr>
          <w:p w:rsidR="00866EDF" w:rsidRPr="00D070E9" w:rsidRDefault="00866EDF" w:rsidP="00F92E72">
            <w:pPr>
              <w:keepNext/>
              <w:keepLines/>
              <w:widowControl/>
              <w:ind w:right="-66"/>
              <w:rPr>
                <w:rFonts w:ascii="Arial Narrow" w:hAnsi="Arial Narrow"/>
                <w:sz w:val="20"/>
                <w:szCs w:val="20"/>
              </w:rPr>
            </w:pPr>
            <w:r w:rsidRPr="00D070E9">
              <w:rPr>
                <w:rFonts w:ascii="Arial Narrow" w:hAnsi="Arial Narrow"/>
                <w:sz w:val="20"/>
                <w:szCs w:val="20"/>
              </w:rPr>
              <w:t xml:space="preserve">Week 24 </w:t>
            </w:r>
          </w:p>
        </w:tc>
        <w:tc>
          <w:tcPr>
            <w:tcW w:w="547" w:type="pct"/>
            <w:tcBorders>
              <w:top w:val="single" w:sz="4" w:space="0" w:color="auto"/>
              <w:bottom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cs="Calibri"/>
                <w:color w:val="000000"/>
                <w:sz w:val="20"/>
                <w:szCs w:val="20"/>
                <w:lang w:eastAsia="en-AU"/>
              </w:rPr>
              <w:t xml:space="preserve">1 </w:t>
            </w:r>
          </w:p>
        </w:tc>
        <w:tc>
          <w:tcPr>
            <w:tcW w:w="548" w:type="pct"/>
            <w:tcBorders>
              <w:top w:val="single" w:sz="4" w:space="0" w:color="auto"/>
              <w:bottom w:val="single" w:sz="4" w:space="0" w:color="auto"/>
              <w:right w:val="doub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3 (1.7%)</w:t>
            </w:r>
          </w:p>
        </w:tc>
        <w:tc>
          <w:tcPr>
            <w:tcW w:w="547" w:type="pct"/>
            <w:tcBorders>
              <w:top w:val="single" w:sz="4" w:space="0" w:color="auto"/>
              <w:left w:val="doub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 (3.0%)</w:t>
            </w:r>
          </w:p>
        </w:tc>
      </w:tr>
      <w:tr w:rsidR="00866EDF" w:rsidRPr="00D070E9" w:rsidTr="00F92E72">
        <w:trPr>
          <w:trHeight w:val="57"/>
          <w:jc w:val="center"/>
        </w:trPr>
        <w:tc>
          <w:tcPr>
            <w:tcW w:w="623" w:type="pct"/>
            <w:tcBorders>
              <w:top w:val="single" w:sz="4" w:space="0" w:color="auto"/>
              <w:bottom w:val="single" w:sz="4" w:space="0" w:color="auto"/>
            </w:tcBorders>
            <w:vAlign w:val="center"/>
          </w:tcPr>
          <w:p w:rsidR="00866EDF" w:rsidRPr="00D070E9" w:rsidRDefault="00866EDF" w:rsidP="00F92E72">
            <w:pPr>
              <w:keepNext/>
              <w:keepLines/>
              <w:widowControl/>
              <w:ind w:right="-66"/>
              <w:rPr>
                <w:rFonts w:ascii="Arial Narrow" w:hAnsi="Arial Narrow"/>
                <w:sz w:val="20"/>
                <w:szCs w:val="20"/>
              </w:rPr>
            </w:pPr>
            <w:r w:rsidRPr="00D070E9">
              <w:rPr>
                <w:rFonts w:ascii="Arial Narrow" w:hAnsi="Arial Narrow"/>
                <w:sz w:val="20"/>
                <w:szCs w:val="20"/>
              </w:rPr>
              <w:t xml:space="preserve">Week 28 </w:t>
            </w:r>
          </w:p>
        </w:tc>
        <w:tc>
          <w:tcPr>
            <w:tcW w:w="547" w:type="pct"/>
            <w:tcBorders>
              <w:top w:val="single" w:sz="4" w:space="0" w:color="auto"/>
              <w:bottom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right w:val="doub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0</w:t>
            </w:r>
          </w:p>
        </w:tc>
        <w:tc>
          <w:tcPr>
            <w:tcW w:w="547" w:type="pct"/>
            <w:tcBorders>
              <w:top w:val="single" w:sz="4" w:space="0" w:color="auto"/>
              <w:left w:val="doub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0</w:t>
            </w:r>
          </w:p>
        </w:tc>
      </w:tr>
      <w:tr w:rsidR="00866EDF" w:rsidRPr="00D070E9" w:rsidTr="00F92E72">
        <w:trPr>
          <w:trHeight w:val="57"/>
          <w:jc w:val="center"/>
        </w:trPr>
        <w:tc>
          <w:tcPr>
            <w:tcW w:w="623" w:type="pct"/>
            <w:tcBorders>
              <w:top w:val="single" w:sz="4" w:space="0" w:color="auto"/>
              <w:bottom w:val="single" w:sz="4" w:space="0" w:color="auto"/>
            </w:tcBorders>
            <w:vAlign w:val="center"/>
          </w:tcPr>
          <w:p w:rsidR="00866EDF" w:rsidRPr="00D070E9" w:rsidRDefault="00866EDF" w:rsidP="00F92E72">
            <w:pPr>
              <w:keepNext/>
              <w:keepLines/>
              <w:widowControl/>
              <w:ind w:right="-66"/>
              <w:rPr>
                <w:rFonts w:ascii="Arial Narrow" w:hAnsi="Arial Narrow"/>
                <w:sz w:val="20"/>
                <w:szCs w:val="20"/>
              </w:rPr>
            </w:pPr>
            <w:r w:rsidRPr="00D070E9">
              <w:rPr>
                <w:rFonts w:ascii="Arial Narrow" w:hAnsi="Arial Narrow"/>
                <w:sz w:val="20"/>
                <w:szCs w:val="20"/>
              </w:rPr>
              <w:t xml:space="preserve">Week 32 </w:t>
            </w:r>
          </w:p>
        </w:tc>
        <w:tc>
          <w:tcPr>
            <w:tcW w:w="547" w:type="pct"/>
            <w:tcBorders>
              <w:top w:val="single" w:sz="4" w:space="0" w:color="auto"/>
              <w:bottom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 xml:space="preserve">1 </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w:t>
            </w:r>
          </w:p>
        </w:tc>
        <w:tc>
          <w:tcPr>
            <w:tcW w:w="548" w:type="pct"/>
            <w:tcBorders>
              <w:top w:val="single" w:sz="4" w:space="0" w:color="auto"/>
              <w:bottom w:val="single" w:sz="4" w:space="0" w:color="auto"/>
              <w:right w:val="doub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3 (1.7%)</w:t>
            </w:r>
          </w:p>
        </w:tc>
        <w:tc>
          <w:tcPr>
            <w:tcW w:w="547" w:type="pct"/>
            <w:tcBorders>
              <w:top w:val="single" w:sz="4" w:space="0" w:color="auto"/>
              <w:left w:val="doub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0</w:t>
            </w:r>
          </w:p>
        </w:tc>
      </w:tr>
      <w:tr w:rsidR="00866EDF" w:rsidRPr="00D070E9" w:rsidTr="00F92E72">
        <w:trPr>
          <w:trHeight w:val="57"/>
          <w:jc w:val="center"/>
        </w:trPr>
        <w:tc>
          <w:tcPr>
            <w:tcW w:w="623" w:type="pct"/>
            <w:tcBorders>
              <w:top w:val="single" w:sz="4" w:space="0" w:color="auto"/>
              <w:bottom w:val="single" w:sz="4" w:space="0" w:color="auto"/>
            </w:tcBorders>
            <w:vAlign w:val="center"/>
          </w:tcPr>
          <w:p w:rsidR="00866EDF" w:rsidRPr="00D070E9" w:rsidRDefault="00866EDF" w:rsidP="00F92E72">
            <w:pPr>
              <w:keepNext/>
              <w:keepLines/>
              <w:widowControl/>
              <w:ind w:right="-66"/>
              <w:rPr>
                <w:rFonts w:ascii="Arial Narrow" w:hAnsi="Arial Narrow"/>
                <w:sz w:val="20"/>
                <w:szCs w:val="20"/>
              </w:rPr>
            </w:pPr>
            <w:r w:rsidRPr="00D070E9">
              <w:rPr>
                <w:rFonts w:ascii="Arial Narrow" w:hAnsi="Arial Narrow"/>
                <w:sz w:val="20"/>
                <w:szCs w:val="20"/>
              </w:rPr>
              <w:t xml:space="preserve">Week 36 </w:t>
            </w:r>
          </w:p>
        </w:tc>
        <w:tc>
          <w:tcPr>
            <w:tcW w:w="547" w:type="pct"/>
            <w:tcBorders>
              <w:top w:val="single" w:sz="4" w:space="0" w:color="auto"/>
              <w:bottom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right w:val="doub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 (1.1%)</w:t>
            </w:r>
          </w:p>
        </w:tc>
        <w:tc>
          <w:tcPr>
            <w:tcW w:w="547" w:type="pct"/>
            <w:tcBorders>
              <w:top w:val="single" w:sz="4" w:space="0" w:color="auto"/>
              <w:left w:val="doub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0</w:t>
            </w:r>
          </w:p>
        </w:tc>
      </w:tr>
      <w:tr w:rsidR="00866EDF" w:rsidRPr="00D070E9" w:rsidTr="00F92E72">
        <w:trPr>
          <w:trHeight w:val="57"/>
          <w:jc w:val="center"/>
        </w:trPr>
        <w:tc>
          <w:tcPr>
            <w:tcW w:w="623" w:type="pct"/>
            <w:tcBorders>
              <w:top w:val="single" w:sz="4" w:space="0" w:color="auto"/>
              <w:bottom w:val="single" w:sz="4" w:space="0" w:color="auto"/>
            </w:tcBorders>
            <w:vAlign w:val="center"/>
          </w:tcPr>
          <w:p w:rsidR="00866EDF" w:rsidRPr="00D070E9" w:rsidRDefault="00866EDF" w:rsidP="00F92E72">
            <w:pPr>
              <w:keepNext/>
              <w:keepLines/>
              <w:widowControl/>
              <w:ind w:right="-66"/>
              <w:rPr>
                <w:rFonts w:ascii="Arial Narrow" w:hAnsi="Arial Narrow" w:cs="Calibri"/>
                <w:color w:val="000000"/>
                <w:sz w:val="20"/>
                <w:szCs w:val="20"/>
                <w:lang w:eastAsia="en-AU"/>
              </w:rPr>
            </w:pPr>
            <w:r w:rsidRPr="00D070E9">
              <w:rPr>
                <w:rFonts w:ascii="Arial Narrow" w:hAnsi="Arial Narrow" w:cs="Calibri"/>
                <w:color w:val="000000"/>
                <w:sz w:val="20"/>
                <w:szCs w:val="20"/>
                <w:lang w:eastAsia="en-AU"/>
              </w:rPr>
              <w:t xml:space="preserve">Week 40 </w:t>
            </w:r>
          </w:p>
        </w:tc>
        <w:tc>
          <w:tcPr>
            <w:tcW w:w="547" w:type="pct"/>
            <w:tcBorders>
              <w:top w:val="single" w:sz="4" w:space="0" w:color="auto"/>
              <w:bottom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right w:val="doub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0</w:t>
            </w:r>
          </w:p>
        </w:tc>
        <w:tc>
          <w:tcPr>
            <w:tcW w:w="547" w:type="pct"/>
            <w:tcBorders>
              <w:top w:val="single" w:sz="4" w:space="0" w:color="auto"/>
              <w:left w:val="doub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w:t>
            </w:r>
          </w:p>
        </w:tc>
        <w:tc>
          <w:tcPr>
            <w:tcW w:w="548" w:type="pct"/>
            <w:tcBorders>
              <w:top w:val="single" w:sz="4" w:space="0" w:color="auto"/>
              <w:bottom w:val="sing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 (3.0%)</w:t>
            </w:r>
          </w:p>
        </w:tc>
      </w:tr>
      <w:tr w:rsidR="00866EDF" w:rsidRPr="00D070E9" w:rsidTr="00F92E72">
        <w:trPr>
          <w:trHeight w:val="129"/>
          <w:jc w:val="center"/>
        </w:trPr>
        <w:tc>
          <w:tcPr>
            <w:tcW w:w="623" w:type="pct"/>
            <w:tcBorders>
              <w:top w:val="single" w:sz="4" w:space="0" w:color="auto"/>
              <w:bottom w:val="single" w:sz="4" w:space="0" w:color="auto"/>
            </w:tcBorders>
            <w:vAlign w:val="center"/>
          </w:tcPr>
          <w:p w:rsidR="00866EDF" w:rsidRPr="00D070E9" w:rsidRDefault="00866EDF" w:rsidP="00F92E72">
            <w:pPr>
              <w:keepNext/>
              <w:keepLines/>
              <w:widowControl/>
              <w:ind w:right="-66"/>
              <w:rPr>
                <w:rFonts w:ascii="Arial Narrow" w:hAnsi="Arial Narrow" w:cs="Calibri"/>
                <w:color w:val="000000"/>
                <w:sz w:val="20"/>
                <w:szCs w:val="20"/>
                <w:lang w:eastAsia="en-AU"/>
              </w:rPr>
            </w:pPr>
            <w:r w:rsidRPr="00D070E9">
              <w:rPr>
                <w:rFonts w:ascii="Arial Narrow" w:hAnsi="Arial Narrow" w:cs="Calibri"/>
                <w:color w:val="000000"/>
                <w:sz w:val="20"/>
                <w:szCs w:val="20"/>
                <w:lang w:eastAsia="en-AU"/>
              </w:rPr>
              <w:t xml:space="preserve">Week 44 </w:t>
            </w:r>
          </w:p>
        </w:tc>
        <w:tc>
          <w:tcPr>
            <w:tcW w:w="547" w:type="pct"/>
            <w:tcBorders>
              <w:top w:val="single" w:sz="4" w:space="0" w:color="auto"/>
              <w:bottom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right w:val="doub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0</w:t>
            </w:r>
          </w:p>
        </w:tc>
        <w:tc>
          <w:tcPr>
            <w:tcW w:w="547" w:type="pct"/>
            <w:tcBorders>
              <w:top w:val="single" w:sz="4" w:space="0" w:color="auto"/>
              <w:left w:val="doub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 (1.5%)</w:t>
            </w:r>
          </w:p>
        </w:tc>
      </w:tr>
      <w:tr w:rsidR="00866EDF" w:rsidRPr="00D070E9" w:rsidTr="00F92E72">
        <w:trPr>
          <w:trHeight w:val="57"/>
          <w:jc w:val="center"/>
        </w:trPr>
        <w:tc>
          <w:tcPr>
            <w:tcW w:w="623" w:type="pct"/>
            <w:tcBorders>
              <w:top w:val="single" w:sz="4" w:space="0" w:color="auto"/>
              <w:bottom w:val="single" w:sz="4" w:space="0" w:color="auto"/>
            </w:tcBorders>
            <w:vAlign w:val="center"/>
          </w:tcPr>
          <w:p w:rsidR="00866EDF" w:rsidRPr="00D070E9" w:rsidRDefault="00866EDF" w:rsidP="00F92E72">
            <w:pPr>
              <w:keepNext/>
              <w:keepLines/>
              <w:widowControl/>
              <w:ind w:right="-66"/>
              <w:rPr>
                <w:rFonts w:ascii="Arial Narrow" w:hAnsi="Arial Narrow" w:cs="Calibri"/>
                <w:color w:val="000000"/>
                <w:sz w:val="20"/>
                <w:szCs w:val="20"/>
                <w:lang w:eastAsia="en-AU"/>
              </w:rPr>
            </w:pPr>
            <w:r w:rsidRPr="00D070E9">
              <w:rPr>
                <w:rFonts w:ascii="Arial Narrow" w:hAnsi="Arial Narrow" w:cs="Calibri"/>
                <w:color w:val="000000"/>
                <w:sz w:val="20"/>
                <w:szCs w:val="20"/>
                <w:lang w:eastAsia="en-AU"/>
              </w:rPr>
              <w:t xml:space="preserve">Week 48 </w:t>
            </w:r>
          </w:p>
        </w:tc>
        <w:tc>
          <w:tcPr>
            <w:tcW w:w="547" w:type="pct"/>
            <w:tcBorders>
              <w:top w:val="single" w:sz="4" w:space="0" w:color="auto"/>
              <w:bottom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8" w:type="pct"/>
            <w:tcBorders>
              <w:top w:val="single" w:sz="4" w:space="0" w:color="auto"/>
              <w:bottom w:val="single" w:sz="4" w:space="0" w:color="auto"/>
              <w:right w:val="doub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 (0.6%)</w:t>
            </w:r>
          </w:p>
        </w:tc>
        <w:tc>
          <w:tcPr>
            <w:tcW w:w="547" w:type="pct"/>
            <w:tcBorders>
              <w:top w:val="single" w:sz="4" w:space="0" w:color="auto"/>
              <w:left w:val="doub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bottom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w:t>
            </w:r>
          </w:p>
        </w:tc>
        <w:tc>
          <w:tcPr>
            <w:tcW w:w="548" w:type="pct"/>
            <w:tcBorders>
              <w:top w:val="single" w:sz="4" w:space="0" w:color="auto"/>
              <w:bottom w:val="sing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 (3.0%)</w:t>
            </w:r>
          </w:p>
        </w:tc>
      </w:tr>
      <w:tr w:rsidR="00866EDF" w:rsidRPr="00D070E9" w:rsidTr="00F92E72">
        <w:trPr>
          <w:trHeight w:val="57"/>
          <w:jc w:val="center"/>
        </w:trPr>
        <w:tc>
          <w:tcPr>
            <w:tcW w:w="623" w:type="pct"/>
            <w:tcBorders>
              <w:top w:val="single" w:sz="4" w:space="0" w:color="auto"/>
            </w:tcBorders>
            <w:vAlign w:val="center"/>
          </w:tcPr>
          <w:p w:rsidR="00866EDF" w:rsidRPr="00D070E9" w:rsidRDefault="00866EDF" w:rsidP="00F92E72">
            <w:pPr>
              <w:keepNext/>
              <w:keepLines/>
              <w:widowControl/>
              <w:ind w:right="-66"/>
              <w:rPr>
                <w:rFonts w:ascii="Arial Narrow" w:hAnsi="Arial Narrow" w:cs="Calibri"/>
                <w:color w:val="000000"/>
                <w:sz w:val="20"/>
                <w:szCs w:val="20"/>
                <w:lang w:eastAsia="en-AU"/>
              </w:rPr>
            </w:pPr>
            <w:r w:rsidRPr="00D070E9">
              <w:rPr>
                <w:rFonts w:ascii="Arial Narrow" w:hAnsi="Arial Narrow" w:cs="Calibri"/>
                <w:color w:val="000000"/>
                <w:sz w:val="20"/>
                <w:szCs w:val="20"/>
                <w:lang w:eastAsia="en-AU"/>
              </w:rPr>
              <w:t xml:space="preserve">Week 52 </w:t>
            </w:r>
          </w:p>
        </w:tc>
        <w:tc>
          <w:tcPr>
            <w:tcW w:w="547" w:type="pct"/>
            <w:tcBorders>
              <w:top w:val="single" w:sz="4" w:space="0" w:color="auto"/>
            </w:tcBorders>
            <w:vAlign w:val="center"/>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w:t>
            </w:r>
          </w:p>
        </w:tc>
        <w:tc>
          <w:tcPr>
            <w:tcW w:w="547" w:type="pct"/>
            <w:tcBorders>
              <w:top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2</w:t>
            </w:r>
          </w:p>
        </w:tc>
        <w:tc>
          <w:tcPr>
            <w:tcW w:w="547" w:type="pct"/>
            <w:tcBorders>
              <w:top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w:t>
            </w:r>
          </w:p>
        </w:tc>
        <w:tc>
          <w:tcPr>
            <w:tcW w:w="548" w:type="pct"/>
            <w:tcBorders>
              <w:top w:val="single" w:sz="4" w:space="0" w:color="auto"/>
              <w:right w:val="doub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4 (2.2%)</w:t>
            </w:r>
          </w:p>
        </w:tc>
        <w:tc>
          <w:tcPr>
            <w:tcW w:w="547" w:type="pct"/>
            <w:tcBorders>
              <w:top w:val="single" w:sz="4" w:space="0" w:color="auto"/>
              <w:left w:val="doub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w:t>
            </w:r>
          </w:p>
        </w:tc>
        <w:tc>
          <w:tcPr>
            <w:tcW w:w="547" w:type="pct"/>
            <w:tcBorders>
              <w:top w:val="single" w:sz="4" w:space="0" w:color="auto"/>
            </w:tcBorders>
            <w:shd w:val="clear" w:color="auto" w:fill="auto"/>
            <w:noWrap/>
            <w:vAlign w:val="center"/>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w:t>
            </w:r>
          </w:p>
        </w:tc>
        <w:tc>
          <w:tcPr>
            <w:tcW w:w="548" w:type="pct"/>
            <w:tcBorders>
              <w:top w:val="single" w:sz="4" w:space="0" w:color="auto"/>
            </w:tcBorders>
            <w:shd w:val="clear" w:color="auto" w:fill="auto"/>
            <w:noWrap/>
            <w:hideMark/>
          </w:tcPr>
          <w:p w:rsidR="00866EDF" w:rsidRPr="00D070E9" w:rsidRDefault="00866EDF" w:rsidP="00F92E72">
            <w:pPr>
              <w:keepNext/>
              <w:keepLines/>
              <w:widowControl/>
              <w:jc w:val="center"/>
              <w:rPr>
                <w:rFonts w:ascii="Arial Narrow" w:hAnsi="Arial Narrow"/>
                <w:sz w:val="20"/>
                <w:szCs w:val="20"/>
              </w:rPr>
            </w:pPr>
            <w:r w:rsidRPr="00D070E9">
              <w:rPr>
                <w:rFonts w:ascii="Arial Narrow" w:hAnsi="Arial Narrow"/>
                <w:sz w:val="20"/>
                <w:szCs w:val="20"/>
              </w:rPr>
              <w:t>1 (1.5%)</w:t>
            </w:r>
          </w:p>
        </w:tc>
      </w:tr>
    </w:tbl>
    <w:p w:rsidR="00866EDF" w:rsidRDefault="00866EDF" w:rsidP="00F92E72">
      <w:pPr>
        <w:keepNext/>
        <w:keepLines/>
        <w:widowControl/>
        <w:rPr>
          <w:rFonts w:ascii="Arial Narrow" w:hAnsi="Arial Narrow"/>
          <w:sz w:val="18"/>
          <w:szCs w:val="18"/>
        </w:rPr>
      </w:pPr>
      <w:r>
        <w:rPr>
          <w:rFonts w:ascii="Arial Narrow" w:hAnsi="Arial Narrow"/>
          <w:sz w:val="18"/>
          <w:szCs w:val="18"/>
        </w:rPr>
        <w:t>ITT</w:t>
      </w:r>
      <w:r w:rsidR="00365D06">
        <w:rPr>
          <w:rFonts w:ascii="Arial Narrow" w:hAnsi="Arial Narrow"/>
          <w:sz w:val="18"/>
          <w:szCs w:val="18"/>
        </w:rPr>
        <w:t xml:space="preserve"> =</w:t>
      </w:r>
      <w:r>
        <w:rPr>
          <w:rFonts w:ascii="Arial Narrow" w:hAnsi="Arial Narrow"/>
          <w:sz w:val="18"/>
          <w:szCs w:val="18"/>
        </w:rPr>
        <w:t xml:space="preserve"> intention-to-treat</w:t>
      </w:r>
    </w:p>
    <w:p w:rsidR="002C190B" w:rsidRPr="00A422D0" w:rsidRDefault="002C190B" w:rsidP="00F92E72">
      <w:pPr>
        <w:keepNext/>
        <w:keepLines/>
        <w:widowControl/>
        <w:rPr>
          <w:rFonts w:ascii="Arial Narrow" w:hAnsi="Arial Narrow"/>
          <w:sz w:val="18"/>
          <w:szCs w:val="18"/>
        </w:rPr>
      </w:pPr>
      <w:r w:rsidRPr="00A422D0">
        <w:rPr>
          <w:rFonts w:ascii="Arial Narrow" w:hAnsi="Arial Narrow"/>
          <w:sz w:val="18"/>
          <w:szCs w:val="18"/>
        </w:rPr>
        <w:t>Source: Table 14.2.2.6, pp.100-103 of the AMETHYST-DN Appendix tables</w:t>
      </w:r>
    </w:p>
    <w:p w:rsidR="00292316" w:rsidRPr="0075362F" w:rsidRDefault="00292316" w:rsidP="00C209C6">
      <w:pPr>
        <w:widowControl/>
        <w:rPr>
          <w:rStyle w:val="CommentReference"/>
          <w:rFonts w:ascii="Calibri" w:hAnsi="Calibri"/>
          <w:b w:val="0"/>
          <w:sz w:val="24"/>
          <w:szCs w:val="22"/>
        </w:rPr>
      </w:pPr>
    </w:p>
    <w:p w:rsidR="00866EDF" w:rsidRPr="004E3503" w:rsidRDefault="00866EDF" w:rsidP="00F92E72">
      <w:pPr>
        <w:pStyle w:val="ListParagraph"/>
        <w:widowControl/>
        <w:numPr>
          <w:ilvl w:val="1"/>
          <w:numId w:val="3"/>
        </w:numPr>
        <w:spacing w:after="120"/>
      </w:pPr>
      <w:r>
        <w:t>There were 24 episodes of serum potassium &gt; 5.5 mmol/L in Stratum 1 and 13 in Stra</w:t>
      </w:r>
      <w:r w:rsidR="0020699A">
        <w:t>t</w:t>
      </w:r>
      <w:r>
        <w:t>um 2. T</w:t>
      </w:r>
      <w:r w:rsidRPr="00BF6E6C">
        <w:t xml:space="preserve">he majority of </w:t>
      </w:r>
      <w:r>
        <w:t>the hyperkalaemia episode</w:t>
      </w:r>
      <w:r w:rsidR="00A56CE9">
        <w:t>s</w:t>
      </w:r>
      <w:r>
        <w:t xml:space="preserve"> reported were </w:t>
      </w:r>
      <w:r w:rsidR="0020699A">
        <w:t>5.5 - &lt; 6.0 mmol/L (27/37</w:t>
      </w:r>
      <w:r w:rsidRPr="00BF6E6C">
        <w:t xml:space="preserve">, </w:t>
      </w:r>
      <w:r w:rsidR="0020699A">
        <w:t>73</w:t>
      </w:r>
      <w:r w:rsidRPr="00BF6E6C">
        <w:t>%)</w:t>
      </w:r>
      <w:r>
        <w:t xml:space="preserve">. </w:t>
      </w:r>
      <w:r w:rsidRPr="004E3503">
        <w:t>Overall, the weighted average proportion of patients reporting a serum potassium &gt; 5.5 mmol/L across both Strata at monthly visits was 1.4% (Stratum 1, 1.2%; Stratum 2,  1.8%), and the weighted average proportions of patients reporting serum potassium concentrations &gt; 6.0 mmol/L were very small (0.33%; Stratum 1, 0.28%; Stratum 2,  0.61%).</w:t>
      </w:r>
    </w:p>
    <w:p w:rsidR="00882E94" w:rsidRPr="00D03515" w:rsidRDefault="00882E94" w:rsidP="00F92E72">
      <w:pPr>
        <w:pStyle w:val="ListParagraph"/>
        <w:widowControl/>
        <w:numPr>
          <w:ilvl w:val="1"/>
          <w:numId w:val="3"/>
        </w:numPr>
        <w:spacing w:after="120"/>
      </w:pPr>
      <w:r w:rsidRPr="00882E94">
        <w:t xml:space="preserve">The objective of the </w:t>
      </w:r>
      <w:r w:rsidR="00006B45">
        <w:t xml:space="preserve">recently published </w:t>
      </w:r>
      <w:r w:rsidRPr="00882E94">
        <w:t xml:space="preserve">AMBER study was to determine if the use of patiromer in patients with CKD receiving spironolactone for the treatment of resistant hypertension will result in more persistent use of spironolactone through prevention of hyperkalaemia and </w:t>
      </w:r>
      <w:r w:rsidR="000153CF">
        <w:t xml:space="preserve">consequently </w:t>
      </w:r>
      <w:r w:rsidRPr="00882E94">
        <w:t xml:space="preserve">lead to improved blood pressure control compared with treatment with spironolactone alone (placebo). </w:t>
      </w:r>
      <w:r w:rsidR="00B05301">
        <w:t>Published</w:t>
      </w:r>
      <w:r w:rsidR="00B05301" w:rsidRPr="00882E94">
        <w:t xml:space="preserve"> </w:t>
      </w:r>
      <w:r w:rsidRPr="00882E94">
        <w:t xml:space="preserve">results </w:t>
      </w:r>
      <w:r w:rsidR="00B05301">
        <w:t>indicated that</w:t>
      </w:r>
      <w:r w:rsidR="00B05301" w:rsidRPr="00882E94">
        <w:t xml:space="preserve"> </w:t>
      </w:r>
      <w:r w:rsidRPr="00882E94">
        <w:t>patiromer enable</w:t>
      </w:r>
      <w:r w:rsidR="00B05301">
        <w:t>d</w:t>
      </w:r>
      <w:r w:rsidRPr="00882E94">
        <w:t xml:space="preserve"> a statistically significantly higher proportion of patients with hypertension and CKD to continue treatment with spironolactone compared to placebo</w:t>
      </w:r>
      <w:r w:rsidR="00B668DC">
        <w:t xml:space="preserve"> at week 12 (86% with patiromer v 66% with placebo, p&lt;0.001)</w:t>
      </w:r>
      <w:r w:rsidRPr="00882E94">
        <w:t xml:space="preserve">, but there was no statistically significant difference in change in systolic blood pressure. </w:t>
      </w:r>
      <w:r w:rsidR="00006B45" w:rsidRPr="00D03515">
        <w:t>The ESC noted that th</w:t>
      </w:r>
      <w:r w:rsidR="000153CF" w:rsidRPr="00D03515">
        <w:t>is study</w:t>
      </w:r>
      <w:r w:rsidRPr="00D03515">
        <w:t xml:space="preserve"> </w:t>
      </w:r>
      <w:r w:rsidR="005D1C09" w:rsidRPr="00D03515">
        <w:t xml:space="preserve">had not been </w:t>
      </w:r>
      <w:r w:rsidR="00B668DC" w:rsidRPr="00D03515">
        <w:t>evaluated formally</w:t>
      </w:r>
      <w:r w:rsidRPr="00D03515">
        <w:t>.</w:t>
      </w:r>
    </w:p>
    <w:p w:rsidR="004E3503" w:rsidRDefault="004D4BA8" w:rsidP="00F92E72">
      <w:pPr>
        <w:pStyle w:val="ListParagraph"/>
        <w:widowControl/>
        <w:numPr>
          <w:ilvl w:val="1"/>
          <w:numId w:val="3"/>
        </w:numPr>
        <w:spacing w:after="120"/>
      </w:pPr>
      <w:r w:rsidRPr="004E3503">
        <w:lastRenderedPageBreak/>
        <w:t>Subgroup analyses conducted for the OPAL-HK study for T2DM, heart failure, baseline serum potassium, maximum RAASi therapy use, sex, age and region, showed statistically significant decreases in serum potassium from baseline to Week 4 (Part A) and Week 8 (Part B). Interaction p-values for subgroups showed a differential response for subgroups based on baseline serum potassium concentrations, sex and region</w:t>
      </w:r>
      <w:r w:rsidR="00BD4EEF" w:rsidRPr="004E3503">
        <w:t xml:space="preserve"> in Part A and </w:t>
      </w:r>
      <w:r w:rsidRPr="004E3503">
        <w:t xml:space="preserve">region </w:t>
      </w:r>
      <w:r w:rsidR="00BD4EEF" w:rsidRPr="004E3503">
        <w:t>in Part B</w:t>
      </w:r>
      <w:r w:rsidR="00A425AD">
        <w:t>.</w:t>
      </w:r>
    </w:p>
    <w:p w:rsidR="004455EE" w:rsidRPr="004455EE" w:rsidRDefault="004455EE" w:rsidP="00F92E72">
      <w:pPr>
        <w:widowControl/>
        <w:spacing w:after="120"/>
        <w:rPr>
          <w:u w:val="single"/>
        </w:rPr>
      </w:pPr>
      <w:r w:rsidRPr="004455EE">
        <w:rPr>
          <w:u w:val="single"/>
        </w:rPr>
        <w:t>Real world persistence data</w:t>
      </w:r>
    </w:p>
    <w:p w:rsidR="004455EE" w:rsidRDefault="004455EE" w:rsidP="003A7392">
      <w:pPr>
        <w:pStyle w:val="ListParagraph"/>
        <w:widowControl/>
        <w:numPr>
          <w:ilvl w:val="1"/>
          <w:numId w:val="3"/>
        </w:numPr>
        <w:spacing w:after="120"/>
      </w:pPr>
      <w:r>
        <w:t>The ESC noted the real world persistence data from the USA</w:t>
      </w:r>
      <w:r w:rsidR="000153CF">
        <w:t>,</w:t>
      </w:r>
      <w:r>
        <w:t xml:space="preserve"> which was included in the PSCR (</w:t>
      </w:r>
      <w:r w:rsidRPr="000A5C51">
        <w:t>see F</w:t>
      </w:r>
      <w:r w:rsidR="004D1CA5">
        <w:t>igure 2</w:t>
      </w:r>
      <w:r w:rsidRPr="000A5C51">
        <w:t>)</w:t>
      </w:r>
      <w:r w:rsidR="000153CF">
        <w:t>,</w:t>
      </w:r>
      <w:r>
        <w:t xml:space="preserve"> </w:t>
      </w:r>
      <w:r w:rsidRPr="00D03515">
        <w:t xml:space="preserve">indicated that </w:t>
      </w:r>
      <w:r w:rsidRPr="00992079">
        <w:t xml:space="preserve">almost </w:t>
      </w:r>
      <w:r w:rsidR="00B07B22">
        <w:rPr>
          <w:noProof/>
          <w:color w:val="000000"/>
          <w:highlight w:val="black"/>
        </w:rPr>
        <w:t>'''''</w:t>
      </w:r>
      <w:r w:rsidR="00992079" w:rsidRPr="00992079">
        <w:t xml:space="preserve">% </w:t>
      </w:r>
      <w:r w:rsidRPr="00992079">
        <w:t>of patients</w:t>
      </w:r>
      <w:r w:rsidRPr="00D03515">
        <w:t xml:space="preserve"> had discontinued patiromer therapy at </w:t>
      </w:r>
      <w:r w:rsidR="00B07B22">
        <w:rPr>
          <w:noProof/>
          <w:color w:val="000000"/>
          <w:highlight w:val="black"/>
        </w:rPr>
        <w:t>'''</w:t>
      </w:r>
      <w:r w:rsidRPr="00D03515">
        <w:t xml:space="preserve"> months and that less than </w:t>
      </w:r>
      <w:r w:rsidR="00B07B22">
        <w:rPr>
          <w:noProof/>
          <w:color w:val="000000"/>
          <w:highlight w:val="black"/>
        </w:rPr>
        <w:t>'''''</w:t>
      </w:r>
      <w:r w:rsidRPr="00D03515">
        <w:t xml:space="preserve">% of patients continued to receive patiromer beyond </w:t>
      </w:r>
      <w:r w:rsidR="00B07B22">
        <w:rPr>
          <w:noProof/>
          <w:color w:val="000000"/>
          <w:highlight w:val="black"/>
        </w:rPr>
        <w:t>''''''</w:t>
      </w:r>
      <w:r w:rsidRPr="00D03515">
        <w:t xml:space="preserve"> months.</w:t>
      </w:r>
      <w:r w:rsidRPr="00C83ABC">
        <w:rPr>
          <w:i/>
        </w:rPr>
        <w:t xml:space="preserve"> </w:t>
      </w:r>
      <w:r w:rsidRPr="00D03515">
        <w:t xml:space="preserve">The ESC considered that the high rate of patiromer discontinuation would significantly decrease the long-term benefit of optimising RAASi therapy in this population. Further, the ESC considered that the persistence data may support the use of intermittent SPS in this population, as opposed to long-term maintenance therapy with patiromer. </w:t>
      </w:r>
      <w:r w:rsidR="00885B3A">
        <w:t>The pre-PBAC response stated that the data related to a broader patient population that comprised of acute and chronic therapy.</w:t>
      </w:r>
    </w:p>
    <w:p w:rsidR="004455EE" w:rsidRPr="00242DC7" w:rsidRDefault="004D1CA5" w:rsidP="009D69C5">
      <w:pPr>
        <w:pStyle w:val="PBACHeading1"/>
        <w:numPr>
          <w:ilvl w:val="0"/>
          <w:numId w:val="0"/>
        </w:numPr>
        <w:suppressLineNumbers/>
        <w:suppressAutoHyphens/>
        <w:ind w:left="720" w:hanging="720"/>
        <w:rPr>
          <w:rStyle w:val="CommentReference"/>
          <w:b/>
        </w:rPr>
      </w:pPr>
      <w:r>
        <w:rPr>
          <w:rStyle w:val="CommentReference"/>
          <w:b/>
        </w:rPr>
        <w:t>Figure 2</w:t>
      </w:r>
      <w:r w:rsidR="004455EE" w:rsidRPr="00242DC7">
        <w:rPr>
          <w:rStyle w:val="CommentReference"/>
          <w:b/>
        </w:rPr>
        <w:t>: Real world persistence data from the United States</w:t>
      </w:r>
      <w:r w:rsidR="002C190B">
        <w:rPr>
          <w:rStyle w:val="CommentReference"/>
          <w:b/>
        </w:rPr>
        <w:t>*</w:t>
      </w:r>
    </w:p>
    <w:p w:rsidR="004455EE" w:rsidRDefault="00B07B22" w:rsidP="009D69C5">
      <w:pPr>
        <w:pStyle w:val="PBACHeading1"/>
        <w:numPr>
          <w:ilvl w:val="0"/>
          <w:numId w:val="0"/>
        </w:numPr>
        <w:suppressLineNumbers/>
        <w:suppressAutoHyphens/>
        <w:ind w:left="720" w:hanging="720"/>
        <w:rPr>
          <w:u w:val="single"/>
        </w:rPr>
      </w:pPr>
      <w:r>
        <w:rPr>
          <w:noProof/>
          <w:snapToGrid/>
          <w:u w:val="single"/>
          <w:lang w:eastAsia="en-AU"/>
        </w:rPr>
        <w:drawing>
          <wp:inline distT="0" distB="0" distL="0" distR="0">
            <wp:extent cx="5745480" cy="3235960"/>
            <wp:effectExtent l="0" t="0" r="7620" b="2540"/>
            <wp:docPr id="1" name="Picture 1" title="Figure 2: Real world persistence data from the United State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45480" cy="3235960"/>
                    </a:xfrm>
                    <a:prstGeom prst="rect">
                      <a:avLst/>
                    </a:prstGeom>
                  </pic:spPr>
                </pic:pic>
              </a:graphicData>
            </a:graphic>
          </wp:inline>
        </w:drawing>
      </w:r>
    </w:p>
    <w:p w:rsidR="004455EE" w:rsidRDefault="004455EE" w:rsidP="009D69C5">
      <w:pPr>
        <w:pStyle w:val="TableFooter"/>
        <w:widowControl/>
        <w:suppressLineNumbers/>
        <w:suppressAutoHyphens/>
      </w:pPr>
      <w:r>
        <w:t>DoT = duration of therapy</w:t>
      </w:r>
    </w:p>
    <w:p w:rsidR="004455EE" w:rsidRDefault="004455EE" w:rsidP="009D69C5">
      <w:pPr>
        <w:pStyle w:val="TableFooter"/>
        <w:widowControl/>
        <w:suppressLineNumbers/>
        <w:suppressAutoHyphens/>
      </w:pPr>
      <w:r>
        <w:t>Source: PSCR attachment 3</w:t>
      </w:r>
    </w:p>
    <w:p w:rsidR="009321DF" w:rsidRPr="009D69C5" w:rsidRDefault="002C190B" w:rsidP="009D69C5">
      <w:pPr>
        <w:pStyle w:val="TableFooter"/>
        <w:widowControl/>
        <w:suppressLineNumbers/>
        <w:suppressAutoHyphens/>
      </w:pPr>
      <w:r>
        <w:t xml:space="preserve">* </w:t>
      </w:r>
      <w:r w:rsidR="004455EE">
        <w:t xml:space="preserve">Data have been collected for multiple sequential cohorts of patients initiating treatment. The longest available dataset relates to the cohort which began treatment in </w:t>
      </w:r>
      <w:r w:rsidR="004455EE" w:rsidRPr="001954F5">
        <w:t>Q1 2016.</w:t>
      </w:r>
      <w:r w:rsidR="004455EE">
        <w:t xml:space="preserve">  An average for this and all subsequent cohorts is also presented.  </w:t>
      </w:r>
      <w:bookmarkStart w:id="8" w:name="_Toc19703819"/>
    </w:p>
    <w:p w:rsidR="00B60939" w:rsidRPr="00C9624D" w:rsidRDefault="00B60939" w:rsidP="00F92E72">
      <w:pPr>
        <w:pStyle w:val="Heading2"/>
        <w:keepNext/>
        <w:widowControl/>
        <w:spacing w:after="120"/>
      </w:pPr>
      <w:r w:rsidRPr="00C9624D">
        <w:lastRenderedPageBreak/>
        <w:t>Comparative harms</w:t>
      </w:r>
      <w:bookmarkEnd w:id="8"/>
    </w:p>
    <w:p w:rsidR="009321DF" w:rsidRPr="009321DF" w:rsidRDefault="00954E21" w:rsidP="00F92E72">
      <w:pPr>
        <w:pStyle w:val="ListParagraph"/>
        <w:keepNext/>
        <w:widowControl/>
        <w:numPr>
          <w:ilvl w:val="1"/>
          <w:numId w:val="3"/>
        </w:numPr>
        <w:spacing w:after="120"/>
        <w:rPr>
          <w:rStyle w:val="Font"/>
          <w:rFonts w:ascii="Calibri" w:hAnsi="Calibri"/>
        </w:rPr>
      </w:pPr>
      <w:r>
        <w:t xml:space="preserve">Tables 10 </w:t>
      </w:r>
      <w:r w:rsidR="00A56CE9">
        <w:t>to</w:t>
      </w:r>
      <w:r>
        <w:t xml:space="preserve"> 12 summarise the most common treatment emergent adverse events reported in the OPAL-HK, PEARL-HF and AMETHYST-DN studies</w:t>
      </w:r>
      <w:r w:rsidR="00873ABA">
        <w:t>.</w:t>
      </w:r>
    </w:p>
    <w:p w:rsidR="00610D7E" w:rsidRPr="009321DF" w:rsidRDefault="00610D7E" w:rsidP="00F92E72">
      <w:pPr>
        <w:keepNext/>
        <w:keepLines/>
        <w:widowControl/>
      </w:pPr>
      <w:r w:rsidRPr="009321DF">
        <w:rPr>
          <w:rStyle w:val="Font"/>
          <w:rFonts w:ascii="Arial Narrow" w:hAnsi="Arial Narrow"/>
          <w:b/>
          <w:sz w:val="20"/>
          <w:szCs w:val="20"/>
        </w:rPr>
        <w:t xml:space="preserve">Table </w:t>
      </w:r>
      <w:r w:rsidR="00B31910" w:rsidRPr="009321DF">
        <w:rPr>
          <w:rStyle w:val="Font"/>
          <w:rFonts w:ascii="Arial Narrow" w:hAnsi="Arial Narrow"/>
          <w:b/>
          <w:sz w:val="20"/>
          <w:szCs w:val="20"/>
        </w:rPr>
        <w:t>10</w:t>
      </w:r>
      <w:r w:rsidRPr="009321DF">
        <w:rPr>
          <w:rStyle w:val="Font"/>
          <w:rFonts w:ascii="Arial Narrow" w:hAnsi="Arial Narrow"/>
          <w:b/>
          <w:sz w:val="20"/>
          <w:szCs w:val="20"/>
        </w:rPr>
        <w:t>: Summary of adverse events most commonly reported in OPAL-HK (safety population)</w:t>
      </w:r>
    </w:p>
    <w:tbl>
      <w:tblPr>
        <w:tblStyle w:val="TableGrid"/>
        <w:tblW w:w="5000" w:type="pct"/>
        <w:tblLook w:val="04A0" w:firstRow="1" w:lastRow="0" w:firstColumn="1" w:lastColumn="0" w:noHBand="0" w:noVBand="1"/>
        <w:tblCaption w:val="Table 10: Summary of adverse events most commonly reported in OPAL-HK (safety population)"/>
      </w:tblPr>
      <w:tblGrid>
        <w:gridCol w:w="2673"/>
        <w:gridCol w:w="1266"/>
        <w:gridCol w:w="1266"/>
        <w:gridCol w:w="1271"/>
        <w:gridCol w:w="1266"/>
        <w:gridCol w:w="1275"/>
      </w:tblGrid>
      <w:tr w:rsidR="00610D7E" w:rsidRPr="00D070E9" w:rsidTr="00F92E72">
        <w:trPr>
          <w:tblHeader/>
        </w:trPr>
        <w:tc>
          <w:tcPr>
            <w:tcW w:w="1482" w:type="pct"/>
            <w:vMerge w:val="restart"/>
            <w:shd w:val="clear" w:color="auto" w:fill="auto"/>
            <w:vAlign w:val="center"/>
          </w:tcPr>
          <w:p w:rsidR="00610D7E" w:rsidRPr="00D070E9" w:rsidRDefault="00610D7E" w:rsidP="00F92E72">
            <w:pPr>
              <w:pStyle w:val="Table"/>
              <w:keepNext/>
              <w:keepLines/>
              <w:rPr>
                <w:rFonts w:ascii="Arial Narrow" w:hAnsi="Arial Narrow"/>
                <w:b/>
                <w:szCs w:val="20"/>
              </w:rPr>
            </w:pPr>
            <w:r w:rsidRPr="00D070E9">
              <w:rPr>
                <w:rFonts w:ascii="Arial Narrow" w:hAnsi="Arial Narrow"/>
                <w:b/>
                <w:szCs w:val="20"/>
              </w:rPr>
              <w:t>OPAL-HK</w:t>
            </w:r>
          </w:p>
        </w:tc>
        <w:tc>
          <w:tcPr>
            <w:tcW w:w="2109" w:type="pct"/>
            <w:gridSpan w:val="3"/>
            <w:tcBorders>
              <w:bottom w:val="single" w:sz="4" w:space="0" w:color="auto"/>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Part A (starting doses)</w:t>
            </w:r>
          </w:p>
        </w:tc>
        <w:tc>
          <w:tcPr>
            <w:tcW w:w="1409" w:type="pct"/>
            <w:gridSpan w:val="2"/>
            <w:tcBorders>
              <w:bottom w:val="single" w:sz="4" w:space="0" w:color="auto"/>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Part B</w:t>
            </w:r>
          </w:p>
        </w:tc>
      </w:tr>
      <w:tr w:rsidR="00610D7E" w:rsidRPr="00D070E9" w:rsidTr="00F92E72">
        <w:trPr>
          <w:tblHeader/>
        </w:trPr>
        <w:tc>
          <w:tcPr>
            <w:tcW w:w="1482" w:type="pct"/>
            <w:vMerge/>
            <w:shd w:val="clear" w:color="auto" w:fill="auto"/>
          </w:tcPr>
          <w:p w:rsidR="00610D7E" w:rsidRPr="00D070E9" w:rsidRDefault="00610D7E" w:rsidP="00F92E72">
            <w:pPr>
              <w:pStyle w:val="Table"/>
              <w:keepNext/>
              <w:keepLines/>
              <w:rPr>
                <w:rFonts w:ascii="Arial Narrow" w:hAnsi="Arial Narrow"/>
                <w:szCs w:val="20"/>
              </w:rPr>
            </w:pPr>
          </w:p>
        </w:tc>
        <w:tc>
          <w:tcPr>
            <w:tcW w:w="702" w:type="pct"/>
            <w:tcBorders>
              <w:bottom w:val="nil"/>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8.4 g/day</w:t>
            </w:r>
          </w:p>
        </w:tc>
        <w:tc>
          <w:tcPr>
            <w:tcW w:w="702" w:type="pct"/>
            <w:tcBorders>
              <w:bottom w:val="nil"/>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16.8 g/day</w:t>
            </w:r>
          </w:p>
        </w:tc>
        <w:tc>
          <w:tcPr>
            <w:tcW w:w="705" w:type="pct"/>
            <w:tcBorders>
              <w:bottom w:val="nil"/>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Overall</w:t>
            </w:r>
          </w:p>
        </w:tc>
        <w:tc>
          <w:tcPr>
            <w:tcW w:w="702" w:type="pct"/>
            <w:tcBorders>
              <w:bottom w:val="nil"/>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Patiromer</w:t>
            </w:r>
          </w:p>
        </w:tc>
        <w:tc>
          <w:tcPr>
            <w:tcW w:w="707" w:type="pct"/>
            <w:tcBorders>
              <w:bottom w:val="nil"/>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Placebo</w:t>
            </w:r>
          </w:p>
        </w:tc>
      </w:tr>
      <w:tr w:rsidR="00610D7E" w:rsidRPr="00D070E9" w:rsidTr="00F92E72">
        <w:trPr>
          <w:tblHeader/>
        </w:trPr>
        <w:tc>
          <w:tcPr>
            <w:tcW w:w="1482" w:type="pct"/>
            <w:vMerge/>
            <w:shd w:val="clear" w:color="auto" w:fill="auto"/>
          </w:tcPr>
          <w:p w:rsidR="00610D7E" w:rsidRPr="00D070E9" w:rsidRDefault="00610D7E" w:rsidP="00F92E72">
            <w:pPr>
              <w:pStyle w:val="Table"/>
              <w:keepNext/>
              <w:keepLines/>
              <w:rPr>
                <w:rFonts w:ascii="Arial Narrow" w:hAnsi="Arial Narrow"/>
                <w:szCs w:val="20"/>
              </w:rPr>
            </w:pPr>
          </w:p>
        </w:tc>
        <w:tc>
          <w:tcPr>
            <w:tcW w:w="702" w:type="pct"/>
            <w:tcBorders>
              <w:top w:val="nil"/>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(N=92)</w:t>
            </w:r>
          </w:p>
        </w:tc>
        <w:tc>
          <w:tcPr>
            <w:tcW w:w="702" w:type="pct"/>
            <w:tcBorders>
              <w:top w:val="nil"/>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(N=151)</w:t>
            </w:r>
          </w:p>
        </w:tc>
        <w:tc>
          <w:tcPr>
            <w:tcW w:w="705" w:type="pct"/>
            <w:tcBorders>
              <w:top w:val="nil"/>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(N=243)</w:t>
            </w:r>
          </w:p>
        </w:tc>
        <w:tc>
          <w:tcPr>
            <w:tcW w:w="702" w:type="pct"/>
            <w:tcBorders>
              <w:top w:val="nil"/>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(N=55)</w:t>
            </w:r>
          </w:p>
        </w:tc>
        <w:tc>
          <w:tcPr>
            <w:tcW w:w="707" w:type="pct"/>
            <w:tcBorders>
              <w:top w:val="nil"/>
            </w:tcBorders>
            <w:shd w:val="clear" w:color="auto" w:fill="auto"/>
          </w:tcPr>
          <w:p w:rsidR="00610D7E" w:rsidRPr="00D070E9" w:rsidRDefault="00610D7E" w:rsidP="00F92E72">
            <w:pPr>
              <w:pStyle w:val="TableCentre"/>
              <w:keepNext/>
              <w:keepLines/>
              <w:rPr>
                <w:rFonts w:ascii="Arial Narrow" w:hAnsi="Arial Narrow"/>
                <w:b/>
                <w:szCs w:val="20"/>
              </w:rPr>
            </w:pPr>
            <w:r w:rsidRPr="00D070E9">
              <w:rPr>
                <w:rFonts w:ascii="Arial Narrow" w:hAnsi="Arial Narrow"/>
                <w:b/>
                <w:szCs w:val="20"/>
              </w:rPr>
              <w:t>(N=52)</w:t>
            </w:r>
          </w:p>
        </w:tc>
      </w:tr>
      <w:tr w:rsidR="00610D7E" w:rsidRPr="00D070E9" w:rsidTr="00F92E72">
        <w:tc>
          <w:tcPr>
            <w:tcW w:w="1482" w:type="pct"/>
            <w:shd w:val="clear" w:color="auto" w:fill="auto"/>
          </w:tcPr>
          <w:p w:rsidR="00610D7E" w:rsidRPr="00D070E9" w:rsidRDefault="00610D7E" w:rsidP="00F92E72">
            <w:pPr>
              <w:pStyle w:val="Table"/>
              <w:keepNext/>
              <w:keepLines/>
              <w:rPr>
                <w:rFonts w:ascii="Arial Narrow" w:hAnsi="Arial Narrow"/>
                <w:szCs w:val="20"/>
              </w:rPr>
            </w:pPr>
            <w:r w:rsidRPr="00D070E9">
              <w:rPr>
                <w:rFonts w:ascii="Arial Narrow" w:hAnsi="Arial Narrow"/>
                <w:szCs w:val="20"/>
              </w:rPr>
              <w:t>≥ 1 treatment emergent AE</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46 (46%)</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72 (48%)</w:t>
            </w:r>
          </w:p>
        </w:tc>
        <w:tc>
          <w:tcPr>
            <w:tcW w:w="705"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114 (47%)</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26 (47%)</w:t>
            </w:r>
          </w:p>
        </w:tc>
        <w:tc>
          <w:tcPr>
            <w:tcW w:w="707"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26 (50%)</w:t>
            </w:r>
          </w:p>
        </w:tc>
      </w:tr>
      <w:tr w:rsidR="00954E21" w:rsidRPr="00D070E9" w:rsidTr="00F92E72">
        <w:tc>
          <w:tcPr>
            <w:tcW w:w="1482" w:type="pct"/>
            <w:shd w:val="clear" w:color="auto" w:fill="auto"/>
          </w:tcPr>
          <w:p w:rsidR="00954E21" w:rsidRPr="00D070E9" w:rsidRDefault="00954E21" w:rsidP="00F92E72">
            <w:pPr>
              <w:pStyle w:val="Table"/>
              <w:keepNext/>
              <w:keepLines/>
              <w:rPr>
                <w:rFonts w:ascii="Arial Narrow" w:hAnsi="Arial Narrow"/>
                <w:szCs w:val="20"/>
              </w:rPr>
            </w:pPr>
            <w:r w:rsidRPr="00D070E9">
              <w:rPr>
                <w:rFonts w:ascii="Arial Narrow" w:hAnsi="Arial Narrow"/>
                <w:szCs w:val="20"/>
              </w:rPr>
              <w:t>Serious adverse events</w:t>
            </w:r>
          </w:p>
        </w:tc>
        <w:tc>
          <w:tcPr>
            <w:tcW w:w="702" w:type="pct"/>
            <w:shd w:val="clear" w:color="auto" w:fill="auto"/>
          </w:tcPr>
          <w:p w:rsidR="00954E21" w:rsidRPr="00D070E9" w:rsidRDefault="00954E21" w:rsidP="00F92E72">
            <w:pPr>
              <w:pStyle w:val="TableCentre"/>
              <w:keepNext/>
              <w:keepLines/>
              <w:rPr>
                <w:rFonts w:ascii="Arial Narrow" w:hAnsi="Arial Narrow"/>
                <w:szCs w:val="20"/>
              </w:rPr>
            </w:pPr>
            <w:r w:rsidRPr="00D070E9">
              <w:rPr>
                <w:rFonts w:ascii="Arial Narrow" w:hAnsi="Arial Narrow"/>
                <w:szCs w:val="20"/>
              </w:rPr>
              <w:t>1 (1%)</w:t>
            </w:r>
          </w:p>
        </w:tc>
        <w:tc>
          <w:tcPr>
            <w:tcW w:w="702" w:type="pct"/>
            <w:shd w:val="clear" w:color="auto" w:fill="auto"/>
          </w:tcPr>
          <w:p w:rsidR="00954E21" w:rsidRPr="00D070E9" w:rsidRDefault="00954E21" w:rsidP="00F92E72">
            <w:pPr>
              <w:pStyle w:val="TableCentre"/>
              <w:keepNext/>
              <w:keepLines/>
              <w:rPr>
                <w:rFonts w:ascii="Arial Narrow" w:hAnsi="Arial Narrow"/>
                <w:szCs w:val="20"/>
              </w:rPr>
            </w:pPr>
            <w:r w:rsidRPr="00D070E9">
              <w:rPr>
                <w:rFonts w:ascii="Arial Narrow" w:hAnsi="Arial Narrow"/>
                <w:szCs w:val="20"/>
              </w:rPr>
              <w:t>1 (1%)</w:t>
            </w:r>
          </w:p>
        </w:tc>
        <w:tc>
          <w:tcPr>
            <w:tcW w:w="705" w:type="pct"/>
            <w:shd w:val="clear" w:color="auto" w:fill="auto"/>
          </w:tcPr>
          <w:p w:rsidR="00954E21" w:rsidRPr="00D070E9" w:rsidRDefault="00954E21" w:rsidP="00F92E72">
            <w:pPr>
              <w:pStyle w:val="TableCentre"/>
              <w:keepNext/>
              <w:keepLines/>
              <w:rPr>
                <w:rFonts w:ascii="Arial Narrow" w:hAnsi="Arial Narrow"/>
                <w:szCs w:val="20"/>
              </w:rPr>
            </w:pPr>
            <w:r w:rsidRPr="00D070E9">
              <w:rPr>
                <w:rFonts w:ascii="Arial Narrow" w:hAnsi="Arial Narrow"/>
                <w:szCs w:val="20"/>
              </w:rPr>
              <w:t>2 (1%)</w:t>
            </w:r>
          </w:p>
        </w:tc>
        <w:tc>
          <w:tcPr>
            <w:tcW w:w="702" w:type="pct"/>
            <w:shd w:val="clear" w:color="auto" w:fill="auto"/>
          </w:tcPr>
          <w:p w:rsidR="00954E21" w:rsidRPr="00D070E9" w:rsidRDefault="00954E21" w:rsidP="00F92E72">
            <w:pPr>
              <w:pStyle w:val="TableCentre"/>
              <w:keepNext/>
              <w:keepLines/>
              <w:rPr>
                <w:rFonts w:ascii="Arial Narrow" w:hAnsi="Arial Narrow"/>
                <w:szCs w:val="20"/>
              </w:rPr>
            </w:pPr>
            <w:r w:rsidRPr="00D070E9">
              <w:rPr>
                <w:rFonts w:ascii="Arial Narrow" w:hAnsi="Arial Narrow"/>
                <w:szCs w:val="20"/>
              </w:rPr>
              <w:t xml:space="preserve">0 </w:t>
            </w:r>
          </w:p>
        </w:tc>
        <w:tc>
          <w:tcPr>
            <w:tcW w:w="707" w:type="pct"/>
            <w:shd w:val="clear" w:color="auto" w:fill="auto"/>
          </w:tcPr>
          <w:p w:rsidR="00954E21" w:rsidRPr="00D070E9" w:rsidRDefault="00954E21" w:rsidP="00F92E72">
            <w:pPr>
              <w:pStyle w:val="TableCentre"/>
              <w:keepNext/>
              <w:keepLines/>
              <w:rPr>
                <w:rFonts w:ascii="Arial Narrow" w:hAnsi="Arial Narrow"/>
                <w:szCs w:val="20"/>
              </w:rPr>
            </w:pPr>
            <w:r w:rsidRPr="00D070E9">
              <w:rPr>
                <w:rFonts w:ascii="Arial Narrow" w:hAnsi="Arial Narrow"/>
                <w:szCs w:val="20"/>
              </w:rPr>
              <w:t>1 (2%)</w:t>
            </w:r>
          </w:p>
        </w:tc>
      </w:tr>
      <w:tr w:rsidR="00610D7E" w:rsidRPr="00D070E9" w:rsidTr="00F92E72">
        <w:tc>
          <w:tcPr>
            <w:tcW w:w="1482" w:type="pct"/>
            <w:shd w:val="clear" w:color="auto" w:fill="auto"/>
          </w:tcPr>
          <w:p w:rsidR="00610D7E" w:rsidRPr="00D070E9" w:rsidRDefault="00610D7E" w:rsidP="00F92E72">
            <w:pPr>
              <w:pStyle w:val="Table"/>
              <w:keepNext/>
              <w:keepLines/>
              <w:rPr>
                <w:rFonts w:ascii="Arial Narrow" w:hAnsi="Arial Narrow"/>
                <w:szCs w:val="20"/>
              </w:rPr>
            </w:pPr>
            <w:r w:rsidRPr="00D070E9">
              <w:rPr>
                <w:rFonts w:ascii="Arial Narrow" w:hAnsi="Arial Narrow"/>
                <w:szCs w:val="20"/>
              </w:rPr>
              <w:t>Gastrointestinal adverse events</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15 (16%)</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31 (12%)</w:t>
            </w:r>
          </w:p>
        </w:tc>
        <w:tc>
          <w:tcPr>
            <w:tcW w:w="705"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46 (19%)</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7 (13%)</w:t>
            </w:r>
          </w:p>
        </w:tc>
        <w:tc>
          <w:tcPr>
            <w:tcW w:w="707"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3 (6%)</w:t>
            </w:r>
          </w:p>
        </w:tc>
      </w:tr>
      <w:tr w:rsidR="00610D7E" w:rsidRPr="00D070E9" w:rsidTr="00F92E72">
        <w:tc>
          <w:tcPr>
            <w:tcW w:w="1482" w:type="pct"/>
            <w:shd w:val="clear" w:color="auto" w:fill="auto"/>
          </w:tcPr>
          <w:p w:rsidR="00610D7E" w:rsidRPr="00D070E9" w:rsidRDefault="00610D7E" w:rsidP="00F92E72">
            <w:pPr>
              <w:pStyle w:val="Table"/>
              <w:keepNext/>
              <w:keepLines/>
              <w:rPr>
                <w:rFonts w:ascii="Arial Narrow" w:hAnsi="Arial Narrow"/>
                <w:szCs w:val="20"/>
              </w:rPr>
            </w:pPr>
            <w:r w:rsidRPr="00D070E9">
              <w:rPr>
                <w:rFonts w:ascii="Arial Narrow" w:hAnsi="Arial Narrow"/>
                <w:szCs w:val="20"/>
              </w:rPr>
              <w:t>Constipation</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9 (10%)</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17 (11%)</w:t>
            </w:r>
          </w:p>
        </w:tc>
        <w:tc>
          <w:tcPr>
            <w:tcW w:w="705"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26 (11%)</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2 (4%)</w:t>
            </w:r>
          </w:p>
        </w:tc>
        <w:tc>
          <w:tcPr>
            <w:tcW w:w="707"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0</w:t>
            </w:r>
          </w:p>
        </w:tc>
      </w:tr>
      <w:tr w:rsidR="00610D7E" w:rsidRPr="00D070E9" w:rsidTr="00F92E72">
        <w:tc>
          <w:tcPr>
            <w:tcW w:w="1482" w:type="pct"/>
            <w:shd w:val="clear" w:color="auto" w:fill="auto"/>
          </w:tcPr>
          <w:p w:rsidR="00610D7E" w:rsidRPr="00D070E9" w:rsidRDefault="00610D7E" w:rsidP="00F92E72">
            <w:pPr>
              <w:pStyle w:val="Table"/>
              <w:keepNext/>
              <w:keepLines/>
              <w:rPr>
                <w:rFonts w:ascii="Arial Narrow" w:hAnsi="Arial Narrow"/>
                <w:szCs w:val="20"/>
              </w:rPr>
            </w:pPr>
            <w:r w:rsidRPr="00D070E9">
              <w:rPr>
                <w:rFonts w:ascii="Arial Narrow" w:hAnsi="Arial Narrow"/>
                <w:szCs w:val="20"/>
              </w:rPr>
              <w:t>Diarrhoea</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2 (2%)</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6 (4%)</w:t>
            </w:r>
          </w:p>
        </w:tc>
        <w:tc>
          <w:tcPr>
            <w:tcW w:w="705"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8 (3%)</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2 (4%)</w:t>
            </w:r>
          </w:p>
        </w:tc>
        <w:tc>
          <w:tcPr>
            <w:tcW w:w="707"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0</w:t>
            </w:r>
          </w:p>
        </w:tc>
      </w:tr>
      <w:tr w:rsidR="00610D7E" w:rsidRPr="00D070E9" w:rsidTr="00F92E72">
        <w:tc>
          <w:tcPr>
            <w:tcW w:w="1482" w:type="pct"/>
            <w:shd w:val="clear" w:color="auto" w:fill="auto"/>
          </w:tcPr>
          <w:p w:rsidR="00610D7E" w:rsidRPr="00D070E9" w:rsidRDefault="00610D7E" w:rsidP="00F92E72">
            <w:pPr>
              <w:pStyle w:val="Table"/>
              <w:keepNext/>
              <w:keepLines/>
              <w:rPr>
                <w:rStyle w:val="Small"/>
                <w:rFonts w:ascii="Arial Narrow" w:hAnsi="Arial Narrow"/>
                <w:szCs w:val="20"/>
              </w:rPr>
            </w:pPr>
            <w:r w:rsidRPr="00D070E9">
              <w:rPr>
                <w:rStyle w:val="Small"/>
                <w:rFonts w:ascii="Arial Narrow" w:hAnsi="Arial Narrow"/>
                <w:szCs w:val="20"/>
              </w:rPr>
              <w:t>Nausea</w:t>
            </w:r>
          </w:p>
        </w:tc>
        <w:tc>
          <w:tcPr>
            <w:tcW w:w="702" w:type="pct"/>
            <w:shd w:val="clear" w:color="auto" w:fill="auto"/>
          </w:tcPr>
          <w:p w:rsidR="00610D7E" w:rsidRPr="00D070E9" w:rsidRDefault="00610D7E" w:rsidP="00F92E72">
            <w:pPr>
              <w:pStyle w:val="TableCentre"/>
              <w:keepNext/>
              <w:keepLines/>
              <w:rPr>
                <w:rStyle w:val="Small"/>
                <w:rFonts w:ascii="Arial Narrow" w:hAnsi="Arial Narrow"/>
                <w:szCs w:val="20"/>
              </w:rPr>
            </w:pPr>
            <w:r w:rsidRPr="00D070E9">
              <w:rPr>
                <w:rStyle w:val="Small"/>
                <w:rFonts w:ascii="Arial Narrow" w:hAnsi="Arial Narrow"/>
                <w:szCs w:val="20"/>
              </w:rPr>
              <w:t>4 (4%)</w:t>
            </w:r>
          </w:p>
        </w:tc>
        <w:tc>
          <w:tcPr>
            <w:tcW w:w="702" w:type="pct"/>
            <w:shd w:val="clear" w:color="auto" w:fill="auto"/>
          </w:tcPr>
          <w:p w:rsidR="00610D7E" w:rsidRPr="00D070E9" w:rsidRDefault="00610D7E" w:rsidP="00F92E72">
            <w:pPr>
              <w:pStyle w:val="TableCentre"/>
              <w:keepNext/>
              <w:keepLines/>
              <w:rPr>
                <w:rStyle w:val="Small"/>
                <w:rFonts w:ascii="Arial Narrow" w:hAnsi="Arial Narrow"/>
                <w:szCs w:val="20"/>
              </w:rPr>
            </w:pPr>
            <w:r w:rsidRPr="00D070E9">
              <w:rPr>
                <w:rStyle w:val="Small"/>
                <w:rFonts w:ascii="Arial Narrow" w:hAnsi="Arial Narrow"/>
                <w:szCs w:val="20"/>
              </w:rPr>
              <w:t>4 (3%)</w:t>
            </w:r>
          </w:p>
        </w:tc>
        <w:tc>
          <w:tcPr>
            <w:tcW w:w="705" w:type="pct"/>
            <w:shd w:val="clear" w:color="auto" w:fill="auto"/>
          </w:tcPr>
          <w:p w:rsidR="00610D7E" w:rsidRPr="00D070E9" w:rsidRDefault="00610D7E" w:rsidP="00F92E72">
            <w:pPr>
              <w:pStyle w:val="TableCentre"/>
              <w:keepNext/>
              <w:keepLines/>
              <w:rPr>
                <w:rStyle w:val="Small"/>
                <w:rFonts w:ascii="Arial Narrow" w:hAnsi="Arial Narrow"/>
                <w:szCs w:val="20"/>
              </w:rPr>
            </w:pPr>
            <w:r w:rsidRPr="00D070E9">
              <w:rPr>
                <w:rStyle w:val="Small"/>
                <w:rFonts w:ascii="Arial Narrow" w:hAnsi="Arial Narrow"/>
                <w:szCs w:val="20"/>
              </w:rPr>
              <w:t>8 (3%)</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2 (4%)</w:t>
            </w:r>
          </w:p>
        </w:tc>
        <w:tc>
          <w:tcPr>
            <w:tcW w:w="707"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0</w:t>
            </w:r>
          </w:p>
        </w:tc>
      </w:tr>
      <w:tr w:rsidR="00610D7E" w:rsidRPr="00D070E9" w:rsidTr="00F92E72">
        <w:tc>
          <w:tcPr>
            <w:tcW w:w="1482" w:type="pct"/>
            <w:shd w:val="clear" w:color="auto" w:fill="auto"/>
          </w:tcPr>
          <w:p w:rsidR="00610D7E" w:rsidRPr="00D070E9" w:rsidRDefault="00610D7E" w:rsidP="00F92E72">
            <w:pPr>
              <w:pStyle w:val="Table"/>
              <w:keepNext/>
              <w:keepLines/>
              <w:rPr>
                <w:rFonts w:ascii="Arial Narrow" w:hAnsi="Arial Narrow"/>
                <w:szCs w:val="20"/>
              </w:rPr>
            </w:pPr>
            <w:r w:rsidRPr="00D070E9">
              <w:rPr>
                <w:rFonts w:ascii="Arial Narrow" w:hAnsi="Arial Narrow"/>
                <w:szCs w:val="20"/>
              </w:rPr>
              <w:t>Metabolism and nutrition</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12 (13%)</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24 (16%)</w:t>
            </w:r>
          </w:p>
        </w:tc>
        <w:tc>
          <w:tcPr>
            <w:tcW w:w="705"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36 (15%)</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6 (11%)</w:t>
            </w:r>
          </w:p>
        </w:tc>
        <w:tc>
          <w:tcPr>
            <w:tcW w:w="707"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7 (13%)</w:t>
            </w:r>
          </w:p>
        </w:tc>
      </w:tr>
      <w:tr w:rsidR="00CF6EAD" w:rsidRPr="00D070E9" w:rsidTr="00F92E72">
        <w:tc>
          <w:tcPr>
            <w:tcW w:w="1482" w:type="pct"/>
            <w:shd w:val="clear" w:color="auto" w:fill="auto"/>
          </w:tcPr>
          <w:p w:rsidR="00CF6EAD" w:rsidRPr="00D070E9" w:rsidRDefault="00CF6EAD" w:rsidP="00F92E72">
            <w:pPr>
              <w:pStyle w:val="Table"/>
              <w:keepNext/>
              <w:keepLines/>
              <w:rPr>
                <w:rFonts w:ascii="Arial Narrow" w:hAnsi="Arial Narrow"/>
                <w:szCs w:val="20"/>
              </w:rPr>
            </w:pPr>
            <w:r w:rsidRPr="00D070E9">
              <w:rPr>
                <w:rFonts w:ascii="Arial Narrow" w:hAnsi="Arial Narrow"/>
                <w:szCs w:val="20"/>
              </w:rPr>
              <w:t xml:space="preserve">Hypokalaemia </w:t>
            </w:r>
            <w:r w:rsidR="00ED3B48" w:rsidRPr="00D070E9">
              <w:rPr>
                <w:rFonts w:ascii="Arial Narrow" w:hAnsi="Arial Narrow"/>
                <w:szCs w:val="20"/>
              </w:rPr>
              <w:t>(&lt;3.5 mmol/L)</w:t>
            </w:r>
          </w:p>
        </w:tc>
        <w:tc>
          <w:tcPr>
            <w:tcW w:w="702" w:type="pct"/>
            <w:shd w:val="clear" w:color="auto" w:fill="auto"/>
          </w:tcPr>
          <w:p w:rsidR="00CF6EAD" w:rsidRPr="00D070E9" w:rsidRDefault="00CF6EAD" w:rsidP="00F92E72">
            <w:pPr>
              <w:pStyle w:val="TableCentre"/>
              <w:keepNext/>
              <w:keepLines/>
              <w:rPr>
                <w:rFonts w:ascii="Arial Narrow" w:hAnsi="Arial Narrow"/>
                <w:szCs w:val="20"/>
              </w:rPr>
            </w:pPr>
            <w:r w:rsidRPr="00D070E9">
              <w:rPr>
                <w:rFonts w:ascii="Arial Narrow" w:hAnsi="Arial Narrow"/>
                <w:szCs w:val="20"/>
              </w:rPr>
              <w:t>0</w:t>
            </w:r>
          </w:p>
        </w:tc>
        <w:tc>
          <w:tcPr>
            <w:tcW w:w="702" w:type="pct"/>
            <w:shd w:val="clear" w:color="auto" w:fill="auto"/>
          </w:tcPr>
          <w:p w:rsidR="00CF6EAD" w:rsidRPr="00D070E9" w:rsidRDefault="00CF6EAD" w:rsidP="00F92E72">
            <w:pPr>
              <w:pStyle w:val="TableCentre"/>
              <w:keepNext/>
              <w:keepLines/>
              <w:rPr>
                <w:rFonts w:ascii="Arial Narrow" w:hAnsi="Arial Narrow"/>
                <w:szCs w:val="20"/>
              </w:rPr>
            </w:pPr>
            <w:r w:rsidRPr="00D070E9">
              <w:rPr>
                <w:rFonts w:ascii="Arial Narrow" w:hAnsi="Arial Narrow"/>
                <w:szCs w:val="20"/>
              </w:rPr>
              <w:t>3 (2%)</w:t>
            </w:r>
          </w:p>
        </w:tc>
        <w:tc>
          <w:tcPr>
            <w:tcW w:w="705" w:type="pct"/>
            <w:shd w:val="clear" w:color="auto" w:fill="auto"/>
          </w:tcPr>
          <w:p w:rsidR="00CF6EAD" w:rsidRPr="00D070E9" w:rsidRDefault="00CF6EAD" w:rsidP="00F92E72">
            <w:pPr>
              <w:pStyle w:val="TableCentre"/>
              <w:keepNext/>
              <w:keepLines/>
              <w:rPr>
                <w:rFonts w:ascii="Arial Narrow" w:hAnsi="Arial Narrow"/>
                <w:szCs w:val="20"/>
              </w:rPr>
            </w:pPr>
            <w:r w:rsidRPr="00D070E9">
              <w:rPr>
                <w:rFonts w:ascii="Arial Narrow" w:hAnsi="Arial Narrow"/>
                <w:szCs w:val="20"/>
              </w:rPr>
              <w:t>3 (1%)</w:t>
            </w:r>
          </w:p>
        </w:tc>
        <w:tc>
          <w:tcPr>
            <w:tcW w:w="702" w:type="pct"/>
            <w:shd w:val="clear" w:color="auto" w:fill="auto"/>
          </w:tcPr>
          <w:p w:rsidR="00CF6EAD" w:rsidRPr="00D070E9" w:rsidRDefault="00ED3B48" w:rsidP="00F92E72">
            <w:pPr>
              <w:pStyle w:val="TableCentre"/>
              <w:keepNext/>
              <w:keepLines/>
              <w:rPr>
                <w:rFonts w:ascii="Arial Narrow" w:hAnsi="Arial Narrow"/>
                <w:szCs w:val="20"/>
              </w:rPr>
            </w:pPr>
            <w:r w:rsidRPr="00D070E9">
              <w:rPr>
                <w:rFonts w:ascii="Arial Narrow" w:hAnsi="Arial Narrow"/>
                <w:szCs w:val="20"/>
              </w:rPr>
              <w:t>NR</w:t>
            </w:r>
          </w:p>
        </w:tc>
        <w:tc>
          <w:tcPr>
            <w:tcW w:w="707" w:type="pct"/>
            <w:shd w:val="clear" w:color="auto" w:fill="auto"/>
          </w:tcPr>
          <w:p w:rsidR="00CF6EAD" w:rsidRPr="00D070E9" w:rsidRDefault="00ED3B48" w:rsidP="00F92E72">
            <w:pPr>
              <w:pStyle w:val="TableCentre"/>
              <w:keepNext/>
              <w:keepLines/>
              <w:rPr>
                <w:rFonts w:ascii="Arial Narrow" w:hAnsi="Arial Narrow"/>
                <w:szCs w:val="20"/>
              </w:rPr>
            </w:pPr>
            <w:r w:rsidRPr="00D070E9">
              <w:rPr>
                <w:rFonts w:ascii="Arial Narrow" w:hAnsi="Arial Narrow"/>
                <w:szCs w:val="20"/>
              </w:rPr>
              <w:t>NR</w:t>
            </w:r>
          </w:p>
        </w:tc>
      </w:tr>
      <w:tr w:rsidR="00610D7E" w:rsidRPr="00D070E9" w:rsidTr="00F92E72">
        <w:tc>
          <w:tcPr>
            <w:tcW w:w="1482" w:type="pct"/>
            <w:shd w:val="clear" w:color="auto" w:fill="auto"/>
          </w:tcPr>
          <w:p w:rsidR="00610D7E" w:rsidRPr="00D070E9" w:rsidRDefault="00610D7E" w:rsidP="00F92E72">
            <w:pPr>
              <w:pStyle w:val="Table"/>
              <w:keepNext/>
              <w:keepLines/>
              <w:rPr>
                <w:rFonts w:ascii="Arial Narrow" w:hAnsi="Arial Narrow"/>
                <w:szCs w:val="20"/>
              </w:rPr>
            </w:pPr>
            <w:r w:rsidRPr="00D070E9">
              <w:rPr>
                <w:rFonts w:ascii="Arial Narrow" w:hAnsi="Arial Narrow"/>
                <w:szCs w:val="20"/>
              </w:rPr>
              <w:t>Hypomagnesaemia</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3 (3%)</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5 (3%)</w:t>
            </w:r>
          </w:p>
        </w:tc>
        <w:tc>
          <w:tcPr>
            <w:tcW w:w="705"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8 (3%)</w:t>
            </w:r>
          </w:p>
        </w:tc>
        <w:tc>
          <w:tcPr>
            <w:tcW w:w="702"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1 (2%)</w:t>
            </w:r>
          </w:p>
        </w:tc>
        <w:tc>
          <w:tcPr>
            <w:tcW w:w="707" w:type="pct"/>
            <w:shd w:val="clear" w:color="auto" w:fill="auto"/>
          </w:tcPr>
          <w:p w:rsidR="00610D7E" w:rsidRPr="00D070E9" w:rsidRDefault="00610D7E" w:rsidP="00F92E72">
            <w:pPr>
              <w:pStyle w:val="TableCentre"/>
              <w:keepNext/>
              <w:keepLines/>
              <w:rPr>
                <w:rFonts w:ascii="Arial Narrow" w:hAnsi="Arial Narrow"/>
                <w:szCs w:val="20"/>
              </w:rPr>
            </w:pPr>
            <w:r w:rsidRPr="00D070E9">
              <w:rPr>
                <w:rFonts w:ascii="Arial Narrow" w:hAnsi="Arial Narrow"/>
                <w:szCs w:val="20"/>
              </w:rPr>
              <w:t>2 (4%)</w:t>
            </w:r>
          </w:p>
        </w:tc>
      </w:tr>
    </w:tbl>
    <w:p w:rsidR="005D26B4" w:rsidRDefault="00610D7E" w:rsidP="00F92E72">
      <w:pPr>
        <w:pStyle w:val="ListParagraph"/>
        <w:keepNext/>
        <w:keepLines/>
        <w:widowControl/>
        <w:spacing w:after="0"/>
        <w:ind w:left="0"/>
        <w:rPr>
          <w:rFonts w:ascii="Arial Narrow" w:hAnsi="Arial Narrow"/>
          <w:sz w:val="18"/>
          <w:szCs w:val="18"/>
        </w:rPr>
      </w:pPr>
      <w:r w:rsidRPr="00175DC3">
        <w:rPr>
          <w:rFonts w:ascii="Arial Narrow" w:hAnsi="Arial Narrow"/>
          <w:sz w:val="18"/>
          <w:szCs w:val="18"/>
        </w:rPr>
        <w:t>AE</w:t>
      </w:r>
      <w:r w:rsidR="00365D06">
        <w:rPr>
          <w:rFonts w:ascii="Arial Narrow" w:hAnsi="Arial Narrow"/>
          <w:sz w:val="18"/>
          <w:szCs w:val="18"/>
        </w:rPr>
        <w:t xml:space="preserve"> =</w:t>
      </w:r>
      <w:r w:rsidRPr="00175DC3">
        <w:rPr>
          <w:rFonts w:ascii="Arial Narrow" w:hAnsi="Arial Narrow"/>
          <w:sz w:val="18"/>
          <w:szCs w:val="18"/>
        </w:rPr>
        <w:t xml:space="preserve"> adverse event</w:t>
      </w:r>
      <w:r w:rsidR="00ED3B48">
        <w:rPr>
          <w:rFonts w:ascii="Arial Narrow" w:hAnsi="Arial Narrow"/>
          <w:sz w:val="18"/>
          <w:szCs w:val="18"/>
        </w:rPr>
        <w:t>; NR</w:t>
      </w:r>
      <w:r w:rsidR="00365D06">
        <w:rPr>
          <w:rFonts w:ascii="Arial Narrow" w:hAnsi="Arial Narrow"/>
          <w:sz w:val="18"/>
          <w:szCs w:val="18"/>
        </w:rPr>
        <w:t xml:space="preserve"> =</w:t>
      </w:r>
      <w:r w:rsidR="00ED3B48">
        <w:rPr>
          <w:rFonts w:ascii="Arial Narrow" w:hAnsi="Arial Narrow"/>
          <w:sz w:val="18"/>
          <w:szCs w:val="18"/>
        </w:rPr>
        <w:t xml:space="preserve"> not reported</w:t>
      </w:r>
    </w:p>
    <w:p w:rsidR="002C190B" w:rsidRPr="00175DC3" w:rsidRDefault="002C190B" w:rsidP="00F92E72">
      <w:pPr>
        <w:keepNext/>
        <w:keepLines/>
        <w:widowControl/>
        <w:rPr>
          <w:rFonts w:ascii="Arial Narrow" w:hAnsi="Arial Narrow"/>
          <w:sz w:val="18"/>
          <w:szCs w:val="18"/>
        </w:rPr>
      </w:pPr>
      <w:r w:rsidRPr="00175DC3">
        <w:rPr>
          <w:rFonts w:ascii="Arial Narrow" w:hAnsi="Arial Narrow"/>
          <w:sz w:val="18"/>
          <w:szCs w:val="18"/>
        </w:rPr>
        <w:t>Source: Table 58, pp.223-226 and Table 67, pp.267-268 of the OPAL-HK CSR</w:t>
      </w:r>
    </w:p>
    <w:p w:rsidR="00610D7E" w:rsidRDefault="00610D7E" w:rsidP="00C209C6">
      <w:pPr>
        <w:widowControl/>
        <w:ind w:left="720" w:hanging="720"/>
      </w:pPr>
    </w:p>
    <w:p w:rsidR="00610D7E" w:rsidRPr="00B31910" w:rsidRDefault="00610D7E" w:rsidP="00F92E72">
      <w:pPr>
        <w:keepNext/>
        <w:keepLines/>
        <w:widowControl/>
        <w:suppressLineNumbers/>
        <w:suppressAutoHyphens/>
        <w:ind w:left="720" w:hanging="720"/>
        <w:rPr>
          <w:rStyle w:val="Font"/>
          <w:rFonts w:ascii="Arial Narrow" w:hAnsi="Arial Narrow"/>
          <w:b/>
          <w:sz w:val="20"/>
          <w:szCs w:val="20"/>
        </w:rPr>
      </w:pPr>
      <w:r w:rsidRPr="00B31910">
        <w:rPr>
          <w:rStyle w:val="Font"/>
          <w:rFonts w:ascii="Arial Narrow" w:hAnsi="Arial Narrow"/>
          <w:b/>
          <w:sz w:val="20"/>
          <w:szCs w:val="20"/>
        </w:rPr>
        <w:t xml:space="preserve">Table </w:t>
      </w:r>
      <w:r w:rsidR="00B31910">
        <w:rPr>
          <w:rStyle w:val="Font"/>
          <w:rFonts w:ascii="Arial Narrow" w:hAnsi="Arial Narrow"/>
          <w:b/>
          <w:sz w:val="20"/>
          <w:szCs w:val="20"/>
        </w:rPr>
        <w:t>11</w:t>
      </w:r>
      <w:r w:rsidRPr="00B31910">
        <w:rPr>
          <w:rStyle w:val="Font"/>
          <w:rFonts w:ascii="Arial Narrow" w:hAnsi="Arial Narrow"/>
          <w:b/>
          <w:sz w:val="20"/>
          <w:szCs w:val="20"/>
        </w:rPr>
        <w:t>: Summary of adverse events most commonly reported in PEARL-HF (safety population)</w:t>
      </w:r>
    </w:p>
    <w:tbl>
      <w:tblPr>
        <w:tblStyle w:val="TableGrid"/>
        <w:tblW w:w="0" w:type="auto"/>
        <w:tblLook w:val="04A0" w:firstRow="1" w:lastRow="0" w:firstColumn="1" w:lastColumn="0" w:noHBand="0" w:noVBand="1"/>
        <w:tblCaption w:val="Table 11: Summary of adverse events most commonly reported in PEARL-HF (safety population)"/>
      </w:tblPr>
      <w:tblGrid>
        <w:gridCol w:w="2672"/>
        <w:gridCol w:w="2114"/>
        <w:gridCol w:w="2115"/>
        <w:gridCol w:w="2115"/>
      </w:tblGrid>
      <w:tr w:rsidR="00610D7E" w:rsidRPr="005B6011" w:rsidTr="00F92E72">
        <w:trPr>
          <w:trHeight w:val="178"/>
          <w:tblHeader/>
        </w:trPr>
        <w:tc>
          <w:tcPr>
            <w:tcW w:w="2672" w:type="dxa"/>
            <w:shd w:val="clear" w:color="auto" w:fill="auto"/>
            <w:vAlign w:val="center"/>
          </w:tcPr>
          <w:p w:rsidR="00610D7E" w:rsidRPr="005B6011" w:rsidRDefault="00610D7E" w:rsidP="00F92E72">
            <w:pPr>
              <w:pStyle w:val="TableCentre"/>
              <w:keepNext/>
              <w:keepLines/>
              <w:suppressLineNumbers/>
              <w:suppressAutoHyphens/>
              <w:jc w:val="left"/>
              <w:rPr>
                <w:rFonts w:ascii="Arial Narrow" w:hAnsi="Arial Narrow"/>
                <w:b/>
                <w:szCs w:val="20"/>
              </w:rPr>
            </w:pPr>
            <w:r>
              <w:rPr>
                <w:rFonts w:ascii="Arial Narrow" w:hAnsi="Arial Narrow"/>
                <w:b/>
                <w:szCs w:val="20"/>
              </w:rPr>
              <w:t>PEARL-HF</w:t>
            </w:r>
          </w:p>
        </w:tc>
        <w:tc>
          <w:tcPr>
            <w:tcW w:w="2114" w:type="dxa"/>
            <w:shd w:val="clear" w:color="auto" w:fill="auto"/>
          </w:tcPr>
          <w:p w:rsidR="00610D7E" w:rsidRPr="005B6011" w:rsidRDefault="00610D7E" w:rsidP="00F92E72">
            <w:pPr>
              <w:pStyle w:val="TableCentre"/>
              <w:keepNext/>
              <w:keepLines/>
              <w:suppressLineNumbers/>
              <w:suppressAutoHyphens/>
              <w:rPr>
                <w:rFonts w:ascii="Arial Narrow" w:hAnsi="Arial Narrow"/>
                <w:b/>
                <w:szCs w:val="20"/>
              </w:rPr>
            </w:pPr>
            <w:r w:rsidRPr="005B6011">
              <w:rPr>
                <w:rFonts w:ascii="Arial Narrow" w:hAnsi="Arial Narrow"/>
                <w:b/>
                <w:szCs w:val="20"/>
              </w:rPr>
              <w:t>Patiromer</w:t>
            </w:r>
          </w:p>
          <w:p w:rsidR="00610D7E" w:rsidRPr="005B6011" w:rsidRDefault="00610D7E" w:rsidP="00F92E72">
            <w:pPr>
              <w:pStyle w:val="TableCentre"/>
              <w:keepNext/>
              <w:keepLines/>
              <w:suppressLineNumbers/>
              <w:suppressAutoHyphens/>
              <w:rPr>
                <w:rFonts w:ascii="Arial Narrow" w:hAnsi="Arial Narrow"/>
                <w:b/>
                <w:szCs w:val="20"/>
                <w:lang w:val="en-US"/>
              </w:rPr>
            </w:pPr>
            <w:r w:rsidRPr="005B6011">
              <w:rPr>
                <w:rFonts w:ascii="Arial Narrow" w:hAnsi="Arial Narrow"/>
                <w:b/>
                <w:szCs w:val="20"/>
              </w:rPr>
              <w:t>(N=</w:t>
            </w:r>
            <w:r>
              <w:rPr>
                <w:rFonts w:ascii="Arial Narrow" w:hAnsi="Arial Narrow"/>
                <w:b/>
                <w:szCs w:val="20"/>
              </w:rPr>
              <w:t>56</w:t>
            </w:r>
            <w:r w:rsidRPr="005B6011">
              <w:rPr>
                <w:rFonts w:ascii="Arial Narrow" w:hAnsi="Arial Narrow"/>
                <w:b/>
                <w:szCs w:val="20"/>
              </w:rPr>
              <w:t>)</w:t>
            </w:r>
          </w:p>
        </w:tc>
        <w:tc>
          <w:tcPr>
            <w:tcW w:w="2115" w:type="dxa"/>
            <w:shd w:val="clear" w:color="auto" w:fill="auto"/>
          </w:tcPr>
          <w:p w:rsidR="00610D7E" w:rsidRDefault="00610D7E" w:rsidP="00F92E72">
            <w:pPr>
              <w:pStyle w:val="TableCentre"/>
              <w:keepNext/>
              <w:keepLines/>
              <w:suppressLineNumbers/>
              <w:suppressAutoHyphens/>
              <w:rPr>
                <w:rFonts w:ascii="Arial Narrow" w:hAnsi="Arial Narrow"/>
                <w:b/>
                <w:szCs w:val="20"/>
              </w:rPr>
            </w:pPr>
            <w:r w:rsidRPr="005B6011">
              <w:rPr>
                <w:rFonts w:ascii="Arial Narrow" w:hAnsi="Arial Narrow"/>
                <w:b/>
                <w:szCs w:val="20"/>
              </w:rPr>
              <w:t>Placebo</w:t>
            </w:r>
          </w:p>
          <w:p w:rsidR="00610D7E" w:rsidRPr="005B6011" w:rsidRDefault="00610D7E" w:rsidP="00F92E72">
            <w:pPr>
              <w:pStyle w:val="TableCentre"/>
              <w:keepNext/>
              <w:keepLines/>
              <w:suppressLineNumbers/>
              <w:suppressAutoHyphens/>
              <w:rPr>
                <w:rFonts w:ascii="Arial Narrow" w:hAnsi="Arial Narrow"/>
                <w:b/>
                <w:szCs w:val="20"/>
                <w:lang w:val="en-US"/>
              </w:rPr>
            </w:pPr>
            <w:r w:rsidRPr="005B6011">
              <w:rPr>
                <w:rFonts w:ascii="Arial Narrow" w:hAnsi="Arial Narrow"/>
                <w:b/>
                <w:szCs w:val="20"/>
              </w:rPr>
              <w:t>(N=</w:t>
            </w:r>
            <w:r>
              <w:rPr>
                <w:rFonts w:ascii="Arial Narrow" w:hAnsi="Arial Narrow"/>
                <w:b/>
                <w:szCs w:val="20"/>
              </w:rPr>
              <w:t>49</w:t>
            </w:r>
            <w:r w:rsidRPr="005B6011">
              <w:rPr>
                <w:rFonts w:ascii="Arial Narrow" w:hAnsi="Arial Narrow"/>
                <w:b/>
                <w:szCs w:val="20"/>
              </w:rPr>
              <w:t>)</w:t>
            </w:r>
          </w:p>
        </w:tc>
        <w:tc>
          <w:tcPr>
            <w:tcW w:w="2115" w:type="dxa"/>
            <w:shd w:val="clear" w:color="auto" w:fill="auto"/>
          </w:tcPr>
          <w:p w:rsidR="00610D7E" w:rsidRDefault="00610D7E" w:rsidP="00F92E72">
            <w:pPr>
              <w:pStyle w:val="TableCentre"/>
              <w:keepNext/>
              <w:keepLines/>
              <w:suppressLineNumbers/>
              <w:suppressAutoHyphens/>
              <w:rPr>
                <w:rFonts w:ascii="Arial Narrow" w:hAnsi="Arial Narrow"/>
                <w:b/>
                <w:szCs w:val="20"/>
              </w:rPr>
            </w:pPr>
            <w:r>
              <w:rPr>
                <w:rFonts w:ascii="Arial Narrow" w:hAnsi="Arial Narrow"/>
                <w:b/>
                <w:szCs w:val="20"/>
              </w:rPr>
              <w:t>Overall</w:t>
            </w:r>
          </w:p>
          <w:p w:rsidR="00610D7E" w:rsidRPr="005B6011" w:rsidRDefault="00610D7E" w:rsidP="00F92E72">
            <w:pPr>
              <w:pStyle w:val="TableCentre"/>
              <w:keepNext/>
              <w:keepLines/>
              <w:suppressLineNumbers/>
              <w:suppressAutoHyphens/>
              <w:rPr>
                <w:rFonts w:ascii="Arial Narrow" w:hAnsi="Arial Narrow"/>
                <w:b/>
                <w:szCs w:val="20"/>
              </w:rPr>
            </w:pPr>
            <w:r>
              <w:rPr>
                <w:rFonts w:ascii="Arial Narrow" w:hAnsi="Arial Narrow"/>
                <w:b/>
                <w:szCs w:val="20"/>
              </w:rPr>
              <w:t>(105)</w:t>
            </w:r>
          </w:p>
        </w:tc>
      </w:tr>
      <w:tr w:rsidR="00610D7E" w:rsidRPr="005B6011" w:rsidTr="00F92E72">
        <w:tc>
          <w:tcPr>
            <w:tcW w:w="2672" w:type="dxa"/>
            <w:shd w:val="clear" w:color="auto" w:fill="auto"/>
          </w:tcPr>
          <w:p w:rsidR="00610D7E" w:rsidRPr="005B6011" w:rsidRDefault="00610D7E" w:rsidP="00F92E72">
            <w:pPr>
              <w:pStyle w:val="TableCentre"/>
              <w:keepNext/>
              <w:keepLines/>
              <w:suppressLineNumbers/>
              <w:suppressAutoHyphens/>
              <w:jc w:val="left"/>
              <w:rPr>
                <w:rFonts w:ascii="Arial Narrow" w:hAnsi="Arial Narrow"/>
                <w:szCs w:val="20"/>
              </w:rPr>
            </w:pPr>
            <w:r w:rsidRPr="005B6011">
              <w:rPr>
                <w:rFonts w:ascii="Arial Narrow" w:hAnsi="Arial Narrow"/>
                <w:szCs w:val="20"/>
              </w:rPr>
              <w:t>≥ 1 treatment emergent AE</w:t>
            </w:r>
          </w:p>
        </w:tc>
        <w:tc>
          <w:tcPr>
            <w:tcW w:w="2114" w:type="dxa"/>
            <w:shd w:val="clear" w:color="auto" w:fill="auto"/>
          </w:tcPr>
          <w:p w:rsidR="00610D7E" w:rsidRPr="005B6011" w:rsidRDefault="00610D7E" w:rsidP="00F92E72">
            <w:pPr>
              <w:pStyle w:val="TableCentre"/>
              <w:keepNext/>
              <w:keepLines/>
              <w:suppressLineNumbers/>
              <w:suppressAutoHyphens/>
              <w:rPr>
                <w:rFonts w:ascii="Arial Narrow" w:hAnsi="Arial Narrow"/>
                <w:szCs w:val="20"/>
              </w:rPr>
            </w:pPr>
            <w:r>
              <w:rPr>
                <w:rFonts w:ascii="Arial Narrow" w:eastAsia="TimesNewRoman,Bold" w:hAnsi="Arial Narrow" w:cs="TimesNewRoman"/>
                <w:szCs w:val="20"/>
                <w:lang w:bidi="ar-SA"/>
              </w:rPr>
              <w:t>29 (</w:t>
            </w:r>
            <w:r w:rsidRPr="005B6011">
              <w:rPr>
                <w:rFonts w:ascii="Arial Narrow" w:eastAsia="TimesNewRoman,Bold" w:hAnsi="Arial Narrow" w:cs="TimesNewRoman"/>
                <w:szCs w:val="20"/>
                <w:lang w:bidi="ar-SA"/>
              </w:rPr>
              <w:t>51.8%)</w:t>
            </w:r>
          </w:p>
        </w:tc>
        <w:tc>
          <w:tcPr>
            <w:tcW w:w="2115" w:type="dxa"/>
            <w:shd w:val="clear" w:color="auto" w:fill="auto"/>
          </w:tcPr>
          <w:p w:rsidR="00610D7E" w:rsidRPr="005B6011" w:rsidRDefault="00610D7E" w:rsidP="00F92E72">
            <w:pPr>
              <w:pStyle w:val="TableCentre"/>
              <w:keepNext/>
              <w:keepLines/>
              <w:suppressLineNumbers/>
              <w:suppressAutoHyphens/>
              <w:rPr>
                <w:rFonts w:ascii="Arial Narrow" w:hAnsi="Arial Narrow"/>
                <w:szCs w:val="20"/>
                <w:lang w:val="en-US"/>
              </w:rPr>
            </w:pPr>
            <w:r w:rsidRPr="005B6011">
              <w:rPr>
                <w:rFonts w:ascii="Arial Narrow" w:eastAsia="TimesNewRoman,Bold" w:hAnsi="Arial Narrow" w:cs="TimesNewRoman"/>
                <w:szCs w:val="20"/>
                <w:lang w:bidi="ar-SA"/>
              </w:rPr>
              <w:t xml:space="preserve">14 </w:t>
            </w:r>
            <w:r>
              <w:rPr>
                <w:rFonts w:ascii="Arial Narrow" w:eastAsia="TimesNewRoman,Bold" w:hAnsi="Arial Narrow" w:cs="TimesNewRoman"/>
                <w:szCs w:val="20"/>
                <w:lang w:bidi="ar-SA"/>
              </w:rPr>
              <w:t>(</w:t>
            </w:r>
            <w:r w:rsidRPr="005B6011">
              <w:rPr>
                <w:rFonts w:ascii="Arial Narrow" w:eastAsia="TimesNewRoman,Bold" w:hAnsi="Arial Narrow" w:cs="TimesNewRoman"/>
                <w:szCs w:val="20"/>
                <w:lang w:bidi="ar-SA"/>
              </w:rPr>
              <w:t>28.6%)</w:t>
            </w:r>
          </w:p>
        </w:tc>
        <w:tc>
          <w:tcPr>
            <w:tcW w:w="2115" w:type="dxa"/>
            <w:shd w:val="clear" w:color="auto" w:fill="auto"/>
          </w:tcPr>
          <w:p w:rsidR="00610D7E" w:rsidRPr="005B6011" w:rsidRDefault="00610D7E" w:rsidP="00F92E72">
            <w:pPr>
              <w:keepNext/>
              <w:keepLines/>
              <w:widowControl/>
              <w:suppressLineNumbers/>
              <w:suppressAutoHyphens/>
              <w:autoSpaceDE w:val="0"/>
              <w:autoSpaceDN w:val="0"/>
              <w:adjustRightInd w:val="0"/>
              <w:jc w:val="center"/>
              <w:rPr>
                <w:rFonts w:ascii="Arial Narrow" w:eastAsia="TimesNewRoman,Bold" w:hAnsi="Arial Narrow" w:cs="TimesNewRoman"/>
                <w:sz w:val="20"/>
                <w:szCs w:val="20"/>
              </w:rPr>
            </w:pPr>
            <w:r>
              <w:rPr>
                <w:rFonts w:ascii="Arial Narrow" w:eastAsia="TimesNewRoman,Bold" w:hAnsi="Arial Narrow" w:cs="TimesNewRoman"/>
                <w:sz w:val="20"/>
                <w:szCs w:val="20"/>
              </w:rPr>
              <w:t>43 (41%)</w:t>
            </w:r>
          </w:p>
        </w:tc>
      </w:tr>
      <w:tr w:rsidR="00CF6EAD" w:rsidRPr="005B6011" w:rsidTr="00F92E72">
        <w:tc>
          <w:tcPr>
            <w:tcW w:w="2672" w:type="dxa"/>
            <w:shd w:val="clear" w:color="auto" w:fill="auto"/>
          </w:tcPr>
          <w:p w:rsidR="00CF6EAD" w:rsidRPr="005B6011" w:rsidRDefault="00CF6EAD" w:rsidP="00F92E72">
            <w:pPr>
              <w:pStyle w:val="TableCentre"/>
              <w:keepNext/>
              <w:keepLines/>
              <w:suppressLineNumbers/>
              <w:suppressAutoHyphens/>
              <w:jc w:val="left"/>
              <w:rPr>
                <w:rFonts w:ascii="Arial Narrow" w:hAnsi="Arial Narrow"/>
                <w:szCs w:val="20"/>
              </w:rPr>
            </w:pPr>
            <w:r>
              <w:rPr>
                <w:rFonts w:ascii="Arial Narrow" w:hAnsi="Arial Narrow"/>
                <w:szCs w:val="20"/>
              </w:rPr>
              <w:t>Gastrointestinal adverse events</w:t>
            </w:r>
          </w:p>
        </w:tc>
        <w:tc>
          <w:tcPr>
            <w:tcW w:w="2114" w:type="dxa"/>
            <w:shd w:val="clear" w:color="auto" w:fill="auto"/>
          </w:tcPr>
          <w:p w:rsidR="00CF6EAD" w:rsidRPr="005B6011" w:rsidRDefault="00CF6EAD" w:rsidP="00F92E72">
            <w:pPr>
              <w:pStyle w:val="TableCentre"/>
              <w:keepNext/>
              <w:keepLines/>
              <w:suppressLineNumbers/>
              <w:suppressAutoHyphens/>
              <w:rPr>
                <w:rFonts w:ascii="Arial Narrow" w:eastAsia="TimesNewRoman,Bold" w:hAnsi="Arial Narrow" w:cs="TimesNewRoman"/>
                <w:szCs w:val="20"/>
                <w:lang w:bidi="ar-SA"/>
              </w:rPr>
            </w:pPr>
            <w:r>
              <w:rPr>
                <w:rFonts w:ascii="Arial Narrow" w:eastAsia="TimesNewRoman,Bold" w:hAnsi="Arial Narrow" w:cs="TimesNewRoman"/>
                <w:szCs w:val="20"/>
                <w:lang w:bidi="ar-SA"/>
              </w:rPr>
              <w:t>12 (21.4%)</w:t>
            </w:r>
          </w:p>
        </w:tc>
        <w:tc>
          <w:tcPr>
            <w:tcW w:w="2115" w:type="dxa"/>
            <w:shd w:val="clear" w:color="auto" w:fill="auto"/>
          </w:tcPr>
          <w:p w:rsidR="00CF6EAD" w:rsidRPr="005B6011" w:rsidRDefault="00CF6EAD" w:rsidP="00F92E72">
            <w:pPr>
              <w:pStyle w:val="TableCentre"/>
              <w:keepNext/>
              <w:keepLines/>
              <w:suppressLineNumbers/>
              <w:suppressAutoHyphens/>
              <w:rPr>
                <w:rFonts w:ascii="Arial Narrow" w:eastAsia="TimesNewRoman,Bold" w:hAnsi="Arial Narrow" w:cs="TimesNewRoman"/>
                <w:szCs w:val="20"/>
                <w:lang w:bidi="ar-SA"/>
              </w:rPr>
            </w:pPr>
            <w:r>
              <w:rPr>
                <w:rFonts w:ascii="Arial Narrow" w:eastAsia="TimesNewRoman,Bold" w:hAnsi="Arial Narrow" w:cs="TimesNewRoman"/>
                <w:szCs w:val="20"/>
                <w:lang w:bidi="ar-SA"/>
              </w:rPr>
              <w:t>3 (6.1%)</w:t>
            </w:r>
          </w:p>
        </w:tc>
        <w:tc>
          <w:tcPr>
            <w:tcW w:w="2115" w:type="dxa"/>
            <w:shd w:val="clear" w:color="auto" w:fill="auto"/>
          </w:tcPr>
          <w:p w:rsidR="00CF6EAD" w:rsidRDefault="00CF6EAD" w:rsidP="00F92E72">
            <w:pPr>
              <w:keepNext/>
              <w:keepLines/>
              <w:widowControl/>
              <w:suppressLineNumbers/>
              <w:suppressAutoHyphens/>
              <w:autoSpaceDE w:val="0"/>
              <w:autoSpaceDN w:val="0"/>
              <w:adjustRightInd w:val="0"/>
              <w:jc w:val="center"/>
              <w:rPr>
                <w:rFonts w:ascii="Arial Narrow" w:eastAsia="TimesNewRoman,Bold" w:hAnsi="Arial Narrow" w:cs="TimesNewRoman"/>
                <w:sz w:val="20"/>
                <w:szCs w:val="20"/>
              </w:rPr>
            </w:pPr>
            <w:r>
              <w:rPr>
                <w:rFonts w:ascii="Arial Narrow" w:eastAsia="TimesNewRoman,Bold" w:hAnsi="Arial Narrow" w:cs="TimesNewRoman"/>
                <w:sz w:val="20"/>
                <w:szCs w:val="20"/>
              </w:rPr>
              <w:t>15 (14.3%)</w:t>
            </w:r>
          </w:p>
        </w:tc>
      </w:tr>
      <w:tr w:rsidR="00CF6EAD" w:rsidRPr="005B6011" w:rsidTr="00F92E72">
        <w:tc>
          <w:tcPr>
            <w:tcW w:w="2672" w:type="dxa"/>
            <w:shd w:val="clear" w:color="auto" w:fill="auto"/>
          </w:tcPr>
          <w:p w:rsidR="00CF6EAD" w:rsidRPr="005B6011" w:rsidRDefault="00CF6EAD" w:rsidP="00F92E72">
            <w:pPr>
              <w:pStyle w:val="TableCentre"/>
              <w:keepNext/>
              <w:keepLines/>
              <w:suppressLineNumbers/>
              <w:suppressAutoHyphens/>
              <w:jc w:val="left"/>
              <w:rPr>
                <w:rFonts w:ascii="Arial Narrow" w:hAnsi="Arial Narrow"/>
                <w:szCs w:val="20"/>
              </w:rPr>
            </w:pPr>
            <w:r w:rsidRPr="005B6011">
              <w:rPr>
                <w:rFonts w:ascii="Arial Narrow" w:hAnsi="Arial Narrow"/>
                <w:szCs w:val="20"/>
              </w:rPr>
              <w:t>Constipation</w:t>
            </w:r>
          </w:p>
        </w:tc>
        <w:tc>
          <w:tcPr>
            <w:tcW w:w="2114" w:type="dxa"/>
            <w:shd w:val="clear" w:color="auto" w:fill="auto"/>
          </w:tcPr>
          <w:p w:rsidR="00CF6EAD" w:rsidRPr="005B6011" w:rsidRDefault="00CF6EAD" w:rsidP="00F92E72">
            <w:pPr>
              <w:pStyle w:val="TableCentre"/>
              <w:keepNext/>
              <w:keepLines/>
              <w:suppressLineNumbers/>
              <w:suppressAutoHyphens/>
              <w:rPr>
                <w:rFonts w:ascii="Arial Narrow" w:hAnsi="Arial Narrow"/>
                <w:szCs w:val="20"/>
              </w:rPr>
            </w:pPr>
            <w:r w:rsidRPr="005B6011">
              <w:rPr>
                <w:rFonts w:ascii="Arial Narrow" w:eastAsia="TimesNewRoman,Bold" w:hAnsi="Arial Narrow" w:cs="TimesNewRoman"/>
                <w:szCs w:val="20"/>
                <w:lang w:bidi="ar-SA"/>
              </w:rPr>
              <w:t xml:space="preserve">3 </w:t>
            </w:r>
            <w:r>
              <w:rPr>
                <w:rFonts w:ascii="Arial Narrow" w:eastAsia="TimesNewRoman,Bold" w:hAnsi="Arial Narrow" w:cs="TimesNewRoman"/>
                <w:szCs w:val="20"/>
                <w:lang w:bidi="ar-SA"/>
              </w:rPr>
              <w:t>(</w:t>
            </w:r>
            <w:r w:rsidRPr="005B6011">
              <w:rPr>
                <w:rFonts w:ascii="Arial Narrow" w:eastAsia="TimesNewRoman,Bold" w:hAnsi="Arial Narrow" w:cs="TimesNewRoman"/>
                <w:szCs w:val="20"/>
                <w:lang w:bidi="ar-SA"/>
              </w:rPr>
              <w:t>5.4%)</w:t>
            </w:r>
          </w:p>
        </w:tc>
        <w:tc>
          <w:tcPr>
            <w:tcW w:w="2115" w:type="dxa"/>
            <w:shd w:val="clear" w:color="auto" w:fill="auto"/>
          </w:tcPr>
          <w:p w:rsidR="00CF6EAD" w:rsidRPr="005B6011" w:rsidRDefault="00CF6EAD" w:rsidP="00F92E72">
            <w:pPr>
              <w:pStyle w:val="TableCentre"/>
              <w:keepNext/>
              <w:keepLines/>
              <w:suppressLineNumbers/>
              <w:suppressAutoHyphens/>
              <w:rPr>
                <w:rFonts w:ascii="Arial Narrow" w:hAnsi="Arial Narrow"/>
                <w:szCs w:val="20"/>
                <w:lang w:val="en-US"/>
              </w:rPr>
            </w:pPr>
            <w:r>
              <w:rPr>
                <w:rFonts w:ascii="Arial Narrow" w:hAnsi="Arial Narrow"/>
                <w:szCs w:val="20"/>
              </w:rPr>
              <w:t>0</w:t>
            </w:r>
          </w:p>
        </w:tc>
        <w:tc>
          <w:tcPr>
            <w:tcW w:w="2115" w:type="dxa"/>
            <w:shd w:val="clear" w:color="auto" w:fill="auto"/>
          </w:tcPr>
          <w:p w:rsidR="00CF6EAD" w:rsidRPr="005B6011" w:rsidRDefault="00CF6EAD" w:rsidP="00F92E72">
            <w:pPr>
              <w:pStyle w:val="TableCentre"/>
              <w:keepNext/>
              <w:keepLines/>
              <w:suppressLineNumbers/>
              <w:suppressAutoHyphens/>
              <w:rPr>
                <w:rFonts w:ascii="Arial Narrow" w:hAnsi="Arial Narrow"/>
                <w:szCs w:val="20"/>
              </w:rPr>
            </w:pPr>
            <w:r w:rsidRPr="005B6011">
              <w:rPr>
                <w:rFonts w:ascii="Arial Narrow" w:eastAsia="TimesNewRoman,Bold" w:hAnsi="Arial Narrow" w:cs="TimesNewRoman"/>
                <w:szCs w:val="20"/>
                <w:lang w:bidi="ar-SA"/>
              </w:rPr>
              <w:t xml:space="preserve">3 </w:t>
            </w:r>
            <w:r>
              <w:rPr>
                <w:rFonts w:ascii="Arial Narrow" w:eastAsia="TimesNewRoman,Bold" w:hAnsi="Arial Narrow" w:cs="TimesNewRoman"/>
                <w:szCs w:val="20"/>
                <w:lang w:bidi="ar-SA"/>
              </w:rPr>
              <w:t>(</w:t>
            </w:r>
            <w:r w:rsidRPr="005B6011">
              <w:rPr>
                <w:rFonts w:ascii="Arial Narrow" w:eastAsia="TimesNewRoman,Bold" w:hAnsi="Arial Narrow" w:cs="TimesNewRoman"/>
                <w:szCs w:val="20"/>
                <w:lang w:bidi="ar-SA"/>
              </w:rPr>
              <w:t>2.9%)</w:t>
            </w:r>
          </w:p>
        </w:tc>
      </w:tr>
      <w:tr w:rsidR="00CF6EAD" w:rsidRPr="005B6011" w:rsidTr="00F92E72">
        <w:tc>
          <w:tcPr>
            <w:tcW w:w="2672" w:type="dxa"/>
            <w:shd w:val="clear" w:color="auto" w:fill="auto"/>
          </w:tcPr>
          <w:p w:rsidR="00CF6EAD" w:rsidRPr="005B6011" w:rsidRDefault="00CF6EAD" w:rsidP="00F92E72">
            <w:pPr>
              <w:pStyle w:val="TableCentre"/>
              <w:keepNext/>
              <w:keepLines/>
              <w:suppressLineNumbers/>
              <w:suppressAutoHyphens/>
              <w:jc w:val="left"/>
              <w:rPr>
                <w:rFonts w:ascii="Arial Narrow" w:hAnsi="Arial Narrow"/>
                <w:szCs w:val="20"/>
              </w:rPr>
            </w:pPr>
            <w:r w:rsidRPr="005B6011">
              <w:rPr>
                <w:rFonts w:ascii="Arial Narrow" w:hAnsi="Arial Narrow"/>
                <w:szCs w:val="20"/>
              </w:rPr>
              <w:t>Diarrhoea</w:t>
            </w:r>
          </w:p>
        </w:tc>
        <w:tc>
          <w:tcPr>
            <w:tcW w:w="2114" w:type="dxa"/>
            <w:shd w:val="clear" w:color="auto" w:fill="auto"/>
          </w:tcPr>
          <w:p w:rsidR="00CF6EAD" w:rsidRPr="005B6011" w:rsidRDefault="00CF6EAD" w:rsidP="00F92E72">
            <w:pPr>
              <w:pStyle w:val="TableCentre"/>
              <w:keepNext/>
              <w:keepLines/>
              <w:suppressLineNumbers/>
              <w:suppressAutoHyphens/>
              <w:rPr>
                <w:rFonts w:ascii="Arial Narrow" w:hAnsi="Arial Narrow"/>
                <w:szCs w:val="20"/>
              </w:rPr>
            </w:pPr>
            <w:r w:rsidRPr="005B6011">
              <w:rPr>
                <w:rFonts w:ascii="Arial Narrow" w:eastAsia="TimesNewRoman,Bold" w:hAnsi="Arial Narrow" w:cs="TimesNewRoman"/>
                <w:szCs w:val="20"/>
                <w:lang w:bidi="ar-SA"/>
              </w:rPr>
              <w:t xml:space="preserve">3 </w:t>
            </w:r>
            <w:r>
              <w:rPr>
                <w:rFonts w:ascii="Arial Narrow" w:eastAsia="TimesNewRoman,Bold" w:hAnsi="Arial Narrow" w:cs="TimesNewRoman"/>
                <w:szCs w:val="20"/>
                <w:lang w:bidi="ar-SA"/>
              </w:rPr>
              <w:t>(</w:t>
            </w:r>
            <w:r w:rsidRPr="005B6011">
              <w:rPr>
                <w:rFonts w:ascii="Arial Narrow" w:eastAsia="TimesNewRoman,Bold" w:hAnsi="Arial Narrow" w:cs="TimesNewRoman"/>
                <w:szCs w:val="20"/>
                <w:lang w:bidi="ar-SA"/>
              </w:rPr>
              <w:t>5.4%)</w:t>
            </w:r>
          </w:p>
        </w:tc>
        <w:tc>
          <w:tcPr>
            <w:tcW w:w="2115" w:type="dxa"/>
            <w:shd w:val="clear" w:color="auto" w:fill="auto"/>
          </w:tcPr>
          <w:p w:rsidR="00CF6EAD" w:rsidRPr="005B6011" w:rsidRDefault="00CF6EAD" w:rsidP="00F92E72">
            <w:pPr>
              <w:pStyle w:val="TableCentre"/>
              <w:keepNext/>
              <w:keepLines/>
              <w:suppressLineNumbers/>
              <w:suppressAutoHyphens/>
              <w:rPr>
                <w:rFonts w:ascii="Arial Narrow" w:hAnsi="Arial Narrow"/>
                <w:szCs w:val="20"/>
                <w:lang w:val="en-US"/>
              </w:rPr>
            </w:pPr>
            <w:r w:rsidRPr="005B6011">
              <w:rPr>
                <w:rFonts w:ascii="Arial Narrow" w:eastAsia="TimesNewRoman,Bold" w:hAnsi="Arial Narrow" w:cs="TimesNewRoman"/>
                <w:szCs w:val="20"/>
                <w:lang w:bidi="ar-SA"/>
              </w:rPr>
              <w:t xml:space="preserve">1 </w:t>
            </w:r>
            <w:r>
              <w:rPr>
                <w:rFonts w:ascii="Arial Narrow" w:eastAsia="TimesNewRoman,Bold" w:hAnsi="Arial Narrow" w:cs="TimesNewRoman"/>
                <w:szCs w:val="20"/>
                <w:lang w:bidi="ar-SA"/>
              </w:rPr>
              <w:t>(</w:t>
            </w:r>
            <w:r w:rsidRPr="005B6011">
              <w:rPr>
                <w:rFonts w:ascii="Arial Narrow" w:eastAsia="TimesNewRoman,Bold" w:hAnsi="Arial Narrow" w:cs="TimesNewRoman"/>
                <w:szCs w:val="20"/>
                <w:lang w:bidi="ar-SA"/>
              </w:rPr>
              <w:t>2.0%)</w:t>
            </w:r>
          </w:p>
        </w:tc>
        <w:tc>
          <w:tcPr>
            <w:tcW w:w="2115" w:type="dxa"/>
            <w:shd w:val="clear" w:color="auto" w:fill="auto"/>
          </w:tcPr>
          <w:p w:rsidR="00CF6EAD" w:rsidRPr="005B6011" w:rsidRDefault="00CF6EAD" w:rsidP="00F92E72">
            <w:pPr>
              <w:pStyle w:val="TableCentre"/>
              <w:keepNext/>
              <w:keepLines/>
              <w:suppressLineNumbers/>
              <w:suppressAutoHyphens/>
              <w:rPr>
                <w:rFonts w:ascii="Arial Narrow" w:hAnsi="Arial Narrow"/>
                <w:szCs w:val="20"/>
              </w:rPr>
            </w:pPr>
            <w:r w:rsidRPr="005B6011">
              <w:rPr>
                <w:rFonts w:ascii="Arial Narrow" w:eastAsia="TimesNewRoman,Bold" w:hAnsi="Arial Narrow" w:cs="TimesNewRoman"/>
                <w:szCs w:val="20"/>
                <w:lang w:bidi="ar-SA"/>
              </w:rPr>
              <w:t xml:space="preserve">4 </w:t>
            </w:r>
            <w:r>
              <w:rPr>
                <w:rFonts w:ascii="Arial Narrow" w:eastAsia="TimesNewRoman,Bold" w:hAnsi="Arial Narrow" w:cs="TimesNewRoman"/>
                <w:szCs w:val="20"/>
                <w:lang w:bidi="ar-SA"/>
              </w:rPr>
              <w:t>(</w:t>
            </w:r>
            <w:r w:rsidRPr="005B6011">
              <w:rPr>
                <w:rFonts w:ascii="Arial Narrow" w:eastAsia="TimesNewRoman,Bold" w:hAnsi="Arial Narrow" w:cs="TimesNewRoman"/>
                <w:szCs w:val="20"/>
                <w:lang w:bidi="ar-SA"/>
              </w:rPr>
              <w:t>3.8%)</w:t>
            </w:r>
          </w:p>
        </w:tc>
      </w:tr>
      <w:tr w:rsidR="00CF6EAD" w:rsidRPr="005B6011" w:rsidTr="00F92E72">
        <w:tc>
          <w:tcPr>
            <w:tcW w:w="2672" w:type="dxa"/>
            <w:shd w:val="clear" w:color="auto" w:fill="auto"/>
          </w:tcPr>
          <w:p w:rsidR="00CF6EAD" w:rsidRDefault="00CF6EAD" w:rsidP="00F92E72">
            <w:pPr>
              <w:pStyle w:val="TableCentre"/>
              <w:keepNext/>
              <w:keepLines/>
              <w:suppressLineNumbers/>
              <w:suppressAutoHyphens/>
              <w:jc w:val="left"/>
              <w:rPr>
                <w:rStyle w:val="Small"/>
                <w:rFonts w:ascii="Arial Narrow" w:hAnsi="Arial Narrow"/>
                <w:szCs w:val="20"/>
              </w:rPr>
            </w:pPr>
            <w:r>
              <w:rPr>
                <w:rStyle w:val="Small"/>
                <w:rFonts w:ascii="Arial Narrow" w:hAnsi="Arial Narrow"/>
                <w:szCs w:val="20"/>
              </w:rPr>
              <w:t>Flatulence</w:t>
            </w:r>
          </w:p>
        </w:tc>
        <w:tc>
          <w:tcPr>
            <w:tcW w:w="2114" w:type="dxa"/>
            <w:shd w:val="clear" w:color="auto" w:fill="auto"/>
          </w:tcPr>
          <w:p w:rsidR="00CF6EAD" w:rsidRPr="005B6011" w:rsidRDefault="00CF6EAD" w:rsidP="00F92E72">
            <w:pPr>
              <w:pStyle w:val="TableCentre"/>
              <w:keepNext/>
              <w:keepLines/>
              <w:suppressLineNumbers/>
              <w:suppressAutoHyphens/>
              <w:rPr>
                <w:rFonts w:ascii="Arial Narrow" w:eastAsia="TimesNewRoman,Bold" w:hAnsi="Arial Narrow" w:cs="TimesNewRoman"/>
                <w:szCs w:val="20"/>
                <w:lang w:bidi="ar-SA"/>
              </w:rPr>
            </w:pPr>
            <w:r w:rsidRPr="005B6011">
              <w:rPr>
                <w:rFonts w:ascii="Arial Narrow" w:eastAsia="TimesNewRoman,Bold" w:hAnsi="Arial Narrow" w:cs="TimesNewRoman"/>
                <w:szCs w:val="20"/>
                <w:lang w:bidi="ar-SA"/>
              </w:rPr>
              <w:t xml:space="preserve">4 </w:t>
            </w:r>
            <w:r>
              <w:rPr>
                <w:rFonts w:ascii="Arial Narrow" w:eastAsia="TimesNewRoman,Bold" w:hAnsi="Arial Narrow" w:cs="TimesNewRoman"/>
                <w:szCs w:val="20"/>
                <w:lang w:bidi="ar-SA"/>
              </w:rPr>
              <w:t>(</w:t>
            </w:r>
            <w:r w:rsidRPr="005B6011">
              <w:rPr>
                <w:rFonts w:ascii="Arial Narrow" w:eastAsia="TimesNewRoman,Bold" w:hAnsi="Arial Narrow" w:cs="TimesNewRoman"/>
                <w:szCs w:val="20"/>
                <w:lang w:bidi="ar-SA"/>
              </w:rPr>
              <w:t>7.1%)</w:t>
            </w:r>
          </w:p>
        </w:tc>
        <w:tc>
          <w:tcPr>
            <w:tcW w:w="2115" w:type="dxa"/>
            <w:shd w:val="clear" w:color="auto" w:fill="auto"/>
          </w:tcPr>
          <w:p w:rsidR="00CF6EAD" w:rsidRDefault="00CF6EAD" w:rsidP="00F92E72">
            <w:pPr>
              <w:pStyle w:val="TableCentre"/>
              <w:keepNext/>
              <w:keepLines/>
              <w:suppressLineNumbers/>
              <w:suppressAutoHyphens/>
              <w:rPr>
                <w:rFonts w:ascii="Arial Narrow" w:eastAsia="TimesNewRoman,Bold" w:hAnsi="Arial Narrow" w:cs="TimesNewRoman"/>
                <w:szCs w:val="20"/>
                <w:lang w:bidi="ar-SA"/>
              </w:rPr>
            </w:pPr>
            <w:r>
              <w:rPr>
                <w:rFonts w:ascii="Arial Narrow" w:eastAsia="TimesNewRoman,Bold" w:hAnsi="Arial Narrow" w:cs="TimesNewRoman"/>
                <w:szCs w:val="20"/>
                <w:lang w:bidi="ar-SA"/>
              </w:rPr>
              <w:t>0</w:t>
            </w:r>
          </w:p>
        </w:tc>
        <w:tc>
          <w:tcPr>
            <w:tcW w:w="2115" w:type="dxa"/>
            <w:shd w:val="clear" w:color="auto" w:fill="auto"/>
          </w:tcPr>
          <w:p w:rsidR="00CF6EAD" w:rsidRPr="005B6011" w:rsidRDefault="00CF6EAD" w:rsidP="00F92E72">
            <w:pPr>
              <w:pStyle w:val="TableCentre"/>
              <w:keepNext/>
              <w:keepLines/>
              <w:suppressLineNumbers/>
              <w:suppressAutoHyphens/>
              <w:rPr>
                <w:rFonts w:ascii="Arial Narrow" w:eastAsia="TimesNewRoman,Bold" w:hAnsi="Arial Narrow" w:cs="TimesNewRoman"/>
                <w:szCs w:val="20"/>
                <w:lang w:bidi="ar-SA"/>
              </w:rPr>
            </w:pPr>
            <w:r w:rsidRPr="005B6011">
              <w:rPr>
                <w:rFonts w:ascii="Arial Narrow" w:eastAsia="TimesNewRoman,Bold" w:hAnsi="Arial Narrow" w:cs="TimesNewRoman"/>
                <w:szCs w:val="20"/>
                <w:lang w:bidi="ar-SA"/>
              </w:rPr>
              <w:t xml:space="preserve">4 </w:t>
            </w:r>
            <w:r>
              <w:rPr>
                <w:rFonts w:ascii="Arial Narrow" w:eastAsia="TimesNewRoman,Bold" w:hAnsi="Arial Narrow" w:cs="TimesNewRoman"/>
                <w:szCs w:val="20"/>
                <w:lang w:bidi="ar-SA"/>
              </w:rPr>
              <w:t>(</w:t>
            </w:r>
            <w:r w:rsidRPr="005B6011">
              <w:rPr>
                <w:rFonts w:ascii="Arial Narrow" w:eastAsia="TimesNewRoman,Bold" w:hAnsi="Arial Narrow" w:cs="TimesNewRoman"/>
                <w:szCs w:val="20"/>
                <w:lang w:bidi="ar-SA"/>
              </w:rPr>
              <w:t>3.8%)</w:t>
            </w:r>
          </w:p>
        </w:tc>
      </w:tr>
      <w:tr w:rsidR="00375052" w:rsidRPr="005B6011" w:rsidTr="00F92E72">
        <w:tc>
          <w:tcPr>
            <w:tcW w:w="2672" w:type="dxa"/>
            <w:shd w:val="clear" w:color="auto" w:fill="auto"/>
          </w:tcPr>
          <w:p w:rsidR="00375052" w:rsidRPr="005B6011" w:rsidRDefault="00375052" w:rsidP="00F92E72">
            <w:pPr>
              <w:pStyle w:val="TableCentre"/>
              <w:keepNext/>
              <w:keepLines/>
              <w:suppressLineNumbers/>
              <w:suppressAutoHyphens/>
              <w:jc w:val="left"/>
              <w:rPr>
                <w:rFonts w:ascii="Arial Narrow" w:hAnsi="Arial Narrow"/>
                <w:szCs w:val="20"/>
              </w:rPr>
            </w:pPr>
            <w:r>
              <w:rPr>
                <w:rFonts w:ascii="Arial Narrow" w:hAnsi="Arial Narrow"/>
                <w:szCs w:val="20"/>
              </w:rPr>
              <w:t>Hypokalaemia (&lt; 3.5 mmol/L)</w:t>
            </w:r>
          </w:p>
        </w:tc>
        <w:tc>
          <w:tcPr>
            <w:tcW w:w="2114" w:type="dxa"/>
            <w:shd w:val="clear" w:color="auto" w:fill="auto"/>
          </w:tcPr>
          <w:p w:rsidR="00375052" w:rsidRDefault="00375052" w:rsidP="00F92E72">
            <w:pPr>
              <w:pStyle w:val="TableCentre"/>
              <w:keepNext/>
              <w:keepLines/>
              <w:suppressLineNumbers/>
              <w:suppressAutoHyphens/>
              <w:rPr>
                <w:rFonts w:ascii="Arial Narrow" w:eastAsia="TimesNewRoman,Bold" w:hAnsi="Arial Narrow" w:cs="TimesNewRoman"/>
                <w:szCs w:val="20"/>
                <w:lang w:bidi="ar-SA"/>
              </w:rPr>
            </w:pPr>
            <w:r>
              <w:rPr>
                <w:rFonts w:ascii="Arial Narrow" w:eastAsia="TimesNewRoman,Bold" w:hAnsi="Arial Narrow" w:cs="TimesNewRoman"/>
                <w:szCs w:val="20"/>
                <w:lang w:bidi="ar-SA"/>
              </w:rPr>
              <w:t>4 (7.3%)</w:t>
            </w:r>
          </w:p>
        </w:tc>
        <w:tc>
          <w:tcPr>
            <w:tcW w:w="2115" w:type="dxa"/>
            <w:shd w:val="clear" w:color="auto" w:fill="auto"/>
          </w:tcPr>
          <w:p w:rsidR="00375052" w:rsidRPr="005B6011" w:rsidRDefault="00375052" w:rsidP="00F92E72">
            <w:pPr>
              <w:pStyle w:val="TableCentre"/>
              <w:keepNext/>
              <w:keepLines/>
              <w:suppressLineNumbers/>
              <w:suppressAutoHyphens/>
              <w:rPr>
                <w:rFonts w:ascii="Arial Narrow" w:eastAsia="TimesNewRoman,Bold" w:hAnsi="Arial Narrow" w:cs="TimesNewRoman"/>
                <w:szCs w:val="20"/>
                <w:lang w:bidi="ar-SA"/>
              </w:rPr>
            </w:pPr>
            <w:r>
              <w:rPr>
                <w:rFonts w:ascii="Arial Narrow" w:eastAsia="TimesNewRoman,Bold" w:hAnsi="Arial Narrow" w:cs="TimesNewRoman"/>
                <w:szCs w:val="20"/>
                <w:lang w:bidi="ar-SA"/>
              </w:rPr>
              <w:t>0</w:t>
            </w:r>
          </w:p>
        </w:tc>
        <w:tc>
          <w:tcPr>
            <w:tcW w:w="2115" w:type="dxa"/>
            <w:shd w:val="clear" w:color="auto" w:fill="auto"/>
          </w:tcPr>
          <w:p w:rsidR="00375052" w:rsidRDefault="00375052" w:rsidP="00F92E72">
            <w:pPr>
              <w:keepNext/>
              <w:keepLines/>
              <w:widowControl/>
              <w:suppressLineNumbers/>
              <w:suppressAutoHyphens/>
              <w:autoSpaceDE w:val="0"/>
              <w:autoSpaceDN w:val="0"/>
              <w:adjustRightInd w:val="0"/>
              <w:jc w:val="center"/>
              <w:rPr>
                <w:rFonts w:ascii="Arial Narrow" w:eastAsia="TimesNewRoman,Bold" w:hAnsi="Arial Narrow" w:cs="TimesNewRoman"/>
                <w:sz w:val="20"/>
                <w:szCs w:val="20"/>
              </w:rPr>
            </w:pPr>
            <w:r>
              <w:rPr>
                <w:rFonts w:ascii="Arial Narrow" w:eastAsia="TimesNewRoman,Bold" w:hAnsi="Arial Narrow" w:cs="TimesNewRoman"/>
                <w:sz w:val="20"/>
                <w:szCs w:val="20"/>
              </w:rPr>
              <w:t>4 (3.8%)</w:t>
            </w:r>
          </w:p>
        </w:tc>
      </w:tr>
      <w:tr w:rsidR="00610D7E" w:rsidRPr="005B6011" w:rsidTr="00F92E72">
        <w:tc>
          <w:tcPr>
            <w:tcW w:w="2672" w:type="dxa"/>
            <w:shd w:val="clear" w:color="auto" w:fill="auto"/>
          </w:tcPr>
          <w:p w:rsidR="00610D7E" w:rsidRPr="005B6011" w:rsidRDefault="00610D7E" w:rsidP="00F92E72">
            <w:pPr>
              <w:pStyle w:val="TableCentre"/>
              <w:keepNext/>
              <w:keepLines/>
              <w:suppressLineNumbers/>
              <w:suppressAutoHyphens/>
              <w:jc w:val="left"/>
              <w:rPr>
                <w:rFonts w:ascii="Arial Narrow" w:hAnsi="Arial Narrow"/>
                <w:szCs w:val="20"/>
              </w:rPr>
            </w:pPr>
            <w:r>
              <w:rPr>
                <w:rFonts w:ascii="Arial Narrow" w:hAnsi="Arial Narrow"/>
                <w:szCs w:val="20"/>
              </w:rPr>
              <w:t>Blood urea increased</w:t>
            </w:r>
          </w:p>
        </w:tc>
        <w:tc>
          <w:tcPr>
            <w:tcW w:w="2114" w:type="dxa"/>
            <w:shd w:val="clear" w:color="auto" w:fill="auto"/>
          </w:tcPr>
          <w:p w:rsidR="00610D7E" w:rsidRPr="005B6011" w:rsidRDefault="00610D7E" w:rsidP="00F92E72">
            <w:pPr>
              <w:pStyle w:val="TableCentre"/>
              <w:keepNext/>
              <w:keepLines/>
              <w:suppressLineNumbers/>
              <w:suppressAutoHyphens/>
              <w:rPr>
                <w:rFonts w:ascii="Arial Narrow" w:hAnsi="Arial Narrow"/>
                <w:szCs w:val="20"/>
              </w:rPr>
            </w:pPr>
            <w:r w:rsidRPr="005B6011">
              <w:rPr>
                <w:rFonts w:ascii="Arial Narrow" w:eastAsia="TimesNewRoman,Bold" w:hAnsi="Arial Narrow" w:cs="TimesNewRoman"/>
                <w:szCs w:val="20"/>
                <w:lang w:bidi="ar-SA"/>
              </w:rPr>
              <w:t xml:space="preserve">3 </w:t>
            </w:r>
            <w:r>
              <w:rPr>
                <w:rFonts w:ascii="Arial Narrow" w:eastAsia="TimesNewRoman,Bold" w:hAnsi="Arial Narrow" w:cs="TimesNewRoman"/>
                <w:szCs w:val="20"/>
                <w:lang w:bidi="ar-SA"/>
              </w:rPr>
              <w:t>(</w:t>
            </w:r>
            <w:r w:rsidRPr="005B6011">
              <w:rPr>
                <w:rFonts w:ascii="Arial Narrow" w:eastAsia="TimesNewRoman,Bold" w:hAnsi="Arial Narrow" w:cs="TimesNewRoman"/>
                <w:szCs w:val="20"/>
                <w:lang w:bidi="ar-SA"/>
              </w:rPr>
              <w:t>5.4%)</w:t>
            </w:r>
          </w:p>
        </w:tc>
        <w:tc>
          <w:tcPr>
            <w:tcW w:w="2115" w:type="dxa"/>
            <w:shd w:val="clear" w:color="auto" w:fill="auto"/>
          </w:tcPr>
          <w:p w:rsidR="00610D7E" w:rsidRPr="005B6011" w:rsidRDefault="00610D7E" w:rsidP="00F92E72">
            <w:pPr>
              <w:pStyle w:val="TableCentre"/>
              <w:keepNext/>
              <w:keepLines/>
              <w:suppressLineNumbers/>
              <w:tabs>
                <w:tab w:val="left" w:pos="184"/>
                <w:tab w:val="center" w:pos="530"/>
              </w:tabs>
              <w:suppressAutoHyphens/>
              <w:rPr>
                <w:rFonts w:ascii="Arial Narrow" w:hAnsi="Arial Narrow"/>
                <w:szCs w:val="20"/>
                <w:lang w:val="en-US"/>
              </w:rPr>
            </w:pPr>
            <w:r>
              <w:rPr>
                <w:rFonts w:ascii="Arial Narrow" w:hAnsi="Arial Narrow"/>
                <w:szCs w:val="20"/>
              </w:rPr>
              <w:t>0</w:t>
            </w:r>
          </w:p>
        </w:tc>
        <w:tc>
          <w:tcPr>
            <w:tcW w:w="2115" w:type="dxa"/>
            <w:shd w:val="clear" w:color="auto" w:fill="auto"/>
          </w:tcPr>
          <w:p w:rsidR="00610D7E" w:rsidRPr="005B6011" w:rsidRDefault="00610D7E" w:rsidP="00F92E72">
            <w:pPr>
              <w:pStyle w:val="TableCentre"/>
              <w:keepNext/>
              <w:keepLines/>
              <w:suppressLineNumbers/>
              <w:tabs>
                <w:tab w:val="left" w:pos="184"/>
                <w:tab w:val="center" w:pos="530"/>
              </w:tabs>
              <w:suppressAutoHyphens/>
              <w:rPr>
                <w:rFonts w:ascii="Arial Narrow" w:hAnsi="Arial Narrow"/>
                <w:szCs w:val="20"/>
              </w:rPr>
            </w:pPr>
            <w:r w:rsidRPr="005B6011">
              <w:rPr>
                <w:rFonts w:ascii="Arial Narrow" w:eastAsia="TimesNewRoman,Bold" w:hAnsi="Arial Narrow" w:cs="TimesNewRoman"/>
                <w:szCs w:val="20"/>
                <w:lang w:bidi="ar-SA"/>
              </w:rPr>
              <w:t xml:space="preserve">3 </w:t>
            </w:r>
            <w:r>
              <w:rPr>
                <w:rFonts w:ascii="Arial Narrow" w:eastAsia="TimesNewRoman,Bold" w:hAnsi="Arial Narrow" w:cs="TimesNewRoman"/>
                <w:szCs w:val="20"/>
                <w:lang w:bidi="ar-SA"/>
              </w:rPr>
              <w:t>(</w:t>
            </w:r>
            <w:r w:rsidRPr="005B6011">
              <w:rPr>
                <w:rFonts w:ascii="Arial Narrow" w:eastAsia="TimesNewRoman,Bold" w:hAnsi="Arial Narrow" w:cs="TimesNewRoman"/>
                <w:szCs w:val="20"/>
                <w:lang w:bidi="ar-SA"/>
              </w:rPr>
              <w:t>2.9%)</w:t>
            </w:r>
          </w:p>
        </w:tc>
      </w:tr>
    </w:tbl>
    <w:p w:rsidR="00610D7E" w:rsidRDefault="00610D7E" w:rsidP="00F92E72">
      <w:pPr>
        <w:keepNext/>
        <w:keepLines/>
        <w:widowControl/>
        <w:suppressLineNumbers/>
        <w:suppressAutoHyphens/>
        <w:rPr>
          <w:rFonts w:ascii="Arial Narrow" w:hAnsi="Arial Narrow"/>
          <w:sz w:val="18"/>
          <w:szCs w:val="18"/>
        </w:rPr>
      </w:pPr>
      <w:r w:rsidRPr="00175DC3">
        <w:rPr>
          <w:rFonts w:ascii="Arial Narrow" w:hAnsi="Arial Narrow"/>
          <w:sz w:val="18"/>
          <w:szCs w:val="18"/>
        </w:rPr>
        <w:t>AE</w:t>
      </w:r>
      <w:r w:rsidR="00365D06">
        <w:rPr>
          <w:rFonts w:ascii="Arial Narrow" w:hAnsi="Arial Narrow"/>
          <w:sz w:val="18"/>
          <w:szCs w:val="18"/>
        </w:rPr>
        <w:t xml:space="preserve"> =</w:t>
      </w:r>
      <w:r w:rsidRPr="00175DC3">
        <w:rPr>
          <w:rFonts w:ascii="Arial Narrow" w:hAnsi="Arial Narrow"/>
          <w:sz w:val="18"/>
          <w:szCs w:val="18"/>
        </w:rPr>
        <w:t xml:space="preserve"> adverse event</w:t>
      </w:r>
    </w:p>
    <w:p w:rsidR="002C190B" w:rsidRPr="00175DC3" w:rsidRDefault="002C190B" w:rsidP="00F92E72">
      <w:pPr>
        <w:keepNext/>
        <w:keepLines/>
        <w:widowControl/>
        <w:suppressLineNumbers/>
        <w:suppressAutoHyphens/>
        <w:rPr>
          <w:rFonts w:ascii="Arial Narrow" w:hAnsi="Arial Narrow"/>
          <w:sz w:val="18"/>
          <w:szCs w:val="18"/>
        </w:rPr>
      </w:pPr>
      <w:r w:rsidRPr="00175DC3">
        <w:rPr>
          <w:rFonts w:ascii="Arial Narrow" w:hAnsi="Arial Narrow"/>
          <w:sz w:val="18"/>
          <w:szCs w:val="18"/>
        </w:rPr>
        <w:t>Source: Table 29, p.110 of the PEARL-HF CSR</w:t>
      </w:r>
    </w:p>
    <w:p w:rsidR="00610D7E" w:rsidRDefault="00610D7E" w:rsidP="00C209C6">
      <w:pPr>
        <w:widowControl/>
        <w:ind w:left="720" w:hanging="720"/>
      </w:pPr>
    </w:p>
    <w:p w:rsidR="00610D7E" w:rsidRPr="00B31910" w:rsidRDefault="00610D7E" w:rsidP="00F92E72">
      <w:pPr>
        <w:widowControl/>
        <w:rPr>
          <w:rStyle w:val="Font"/>
          <w:rFonts w:ascii="Arial Narrow" w:hAnsi="Arial Narrow"/>
          <w:b/>
          <w:sz w:val="20"/>
          <w:szCs w:val="20"/>
        </w:rPr>
      </w:pPr>
      <w:r w:rsidRPr="00B31910">
        <w:rPr>
          <w:rStyle w:val="Font"/>
          <w:rFonts w:ascii="Arial Narrow" w:hAnsi="Arial Narrow"/>
          <w:b/>
          <w:sz w:val="20"/>
          <w:szCs w:val="20"/>
        </w:rPr>
        <w:t xml:space="preserve">Table </w:t>
      </w:r>
      <w:r w:rsidR="00B31910">
        <w:rPr>
          <w:rStyle w:val="Font"/>
          <w:rFonts w:ascii="Arial Narrow" w:hAnsi="Arial Narrow"/>
          <w:b/>
          <w:sz w:val="20"/>
          <w:szCs w:val="20"/>
        </w:rPr>
        <w:t>12</w:t>
      </w:r>
      <w:r w:rsidRPr="00B31910">
        <w:rPr>
          <w:rStyle w:val="Font"/>
          <w:rFonts w:ascii="Arial Narrow" w:hAnsi="Arial Narrow"/>
          <w:b/>
          <w:sz w:val="20"/>
          <w:szCs w:val="20"/>
        </w:rPr>
        <w:t>: Summary of adverse events most commonly reported by starting dose in AMETHYST-DN (</w:t>
      </w:r>
      <w:r w:rsidR="00ED3B48">
        <w:rPr>
          <w:rStyle w:val="Font"/>
          <w:rFonts w:ascii="Arial Narrow" w:hAnsi="Arial Narrow"/>
          <w:b/>
          <w:sz w:val="20"/>
          <w:szCs w:val="20"/>
        </w:rPr>
        <w:t xml:space="preserve">LTMP; </w:t>
      </w:r>
      <w:r w:rsidRPr="00B31910">
        <w:rPr>
          <w:rStyle w:val="Font"/>
          <w:rFonts w:ascii="Arial Narrow" w:hAnsi="Arial Narrow"/>
          <w:b/>
          <w:sz w:val="20"/>
          <w:szCs w:val="20"/>
        </w:rPr>
        <w:t>safety population; Stratum 1 &amp; 2 pooled)</w:t>
      </w:r>
    </w:p>
    <w:tbl>
      <w:tblPr>
        <w:tblStyle w:val="TableGrid"/>
        <w:tblW w:w="5000" w:type="pct"/>
        <w:tblLook w:val="04A0" w:firstRow="1" w:lastRow="0" w:firstColumn="1" w:lastColumn="0" w:noHBand="0" w:noVBand="1"/>
        <w:tblCaption w:val="Table 12: Summary of adverse events most commonly reported by starting dose in AMETHYST-DN (LTMP; safety population; Stratum 1 &amp; 2 pooled)"/>
      </w:tblPr>
      <w:tblGrid>
        <w:gridCol w:w="2673"/>
        <w:gridCol w:w="1266"/>
        <w:gridCol w:w="1266"/>
        <w:gridCol w:w="1271"/>
        <w:gridCol w:w="1266"/>
        <w:gridCol w:w="1275"/>
      </w:tblGrid>
      <w:tr w:rsidR="00B31910" w:rsidRPr="00D070E9" w:rsidTr="00F92E72">
        <w:trPr>
          <w:tblHeader/>
        </w:trPr>
        <w:tc>
          <w:tcPr>
            <w:tcW w:w="1482" w:type="pct"/>
            <w:vMerge w:val="restart"/>
            <w:shd w:val="clear" w:color="auto" w:fill="auto"/>
            <w:vAlign w:val="center"/>
          </w:tcPr>
          <w:p w:rsidR="00B31910" w:rsidRPr="00D070E9" w:rsidRDefault="00B31910" w:rsidP="00F92E72">
            <w:pPr>
              <w:pStyle w:val="Table"/>
              <w:keepNext/>
              <w:keepLines/>
              <w:rPr>
                <w:rFonts w:ascii="Arial Narrow" w:hAnsi="Arial Narrow"/>
                <w:b/>
                <w:szCs w:val="20"/>
              </w:rPr>
            </w:pPr>
            <w:r w:rsidRPr="00D070E9">
              <w:rPr>
                <w:rFonts w:ascii="Arial Narrow" w:hAnsi="Arial Narrow"/>
                <w:b/>
                <w:szCs w:val="20"/>
              </w:rPr>
              <w:t>AMETHYST-DN</w:t>
            </w:r>
          </w:p>
        </w:tc>
        <w:tc>
          <w:tcPr>
            <w:tcW w:w="3518" w:type="pct"/>
            <w:gridSpan w:val="5"/>
            <w:tcBorders>
              <w:bottom w:val="single" w:sz="4" w:space="0" w:color="auto"/>
            </w:tcBorders>
            <w:shd w:val="clear" w:color="auto" w:fill="auto"/>
          </w:tcPr>
          <w:p w:rsidR="00B31910" w:rsidRPr="00D070E9" w:rsidRDefault="00B31910" w:rsidP="00F92E72">
            <w:pPr>
              <w:pStyle w:val="TableCentre"/>
              <w:keepNext/>
              <w:keepLines/>
              <w:rPr>
                <w:rFonts w:ascii="Arial Narrow" w:hAnsi="Arial Narrow"/>
                <w:b/>
                <w:szCs w:val="20"/>
              </w:rPr>
            </w:pPr>
            <w:r w:rsidRPr="00D070E9">
              <w:rPr>
                <w:rFonts w:ascii="Arial Narrow" w:hAnsi="Arial Narrow"/>
                <w:b/>
                <w:szCs w:val="20"/>
              </w:rPr>
              <w:t>Patiromer starting dose (g/day), pooled strata 1 &amp; 2</w:t>
            </w:r>
          </w:p>
        </w:tc>
      </w:tr>
      <w:tr w:rsidR="00B31910" w:rsidRPr="00D070E9" w:rsidTr="00F92E72">
        <w:trPr>
          <w:tblHeader/>
        </w:trPr>
        <w:tc>
          <w:tcPr>
            <w:tcW w:w="1482" w:type="pct"/>
            <w:vMerge/>
            <w:shd w:val="clear" w:color="auto" w:fill="auto"/>
          </w:tcPr>
          <w:p w:rsidR="00B31910" w:rsidRPr="00D070E9" w:rsidRDefault="00B31910" w:rsidP="00F92E72">
            <w:pPr>
              <w:pStyle w:val="Table"/>
              <w:keepNext/>
              <w:keepLines/>
              <w:rPr>
                <w:rFonts w:ascii="Arial Narrow" w:hAnsi="Arial Narrow"/>
                <w:szCs w:val="20"/>
              </w:rPr>
            </w:pPr>
          </w:p>
        </w:tc>
        <w:tc>
          <w:tcPr>
            <w:tcW w:w="702" w:type="pct"/>
            <w:tcBorders>
              <w:bottom w:val="nil"/>
            </w:tcBorders>
            <w:shd w:val="clear" w:color="auto" w:fill="auto"/>
          </w:tcPr>
          <w:p w:rsidR="00B31910" w:rsidRPr="00D070E9" w:rsidRDefault="00B31910" w:rsidP="00F92E72">
            <w:pPr>
              <w:pStyle w:val="TableCentre"/>
              <w:keepNext/>
              <w:keepLines/>
              <w:rPr>
                <w:rFonts w:ascii="Arial Narrow" w:hAnsi="Arial Narrow"/>
                <w:b/>
                <w:szCs w:val="20"/>
              </w:rPr>
            </w:pPr>
            <w:r w:rsidRPr="00D070E9">
              <w:rPr>
                <w:rFonts w:ascii="Arial Narrow" w:hAnsi="Arial Narrow"/>
                <w:b/>
                <w:szCs w:val="20"/>
              </w:rPr>
              <w:t>8.4 g/d</w:t>
            </w:r>
          </w:p>
        </w:tc>
        <w:tc>
          <w:tcPr>
            <w:tcW w:w="702" w:type="pct"/>
            <w:tcBorders>
              <w:bottom w:val="nil"/>
            </w:tcBorders>
            <w:shd w:val="clear" w:color="auto" w:fill="auto"/>
          </w:tcPr>
          <w:p w:rsidR="00B31910" w:rsidRPr="00D070E9" w:rsidRDefault="00B31910" w:rsidP="00F92E72">
            <w:pPr>
              <w:pStyle w:val="TableCentre"/>
              <w:keepNext/>
              <w:keepLines/>
              <w:rPr>
                <w:rFonts w:ascii="Arial Narrow" w:hAnsi="Arial Narrow"/>
                <w:b/>
                <w:szCs w:val="20"/>
              </w:rPr>
            </w:pPr>
            <w:r w:rsidRPr="00D070E9">
              <w:rPr>
                <w:rFonts w:ascii="Arial Narrow" w:hAnsi="Arial Narrow"/>
                <w:b/>
                <w:szCs w:val="20"/>
              </w:rPr>
              <w:t>16.8 g/d</w:t>
            </w:r>
          </w:p>
        </w:tc>
        <w:tc>
          <w:tcPr>
            <w:tcW w:w="705" w:type="pct"/>
            <w:tcBorders>
              <w:bottom w:val="nil"/>
            </w:tcBorders>
            <w:shd w:val="clear" w:color="auto" w:fill="auto"/>
          </w:tcPr>
          <w:p w:rsidR="00B31910" w:rsidRPr="00D070E9" w:rsidRDefault="00B31910" w:rsidP="00F92E72">
            <w:pPr>
              <w:pStyle w:val="TableCentre"/>
              <w:keepNext/>
              <w:keepLines/>
              <w:rPr>
                <w:rFonts w:ascii="Arial Narrow" w:hAnsi="Arial Narrow"/>
                <w:b/>
                <w:szCs w:val="20"/>
              </w:rPr>
            </w:pPr>
            <w:r w:rsidRPr="00D070E9">
              <w:rPr>
                <w:rFonts w:ascii="Arial Narrow" w:hAnsi="Arial Narrow"/>
                <w:b/>
                <w:szCs w:val="20"/>
              </w:rPr>
              <w:t>25.2 g/d</w:t>
            </w:r>
          </w:p>
        </w:tc>
        <w:tc>
          <w:tcPr>
            <w:tcW w:w="702" w:type="pct"/>
            <w:tcBorders>
              <w:bottom w:val="nil"/>
            </w:tcBorders>
            <w:shd w:val="clear" w:color="auto" w:fill="auto"/>
          </w:tcPr>
          <w:p w:rsidR="00B31910" w:rsidRPr="00D070E9" w:rsidRDefault="00B31910" w:rsidP="00F92E72">
            <w:pPr>
              <w:pStyle w:val="TableCentre"/>
              <w:keepNext/>
              <w:keepLines/>
              <w:rPr>
                <w:rFonts w:ascii="Arial Narrow" w:hAnsi="Arial Narrow"/>
                <w:b/>
                <w:szCs w:val="20"/>
              </w:rPr>
            </w:pPr>
            <w:r w:rsidRPr="00D070E9">
              <w:rPr>
                <w:rFonts w:ascii="Arial Narrow" w:hAnsi="Arial Narrow"/>
                <w:b/>
                <w:szCs w:val="20"/>
              </w:rPr>
              <w:t>33.6 g/d</w:t>
            </w:r>
          </w:p>
        </w:tc>
        <w:tc>
          <w:tcPr>
            <w:tcW w:w="708" w:type="pct"/>
            <w:tcBorders>
              <w:bottom w:val="nil"/>
            </w:tcBorders>
            <w:shd w:val="clear" w:color="auto" w:fill="auto"/>
          </w:tcPr>
          <w:p w:rsidR="00B31910" w:rsidRPr="00D070E9" w:rsidRDefault="00B31910" w:rsidP="00F92E72">
            <w:pPr>
              <w:pStyle w:val="TableCentre"/>
              <w:keepNext/>
              <w:keepLines/>
              <w:rPr>
                <w:rFonts w:ascii="Arial Narrow" w:hAnsi="Arial Narrow"/>
                <w:b/>
                <w:szCs w:val="20"/>
              </w:rPr>
            </w:pPr>
            <w:r w:rsidRPr="00D070E9">
              <w:rPr>
                <w:rFonts w:ascii="Arial Narrow" w:hAnsi="Arial Narrow"/>
                <w:b/>
                <w:szCs w:val="20"/>
              </w:rPr>
              <w:t>Overall</w:t>
            </w:r>
          </w:p>
        </w:tc>
      </w:tr>
      <w:tr w:rsidR="00B31910" w:rsidRPr="00D070E9" w:rsidTr="00F92E72">
        <w:trPr>
          <w:tblHeader/>
        </w:trPr>
        <w:tc>
          <w:tcPr>
            <w:tcW w:w="1482" w:type="pct"/>
            <w:vMerge/>
            <w:shd w:val="clear" w:color="auto" w:fill="auto"/>
          </w:tcPr>
          <w:p w:rsidR="00B31910" w:rsidRPr="00D070E9" w:rsidRDefault="00B31910" w:rsidP="00F92E72">
            <w:pPr>
              <w:pStyle w:val="Table"/>
              <w:keepNext/>
              <w:keepLines/>
              <w:rPr>
                <w:rFonts w:ascii="Arial Narrow" w:hAnsi="Arial Narrow"/>
                <w:szCs w:val="20"/>
              </w:rPr>
            </w:pPr>
          </w:p>
        </w:tc>
        <w:tc>
          <w:tcPr>
            <w:tcW w:w="702" w:type="pct"/>
            <w:tcBorders>
              <w:top w:val="nil"/>
            </w:tcBorders>
            <w:shd w:val="clear" w:color="auto" w:fill="auto"/>
          </w:tcPr>
          <w:p w:rsidR="00B31910" w:rsidRPr="00D070E9" w:rsidRDefault="00B31910" w:rsidP="00F92E72">
            <w:pPr>
              <w:pStyle w:val="TableCentre"/>
              <w:keepNext/>
              <w:keepLines/>
              <w:rPr>
                <w:rFonts w:ascii="Arial Narrow" w:hAnsi="Arial Narrow"/>
                <w:b/>
                <w:szCs w:val="20"/>
              </w:rPr>
            </w:pPr>
            <w:r w:rsidRPr="00D070E9">
              <w:rPr>
                <w:rFonts w:ascii="Arial Narrow" w:hAnsi="Arial Narrow"/>
                <w:b/>
                <w:szCs w:val="20"/>
              </w:rPr>
              <w:t>(N=74)</w:t>
            </w:r>
          </w:p>
        </w:tc>
        <w:tc>
          <w:tcPr>
            <w:tcW w:w="702" w:type="pct"/>
            <w:tcBorders>
              <w:top w:val="nil"/>
            </w:tcBorders>
            <w:shd w:val="clear" w:color="auto" w:fill="auto"/>
          </w:tcPr>
          <w:p w:rsidR="00B31910" w:rsidRPr="00D070E9" w:rsidRDefault="00B31910" w:rsidP="00F92E72">
            <w:pPr>
              <w:pStyle w:val="TableCentre"/>
              <w:keepNext/>
              <w:keepLines/>
              <w:rPr>
                <w:rFonts w:ascii="Arial Narrow" w:hAnsi="Arial Narrow"/>
                <w:b/>
                <w:szCs w:val="20"/>
              </w:rPr>
            </w:pPr>
            <w:r w:rsidRPr="00D070E9">
              <w:rPr>
                <w:rFonts w:ascii="Arial Narrow" w:hAnsi="Arial Narrow"/>
                <w:b/>
                <w:szCs w:val="20"/>
              </w:rPr>
              <w:t>(N=99)</w:t>
            </w:r>
          </w:p>
        </w:tc>
        <w:tc>
          <w:tcPr>
            <w:tcW w:w="705" w:type="pct"/>
            <w:tcBorders>
              <w:top w:val="nil"/>
            </w:tcBorders>
            <w:shd w:val="clear" w:color="auto" w:fill="auto"/>
          </w:tcPr>
          <w:p w:rsidR="00B31910" w:rsidRPr="00D070E9" w:rsidRDefault="00B31910" w:rsidP="00F92E72">
            <w:pPr>
              <w:pStyle w:val="TableCentre"/>
              <w:keepNext/>
              <w:keepLines/>
              <w:rPr>
                <w:rFonts w:ascii="Arial Narrow" w:hAnsi="Arial Narrow"/>
                <w:b/>
                <w:szCs w:val="20"/>
              </w:rPr>
            </w:pPr>
            <w:r w:rsidRPr="00D070E9">
              <w:rPr>
                <w:rFonts w:ascii="Arial Narrow" w:hAnsi="Arial Narrow"/>
                <w:b/>
                <w:szCs w:val="20"/>
              </w:rPr>
              <w:t>(N=101)</w:t>
            </w:r>
          </w:p>
        </w:tc>
        <w:tc>
          <w:tcPr>
            <w:tcW w:w="702" w:type="pct"/>
            <w:tcBorders>
              <w:top w:val="nil"/>
            </w:tcBorders>
            <w:shd w:val="clear" w:color="auto" w:fill="auto"/>
          </w:tcPr>
          <w:p w:rsidR="00B31910" w:rsidRPr="00D070E9" w:rsidRDefault="00B31910" w:rsidP="00F92E72">
            <w:pPr>
              <w:pStyle w:val="TableCentre"/>
              <w:keepNext/>
              <w:keepLines/>
              <w:rPr>
                <w:rFonts w:ascii="Arial Narrow" w:hAnsi="Arial Narrow"/>
                <w:b/>
                <w:szCs w:val="20"/>
              </w:rPr>
            </w:pPr>
            <w:r w:rsidRPr="00D070E9">
              <w:rPr>
                <w:rFonts w:ascii="Arial Narrow" w:hAnsi="Arial Narrow"/>
                <w:b/>
                <w:szCs w:val="20"/>
              </w:rPr>
              <w:t>(N=30)</w:t>
            </w:r>
          </w:p>
        </w:tc>
        <w:tc>
          <w:tcPr>
            <w:tcW w:w="708" w:type="pct"/>
            <w:tcBorders>
              <w:top w:val="nil"/>
            </w:tcBorders>
            <w:shd w:val="clear" w:color="auto" w:fill="auto"/>
          </w:tcPr>
          <w:p w:rsidR="00B31910" w:rsidRPr="00D070E9" w:rsidRDefault="00B31910" w:rsidP="00F92E72">
            <w:pPr>
              <w:pStyle w:val="TableCentre"/>
              <w:keepNext/>
              <w:keepLines/>
              <w:rPr>
                <w:rFonts w:ascii="Arial Narrow" w:hAnsi="Arial Narrow"/>
                <w:b/>
                <w:szCs w:val="20"/>
              </w:rPr>
            </w:pPr>
            <w:r w:rsidRPr="00D070E9">
              <w:rPr>
                <w:rFonts w:ascii="Arial Narrow" w:hAnsi="Arial Narrow"/>
                <w:b/>
                <w:szCs w:val="20"/>
              </w:rPr>
              <w:t>(N=304)</w:t>
            </w:r>
          </w:p>
        </w:tc>
      </w:tr>
      <w:tr w:rsidR="00B31910" w:rsidRPr="00D070E9" w:rsidTr="00F92E72">
        <w:tc>
          <w:tcPr>
            <w:tcW w:w="1482" w:type="pct"/>
            <w:shd w:val="clear" w:color="auto" w:fill="auto"/>
          </w:tcPr>
          <w:p w:rsidR="00B31910" w:rsidRPr="00D070E9" w:rsidRDefault="00B31910" w:rsidP="00F92E72">
            <w:pPr>
              <w:pStyle w:val="Table"/>
              <w:keepNext/>
              <w:keepLines/>
              <w:rPr>
                <w:rFonts w:ascii="Arial Narrow" w:hAnsi="Arial Narrow"/>
                <w:szCs w:val="20"/>
              </w:rPr>
            </w:pPr>
            <w:r w:rsidRPr="00D070E9">
              <w:rPr>
                <w:rFonts w:ascii="Arial Narrow" w:hAnsi="Arial Narrow"/>
                <w:szCs w:val="20"/>
              </w:rPr>
              <w:t>≥ 1 treatment emergent AE</w:t>
            </w:r>
          </w:p>
        </w:tc>
        <w:tc>
          <w:tcPr>
            <w:tcW w:w="702" w:type="pct"/>
            <w:shd w:val="clear" w:color="auto" w:fill="auto"/>
          </w:tcPr>
          <w:p w:rsidR="00B31910" w:rsidRPr="00D070E9" w:rsidRDefault="00B31910" w:rsidP="00F92E72">
            <w:pPr>
              <w:pStyle w:val="TableCentre"/>
              <w:keepNext/>
              <w:keepLines/>
              <w:rPr>
                <w:rFonts w:ascii="Arial Narrow" w:hAnsi="Arial Narrow"/>
                <w:szCs w:val="20"/>
              </w:rPr>
            </w:pPr>
            <w:r w:rsidRPr="00D070E9">
              <w:rPr>
                <w:rFonts w:ascii="Arial Narrow" w:hAnsi="Arial Narrow"/>
                <w:szCs w:val="20"/>
              </w:rPr>
              <w:t>47 (63.5%)</w:t>
            </w:r>
          </w:p>
        </w:tc>
        <w:tc>
          <w:tcPr>
            <w:tcW w:w="702" w:type="pct"/>
            <w:shd w:val="clear" w:color="auto" w:fill="auto"/>
          </w:tcPr>
          <w:p w:rsidR="00B31910" w:rsidRPr="00D070E9" w:rsidRDefault="00B31910" w:rsidP="00F92E72">
            <w:pPr>
              <w:pStyle w:val="TableCentre"/>
              <w:keepNext/>
              <w:keepLines/>
              <w:rPr>
                <w:rFonts w:ascii="Arial Narrow" w:hAnsi="Arial Narrow"/>
                <w:szCs w:val="20"/>
              </w:rPr>
            </w:pPr>
            <w:r w:rsidRPr="00D070E9">
              <w:rPr>
                <w:rFonts w:ascii="Arial Narrow" w:hAnsi="Arial Narrow"/>
                <w:szCs w:val="20"/>
              </w:rPr>
              <w:t>69 (69.7%)</w:t>
            </w:r>
          </w:p>
        </w:tc>
        <w:tc>
          <w:tcPr>
            <w:tcW w:w="705" w:type="pct"/>
            <w:shd w:val="clear" w:color="auto" w:fill="auto"/>
          </w:tcPr>
          <w:p w:rsidR="00B31910" w:rsidRPr="00D070E9" w:rsidRDefault="00B31910" w:rsidP="00F92E72">
            <w:pPr>
              <w:pStyle w:val="TableCentre"/>
              <w:keepNext/>
              <w:keepLines/>
              <w:rPr>
                <w:rFonts w:ascii="Arial Narrow" w:hAnsi="Arial Narrow"/>
                <w:szCs w:val="20"/>
              </w:rPr>
            </w:pPr>
            <w:r w:rsidRPr="00D070E9">
              <w:rPr>
                <w:rFonts w:ascii="Arial Narrow" w:hAnsi="Arial Narrow"/>
                <w:szCs w:val="20"/>
              </w:rPr>
              <w:t>70 (69.3%)</w:t>
            </w:r>
          </w:p>
        </w:tc>
        <w:tc>
          <w:tcPr>
            <w:tcW w:w="702" w:type="pct"/>
            <w:shd w:val="clear" w:color="auto" w:fill="auto"/>
          </w:tcPr>
          <w:p w:rsidR="00B31910" w:rsidRPr="00D070E9" w:rsidRDefault="00B31910" w:rsidP="00F92E72">
            <w:pPr>
              <w:pStyle w:val="TableCentre"/>
              <w:keepNext/>
              <w:keepLines/>
              <w:rPr>
                <w:rFonts w:ascii="Arial Narrow" w:hAnsi="Arial Narrow"/>
                <w:szCs w:val="20"/>
              </w:rPr>
            </w:pPr>
            <w:r w:rsidRPr="00D070E9">
              <w:rPr>
                <w:rFonts w:ascii="Arial Narrow" w:hAnsi="Arial Narrow"/>
                <w:szCs w:val="20"/>
              </w:rPr>
              <w:t>25 (83.3%)</w:t>
            </w:r>
          </w:p>
        </w:tc>
        <w:tc>
          <w:tcPr>
            <w:tcW w:w="708" w:type="pct"/>
            <w:shd w:val="clear" w:color="auto" w:fill="auto"/>
          </w:tcPr>
          <w:p w:rsidR="00B31910" w:rsidRPr="00D070E9" w:rsidRDefault="00B31910" w:rsidP="00F92E72">
            <w:pPr>
              <w:pStyle w:val="TableCentre"/>
              <w:keepNext/>
              <w:keepLines/>
              <w:rPr>
                <w:rFonts w:ascii="Arial Narrow" w:hAnsi="Arial Narrow"/>
                <w:szCs w:val="20"/>
              </w:rPr>
            </w:pPr>
            <w:r w:rsidRPr="00D070E9">
              <w:rPr>
                <w:rFonts w:ascii="Arial Narrow" w:hAnsi="Arial Narrow"/>
                <w:szCs w:val="20"/>
              </w:rPr>
              <w:t>211 (69.4%)</w:t>
            </w:r>
          </w:p>
        </w:tc>
      </w:tr>
      <w:tr w:rsidR="00B31910" w:rsidRPr="00D070E9" w:rsidTr="00F92E72">
        <w:tc>
          <w:tcPr>
            <w:tcW w:w="1482" w:type="pct"/>
            <w:shd w:val="clear" w:color="auto" w:fill="auto"/>
          </w:tcPr>
          <w:p w:rsidR="00B31910" w:rsidRPr="00D070E9" w:rsidRDefault="00B31910" w:rsidP="00F92E72">
            <w:pPr>
              <w:pStyle w:val="Table"/>
              <w:rPr>
                <w:rFonts w:ascii="Arial Narrow" w:hAnsi="Arial Narrow"/>
                <w:szCs w:val="20"/>
              </w:rPr>
            </w:pPr>
            <w:r w:rsidRPr="00D070E9">
              <w:rPr>
                <w:rFonts w:ascii="Arial Narrow" w:hAnsi="Arial Narrow"/>
                <w:szCs w:val="20"/>
              </w:rPr>
              <w:t>Hypomagnesaemia</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4 (5.4%)</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7 (7.1%)</w:t>
            </w:r>
          </w:p>
        </w:tc>
        <w:tc>
          <w:tcPr>
            <w:tcW w:w="705"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10 (9.9%)</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5 (16.7%)</w:t>
            </w:r>
          </w:p>
        </w:tc>
        <w:tc>
          <w:tcPr>
            <w:tcW w:w="708"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26 (8.6%)</w:t>
            </w:r>
          </w:p>
        </w:tc>
      </w:tr>
      <w:tr w:rsidR="00B31910" w:rsidRPr="00D070E9" w:rsidTr="00F92E72">
        <w:tc>
          <w:tcPr>
            <w:tcW w:w="1482" w:type="pct"/>
            <w:shd w:val="clear" w:color="auto" w:fill="auto"/>
          </w:tcPr>
          <w:p w:rsidR="00B31910" w:rsidRPr="00D070E9" w:rsidRDefault="00B31910" w:rsidP="00F92E72">
            <w:pPr>
              <w:pStyle w:val="Table"/>
              <w:rPr>
                <w:rFonts w:ascii="Arial Narrow" w:hAnsi="Arial Narrow"/>
                <w:szCs w:val="20"/>
              </w:rPr>
            </w:pPr>
            <w:r w:rsidRPr="00D070E9">
              <w:rPr>
                <w:rFonts w:ascii="Arial Narrow" w:hAnsi="Arial Narrow"/>
                <w:szCs w:val="20"/>
              </w:rPr>
              <w:t>Hypertension</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5 (6.8%)</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11 (11.1%)</w:t>
            </w:r>
          </w:p>
        </w:tc>
        <w:tc>
          <w:tcPr>
            <w:tcW w:w="705"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4 (4.0%)</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4 (13.3%)</w:t>
            </w:r>
          </w:p>
        </w:tc>
        <w:tc>
          <w:tcPr>
            <w:tcW w:w="708"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24 (7.9%)</w:t>
            </w:r>
          </w:p>
        </w:tc>
      </w:tr>
      <w:tr w:rsidR="00B31910" w:rsidRPr="00D070E9" w:rsidTr="00F92E72">
        <w:tc>
          <w:tcPr>
            <w:tcW w:w="1482" w:type="pct"/>
            <w:shd w:val="clear" w:color="auto" w:fill="auto"/>
          </w:tcPr>
          <w:p w:rsidR="00B31910" w:rsidRPr="00D070E9" w:rsidRDefault="00B31910" w:rsidP="00F92E72">
            <w:pPr>
              <w:pStyle w:val="Table"/>
              <w:rPr>
                <w:rFonts w:ascii="Arial Narrow" w:hAnsi="Arial Narrow"/>
                <w:szCs w:val="20"/>
              </w:rPr>
            </w:pPr>
            <w:r w:rsidRPr="00D070E9">
              <w:rPr>
                <w:rFonts w:ascii="Arial Narrow" w:hAnsi="Arial Narrow"/>
                <w:szCs w:val="20"/>
              </w:rPr>
              <w:t>Constipation</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4 (5.4%)</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5 (5.1%)</w:t>
            </w:r>
          </w:p>
        </w:tc>
        <w:tc>
          <w:tcPr>
            <w:tcW w:w="705"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5 (5.0%)</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5 (16.7%)</w:t>
            </w:r>
          </w:p>
        </w:tc>
        <w:tc>
          <w:tcPr>
            <w:tcW w:w="708"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19 (6.3%)</w:t>
            </w:r>
          </w:p>
        </w:tc>
      </w:tr>
      <w:tr w:rsidR="00B31910" w:rsidRPr="00D070E9" w:rsidTr="00F92E72">
        <w:tc>
          <w:tcPr>
            <w:tcW w:w="1482" w:type="pct"/>
            <w:shd w:val="clear" w:color="auto" w:fill="auto"/>
          </w:tcPr>
          <w:p w:rsidR="00B31910" w:rsidRPr="00D070E9" w:rsidRDefault="00B31910" w:rsidP="00F92E72">
            <w:pPr>
              <w:pStyle w:val="Table"/>
              <w:rPr>
                <w:rFonts w:ascii="Arial Narrow" w:hAnsi="Arial Narrow"/>
                <w:szCs w:val="20"/>
              </w:rPr>
            </w:pPr>
            <w:r w:rsidRPr="00D070E9">
              <w:rPr>
                <w:rFonts w:ascii="Arial Narrow" w:hAnsi="Arial Narrow"/>
                <w:szCs w:val="20"/>
              </w:rPr>
              <w:t>Diarrhoea</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6 (8.1%)</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8 (8.1%)</w:t>
            </w:r>
          </w:p>
        </w:tc>
        <w:tc>
          <w:tcPr>
            <w:tcW w:w="705"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2 (2.0%)</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1 (3.3%)</w:t>
            </w:r>
          </w:p>
        </w:tc>
        <w:tc>
          <w:tcPr>
            <w:tcW w:w="708"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17 (5.6%)</w:t>
            </w:r>
          </w:p>
        </w:tc>
      </w:tr>
      <w:tr w:rsidR="00B31910" w:rsidRPr="00D070E9" w:rsidTr="00F92E72">
        <w:tc>
          <w:tcPr>
            <w:tcW w:w="1482" w:type="pct"/>
            <w:shd w:val="clear" w:color="auto" w:fill="auto"/>
          </w:tcPr>
          <w:p w:rsidR="00B31910" w:rsidRPr="00D070E9" w:rsidRDefault="00B31910" w:rsidP="00F92E72">
            <w:pPr>
              <w:pStyle w:val="Table"/>
              <w:rPr>
                <w:rStyle w:val="Small"/>
                <w:rFonts w:ascii="Arial Narrow" w:hAnsi="Arial Narrow"/>
                <w:szCs w:val="20"/>
              </w:rPr>
            </w:pPr>
            <w:r w:rsidRPr="00D070E9">
              <w:rPr>
                <w:rStyle w:val="Small"/>
                <w:rFonts w:ascii="Arial Narrow" w:hAnsi="Arial Narrow"/>
                <w:szCs w:val="20"/>
              </w:rPr>
              <w:t>Ventricular extra-systoles</w:t>
            </w:r>
          </w:p>
        </w:tc>
        <w:tc>
          <w:tcPr>
            <w:tcW w:w="702" w:type="pct"/>
            <w:shd w:val="clear" w:color="auto" w:fill="auto"/>
          </w:tcPr>
          <w:p w:rsidR="00B31910" w:rsidRPr="00D070E9" w:rsidRDefault="00B31910" w:rsidP="00F92E72">
            <w:pPr>
              <w:pStyle w:val="TableCentre"/>
              <w:rPr>
                <w:rStyle w:val="Small"/>
                <w:rFonts w:ascii="Arial Narrow" w:hAnsi="Arial Narrow"/>
                <w:szCs w:val="20"/>
              </w:rPr>
            </w:pPr>
            <w:r w:rsidRPr="00D070E9">
              <w:rPr>
                <w:rStyle w:val="Small"/>
                <w:rFonts w:ascii="Arial Narrow" w:hAnsi="Arial Narrow"/>
                <w:szCs w:val="20"/>
              </w:rPr>
              <w:t>2 (2.7%)</w:t>
            </w:r>
          </w:p>
        </w:tc>
        <w:tc>
          <w:tcPr>
            <w:tcW w:w="702" w:type="pct"/>
            <w:shd w:val="clear" w:color="auto" w:fill="auto"/>
          </w:tcPr>
          <w:p w:rsidR="00B31910" w:rsidRPr="00D070E9" w:rsidRDefault="00B31910" w:rsidP="00F92E72">
            <w:pPr>
              <w:pStyle w:val="TableCentre"/>
              <w:rPr>
                <w:rStyle w:val="Small"/>
                <w:rFonts w:ascii="Arial Narrow" w:hAnsi="Arial Narrow"/>
                <w:szCs w:val="20"/>
              </w:rPr>
            </w:pPr>
            <w:r w:rsidRPr="00D070E9">
              <w:rPr>
                <w:rStyle w:val="Small"/>
                <w:rFonts w:ascii="Arial Narrow" w:hAnsi="Arial Narrow"/>
                <w:szCs w:val="20"/>
              </w:rPr>
              <w:t>4 (4.0%)</w:t>
            </w:r>
          </w:p>
        </w:tc>
        <w:tc>
          <w:tcPr>
            <w:tcW w:w="705" w:type="pct"/>
            <w:shd w:val="clear" w:color="auto" w:fill="auto"/>
          </w:tcPr>
          <w:p w:rsidR="00B31910" w:rsidRPr="00D070E9" w:rsidRDefault="00B31910" w:rsidP="00F92E72">
            <w:pPr>
              <w:pStyle w:val="TableCentre"/>
              <w:rPr>
                <w:rStyle w:val="Small"/>
                <w:rFonts w:ascii="Arial Narrow" w:hAnsi="Arial Narrow"/>
                <w:szCs w:val="20"/>
              </w:rPr>
            </w:pPr>
            <w:r w:rsidRPr="00D070E9">
              <w:rPr>
                <w:rStyle w:val="Small"/>
                <w:rFonts w:ascii="Arial Narrow" w:hAnsi="Arial Narrow"/>
                <w:szCs w:val="20"/>
              </w:rPr>
              <w:t>3 (3.0%)</w:t>
            </w:r>
          </w:p>
        </w:tc>
        <w:tc>
          <w:tcPr>
            <w:tcW w:w="702" w:type="pct"/>
            <w:shd w:val="clear" w:color="auto" w:fill="auto"/>
          </w:tcPr>
          <w:p w:rsidR="00B31910" w:rsidRPr="00D070E9" w:rsidRDefault="00B31910" w:rsidP="00F92E72">
            <w:pPr>
              <w:pStyle w:val="TableCentre"/>
              <w:rPr>
                <w:rStyle w:val="Small"/>
                <w:rFonts w:ascii="Arial Narrow" w:hAnsi="Arial Narrow"/>
                <w:szCs w:val="20"/>
              </w:rPr>
            </w:pPr>
            <w:r w:rsidRPr="00D070E9">
              <w:rPr>
                <w:rStyle w:val="Small"/>
                <w:rFonts w:ascii="Arial Narrow" w:hAnsi="Arial Narrow"/>
                <w:szCs w:val="20"/>
              </w:rPr>
              <w:t>2 (6.7%)</w:t>
            </w:r>
          </w:p>
        </w:tc>
        <w:tc>
          <w:tcPr>
            <w:tcW w:w="708" w:type="pct"/>
            <w:shd w:val="clear" w:color="auto" w:fill="auto"/>
          </w:tcPr>
          <w:p w:rsidR="00B31910" w:rsidRPr="00D070E9" w:rsidRDefault="00B31910" w:rsidP="00F92E72">
            <w:pPr>
              <w:pStyle w:val="TableCentre"/>
              <w:rPr>
                <w:rStyle w:val="Small"/>
                <w:rFonts w:ascii="Arial Narrow" w:hAnsi="Arial Narrow"/>
                <w:szCs w:val="20"/>
              </w:rPr>
            </w:pPr>
            <w:r w:rsidRPr="00D070E9">
              <w:rPr>
                <w:rStyle w:val="Small"/>
                <w:rFonts w:ascii="Arial Narrow" w:hAnsi="Arial Narrow"/>
                <w:szCs w:val="20"/>
              </w:rPr>
              <w:t>11 (3.6%)</w:t>
            </w:r>
          </w:p>
        </w:tc>
      </w:tr>
      <w:tr w:rsidR="00B31910" w:rsidRPr="00D070E9" w:rsidTr="00F92E72">
        <w:tc>
          <w:tcPr>
            <w:tcW w:w="1482" w:type="pct"/>
            <w:shd w:val="clear" w:color="auto" w:fill="auto"/>
          </w:tcPr>
          <w:p w:rsidR="00B31910" w:rsidRPr="00D070E9" w:rsidRDefault="00B31910" w:rsidP="00F92E72">
            <w:pPr>
              <w:pStyle w:val="Table"/>
              <w:rPr>
                <w:rFonts w:ascii="Arial Narrow" w:hAnsi="Arial Narrow"/>
                <w:szCs w:val="20"/>
              </w:rPr>
            </w:pPr>
            <w:r w:rsidRPr="00D070E9">
              <w:rPr>
                <w:rFonts w:ascii="Arial Narrow" w:hAnsi="Arial Narrow"/>
                <w:szCs w:val="20"/>
              </w:rPr>
              <w:t>Anaemia</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2 (2.7%)</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2 (2.0%)</w:t>
            </w:r>
          </w:p>
        </w:tc>
        <w:tc>
          <w:tcPr>
            <w:tcW w:w="705"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5 (5.0%)</w:t>
            </w:r>
          </w:p>
        </w:tc>
        <w:tc>
          <w:tcPr>
            <w:tcW w:w="702"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2 (6.7%)</w:t>
            </w:r>
          </w:p>
        </w:tc>
        <w:tc>
          <w:tcPr>
            <w:tcW w:w="708" w:type="pct"/>
            <w:shd w:val="clear" w:color="auto" w:fill="auto"/>
          </w:tcPr>
          <w:p w:rsidR="00B31910" w:rsidRPr="00D070E9" w:rsidRDefault="00B31910" w:rsidP="00F92E72">
            <w:pPr>
              <w:pStyle w:val="TableCentre"/>
              <w:rPr>
                <w:rFonts w:ascii="Arial Narrow" w:hAnsi="Arial Narrow"/>
                <w:szCs w:val="20"/>
              </w:rPr>
            </w:pPr>
            <w:r w:rsidRPr="00D070E9">
              <w:rPr>
                <w:rFonts w:ascii="Arial Narrow" w:hAnsi="Arial Narrow"/>
                <w:szCs w:val="20"/>
              </w:rPr>
              <w:t>11 (3.6%)</w:t>
            </w:r>
          </w:p>
        </w:tc>
      </w:tr>
    </w:tbl>
    <w:p w:rsidR="00B31910" w:rsidRDefault="00B31910" w:rsidP="00F92E72">
      <w:pPr>
        <w:widowControl/>
        <w:rPr>
          <w:rFonts w:ascii="Arial Narrow" w:hAnsi="Arial Narrow"/>
          <w:sz w:val="18"/>
          <w:szCs w:val="18"/>
        </w:rPr>
      </w:pPr>
      <w:r w:rsidRPr="00175DC3">
        <w:rPr>
          <w:rFonts w:ascii="Arial Narrow" w:hAnsi="Arial Narrow"/>
          <w:sz w:val="18"/>
          <w:szCs w:val="18"/>
        </w:rPr>
        <w:t>AE</w:t>
      </w:r>
      <w:r w:rsidR="00365D06">
        <w:rPr>
          <w:rFonts w:ascii="Arial Narrow" w:hAnsi="Arial Narrow"/>
          <w:sz w:val="18"/>
          <w:szCs w:val="18"/>
        </w:rPr>
        <w:t xml:space="preserve"> =</w:t>
      </w:r>
      <w:r w:rsidRPr="00175DC3">
        <w:rPr>
          <w:rFonts w:ascii="Arial Narrow" w:hAnsi="Arial Narrow"/>
          <w:sz w:val="18"/>
          <w:szCs w:val="18"/>
        </w:rPr>
        <w:t xml:space="preserve"> adverse event</w:t>
      </w:r>
      <w:r w:rsidR="00ED3B48">
        <w:rPr>
          <w:rFonts w:ascii="Arial Narrow" w:hAnsi="Arial Narrow"/>
          <w:sz w:val="18"/>
          <w:szCs w:val="18"/>
        </w:rPr>
        <w:t>; LTMP</w:t>
      </w:r>
      <w:r w:rsidR="00365D06">
        <w:rPr>
          <w:rFonts w:ascii="Arial Narrow" w:hAnsi="Arial Narrow"/>
          <w:sz w:val="18"/>
          <w:szCs w:val="18"/>
        </w:rPr>
        <w:t xml:space="preserve"> =</w:t>
      </w:r>
      <w:r w:rsidR="00ED3B48">
        <w:rPr>
          <w:rFonts w:ascii="Arial Narrow" w:hAnsi="Arial Narrow"/>
          <w:sz w:val="18"/>
          <w:szCs w:val="18"/>
        </w:rPr>
        <w:t xml:space="preserve"> long-term maintenance period</w:t>
      </w:r>
    </w:p>
    <w:p w:rsidR="002C190B" w:rsidRPr="00175DC3" w:rsidRDefault="002C190B" w:rsidP="00F92E72">
      <w:pPr>
        <w:widowControl/>
        <w:rPr>
          <w:rFonts w:ascii="Arial Narrow" w:hAnsi="Arial Narrow"/>
          <w:sz w:val="18"/>
          <w:szCs w:val="18"/>
        </w:rPr>
      </w:pPr>
      <w:r w:rsidRPr="00175DC3">
        <w:rPr>
          <w:rFonts w:ascii="Arial Narrow" w:hAnsi="Arial Narrow"/>
          <w:sz w:val="18"/>
          <w:szCs w:val="18"/>
        </w:rPr>
        <w:t>Source: Table 2-42, p.90 of the submission</w:t>
      </w:r>
    </w:p>
    <w:p w:rsidR="00B31910" w:rsidRDefault="00B31910" w:rsidP="00C209C6">
      <w:pPr>
        <w:widowControl/>
      </w:pPr>
    </w:p>
    <w:p w:rsidR="00B31910" w:rsidRPr="00B31910" w:rsidRDefault="00B31910" w:rsidP="00F92E72">
      <w:pPr>
        <w:pStyle w:val="ListParagraph"/>
        <w:widowControl/>
        <w:numPr>
          <w:ilvl w:val="1"/>
          <w:numId w:val="3"/>
        </w:numPr>
        <w:spacing w:after="120"/>
      </w:pPr>
      <w:r w:rsidRPr="00D03515">
        <w:t xml:space="preserve">The </w:t>
      </w:r>
      <w:r w:rsidR="005D1C09" w:rsidRPr="00D03515">
        <w:t>ESC noted that the</w:t>
      </w:r>
      <w:r w:rsidR="005D1C09">
        <w:t xml:space="preserve"> </w:t>
      </w:r>
      <w:r w:rsidRPr="00B31910">
        <w:t>most common adverse events reported by patients treated with patiromer were gastrointestinal events (OPAL</w:t>
      </w:r>
      <w:r w:rsidR="000C09AE">
        <w:t>-HK Part B 13%, PEARL-HF 21.4%)</w:t>
      </w:r>
      <w:r w:rsidRPr="00B31910">
        <w:t xml:space="preserve">. Hypokalaemia </w:t>
      </w:r>
      <w:r w:rsidR="00833CBA">
        <w:t xml:space="preserve">(OPAL-HK </w:t>
      </w:r>
      <w:r w:rsidR="00ED3B48">
        <w:t>1</w:t>
      </w:r>
      <w:r w:rsidR="00833CBA">
        <w:t xml:space="preserve">%; PEARL-HF </w:t>
      </w:r>
      <w:r w:rsidR="00375052">
        <w:t>7.3</w:t>
      </w:r>
      <w:r w:rsidR="00833CBA">
        <w:t xml:space="preserve">%; AMETHYST-DN 2.3%) </w:t>
      </w:r>
      <w:r w:rsidRPr="00B31910">
        <w:t xml:space="preserve">and hypomagnesaemia </w:t>
      </w:r>
      <w:r w:rsidR="00833CBA">
        <w:t xml:space="preserve">(OPAL-HK </w:t>
      </w:r>
      <w:r w:rsidR="00CF6EAD">
        <w:t>4</w:t>
      </w:r>
      <w:r w:rsidR="00833CBA">
        <w:t xml:space="preserve">%; PEARL-HF </w:t>
      </w:r>
      <w:r w:rsidR="00CF6EAD">
        <w:t>not reported</w:t>
      </w:r>
      <w:r w:rsidR="00833CBA">
        <w:t xml:space="preserve">; AMETHYST-DN </w:t>
      </w:r>
      <w:r w:rsidR="00ED3B48">
        <w:t>8.6</w:t>
      </w:r>
      <w:r w:rsidR="00833CBA">
        <w:t xml:space="preserve">%) </w:t>
      </w:r>
      <w:r w:rsidRPr="00B31910">
        <w:t xml:space="preserve">were </w:t>
      </w:r>
      <w:r w:rsidRPr="00B31910">
        <w:lastRenderedPageBreak/>
        <w:t xml:space="preserve">reported despite </w:t>
      </w:r>
      <w:r w:rsidR="000C09AE">
        <w:t>intensive</w:t>
      </w:r>
      <w:r w:rsidRPr="00B31910">
        <w:t xml:space="preserve"> monitoring and strict study drug titration protocols based on frequent serum potassium assays. </w:t>
      </w:r>
    </w:p>
    <w:p w:rsidR="00B31910" w:rsidRDefault="00B31910" w:rsidP="00F92E72">
      <w:pPr>
        <w:pStyle w:val="ListParagraph"/>
        <w:widowControl/>
        <w:numPr>
          <w:ilvl w:val="1"/>
          <w:numId w:val="3"/>
        </w:numPr>
        <w:spacing w:after="120"/>
      </w:pPr>
      <w:r w:rsidRPr="00B31910">
        <w:t>In the AMETHYST-DN study, similar adverse events were reported in the long term management period over 52 weeks of treatment, however, 8.6% of patients reported hypomagnesaemia</w:t>
      </w:r>
      <w:r w:rsidR="00ED3B48">
        <w:t xml:space="preserve"> in the </w:t>
      </w:r>
      <w:r w:rsidR="00873ABA">
        <w:t>long-term maintenance period</w:t>
      </w:r>
      <w:r w:rsidR="00ED3B48">
        <w:t xml:space="preserve"> and 16.7% </w:t>
      </w:r>
      <w:r w:rsidR="00F20752">
        <w:t>over the combined treatment initiation and long-term maintenance periods</w:t>
      </w:r>
      <w:r w:rsidRPr="00B31910">
        <w:t>.</w:t>
      </w:r>
    </w:p>
    <w:p w:rsidR="001F7911" w:rsidRPr="001F7911" w:rsidRDefault="000C09AE" w:rsidP="00F92E72">
      <w:pPr>
        <w:pStyle w:val="ListParagraph"/>
        <w:widowControl/>
        <w:numPr>
          <w:ilvl w:val="1"/>
          <w:numId w:val="3"/>
        </w:numPr>
        <w:spacing w:after="120"/>
        <w:rPr>
          <w:i/>
        </w:rPr>
      </w:pPr>
      <w:r w:rsidRPr="000C09AE">
        <w:t>Safety concerns for patiromer identified in the most recent PSUR included one important identified risk (hypomagnesaemia/low magnesium), and two important potential risks (increased risk of intestinal perforation in patients with a current or history of severe gastrointestinal disorders and increased risk of hypercalcaemia in patients with current or history of hypercalcaemia).</w:t>
      </w:r>
      <w:r>
        <w:rPr>
          <w:i/>
        </w:rPr>
        <w:t xml:space="preserve"> </w:t>
      </w:r>
      <w:r w:rsidRPr="00B95B39">
        <w:t>The risk of hypomagnesaemia is consistent with the safety data reported in the longer term AMETHYST-DN study.</w:t>
      </w:r>
      <w:r w:rsidR="00B668DC">
        <w:t xml:space="preserve">  </w:t>
      </w:r>
    </w:p>
    <w:p w:rsidR="00A13C22" w:rsidRDefault="00B668DC" w:rsidP="00F92E72">
      <w:pPr>
        <w:pStyle w:val="ListParagraph"/>
        <w:widowControl/>
        <w:numPr>
          <w:ilvl w:val="1"/>
          <w:numId w:val="3"/>
        </w:numPr>
        <w:spacing w:after="120"/>
      </w:pPr>
      <w:r w:rsidRPr="00D03515">
        <w:t>The ESC noted that hypokalaemia and hypomagnesaemia both increase the risk for adverse clinical outcomes (including mortality)</w:t>
      </w:r>
      <w:r w:rsidR="000153CF" w:rsidRPr="00D03515">
        <w:t>,</w:t>
      </w:r>
      <w:r w:rsidR="00230BD3" w:rsidRPr="00D03515">
        <w:t xml:space="preserve"> but these risks were not addressed by the submission</w:t>
      </w:r>
      <w:r w:rsidRPr="00D03515">
        <w:t xml:space="preserve">.  </w:t>
      </w:r>
    </w:p>
    <w:p w:rsidR="007F1017" w:rsidRPr="00C9624D" w:rsidRDefault="007F1017" w:rsidP="00F92E72">
      <w:pPr>
        <w:pStyle w:val="Heading2"/>
        <w:widowControl/>
        <w:spacing w:after="120"/>
      </w:pPr>
      <w:bookmarkStart w:id="9" w:name="_Toc19703820"/>
      <w:r w:rsidRPr="00C9624D">
        <w:t>Benefits/harms</w:t>
      </w:r>
      <w:bookmarkEnd w:id="9"/>
    </w:p>
    <w:p w:rsidR="00787269" w:rsidRPr="00D03515" w:rsidRDefault="000153CF" w:rsidP="00F92E72">
      <w:pPr>
        <w:pStyle w:val="ListParagraph"/>
        <w:widowControl/>
        <w:numPr>
          <w:ilvl w:val="1"/>
          <w:numId w:val="3"/>
        </w:numPr>
        <w:spacing w:after="120"/>
      </w:pPr>
      <w:r w:rsidRPr="00D03515">
        <w:t>Benefits and harms statements were not included in the ESC Advice. As the data were limited to 8 weeks of randomised clinical data, the ESC considered that the clinical relevance of the outcomes to chronic treatment with patiromer were unclear.</w:t>
      </w:r>
    </w:p>
    <w:p w:rsidR="00B95B39" w:rsidRDefault="005D1C09" w:rsidP="00F92E72">
      <w:pPr>
        <w:pStyle w:val="ListParagraph"/>
        <w:widowControl/>
        <w:numPr>
          <w:ilvl w:val="1"/>
          <w:numId w:val="3"/>
        </w:numPr>
        <w:spacing w:after="120"/>
      </w:pPr>
      <w:r w:rsidRPr="00D03515">
        <w:t>The</w:t>
      </w:r>
      <w:r w:rsidR="00787269" w:rsidRPr="00D03515">
        <w:t xml:space="preserve"> ESC w</w:t>
      </w:r>
      <w:r w:rsidR="00A425AD" w:rsidRPr="00D03515">
        <w:t>as</w:t>
      </w:r>
      <w:r w:rsidR="00787269" w:rsidRPr="00D03515">
        <w:t xml:space="preserve"> concerned that the rates of hypokalaemia were not reported in the OPAL-HK Part B trial, noting that a rate of 7.3% was reported in the </w:t>
      </w:r>
      <w:r w:rsidR="00105C07">
        <w:t xml:space="preserve">patiromer arm of the </w:t>
      </w:r>
      <w:r w:rsidR="00787269" w:rsidRPr="00D03515">
        <w:t>PEA</w:t>
      </w:r>
      <w:r w:rsidR="00A50B4C" w:rsidRPr="00D03515">
        <w:t>R</w:t>
      </w:r>
      <w:r w:rsidR="00787269" w:rsidRPr="00D03515">
        <w:t>L-HF study</w:t>
      </w:r>
      <w:r w:rsidR="00BB4E5E" w:rsidRPr="00D03515">
        <w:t>. In addition, the ESC</w:t>
      </w:r>
      <w:r w:rsidR="00787269" w:rsidRPr="00D03515">
        <w:t xml:space="preserve"> considered that the rate of hypomagnesaemia was underrepresented in the OPAL-HK Part B trial, noting that an overall rate of 8.6% was reported in the AMETHYST-DN study.</w:t>
      </w:r>
      <w:r w:rsidRPr="00D03515">
        <w:t xml:space="preserve"> </w:t>
      </w:r>
    </w:p>
    <w:p w:rsidR="00B60939" w:rsidRPr="00C9624D" w:rsidRDefault="00B60939" w:rsidP="00F92E72">
      <w:pPr>
        <w:pStyle w:val="Heading2"/>
        <w:widowControl/>
        <w:spacing w:after="120"/>
      </w:pPr>
      <w:bookmarkStart w:id="10" w:name="_Toc19703821"/>
      <w:r w:rsidRPr="00C9624D">
        <w:t>Clinical claim</w:t>
      </w:r>
      <w:bookmarkEnd w:id="10"/>
    </w:p>
    <w:p w:rsidR="00DA7C1B" w:rsidRPr="00DA7C1B" w:rsidRDefault="00477E9B" w:rsidP="00F92E72">
      <w:pPr>
        <w:pStyle w:val="ListParagraph"/>
        <w:widowControl/>
        <w:numPr>
          <w:ilvl w:val="1"/>
          <w:numId w:val="3"/>
        </w:numPr>
        <w:spacing w:after="120"/>
      </w:pPr>
      <w:r w:rsidRPr="00D13A3E">
        <w:t>The submission describe</w:t>
      </w:r>
      <w:r>
        <w:t>d</w:t>
      </w:r>
      <w:r w:rsidRPr="00D13A3E">
        <w:t xml:space="preserve"> </w:t>
      </w:r>
      <w:r>
        <w:t>patiromer</w:t>
      </w:r>
      <w:r w:rsidRPr="00D13A3E">
        <w:t xml:space="preserve"> as </w:t>
      </w:r>
      <w:r>
        <w:t xml:space="preserve">superior </w:t>
      </w:r>
      <w:r w:rsidRPr="00D13A3E">
        <w:t xml:space="preserve">in terms of effectiveness </w:t>
      </w:r>
      <w:r>
        <w:t xml:space="preserve">and inferior </w:t>
      </w:r>
      <w:r w:rsidRPr="00D13A3E">
        <w:t xml:space="preserve">in terms of safety </w:t>
      </w:r>
      <w:r>
        <w:t>compared to placebo</w:t>
      </w:r>
      <w:r w:rsidRPr="00D13A3E">
        <w:t>.</w:t>
      </w:r>
      <w:r>
        <w:t xml:space="preserve"> </w:t>
      </w:r>
      <w:r w:rsidRPr="00D03515">
        <w:t xml:space="preserve">The </w:t>
      </w:r>
      <w:r w:rsidR="00DA7C1B" w:rsidRPr="00D03515">
        <w:t>ESC considered that</w:t>
      </w:r>
      <w:r w:rsidR="00DA7C1B">
        <w:t xml:space="preserve"> the </w:t>
      </w:r>
      <w:r w:rsidRPr="004E3503">
        <w:t>therapeutic conclusion</w:t>
      </w:r>
      <w:r w:rsidR="00A36E46" w:rsidRPr="004E3503">
        <w:t>s</w:t>
      </w:r>
      <w:r w:rsidRPr="004E3503">
        <w:t xml:space="preserve"> presented in the submission </w:t>
      </w:r>
      <w:r w:rsidR="00DA7C1B">
        <w:t>we</w:t>
      </w:r>
      <w:r w:rsidR="00DA7C1B" w:rsidRPr="004E3503">
        <w:t xml:space="preserve">re </w:t>
      </w:r>
      <w:r w:rsidRPr="004E3503">
        <w:t>not adequately supported by the evidence presented</w:t>
      </w:r>
      <w:r w:rsidR="000730BC" w:rsidRPr="00C16830">
        <w:rPr>
          <w:i/>
        </w:rPr>
        <w:t>.</w:t>
      </w:r>
      <w:r w:rsidR="00B50D9F" w:rsidRPr="00C16830">
        <w:rPr>
          <w:i/>
        </w:rPr>
        <w:t xml:space="preserve"> </w:t>
      </w:r>
    </w:p>
    <w:p w:rsidR="006E782F" w:rsidRPr="00D03515" w:rsidRDefault="00B50D9F" w:rsidP="00F92E72">
      <w:pPr>
        <w:pStyle w:val="ListParagraph"/>
        <w:widowControl/>
        <w:numPr>
          <w:ilvl w:val="1"/>
          <w:numId w:val="3"/>
        </w:numPr>
        <w:spacing w:after="120"/>
      </w:pPr>
      <w:r w:rsidRPr="00D03515">
        <w:t>The ESC</w:t>
      </w:r>
      <w:r w:rsidR="00C16830" w:rsidRPr="00D03515">
        <w:t xml:space="preserve"> </w:t>
      </w:r>
      <w:r w:rsidR="00787269" w:rsidRPr="00D03515">
        <w:t xml:space="preserve">noted </w:t>
      </w:r>
      <w:r w:rsidR="00DA7C1B" w:rsidRPr="00D03515">
        <w:t>that the data presented was limited (</w:t>
      </w:r>
      <w:r w:rsidR="00C16830" w:rsidRPr="00D03515">
        <w:t>8 weeks of randomised clinical trial data and</w:t>
      </w:r>
      <w:r w:rsidR="00544656" w:rsidRPr="00D03515">
        <w:t xml:space="preserve"> a maximum of</w:t>
      </w:r>
      <w:r w:rsidR="00C16830" w:rsidRPr="00D03515">
        <w:t xml:space="preserve"> 52 weeks of open label trial data</w:t>
      </w:r>
      <w:r w:rsidR="00DA7C1B" w:rsidRPr="00D03515">
        <w:t>)</w:t>
      </w:r>
      <w:r w:rsidR="00C16830" w:rsidRPr="00D03515">
        <w:t xml:space="preserve"> </w:t>
      </w:r>
      <w:r w:rsidRPr="00D03515">
        <w:t xml:space="preserve">and </w:t>
      </w:r>
      <w:r w:rsidR="00787269" w:rsidRPr="00D03515">
        <w:t xml:space="preserve">considered that this </w:t>
      </w:r>
      <w:r w:rsidR="00DA7C1B" w:rsidRPr="00D03515">
        <w:t xml:space="preserve">did not </w:t>
      </w:r>
      <w:r w:rsidR="009C0F14" w:rsidRPr="00D03515">
        <w:t xml:space="preserve">adequately support the submission’s claim of superior efficacy </w:t>
      </w:r>
      <w:r w:rsidR="00DA7C1B" w:rsidRPr="00D03515">
        <w:t xml:space="preserve">in the </w:t>
      </w:r>
      <w:r w:rsidR="009C0F14" w:rsidRPr="00D03515">
        <w:t>long-term</w:t>
      </w:r>
      <w:r w:rsidRPr="00D03515">
        <w:t xml:space="preserve">. </w:t>
      </w:r>
    </w:p>
    <w:p w:rsidR="00477E9B" w:rsidRPr="004E3503" w:rsidRDefault="00477E9B" w:rsidP="00F92E72">
      <w:pPr>
        <w:pStyle w:val="ListParagraph"/>
        <w:widowControl/>
        <w:numPr>
          <w:ilvl w:val="1"/>
          <w:numId w:val="3"/>
        </w:numPr>
        <w:spacing w:after="120"/>
      </w:pPr>
      <w:r w:rsidRPr="00D03515">
        <w:t xml:space="preserve">The </w:t>
      </w:r>
      <w:r w:rsidR="00DA7C1B" w:rsidRPr="00D03515">
        <w:t xml:space="preserve">ESC noted that the </w:t>
      </w:r>
      <w:r w:rsidRPr="00D03515">
        <w:t>clinical studies presented</w:t>
      </w:r>
      <w:r w:rsidRPr="004E3503">
        <w:t xml:space="preserve"> in the submission were not applicable to the eligible population described in the requested restriction due to the following issues:</w:t>
      </w:r>
    </w:p>
    <w:p w:rsidR="00477E9B" w:rsidRPr="004E3503" w:rsidRDefault="00477E9B" w:rsidP="00F92E72">
      <w:pPr>
        <w:pStyle w:val="ListParagraph"/>
        <w:widowControl/>
        <w:numPr>
          <w:ilvl w:val="0"/>
          <w:numId w:val="2"/>
        </w:numPr>
        <w:spacing w:after="120"/>
        <w:ind w:left="993" w:hanging="284"/>
      </w:pPr>
      <w:r w:rsidRPr="004E3503">
        <w:t xml:space="preserve">the PEARL-HF and AMETHYST-DN studies only included subsets of the eligible population based on the comorbidities of heart failure and T2DM respectively. While these comorbidities are more frequently observed in the CKD population, </w:t>
      </w:r>
      <w:r w:rsidRPr="004E3503">
        <w:lastRenderedPageBreak/>
        <w:t xml:space="preserve">results of these studies should not be extrapolated to the broader eligible population; </w:t>
      </w:r>
    </w:p>
    <w:p w:rsidR="00477E9B" w:rsidRPr="004E3503" w:rsidRDefault="00477E9B" w:rsidP="00F92E72">
      <w:pPr>
        <w:pStyle w:val="ListParagraph"/>
        <w:widowControl/>
        <w:numPr>
          <w:ilvl w:val="0"/>
          <w:numId w:val="2"/>
        </w:numPr>
        <w:spacing w:after="120"/>
        <w:ind w:left="993" w:hanging="284"/>
      </w:pPr>
      <w:r w:rsidRPr="004E3503">
        <w:t>patiromer dose strengths used in the OPAL-HK and AMETHYST-DN studies exceeded the maximum dose recommended in the patiromer Product Information and may have biased results in favour of patiromer;</w:t>
      </w:r>
    </w:p>
    <w:p w:rsidR="00477E9B" w:rsidRPr="004E3503" w:rsidRDefault="00477E9B" w:rsidP="00F92E72">
      <w:pPr>
        <w:pStyle w:val="ListParagraph"/>
        <w:widowControl/>
        <w:numPr>
          <w:ilvl w:val="0"/>
          <w:numId w:val="2"/>
        </w:numPr>
        <w:spacing w:after="120"/>
        <w:ind w:left="993" w:hanging="284"/>
      </w:pPr>
      <w:r w:rsidRPr="004E3503">
        <w:t xml:space="preserve">the intense monitoring and complex patiromer and RAASi dosing regimens used in the included studies do not reflect patient management likely to be experienced in clinical practice. The intensity of serum potassium control generating outcomes in the OPAL-HK and AMETHYST-DN studies is unlikely to be realised in the eligible population;  </w:t>
      </w:r>
    </w:p>
    <w:p w:rsidR="00477E9B" w:rsidRPr="004E3503" w:rsidRDefault="00477E9B" w:rsidP="00F92E72">
      <w:pPr>
        <w:pStyle w:val="ListParagraph"/>
        <w:widowControl/>
        <w:numPr>
          <w:ilvl w:val="0"/>
          <w:numId w:val="2"/>
        </w:numPr>
        <w:spacing w:after="120"/>
        <w:ind w:left="993" w:hanging="284"/>
      </w:pPr>
      <w:r w:rsidRPr="004E3503">
        <w:t xml:space="preserve">the definitions of hyperkalaemia requiring pharmacological intervention used in the included studies were below the thresholds likely to initiate additional pharmacological interventions in </w:t>
      </w:r>
      <w:r w:rsidR="00B668DC">
        <w:t>Australian</w:t>
      </w:r>
      <w:r w:rsidR="00B668DC" w:rsidRPr="004E3503">
        <w:t xml:space="preserve"> </w:t>
      </w:r>
      <w:r w:rsidRPr="004E3503">
        <w:t>clinical practice. Many patients treated with patiromer in the studies would be treated with less invasive interventions (e.g. low potassium diets), or switched to other therapies (e.g. loop diuretics, calcium channel blockers);</w:t>
      </w:r>
      <w:r w:rsidR="00787269">
        <w:t xml:space="preserve"> and</w:t>
      </w:r>
    </w:p>
    <w:p w:rsidR="00477E9B" w:rsidRDefault="00477E9B" w:rsidP="00F92E72">
      <w:pPr>
        <w:pStyle w:val="ListParagraph"/>
        <w:widowControl/>
        <w:numPr>
          <w:ilvl w:val="0"/>
          <w:numId w:val="2"/>
        </w:numPr>
        <w:spacing w:after="120"/>
        <w:ind w:left="993" w:hanging="284"/>
      </w:pPr>
      <w:r w:rsidRPr="004E3503">
        <w:t>target serum potassium concentrations for CKD patients in the included studies were lower than the recommended target range for Australian clinical pra</w:t>
      </w:r>
      <w:r w:rsidR="00787269">
        <w:t>ctice (&lt; 6.0 mmol/L; KHA 2015).</w:t>
      </w:r>
    </w:p>
    <w:p w:rsidR="00477E9B" w:rsidRPr="004E3503" w:rsidRDefault="00477E9B" w:rsidP="00F92E72">
      <w:pPr>
        <w:pStyle w:val="ListParagraph"/>
        <w:widowControl/>
        <w:numPr>
          <w:ilvl w:val="1"/>
          <w:numId w:val="3"/>
        </w:numPr>
        <w:spacing w:after="120"/>
      </w:pPr>
      <w:r w:rsidRPr="004E3503">
        <w:t xml:space="preserve">Results for </w:t>
      </w:r>
      <w:r w:rsidR="00A36E46" w:rsidRPr="004E3503">
        <w:t xml:space="preserve">the </w:t>
      </w:r>
      <w:r w:rsidRPr="004E3503">
        <w:t xml:space="preserve">primary outcome of mean change in serum potassium from baseline in the included studies generally statistically favoured patiromer, but varied in magnitude between studies, patiromer start doses and baseline serum potassium concentrations. </w:t>
      </w:r>
      <w:r w:rsidR="00BB4E5E" w:rsidRPr="00D03515">
        <w:t>The ESC noted that no MCID was specified for patiromer, limiting interpretability and assessment of clinical relevance. The ESC also noted that the MDD specified in the submission did not constitute a clinically relevant measure of outcome</w:t>
      </w:r>
      <w:r w:rsidR="00BB4E5E" w:rsidRPr="00BB4E5E">
        <w:rPr>
          <w:i/>
        </w:rPr>
        <w:t>.</w:t>
      </w:r>
      <w:r w:rsidR="00BB4E5E">
        <w:t xml:space="preserve"> </w:t>
      </w:r>
      <w:r w:rsidRPr="004E3503">
        <w:t xml:space="preserve">The magnitude of serum potassium changes in the PEARL-HF study were small (&lt; 0.25 mmol/L), less than the MDD of 0.70 mmol/L applied to the OPAL-HK study. Similarly, in the OPAL-HK Part A study reductions in serum </w:t>
      </w:r>
      <w:r w:rsidR="00287D5B">
        <w:t>potassium were smaller in Dose G</w:t>
      </w:r>
      <w:r w:rsidRPr="004E3503">
        <w:t>roup 1 (patiromer starting do</w:t>
      </w:r>
      <w:r w:rsidR="00287D5B">
        <w:t>se 8.4 g/day) compared to Dose G</w:t>
      </w:r>
      <w:r w:rsidRPr="004E3503">
        <w:t xml:space="preserve">roup 2 (patiromer starting dose 16.8 g/day) and less than 0.7 mmol/L. The increase in serum potassium in the Part B withdrawal study placebo arm was also small. </w:t>
      </w:r>
    </w:p>
    <w:p w:rsidR="00477E9B" w:rsidRPr="004E3503" w:rsidRDefault="00477E9B" w:rsidP="00F92E72">
      <w:pPr>
        <w:pStyle w:val="ListParagraph"/>
        <w:widowControl/>
        <w:numPr>
          <w:ilvl w:val="1"/>
          <w:numId w:val="3"/>
        </w:numPr>
        <w:spacing w:after="120"/>
      </w:pPr>
      <w:r w:rsidRPr="004E3503">
        <w:t xml:space="preserve">The claim that treatment with patiromer allowed patients to continue optimal treatment with RAASi therapies relied on exploratory outcomes from the OPAL-HK dosing/withdrawal study. These exploratory outcomes may have been </w:t>
      </w:r>
      <w:r w:rsidR="00A36E46" w:rsidRPr="004E3503">
        <w:t>affected</w:t>
      </w:r>
      <w:r w:rsidRPr="004E3503">
        <w:t xml:space="preserve"> by the pre-specified patiromer/RAASi titration protocols</w:t>
      </w:r>
      <w:r w:rsidR="007F4C79">
        <w:t>,</w:t>
      </w:r>
      <w:r w:rsidRPr="004E3503">
        <w:t xml:space="preserve"> which applied different criteria for down titration of RAASi therapies to the patiromer and placebo arms of the study. In addition, the use of dual RAASi therapies and concomitant background medicines may also have impacted serum potassium control. </w:t>
      </w:r>
    </w:p>
    <w:p w:rsidR="00477E9B" w:rsidRPr="004E3503" w:rsidRDefault="00477E9B" w:rsidP="00F92E72">
      <w:pPr>
        <w:pStyle w:val="ListParagraph"/>
        <w:widowControl/>
        <w:numPr>
          <w:ilvl w:val="1"/>
          <w:numId w:val="3"/>
        </w:numPr>
        <w:spacing w:after="120"/>
      </w:pPr>
      <w:r w:rsidRPr="00D03515">
        <w:t xml:space="preserve">The </w:t>
      </w:r>
      <w:r w:rsidR="00DA7C1B" w:rsidRPr="00D03515">
        <w:t>ESC noted that</w:t>
      </w:r>
      <w:r w:rsidR="00DA7C1B">
        <w:t xml:space="preserve"> the </w:t>
      </w:r>
      <w:r w:rsidRPr="004E3503">
        <w:t xml:space="preserve">OPAL-HK study design selected an enriched population of patiromer responders for continuation into the placebo controlled Part B withdrawal study. </w:t>
      </w:r>
      <w:r w:rsidR="00F67D35" w:rsidRPr="00D03515">
        <w:t>The ESC considered that s</w:t>
      </w:r>
      <w:r w:rsidRPr="00D03515">
        <w:t>tudy</w:t>
      </w:r>
      <w:r w:rsidRPr="004E3503">
        <w:t xml:space="preserve"> outcomes (particularly exploratory outcomes) may </w:t>
      </w:r>
      <w:r w:rsidR="00F67D35">
        <w:t xml:space="preserve">have </w:t>
      </w:r>
      <w:r w:rsidRPr="004E3503">
        <w:t>overestimate</w:t>
      </w:r>
      <w:r w:rsidR="00F67D35">
        <w:t>d</w:t>
      </w:r>
      <w:r w:rsidRPr="004E3503">
        <w:t xml:space="preserve"> the efficacy of patiromer likely to be experienced in clinical </w:t>
      </w:r>
      <w:r w:rsidRPr="004E3503">
        <w:lastRenderedPageBreak/>
        <w:t xml:space="preserve">practice and </w:t>
      </w:r>
      <w:r w:rsidR="00F67D35">
        <w:t xml:space="preserve">that the </w:t>
      </w:r>
      <w:r w:rsidRPr="004E3503">
        <w:t xml:space="preserve">results should not be extrapolated to the broader </w:t>
      </w:r>
      <w:r w:rsidR="00B668DC">
        <w:t xml:space="preserve">PBS </w:t>
      </w:r>
      <w:r w:rsidRPr="004E3503">
        <w:t>eligible population.</w:t>
      </w:r>
    </w:p>
    <w:p w:rsidR="00477E9B" w:rsidRDefault="00477E9B" w:rsidP="00F92E72">
      <w:pPr>
        <w:pStyle w:val="ListParagraph"/>
        <w:widowControl/>
        <w:numPr>
          <w:ilvl w:val="1"/>
          <w:numId w:val="3"/>
        </w:numPr>
        <w:spacing w:after="120"/>
      </w:pPr>
      <w:r w:rsidRPr="004E3503">
        <w:t xml:space="preserve">In the OPAL-HK and AMETHYST-DN (Cohort 3) studies it was unclear whether elevated serum potassium episodes were acute (i.e. related to discrete events) or chronic (i.e. related to CKD progression), or whether patients experiencing elevated potassium episodes attempted less invasive therapies (e.g. diet control, loop/thiazide diuretics) prior to commencing patiromer. In addition, the assumption that patients experiencing increased serum potassium concentrations would not be treated with intermittent potassium binding resins (e.g. </w:t>
      </w:r>
      <w:r w:rsidR="00B668DC">
        <w:t>SPS</w:t>
      </w:r>
      <w:r w:rsidRPr="004E3503">
        <w:t>) was not adequately justified, and unlikely to reflect clinical practice</w:t>
      </w:r>
      <w:r w:rsidR="0021367F" w:rsidRPr="004E3503">
        <w:t>.</w:t>
      </w:r>
    </w:p>
    <w:p w:rsidR="002136E2" w:rsidRPr="009865FB" w:rsidRDefault="002136E2" w:rsidP="00F92E72">
      <w:pPr>
        <w:pStyle w:val="ListParagraph"/>
        <w:widowControl/>
        <w:numPr>
          <w:ilvl w:val="1"/>
          <w:numId w:val="3"/>
        </w:numPr>
        <w:spacing w:after="120"/>
      </w:pPr>
      <w:r w:rsidRPr="009865FB">
        <w:t>The PBAC considered that the claim of superior comparative effectiveness</w:t>
      </w:r>
      <w:r w:rsidR="00135367">
        <w:t xml:space="preserve"> compared to placebo</w:t>
      </w:r>
      <w:r w:rsidRPr="009865FB">
        <w:t xml:space="preserve"> was </w:t>
      </w:r>
      <w:r w:rsidR="001464EB">
        <w:t>unclear</w:t>
      </w:r>
      <w:r w:rsidRPr="009865FB">
        <w:t>.</w:t>
      </w:r>
      <w:r w:rsidR="00874986">
        <w:t xml:space="preserve"> </w:t>
      </w:r>
      <w:r w:rsidR="00FA2F01">
        <w:t xml:space="preserve">Although the </w:t>
      </w:r>
      <w:r w:rsidR="00874986">
        <w:t>studies demonstrated a reduction in potassium levels</w:t>
      </w:r>
      <w:r w:rsidR="00FA2F01">
        <w:t xml:space="preserve"> with patiromer</w:t>
      </w:r>
      <w:r w:rsidR="00874986">
        <w:t>, the clinical relevance and long-term impact was unc</w:t>
      </w:r>
      <w:r w:rsidR="00FA2F01">
        <w:t>ertain</w:t>
      </w:r>
      <w:r w:rsidR="00874986">
        <w:t xml:space="preserve">. </w:t>
      </w:r>
      <w:r w:rsidR="00E10DAD">
        <w:t xml:space="preserve">Further, </w:t>
      </w:r>
      <w:r w:rsidR="00044695">
        <w:t>an</w:t>
      </w:r>
      <w:r w:rsidR="00E10DAD">
        <w:t xml:space="preserve"> incremental benefit versus intermittent use of SPS was </w:t>
      </w:r>
      <w:r w:rsidR="00FA2F01">
        <w:t>not demonstrated</w:t>
      </w:r>
      <w:r w:rsidR="00E10DAD">
        <w:t>.</w:t>
      </w:r>
    </w:p>
    <w:p w:rsidR="002136E2" w:rsidRPr="009865FB" w:rsidRDefault="002136E2" w:rsidP="00F92E72">
      <w:pPr>
        <w:pStyle w:val="ListParagraph"/>
        <w:widowControl/>
        <w:numPr>
          <w:ilvl w:val="1"/>
          <w:numId w:val="3"/>
        </w:numPr>
        <w:spacing w:after="120"/>
      </w:pPr>
      <w:r w:rsidRPr="009865FB">
        <w:t xml:space="preserve">The PBAC considered that the claim of inferior comparative safety </w:t>
      </w:r>
      <w:r w:rsidR="00135367">
        <w:t xml:space="preserve">compared to placebo </w:t>
      </w:r>
      <w:r w:rsidRPr="009865FB">
        <w:t>was reasonable.</w:t>
      </w:r>
    </w:p>
    <w:p w:rsidR="00504DE7" w:rsidRPr="00C9624D" w:rsidRDefault="00504DE7" w:rsidP="00F92E72">
      <w:pPr>
        <w:pStyle w:val="Heading2"/>
        <w:widowControl/>
        <w:spacing w:after="120"/>
      </w:pPr>
      <w:bookmarkStart w:id="11" w:name="_Toc371170710"/>
      <w:bookmarkStart w:id="12" w:name="_Toc19703822"/>
      <w:r w:rsidRPr="00C9624D">
        <w:t>Economic analysis</w:t>
      </w:r>
      <w:bookmarkEnd w:id="11"/>
      <w:bookmarkEnd w:id="12"/>
      <w:r w:rsidRPr="00C9624D">
        <w:t xml:space="preserve"> </w:t>
      </w:r>
    </w:p>
    <w:p w:rsidR="00504DE7" w:rsidRDefault="00504DE7" w:rsidP="00F92E72">
      <w:pPr>
        <w:pStyle w:val="ListParagraph"/>
        <w:widowControl/>
        <w:numPr>
          <w:ilvl w:val="1"/>
          <w:numId w:val="3"/>
        </w:numPr>
        <w:spacing w:after="120"/>
      </w:pPr>
      <w:r>
        <w:t>The submission presented a modelled economic evaluation of patiromer versus placebo for the treatment of patients with chronic kidney disease (CKD 3+) who are receiving one or more RAASi medicines and have experienced a recent episode of hyperkalaemia requiring pharmacological intervention. The economic evaluation was based on data from the OPAL Part B Study and the AMETHYST-DN study as well as other modelled variables. The economic evaluation was presented as a cost-utility analysis.</w:t>
      </w:r>
    </w:p>
    <w:p w:rsidR="00504DE7" w:rsidRPr="000937B8" w:rsidRDefault="00504DE7" w:rsidP="00F92E72">
      <w:pPr>
        <w:pStyle w:val="TableHeading0"/>
        <w:keepLines/>
        <w:suppressLineNumbers/>
        <w:suppressAutoHyphens/>
        <w:spacing w:after="0"/>
      </w:pPr>
      <w:r>
        <w:lastRenderedPageBreak/>
        <w:t xml:space="preserve">Table </w:t>
      </w:r>
      <w:r w:rsidR="00A36E46">
        <w:t>13</w:t>
      </w:r>
      <w:r w:rsidRPr="000937B8">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3: Key components of the economic evaluation"/>
      </w:tblPr>
      <w:tblGrid>
        <w:gridCol w:w="1690"/>
        <w:gridCol w:w="7327"/>
      </w:tblGrid>
      <w:tr w:rsidR="00504DE7" w:rsidRPr="000937B8" w:rsidTr="00D070E9">
        <w:tc>
          <w:tcPr>
            <w:tcW w:w="937" w:type="pct"/>
            <w:shd w:val="clear" w:color="auto" w:fill="auto"/>
            <w:tcMar>
              <w:left w:w="28" w:type="dxa"/>
              <w:right w:w="28" w:type="dxa"/>
            </w:tcMar>
          </w:tcPr>
          <w:p w:rsidR="00504DE7" w:rsidRPr="00EF3278" w:rsidRDefault="00504DE7" w:rsidP="00F92E72">
            <w:pPr>
              <w:pStyle w:val="TableText0"/>
              <w:keepLines/>
              <w:suppressLineNumbers/>
              <w:suppressAutoHyphens/>
              <w:spacing w:before="0" w:after="0"/>
              <w:rPr>
                <w:b/>
              </w:rPr>
            </w:pPr>
            <w:r w:rsidRPr="00EF3278">
              <w:rPr>
                <w:b/>
              </w:rPr>
              <w:t xml:space="preserve">Component </w:t>
            </w:r>
          </w:p>
        </w:tc>
        <w:tc>
          <w:tcPr>
            <w:tcW w:w="4063" w:type="pct"/>
            <w:shd w:val="clear" w:color="auto" w:fill="auto"/>
            <w:tcMar>
              <w:left w:w="28" w:type="dxa"/>
              <w:right w:w="28" w:type="dxa"/>
            </w:tcMar>
          </w:tcPr>
          <w:p w:rsidR="00504DE7" w:rsidRPr="00EF3278" w:rsidRDefault="00504DE7" w:rsidP="00F92E72">
            <w:pPr>
              <w:pStyle w:val="TableText0"/>
              <w:keepLines/>
              <w:suppressLineNumbers/>
              <w:suppressAutoHyphens/>
              <w:spacing w:before="0" w:after="0"/>
              <w:rPr>
                <w:b/>
              </w:rPr>
            </w:pPr>
            <w:r w:rsidRPr="00EF3278">
              <w:rPr>
                <w:b/>
              </w:rPr>
              <w:t>Description</w:t>
            </w:r>
          </w:p>
        </w:tc>
      </w:tr>
      <w:tr w:rsidR="00504DE7" w:rsidRPr="000937B8" w:rsidTr="00D070E9">
        <w:tc>
          <w:tcPr>
            <w:tcW w:w="937"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pPr>
            <w:r w:rsidRPr="000937B8">
              <w:t xml:space="preserve">Type of analysis </w:t>
            </w:r>
          </w:p>
        </w:tc>
        <w:tc>
          <w:tcPr>
            <w:tcW w:w="4063"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rPr>
                <w:rFonts w:ascii="Times" w:eastAsia="Times New Roman" w:hAnsi="Times" w:cs="Times New Roman"/>
                <w:szCs w:val="20"/>
                <w:lang w:val="en-US"/>
              </w:rPr>
            </w:pPr>
            <w:r>
              <w:t>Cost-utility analysis</w:t>
            </w:r>
          </w:p>
        </w:tc>
      </w:tr>
      <w:tr w:rsidR="00504DE7" w:rsidRPr="000937B8" w:rsidTr="00D070E9">
        <w:tc>
          <w:tcPr>
            <w:tcW w:w="937"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rPr>
                <w:rFonts w:ascii="Times" w:eastAsia="Times New Roman" w:hAnsi="Times" w:cs="Times New Roman"/>
                <w:szCs w:val="20"/>
                <w:lang w:val="en-US"/>
              </w:rPr>
            </w:pPr>
            <w:r w:rsidRPr="000937B8">
              <w:t>Outcomes</w:t>
            </w:r>
          </w:p>
        </w:tc>
        <w:tc>
          <w:tcPr>
            <w:tcW w:w="4063" w:type="pct"/>
            <w:shd w:val="clear" w:color="auto" w:fill="auto"/>
            <w:tcMar>
              <w:left w:w="28" w:type="dxa"/>
              <w:right w:w="28" w:type="dxa"/>
            </w:tcMar>
            <w:vAlign w:val="center"/>
          </w:tcPr>
          <w:p w:rsidR="00504DE7" w:rsidRPr="002343DB" w:rsidRDefault="00504DE7" w:rsidP="00F92E72">
            <w:pPr>
              <w:pStyle w:val="TableText0"/>
              <w:keepLines/>
              <w:suppressLineNumbers/>
              <w:suppressAutoHyphens/>
              <w:spacing w:before="0" w:after="0"/>
            </w:pPr>
            <w:r>
              <w:t>Q</w:t>
            </w:r>
            <w:r w:rsidRPr="002343DB">
              <w:t>uality-adjusted life years</w:t>
            </w:r>
          </w:p>
        </w:tc>
      </w:tr>
      <w:tr w:rsidR="00504DE7" w:rsidRPr="000937B8" w:rsidTr="00D070E9">
        <w:tc>
          <w:tcPr>
            <w:tcW w:w="937"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rPr>
                <w:rFonts w:ascii="Times" w:eastAsia="Times New Roman" w:hAnsi="Times" w:cs="Times New Roman"/>
                <w:szCs w:val="20"/>
                <w:lang w:val="en-US"/>
              </w:rPr>
            </w:pPr>
            <w:r w:rsidRPr="000937B8">
              <w:t>Time horizon</w:t>
            </w:r>
          </w:p>
        </w:tc>
        <w:tc>
          <w:tcPr>
            <w:tcW w:w="4063"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rPr>
                <w:rFonts w:ascii="Times" w:eastAsia="Times New Roman" w:hAnsi="Times" w:cs="Times New Roman"/>
                <w:szCs w:val="20"/>
                <w:lang w:val="en-US"/>
              </w:rPr>
            </w:pPr>
            <w:r>
              <w:t>10 years</w:t>
            </w:r>
            <w:r w:rsidR="00F20752">
              <w:t xml:space="preserve"> (compared to 8 weeks of OPAL-HK</w:t>
            </w:r>
            <w:r w:rsidR="00873ABA">
              <w:t xml:space="preserve"> part B</w:t>
            </w:r>
            <w:r w:rsidR="00F20752">
              <w:t xml:space="preserve"> and 52 weeks of AMETHYST-DN data)</w:t>
            </w:r>
          </w:p>
        </w:tc>
      </w:tr>
      <w:tr w:rsidR="00504DE7" w:rsidRPr="000937B8" w:rsidTr="00D070E9">
        <w:tc>
          <w:tcPr>
            <w:tcW w:w="937"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rPr>
                <w:rFonts w:ascii="Times" w:eastAsia="Times New Roman" w:hAnsi="Times" w:cs="Times New Roman"/>
                <w:szCs w:val="20"/>
                <w:lang w:val="en-US"/>
              </w:rPr>
            </w:pPr>
            <w:r w:rsidRPr="000937B8">
              <w:t>Methods used to generate results</w:t>
            </w:r>
          </w:p>
        </w:tc>
        <w:tc>
          <w:tcPr>
            <w:tcW w:w="4063"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rPr>
                <w:rFonts w:ascii="Times" w:eastAsia="Times New Roman" w:hAnsi="Times" w:cs="Times New Roman"/>
                <w:szCs w:val="20"/>
                <w:lang w:val="en-US"/>
              </w:rPr>
            </w:pPr>
            <w:r>
              <w:t>Markov microsimulation model</w:t>
            </w:r>
          </w:p>
        </w:tc>
      </w:tr>
      <w:tr w:rsidR="00504DE7" w:rsidRPr="000937B8" w:rsidTr="00D070E9">
        <w:tc>
          <w:tcPr>
            <w:tcW w:w="937"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pPr>
            <w:r>
              <w:t>Treatments</w:t>
            </w:r>
          </w:p>
        </w:tc>
        <w:tc>
          <w:tcPr>
            <w:tcW w:w="4063" w:type="pct"/>
            <w:shd w:val="clear" w:color="auto" w:fill="auto"/>
            <w:tcMar>
              <w:left w:w="28" w:type="dxa"/>
              <w:right w:w="28" w:type="dxa"/>
            </w:tcMar>
            <w:vAlign w:val="center"/>
          </w:tcPr>
          <w:p w:rsidR="00504DE7" w:rsidRDefault="00504DE7" w:rsidP="00F92E72">
            <w:pPr>
              <w:pStyle w:val="TableText0"/>
              <w:keepLines/>
              <w:suppressLineNumbers/>
              <w:suppressAutoHyphens/>
              <w:spacing w:before="0" w:after="0"/>
            </w:pPr>
            <w:r>
              <w:t xml:space="preserve">Patiromer, placebo </w:t>
            </w:r>
          </w:p>
        </w:tc>
      </w:tr>
      <w:tr w:rsidR="00504DE7" w:rsidRPr="000937B8" w:rsidTr="00D070E9">
        <w:tc>
          <w:tcPr>
            <w:tcW w:w="937"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rPr>
                <w:rFonts w:ascii="Times" w:eastAsia="Times New Roman" w:hAnsi="Times" w:cs="Times New Roman"/>
                <w:szCs w:val="20"/>
                <w:lang w:val="en-US"/>
              </w:rPr>
            </w:pPr>
            <w:r w:rsidRPr="000937B8">
              <w:t>Health states</w:t>
            </w:r>
          </w:p>
        </w:tc>
        <w:tc>
          <w:tcPr>
            <w:tcW w:w="4063" w:type="pct"/>
            <w:shd w:val="clear" w:color="auto" w:fill="auto"/>
            <w:tcMar>
              <w:left w:w="28" w:type="dxa"/>
              <w:right w:w="28" w:type="dxa"/>
            </w:tcMar>
            <w:vAlign w:val="center"/>
          </w:tcPr>
          <w:p w:rsidR="00504DE7" w:rsidRPr="00BF30D9" w:rsidRDefault="00504DE7" w:rsidP="00F92E72">
            <w:pPr>
              <w:pStyle w:val="TableText0"/>
              <w:keepLines/>
              <w:suppressLineNumbers/>
              <w:suppressAutoHyphens/>
              <w:spacing w:before="0" w:after="0"/>
            </w:pPr>
            <w:r>
              <w:t>36</w:t>
            </w:r>
            <w:r w:rsidRPr="000A44CF">
              <w:t xml:space="preserve"> health states comprised of various combinations of hyperkalaemia and RAASi treatment status, CKD stage and CVD history,</w:t>
            </w:r>
            <w:r>
              <w:t xml:space="preserve"> 4 transitional health states for hyperkal</w:t>
            </w:r>
            <w:r w:rsidR="00AC25CB">
              <w:t>a</w:t>
            </w:r>
            <w:r>
              <w:t>emia and cardiovascular events and 1 absorbing death state</w:t>
            </w:r>
          </w:p>
        </w:tc>
      </w:tr>
      <w:tr w:rsidR="00504DE7" w:rsidRPr="000937B8" w:rsidTr="00D070E9">
        <w:tc>
          <w:tcPr>
            <w:tcW w:w="937"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rPr>
                <w:rFonts w:ascii="Times" w:eastAsia="Times New Roman" w:hAnsi="Times" w:cs="Times New Roman"/>
                <w:szCs w:val="20"/>
                <w:lang w:val="en-US"/>
              </w:rPr>
            </w:pPr>
            <w:r w:rsidRPr="000937B8">
              <w:t>Cycle length</w:t>
            </w:r>
          </w:p>
        </w:tc>
        <w:tc>
          <w:tcPr>
            <w:tcW w:w="4063" w:type="pct"/>
            <w:shd w:val="clear" w:color="auto" w:fill="auto"/>
            <w:tcMar>
              <w:left w:w="28" w:type="dxa"/>
              <w:right w:w="28" w:type="dxa"/>
            </w:tcMar>
            <w:vAlign w:val="center"/>
          </w:tcPr>
          <w:p w:rsidR="00504DE7" w:rsidRPr="002343DB" w:rsidRDefault="00504DE7" w:rsidP="00F92E72">
            <w:pPr>
              <w:pStyle w:val="TableText0"/>
              <w:keepLines/>
              <w:suppressLineNumbers/>
              <w:suppressAutoHyphens/>
              <w:spacing w:before="0" w:after="0"/>
            </w:pPr>
            <w:r>
              <w:t>1 month (no half-cycle correction)</w:t>
            </w:r>
          </w:p>
        </w:tc>
      </w:tr>
      <w:tr w:rsidR="00504DE7" w:rsidRPr="000937B8" w:rsidTr="00D070E9">
        <w:tc>
          <w:tcPr>
            <w:tcW w:w="937"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pPr>
            <w:r w:rsidRPr="000937B8">
              <w:t xml:space="preserve">Transition probability </w:t>
            </w:r>
          </w:p>
        </w:tc>
        <w:tc>
          <w:tcPr>
            <w:tcW w:w="4063" w:type="pct"/>
            <w:shd w:val="clear" w:color="auto" w:fill="auto"/>
            <w:tcMar>
              <w:left w:w="28" w:type="dxa"/>
              <w:right w:w="28" w:type="dxa"/>
            </w:tcMar>
            <w:vAlign w:val="center"/>
          </w:tcPr>
          <w:p w:rsidR="00504DE7" w:rsidRDefault="00504DE7" w:rsidP="00F92E72">
            <w:pPr>
              <w:keepNext/>
              <w:keepLines/>
              <w:widowControl/>
              <w:suppressLineNumbers/>
              <w:suppressAutoHyphens/>
              <w:rPr>
                <w:rFonts w:ascii="Arial Narrow" w:hAnsi="Arial Narrow"/>
                <w:sz w:val="20"/>
                <w:szCs w:val="20"/>
              </w:rPr>
            </w:pPr>
            <w:r>
              <w:rPr>
                <w:rFonts w:ascii="Arial Narrow" w:hAnsi="Arial Narrow"/>
                <w:sz w:val="20"/>
                <w:szCs w:val="20"/>
              </w:rPr>
              <w:t>- Patiromer treatment compliance was informed by extrapolated data from the AMETHYST-DN study with additional assumptions</w:t>
            </w:r>
          </w:p>
          <w:p w:rsidR="00504DE7" w:rsidRDefault="00504DE7" w:rsidP="00F92E72">
            <w:pPr>
              <w:keepNext/>
              <w:keepLines/>
              <w:widowControl/>
              <w:suppressLineNumbers/>
              <w:suppressAutoHyphens/>
              <w:rPr>
                <w:rFonts w:ascii="Arial Narrow" w:hAnsi="Arial Narrow"/>
                <w:sz w:val="20"/>
                <w:szCs w:val="20"/>
              </w:rPr>
            </w:pPr>
            <w:r>
              <w:rPr>
                <w:rFonts w:ascii="Arial Narrow" w:hAnsi="Arial Narrow"/>
                <w:sz w:val="20"/>
                <w:szCs w:val="20"/>
              </w:rPr>
              <w:t>- RAASi dose intensity was informed by data from the NPS MedicineInsight Report</w:t>
            </w:r>
            <w:r w:rsidRPr="00393FD5">
              <w:rPr>
                <w:rFonts w:ascii="Arial Narrow" w:hAnsi="Arial Narrow"/>
                <w:sz w:val="20"/>
                <w:szCs w:val="20"/>
              </w:rPr>
              <w:t xml:space="preserve"> 2017</w:t>
            </w:r>
            <w:r>
              <w:rPr>
                <w:rFonts w:ascii="Arial Narrow" w:hAnsi="Arial Narrow"/>
                <w:sz w:val="20"/>
                <w:szCs w:val="20"/>
              </w:rPr>
              <w:t xml:space="preserve"> and the OPAL Part-B study with additional assumptions</w:t>
            </w:r>
          </w:p>
          <w:p w:rsidR="00504DE7" w:rsidRDefault="00504DE7" w:rsidP="00F92E72">
            <w:pPr>
              <w:keepNext/>
              <w:keepLines/>
              <w:widowControl/>
              <w:suppressLineNumbers/>
              <w:suppressAutoHyphens/>
              <w:rPr>
                <w:rFonts w:ascii="Arial Narrow" w:hAnsi="Arial Narrow"/>
                <w:sz w:val="20"/>
                <w:szCs w:val="20"/>
              </w:rPr>
            </w:pPr>
            <w:r>
              <w:rPr>
                <w:rFonts w:ascii="Arial Narrow" w:hAnsi="Arial Narrow"/>
                <w:sz w:val="20"/>
                <w:szCs w:val="20"/>
              </w:rPr>
              <w:t>- Risk of hyperkalaemia events was informed by extrapolated data from the OPAL Part-B and AMETHYST-DN studies with additional assumptions. Mortality risk informed by published estimates (</w:t>
            </w:r>
            <w:r w:rsidRPr="00E93C6F">
              <w:rPr>
                <w:rFonts w:ascii="Arial Narrow" w:hAnsi="Arial Narrow"/>
                <w:sz w:val="20"/>
                <w:szCs w:val="20"/>
              </w:rPr>
              <w:t>Singer et al 2017</w:t>
            </w:r>
            <w:r>
              <w:rPr>
                <w:rFonts w:ascii="Arial Narrow" w:hAnsi="Arial Narrow"/>
                <w:sz w:val="20"/>
                <w:szCs w:val="20"/>
              </w:rPr>
              <w:t>) with additional assumptions</w:t>
            </w:r>
          </w:p>
          <w:p w:rsidR="00504DE7" w:rsidRDefault="00504DE7" w:rsidP="00F92E72">
            <w:pPr>
              <w:keepNext/>
              <w:keepLines/>
              <w:widowControl/>
              <w:suppressLineNumbers/>
              <w:suppressAutoHyphens/>
              <w:rPr>
                <w:rFonts w:ascii="Arial Narrow" w:hAnsi="Arial Narrow"/>
                <w:sz w:val="20"/>
                <w:szCs w:val="20"/>
              </w:rPr>
            </w:pPr>
            <w:r>
              <w:rPr>
                <w:rFonts w:ascii="Arial Narrow" w:hAnsi="Arial Narrow"/>
                <w:sz w:val="20"/>
                <w:szCs w:val="20"/>
              </w:rPr>
              <w:t>- Risk of cardiovascular events was informed by data from the Xie et al (2016) network meta-analysis with additional assumptions. Mortality risk informed from same data source</w:t>
            </w:r>
          </w:p>
          <w:p w:rsidR="00504DE7" w:rsidRPr="00D44B5A" w:rsidRDefault="00504DE7" w:rsidP="00F92E72">
            <w:pPr>
              <w:keepNext/>
              <w:keepLines/>
              <w:widowControl/>
              <w:suppressLineNumbers/>
              <w:suppressAutoHyphens/>
              <w:rPr>
                <w:rFonts w:ascii="Arial Narrow" w:hAnsi="Arial Narrow"/>
                <w:sz w:val="20"/>
                <w:szCs w:val="20"/>
              </w:rPr>
            </w:pPr>
            <w:r>
              <w:rPr>
                <w:rFonts w:ascii="Arial Narrow" w:hAnsi="Arial Narrow"/>
                <w:sz w:val="20"/>
                <w:szCs w:val="20"/>
              </w:rPr>
              <w:t>- Risk of chronic kidney disease progression was informed by data from the Xie et al (2016) network meta-analysis with additional assumptions. Mortality risk informed by Australian life tables and published estimates (</w:t>
            </w:r>
            <w:r w:rsidRPr="00E93C6F">
              <w:rPr>
                <w:rFonts w:ascii="Arial Narrow" w:hAnsi="Arial Narrow"/>
                <w:sz w:val="20"/>
                <w:szCs w:val="20"/>
              </w:rPr>
              <w:t>Eriksen</w:t>
            </w:r>
            <w:r>
              <w:rPr>
                <w:rFonts w:ascii="Arial Narrow" w:hAnsi="Arial Narrow"/>
                <w:sz w:val="20"/>
                <w:szCs w:val="20"/>
              </w:rPr>
              <w:t xml:space="preserve"> &amp;</w:t>
            </w:r>
            <w:r w:rsidRPr="00E93C6F">
              <w:rPr>
                <w:rFonts w:ascii="Arial Narrow" w:hAnsi="Arial Narrow"/>
                <w:sz w:val="20"/>
                <w:szCs w:val="20"/>
              </w:rPr>
              <w:t xml:space="preserve"> Ingebretsen 2006, Sud et al 2016, Steenkamp et al 2016</w:t>
            </w:r>
            <w:r>
              <w:rPr>
                <w:rFonts w:ascii="Arial Narrow" w:hAnsi="Arial Narrow"/>
                <w:sz w:val="20"/>
                <w:szCs w:val="20"/>
              </w:rPr>
              <w:t>)</w:t>
            </w:r>
          </w:p>
        </w:tc>
      </w:tr>
      <w:tr w:rsidR="00504DE7" w:rsidRPr="000937B8" w:rsidTr="00D070E9">
        <w:tc>
          <w:tcPr>
            <w:tcW w:w="937"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pPr>
            <w:r>
              <w:t>Discount rate</w:t>
            </w:r>
          </w:p>
        </w:tc>
        <w:tc>
          <w:tcPr>
            <w:tcW w:w="4063" w:type="pct"/>
            <w:shd w:val="clear" w:color="auto" w:fill="auto"/>
            <w:tcMar>
              <w:left w:w="28" w:type="dxa"/>
              <w:right w:w="28" w:type="dxa"/>
            </w:tcMar>
            <w:vAlign w:val="center"/>
          </w:tcPr>
          <w:p w:rsidR="00504DE7" w:rsidRPr="00FC7A10" w:rsidRDefault="00504DE7" w:rsidP="00F92E72">
            <w:pPr>
              <w:pStyle w:val="TableText0"/>
              <w:keepLines/>
              <w:suppressLineNumbers/>
              <w:suppressAutoHyphens/>
              <w:spacing w:before="0" w:after="0"/>
            </w:pPr>
            <w:r w:rsidRPr="00FC7A10">
              <w:t>5% for costs and outcomes</w:t>
            </w:r>
          </w:p>
        </w:tc>
      </w:tr>
      <w:tr w:rsidR="00504DE7" w:rsidRPr="000937B8" w:rsidTr="00D070E9">
        <w:tc>
          <w:tcPr>
            <w:tcW w:w="937" w:type="pct"/>
            <w:shd w:val="clear" w:color="auto" w:fill="auto"/>
            <w:tcMar>
              <w:left w:w="28" w:type="dxa"/>
              <w:right w:w="28" w:type="dxa"/>
            </w:tcMar>
            <w:vAlign w:val="center"/>
          </w:tcPr>
          <w:p w:rsidR="00504DE7" w:rsidRPr="000937B8" w:rsidRDefault="00504DE7" w:rsidP="00F92E72">
            <w:pPr>
              <w:pStyle w:val="TableText0"/>
              <w:keepLines/>
              <w:suppressLineNumbers/>
              <w:suppressAutoHyphens/>
              <w:spacing w:before="0" w:after="0"/>
              <w:rPr>
                <w:rFonts w:ascii="Times" w:eastAsia="Times New Roman" w:hAnsi="Times" w:cs="Times New Roman"/>
                <w:szCs w:val="20"/>
                <w:lang w:val="en-US"/>
              </w:rPr>
            </w:pPr>
            <w:r w:rsidRPr="000937B8">
              <w:t>Software package</w:t>
            </w:r>
          </w:p>
        </w:tc>
        <w:tc>
          <w:tcPr>
            <w:tcW w:w="4063" w:type="pct"/>
            <w:shd w:val="clear" w:color="auto" w:fill="auto"/>
            <w:tcMar>
              <w:left w:w="28" w:type="dxa"/>
              <w:right w:w="28" w:type="dxa"/>
            </w:tcMar>
            <w:vAlign w:val="center"/>
          </w:tcPr>
          <w:p w:rsidR="00504DE7" w:rsidRPr="00FC7A10" w:rsidRDefault="00504DE7" w:rsidP="00F92E72">
            <w:pPr>
              <w:pStyle w:val="TableText0"/>
              <w:keepLines/>
              <w:suppressLineNumbers/>
              <w:suppressAutoHyphens/>
              <w:spacing w:before="0" w:after="0"/>
            </w:pPr>
            <w:r>
              <w:t>TreeAge Pro</w:t>
            </w:r>
          </w:p>
        </w:tc>
      </w:tr>
    </w:tbl>
    <w:p w:rsidR="002C190B" w:rsidRDefault="002C190B" w:rsidP="00F92E72">
      <w:pPr>
        <w:pStyle w:val="TableFooter"/>
        <w:keepNext/>
        <w:keepLines/>
        <w:widowControl/>
        <w:suppressLineNumbers/>
        <w:suppressAutoHyphens/>
      </w:pPr>
      <w:r>
        <w:t>CKD = chronic kidney disease; CVD = cardiovascular disease; RAASi = renin angiotensin aldosterone system inhibitor</w:t>
      </w:r>
    </w:p>
    <w:p w:rsidR="00504DE7" w:rsidRDefault="00504DE7" w:rsidP="00F92E72">
      <w:pPr>
        <w:pStyle w:val="TableFooter"/>
        <w:keepNext/>
        <w:keepLines/>
        <w:widowControl/>
        <w:suppressLineNumbers/>
        <w:suppressAutoHyphens/>
      </w:pPr>
      <w:r w:rsidRPr="000C0AFA">
        <w:t xml:space="preserve">Source: </w:t>
      </w:r>
      <w:r>
        <w:t>Table 3-1 (p 104) of the submission</w:t>
      </w:r>
    </w:p>
    <w:p w:rsidR="00504DE7" w:rsidRPr="00275C5A" w:rsidRDefault="00504DE7" w:rsidP="00C209C6">
      <w:pPr>
        <w:widowControl/>
      </w:pPr>
    </w:p>
    <w:p w:rsidR="00504DE7" w:rsidRDefault="00504DE7" w:rsidP="00F92E72">
      <w:pPr>
        <w:pStyle w:val="ListParagraph"/>
        <w:widowControl/>
        <w:numPr>
          <w:ilvl w:val="1"/>
          <w:numId w:val="3"/>
        </w:numPr>
        <w:spacing w:after="120"/>
      </w:pPr>
      <w:r>
        <w:t>Modelled patients are sorted into various combinations of health states in each cycle based on survival (alive, dead), hyperkalaemia treatment (on treatment, off treatment), RAASi dose intensity (optimal RAASi therapy, reduced RAASi therapy, discontinued RAASi therapy), CKD stage (CKD 3, CKD 4, CKD 5) and CVD history (prior disease, no prior disease).</w:t>
      </w:r>
    </w:p>
    <w:p w:rsidR="00504DE7" w:rsidRDefault="00504DE7" w:rsidP="00F92E72">
      <w:pPr>
        <w:pStyle w:val="ListParagraph"/>
        <w:widowControl/>
        <w:numPr>
          <w:ilvl w:val="1"/>
          <w:numId w:val="3"/>
        </w:numPr>
        <w:spacing w:after="120"/>
      </w:pPr>
      <w:r>
        <w:t>During each cycle of the model, patients may experience events in the following order:</w:t>
      </w:r>
    </w:p>
    <w:p w:rsidR="00504DE7" w:rsidRDefault="00504DE7" w:rsidP="00F92E72">
      <w:pPr>
        <w:pStyle w:val="ListParagraph"/>
        <w:widowControl/>
        <w:numPr>
          <w:ilvl w:val="0"/>
          <w:numId w:val="8"/>
        </w:numPr>
        <w:spacing w:after="120"/>
        <w:ind w:left="1077" w:hanging="357"/>
      </w:pPr>
      <w:r>
        <w:t>CKD death</w:t>
      </w:r>
      <w:r w:rsidR="003208EF">
        <w:t>;</w:t>
      </w:r>
    </w:p>
    <w:p w:rsidR="00504DE7" w:rsidRDefault="00504DE7" w:rsidP="00F92E72">
      <w:pPr>
        <w:pStyle w:val="ListParagraph"/>
        <w:widowControl/>
        <w:numPr>
          <w:ilvl w:val="0"/>
          <w:numId w:val="8"/>
        </w:numPr>
        <w:spacing w:after="120"/>
        <w:ind w:left="1077" w:hanging="357"/>
      </w:pPr>
      <w:r>
        <w:t>Hyperkalaemia treatment modification</w:t>
      </w:r>
      <w:r w:rsidR="003208EF">
        <w:t>;</w:t>
      </w:r>
    </w:p>
    <w:p w:rsidR="00504DE7" w:rsidRDefault="003208EF" w:rsidP="00F92E72">
      <w:pPr>
        <w:pStyle w:val="ListParagraph"/>
        <w:widowControl/>
        <w:numPr>
          <w:ilvl w:val="0"/>
          <w:numId w:val="8"/>
        </w:numPr>
        <w:spacing w:after="120"/>
        <w:ind w:left="1077" w:hanging="357"/>
      </w:pPr>
      <w:r>
        <w:t>RAASi dose modification;</w:t>
      </w:r>
    </w:p>
    <w:p w:rsidR="00504DE7" w:rsidRDefault="00504DE7" w:rsidP="00F92E72">
      <w:pPr>
        <w:pStyle w:val="ListParagraph"/>
        <w:widowControl/>
        <w:numPr>
          <w:ilvl w:val="0"/>
          <w:numId w:val="8"/>
        </w:numPr>
        <w:spacing w:after="120"/>
        <w:ind w:left="1077" w:hanging="357"/>
      </w:pPr>
      <w:r>
        <w:t>CKD progression</w:t>
      </w:r>
      <w:r w:rsidR="003208EF">
        <w:t>;</w:t>
      </w:r>
    </w:p>
    <w:p w:rsidR="00504DE7" w:rsidRDefault="00504DE7" w:rsidP="00F92E72">
      <w:pPr>
        <w:pStyle w:val="ListParagraph"/>
        <w:widowControl/>
        <w:numPr>
          <w:ilvl w:val="0"/>
          <w:numId w:val="8"/>
        </w:numPr>
        <w:spacing w:after="120"/>
        <w:ind w:left="1077" w:hanging="357"/>
      </w:pPr>
      <w:r>
        <w:t>Cardiovascular event (which can be fatal or non-fatal)</w:t>
      </w:r>
      <w:r w:rsidR="003208EF">
        <w:t>;</w:t>
      </w:r>
      <w:r w:rsidR="002C190B">
        <w:t xml:space="preserve"> and</w:t>
      </w:r>
    </w:p>
    <w:p w:rsidR="00504DE7" w:rsidRDefault="00504DE7" w:rsidP="00F92E72">
      <w:pPr>
        <w:pStyle w:val="ListParagraph"/>
        <w:widowControl/>
        <w:numPr>
          <w:ilvl w:val="0"/>
          <w:numId w:val="8"/>
        </w:numPr>
        <w:spacing w:after="120"/>
        <w:ind w:left="1077" w:hanging="357"/>
      </w:pPr>
      <w:r>
        <w:t>Hyperkalaemia event (which can be fatal or non-fatal)</w:t>
      </w:r>
      <w:r w:rsidR="003208EF">
        <w:t>.</w:t>
      </w:r>
    </w:p>
    <w:p w:rsidR="00504DE7" w:rsidRDefault="00504DE7" w:rsidP="00F92E72">
      <w:pPr>
        <w:widowControl/>
        <w:spacing w:after="120"/>
      </w:pPr>
    </w:p>
    <w:p w:rsidR="00504DE7" w:rsidRDefault="00504DE7" w:rsidP="00F92E72">
      <w:pPr>
        <w:pStyle w:val="ListParagraph"/>
        <w:widowControl/>
        <w:numPr>
          <w:ilvl w:val="1"/>
          <w:numId w:val="3"/>
        </w:numPr>
        <w:spacing w:after="120"/>
      </w:pPr>
      <w:r>
        <w:t xml:space="preserve">Based on the outcome of these events, patients will then be reassigned into various combinations of health states at the start of the following cycle. </w:t>
      </w:r>
    </w:p>
    <w:p w:rsidR="008411F3" w:rsidRPr="00D03515" w:rsidRDefault="008411F3" w:rsidP="00F92E72">
      <w:pPr>
        <w:pStyle w:val="ListParagraph"/>
        <w:widowControl/>
        <w:numPr>
          <w:ilvl w:val="1"/>
          <w:numId w:val="3"/>
        </w:numPr>
        <w:spacing w:after="120"/>
      </w:pPr>
      <w:r w:rsidRPr="00D03515">
        <w:t>The ESC w</w:t>
      </w:r>
      <w:r w:rsidR="00630D97" w:rsidRPr="00D03515">
        <w:t>as</w:t>
      </w:r>
      <w:r w:rsidRPr="00D03515">
        <w:t xml:space="preserve"> concerned that the economic model was structurally </w:t>
      </w:r>
      <w:r w:rsidR="00912BF5" w:rsidRPr="00D03515">
        <w:t>problematic as</w:t>
      </w:r>
      <w:r w:rsidRPr="00D03515">
        <w:t xml:space="preserve"> the incidence of hyperkalaemia did not </w:t>
      </w:r>
      <w:r w:rsidR="00912BF5" w:rsidRPr="00D03515">
        <w:t>appear to influ</w:t>
      </w:r>
      <w:r w:rsidRPr="00D03515">
        <w:t>ence the use of hyperkalaemia treatments or RAASi therapy.</w:t>
      </w:r>
      <w:r w:rsidR="00B66080" w:rsidRPr="00D03515">
        <w:t xml:space="preserve"> </w:t>
      </w:r>
      <w:r w:rsidR="007F6D53" w:rsidRPr="00D03515">
        <w:t>In addition, t</w:t>
      </w:r>
      <w:r w:rsidR="00B66080" w:rsidRPr="00D03515">
        <w:t>he ESC not</w:t>
      </w:r>
      <w:r w:rsidR="007F6D53" w:rsidRPr="00D03515">
        <w:t>ed</w:t>
      </w:r>
      <w:r w:rsidR="00B66080" w:rsidRPr="00D03515">
        <w:t xml:space="preserve"> that </w:t>
      </w:r>
      <w:r w:rsidR="00190CAB" w:rsidRPr="00D03515">
        <w:t xml:space="preserve">the </w:t>
      </w:r>
      <w:r w:rsidR="000F4381" w:rsidRPr="00D03515">
        <w:t>key driver</w:t>
      </w:r>
      <w:r w:rsidR="00B66080" w:rsidRPr="00D03515">
        <w:t xml:space="preserve"> of the</w:t>
      </w:r>
      <w:r w:rsidR="00B66080">
        <w:rPr>
          <w:i/>
        </w:rPr>
        <w:t xml:space="preserve"> </w:t>
      </w:r>
      <w:r w:rsidR="00B66080" w:rsidRPr="00D03515">
        <w:lastRenderedPageBreak/>
        <w:t>model was</w:t>
      </w:r>
      <w:r w:rsidR="00787269" w:rsidRPr="00D03515">
        <w:t xml:space="preserve"> the</w:t>
      </w:r>
      <w:r w:rsidR="00B66080" w:rsidRPr="00D03515">
        <w:t xml:space="preserve"> </w:t>
      </w:r>
      <w:r w:rsidR="007F6D53" w:rsidRPr="00D03515">
        <w:t>reduction</w:t>
      </w:r>
      <w:r w:rsidR="00B66080" w:rsidRPr="00D03515">
        <w:t xml:space="preserve"> </w:t>
      </w:r>
      <w:r w:rsidR="007F6D53" w:rsidRPr="00D03515">
        <w:t xml:space="preserve">in </w:t>
      </w:r>
      <w:r w:rsidR="00B66080" w:rsidRPr="00D03515">
        <w:t>the incidence of hyperkalaemia event</w:t>
      </w:r>
      <w:r w:rsidR="00787269" w:rsidRPr="00D03515">
        <w:t>s</w:t>
      </w:r>
      <w:r w:rsidR="007F6D53" w:rsidRPr="00D03515">
        <w:t>. This did not align with the key rationale for listing patiromer</w:t>
      </w:r>
      <w:r w:rsidR="00787269" w:rsidRPr="00D03515">
        <w:t>,</w:t>
      </w:r>
      <w:r w:rsidR="007F6D53" w:rsidRPr="00D03515">
        <w:t xml:space="preserve"> which was increasing the proportion of patients who are able to receive maximum doses of RAASi treatments.</w:t>
      </w:r>
    </w:p>
    <w:p w:rsidR="008411F3" w:rsidRPr="00D03515" w:rsidRDefault="008411F3" w:rsidP="00F92E72">
      <w:pPr>
        <w:pStyle w:val="ListParagraph"/>
        <w:widowControl/>
        <w:numPr>
          <w:ilvl w:val="1"/>
          <w:numId w:val="3"/>
        </w:numPr>
        <w:spacing w:after="120"/>
      </w:pPr>
      <w:r w:rsidRPr="00D03515">
        <w:t xml:space="preserve">The ESC noted that although the modelled evaluation was predominantly based on the OPAL-HK Part B study population, which was assumed by the submission to be broadly similar to the PBS eligible population, estimated RAASi therapy use and compliance to patiromer treatment were derived from </w:t>
      </w:r>
      <w:r w:rsidR="00066B70" w:rsidRPr="00D03515">
        <w:t>a</w:t>
      </w:r>
      <w:r w:rsidRPr="00D03515">
        <w:t xml:space="preserve"> </w:t>
      </w:r>
      <w:r w:rsidR="000A5C51" w:rsidRPr="00D03515">
        <w:t>sponsor-commissioned analysis (</w:t>
      </w:r>
      <w:r w:rsidRPr="00D03515">
        <w:t xml:space="preserve">NPS </w:t>
      </w:r>
      <w:r w:rsidR="000A5C51" w:rsidRPr="00D03515">
        <w:t xml:space="preserve">MedicineInsight </w:t>
      </w:r>
      <w:r w:rsidRPr="00D03515">
        <w:t>Report</w:t>
      </w:r>
      <w:r w:rsidR="000A5C51" w:rsidRPr="00D03515">
        <w:t xml:space="preserve">, </w:t>
      </w:r>
      <w:r w:rsidRPr="00D03515">
        <w:t xml:space="preserve">2017) and the AMETHYST-DN study respectively. The ESC noted that there was substantial heterogeneity between the </w:t>
      </w:r>
      <w:r w:rsidRPr="00D03515">
        <w:rPr>
          <w:iCs/>
        </w:rPr>
        <w:t xml:space="preserve">OPAL-HK Part B and AMETHYST-DN study populations in terms of baseline characteristics. Therefore, given that the NPS </w:t>
      </w:r>
      <w:r w:rsidR="00470133" w:rsidRPr="00D03515">
        <w:rPr>
          <w:iCs/>
        </w:rPr>
        <w:t xml:space="preserve">MedicineInsight </w:t>
      </w:r>
      <w:r w:rsidRPr="00D03515">
        <w:rPr>
          <w:iCs/>
        </w:rPr>
        <w:t>Report</w:t>
      </w:r>
      <w:r w:rsidR="00470133" w:rsidRPr="00D03515">
        <w:rPr>
          <w:iCs/>
        </w:rPr>
        <w:t>, 2017</w:t>
      </w:r>
      <w:r w:rsidRPr="00D03515">
        <w:rPr>
          <w:iCs/>
        </w:rPr>
        <w:t xml:space="preserve"> was based on the Australian population, the assumption that the OPAL-HK Part B population was similar to the eligible Australian population was not supported. </w:t>
      </w:r>
    </w:p>
    <w:p w:rsidR="00504DE7" w:rsidRDefault="00504DE7" w:rsidP="00F92E72">
      <w:pPr>
        <w:pStyle w:val="ListParagraph"/>
        <w:widowControl/>
        <w:numPr>
          <w:ilvl w:val="1"/>
          <w:numId w:val="3"/>
        </w:numPr>
        <w:spacing w:after="120"/>
      </w:pPr>
      <w:r w:rsidRPr="00DC6C66">
        <w:t>Key drivers of the economic model</w:t>
      </w:r>
      <w:r w:rsidR="00DB10D7">
        <w:t xml:space="preserve">, </w:t>
      </w:r>
      <w:r w:rsidR="00DB10D7" w:rsidRPr="00D03515">
        <w:t xml:space="preserve">and </w:t>
      </w:r>
      <w:r w:rsidR="00630D97" w:rsidRPr="00D03515">
        <w:t xml:space="preserve">the </w:t>
      </w:r>
      <w:r w:rsidR="00DB10D7" w:rsidRPr="00D03515">
        <w:t>ESC</w:t>
      </w:r>
      <w:r w:rsidR="00630D97" w:rsidRPr="00D03515">
        <w:t>’</w:t>
      </w:r>
      <w:r w:rsidR="00DB10D7" w:rsidRPr="00D03515">
        <w:t>s considerations,</w:t>
      </w:r>
      <w:r w:rsidRPr="00D03515">
        <w:t xml:space="preserve"> are</w:t>
      </w:r>
      <w:r w:rsidRPr="00DC6C66">
        <w:t xml:space="preserve"> summarised in the table below</w:t>
      </w:r>
      <w:r w:rsidR="00A36E46">
        <w:t>.</w:t>
      </w:r>
    </w:p>
    <w:p w:rsidR="00504DE7" w:rsidRDefault="00504DE7" w:rsidP="00C209C6">
      <w:pPr>
        <w:keepNext/>
        <w:keepLines/>
        <w:widowControl/>
        <w:rPr>
          <w:rStyle w:val="CommentReference"/>
        </w:rPr>
      </w:pPr>
      <w:r w:rsidRPr="00A56B6A">
        <w:rPr>
          <w:rStyle w:val="CommentReference"/>
        </w:rPr>
        <w:t xml:space="preserve">Table </w:t>
      </w:r>
      <w:r w:rsidR="00A36E46">
        <w:rPr>
          <w:rStyle w:val="CommentReference"/>
        </w:rPr>
        <w:t>14</w:t>
      </w:r>
      <w:r w:rsidRPr="00A56B6A">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Key drivers of the model"/>
      </w:tblPr>
      <w:tblGrid>
        <w:gridCol w:w="1272"/>
        <w:gridCol w:w="6236"/>
        <w:gridCol w:w="1509"/>
      </w:tblGrid>
      <w:tr w:rsidR="00504DE7" w:rsidRPr="003D1DE4" w:rsidTr="00D070E9">
        <w:trPr>
          <w:tblHeader/>
        </w:trPr>
        <w:tc>
          <w:tcPr>
            <w:tcW w:w="705" w:type="pct"/>
            <w:shd w:val="clear" w:color="auto" w:fill="auto"/>
            <w:vAlign w:val="center"/>
          </w:tcPr>
          <w:p w:rsidR="00504DE7" w:rsidRPr="003D1DE4" w:rsidRDefault="00504DE7" w:rsidP="00C209C6">
            <w:pPr>
              <w:pStyle w:val="Tabletext"/>
              <w:keepNext/>
              <w:keepLines/>
              <w:rPr>
                <w:b/>
                <w:lang w:val="en-US"/>
              </w:rPr>
            </w:pPr>
            <w:r w:rsidRPr="003D1DE4">
              <w:rPr>
                <w:b/>
                <w:lang w:val="en-US"/>
              </w:rPr>
              <w:t>Description</w:t>
            </w:r>
          </w:p>
        </w:tc>
        <w:tc>
          <w:tcPr>
            <w:tcW w:w="3458" w:type="pct"/>
            <w:shd w:val="clear" w:color="auto" w:fill="auto"/>
            <w:vAlign w:val="center"/>
          </w:tcPr>
          <w:p w:rsidR="00504DE7" w:rsidRPr="003D1DE4" w:rsidRDefault="00504DE7" w:rsidP="00C209C6">
            <w:pPr>
              <w:pStyle w:val="Tabletext"/>
              <w:keepNext/>
              <w:keepLines/>
              <w:jc w:val="center"/>
              <w:rPr>
                <w:b/>
                <w:lang w:val="en-US"/>
              </w:rPr>
            </w:pPr>
            <w:r w:rsidRPr="003D1DE4">
              <w:rPr>
                <w:b/>
                <w:lang w:val="en-US"/>
              </w:rPr>
              <w:t>Method/Value</w:t>
            </w:r>
          </w:p>
        </w:tc>
        <w:tc>
          <w:tcPr>
            <w:tcW w:w="837" w:type="pct"/>
            <w:shd w:val="clear" w:color="auto" w:fill="auto"/>
            <w:vAlign w:val="center"/>
          </w:tcPr>
          <w:p w:rsidR="00504DE7" w:rsidRPr="003D1DE4" w:rsidRDefault="00504DE7" w:rsidP="00C209C6">
            <w:pPr>
              <w:pStyle w:val="Tabletext"/>
              <w:keepNext/>
              <w:keepLines/>
              <w:jc w:val="center"/>
              <w:rPr>
                <w:b/>
                <w:lang w:val="en-US"/>
              </w:rPr>
            </w:pPr>
            <w:r w:rsidRPr="003D1DE4">
              <w:rPr>
                <w:b/>
                <w:lang w:val="en-US"/>
              </w:rPr>
              <w:t>Impact</w:t>
            </w:r>
          </w:p>
        </w:tc>
      </w:tr>
      <w:tr w:rsidR="00504DE7" w:rsidRPr="00E2771E" w:rsidTr="00D070E9">
        <w:tc>
          <w:tcPr>
            <w:tcW w:w="705" w:type="pct"/>
            <w:shd w:val="clear" w:color="auto" w:fill="auto"/>
            <w:vAlign w:val="center"/>
          </w:tcPr>
          <w:p w:rsidR="00504DE7" w:rsidRPr="00E2771E" w:rsidRDefault="00504DE7" w:rsidP="00C209C6">
            <w:pPr>
              <w:pStyle w:val="Tabletext"/>
              <w:rPr>
                <w:lang w:val="en-US"/>
              </w:rPr>
            </w:pPr>
            <w:r>
              <w:rPr>
                <w:lang w:val="en-US"/>
              </w:rPr>
              <w:t>Hyperkal</w:t>
            </w:r>
            <w:r w:rsidR="00AC25CB">
              <w:rPr>
                <w:lang w:val="en-US"/>
              </w:rPr>
              <w:t>a</w:t>
            </w:r>
            <w:r>
              <w:rPr>
                <w:lang w:val="en-US"/>
              </w:rPr>
              <w:t>emia event rate</w:t>
            </w:r>
          </w:p>
        </w:tc>
        <w:tc>
          <w:tcPr>
            <w:tcW w:w="3458" w:type="pct"/>
            <w:shd w:val="clear" w:color="auto" w:fill="auto"/>
            <w:vAlign w:val="center"/>
          </w:tcPr>
          <w:p w:rsidR="00504DE7" w:rsidRPr="00FA2F9F" w:rsidRDefault="00504DE7" w:rsidP="00C209C6">
            <w:pPr>
              <w:pStyle w:val="Tabletext"/>
              <w:rPr>
                <w:lang w:val="en-US"/>
              </w:rPr>
            </w:pPr>
            <w:r w:rsidRPr="00FA2F9F">
              <w:rPr>
                <w:lang w:val="en-US"/>
              </w:rPr>
              <w:t>Hyperkal</w:t>
            </w:r>
            <w:r w:rsidR="00AC25CB">
              <w:rPr>
                <w:lang w:val="en-US"/>
              </w:rPr>
              <w:t>a</w:t>
            </w:r>
            <w:r w:rsidRPr="00FA2F9F">
              <w:rPr>
                <w:lang w:val="en-US"/>
              </w:rPr>
              <w:t xml:space="preserve">emia events in the model were defined as any episode in which a patient’s serum potassium &gt; 5.5 mmol/L. The submission assumed that </w:t>
            </w:r>
            <w:r w:rsidRPr="00FA2F9F">
              <w:rPr>
                <w:u w:val="single"/>
                <w:lang w:val="en-US"/>
              </w:rPr>
              <w:t>all</w:t>
            </w:r>
            <w:r w:rsidRPr="00FA2F9F">
              <w:rPr>
                <w:lang w:val="en-US"/>
              </w:rPr>
              <w:t xml:space="preserve"> hyperkal</w:t>
            </w:r>
            <w:r w:rsidR="00AC25CB">
              <w:rPr>
                <w:lang w:val="en-US"/>
              </w:rPr>
              <w:t>a</w:t>
            </w:r>
            <w:r w:rsidRPr="00FA2F9F">
              <w:rPr>
                <w:lang w:val="en-US"/>
              </w:rPr>
              <w:t xml:space="preserve">emia episodes would result in an </w:t>
            </w:r>
            <w:r w:rsidR="002C190B">
              <w:rPr>
                <w:lang w:val="en-US"/>
              </w:rPr>
              <w:t>ED</w:t>
            </w:r>
            <w:r w:rsidRPr="00FA2F9F">
              <w:rPr>
                <w:lang w:val="en-US"/>
              </w:rPr>
              <w:t xml:space="preserve"> visit. </w:t>
            </w:r>
            <w:r w:rsidRPr="00D03515">
              <w:rPr>
                <w:lang w:val="en-US"/>
              </w:rPr>
              <w:t>Th</w:t>
            </w:r>
            <w:r w:rsidR="00FA2F9F" w:rsidRPr="00D03515">
              <w:rPr>
                <w:lang w:val="en-US"/>
              </w:rPr>
              <w:t>e</w:t>
            </w:r>
            <w:r w:rsidRPr="00D03515">
              <w:rPr>
                <w:lang w:val="en-US"/>
              </w:rPr>
              <w:t xml:space="preserve"> </w:t>
            </w:r>
            <w:r w:rsidR="00FA2F9F" w:rsidRPr="00D03515">
              <w:rPr>
                <w:lang w:val="en-US"/>
              </w:rPr>
              <w:t>ESC considered that</w:t>
            </w:r>
            <w:r w:rsidR="00FA2F9F">
              <w:rPr>
                <w:lang w:val="en-US"/>
              </w:rPr>
              <w:t xml:space="preserve"> this </w:t>
            </w:r>
            <w:r w:rsidRPr="00FA2F9F">
              <w:rPr>
                <w:lang w:val="en-US"/>
              </w:rPr>
              <w:t>assumption was not appropriate and was inconsistent with treatment guidelines which indicate that patients with potassium levels &lt; 6.5 mmol/L would typically be managed in the community.</w:t>
            </w:r>
          </w:p>
          <w:p w:rsidR="00504DE7" w:rsidRPr="00FA2F9F" w:rsidRDefault="00504DE7" w:rsidP="00C209C6">
            <w:pPr>
              <w:pStyle w:val="Tabletext"/>
              <w:rPr>
                <w:lang w:val="en-US"/>
              </w:rPr>
            </w:pPr>
          </w:p>
          <w:p w:rsidR="00504DE7" w:rsidRPr="00FA2F9F" w:rsidRDefault="00504DE7" w:rsidP="00C209C6">
            <w:pPr>
              <w:pStyle w:val="Tabletext"/>
              <w:rPr>
                <w:lang w:val="en-US"/>
              </w:rPr>
            </w:pPr>
            <w:r w:rsidRPr="00FA2F9F">
              <w:rPr>
                <w:lang w:val="en-US"/>
              </w:rPr>
              <w:t>The submission estimated the risk of hyperkal</w:t>
            </w:r>
            <w:r w:rsidR="00AC25CB">
              <w:rPr>
                <w:lang w:val="en-US"/>
              </w:rPr>
              <w:t>a</w:t>
            </w:r>
            <w:r w:rsidRPr="00FA2F9F">
              <w:rPr>
                <w:lang w:val="en-US"/>
              </w:rPr>
              <w:t>emia events in the first two months based on the results of the OPAL</w:t>
            </w:r>
            <w:r w:rsidR="00187C5E">
              <w:rPr>
                <w:lang w:val="en-US"/>
              </w:rPr>
              <w:t>-HK</w:t>
            </w:r>
            <w:r w:rsidRPr="00FA2F9F">
              <w:rPr>
                <w:lang w:val="en-US"/>
              </w:rPr>
              <w:t xml:space="preserve"> Part B study. The submission estimated the risk of hyperkal</w:t>
            </w:r>
            <w:r w:rsidR="00AC25CB">
              <w:rPr>
                <w:lang w:val="en-US"/>
              </w:rPr>
              <w:t>a</w:t>
            </w:r>
            <w:r w:rsidRPr="00FA2F9F">
              <w:rPr>
                <w:lang w:val="en-US"/>
              </w:rPr>
              <w:t>emia with patiromer treatment in later months based on the long-term maintenance period of the AMETHYST-DN study. The submission synthesised long-term risk estimates for the placebo arm by applying a risk multiplier derived from the OPAL</w:t>
            </w:r>
            <w:r w:rsidR="00187C5E">
              <w:rPr>
                <w:lang w:val="en-US"/>
              </w:rPr>
              <w:t>-HK</w:t>
            </w:r>
            <w:r w:rsidRPr="00FA2F9F">
              <w:rPr>
                <w:lang w:val="en-US"/>
              </w:rPr>
              <w:t xml:space="preserve"> Part B study (62% / 15%; 4.13) to the data from the AMETHYST-DN study. The submission assumed that the risk of hyperkal</w:t>
            </w:r>
            <w:r w:rsidR="00AC25CB">
              <w:rPr>
                <w:lang w:val="en-US"/>
              </w:rPr>
              <w:t>a</w:t>
            </w:r>
            <w:r w:rsidRPr="00FA2F9F">
              <w:rPr>
                <w:lang w:val="en-US"/>
              </w:rPr>
              <w:t>emia in the placebo arm would also be affected by RAASi dose intensity (full risk multiplier for optimal dose; halved risk multiplier for reduced dose; no risk multiplier for discontinued dose).</w:t>
            </w:r>
          </w:p>
          <w:p w:rsidR="00504DE7" w:rsidRPr="00FA2F9F" w:rsidRDefault="00504DE7" w:rsidP="00C209C6">
            <w:pPr>
              <w:pStyle w:val="Tabletext"/>
              <w:rPr>
                <w:lang w:val="en-US"/>
              </w:rPr>
            </w:pPr>
          </w:p>
          <w:p w:rsidR="00504DE7" w:rsidRPr="00FA2F9F" w:rsidRDefault="00504DE7" w:rsidP="00C209C6">
            <w:pPr>
              <w:pStyle w:val="Tabletext"/>
              <w:rPr>
                <w:lang w:val="en-US"/>
              </w:rPr>
            </w:pPr>
            <w:r w:rsidRPr="00FA2F9F">
              <w:rPr>
                <w:lang w:val="en-US"/>
              </w:rPr>
              <w:t>The OPAL</w:t>
            </w:r>
            <w:r w:rsidR="00187C5E">
              <w:rPr>
                <w:lang w:val="en-US"/>
              </w:rPr>
              <w:t>-HK</w:t>
            </w:r>
            <w:r w:rsidRPr="00FA2F9F">
              <w:rPr>
                <w:lang w:val="en-US"/>
              </w:rPr>
              <w:t xml:space="preserve"> Part B study was a withdrawal study in patients who had previously achieved potassium targets with moderate to high doses of patiromer (&gt; 16.8 g/day; median 21 g/day). </w:t>
            </w:r>
            <w:r w:rsidRPr="00D03515">
              <w:rPr>
                <w:lang w:val="en-US"/>
              </w:rPr>
              <w:t>Th</w:t>
            </w:r>
            <w:r w:rsidR="006913AD" w:rsidRPr="00D03515">
              <w:rPr>
                <w:lang w:val="en-US"/>
              </w:rPr>
              <w:t>e ESC noted that</w:t>
            </w:r>
            <w:r w:rsidR="006913AD">
              <w:rPr>
                <w:lang w:val="en-US"/>
              </w:rPr>
              <w:t xml:space="preserve"> th</w:t>
            </w:r>
            <w:r w:rsidRPr="00FA2F9F">
              <w:rPr>
                <w:lang w:val="en-US"/>
              </w:rPr>
              <w:t xml:space="preserve">is study was not representative of the likely use of patiromer in clinical practice and the results of this study should not be generalised to the proposed PBS population. In particular, </w:t>
            </w:r>
            <w:r w:rsidR="006913AD" w:rsidRPr="00D03515">
              <w:rPr>
                <w:lang w:val="en-US"/>
              </w:rPr>
              <w:t>the ESC considered that</w:t>
            </w:r>
            <w:r w:rsidR="006913AD">
              <w:rPr>
                <w:lang w:val="en-US"/>
              </w:rPr>
              <w:t xml:space="preserve"> </w:t>
            </w:r>
            <w:r w:rsidRPr="00FA2F9F">
              <w:rPr>
                <w:lang w:val="en-US"/>
              </w:rPr>
              <w:t>the exclusion of lower risk patients from the OPAL</w:t>
            </w:r>
            <w:r w:rsidR="00187C5E">
              <w:rPr>
                <w:lang w:val="en-US"/>
              </w:rPr>
              <w:t>-HK</w:t>
            </w:r>
            <w:r w:rsidRPr="00FA2F9F">
              <w:rPr>
                <w:lang w:val="en-US"/>
              </w:rPr>
              <w:t xml:space="preserve"> Part B study is likely to substantially overestimate the risk of hyperkal</w:t>
            </w:r>
            <w:r w:rsidR="00AC25CB">
              <w:rPr>
                <w:lang w:val="en-US"/>
              </w:rPr>
              <w:t>a</w:t>
            </w:r>
            <w:r w:rsidRPr="00FA2F9F">
              <w:rPr>
                <w:lang w:val="en-US"/>
              </w:rPr>
              <w:t>emia in the target PBS population.</w:t>
            </w:r>
          </w:p>
          <w:p w:rsidR="00504DE7" w:rsidRPr="00FA2F9F" w:rsidRDefault="00504DE7" w:rsidP="00C209C6">
            <w:pPr>
              <w:pStyle w:val="Tabletext"/>
              <w:rPr>
                <w:lang w:val="en-US"/>
              </w:rPr>
            </w:pPr>
          </w:p>
          <w:p w:rsidR="00504DE7" w:rsidRPr="00FA2F9F" w:rsidRDefault="00504DE7" w:rsidP="00C209C6">
            <w:pPr>
              <w:pStyle w:val="Tabletext"/>
              <w:rPr>
                <w:lang w:val="en-US"/>
              </w:rPr>
            </w:pPr>
            <w:r w:rsidRPr="00FA2F9F">
              <w:rPr>
                <w:lang w:val="en-US"/>
              </w:rPr>
              <w:t>It was not appropriate to synthesise risk estimates for the placebo arm using a risk multiplier based on the OPAL</w:t>
            </w:r>
            <w:r w:rsidR="00187C5E">
              <w:rPr>
                <w:lang w:val="en-US"/>
              </w:rPr>
              <w:t>-HK</w:t>
            </w:r>
            <w:r w:rsidRPr="00FA2F9F">
              <w:rPr>
                <w:lang w:val="en-US"/>
              </w:rPr>
              <w:t xml:space="preserve"> Part B study as there were major differences in the patient populations and circumstances of use between the OPAL</w:t>
            </w:r>
            <w:r w:rsidR="00187C5E">
              <w:rPr>
                <w:lang w:val="en-US"/>
              </w:rPr>
              <w:t>-HK</w:t>
            </w:r>
            <w:r w:rsidRPr="00FA2F9F">
              <w:rPr>
                <w:lang w:val="en-US"/>
              </w:rPr>
              <w:t xml:space="preserve"> P</w:t>
            </w:r>
            <w:r w:rsidR="00187C5E">
              <w:rPr>
                <w:lang w:val="en-US"/>
              </w:rPr>
              <w:t xml:space="preserve">art </w:t>
            </w:r>
            <w:r w:rsidRPr="00FA2F9F">
              <w:rPr>
                <w:lang w:val="en-US"/>
              </w:rPr>
              <w:t>B withdrawal study and the AMETHYST-DN dose ranging study which is likely to affect modelled treatment effects.</w:t>
            </w:r>
          </w:p>
          <w:p w:rsidR="00504DE7" w:rsidRPr="00FA2F9F" w:rsidRDefault="00504DE7" w:rsidP="00C209C6">
            <w:pPr>
              <w:pStyle w:val="Tabletext"/>
              <w:rPr>
                <w:lang w:val="en-US"/>
              </w:rPr>
            </w:pPr>
          </w:p>
          <w:p w:rsidR="00504DE7" w:rsidRPr="00FA2F9F" w:rsidRDefault="00504DE7" w:rsidP="00C209C6">
            <w:pPr>
              <w:pStyle w:val="Tabletext"/>
              <w:rPr>
                <w:lang w:val="en-US"/>
              </w:rPr>
            </w:pPr>
            <w:r w:rsidRPr="00D03515">
              <w:rPr>
                <w:lang w:val="en-US"/>
              </w:rPr>
              <w:t xml:space="preserve">The </w:t>
            </w:r>
            <w:r w:rsidR="006913AD" w:rsidRPr="00D03515">
              <w:rPr>
                <w:lang w:val="en-US"/>
              </w:rPr>
              <w:t>ESC considered that the</w:t>
            </w:r>
            <w:r w:rsidR="006913AD">
              <w:rPr>
                <w:lang w:val="en-US"/>
              </w:rPr>
              <w:t xml:space="preserve"> </w:t>
            </w:r>
            <w:r w:rsidRPr="00FA2F9F">
              <w:rPr>
                <w:lang w:val="en-US"/>
              </w:rPr>
              <w:t>frequency of monitoring in the studies (weekly/monthly) was unlikely to reflect clinical practice and may result in the detection of more episodes than would be observed in practice.</w:t>
            </w:r>
          </w:p>
        </w:tc>
        <w:tc>
          <w:tcPr>
            <w:tcW w:w="837" w:type="pct"/>
            <w:shd w:val="clear" w:color="auto" w:fill="auto"/>
            <w:vAlign w:val="center"/>
          </w:tcPr>
          <w:p w:rsidR="00504DE7" w:rsidRPr="00E2771E" w:rsidRDefault="00504DE7" w:rsidP="00C209C6">
            <w:pPr>
              <w:pStyle w:val="Tabletext"/>
              <w:rPr>
                <w:lang w:val="en-US"/>
              </w:rPr>
            </w:pPr>
            <w:r>
              <w:rPr>
                <w:lang w:val="en-US"/>
              </w:rPr>
              <w:t>High, favours patiromer</w:t>
            </w:r>
          </w:p>
        </w:tc>
      </w:tr>
      <w:tr w:rsidR="00504DE7" w:rsidRPr="00E2771E" w:rsidTr="00D070E9">
        <w:tc>
          <w:tcPr>
            <w:tcW w:w="705" w:type="pct"/>
            <w:shd w:val="clear" w:color="auto" w:fill="auto"/>
            <w:vAlign w:val="center"/>
          </w:tcPr>
          <w:p w:rsidR="00504DE7" w:rsidRPr="00E2771E" w:rsidRDefault="00504DE7" w:rsidP="00C209C6">
            <w:pPr>
              <w:pStyle w:val="Tabletext"/>
              <w:rPr>
                <w:lang w:val="en-US"/>
              </w:rPr>
            </w:pPr>
            <w:r>
              <w:rPr>
                <w:lang w:val="en-US"/>
              </w:rPr>
              <w:lastRenderedPageBreak/>
              <w:t>Hyperkal</w:t>
            </w:r>
            <w:r w:rsidR="00AC25CB">
              <w:rPr>
                <w:lang w:val="en-US"/>
              </w:rPr>
              <w:t>a</w:t>
            </w:r>
            <w:r>
              <w:rPr>
                <w:lang w:val="en-US"/>
              </w:rPr>
              <w:t>emia mortality</w:t>
            </w:r>
          </w:p>
        </w:tc>
        <w:tc>
          <w:tcPr>
            <w:tcW w:w="3458" w:type="pct"/>
            <w:shd w:val="clear" w:color="auto" w:fill="auto"/>
            <w:vAlign w:val="center"/>
          </w:tcPr>
          <w:p w:rsidR="00504DE7" w:rsidRPr="00FA2F9F" w:rsidRDefault="00504DE7" w:rsidP="00C209C6">
            <w:pPr>
              <w:pStyle w:val="Tabletext"/>
              <w:rPr>
                <w:lang w:val="en-US"/>
              </w:rPr>
            </w:pPr>
            <w:r w:rsidRPr="00FA2F9F">
              <w:rPr>
                <w:lang w:val="en-US"/>
              </w:rPr>
              <w:t>The submission estimated the mortality associated with hyperkal</w:t>
            </w:r>
            <w:r w:rsidR="00AC25CB">
              <w:rPr>
                <w:lang w:val="en-US"/>
              </w:rPr>
              <w:t>a</w:t>
            </w:r>
            <w:r w:rsidRPr="00FA2F9F">
              <w:rPr>
                <w:lang w:val="en-US"/>
              </w:rPr>
              <w:t>emia episodes based on a retrospective review of electronic medical records of consecutive adult patients with serum potassium measured while in the emergency department of a large tertiary care hospital in the United States in 2014 (Singer et al 2017).</w:t>
            </w:r>
          </w:p>
          <w:p w:rsidR="00504DE7" w:rsidRPr="00FA2F9F" w:rsidRDefault="00504DE7" w:rsidP="00C209C6">
            <w:pPr>
              <w:pStyle w:val="Tabletext"/>
              <w:rPr>
                <w:lang w:val="en-US"/>
              </w:rPr>
            </w:pPr>
          </w:p>
          <w:p w:rsidR="00504DE7" w:rsidRPr="00FA2F9F" w:rsidRDefault="00504DE7" w:rsidP="00C209C6">
            <w:pPr>
              <w:pStyle w:val="Tabletext"/>
              <w:rPr>
                <w:lang w:val="en-US"/>
              </w:rPr>
            </w:pPr>
            <w:r w:rsidRPr="00FA2F9F">
              <w:rPr>
                <w:lang w:val="en-US"/>
              </w:rPr>
              <w:t xml:space="preserve">The estimated mortality assumed that </w:t>
            </w:r>
            <w:r w:rsidRPr="00FA2F9F">
              <w:rPr>
                <w:u w:val="single"/>
                <w:lang w:val="en-US"/>
              </w:rPr>
              <w:t>all</w:t>
            </w:r>
            <w:r w:rsidRPr="00FA2F9F">
              <w:rPr>
                <w:lang w:val="en-US"/>
              </w:rPr>
              <w:t xml:space="preserve"> hyperkal</w:t>
            </w:r>
            <w:r w:rsidR="00AC25CB">
              <w:rPr>
                <w:lang w:val="en-US"/>
              </w:rPr>
              <w:t>a</w:t>
            </w:r>
            <w:r w:rsidRPr="00FA2F9F">
              <w:rPr>
                <w:lang w:val="en-US"/>
              </w:rPr>
              <w:t xml:space="preserve">emia patients would attend an emergency room. </w:t>
            </w:r>
            <w:r w:rsidRPr="00D03515">
              <w:rPr>
                <w:lang w:val="en-US"/>
              </w:rPr>
              <w:t>Th</w:t>
            </w:r>
            <w:r w:rsidR="006913AD" w:rsidRPr="00D03515">
              <w:rPr>
                <w:lang w:val="en-US"/>
              </w:rPr>
              <w:t>e ESC reiterated that</w:t>
            </w:r>
            <w:r w:rsidR="006913AD">
              <w:rPr>
                <w:lang w:val="en-US"/>
              </w:rPr>
              <w:t xml:space="preserve"> th</w:t>
            </w:r>
            <w:r w:rsidRPr="00FA2F9F">
              <w:rPr>
                <w:lang w:val="en-US"/>
              </w:rPr>
              <w:t>is assumption was not reasonable.</w:t>
            </w:r>
          </w:p>
          <w:p w:rsidR="00504DE7" w:rsidRPr="00FA2F9F" w:rsidRDefault="00504DE7" w:rsidP="00C209C6">
            <w:pPr>
              <w:pStyle w:val="Tabletext"/>
              <w:rPr>
                <w:lang w:val="en-US"/>
              </w:rPr>
            </w:pPr>
          </w:p>
          <w:p w:rsidR="00504DE7" w:rsidRPr="00FA2F9F" w:rsidRDefault="00504DE7" w:rsidP="00AC25CB">
            <w:pPr>
              <w:pStyle w:val="Tabletext"/>
              <w:rPr>
                <w:lang w:val="en-US"/>
              </w:rPr>
            </w:pPr>
            <w:r w:rsidRPr="00FA2F9F">
              <w:rPr>
                <w:lang w:val="en-US"/>
              </w:rPr>
              <w:t>The results of the retrospective review indicated that the presence of hyperkal</w:t>
            </w:r>
            <w:r w:rsidR="00AC25CB">
              <w:rPr>
                <w:lang w:val="en-US"/>
              </w:rPr>
              <w:t>a</w:t>
            </w:r>
            <w:r w:rsidRPr="00FA2F9F">
              <w:rPr>
                <w:lang w:val="en-US"/>
              </w:rPr>
              <w:t>emia was associated with an increased risk of mortality in patients attending an emergency room for a variety of reasons. However, the submission has inappropriately used the crude mortality rate for patients with serum potassium levels ≥ 5.5 mmol/L without accounting for the background mortality rate in patients attending an emergency room (i.e. not all deaths in hyperkal</w:t>
            </w:r>
            <w:r w:rsidR="00AC25CB">
              <w:rPr>
                <w:lang w:val="en-US"/>
              </w:rPr>
              <w:t>a</w:t>
            </w:r>
            <w:r w:rsidRPr="00FA2F9F">
              <w:rPr>
                <w:lang w:val="en-US"/>
              </w:rPr>
              <w:t>emia patients can be attributed to the presence of hyperk</w:t>
            </w:r>
            <w:r w:rsidR="00AC25CB">
              <w:rPr>
                <w:lang w:val="en-US"/>
              </w:rPr>
              <w:t>a</w:t>
            </w:r>
            <w:r w:rsidRPr="00FA2F9F">
              <w:rPr>
                <w:lang w:val="en-US"/>
              </w:rPr>
              <w:t>l</w:t>
            </w:r>
            <w:r w:rsidR="00AC25CB">
              <w:rPr>
                <w:lang w:val="en-US"/>
              </w:rPr>
              <w:t>a</w:t>
            </w:r>
            <w:r w:rsidRPr="00FA2F9F">
              <w:rPr>
                <w:lang w:val="en-US"/>
              </w:rPr>
              <w:t xml:space="preserve">emia). </w:t>
            </w:r>
          </w:p>
        </w:tc>
        <w:tc>
          <w:tcPr>
            <w:tcW w:w="837" w:type="pct"/>
            <w:shd w:val="clear" w:color="auto" w:fill="auto"/>
            <w:vAlign w:val="center"/>
          </w:tcPr>
          <w:p w:rsidR="00504DE7" w:rsidRPr="00E2771E" w:rsidRDefault="00504DE7" w:rsidP="00C209C6">
            <w:pPr>
              <w:pStyle w:val="Tabletext"/>
              <w:rPr>
                <w:lang w:val="en-US"/>
              </w:rPr>
            </w:pPr>
            <w:r>
              <w:rPr>
                <w:lang w:val="en-US"/>
              </w:rPr>
              <w:t>High, favours patiromer</w:t>
            </w:r>
          </w:p>
        </w:tc>
      </w:tr>
      <w:tr w:rsidR="00504DE7" w:rsidRPr="00E2771E" w:rsidTr="00D070E9">
        <w:tc>
          <w:tcPr>
            <w:tcW w:w="705" w:type="pct"/>
            <w:shd w:val="clear" w:color="auto" w:fill="auto"/>
            <w:vAlign w:val="center"/>
          </w:tcPr>
          <w:p w:rsidR="00504DE7" w:rsidRDefault="00504DE7" w:rsidP="00C209C6">
            <w:pPr>
              <w:pStyle w:val="Tabletext"/>
              <w:rPr>
                <w:lang w:val="en-US"/>
              </w:rPr>
            </w:pPr>
            <w:r>
              <w:rPr>
                <w:lang w:val="en-US"/>
              </w:rPr>
              <w:t>Model structure</w:t>
            </w:r>
          </w:p>
        </w:tc>
        <w:tc>
          <w:tcPr>
            <w:tcW w:w="3458" w:type="pct"/>
            <w:shd w:val="clear" w:color="auto" w:fill="auto"/>
            <w:vAlign w:val="center"/>
          </w:tcPr>
          <w:p w:rsidR="00504DE7" w:rsidRPr="00FA2F9F" w:rsidRDefault="00504DE7" w:rsidP="00C209C6">
            <w:pPr>
              <w:pStyle w:val="Tabletext"/>
              <w:rPr>
                <w:lang w:val="en-US"/>
              </w:rPr>
            </w:pPr>
            <w:r w:rsidRPr="00FA2F9F">
              <w:rPr>
                <w:lang w:val="en-US"/>
              </w:rPr>
              <w:t>The model includes three mortality transitions (CKD death, cardiovascular death, hyperkalaemia death) which are treated as independent probabilities. However</w:t>
            </w:r>
            <w:r w:rsidRPr="00187C5E">
              <w:rPr>
                <w:lang w:val="en-US"/>
              </w:rPr>
              <w:t xml:space="preserve">, </w:t>
            </w:r>
            <w:r w:rsidR="006913AD" w:rsidRPr="00187C5E">
              <w:rPr>
                <w:lang w:val="en-US"/>
              </w:rPr>
              <w:t xml:space="preserve">the ESC noted that </w:t>
            </w:r>
            <w:r w:rsidRPr="00187C5E">
              <w:rPr>
                <w:lang w:val="en-US"/>
              </w:rPr>
              <w:t>the source data informing each of these transitions h</w:t>
            </w:r>
            <w:r w:rsidRPr="00FA2F9F">
              <w:rPr>
                <w:lang w:val="en-US"/>
              </w:rPr>
              <w:t>as not been adjusted to account for the overlap in causes of death which has the potential for double/triple counting of deaths between categories (i.e. hyperkal</w:t>
            </w:r>
            <w:r w:rsidR="00AC25CB">
              <w:rPr>
                <w:lang w:val="en-US"/>
              </w:rPr>
              <w:t>a</w:t>
            </w:r>
            <w:r w:rsidRPr="00FA2F9F">
              <w:rPr>
                <w:lang w:val="en-US"/>
              </w:rPr>
              <w:t>emia related deaths and chronic kidney disease-related deaths may be due to cardiovascular causes)</w:t>
            </w:r>
            <w:r w:rsidR="00F92E72">
              <w:rPr>
                <w:lang w:val="en-US"/>
              </w:rPr>
              <w:t>.</w:t>
            </w:r>
          </w:p>
          <w:p w:rsidR="00504DE7" w:rsidRPr="00FA2F9F" w:rsidRDefault="00504DE7" w:rsidP="00C209C6">
            <w:pPr>
              <w:pStyle w:val="Tabletext"/>
              <w:rPr>
                <w:lang w:val="en-US"/>
              </w:rPr>
            </w:pPr>
          </w:p>
          <w:p w:rsidR="00504DE7" w:rsidRPr="00FA2F9F" w:rsidRDefault="00912BF5" w:rsidP="00D2615A">
            <w:pPr>
              <w:pStyle w:val="Tabletext"/>
              <w:rPr>
                <w:lang w:val="en-US"/>
              </w:rPr>
            </w:pPr>
            <w:r>
              <w:rPr>
                <w:lang w:val="en-US"/>
              </w:rPr>
              <w:t>T</w:t>
            </w:r>
            <w:r w:rsidR="00504DE7" w:rsidRPr="00FA2F9F">
              <w:rPr>
                <w:lang w:val="en-US"/>
              </w:rPr>
              <w:t xml:space="preserve">he incidence of hyperkalaemia events does not </w:t>
            </w:r>
            <w:r>
              <w:rPr>
                <w:lang w:val="en-US"/>
              </w:rPr>
              <w:t xml:space="preserve">appear to </w:t>
            </w:r>
            <w:r w:rsidR="00504DE7" w:rsidRPr="00FA2F9F">
              <w:rPr>
                <w:lang w:val="en-US"/>
              </w:rPr>
              <w:t>influence the use of hyperkalaemia treatment and RAASi therapy</w:t>
            </w:r>
            <w:r>
              <w:rPr>
                <w:lang w:val="en-US"/>
              </w:rPr>
              <w:t xml:space="preserve"> in the model</w:t>
            </w:r>
            <w:r w:rsidR="00504DE7" w:rsidRPr="00FA2F9F">
              <w:rPr>
                <w:lang w:val="en-US"/>
              </w:rPr>
              <w:t>.</w:t>
            </w:r>
            <w:r w:rsidR="006913AD">
              <w:rPr>
                <w:lang w:val="en-US"/>
              </w:rPr>
              <w:t xml:space="preserve"> </w:t>
            </w:r>
            <w:r w:rsidR="006913AD" w:rsidRPr="00D03515">
              <w:rPr>
                <w:lang w:val="en-US"/>
              </w:rPr>
              <w:t>The ESC considered that this was implausible, given that clinically, increased potassium levels should influence the use of hyperkalaemia treatment and RAASi therapy modification.</w:t>
            </w:r>
          </w:p>
        </w:tc>
        <w:tc>
          <w:tcPr>
            <w:tcW w:w="837" w:type="pct"/>
            <w:shd w:val="clear" w:color="auto" w:fill="auto"/>
            <w:vAlign w:val="center"/>
          </w:tcPr>
          <w:p w:rsidR="00504DE7" w:rsidRDefault="00504DE7" w:rsidP="00C209C6">
            <w:pPr>
              <w:pStyle w:val="Tabletext"/>
              <w:rPr>
                <w:lang w:val="en-US"/>
              </w:rPr>
            </w:pPr>
            <w:r>
              <w:rPr>
                <w:lang w:val="en-US"/>
              </w:rPr>
              <w:t>High, favours patiromer</w:t>
            </w:r>
          </w:p>
        </w:tc>
      </w:tr>
      <w:tr w:rsidR="00504DE7" w:rsidRPr="00E2771E" w:rsidTr="00D070E9">
        <w:tc>
          <w:tcPr>
            <w:tcW w:w="705" w:type="pct"/>
            <w:shd w:val="clear" w:color="auto" w:fill="auto"/>
            <w:vAlign w:val="center"/>
          </w:tcPr>
          <w:p w:rsidR="00504DE7" w:rsidRPr="00E2771E" w:rsidRDefault="00504DE7" w:rsidP="00C209C6">
            <w:pPr>
              <w:pStyle w:val="Tabletext"/>
              <w:rPr>
                <w:lang w:val="en-US"/>
              </w:rPr>
            </w:pPr>
            <w:r>
              <w:rPr>
                <w:lang w:val="en-US"/>
              </w:rPr>
              <w:t>Patiromer dose</w:t>
            </w:r>
          </w:p>
        </w:tc>
        <w:tc>
          <w:tcPr>
            <w:tcW w:w="3458" w:type="pct"/>
            <w:shd w:val="clear" w:color="auto" w:fill="auto"/>
            <w:vAlign w:val="center"/>
          </w:tcPr>
          <w:p w:rsidR="00504DE7" w:rsidRPr="00FA2F9F" w:rsidRDefault="00504DE7" w:rsidP="00C209C6">
            <w:pPr>
              <w:pStyle w:val="Tabletext"/>
              <w:rPr>
                <w:lang w:val="en-US"/>
              </w:rPr>
            </w:pPr>
            <w:r w:rsidRPr="00FA2F9F">
              <w:rPr>
                <w:lang w:val="en-US"/>
              </w:rPr>
              <w:t xml:space="preserve">The submission assumed that all patients in the patiromer arm received a fixed dose of 16.8 g daily. </w:t>
            </w:r>
            <w:r w:rsidRPr="00D03515">
              <w:rPr>
                <w:lang w:val="en-US"/>
              </w:rPr>
              <w:t>Th</w:t>
            </w:r>
            <w:r w:rsidR="002F5A68" w:rsidRPr="00D03515">
              <w:rPr>
                <w:lang w:val="en-US"/>
              </w:rPr>
              <w:t xml:space="preserve">e ESC considered that </w:t>
            </w:r>
            <w:r w:rsidR="002F5A68">
              <w:rPr>
                <w:lang w:val="en-US"/>
              </w:rPr>
              <w:t>th</w:t>
            </w:r>
            <w:r w:rsidRPr="00FA2F9F">
              <w:rPr>
                <w:lang w:val="en-US"/>
              </w:rPr>
              <w:t>is assumption was inadequately justified</w:t>
            </w:r>
            <w:r w:rsidR="002F5A68">
              <w:rPr>
                <w:lang w:val="en-US"/>
              </w:rPr>
              <w:t xml:space="preserve"> as t</w:t>
            </w:r>
            <w:r w:rsidRPr="00FA2F9F">
              <w:rPr>
                <w:lang w:val="en-US"/>
              </w:rPr>
              <w:t>he selected dose is lower than median doses used in the AMETHYST-DN long term maintenance phase in both stratum 1 (17.6 g daily) and stratum 2 (25.2 g daily); and lower than the weighted average across both stratums (19.7 g daily).  The assumed dose is also lower than the median dose administered during the OPAL</w:t>
            </w:r>
            <w:r w:rsidR="00187C5E">
              <w:rPr>
                <w:lang w:val="en-US"/>
              </w:rPr>
              <w:t>-HK</w:t>
            </w:r>
            <w:r w:rsidRPr="00FA2F9F">
              <w:rPr>
                <w:lang w:val="en-US"/>
              </w:rPr>
              <w:t xml:space="preserve"> Part B study (21 g daily).</w:t>
            </w:r>
          </w:p>
          <w:p w:rsidR="00504DE7" w:rsidRPr="00FA2F9F" w:rsidRDefault="00504DE7" w:rsidP="00C209C6">
            <w:pPr>
              <w:pStyle w:val="Tabletext"/>
              <w:rPr>
                <w:lang w:val="en-US"/>
              </w:rPr>
            </w:pPr>
          </w:p>
          <w:p w:rsidR="00504DE7" w:rsidRPr="00FA2F9F" w:rsidRDefault="00504DE7" w:rsidP="00C209C6">
            <w:pPr>
              <w:pStyle w:val="Tabletext"/>
              <w:rPr>
                <w:lang w:val="en-US"/>
              </w:rPr>
            </w:pPr>
            <w:r w:rsidRPr="00FA2F9F">
              <w:rPr>
                <w:lang w:val="en-US"/>
              </w:rPr>
              <w:t>In practice, it is likely that patiromer will be dosed using flexible titration as recommended in the product information, with downward and upward titrations depending on serum potassium levels and patient tolerability.</w:t>
            </w:r>
          </w:p>
        </w:tc>
        <w:tc>
          <w:tcPr>
            <w:tcW w:w="837" w:type="pct"/>
            <w:shd w:val="clear" w:color="auto" w:fill="auto"/>
            <w:vAlign w:val="center"/>
          </w:tcPr>
          <w:p w:rsidR="00504DE7" w:rsidRPr="00E2771E" w:rsidRDefault="00504DE7" w:rsidP="00C209C6">
            <w:pPr>
              <w:pStyle w:val="Tabletext"/>
              <w:rPr>
                <w:lang w:val="en-US"/>
              </w:rPr>
            </w:pPr>
            <w:r>
              <w:rPr>
                <w:lang w:val="en-US"/>
              </w:rPr>
              <w:t>High, favours patiromer</w:t>
            </w:r>
          </w:p>
        </w:tc>
      </w:tr>
    </w:tbl>
    <w:p w:rsidR="002C190B" w:rsidRDefault="00187C5E" w:rsidP="00C209C6">
      <w:pPr>
        <w:pStyle w:val="TableFooter"/>
        <w:widowControl/>
      </w:pPr>
      <w:r>
        <w:t xml:space="preserve">CKD = chronic kidney disease; </w:t>
      </w:r>
      <w:r w:rsidR="002C190B">
        <w:t>ED = emergency department; ESC = Economic Sub-Committee</w:t>
      </w:r>
      <w:r>
        <w:t>; PBS = Pharmaceutical Benefits Scheme; RAASi = renin angiotensin aldosterone system inhibitor</w:t>
      </w:r>
    </w:p>
    <w:p w:rsidR="00504DE7" w:rsidRDefault="00504DE7" w:rsidP="00C209C6">
      <w:pPr>
        <w:pStyle w:val="TableFooter"/>
        <w:widowControl/>
      </w:pPr>
      <w:r w:rsidRPr="00FA4FFE">
        <w:t>Source: compiled during the evaluation</w:t>
      </w:r>
    </w:p>
    <w:p w:rsidR="00504DE7" w:rsidRPr="00275C5A" w:rsidRDefault="00504DE7" w:rsidP="00C209C6">
      <w:pPr>
        <w:widowControl/>
      </w:pPr>
    </w:p>
    <w:p w:rsidR="0087685A" w:rsidRPr="00D03515" w:rsidRDefault="0087685A" w:rsidP="00F92E72">
      <w:pPr>
        <w:pStyle w:val="ListParagraph"/>
        <w:widowControl/>
        <w:numPr>
          <w:ilvl w:val="1"/>
          <w:numId w:val="3"/>
        </w:numPr>
        <w:spacing w:after="120"/>
      </w:pPr>
      <w:r w:rsidRPr="00D03515">
        <w:t>The ESC considered that the rate of hyperkalaemia events was highly uncertain</w:t>
      </w:r>
      <w:r w:rsidR="004455EE" w:rsidRPr="00D03515">
        <w:t xml:space="preserve"> and overestimated</w:t>
      </w:r>
      <w:r w:rsidRPr="00D03515">
        <w:t xml:space="preserve"> as:</w:t>
      </w:r>
    </w:p>
    <w:p w:rsidR="0087685A" w:rsidRPr="00D03515" w:rsidRDefault="00470133" w:rsidP="00F92E72">
      <w:pPr>
        <w:pStyle w:val="ListParagraph"/>
        <w:widowControl/>
        <w:numPr>
          <w:ilvl w:val="1"/>
          <w:numId w:val="12"/>
        </w:numPr>
        <w:spacing w:after="120"/>
        <w:ind w:left="1077" w:hanging="357"/>
      </w:pPr>
      <w:r w:rsidRPr="00D03515">
        <w:t>t</w:t>
      </w:r>
      <w:r w:rsidR="0087685A" w:rsidRPr="00D03515">
        <w:t>he risk of an event in the first two months was based on the results of the OPAL-HK Part B study</w:t>
      </w:r>
      <w:r w:rsidR="002947F9" w:rsidRPr="00D03515">
        <w:t xml:space="preserve"> which excluded </w:t>
      </w:r>
      <w:r w:rsidR="00A043EE" w:rsidRPr="00D03515">
        <w:t>lower risk patients (Part B only included patients who had achieved potassium targets with moderate to high doses of patiromer)</w:t>
      </w:r>
      <w:r w:rsidR="002947F9" w:rsidRPr="00D03515">
        <w:t xml:space="preserve">. This </w:t>
      </w:r>
      <w:r w:rsidR="00A043EE" w:rsidRPr="00D03515">
        <w:t>substantially overestimated the risk of hyperkalaemia in the target PBS population</w:t>
      </w:r>
      <w:r w:rsidR="002947F9" w:rsidRPr="00D03515">
        <w:t>.</w:t>
      </w:r>
      <w:r w:rsidR="0087685A" w:rsidRPr="00D03515">
        <w:t xml:space="preserve"> </w:t>
      </w:r>
      <w:r w:rsidR="000163E6" w:rsidRPr="00D03515">
        <w:t>In</w:t>
      </w:r>
      <w:r w:rsidR="0087685A" w:rsidRPr="00D03515">
        <w:t xml:space="preserve"> addition, the severity of the episodes was not reported in the OPAL-H</w:t>
      </w:r>
      <w:r w:rsidR="000163E6" w:rsidRPr="00D03515">
        <w:t>K study, therefore the consequences of these episodes was unclear</w:t>
      </w:r>
      <w:r w:rsidR="0087685A" w:rsidRPr="00D03515">
        <w:t xml:space="preserve">; </w:t>
      </w:r>
      <w:r w:rsidR="000163E6" w:rsidRPr="00D03515">
        <w:t>and</w:t>
      </w:r>
    </w:p>
    <w:p w:rsidR="00A043EE" w:rsidRPr="00D03515" w:rsidRDefault="00470133" w:rsidP="00F92E72">
      <w:pPr>
        <w:pStyle w:val="ListParagraph"/>
        <w:widowControl/>
        <w:numPr>
          <w:ilvl w:val="1"/>
          <w:numId w:val="12"/>
        </w:numPr>
        <w:spacing w:after="120"/>
        <w:ind w:left="1077" w:hanging="357"/>
      </w:pPr>
      <w:r w:rsidRPr="00D03515">
        <w:t>t</w:t>
      </w:r>
      <w:r w:rsidR="000163E6" w:rsidRPr="00D03515">
        <w:t xml:space="preserve">he risk of an event in later months in the patiromer arm was based on the long-term maintenance period of the AMETHYST-DN study. For the placebo arm, the </w:t>
      </w:r>
      <w:r w:rsidR="000163E6" w:rsidRPr="00D03515">
        <w:lastRenderedPageBreak/>
        <w:t>rate was synthesised by applying a risk multiplier derived from the OPAL-HK Part B study to the data from the AMETHYST-DN study. The ESC noted that there were substantial differences between the study patient populations which was likely to affect the modelled treatment effects.</w:t>
      </w:r>
    </w:p>
    <w:p w:rsidR="00F90EB0" w:rsidRPr="00D03515" w:rsidRDefault="00F90EB0" w:rsidP="00F92E72">
      <w:pPr>
        <w:pStyle w:val="ListParagraph"/>
        <w:widowControl/>
        <w:numPr>
          <w:ilvl w:val="1"/>
          <w:numId w:val="3"/>
        </w:numPr>
        <w:spacing w:after="120"/>
      </w:pPr>
      <w:r w:rsidRPr="00D03515">
        <w:t>In addition, the ESC considered that the cost</w:t>
      </w:r>
      <w:r w:rsidR="001F0FDE" w:rsidRPr="00D03515">
        <w:t>s</w:t>
      </w:r>
      <w:r w:rsidRPr="00D03515">
        <w:t xml:space="preserve">, </w:t>
      </w:r>
      <w:r w:rsidR="00BB3386">
        <w:t>dis</w:t>
      </w:r>
      <w:r w:rsidRPr="00D03515">
        <w:t xml:space="preserve">utilities and mortality associated with hyperkalaemia events were </w:t>
      </w:r>
      <w:r w:rsidR="000D65EE" w:rsidRPr="00D03515">
        <w:t>significantly overestimated</w:t>
      </w:r>
      <w:r w:rsidRPr="00D03515">
        <w:t xml:space="preserve"> because: </w:t>
      </w:r>
    </w:p>
    <w:p w:rsidR="004455EE" w:rsidRPr="00D03515" w:rsidRDefault="004455EE" w:rsidP="00F92E72">
      <w:pPr>
        <w:pStyle w:val="ListParagraph"/>
        <w:widowControl/>
        <w:numPr>
          <w:ilvl w:val="1"/>
          <w:numId w:val="14"/>
        </w:numPr>
        <w:spacing w:after="120"/>
        <w:ind w:left="1077" w:hanging="357"/>
      </w:pPr>
      <w:r w:rsidRPr="00D03515">
        <w:t>the model assumed all hyperkalaemia events would result in an emergency room visit. The ESC considered that this was inconsistent with treatment guidelines that indicate that patients with potassium levels of 6.5 mmol/L would typically be managed in the community; and</w:t>
      </w:r>
    </w:p>
    <w:p w:rsidR="004455EE" w:rsidRPr="00D03515" w:rsidRDefault="004455EE" w:rsidP="00F92E72">
      <w:pPr>
        <w:pStyle w:val="ListParagraph"/>
        <w:widowControl/>
        <w:numPr>
          <w:ilvl w:val="1"/>
          <w:numId w:val="14"/>
        </w:numPr>
        <w:spacing w:after="120"/>
        <w:ind w:left="1077" w:hanging="357"/>
      </w:pPr>
      <w:r w:rsidRPr="00D03515">
        <w:t xml:space="preserve">the rate of mortality associated with hyperkalaemia events was based on a retrospective review of patients in the United States (Singer, et al, 2017) who died whist attending an emergency room and who had a serum potassium </w:t>
      </w:r>
      <w:r w:rsidRPr="00D03515">
        <w:rPr>
          <w:rFonts w:cs="Calibri"/>
        </w:rPr>
        <w:t>≥</w:t>
      </w:r>
      <w:r w:rsidRPr="00D03515">
        <w:t xml:space="preserve"> 5.5 mmol/L. The ESC considered that the rate was overestimated as it did not account for background mortality (i.e. other causes of death), noting that the model predicted that 7% of placebo patients would die from a hyperkalaemia event in the first two months. The ESC considered this implausible and significantly overestimated given that there were no hyperkalaemia related deaths in the placebo arm of the OPAL-HK Part B study over the same duration.</w:t>
      </w:r>
    </w:p>
    <w:p w:rsidR="00713109" w:rsidRPr="00D03515" w:rsidRDefault="00E042F8" w:rsidP="00F92E72">
      <w:pPr>
        <w:pStyle w:val="ListParagraph"/>
        <w:widowControl/>
        <w:numPr>
          <w:ilvl w:val="1"/>
          <w:numId w:val="3"/>
        </w:numPr>
        <w:spacing w:after="120"/>
      </w:pPr>
      <w:r w:rsidRPr="00D03515">
        <w:rPr>
          <w:lang w:val="en-US"/>
        </w:rPr>
        <w:t>The ESC noted that the submission assumed that all patients enter the economic model receiving optimal RAASi therapy. The ESC considered that this was inconsistent with the proposed restriction that included patients using RAASi therapy (which was not required to be</w:t>
      </w:r>
      <w:r w:rsidRPr="00D03515">
        <w:t xml:space="preserve"> optimised</w:t>
      </w:r>
      <w:r w:rsidRPr="00D03515">
        <w:rPr>
          <w:lang w:val="en-US"/>
        </w:rPr>
        <w:t xml:space="preserve">) and patients intolerant to RAASi therapy. </w:t>
      </w:r>
      <w:r w:rsidR="00713109" w:rsidRPr="00D03515">
        <w:rPr>
          <w:lang w:val="en-US"/>
        </w:rPr>
        <w:t xml:space="preserve">The risk of reducing or discontinuing RAASi therapy in the placebo arm was based on </w:t>
      </w:r>
      <w:r w:rsidR="000A5C51" w:rsidRPr="00D03515">
        <w:rPr>
          <w:lang w:val="en-US"/>
        </w:rPr>
        <w:t xml:space="preserve">the </w:t>
      </w:r>
      <w:r w:rsidR="00713109" w:rsidRPr="00D03515">
        <w:rPr>
          <w:lang w:val="en-US"/>
        </w:rPr>
        <w:t>NPS MedicineInsight Report</w:t>
      </w:r>
      <w:r w:rsidR="00470133" w:rsidRPr="00D03515">
        <w:rPr>
          <w:lang w:val="en-US"/>
        </w:rPr>
        <w:t>, 2017</w:t>
      </w:r>
      <w:r w:rsidR="00713109" w:rsidRPr="00D03515">
        <w:rPr>
          <w:lang w:val="en-US"/>
        </w:rPr>
        <w:t xml:space="preserve"> which defined hyperkalaemia as </w:t>
      </w:r>
      <w:r w:rsidR="00713109" w:rsidRPr="00D03515">
        <w:rPr>
          <w:rFonts w:cs="Calibri"/>
          <w:lang w:val="en-US"/>
        </w:rPr>
        <w:t>≥</w:t>
      </w:r>
      <w:r w:rsidR="00713109" w:rsidRPr="00D03515">
        <w:rPr>
          <w:lang w:val="en-US"/>
        </w:rPr>
        <w:t xml:space="preserve"> 6</w:t>
      </w:r>
      <w:r w:rsidR="00BB4E5E" w:rsidRPr="00D03515">
        <w:rPr>
          <w:lang w:val="en-US"/>
        </w:rPr>
        <w:t>.0</w:t>
      </w:r>
      <w:r w:rsidR="00713109" w:rsidRPr="00D03515">
        <w:rPr>
          <w:lang w:val="en-US"/>
        </w:rPr>
        <w:t xml:space="preserve"> mmol/L. The ESC noted that the economic model defined hyperkalaemia as </w:t>
      </w:r>
      <w:r w:rsidR="00713109" w:rsidRPr="00D03515">
        <w:rPr>
          <w:rFonts w:cs="Calibri"/>
          <w:lang w:val="en-US"/>
        </w:rPr>
        <w:t>≥</w:t>
      </w:r>
      <w:r w:rsidR="00713109" w:rsidRPr="00D03515">
        <w:rPr>
          <w:lang w:val="en-US"/>
        </w:rPr>
        <w:t xml:space="preserve"> 5.5 mmol/L and therefore consider</w:t>
      </w:r>
      <w:r w:rsidR="00470133" w:rsidRPr="00D03515">
        <w:rPr>
          <w:lang w:val="en-US"/>
        </w:rPr>
        <w:t>ed that the val</w:t>
      </w:r>
      <w:r w:rsidR="000D65EE" w:rsidRPr="00D03515">
        <w:rPr>
          <w:lang w:val="en-US"/>
        </w:rPr>
        <w:t>u</w:t>
      </w:r>
      <w:r w:rsidR="00470133" w:rsidRPr="00D03515">
        <w:rPr>
          <w:lang w:val="en-US"/>
        </w:rPr>
        <w:t>es from the NPS R</w:t>
      </w:r>
      <w:r w:rsidR="00713109" w:rsidRPr="00D03515">
        <w:rPr>
          <w:lang w:val="en-US"/>
        </w:rPr>
        <w:t xml:space="preserve">eport are likely to overestimate the risk of medication change in the placebo arm. The risk in the patiromer arm was synthesised by applying a risk multiplier derived from the OPAL-HK Part B study to the NPS report. The ESC noted that the monthly probability of RAASi medication change in both arms was applied to the model independent of the incidence of hyperkalaemia, which was inconsistent with the NPS </w:t>
      </w:r>
      <w:r w:rsidR="00470133" w:rsidRPr="00D03515">
        <w:rPr>
          <w:lang w:val="en-US"/>
        </w:rPr>
        <w:t>R</w:t>
      </w:r>
      <w:r w:rsidR="00713109" w:rsidRPr="00D03515">
        <w:rPr>
          <w:lang w:val="en-US"/>
        </w:rPr>
        <w:t>eport</w:t>
      </w:r>
      <w:r w:rsidR="007F4C79">
        <w:rPr>
          <w:lang w:val="en-US"/>
        </w:rPr>
        <w:t>,</w:t>
      </w:r>
      <w:r w:rsidR="00713109" w:rsidRPr="00D03515">
        <w:rPr>
          <w:lang w:val="en-US"/>
        </w:rPr>
        <w:t xml:space="preserve"> which estimated the risk based on the occurrence of a recent hyperkalaemia event.</w:t>
      </w:r>
    </w:p>
    <w:p w:rsidR="002947F9" w:rsidRPr="00D03515" w:rsidRDefault="002947F9" w:rsidP="00F92E72">
      <w:pPr>
        <w:pStyle w:val="ListParagraph"/>
        <w:widowControl/>
        <w:numPr>
          <w:ilvl w:val="1"/>
          <w:numId w:val="3"/>
        </w:numPr>
        <w:spacing w:after="120"/>
      </w:pPr>
      <w:r w:rsidRPr="00D03515">
        <w:rPr>
          <w:lang w:val="en-US"/>
        </w:rPr>
        <w:t>Other issues with the economic model identified by the ESC included</w:t>
      </w:r>
      <w:r w:rsidR="00B66080" w:rsidRPr="00D03515">
        <w:rPr>
          <w:lang w:val="en-US"/>
        </w:rPr>
        <w:t xml:space="preserve"> that</w:t>
      </w:r>
      <w:r w:rsidRPr="00D03515">
        <w:rPr>
          <w:lang w:val="en-US"/>
        </w:rPr>
        <w:t>:</w:t>
      </w:r>
    </w:p>
    <w:p w:rsidR="00467C77" w:rsidRPr="00D03515" w:rsidRDefault="00B66080" w:rsidP="00F92E72">
      <w:pPr>
        <w:pStyle w:val="ListParagraph"/>
        <w:widowControl/>
        <w:numPr>
          <w:ilvl w:val="1"/>
          <w:numId w:val="13"/>
        </w:numPr>
        <w:spacing w:after="120"/>
        <w:ind w:left="1077" w:hanging="357"/>
      </w:pPr>
      <w:r w:rsidRPr="00D03515">
        <w:t>t</w:t>
      </w:r>
      <w:r w:rsidR="00467C77" w:rsidRPr="00D03515">
        <w:t>he overall rate of mortality (due to CKD, cardiovascular events and hyperkalaemia events) was likely substantially overestimated due to the potential for double/triple counting between categories</w:t>
      </w:r>
      <w:r w:rsidR="005A6FE1" w:rsidRPr="00D03515">
        <w:t xml:space="preserve"> (see Figure </w:t>
      </w:r>
      <w:r w:rsidR="004D1CA5" w:rsidRPr="00D03515">
        <w:t>3</w:t>
      </w:r>
      <w:r w:rsidR="005A6FE1" w:rsidRPr="00D03515">
        <w:t>)</w:t>
      </w:r>
      <w:r w:rsidR="00467C77" w:rsidRPr="00D03515">
        <w:t>;</w:t>
      </w:r>
      <w:r w:rsidR="004455EE" w:rsidRPr="00D03515">
        <w:t xml:space="preserve"> and</w:t>
      </w:r>
    </w:p>
    <w:p w:rsidR="00C02637" w:rsidRPr="00D03515" w:rsidRDefault="00C02637" w:rsidP="00F92E72">
      <w:pPr>
        <w:pStyle w:val="ListParagraph"/>
        <w:widowControl/>
        <w:numPr>
          <w:ilvl w:val="1"/>
          <w:numId w:val="13"/>
        </w:numPr>
        <w:spacing w:after="120"/>
        <w:ind w:left="1077" w:hanging="357"/>
      </w:pPr>
      <w:r w:rsidRPr="00D03515">
        <w:t xml:space="preserve">the fixed dose of patiromer, 16.8 g daily, assumed in the submission was inadequately justified given the weighted average dose for long term maintenance treatment reported in the AMETHYST-DN study was 19.7 g daily and the median dose administered during PART B of the OPAL-HK study was 21 g.  In addition, the ESC noted that the economic model implemented adherence estimates as a flat </w:t>
      </w:r>
      <w:r w:rsidRPr="00D03515">
        <w:lastRenderedPageBreak/>
        <w:t>reduction in drug costs. The ESC considered that this was inappropriate as non-adherence would affect both co</w:t>
      </w:r>
      <w:r w:rsidR="009F3CC3" w:rsidRPr="00D03515">
        <w:t>s</w:t>
      </w:r>
      <w:r w:rsidRPr="00D03515">
        <w:t>ts and health outcomes.</w:t>
      </w:r>
    </w:p>
    <w:p w:rsidR="005A6FE1" w:rsidRPr="00BD57B1" w:rsidRDefault="005A6FE1" w:rsidP="00F92E72">
      <w:pPr>
        <w:pStyle w:val="TableHeading0"/>
        <w:keepLines/>
        <w:suppressLineNumbers/>
        <w:suppressAutoHyphens/>
        <w:rPr>
          <w:rStyle w:val="CommentReference"/>
          <w:b/>
        </w:rPr>
      </w:pPr>
      <w:r>
        <w:rPr>
          <w:rStyle w:val="CommentReference"/>
          <w:b/>
        </w:rPr>
        <w:t xml:space="preserve">Figure </w:t>
      </w:r>
      <w:r w:rsidR="004D1CA5">
        <w:rPr>
          <w:rStyle w:val="CommentReference"/>
          <w:b/>
        </w:rPr>
        <w:t>3</w:t>
      </w:r>
      <w:r w:rsidRPr="00BD57B1">
        <w:rPr>
          <w:rStyle w:val="CommentReference"/>
          <w:b/>
        </w:rPr>
        <w:t>: Markov trace of mortality (hyperkalaemia, cardiovascular and chronic kidney disease death) in the modelled population</w:t>
      </w:r>
    </w:p>
    <w:p w:rsidR="005A6FE1" w:rsidRDefault="005A6FE1" w:rsidP="00F92E72">
      <w:pPr>
        <w:pStyle w:val="TableFooter"/>
        <w:keepNext/>
        <w:keepLines/>
        <w:widowControl/>
        <w:suppressLineNumbers/>
        <w:suppressAutoHyphens/>
        <w:rPr>
          <w:snapToGrid/>
          <w:lang w:val="en-US" w:eastAsia="en-AU"/>
        </w:rPr>
      </w:pPr>
      <w:r w:rsidRPr="008A0412">
        <w:rPr>
          <w:noProof/>
          <w:snapToGrid/>
          <w:lang w:eastAsia="en-AU"/>
        </w:rPr>
        <w:drawing>
          <wp:inline distT="0" distB="0" distL="0" distR="0" wp14:anchorId="5867B555" wp14:editId="07B0F151">
            <wp:extent cx="5605200" cy="3664800"/>
            <wp:effectExtent l="0" t="0" r="0" b="0"/>
            <wp:docPr id="5" name="Picture 5" title="Figure 3: Markov trace of mortality (hyperkalaemia, cardiovascular and chronic kidney disease death) in the modelle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5200" cy="3664800"/>
                    </a:xfrm>
                    <a:prstGeom prst="rect">
                      <a:avLst/>
                    </a:prstGeom>
                    <a:noFill/>
                  </pic:spPr>
                </pic:pic>
              </a:graphicData>
            </a:graphic>
          </wp:inline>
        </w:drawing>
      </w:r>
    </w:p>
    <w:p w:rsidR="005A6FE1" w:rsidRDefault="005A6FE1" w:rsidP="00F92E72">
      <w:pPr>
        <w:pStyle w:val="TableFooter"/>
        <w:keepNext/>
        <w:keepLines/>
        <w:widowControl/>
        <w:suppressLineNumbers/>
        <w:suppressAutoHyphens/>
        <w:rPr>
          <w:snapToGrid/>
          <w:lang w:val="en-US" w:eastAsia="en-AU"/>
        </w:rPr>
      </w:pPr>
      <w:r>
        <w:rPr>
          <w:snapToGrid/>
          <w:lang w:val="en-US" w:eastAsia="en-AU"/>
        </w:rPr>
        <w:t>CKDM = chronic kidney disease mortality; CVM = cardiovascular mortality; HKM = hyperkalaemia mortality</w:t>
      </w:r>
    </w:p>
    <w:p w:rsidR="005A6FE1" w:rsidRDefault="005A6FE1" w:rsidP="00F275C0">
      <w:pPr>
        <w:pStyle w:val="TableFooter"/>
        <w:keepNext/>
        <w:keepLines/>
        <w:widowControl/>
        <w:suppressLineNumbers/>
        <w:suppressAutoHyphens/>
        <w:spacing w:after="120"/>
      </w:pPr>
      <w:r>
        <w:rPr>
          <w:snapToGrid/>
          <w:lang w:val="en-US" w:eastAsia="en-AU"/>
        </w:rPr>
        <w:t xml:space="preserve">Source: constructed during the evaluation using </w:t>
      </w:r>
      <w:r>
        <w:t>Patiromer TreeAge</w:t>
      </w:r>
      <w:r w:rsidRPr="0051108C">
        <w:t xml:space="preserve"> m</w:t>
      </w:r>
      <w:r>
        <w:t>odel with corrections for error</w:t>
      </w:r>
      <w:r w:rsidRPr="0051108C">
        <w:t xml:space="preserve"> in </w:t>
      </w:r>
      <w:r>
        <w:t>CKD progression</w:t>
      </w:r>
    </w:p>
    <w:p w:rsidR="00504DE7" w:rsidRPr="00012477" w:rsidRDefault="00504DE7" w:rsidP="00C209C6">
      <w:pPr>
        <w:pStyle w:val="ListParagraph"/>
        <w:widowControl/>
        <w:numPr>
          <w:ilvl w:val="1"/>
          <w:numId w:val="3"/>
        </w:numPr>
      </w:pPr>
      <w:r w:rsidRPr="00012477">
        <w:t>The results of the modelled economic evaluation are summarised below</w:t>
      </w:r>
      <w:r w:rsidR="00A36E46">
        <w:t>.</w:t>
      </w:r>
    </w:p>
    <w:p w:rsidR="00504DE7" w:rsidRPr="00012477" w:rsidRDefault="00504DE7" w:rsidP="00F275C0">
      <w:pPr>
        <w:pStyle w:val="TableHeading0"/>
        <w:keepLines/>
        <w:suppressLineNumbers/>
        <w:suppressAutoHyphens/>
        <w:spacing w:after="0"/>
        <w:rPr>
          <w:rStyle w:val="CommentReference"/>
          <w:b/>
        </w:rPr>
      </w:pPr>
      <w:r>
        <w:rPr>
          <w:rStyle w:val="CommentReference"/>
          <w:b/>
        </w:rPr>
        <w:t xml:space="preserve">Table </w:t>
      </w:r>
      <w:r w:rsidR="00A36E46">
        <w:rPr>
          <w:rStyle w:val="CommentReference"/>
          <w:b/>
        </w:rPr>
        <w:t>15</w:t>
      </w:r>
      <w:r>
        <w:rPr>
          <w:rStyle w:val="CommentReference"/>
          <w:b/>
        </w:rPr>
        <w:t xml:space="preserve">: </w:t>
      </w:r>
      <w:r w:rsidRPr="00012477">
        <w:rPr>
          <w:rStyle w:val="CommentReference"/>
          <w:b/>
        </w:rPr>
        <w:t>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Results of the economic evaluation"/>
      </w:tblPr>
      <w:tblGrid>
        <w:gridCol w:w="3248"/>
        <w:gridCol w:w="1948"/>
        <w:gridCol w:w="1870"/>
        <w:gridCol w:w="1951"/>
      </w:tblGrid>
      <w:tr w:rsidR="00504DE7" w:rsidRPr="005E6CBC" w:rsidTr="00D070E9">
        <w:trPr>
          <w:tblHeader/>
        </w:trPr>
        <w:tc>
          <w:tcPr>
            <w:tcW w:w="1801" w:type="pct"/>
            <w:vAlign w:val="center"/>
          </w:tcPr>
          <w:p w:rsidR="00504DE7" w:rsidRPr="005E6CBC" w:rsidRDefault="00504DE7" w:rsidP="00F275C0">
            <w:pPr>
              <w:pStyle w:val="Tabletext"/>
              <w:keepNext/>
              <w:keepLines/>
              <w:suppressLineNumbers/>
              <w:suppressAutoHyphens/>
              <w:rPr>
                <w:b/>
              </w:rPr>
            </w:pPr>
            <w:r>
              <w:rPr>
                <w:b/>
              </w:rPr>
              <w:t>Component</w:t>
            </w:r>
          </w:p>
        </w:tc>
        <w:tc>
          <w:tcPr>
            <w:tcW w:w="1080" w:type="pct"/>
            <w:vAlign w:val="center"/>
          </w:tcPr>
          <w:p w:rsidR="00504DE7" w:rsidRPr="005E6CBC" w:rsidRDefault="00504DE7" w:rsidP="00F275C0">
            <w:pPr>
              <w:pStyle w:val="Tabletext"/>
              <w:keepNext/>
              <w:keepLines/>
              <w:suppressLineNumbers/>
              <w:suppressAutoHyphens/>
              <w:jc w:val="center"/>
              <w:rPr>
                <w:b/>
              </w:rPr>
            </w:pPr>
            <w:r>
              <w:rPr>
                <w:b/>
              </w:rPr>
              <w:t>Patiromer</w:t>
            </w:r>
          </w:p>
        </w:tc>
        <w:tc>
          <w:tcPr>
            <w:tcW w:w="1037" w:type="pct"/>
            <w:vAlign w:val="center"/>
          </w:tcPr>
          <w:p w:rsidR="00504DE7" w:rsidRPr="005E6CBC" w:rsidRDefault="00504DE7" w:rsidP="00F275C0">
            <w:pPr>
              <w:pStyle w:val="Tabletext"/>
              <w:keepNext/>
              <w:keepLines/>
              <w:suppressLineNumbers/>
              <w:suppressAutoHyphens/>
              <w:jc w:val="center"/>
              <w:rPr>
                <w:b/>
              </w:rPr>
            </w:pPr>
            <w:r>
              <w:rPr>
                <w:b/>
              </w:rPr>
              <w:t>Placebo</w:t>
            </w:r>
          </w:p>
        </w:tc>
        <w:tc>
          <w:tcPr>
            <w:tcW w:w="1082" w:type="pct"/>
            <w:vAlign w:val="center"/>
          </w:tcPr>
          <w:p w:rsidR="00504DE7" w:rsidRPr="005E6CBC" w:rsidRDefault="00504DE7" w:rsidP="00F275C0">
            <w:pPr>
              <w:pStyle w:val="Tabletext"/>
              <w:keepNext/>
              <w:keepLines/>
              <w:suppressLineNumbers/>
              <w:suppressAutoHyphens/>
              <w:jc w:val="center"/>
              <w:rPr>
                <w:b/>
              </w:rPr>
            </w:pPr>
            <w:r w:rsidRPr="005E6CBC">
              <w:rPr>
                <w:b/>
              </w:rPr>
              <w:t>Increment</w:t>
            </w:r>
          </w:p>
        </w:tc>
      </w:tr>
      <w:tr w:rsidR="00504DE7" w:rsidRPr="00E2771E" w:rsidTr="00D070E9">
        <w:tc>
          <w:tcPr>
            <w:tcW w:w="1801" w:type="pct"/>
            <w:vAlign w:val="center"/>
          </w:tcPr>
          <w:p w:rsidR="00504DE7" w:rsidRPr="00E2771E" w:rsidRDefault="00504DE7" w:rsidP="00F275C0">
            <w:pPr>
              <w:pStyle w:val="Tabletext"/>
              <w:keepNext/>
              <w:keepLines/>
              <w:suppressLineNumbers/>
              <w:suppressAutoHyphens/>
              <w:rPr>
                <w:rFonts w:ascii="Times" w:hAnsi="Times"/>
              </w:rPr>
            </w:pPr>
            <w:r w:rsidRPr="00E2771E">
              <w:t>Costs</w:t>
            </w:r>
          </w:p>
        </w:tc>
        <w:tc>
          <w:tcPr>
            <w:tcW w:w="1080" w:type="pct"/>
          </w:tcPr>
          <w:p w:rsidR="00504DE7" w:rsidRPr="004455EE" w:rsidRDefault="00504DE7" w:rsidP="00F275C0">
            <w:pPr>
              <w:pStyle w:val="Tabletext"/>
              <w:keepNext/>
              <w:keepLines/>
              <w:suppressLineNumbers/>
              <w:suppressAutoHyphens/>
              <w:jc w:val="center"/>
              <w:rPr>
                <w:rFonts w:ascii="Times" w:hAnsi="Times"/>
              </w:rPr>
            </w:pPr>
            <w:r w:rsidRPr="004455EE">
              <w:t>$</w:t>
            </w:r>
            <w:r w:rsidR="00B07B22">
              <w:rPr>
                <w:noProof/>
                <w:color w:val="000000"/>
                <w:highlight w:val="black"/>
              </w:rPr>
              <w:t>'''''''''''''''</w:t>
            </w:r>
          </w:p>
        </w:tc>
        <w:tc>
          <w:tcPr>
            <w:tcW w:w="1037" w:type="pct"/>
          </w:tcPr>
          <w:p w:rsidR="00504DE7" w:rsidRPr="004455EE" w:rsidRDefault="00504DE7" w:rsidP="00F275C0">
            <w:pPr>
              <w:pStyle w:val="Tabletext"/>
              <w:keepNext/>
              <w:keepLines/>
              <w:suppressLineNumbers/>
              <w:suppressAutoHyphens/>
              <w:jc w:val="center"/>
              <w:rPr>
                <w:rFonts w:ascii="Times" w:hAnsi="Times"/>
              </w:rPr>
            </w:pPr>
            <w:r w:rsidRPr="004455EE">
              <w:t>$</w:t>
            </w:r>
            <w:r w:rsidR="00B07B22">
              <w:rPr>
                <w:noProof/>
                <w:color w:val="000000"/>
                <w:highlight w:val="black"/>
              </w:rPr>
              <w:t>'''''''''''''''''</w:t>
            </w:r>
          </w:p>
        </w:tc>
        <w:tc>
          <w:tcPr>
            <w:tcW w:w="1082" w:type="pct"/>
          </w:tcPr>
          <w:p w:rsidR="00504DE7" w:rsidRPr="004455EE" w:rsidRDefault="00504DE7" w:rsidP="00F275C0">
            <w:pPr>
              <w:pStyle w:val="Tabletext"/>
              <w:keepNext/>
              <w:keepLines/>
              <w:suppressLineNumbers/>
              <w:suppressAutoHyphens/>
              <w:jc w:val="center"/>
              <w:rPr>
                <w:rFonts w:ascii="Times" w:hAnsi="Times"/>
              </w:rPr>
            </w:pPr>
            <w:r w:rsidRPr="004455EE">
              <w:t>$</w:t>
            </w:r>
            <w:r w:rsidR="00B07B22">
              <w:rPr>
                <w:noProof/>
                <w:color w:val="000000"/>
                <w:highlight w:val="black"/>
              </w:rPr>
              <w:t>'''''''''''''''</w:t>
            </w:r>
          </w:p>
        </w:tc>
      </w:tr>
      <w:tr w:rsidR="009F112B" w:rsidRPr="00E2771E" w:rsidTr="00D070E9">
        <w:tc>
          <w:tcPr>
            <w:tcW w:w="1801" w:type="pct"/>
            <w:vAlign w:val="center"/>
          </w:tcPr>
          <w:p w:rsidR="009F112B" w:rsidRPr="00E2771E" w:rsidRDefault="009F112B" w:rsidP="009F112B">
            <w:pPr>
              <w:pStyle w:val="Tabletext"/>
              <w:keepNext/>
              <w:keepLines/>
              <w:suppressLineNumbers/>
              <w:suppressAutoHyphens/>
              <w:rPr>
                <w:rFonts w:ascii="Times" w:hAnsi="Times"/>
              </w:rPr>
            </w:pPr>
            <w:r>
              <w:t>QALYs</w:t>
            </w:r>
          </w:p>
        </w:tc>
        <w:tc>
          <w:tcPr>
            <w:tcW w:w="1080" w:type="pct"/>
          </w:tcPr>
          <w:p w:rsidR="009F112B" w:rsidRPr="00B07B22" w:rsidRDefault="00B07B22" w:rsidP="009F112B">
            <w:pPr>
              <w:pStyle w:val="Tabletext"/>
              <w:keepNext/>
              <w:keepLines/>
              <w:suppressLineNumbers/>
              <w:suppressAutoHyphens/>
              <w:jc w:val="center"/>
              <w:rPr>
                <w:highlight w:val="black"/>
              </w:rPr>
            </w:pPr>
            <w:r>
              <w:rPr>
                <w:noProof/>
                <w:color w:val="000000"/>
                <w:highlight w:val="black"/>
              </w:rPr>
              <w:t>''''''''''''''''</w:t>
            </w:r>
          </w:p>
        </w:tc>
        <w:tc>
          <w:tcPr>
            <w:tcW w:w="1037" w:type="pct"/>
          </w:tcPr>
          <w:p w:rsidR="009F112B" w:rsidRPr="00B07B22" w:rsidRDefault="00B07B22" w:rsidP="009F112B">
            <w:pPr>
              <w:pStyle w:val="Tabletext"/>
              <w:keepNext/>
              <w:keepLines/>
              <w:suppressLineNumbers/>
              <w:suppressAutoHyphens/>
              <w:jc w:val="center"/>
              <w:rPr>
                <w:highlight w:val="black"/>
              </w:rPr>
            </w:pPr>
            <w:r>
              <w:rPr>
                <w:noProof/>
                <w:color w:val="000000"/>
                <w:highlight w:val="black"/>
              </w:rPr>
              <w:t>'''''''''''''''''</w:t>
            </w:r>
          </w:p>
        </w:tc>
        <w:tc>
          <w:tcPr>
            <w:tcW w:w="1082" w:type="pct"/>
          </w:tcPr>
          <w:p w:rsidR="009F112B" w:rsidRPr="00B07B22" w:rsidRDefault="00B07B22" w:rsidP="009F112B">
            <w:pPr>
              <w:pStyle w:val="Tabletext"/>
              <w:keepNext/>
              <w:keepLines/>
              <w:suppressLineNumbers/>
              <w:suppressAutoHyphens/>
              <w:jc w:val="center"/>
              <w:rPr>
                <w:highlight w:val="black"/>
              </w:rPr>
            </w:pPr>
            <w:r>
              <w:rPr>
                <w:noProof/>
                <w:color w:val="000000"/>
                <w:highlight w:val="black"/>
              </w:rPr>
              <w:t>'''''''''''''''</w:t>
            </w:r>
          </w:p>
        </w:tc>
      </w:tr>
      <w:tr w:rsidR="00504DE7" w:rsidRPr="00E2771E" w:rsidTr="00D070E9">
        <w:tc>
          <w:tcPr>
            <w:tcW w:w="3918" w:type="pct"/>
            <w:gridSpan w:val="3"/>
            <w:vAlign w:val="center"/>
          </w:tcPr>
          <w:p w:rsidR="00504DE7" w:rsidRPr="004455EE" w:rsidRDefault="00504DE7" w:rsidP="00F275C0">
            <w:pPr>
              <w:pStyle w:val="Tabletext"/>
              <w:keepNext/>
              <w:keepLines/>
              <w:suppressLineNumbers/>
              <w:suppressAutoHyphens/>
              <w:jc w:val="right"/>
              <w:rPr>
                <w:rFonts w:ascii="Times" w:hAnsi="Times"/>
                <w:b/>
                <w:snapToGrid w:val="0"/>
              </w:rPr>
            </w:pPr>
            <w:r w:rsidRPr="004455EE">
              <w:rPr>
                <w:b/>
              </w:rPr>
              <w:t>Incremental cost per QALY gained</w:t>
            </w:r>
          </w:p>
        </w:tc>
        <w:tc>
          <w:tcPr>
            <w:tcW w:w="1082" w:type="pct"/>
            <w:vAlign w:val="center"/>
          </w:tcPr>
          <w:p w:rsidR="00504DE7" w:rsidRPr="004455EE" w:rsidRDefault="00504DE7" w:rsidP="00F275C0">
            <w:pPr>
              <w:pStyle w:val="Tabletext"/>
              <w:keepNext/>
              <w:keepLines/>
              <w:suppressLineNumbers/>
              <w:suppressAutoHyphens/>
              <w:jc w:val="center"/>
              <w:rPr>
                <w:b/>
              </w:rPr>
            </w:pPr>
            <w:r w:rsidRPr="004455EE">
              <w:rPr>
                <w:b/>
              </w:rPr>
              <w:t>$</w:t>
            </w:r>
            <w:r w:rsidR="00B07B22">
              <w:rPr>
                <w:b/>
                <w:noProof/>
                <w:color w:val="000000"/>
                <w:highlight w:val="black"/>
              </w:rPr>
              <w:t>'''''''''''''''</w:t>
            </w:r>
          </w:p>
        </w:tc>
      </w:tr>
    </w:tbl>
    <w:p w:rsidR="00504DE7" w:rsidRDefault="00504DE7" w:rsidP="00F275C0">
      <w:pPr>
        <w:pStyle w:val="TableFooter"/>
        <w:keepNext/>
        <w:keepLines/>
        <w:widowControl/>
        <w:suppressLineNumbers/>
        <w:suppressAutoHyphens/>
      </w:pPr>
      <w:r>
        <w:t>QALY</w:t>
      </w:r>
      <w:r w:rsidR="00187C5E">
        <w:t xml:space="preserve"> =</w:t>
      </w:r>
      <w:r>
        <w:t xml:space="preserve"> quality-adjusted life year</w:t>
      </w:r>
    </w:p>
    <w:p w:rsidR="00187C5E" w:rsidRPr="00DD361A" w:rsidRDefault="00187C5E" w:rsidP="00F275C0">
      <w:pPr>
        <w:pStyle w:val="TableFooter"/>
        <w:keepNext/>
        <w:keepLines/>
        <w:widowControl/>
        <w:suppressLineNumbers/>
        <w:suppressAutoHyphens/>
        <w:spacing w:after="120"/>
      </w:pPr>
      <w:r>
        <w:t>Source: Patiromer TreeAge</w:t>
      </w:r>
      <w:r w:rsidRPr="0051108C">
        <w:t xml:space="preserve"> m</w:t>
      </w:r>
      <w:r>
        <w:t>odel with corrections for error</w:t>
      </w:r>
      <w:r w:rsidRPr="0051108C">
        <w:t xml:space="preserve"> in </w:t>
      </w:r>
      <w:r>
        <w:t>CKD progression</w:t>
      </w:r>
    </w:p>
    <w:p w:rsidR="00504DE7" w:rsidRPr="00D03515" w:rsidRDefault="00504DE7" w:rsidP="00F275C0">
      <w:pPr>
        <w:pStyle w:val="ListParagraph"/>
        <w:widowControl/>
        <w:numPr>
          <w:ilvl w:val="1"/>
          <w:numId w:val="3"/>
        </w:numPr>
        <w:spacing w:after="120"/>
      </w:pPr>
      <w:r w:rsidRPr="00216F68">
        <w:t xml:space="preserve">Based on the economic model, treatment with patiromer was associated with a cost per QALY gained of </w:t>
      </w:r>
      <w:r w:rsidR="0014128A">
        <w:t>$105,000 - $200,000</w:t>
      </w:r>
      <w:r w:rsidRPr="00216F68">
        <w:t xml:space="preserve"> (uncorrected estimate: </w:t>
      </w:r>
      <w:r w:rsidR="0014128A">
        <w:t xml:space="preserve">$105,000 - $200,000 </w:t>
      </w:r>
      <w:r w:rsidRPr="00216F68">
        <w:t xml:space="preserve">per QALY gained) compared to placebo. </w:t>
      </w:r>
      <w:r w:rsidRPr="00D03515">
        <w:t xml:space="preserve">The </w:t>
      </w:r>
      <w:r w:rsidR="00920BD3" w:rsidRPr="00D03515">
        <w:t xml:space="preserve">ESC considered that the </w:t>
      </w:r>
      <w:r w:rsidRPr="00D03515">
        <w:t xml:space="preserve">cost-effectiveness estimate </w:t>
      </w:r>
      <w:r w:rsidR="00294AF7" w:rsidRPr="00D03515">
        <w:t xml:space="preserve">was high </w:t>
      </w:r>
      <w:r w:rsidR="009F3CC3" w:rsidRPr="00D03515">
        <w:t xml:space="preserve">and </w:t>
      </w:r>
      <w:r w:rsidR="00294AF7" w:rsidRPr="00D03515">
        <w:t>c</w:t>
      </w:r>
      <w:r w:rsidRPr="00D03515">
        <w:t>ould not be considered reliable given major applicability issues, structural and parameter uncertainty.</w:t>
      </w:r>
      <w:r w:rsidR="0040055A" w:rsidRPr="00D03515">
        <w:t xml:space="preserve"> </w:t>
      </w:r>
    </w:p>
    <w:p w:rsidR="00920BD3" w:rsidRPr="00D03515" w:rsidRDefault="000A5C51" w:rsidP="009F7369">
      <w:pPr>
        <w:pStyle w:val="ListParagraph"/>
        <w:widowControl/>
        <w:numPr>
          <w:ilvl w:val="1"/>
          <w:numId w:val="3"/>
        </w:numPr>
        <w:spacing w:after="120"/>
      </w:pPr>
      <w:r w:rsidRPr="00D03515">
        <w:t>T</w:t>
      </w:r>
      <w:r w:rsidR="00920BD3" w:rsidRPr="00D03515">
        <w:t>he ESC considered that the microsimulation was highly un</w:t>
      </w:r>
      <w:r w:rsidR="009F3CC3" w:rsidRPr="00D03515">
        <w:t>stable</w:t>
      </w:r>
      <w:r w:rsidR="00920BD3" w:rsidRPr="00D03515">
        <w:t xml:space="preserve">, noting the results of 10 model runs </w:t>
      </w:r>
      <w:r w:rsidR="00470133" w:rsidRPr="00D03515">
        <w:t>conducted by</w:t>
      </w:r>
      <w:r w:rsidRPr="00D03515">
        <w:t xml:space="preserve"> the submission provided </w:t>
      </w:r>
      <w:r w:rsidR="009F7369">
        <w:t>ICERs ranging from</w:t>
      </w:r>
      <w:r w:rsidR="00920BD3" w:rsidRPr="00D03515">
        <w:t xml:space="preserve"> </w:t>
      </w:r>
      <w:r w:rsidR="0014128A">
        <w:t xml:space="preserve">$105,000 </w:t>
      </w:r>
      <w:r w:rsidR="009F7369">
        <w:t xml:space="preserve">to </w:t>
      </w:r>
      <w:r w:rsidR="0014128A">
        <w:t>$200,000</w:t>
      </w:r>
      <w:r w:rsidR="009F3CC3" w:rsidRPr="00D03515">
        <w:t xml:space="preserve"> per QALY</w:t>
      </w:r>
      <w:r w:rsidR="00920BD3" w:rsidRPr="00D03515">
        <w:t>. The ESC considered that this high variability meant it was not possible to determine the true base case ICER or assess the effect of the sensitivity analyses</w:t>
      </w:r>
      <w:r w:rsidR="005A6FE1" w:rsidRPr="00D03515">
        <w:t xml:space="preserve"> on the ICER</w:t>
      </w:r>
      <w:r w:rsidR="00920BD3" w:rsidRPr="00D03515">
        <w:t>.</w:t>
      </w:r>
    </w:p>
    <w:p w:rsidR="00167E58" w:rsidRDefault="00167E58" w:rsidP="00F275C0">
      <w:pPr>
        <w:pStyle w:val="ListParagraph"/>
        <w:widowControl/>
        <w:numPr>
          <w:ilvl w:val="1"/>
          <w:numId w:val="3"/>
        </w:numPr>
        <w:spacing w:after="120"/>
      </w:pPr>
      <w:r w:rsidRPr="00BD57B1">
        <w:t xml:space="preserve">The results of the sensitivity analyses </w:t>
      </w:r>
      <w:r w:rsidR="00090D41">
        <w:t>demonstrate the high variability of the ICER</w:t>
      </w:r>
      <w:r w:rsidRPr="00BD57B1">
        <w:t>.</w:t>
      </w:r>
    </w:p>
    <w:p w:rsidR="00167E58" w:rsidRPr="00BD57B1" w:rsidRDefault="00167E58" w:rsidP="00F275C0">
      <w:pPr>
        <w:pStyle w:val="TableHeading0"/>
        <w:keepLines/>
        <w:suppressLineNumbers/>
        <w:suppressAutoHyphens/>
        <w:spacing w:after="0"/>
        <w:rPr>
          <w:rStyle w:val="CommentReference"/>
          <w:b/>
        </w:rPr>
      </w:pPr>
      <w:r>
        <w:rPr>
          <w:rStyle w:val="CommentReference"/>
          <w:b/>
        </w:rPr>
        <w:lastRenderedPageBreak/>
        <w:t>Table 16</w:t>
      </w:r>
      <w:r w:rsidRPr="00BD57B1">
        <w:rPr>
          <w:rStyle w:val="CommentReference"/>
          <w:b/>
        </w:rPr>
        <w:t>: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Results of sensitivity analyses"/>
      </w:tblPr>
      <w:tblGrid>
        <w:gridCol w:w="5937"/>
        <w:gridCol w:w="983"/>
        <w:gridCol w:w="1138"/>
        <w:gridCol w:w="959"/>
      </w:tblGrid>
      <w:tr w:rsidR="00167E58" w:rsidRPr="00264D26" w:rsidTr="00D070E9">
        <w:trPr>
          <w:tblHeader/>
        </w:trPr>
        <w:tc>
          <w:tcPr>
            <w:tcW w:w="3292" w:type="pct"/>
            <w:tcMar>
              <w:left w:w="28" w:type="dxa"/>
              <w:right w:w="28" w:type="dxa"/>
            </w:tcMar>
          </w:tcPr>
          <w:p w:rsidR="00167E58" w:rsidRPr="00264D26" w:rsidRDefault="00167E58" w:rsidP="00F275C0">
            <w:pPr>
              <w:pStyle w:val="Tabletext"/>
              <w:keepNext/>
              <w:keepLines/>
              <w:suppressLineNumbers/>
              <w:tabs>
                <w:tab w:val="left" w:pos="142"/>
              </w:tabs>
              <w:suppressAutoHyphens/>
              <w:rPr>
                <w:b/>
              </w:rPr>
            </w:pPr>
          </w:p>
        </w:tc>
        <w:tc>
          <w:tcPr>
            <w:tcW w:w="545" w:type="pct"/>
            <w:tcMar>
              <w:left w:w="28" w:type="dxa"/>
              <w:right w:w="28" w:type="dxa"/>
            </w:tcMar>
          </w:tcPr>
          <w:p w:rsidR="00167E58" w:rsidRPr="00264D26" w:rsidRDefault="00167E58" w:rsidP="00F275C0">
            <w:pPr>
              <w:pStyle w:val="Tabletext"/>
              <w:keepNext/>
              <w:keepLines/>
              <w:suppressLineNumbers/>
              <w:suppressAutoHyphens/>
              <w:jc w:val="center"/>
              <w:rPr>
                <w:b/>
              </w:rPr>
            </w:pPr>
            <w:r w:rsidRPr="00264D26">
              <w:rPr>
                <w:b/>
              </w:rPr>
              <w:t>Incremental cost</w:t>
            </w:r>
          </w:p>
        </w:tc>
        <w:tc>
          <w:tcPr>
            <w:tcW w:w="631" w:type="pct"/>
            <w:tcMar>
              <w:left w:w="28" w:type="dxa"/>
              <w:right w:w="28" w:type="dxa"/>
            </w:tcMar>
          </w:tcPr>
          <w:p w:rsidR="00167E58" w:rsidRPr="00264D26" w:rsidRDefault="00167E58" w:rsidP="00F275C0">
            <w:pPr>
              <w:pStyle w:val="Tabletext"/>
              <w:keepNext/>
              <w:keepLines/>
              <w:suppressLineNumbers/>
              <w:suppressAutoHyphens/>
              <w:jc w:val="center"/>
              <w:rPr>
                <w:b/>
              </w:rPr>
            </w:pPr>
            <w:r w:rsidRPr="00264D26">
              <w:rPr>
                <w:b/>
              </w:rPr>
              <w:t>Incremental QALY</w:t>
            </w:r>
          </w:p>
        </w:tc>
        <w:tc>
          <w:tcPr>
            <w:tcW w:w="532" w:type="pct"/>
            <w:tcMar>
              <w:left w:w="28" w:type="dxa"/>
              <w:right w:w="28" w:type="dxa"/>
            </w:tcMar>
            <w:vAlign w:val="center"/>
          </w:tcPr>
          <w:p w:rsidR="00167E58" w:rsidRPr="00264D26" w:rsidRDefault="00167E58" w:rsidP="00F275C0">
            <w:pPr>
              <w:pStyle w:val="Tabletext"/>
              <w:keepNext/>
              <w:keepLines/>
              <w:suppressLineNumbers/>
              <w:suppressAutoHyphens/>
              <w:jc w:val="center"/>
              <w:rPr>
                <w:b/>
              </w:rPr>
            </w:pPr>
            <w:r w:rsidRPr="00264D26">
              <w:rPr>
                <w:b/>
              </w:rPr>
              <w:t>ICER</w:t>
            </w:r>
          </w:p>
        </w:tc>
      </w:tr>
      <w:tr w:rsidR="00167E58" w:rsidRPr="00264D26" w:rsidTr="00D070E9">
        <w:tc>
          <w:tcPr>
            <w:tcW w:w="3292" w:type="pct"/>
            <w:tcMar>
              <w:left w:w="28" w:type="dxa"/>
              <w:right w:w="28" w:type="dxa"/>
            </w:tcMar>
          </w:tcPr>
          <w:p w:rsidR="00167E58" w:rsidRPr="00264D26" w:rsidRDefault="00167E58" w:rsidP="00F275C0">
            <w:pPr>
              <w:pStyle w:val="Tabletext"/>
              <w:keepNext/>
              <w:keepLines/>
              <w:suppressLineNumbers/>
              <w:tabs>
                <w:tab w:val="left" w:pos="142"/>
              </w:tabs>
              <w:suppressAutoHyphens/>
              <w:rPr>
                <w:b/>
              </w:rPr>
            </w:pPr>
            <w:r w:rsidRPr="00264D26">
              <w:rPr>
                <w:b/>
              </w:rPr>
              <w:t>Base case</w:t>
            </w:r>
          </w:p>
        </w:tc>
        <w:tc>
          <w:tcPr>
            <w:tcW w:w="545" w:type="pct"/>
            <w:tcMar>
              <w:left w:w="28" w:type="dxa"/>
              <w:right w:w="28" w:type="dxa"/>
            </w:tcMar>
            <w:vAlign w:val="center"/>
          </w:tcPr>
          <w:p w:rsidR="00167E58" w:rsidRPr="00B07B22" w:rsidRDefault="00167E58" w:rsidP="00F275C0">
            <w:pPr>
              <w:pStyle w:val="Tabletext"/>
              <w:keepNext/>
              <w:keepLines/>
              <w:suppressLineNumbers/>
              <w:suppressAutoHyphens/>
              <w:jc w:val="center"/>
              <w:rPr>
                <w:b/>
              </w:rPr>
            </w:pPr>
            <w:r w:rsidRPr="00A72B62">
              <w:t>$</w:t>
            </w:r>
            <w:r w:rsidR="00B07B22">
              <w:rPr>
                <w:noProof/>
                <w:color w:val="000000"/>
                <w:highlight w:val="black"/>
              </w:rPr>
              <w:t>'''''''''''''''</w:t>
            </w:r>
          </w:p>
        </w:tc>
        <w:tc>
          <w:tcPr>
            <w:tcW w:w="631" w:type="pct"/>
            <w:tcMar>
              <w:left w:w="28" w:type="dxa"/>
              <w:right w:w="28" w:type="dxa"/>
            </w:tcMar>
            <w:vAlign w:val="center"/>
          </w:tcPr>
          <w:p w:rsidR="00167E58" w:rsidRPr="00B07B22" w:rsidRDefault="00B07B22" w:rsidP="00F275C0">
            <w:pPr>
              <w:pStyle w:val="Tabletext"/>
              <w:keepNext/>
              <w:keepLines/>
              <w:suppressLineNumbers/>
              <w:suppressAutoHyphens/>
              <w:jc w:val="center"/>
              <w:rPr>
                <w:b/>
                <w:highlight w:val="black"/>
              </w:rPr>
            </w:pPr>
            <w:r>
              <w:rPr>
                <w:noProof/>
                <w:color w:val="000000"/>
                <w:highlight w:val="black"/>
              </w:rPr>
              <w:t>''''''''''''''''</w:t>
            </w:r>
          </w:p>
        </w:tc>
        <w:tc>
          <w:tcPr>
            <w:tcW w:w="532" w:type="pct"/>
            <w:tcMar>
              <w:left w:w="28" w:type="dxa"/>
              <w:right w:w="28" w:type="dxa"/>
            </w:tcMar>
            <w:vAlign w:val="center"/>
          </w:tcPr>
          <w:p w:rsidR="00167E58" w:rsidRPr="00B07B22" w:rsidRDefault="00167E58" w:rsidP="00F275C0">
            <w:pPr>
              <w:pStyle w:val="Tabletext"/>
              <w:keepNext/>
              <w:keepLines/>
              <w:suppressLineNumbers/>
              <w:suppressAutoHyphens/>
              <w:jc w:val="center"/>
              <w:rPr>
                <w:b/>
              </w:rPr>
            </w:pPr>
            <w:r w:rsidRPr="00A72B62">
              <w:rPr>
                <w:b/>
              </w:rPr>
              <w:t>$</w:t>
            </w:r>
            <w:r w:rsidR="00B07B22">
              <w:rPr>
                <w:b/>
                <w:noProof/>
                <w:color w:val="000000"/>
                <w:highlight w:val="black"/>
              </w:rPr>
              <w:t>''''''''''''''''''</w:t>
            </w:r>
          </w:p>
        </w:tc>
      </w:tr>
      <w:tr w:rsidR="00167E58" w:rsidTr="00D070E9">
        <w:tc>
          <w:tcPr>
            <w:tcW w:w="3292" w:type="pct"/>
            <w:tcMar>
              <w:left w:w="28" w:type="dxa"/>
              <w:right w:w="28" w:type="dxa"/>
            </w:tcMar>
          </w:tcPr>
          <w:p w:rsidR="00167E58" w:rsidRPr="00877576" w:rsidRDefault="00167E58" w:rsidP="00F275C0">
            <w:pPr>
              <w:pStyle w:val="Tabletext"/>
              <w:keepNext/>
              <w:keepLines/>
              <w:suppressLineNumbers/>
              <w:tabs>
                <w:tab w:val="left" w:pos="142"/>
              </w:tabs>
              <w:suppressAutoHyphens/>
              <w:rPr>
                <w:szCs w:val="20"/>
              </w:rPr>
            </w:pPr>
            <w:r w:rsidRPr="00877576">
              <w:rPr>
                <w:szCs w:val="20"/>
              </w:rPr>
              <w:t>Patiromer dose</w:t>
            </w:r>
            <w:r>
              <w:rPr>
                <w:szCs w:val="20"/>
              </w:rPr>
              <w:t>:</w:t>
            </w:r>
            <w:r w:rsidRPr="00877576">
              <w:rPr>
                <w:szCs w:val="20"/>
              </w:rPr>
              <w:t xml:space="preserve"> 25.2 g/day (</w:t>
            </w:r>
            <w:r>
              <w:rPr>
                <w:szCs w:val="20"/>
              </w:rPr>
              <w:t>base case: 16.8 g/day</w:t>
            </w:r>
            <w:r w:rsidRPr="00877576">
              <w:rPr>
                <w:szCs w:val="20"/>
              </w:rPr>
              <w:t>)</w:t>
            </w:r>
          </w:p>
        </w:tc>
        <w:tc>
          <w:tcPr>
            <w:tcW w:w="545" w:type="pct"/>
            <w:tcMar>
              <w:left w:w="28" w:type="dxa"/>
              <w:right w:w="28" w:type="dxa"/>
            </w:tcMar>
            <w:vAlign w:val="center"/>
          </w:tcPr>
          <w:p w:rsidR="00167E58" w:rsidRPr="00B07B22" w:rsidRDefault="00167E58" w:rsidP="00F275C0">
            <w:pPr>
              <w:pStyle w:val="Tabletext"/>
              <w:keepNext/>
              <w:keepLines/>
              <w:suppressLineNumbers/>
              <w:suppressAutoHyphens/>
              <w:jc w:val="center"/>
            </w:pPr>
            <w:r w:rsidRPr="00A72B62">
              <w:t>$</w:t>
            </w:r>
            <w:r w:rsidR="00B07B22">
              <w:rPr>
                <w:noProof/>
                <w:color w:val="000000"/>
                <w:highlight w:val="black"/>
              </w:rPr>
              <w:t>''''''''''''''''''</w:t>
            </w:r>
          </w:p>
        </w:tc>
        <w:tc>
          <w:tcPr>
            <w:tcW w:w="631" w:type="pct"/>
            <w:tcMar>
              <w:left w:w="28" w:type="dxa"/>
              <w:right w:w="28" w:type="dxa"/>
            </w:tcMar>
            <w:vAlign w:val="center"/>
          </w:tcPr>
          <w:p w:rsidR="00167E58" w:rsidRPr="00B07B22" w:rsidRDefault="00B07B22" w:rsidP="00F275C0">
            <w:pPr>
              <w:pStyle w:val="Tabletext"/>
              <w:keepNext/>
              <w:keepLines/>
              <w:suppressLineNumbers/>
              <w:suppressAutoHyphens/>
              <w:jc w:val="center"/>
              <w:rPr>
                <w:highlight w:val="black"/>
              </w:rPr>
            </w:pPr>
            <w:r>
              <w:rPr>
                <w:noProof/>
                <w:color w:val="000000"/>
                <w:highlight w:val="black"/>
              </w:rPr>
              <w:t>'''''''''''''''</w:t>
            </w:r>
          </w:p>
        </w:tc>
        <w:tc>
          <w:tcPr>
            <w:tcW w:w="532" w:type="pct"/>
            <w:tcMar>
              <w:left w:w="28" w:type="dxa"/>
              <w:right w:w="28" w:type="dxa"/>
            </w:tcMar>
            <w:vAlign w:val="center"/>
          </w:tcPr>
          <w:p w:rsidR="00167E58" w:rsidRPr="00B07B22" w:rsidRDefault="00167E58" w:rsidP="00F275C0">
            <w:pPr>
              <w:pStyle w:val="Tabletext"/>
              <w:keepNext/>
              <w:keepLines/>
              <w:suppressLineNumbers/>
              <w:suppressAutoHyphens/>
              <w:jc w:val="center"/>
            </w:pPr>
            <w:r w:rsidRPr="00A72B62">
              <w:t>$</w:t>
            </w:r>
            <w:r w:rsidR="00B07B22">
              <w:rPr>
                <w:noProof/>
                <w:color w:val="000000"/>
                <w:highlight w:val="black"/>
              </w:rPr>
              <w:t>''''''''''''''''''''</w:t>
            </w:r>
          </w:p>
        </w:tc>
      </w:tr>
      <w:tr w:rsidR="00167E58" w:rsidRPr="008A0412" w:rsidTr="00D070E9">
        <w:tc>
          <w:tcPr>
            <w:tcW w:w="3292" w:type="pct"/>
            <w:tcMar>
              <w:left w:w="28" w:type="dxa"/>
              <w:right w:w="28" w:type="dxa"/>
            </w:tcMar>
          </w:tcPr>
          <w:p w:rsidR="00167E58" w:rsidRPr="00090D41" w:rsidRDefault="00167E58" w:rsidP="00F275C0">
            <w:pPr>
              <w:keepNext/>
              <w:keepLines/>
              <w:widowControl/>
              <w:suppressLineNumbers/>
              <w:tabs>
                <w:tab w:val="left" w:pos="142"/>
              </w:tabs>
              <w:suppressAutoHyphens/>
              <w:jc w:val="left"/>
              <w:rPr>
                <w:rFonts w:ascii="Arial Narrow" w:hAnsi="Arial Narrow" w:cs="Times New Roman"/>
                <w:snapToGrid/>
                <w:sz w:val="20"/>
                <w:szCs w:val="20"/>
              </w:rPr>
            </w:pPr>
            <w:r w:rsidRPr="00090D41">
              <w:rPr>
                <w:rFonts w:ascii="Arial Narrow" w:hAnsi="Arial Narrow" w:cs="Times New Roman"/>
                <w:snapToGrid/>
                <w:sz w:val="20"/>
                <w:szCs w:val="20"/>
              </w:rPr>
              <w:t>Patiromer discontinuations: 0.032/month in Yr 1 only (base case: 0.032/month in Yr 1, 0.014/month in Yr 2, 0.007/month Yr 3 onwards)</w:t>
            </w:r>
          </w:p>
        </w:tc>
        <w:tc>
          <w:tcPr>
            <w:tcW w:w="545" w:type="pct"/>
            <w:tcMar>
              <w:left w:w="28" w:type="dxa"/>
              <w:right w:w="28" w:type="dxa"/>
            </w:tcMar>
            <w:vAlign w:val="center"/>
          </w:tcPr>
          <w:p w:rsidR="00167E58" w:rsidRPr="00B07B22" w:rsidRDefault="00167E58" w:rsidP="00F275C0">
            <w:pPr>
              <w:keepNext/>
              <w:keepLines/>
              <w:widowControl/>
              <w:suppressLineNumbers/>
              <w:suppressAutoHyphens/>
              <w:jc w:val="center"/>
              <w:rPr>
                <w:rFonts w:ascii="Arial Narrow" w:hAnsi="Arial Narrow" w:cs="Times New Roman"/>
                <w:snapToGrid/>
                <w:sz w:val="20"/>
              </w:rPr>
            </w:pPr>
            <w:r w:rsidRPr="00A72B62">
              <w:rPr>
                <w:rFonts w:ascii="Arial Narrow" w:hAnsi="Arial Narrow" w:cs="Times New Roman"/>
                <w:iCs/>
                <w:snapToGrid/>
                <w:sz w:val="20"/>
              </w:rPr>
              <w:t>$</w:t>
            </w:r>
            <w:r w:rsidR="00B07B22">
              <w:rPr>
                <w:rFonts w:ascii="Arial Narrow" w:hAnsi="Arial Narrow" w:cs="Times New Roman"/>
                <w:iCs/>
                <w:noProof/>
                <w:snapToGrid/>
                <w:color w:val="000000"/>
                <w:sz w:val="20"/>
                <w:highlight w:val="black"/>
              </w:rPr>
              <w:t>''''''''''''''''</w:t>
            </w:r>
          </w:p>
        </w:tc>
        <w:tc>
          <w:tcPr>
            <w:tcW w:w="631" w:type="pct"/>
            <w:tcMar>
              <w:left w:w="28" w:type="dxa"/>
              <w:right w:w="28" w:type="dxa"/>
            </w:tcMar>
            <w:vAlign w:val="center"/>
          </w:tcPr>
          <w:p w:rsidR="00167E58" w:rsidRPr="00B07B22" w:rsidRDefault="00B07B22" w:rsidP="00F275C0">
            <w:pPr>
              <w:keepNext/>
              <w:keepLines/>
              <w:widowControl/>
              <w:suppressLineNumbers/>
              <w:suppressAutoHyphens/>
              <w:jc w:val="center"/>
              <w:rPr>
                <w:rFonts w:ascii="Arial Narrow" w:hAnsi="Arial Narrow" w:cs="Times New Roman"/>
                <w:snapToGrid/>
                <w:sz w:val="20"/>
                <w:highlight w:val="black"/>
              </w:rPr>
            </w:pPr>
            <w:r>
              <w:rPr>
                <w:rFonts w:ascii="Arial Narrow" w:hAnsi="Arial Narrow" w:cs="Times New Roman"/>
                <w:iCs/>
                <w:noProof/>
                <w:snapToGrid/>
                <w:color w:val="000000"/>
                <w:sz w:val="20"/>
                <w:highlight w:val="black"/>
              </w:rPr>
              <w:t>'''''''''''''''</w:t>
            </w:r>
          </w:p>
        </w:tc>
        <w:tc>
          <w:tcPr>
            <w:tcW w:w="532" w:type="pct"/>
            <w:tcMar>
              <w:left w:w="28" w:type="dxa"/>
              <w:right w:w="28" w:type="dxa"/>
            </w:tcMar>
            <w:vAlign w:val="center"/>
          </w:tcPr>
          <w:p w:rsidR="00167E58" w:rsidRPr="00B07B22" w:rsidRDefault="00167E58" w:rsidP="00F275C0">
            <w:pPr>
              <w:keepNext/>
              <w:keepLines/>
              <w:widowControl/>
              <w:suppressLineNumbers/>
              <w:suppressAutoHyphens/>
              <w:jc w:val="center"/>
              <w:rPr>
                <w:rFonts w:ascii="Arial Narrow" w:hAnsi="Arial Narrow" w:cs="Times New Roman"/>
                <w:snapToGrid/>
                <w:sz w:val="20"/>
              </w:rPr>
            </w:pPr>
            <w:r w:rsidRPr="00A72B62">
              <w:rPr>
                <w:rFonts w:ascii="Arial Narrow" w:hAnsi="Arial Narrow" w:cs="Times New Roman"/>
                <w:iCs/>
                <w:snapToGrid/>
                <w:sz w:val="20"/>
              </w:rPr>
              <w:t>$</w:t>
            </w:r>
            <w:r w:rsidR="00B07B22">
              <w:rPr>
                <w:rFonts w:ascii="Arial Narrow" w:hAnsi="Arial Narrow" w:cs="Times New Roman"/>
                <w:iCs/>
                <w:noProof/>
                <w:snapToGrid/>
                <w:color w:val="000000"/>
                <w:sz w:val="20"/>
                <w:highlight w:val="black"/>
              </w:rPr>
              <w:t>''''''''''''''''''</w:t>
            </w:r>
          </w:p>
        </w:tc>
      </w:tr>
      <w:tr w:rsidR="00167E58" w:rsidTr="00D070E9">
        <w:tc>
          <w:tcPr>
            <w:tcW w:w="3292" w:type="pct"/>
            <w:tcMar>
              <w:left w:w="28" w:type="dxa"/>
              <w:right w:w="28" w:type="dxa"/>
            </w:tcMar>
          </w:tcPr>
          <w:p w:rsidR="00167E58" w:rsidRPr="00090D41" w:rsidRDefault="00167E58" w:rsidP="00F275C0">
            <w:pPr>
              <w:pStyle w:val="Tabletext"/>
              <w:keepNext/>
              <w:keepLines/>
              <w:suppressLineNumbers/>
              <w:tabs>
                <w:tab w:val="left" w:pos="142"/>
              </w:tabs>
              <w:suppressAutoHyphens/>
              <w:rPr>
                <w:szCs w:val="20"/>
              </w:rPr>
            </w:pPr>
            <w:r w:rsidRPr="00090D41">
              <w:rPr>
                <w:szCs w:val="20"/>
              </w:rPr>
              <w:t>HKE: 0.013 in 1</w:t>
            </w:r>
            <w:r w:rsidRPr="00090D41">
              <w:rPr>
                <w:szCs w:val="20"/>
                <w:vertAlign w:val="superscript"/>
              </w:rPr>
              <w:t>st</w:t>
            </w:r>
            <w:r w:rsidRPr="00090D41">
              <w:rPr>
                <w:szCs w:val="20"/>
              </w:rPr>
              <w:t xml:space="preserve"> month, 0.013 2</w:t>
            </w:r>
            <w:r w:rsidRPr="00090D41">
              <w:rPr>
                <w:szCs w:val="20"/>
                <w:vertAlign w:val="superscript"/>
              </w:rPr>
              <w:t>nd</w:t>
            </w:r>
            <w:r w:rsidRPr="00090D41">
              <w:rPr>
                <w:szCs w:val="20"/>
              </w:rPr>
              <w:t xml:space="preserve"> month for both treatment arms (not allowing RAASi multiplier for placebo) (base case: 0.15 in 1</w:t>
            </w:r>
            <w:r w:rsidRPr="00090D41">
              <w:rPr>
                <w:szCs w:val="20"/>
                <w:vertAlign w:val="superscript"/>
              </w:rPr>
              <w:t>st</w:t>
            </w:r>
            <w:r w:rsidRPr="00090D41">
              <w:rPr>
                <w:szCs w:val="20"/>
              </w:rPr>
              <w:t xml:space="preserve"> month, 0.00 in 2</w:t>
            </w:r>
            <w:r w:rsidRPr="00090D41">
              <w:rPr>
                <w:szCs w:val="20"/>
                <w:vertAlign w:val="superscript"/>
              </w:rPr>
              <w:t>nd</w:t>
            </w:r>
            <w:r w:rsidRPr="00090D41">
              <w:rPr>
                <w:szCs w:val="20"/>
              </w:rPr>
              <w:t xml:space="preserve"> month, 0.013 thereafter in patiromer arm; 0.46 in 1</w:t>
            </w:r>
            <w:r w:rsidRPr="00090D41">
              <w:rPr>
                <w:szCs w:val="20"/>
                <w:vertAlign w:val="superscript"/>
              </w:rPr>
              <w:t>st</w:t>
            </w:r>
            <w:r w:rsidRPr="00090D41">
              <w:rPr>
                <w:szCs w:val="20"/>
              </w:rPr>
              <w:t xml:space="preserve"> month, 0.296 in 2</w:t>
            </w:r>
            <w:r w:rsidRPr="00090D41">
              <w:rPr>
                <w:szCs w:val="20"/>
                <w:vertAlign w:val="superscript"/>
              </w:rPr>
              <w:t>nd</w:t>
            </w:r>
            <w:r w:rsidRPr="00090D41">
              <w:rPr>
                <w:szCs w:val="20"/>
              </w:rPr>
              <w:t xml:space="preserve"> month, 0.013 thereafter in placebo arm)   </w:t>
            </w:r>
          </w:p>
        </w:tc>
        <w:tc>
          <w:tcPr>
            <w:tcW w:w="545" w:type="pct"/>
            <w:tcMar>
              <w:left w:w="28" w:type="dxa"/>
              <w:right w:w="28" w:type="dxa"/>
            </w:tcMar>
            <w:vAlign w:val="center"/>
          </w:tcPr>
          <w:p w:rsidR="00167E58" w:rsidRPr="00B07B22" w:rsidRDefault="00167E58" w:rsidP="00F275C0">
            <w:pPr>
              <w:pStyle w:val="Tabletext"/>
              <w:keepNext/>
              <w:keepLines/>
              <w:suppressLineNumbers/>
              <w:suppressAutoHyphens/>
              <w:jc w:val="center"/>
            </w:pPr>
            <w:r w:rsidRPr="00A72B62">
              <w:t>$</w:t>
            </w:r>
            <w:r w:rsidR="00B07B22">
              <w:rPr>
                <w:noProof/>
                <w:color w:val="000000"/>
                <w:highlight w:val="black"/>
              </w:rPr>
              <w:t>''''''''''''''''</w:t>
            </w:r>
          </w:p>
        </w:tc>
        <w:tc>
          <w:tcPr>
            <w:tcW w:w="631" w:type="pct"/>
            <w:tcMar>
              <w:left w:w="28" w:type="dxa"/>
              <w:right w:w="28" w:type="dxa"/>
            </w:tcMar>
            <w:vAlign w:val="center"/>
          </w:tcPr>
          <w:p w:rsidR="00167E58" w:rsidRPr="00B07B22" w:rsidRDefault="00B07B22" w:rsidP="00F275C0">
            <w:pPr>
              <w:pStyle w:val="Tabletext"/>
              <w:keepNext/>
              <w:keepLines/>
              <w:suppressLineNumbers/>
              <w:suppressAutoHyphens/>
              <w:jc w:val="center"/>
              <w:rPr>
                <w:highlight w:val="black"/>
              </w:rPr>
            </w:pPr>
            <w:r>
              <w:rPr>
                <w:noProof/>
                <w:color w:val="000000"/>
                <w:highlight w:val="black"/>
              </w:rPr>
              <w:t>''''''''''''''''</w:t>
            </w:r>
          </w:p>
        </w:tc>
        <w:tc>
          <w:tcPr>
            <w:tcW w:w="532" w:type="pct"/>
            <w:tcMar>
              <w:left w:w="28" w:type="dxa"/>
              <w:right w:w="28" w:type="dxa"/>
            </w:tcMar>
            <w:vAlign w:val="center"/>
          </w:tcPr>
          <w:p w:rsidR="00167E58" w:rsidRPr="00B07B22" w:rsidRDefault="00167E58" w:rsidP="00F275C0">
            <w:pPr>
              <w:pStyle w:val="Tabletext"/>
              <w:keepNext/>
              <w:keepLines/>
              <w:suppressLineNumbers/>
              <w:suppressAutoHyphens/>
              <w:jc w:val="center"/>
            </w:pPr>
            <w:r w:rsidRPr="00A72B62">
              <w:t>$</w:t>
            </w:r>
            <w:r w:rsidR="00B07B22">
              <w:rPr>
                <w:noProof/>
                <w:color w:val="000000"/>
                <w:highlight w:val="black"/>
              </w:rPr>
              <w:t>''''''''''''''''''''</w:t>
            </w:r>
          </w:p>
        </w:tc>
      </w:tr>
      <w:tr w:rsidR="00167E58" w:rsidTr="00D070E9">
        <w:tc>
          <w:tcPr>
            <w:tcW w:w="3292" w:type="pct"/>
            <w:tcMar>
              <w:left w:w="28" w:type="dxa"/>
              <w:right w:w="28" w:type="dxa"/>
            </w:tcMar>
          </w:tcPr>
          <w:p w:rsidR="00167E58" w:rsidRPr="00090D41" w:rsidRDefault="00167E58" w:rsidP="00F275C0">
            <w:pPr>
              <w:pStyle w:val="Tabletext"/>
              <w:keepNext/>
              <w:keepLines/>
              <w:suppressLineNumbers/>
              <w:tabs>
                <w:tab w:val="left" w:pos="142"/>
              </w:tabs>
              <w:suppressAutoHyphens/>
              <w:rPr>
                <w:szCs w:val="20"/>
              </w:rPr>
            </w:pPr>
            <w:r w:rsidRPr="00090D41">
              <w:rPr>
                <w:szCs w:val="20"/>
              </w:rPr>
              <w:t xml:space="preserve">HKE mortality rate: 4.25% (base case: </w:t>
            </w:r>
            <w:r w:rsidR="00090D41" w:rsidRPr="00090D41">
              <w:rPr>
                <w:szCs w:val="20"/>
              </w:rPr>
              <w:t>9.5%)</w:t>
            </w:r>
          </w:p>
        </w:tc>
        <w:tc>
          <w:tcPr>
            <w:tcW w:w="545" w:type="pct"/>
            <w:tcMar>
              <w:left w:w="28" w:type="dxa"/>
              <w:right w:w="28" w:type="dxa"/>
            </w:tcMar>
            <w:vAlign w:val="center"/>
          </w:tcPr>
          <w:p w:rsidR="00167E58" w:rsidRPr="00B07B22" w:rsidRDefault="00167E58" w:rsidP="00F275C0">
            <w:pPr>
              <w:pStyle w:val="Tabletext"/>
              <w:keepNext/>
              <w:keepLines/>
              <w:suppressLineNumbers/>
              <w:suppressAutoHyphens/>
              <w:jc w:val="center"/>
            </w:pPr>
            <w:r w:rsidRPr="00A72B62">
              <w:t>$</w:t>
            </w:r>
            <w:r w:rsidR="00B07B22">
              <w:rPr>
                <w:noProof/>
                <w:color w:val="000000"/>
                <w:highlight w:val="black"/>
              </w:rPr>
              <w:t>'''''''''''''''''</w:t>
            </w:r>
          </w:p>
        </w:tc>
        <w:tc>
          <w:tcPr>
            <w:tcW w:w="631" w:type="pct"/>
            <w:tcMar>
              <w:left w:w="28" w:type="dxa"/>
              <w:right w:w="28" w:type="dxa"/>
            </w:tcMar>
            <w:vAlign w:val="center"/>
          </w:tcPr>
          <w:p w:rsidR="00167E58" w:rsidRPr="00B07B22" w:rsidRDefault="00B07B22" w:rsidP="00F275C0">
            <w:pPr>
              <w:pStyle w:val="Tabletext"/>
              <w:keepNext/>
              <w:keepLines/>
              <w:suppressLineNumbers/>
              <w:suppressAutoHyphens/>
              <w:jc w:val="center"/>
              <w:rPr>
                <w:highlight w:val="black"/>
              </w:rPr>
            </w:pPr>
            <w:r>
              <w:rPr>
                <w:noProof/>
                <w:color w:val="000000"/>
                <w:highlight w:val="black"/>
              </w:rPr>
              <w:t>'''''''''''''''''</w:t>
            </w:r>
          </w:p>
        </w:tc>
        <w:tc>
          <w:tcPr>
            <w:tcW w:w="532" w:type="pct"/>
            <w:tcMar>
              <w:left w:w="28" w:type="dxa"/>
              <w:right w:w="28" w:type="dxa"/>
            </w:tcMar>
            <w:vAlign w:val="center"/>
          </w:tcPr>
          <w:p w:rsidR="00167E58" w:rsidRPr="00B07B22" w:rsidRDefault="00167E58" w:rsidP="00F275C0">
            <w:pPr>
              <w:pStyle w:val="Tabletext"/>
              <w:keepNext/>
              <w:keepLines/>
              <w:suppressLineNumbers/>
              <w:suppressAutoHyphens/>
              <w:jc w:val="center"/>
            </w:pPr>
            <w:r w:rsidRPr="00A72B62">
              <w:t>$</w:t>
            </w:r>
            <w:r w:rsidR="00B07B22">
              <w:rPr>
                <w:noProof/>
                <w:color w:val="000000"/>
                <w:highlight w:val="black"/>
              </w:rPr>
              <w:t>'''''''''''''''''''''</w:t>
            </w:r>
          </w:p>
        </w:tc>
      </w:tr>
    </w:tbl>
    <w:p w:rsidR="005F1BCE" w:rsidRDefault="00187C5E" w:rsidP="00F275C0">
      <w:pPr>
        <w:pStyle w:val="TableFooter"/>
        <w:keepNext/>
        <w:keepLines/>
        <w:widowControl/>
        <w:suppressLineNumbers/>
        <w:suppressAutoHyphens/>
      </w:pPr>
      <w:r>
        <w:t xml:space="preserve">CKD = chronic kidney disease; </w:t>
      </w:r>
      <w:r w:rsidR="00AC0D8D">
        <w:t xml:space="preserve">HKE = hyperkalaemia event; ICER = </w:t>
      </w:r>
      <w:r w:rsidR="00167E58">
        <w:t xml:space="preserve">incremental </w:t>
      </w:r>
      <w:r w:rsidR="00AC0D8D">
        <w:t>cost effectiveness ratio; RAASi =</w:t>
      </w:r>
      <w:r w:rsidR="00167E58">
        <w:t xml:space="preserve"> </w:t>
      </w:r>
      <w:r w:rsidR="00167E58" w:rsidRPr="00674C4B">
        <w:t>renin-angiotensin-aldosterone system inhibitor</w:t>
      </w:r>
      <w:r w:rsidR="00AC0D8D">
        <w:t>; QALY =</w:t>
      </w:r>
      <w:r w:rsidR="00167E58">
        <w:t xml:space="preserve"> quality-adjusted life year</w:t>
      </w:r>
      <w:r w:rsidR="00AC0D8D">
        <w:t>; Yr = year</w:t>
      </w:r>
    </w:p>
    <w:p w:rsidR="00187C5E" w:rsidRDefault="00187C5E" w:rsidP="00F275C0">
      <w:pPr>
        <w:pStyle w:val="TableFooter"/>
        <w:keepNext/>
        <w:keepLines/>
        <w:widowControl/>
        <w:suppressLineNumbers/>
        <w:suppressAutoHyphens/>
      </w:pPr>
      <w:r>
        <w:t>Source: Patiromer TreeAge</w:t>
      </w:r>
      <w:r w:rsidRPr="0051108C">
        <w:t xml:space="preserve"> m</w:t>
      </w:r>
      <w:r>
        <w:t>odel with corrections for error</w:t>
      </w:r>
      <w:r w:rsidRPr="0051108C">
        <w:t xml:space="preserve"> in </w:t>
      </w:r>
      <w:r>
        <w:t>CKD progression</w:t>
      </w:r>
    </w:p>
    <w:p w:rsidR="00187C5E" w:rsidRDefault="00187C5E" w:rsidP="00AC6ECC"/>
    <w:p w:rsidR="00504DE7" w:rsidRPr="002C2775" w:rsidRDefault="00504DE7" w:rsidP="00F275C0">
      <w:pPr>
        <w:pStyle w:val="Heading2"/>
        <w:widowControl/>
        <w:spacing w:after="120"/>
      </w:pPr>
      <w:bookmarkStart w:id="13" w:name="_Toc371170711"/>
      <w:bookmarkStart w:id="14" w:name="_Toc19703823"/>
      <w:r w:rsidRPr="002C2775">
        <w:t>D</w:t>
      </w:r>
      <w:r>
        <w:t>rug cost/patient</w:t>
      </w:r>
      <w:r w:rsidRPr="002C2775">
        <w:t>/year</w:t>
      </w:r>
      <w:bookmarkEnd w:id="13"/>
      <w:bookmarkEnd w:id="14"/>
    </w:p>
    <w:p w:rsidR="00504DE7" w:rsidRPr="00D03515" w:rsidRDefault="00504DE7" w:rsidP="00F275C0">
      <w:pPr>
        <w:pStyle w:val="ListParagraph"/>
        <w:widowControl/>
        <w:numPr>
          <w:ilvl w:val="1"/>
          <w:numId w:val="3"/>
        </w:numPr>
        <w:spacing w:after="120"/>
      </w:pPr>
      <w:r w:rsidRPr="005B23D6">
        <w:t>The drug cost per patient for patiromer is summarised in the table below. The submission assumed no hyperkalaemia drug costs associated with placebo.</w:t>
      </w:r>
      <w:r w:rsidR="0051337F">
        <w:t xml:space="preserve"> </w:t>
      </w:r>
      <w:r w:rsidR="0051337F" w:rsidRPr="00D03515">
        <w:t xml:space="preserve">The ESC </w:t>
      </w:r>
      <w:r w:rsidR="008B19E7" w:rsidRPr="00D03515">
        <w:t>noted</w:t>
      </w:r>
      <w:r w:rsidR="00C92C62" w:rsidRPr="00D03515">
        <w:t xml:space="preserve"> that</w:t>
      </w:r>
      <w:r w:rsidR="0051337F" w:rsidRPr="00D03515">
        <w:t xml:space="preserve"> the </w:t>
      </w:r>
      <w:r w:rsidR="00C92C62" w:rsidRPr="00D03515">
        <w:t>persistence rates applied were high compared to the persistence data provided in the PSCR</w:t>
      </w:r>
      <w:r w:rsidR="0051337F" w:rsidRPr="00D03515">
        <w:t xml:space="preserve">. </w:t>
      </w:r>
    </w:p>
    <w:p w:rsidR="00504DE7" w:rsidRPr="007E1554" w:rsidRDefault="00504DE7" w:rsidP="00F275C0">
      <w:pPr>
        <w:keepNext/>
        <w:keepLines/>
        <w:widowControl/>
        <w:rPr>
          <w:rStyle w:val="CommentReference"/>
        </w:rPr>
      </w:pPr>
      <w:r>
        <w:rPr>
          <w:rStyle w:val="CommentReference"/>
        </w:rPr>
        <w:lastRenderedPageBreak/>
        <w:t xml:space="preserve">Table </w:t>
      </w:r>
      <w:r w:rsidR="00A36E46">
        <w:rPr>
          <w:rStyle w:val="CommentReference"/>
        </w:rPr>
        <w:t>17</w:t>
      </w:r>
      <w:r>
        <w:rPr>
          <w:rStyle w:val="CommentReference"/>
        </w:rPr>
        <w:t>: Drug cost per patient for patiromer</w:t>
      </w:r>
    </w:p>
    <w:tbl>
      <w:tblPr>
        <w:tblStyle w:val="TableGrid"/>
        <w:tblW w:w="5000" w:type="pct"/>
        <w:tblLook w:val="04A0" w:firstRow="1" w:lastRow="0" w:firstColumn="1" w:lastColumn="0" w:noHBand="0" w:noVBand="1"/>
        <w:tblCaption w:val="Table 17: Drug cost per patient for patiromer"/>
      </w:tblPr>
      <w:tblGrid>
        <w:gridCol w:w="1676"/>
        <w:gridCol w:w="1722"/>
        <w:gridCol w:w="1722"/>
        <w:gridCol w:w="1949"/>
        <w:gridCol w:w="1948"/>
      </w:tblGrid>
      <w:tr w:rsidR="00504DE7" w:rsidRPr="00D070E9" w:rsidTr="009D69C5">
        <w:trPr>
          <w:tblHeader/>
        </w:trPr>
        <w:tc>
          <w:tcPr>
            <w:tcW w:w="929" w:type="pct"/>
            <w:vAlign w:val="center"/>
          </w:tcPr>
          <w:p w:rsidR="00504DE7" w:rsidRPr="00D070E9" w:rsidRDefault="00504DE7" w:rsidP="00F275C0">
            <w:pPr>
              <w:keepNext/>
              <w:keepLines/>
              <w:widowControl/>
              <w:rPr>
                <w:rFonts w:ascii="Arial Narrow" w:hAnsi="Arial Narrow"/>
                <w:sz w:val="20"/>
                <w:szCs w:val="20"/>
              </w:rPr>
            </w:pPr>
          </w:p>
        </w:tc>
        <w:tc>
          <w:tcPr>
            <w:tcW w:w="955" w:type="pct"/>
            <w:vAlign w:val="center"/>
          </w:tcPr>
          <w:p w:rsidR="00504DE7" w:rsidRPr="00D070E9" w:rsidRDefault="00504DE7" w:rsidP="00F275C0">
            <w:pPr>
              <w:keepNext/>
              <w:keepLines/>
              <w:widowControl/>
              <w:jc w:val="center"/>
              <w:rPr>
                <w:rFonts w:ascii="Arial Narrow" w:hAnsi="Arial Narrow"/>
                <w:b/>
                <w:sz w:val="20"/>
                <w:szCs w:val="20"/>
              </w:rPr>
            </w:pPr>
            <w:r w:rsidRPr="00D070E9">
              <w:rPr>
                <w:rFonts w:ascii="Arial Narrow" w:hAnsi="Arial Narrow"/>
                <w:b/>
                <w:sz w:val="20"/>
                <w:szCs w:val="20"/>
              </w:rPr>
              <w:t>OPAL-HK Part B</w:t>
            </w:r>
          </w:p>
        </w:tc>
        <w:tc>
          <w:tcPr>
            <w:tcW w:w="955" w:type="pct"/>
            <w:vAlign w:val="center"/>
          </w:tcPr>
          <w:p w:rsidR="00504DE7" w:rsidRPr="00D070E9" w:rsidRDefault="00504DE7" w:rsidP="00F275C0">
            <w:pPr>
              <w:keepNext/>
              <w:keepLines/>
              <w:widowControl/>
              <w:jc w:val="center"/>
              <w:rPr>
                <w:rFonts w:ascii="Arial Narrow" w:hAnsi="Arial Narrow"/>
                <w:b/>
                <w:sz w:val="20"/>
                <w:szCs w:val="20"/>
              </w:rPr>
            </w:pPr>
            <w:r w:rsidRPr="00D070E9">
              <w:rPr>
                <w:rFonts w:ascii="Arial Narrow" w:hAnsi="Arial Narrow"/>
                <w:b/>
                <w:sz w:val="20"/>
                <w:szCs w:val="20"/>
              </w:rPr>
              <w:t>AMETHYST-DN long term</w:t>
            </w:r>
          </w:p>
        </w:tc>
        <w:tc>
          <w:tcPr>
            <w:tcW w:w="1081" w:type="pct"/>
            <w:vAlign w:val="center"/>
          </w:tcPr>
          <w:p w:rsidR="00504DE7" w:rsidRPr="00D070E9" w:rsidRDefault="00504DE7" w:rsidP="00F275C0">
            <w:pPr>
              <w:keepNext/>
              <w:keepLines/>
              <w:widowControl/>
              <w:jc w:val="center"/>
              <w:rPr>
                <w:rFonts w:ascii="Arial Narrow" w:hAnsi="Arial Narrow"/>
                <w:b/>
                <w:sz w:val="20"/>
                <w:szCs w:val="20"/>
              </w:rPr>
            </w:pPr>
            <w:r w:rsidRPr="00D070E9">
              <w:rPr>
                <w:rFonts w:ascii="Arial Narrow" w:hAnsi="Arial Narrow"/>
                <w:b/>
                <w:sz w:val="20"/>
                <w:szCs w:val="20"/>
              </w:rPr>
              <w:t>Economic analysis</w:t>
            </w:r>
          </w:p>
        </w:tc>
        <w:tc>
          <w:tcPr>
            <w:tcW w:w="1080" w:type="pct"/>
            <w:vAlign w:val="center"/>
          </w:tcPr>
          <w:p w:rsidR="00504DE7" w:rsidRPr="00D070E9" w:rsidRDefault="00504DE7" w:rsidP="00F275C0">
            <w:pPr>
              <w:keepNext/>
              <w:keepLines/>
              <w:widowControl/>
              <w:jc w:val="center"/>
              <w:rPr>
                <w:rFonts w:ascii="Arial Narrow" w:hAnsi="Arial Narrow"/>
                <w:b/>
                <w:sz w:val="20"/>
                <w:szCs w:val="20"/>
              </w:rPr>
            </w:pPr>
            <w:r w:rsidRPr="00D070E9">
              <w:rPr>
                <w:rFonts w:ascii="Arial Narrow" w:hAnsi="Arial Narrow"/>
                <w:b/>
                <w:sz w:val="20"/>
                <w:szCs w:val="20"/>
              </w:rPr>
              <w:t>Financial estimates</w:t>
            </w:r>
          </w:p>
        </w:tc>
      </w:tr>
      <w:tr w:rsidR="00AE69F9" w:rsidRPr="00D070E9" w:rsidTr="009D69C5">
        <w:trPr>
          <w:tblHeader/>
        </w:trPr>
        <w:tc>
          <w:tcPr>
            <w:tcW w:w="929" w:type="pct"/>
            <w:vAlign w:val="center"/>
          </w:tcPr>
          <w:p w:rsidR="00AE69F9" w:rsidRPr="00D070E9" w:rsidRDefault="00AE69F9" w:rsidP="00AE69F9">
            <w:pPr>
              <w:keepNext/>
              <w:keepLines/>
              <w:widowControl/>
              <w:rPr>
                <w:rFonts w:ascii="Arial Narrow" w:hAnsi="Arial Narrow"/>
                <w:sz w:val="20"/>
                <w:szCs w:val="20"/>
              </w:rPr>
            </w:pPr>
            <w:r w:rsidRPr="00D070E9">
              <w:rPr>
                <w:rFonts w:ascii="Arial Narrow" w:hAnsi="Arial Narrow"/>
                <w:sz w:val="20"/>
                <w:szCs w:val="20"/>
              </w:rPr>
              <w:t>Treatment regimen</w:t>
            </w:r>
          </w:p>
        </w:tc>
        <w:tc>
          <w:tcPr>
            <w:tcW w:w="955" w:type="pct"/>
            <w:vAlign w:val="center"/>
          </w:tcPr>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Titratable dose starting at 8.4 g/day or 16.8 g/day</w:t>
            </w:r>
          </w:p>
          <w:p w:rsidR="00AE69F9" w:rsidRPr="00D070E9" w:rsidRDefault="00AE69F9" w:rsidP="00AE69F9">
            <w:pPr>
              <w:keepNext/>
              <w:keepLines/>
              <w:widowControl/>
              <w:jc w:val="center"/>
              <w:rPr>
                <w:rFonts w:ascii="Arial Narrow" w:hAnsi="Arial Narrow"/>
                <w:sz w:val="20"/>
                <w:szCs w:val="20"/>
              </w:rPr>
            </w:pPr>
          </w:p>
          <w:p w:rsidR="00AE69F9" w:rsidRPr="00D070E9" w:rsidRDefault="00AE69F9" w:rsidP="00AE69F9">
            <w:pPr>
              <w:keepNext/>
              <w:keepLines/>
              <w:widowControl/>
              <w:jc w:val="center"/>
              <w:rPr>
                <w:rFonts w:ascii="Arial Narrow" w:hAnsi="Arial Narrow"/>
                <w:sz w:val="20"/>
                <w:szCs w:val="20"/>
                <w:vertAlign w:val="superscript"/>
              </w:rPr>
            </w:pPr>
            <w:r w:rsidRPr="00D070E9">
              <w:rPr>
                <w:rFonts w:ascii="Arial Narrow" w:hAnsi="Arial Narrow"/>
                <w:sz w:val="20"/>
                <w:szCs w:val="20"/>
              </w:rPr>
              <w:t>Median daily dose: 21.0 g/day</w:t>
            </w:r>
            <w:r w:rsidRPr="00D070E9">
              <w:rPr>
                <w:rFonts w:ascii="Arial Narrow" w:hAnsi="Arial Narrow"/>
                <w:sz w:val="20"/>
                <w:szCs w:val="20"/>
                <w:vertAlign w:val="superscript"/>
              </w:rPr>
              <w:t>a</w:t>
            </w:r>
          </w:p>
        </w:tc>
        <w:tc>
          <w:tcPr>
            <w:tcW w:w="955" w:type="pct"/>
            <w:vAlign w:val="center"/>
          </w:tcPr>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Titratable dose starting at 8.4 g/day, 16.8 g/day, 25.2 g/day or 33.6 g/day</w:t>
            </w:r>
          </w:p>
          <w:p w:rsidR="00AE69F9" w:rsidRPr="00D070E9" w:rsidRDefault="00AE69F9" w:rsidP="00AE69F9">
            <w:pPr>
              <w:keepNext/>
              <w:keepLines/>
              <w:widowControl/>
              <w:jc w:val="center"/>
              <w:rPr>
                <w:rFonts w:ascii="Arial Narrow" w:hAnsi="Arial Narrow"/>
                <w:sz w:val="20"/>
                <w:szCs w:val="20"/>
              </w:rPr>
            </w:pPr>
          </w:p>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Median daily dose: 19.7 g/day</w:t>
            </w:r>
            <w:r w:rsidRPr="00D070E9">
              <w:rPr>
                <w:rFonts w:ascii="Arial Narrow" w:hAnsi="Arial Narrow"/>
                <w:sz w:val="20"/>
                <w:szCs w:val="20"/>
                <w:vertAlign w:val="superscript"/>
              </w:rPr>
              <w:t>a, b</w:t>
            </w:r>
          </w:p>
        </w:tc>
        <w:tc>
          <w:tcPr>
            <w:tcW w:w="1081" w:type="pct"/>
            <w:vAlign w:val="center"/>
          </w:tcPr>
          <w:p w:rsidR="00AE69F9" w:rsidRPr="00D070E9" w:rsidRDefault="00AE69F9" w:rsidP="00AE69F9">
            <w:pPr>
              <w:keepNext/>
              <w:keepLines/>
              <w:widowControl/>
              <w:jc w:val="center"/>
              <w:rPr>
                <w:rFonts w:ascii="Arial Narrow" w:hAnsi="Arial Narrow"/>
                <w:sz w:val="20"/>
                <w:szCs w:val="20"/>
                <w:vertAlign w:val="superscript"/>
              </w:rPr>
            </w:pPr>
            <w:r w:rsidRPr="00D070E9">
              <w:rPr>
                <w:rFonts w:ascii="Arial Narrow" w:hAnsi="Arial Narrow"/>
                <w:sz w:val="20"/>
                <w:szCs w:val="20"/>
              </w:rPr>
              <w:t>16.8 g fixed daily dose</w:t>
            </w:r>
            <w:r w:rsidRPr="00D070E9">
              <w:rPr>
                <w:rFonts w:ascii="Arial Narrow" w:hAnsi="Arial Narrow"/>
                <w:sz w:val="20"/>
                <w:szCs w:val="20"/>
                <w:vertAlign w:val="superscript"/>
              </w:rPr>
              <w:t>c</w:t>
            </w:r>
          </w:p>
        </w:tc>
        <w:tc>
          <w:tcPr>
            <w:tcW w:w="1080" w:type="pct"/>
            <w:vAlign w:val="center"/>
          </w:tcPr>
          <w:p w:rsidR="00AE69F9" w:rsidRPr="00AE69F9" w:rsidRDefault="00B07B22" w:rsidP="00AE69F9">
            <w:pPr>
              <w:keepNext/>
              <w:keepLines/>
              <w:widowControl/>
              <w:jc w:val="center"/>
              <w:rPr>
                <w:rFonts w:ascii="Arial Narrow" w:hAnsi="Arial Narrow"/>
                <w:sz w:val="20"/>
                <w:szCs w:val="20"/>
              </w:rPr>
            </w:pPr>
            <w:r>
              <w:rPr>
                <w:rFonts w:ascii="Arial Narrow" w:hAnsi="Arial Narrow"/>
                <w:noProof/>
                <w:color w:val="000000"/>
                <w:sz w:val="20"/>
                <w:szCs w:val="20"/>
                <w:highlight w:val="black"/>
              </w:rPr>
              <w:t>''''''</w:t>
            </w:r>
            <w:r w:rsidR="00AE69F9" w:rsidRPr="00AE69F9">
              <w:rPr>
                <w:rFonts w:ascii="Arial Narrow" w:hAnsi="Arial Narrow"/>
                <w:sz w:val="20"/>
                <w:szCs w:val="20"/>
              </w:rPr>
              <w:t>% on 8.4 g/day,</w:t>
            </w:r>
          </w:p>
          <w:p w:rsidR="00AE69F9" w:rsidRPr="00D070E9" w:rsidRDefault="00B07B22" w:rsidP="00AE69F9">
            <w:pPr>
              <w:keepNext/>
              <w:keepLines/>
              <w:widowControl/>
              <w:jc w:val="center"/>
              <w:rPr>
                <w:rFonts w:ascii="Arial Narrow" w:hAnsi="Arial Narrow"/>
                <w:sz w:val="20"/>
                <w:szCs w:val="20"/>
                <w:vertAlign w:val="superscript"/>
              </w:rPr>
            </w:pPr>
            <w:r>
              <w:rPr>
                <w:rFonts w:ascii="Arial Narrow" w:hAnsi="Arial Narrow"/>
                <w:noProof/>
                <w:color w:val="000000"/>
                <w:sz w:val="20"/>
                <w:szCs w:val="20"/>
                <w:highlight w:val="black"/>
              </w:rPr>
              <w:t>''''''</w:t>
            </w:r>
            <w:r w:rsidR="00AE69F9" w:rsidRPr="00AE69F9">
              <w:rPr>
                <w:rFonts w:ascii="Arial Narrow" w:hAnsi="Arial Narrow"/>
                <w:sz w:val="20"/>
                <w:szCs w:val="20"/>
              </w:rPr>
              <w:t xml:space="preserve">% on 16.8 g/day, </w:t>
            </w:r>
            <w:r>
              <w:rPr>
                <w:rFonts w:ascii="Arial Narrow" w:hAnsi="Arial Narrow"/>
                <w:noProof/>
                <w:color w:val="000000"/>
                <w:sz w:val="20"/>
                <w:szCs w:val="20"/>
                <w:highlight w:val="black"/>
              </w:rPr>
              <w:t>''''''</w:t>
            </w:r>
            <w:r w:rsidR="00AE69F9" w:rsidRPr="00AE69F9">
              <w:rPr>
                <w:rFonts w:ascii="Arial Narrow" w:hAnsi="Arial Narrow"/>
                <w:sz w:val="20"/>
                <w:szCs w:val="20"/>
              </w:rPr>
              <w:t>% on 25.2 g/day</w:t>
            </w:r>
            <w:r w:rsidR="00AE69F9" w:rsidRPr="00AE69F9">
              <w:rPr>
                <w:rFonts w:ascii="Arial Narrow" w:hAnsi="Arial Narrow"/>
                <w:sz w:val="20"/>
                <w:szCs w:val="20"/>
                <w:vertAlign w:val="superscript"/>
              </w:rPr>
              <w:t>d</w:t>
            </w:r>
          </w:p>
        </w:tc>
      </w:tr>
      <w:tr w:rsidR="00AE69F9" w:rsidRPr="00D070E9" w:rsidTr="009D69C5">
        <w:trPr>
          <w:tblHeader/>
        </w:trPr>
        <w:tc>
          <w:tcPr>
            <w:tcW w:w="929" w:type="pct"/>
            <w:vAlign w:val="center"/>
          </w:tcPr>
          <w:p w:rsidR="00AE69F9" w:rsidRPr="00D070E9" w:rsidRDefault="00AE69F9" w:rsidP="00AE69F9">
            <w:pPr>
              <w:keepNext/>
              <w:keepLines/>
              <w:widowControl/>
              <w:rPr>
                <w:rFonts w:ascii="Arial Narrow" w:hAnsi="Arial Narrow"/>
                <w:sz w:val="20"/>
                <w:szCs w:val="20"/>
              </w:rPr>
            </w:pPr>
            <w:r w:rsidRPr="00D070E9">
              <w:rPr>
                <w:rFonts w:ascii="Arial Narrow" w:hAnsi="Arial Narrow"/>
                <w:sz w:val="20"/>
                <w:szCs w:val="20"/>
              </w:rPr>
              <w:t>Adherence rate</w:t>
            </w:r>
          </w:p>
        </w:tc>
        <w:tc>
          <w:tcPr>
            <w:tcW w:w="955" w:type="pct"/>
            <w:vAlign w:val="center"/>
          </w:tcPr>
          <w:p w:rsidR="00AE69F9" w:rsidRPr="00D070E9" w:rsidRDefault="00AE69F9" w:rsidP="00AE69F9">
            <w:pPr>
              <w:keepNext/>
              <w:keepLines/>
              <w:widowControl/>
              <w:jc w:val="center"/>
              <w:rPr>
                <w:rFonts w:ascii="Arial Narrow" w:hAnsi="Arial Narrow"/>
                <w:sz w:val="20"/>
                <w:szCs w:val="20"/>
                <w:vertAlign w:val="superscript"/>
              </w:rPr>
            </w:pPr>
            <w:r w:rsidRPr="00D070E9">
              <w:rPr>
                <w:rFonts w:ascii="Arial Narrow" w:hAnsi="Arial Narrow"/>
                <w:sz w:val="20"/>
                <w:szCs w:val="20"/>
              </w:rPr>
              <w:t>100.7%</w:t>
            </w:r>
            <w:r w:rsidRPr="00D070E9">
              <w:rPr>
                <w:rFonts w:ascii="Arial Narrow" w:hAnsi="Arial Narrow"/>
                <w:sz w:val="20"/>
                <w:szCs w:val="20"/>
                <w:vertAlign w:val="superscript"/>
              </w:rPr>
              <w:t>e</w:t>
            </w:r>
          </w:p>
        </w:tc>
        <w:tc>
          <w:tcPr>
            <w:tcW w:w="955" w:type="pct"/>
            <w:vAlign w:val="center"/>
          </w:tcPr>
          <w:p w:rsidR="00AE69F9" w:rsidRPr="00D070E9" w:rsidRDefault="00AE69F9" w:rsidP="00AE69F9">
            <w:pPr>
              <w:keepNext/>
              <w:keepLines/>
              <w:widowControl/>
              <w:jc w:val="center"/>
              <w:rPr>
                <w:rFonts w:ascii="Arial Narrow" w:hAnsi="Arial Narrow"/>
                <w:sz w:val="20"/>
                <w:szCs w:val="20"/>
                <w:vertAlign w:val="superscript"/>
              </w:rPr>
            </w:pPr>
            <w:r w:rsidRPr="00D070E9">
              <w:rPr>
                <w:rFonts w:ascii="Arial Narrow" w:hAnsi="Arial Narrow"/>
                <w:sz w:val="20"/>
                <w:szCs w:val="20"/>
              </w:rPr>
              <w:t>96.6%</w:t>
            </w:r>
            <w:r w:rsidRPr="00D070E9">
              <w:rPr>
                <w:rFonts w:ascii="Arial Narrow" w:hAnsi="Arial Narrow"/>
                <w:sz w:val="20"/>
                <w:szCs w:val="20"/>
                <w:vertAlign w:val="superscript"/>
              </w:rPr>
              <w:t>e</w:t>
            </w:r>
          </w:p>
        </w:tc>
        <w:tc>
          <w:tcPr>
            <w:tcW w:w="1081" w:type="pct"/>
            <w:vAlign w:val="center"/>
          </w:tcPr>
          <w:p w:rsidR="00AE69F9" w:rsidRPr="00D070E9" w:rsidRDefault="00AE69F9" w:rsidP="00AE69F9">
            <w:pPr>
              <w:keepNext/>
              <w:keepLines/>
              <w:widowControl/>
              <w:jc w:val="center"/>
              <w:rPr>
                <w:rFonts w:ascii="Arial Narrow" w:hAnsi="Arial Narrow"/>
                <w:sz w:val="20"/>
                <w:szCs w:val="20"/>
                <w:vertAlign w:val="superscript"/>
              </w:rPr>
            </w:pPr>
            <w:r w:rsidRPr="00D070E9">
              <w:rPr>
                <w:rFonts w:ascii="Arial Narrow" w:hAnsi="Arial Narrow"/>
                <w:sz w:val="20"/>
                <w:szCs w:val="20"/>
              </w:rPr>
              <w:t>96.4%</w:t>
            </w:r>
            <w:r w:rsidRPr="00D070E9">
              <w:rPr>
                <w:rFonts w:ascii="Arial Narrow" w:hAnsi="Arial Narrow"/>
                <w:sz w:val="20"/>
                <w:szCs w:val="20"/>
                <w:vertAlign w:val="superscript"/>
              </w:rPr>
              <w:t>f</w:t>
            </w:r>
          </w:p>
        </w:tc>
        <w:tc>
          <w:tcPr>
            <w:tcW w:w="1080" w:type="pct"/>
            <w:vAlign w:val="center"/>
          </w:tcPr>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96.4%</w:t>
            </w:r>
          </w:p>
        </w:tc>
      </w:tr>
      <w:tr w:rsidR="00AE69F9" w:rsidRPr="00D070E9" w:rsidTr="009D69C5">
        <w:trPr>
          <w:tblHeader/>
        </w:trPr>
        <w:tc>
          <w:tcPr>
            <w:tcW w:w="929" w:type="pct"/>
            <w:vAlign w:val="center"/>
          </w:tcPr>
          <w:p w:rsidR="00AE69F9" w:rsidRPr="00D070E9" w:rsidRDefault="00AE69F9" w:rsidP="00AE69F9">
            <w:pPr>
              <w:keepNext/>
              <w:keepLines/>
              <w:widowControl/>
              <w:rPr>
                <w:rFonts w:ascii="Arial Narrow" w:hAnsi="Arial Narrow"/>
                <w:sz w:val="20"/>
                <w:szCs w:val="20"/>
              </w:rPr>
            </w:pPr>
            <w:r w:rsidRPr="00D070E9">
              <w:rPr>
                <w:rFonts w:ascii="Arial Narrow" w:hAnsi="Arial Narrow"/>
                <w:sz w:val="20"/>
                <w:szCs w:val="20"/>
              </w:rPr>
              <w:t>Cost/patient/month</w:t>
            </w:r>
          </w:p>
        </w:tc>
        <w:tc>
          <w:tcPr>
            <w:tcW w:w="955" w:type="pct"/>
            <w:vAlign w:val="center"/>
          </w:tcPr>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w:t>
            </w:r>
          </w:p>
        </w:tc>
        <w:tc>
          <w:tcPr>
            <w:tcW w:w="955" w:type="pct"/>
            <w:vAlign w:val="center"/>
          </w:tcPr>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w:t>
            </w:r>
          </w:p>
        </w:tc>
        <w:tc>
          <w:tcPr>
            <w:tcW w:w="1081" w:type="pct"/>
            <w:vAlign w:val="center"/>
          </w:tcPr>
          <w:p w:rsidR="00AE69F9" w:rsidRPr="00D070E9" w:rsidRDefault="00AE69F9" w:rsidP="00AE69F9">
            <w:pPr>
              <w:keepNext/>
              <w:keepLines/>
              <w:widowControl/>
              <w:jc w:val="center"/>
              <w:rPr>
                <w:rFonts w:ascii="Arial Narrow" w:hAnsi="Arial Narrow"/>
                <w:sz w:val="20"/>
                <w:szCs w:val="20"/>
                <w:vertAlign w:val="superscript"/>
              </w:rPr>
            </w:pPr>
            <w:r w:rsidRPr="00D070E9">
              <w:rPr>
                <w:rFonts w:ascii="Arial Narrow" w:hAnsi="Arial Narrow"/>
                <w:sz w:val="20"/>
                <w:szCs w:val="20"/>
              </w:rPr>
              <w:t>$</w:t>
            </w:r>
            <w:r w:rsidR="00B07B22">
              <w:rPr>
                <w:rFonts w:ascii="Arial Narrow" w:hAnsi="Arial Narrow"/>
                <w:noProof/>
                <w:color w:val="000000"/>
                <w:sz w:val="20"/>
                <w:szCs w:val="20"/>
                <w:highlight w:val="black"/>
              </w:rPr>
              <w:t>'''''''''''''''''</w:t>
            </w:r>
            <w:r w:rsidRPr="00A72B62">
              <w:rPr>
                <w:rFonts w:ascii="Arial Narrow" w:hAnsi="Arial Narrow"/>
                <w:sz w:val="20"/>
                <w:szCs w:val="20"/>
                <w:vertAlign w:val="superscript"/>
              </w:rPr>
              <w:t>g</w:t>
            </w:r>
          </w:p>
        </w:tc>
        <w:tc>
          <w:tcPr>
            <w:tcW w:w="1080" w:type="pct"/>
            <w:vAlign w:val="center"/>
          </w:tcPr>
          <w:p w:rsidR="00AE69F9" w:rsidRPr="00D070E9" w:rsidRDefault="00AE69F9" w:rsidP="00AE69F9">
            <w:pPr>
              <w:keepNext/>
              <w:keepLines/>
              <w:widowControl/>
              <w:jc w:val="center"/>
              <w:rPr>
                <w:rFonts w:ascii="Arial Narrow" w:hAnsi="Arial Narrow"/>
                <w:sz w:val="20"/>
                <w:szCs w:val="20"/>
                <w:vertAlign w:val="superscript"/>
              </w:rPr>
            </w:pPr>
            <w:r w:rsidRPr="00D070E9">
              <w:rPr>
                <w:rFonts w:ascii="Arial Narrow" w:hAnsi="Arial Narrow"/>
                <w:sz w:val="20"/>
                <w:szCs w:val="20"/>
              </w:rPr>
              <w:t>$</w:t>
            </w:r>
            <w:r w:rsidR="00B07B22">
              <w:rPr>
                <w:rFonts w:ascii="Arial Narrow" w:hAnsi="Arial Narrow"/>
                <w:noProof/>
                <w:color w:val="000000"/>
                <w:sz w:val="20"/>
                <w:szCs w:val="20"/>
                <w:highlight w:val="black"/>
              </w:rPr>
              <w:t>''''''''''''''''''</w:t>
            </w:r>
            <w:r w:rsidRPr="00A72B62">
              <w:rPr>
                <w:rFonts w:ascii="Arial Narrow" w:hAnsi="Arial Narrow"/>
                <w:sz w:val="20"/>
                <w:szCs w:val="20"/>
                <w:vertAlign w:val="superscript"/>
              </w:rPr>
              <w:t>h</w:t>
            </w:r>
          </w:p>
        </w:tc>
      </w:tr>
      <w:tr w:rsidR="00B65247" w:rsidRPr="00D070E9" w:rsidTr="009D69C5">
        <w:trPr>
          <w:tblHeader/>
        </w:trPr>
        <w:tc>
          <w:tcPr>
            <w:tcW w:w="929" w:type="pct"/>
            <w:vAlign w:val="center"/>
          </w:tcPr>
          <w:p w:rsidR="00B65247" w:rsidRPr="00D070E9" w:rsidRDefault="00B65247" w:rsidP="00B65247">
            <w:pPr>
              <w:keepNext/>
              <w:keepLines/>
              <w:widowControl/>
              <w:rPr>
                <w:rFonts w:ascii="Arial Narrow" w:hAnsi="Arial Narrow"/>
                <w:sz w:val="20"/>
                <w:szCs w:val="20"/>
              </w:rPr>
            </w:pPr>
            <w:r w:rsidRPr="00D070E9">
              <w:rPr>
                <w:rFonts w:ascii="Arial Narrow" w:hAnsi="Arial Narrow"/>
                <w:sz w:val="20"/>
                <w:szCs w:val="20"/>
              </w:rPr>
              <w:t>Persistence</w:t>
            </w:r>
          </w:p>
        </w:tc>
        <w:tc>
          <w:tcPr>
            <w:tcW w:w="955" w:type="pct"/>
            <w:vAlign w:val="center"/>
          </w:tcPr>
          <w:p w:rsidR="00B65247" w:rsidRPr="00D070E9" w:rsidRDefault="00B65247" w:rsidP="00B65247">
            <w:pPr>
              <w:keepNext/>
              <w:keepLines/>
              <w:widowControl/>
              <w:jc w:val="center"/>
              <w:rPr>
                <w:rFonts w:ascii="Arial Narrow" w:hAnsi="Arial Narrow"/>
                <w:sz w:val="20"/>
                <w:szCs w:val="20"/>
              </w:rPr>
            </w:pPr>
            <w:r w:rsidRPr="00D070E9">
              <w:rPr>
                <w:rFonts w:ascii="Arial Narrow" w:hAnsi="Arial Narrow"/>
                <w:sz w:val="20"/>
                <w:szCs w:val="20"/>
              </w:rPr>
              <w:t>18% treatment discontinuation over 8 weeks</w:t>
            </w:r>
          </w:p>
        </w:tc>
        <w:tc>
          <w:tcPr>
            <w:tcW w:w="955" w:type="pct"/>
            <w:vAlign w:val="center"/>
          </w:tcPr>
          <w:p w:rsidR="00B65247" w:rsidRPr="00D070E9" w:rsidRDefault="00B65247" w:rsidP="00B65247">
            <w:pPr>
              <w:keepNext/>
              <w:keepLines/>
              <w:widowControl/>
              <w:jc w:val="center"/>
              <w:rPr>
                <w:rFonts w:ascii="Arial Narrow" w:hAnsi="Arial Narrow"/>
                <w:sz w:val="20"/>
                <w:szCs w:val="20"/>
              </w:rPr>
            </w:pPr>
            <w:r w:rsidRPr="00D070E9">
              <w:rPr>
                <w:rFonts w:ascii="Arial Narrow" w:hAnsi="Arial Narrow"/>
                <w:sz w:val="20"/>
                <w:szCs w:val="20"/>
              </w:rPr>
              <w:t>31% treatment discontinuation over 52 weeks</w:t>
            </w:r>
          </w:p>
        </w:tc>
        <w:tc>
          <w:tcPr>
            <w:tcW w:w="1081" w:type="pct"/>
            <w:vAlign w:val="center"/>
          </w:tcPr>
          <w:p w:rsidR="00B65247" w:rsidRPr="00B65247" w:rsidRDefault="00B65247" w:rsidP="00B65247">
            <w:pPr>
              <w:keepNext/>
              <w:keepLines/>
              <w:widowControl/>
              <w:jc w:val="center"/>
              <w:rPr>
                <w:rFonts w:ascii="Arial Narrow" w:hAnsi="Arial Narrow"/>
                <w:sz w:val="20"/>
                <w:szCs w:val="20"/>
                <w:vertAlign w:val="superscript"/>
              </w:rPr>
            </w:pPr>
            <w:r w:rsidRPr="00B65247">
              <w:rPr>
                <w:rFonts w:ascii="Arial Narrow" w:hAnsi="Arial Narrow"/>
                <w:sz w:val="20"/>
                <w:szCs w:val="20"/>
              </w:rPr>
              <w:t xml:space="preserve">Year 1: </w:t>
            </w:r>
            <w:r w:rsidR="00B07B22">
              <w:rPr>
                <w:rFonts w:ascii="Arial Narrow" w:hAnsi="Arial Narrow"/>
                <w:noProof/>
                <w:color w:val="000000"/>
                <w:sz w:val="20"/>
                <w:szCs w:val="20"/>
                <w:highlight w:val="black"/>
              </w:rPr>
              <w:t>''''''</w:t>
            </w:r>
            <w:r w:rsidRPr="00B65247">
              <w:rPr>
                <w:rFonts w:ascii="Arial Narrow" w:hAnsi="Arial Narrow"/>
                <w:sz w:val="20"/>
                <w:szCs w:val="20"/>
              </w:rPr>
              <w:t>%</w:t>
            </w:r>
            <w:r w:rsidRPr="00B65247">
              <w:rPr>
                <w:rFonts w:ascii="Arial Narrow" w:hAnsi="Arial Narrow"/>
                <w:sz w:val="20"/>
                <w:szCs w:val="20"/>
                <w:vertAlign w:val="superscript"/>
              </w:rPr>
              <w:t>i</w:t>
            </w:r>
          </w:p>
          <w:p w:rsidR="00B65247" w:rsidRPr="00B65247" w:rsidRDefault="00B65247" w:rsidP="00B65247">
            <w:pPr>
              <w:keepNext/>
              <w:keepLines/>
              <w:widowControl/>
              <w:jc w:val="center"/>
              <w:rPr>
                <w:rFonts w:ascii="Arial Narrow" w:hAnsi="Arial Narrow"/>
                <w:sz w:val="20"/>
                <w:szCs w:val="20"/>
              </w:rPr>
            </w:pPr>
            <w:r w:rsidRPr="00B65247">
              <w:rPr>
                <w:rFonts w:ascii="Arial Narrow" w:hAnsi="Arial Narrow"/>
                <w:sz w:val="20"/>
                <w:szCs w:val="20"/>
              </w:rPr>
              <w:t xml:space="preserve">Year 2: </w:t>
            </w:r>
            <w:r w:rsidR="00B07B22">
              <w:rPr>
                <w:rFonts w:ascii="Arial Narrow" w:hAnsi="Arial Narrow"/>
                <w:noProof/>
                <w:color w:val="000000"/>
                <w:sz w:val="20"/>
                <w:szCs w:val="20"/>
                <w:highlight w:val="black"/>
              </w:rPr>
              <w:t>''''''</w:t>
            </w:r>
            <w:r w:rsidRPr="00B65247">
              <w:rPr>
                <w:rFonts w:ascii="Arial Narrow" w:hAnsi="Arial Narrow"/>
                <w:sz w:val="20"/>
                <w:szCs w:val="20"/>
              </w:rPr>
              <w:t>%</w:t>
            </w:r>
          </w:p>
          <w:p w:rsidR="00B65247" w:rsidRPr="00B65247" w:rsidRDefault="00B65247" w:rsidP="00B65247">
            <w:pPr>
              <w:keepNext/>
              <w:keepLines/>
              <w:widowControl/>
              <w:jc w:val="center"/>
              <w:rPr>
                <w:rFonts w:ascii="Arial Narrow" w:hAnsi="Arial Narrow"/>
                <w:sz w:val="20"/>
                <w:szCs w:val="20"/>
              </w:rPr>
            </w:pPr>
            <w:r w:rsidRPr="00B65247">
              <w:rPr>
                <w:rFonts w:ascii="Arial Narrow" w:hAnsi="Arial Narrow"/>
                <w:sz w:val="20"/>
                <w:szCs w:val="20"/>
              </w:rPr>
              <w:t xml:space="preserve">Year 3: </w:t>
            </w:r>
            <w:r w:rsidR="00B07B22">
              <w:rPr>
                <w:rFonts w:ascii="Arial Narrow" w:hAnsi="Arial Narrow"/>
                <w:noProof/>
                <w:color w:val="000000"/>
                <w:sz w:val="20"/>
                <w:szCs w:val="20"/>
                <w:highlight w:val="black"/>
              </w:rPr>
              <w:t>'''''''</w:t>
            </w:r>
            <w:r w:rsidRPr="00B65247">
              <w:rPr>
                <w:rFonts w:ascii="Arial Narrow" w:hAnsi="Arial Narrow"/>
                <w:sz w:val="20"/>
                <w:szCs w:val="20"/>
              </w:rPr>
              <w:t>%</w:t>
            </w:r>
          </w:p>
          <w:p w:rsidR="00B65247" w:rsidRPr="00B65247" w:rsidRDefault="00B65247" w:rsidP="00B65247">
            <w:pPr>
              <w:keepNext/>
              <w:keepLines/>
              <w:widowControl/>
              <w:jc w:val="center"/>
              <w:rPr>
                <w:rFonts w:ascii="Arial Narrow" w:hAnsi="Arial Narrow"/>
                <w:sz w:val="20"/>
                <w:szCs w:val="20"/>
              </w:rPr>
            </w:pPr>
            <w:r w:rsidRPr="00B65247">
              <w:rPr>
                <w:rFonts w:ascii="Arial Narrow" w:hAnsi="Arial Narrow"/>
                <w:sz w:val="20"/>
                <w:szCs w:val="20"/>
              </w:rPr>
              <w:t xml:space="preserve">Year 4: </w:t>
            </w:r>
            <w:r w:rsidR="00B07B22">
              <w:rPr>
                <w:rFonts w:ascii="Arial Narrow" w:hAnsi="Arial Narrow"/>
                <w:noProof/>
                <w:color w:val="000000"/>
                <w:sz w:val="20"/>
                <w:szCs w:val="20"/>
                <w:highlight w:val="black"/>
              </w:rPr>
              <w:t>'''''''</w:t>
            </w:r>
            <w:r w:rsidRPr="00B65247">
              <w:rPr>
                <w:rFonts w:ascii="Arial Narrow" w:hAnsi="Arial Narrow"/>
                <w:sz w:val="20"/>
                <w:szCs w:val="20"/>
              </w:rPr>
              <w:t>%</w:t>
            </w:r>
          </w:p>
          <w:p w:rsidR="00B65247" w:rsidRPr="00B65247" w:rsidRDefault="00B65247" w:rsidP="00B65247">
            <w:pPr>
              <w:keepNext/>
              <w:keepLines/>
              <w:widowControl/>
              <w:jc w:val="center"/>
              <w:rPr>
                <w:rFonts w:ascii="Arial Narrow" w:hAnsi="Arial Narrow"/>
                <w:sz w:val="20"/>
                <w:szCs w:val="20"/>
              </w:rPr>
            </w:pPr>
            <w:r w:rsidRPr="00B65247">
              <w:rPr>
                <w:rFonts w:ascii="Arial Narrow" w:hAnsi="Arial Narrow"/>
                <w:sz w:val="20"/>
                <w:szCs w:val="20"/>
              </w:rPr>
              <w:t xml:space="preserve">Year 5: </w:t>
            </w:r>
            <w:r w:rsidR="00B07B22">
              <w:rPr>
                <w:rFonts w:ascii="Arial Narrow" w:hAnsi="Arial Narrow"/>
                <w:noProof/>
                <w:color w:val="000000"/>
                <w:sz w:val="20"/>
                <w:szCs w:val="20"/>
                <w:highlight w:val="black"/>
              </w:rPr>
              <w:t>'''''</w:t>
            </w:r>
            <w:r w:rsidRPr="00B65247">
              <w:rPr>
                <w:rFonts w:ascii="Arial Narrow" w:hAnsi="Arial Narrow"/>
                <w:sz w:val="20"/>
                <w:szCs w:val="20"/>
              </w:rPr>
              <w:t>%</w:t>
            </w:r>
          </w:p>
          <w:p w:rsidR="00B65247" w:rsidRPr="00B65247" w:rsidRDefault="00B65247" w:rsidP="00B65247">
            <w:pPr>
              <w:keepNext/>
              <w:keepLines/>
              <w:widowControl/>
              <w:jc w:val="center"/>
              <w:rPr>
                <w:rFonts w:ascii="Arial Narrow" w:hAnsi="Arial Narrow"/>
                <w:sz w:val="20"/>
                <w:szCs w:val="20"/>
              </w:rPr>
            </w:pPr>
            <w:r w:rsidRPr="00B65247">
              <w:rPr>
                <w:rFonts w:ascii="Arial Narrow" w:hAnsi="Arial Narrow"/>
                <w:sz w:val="20"/>
                <w:szCs w:val="20"/>
              </w:rPr>
              <w:t>Year 6+:</w:t>
            </w:r>
            <w:r w:rsidR="00B07B22">
              <w:rPr>
                <w:rFonts w:ascii="Arial Narrow" w:hAnsi="Arial Narrow"/>
                <w:noProof/>
                <w:color w:val="000000"/>
                <w:sz w:val="20"/>
                <w:szCs w:val="20"/>
                <w:highlight w:val="black"/>
              </w:rPr>
              <w:t xml:space="preserve"> ''</w:t>
            </w:r>
          </w:p>
        </w:tc>
        <w:tc>
          <w:tcPr>
            <w:tcW w:w="1080" w:type="pct"/>
            <w:vAlign w:val="center"/>
          </w:tcPr>
          <w:p w:rsidR="00B65247" w:rsidRPr="00B65247" w:rsidRDefault="00B65247" w:rsidP="00B65247">
            <w:pPr>
              <w:keepNext/>
              <w:keepLines/>
              <w:widowControl/>
              <w:jc w:val="center"/>
              <w:rPr>
                <w:rFonts w:ascii="Arial Narrow" w:hAnsi="Arial Narrow"/>
                <w:sz w:val="20"/>
                <w:szCs w:val="20"/>
                <w:vertAlign w:val="superscript"/>
              </w:rPr>
            </w:pPr>
            <w:r w:rsidRPr="00B65247">
              <w:rPr>
                <w:rFonts w:ascii="Arial Narrow" w:hAnsi="Arial Narrow"/>
                <w:sz w:val="20"/>
                <w:szCs w:val="20"/>
              </w:rPr>
              <w:t xml:space="preserve">Year 1: </w:t>
            </w:r>
            <w:r w:rsidR="00B07B22">
              <w:rPr>
                <w:rFonts w:ascii="Arial Narrow" w:hAnsi="Arial Narrow"/>
                <w:noProof/>
                <w:color w:val="000000"/>
                <w:sz w:val="20"/>
                <w:szCs w:val="20"/>
                <w:highlight w:val="black"/>
              </w:rPr>
              <w:t>''''''</w:t>
            </w:r>
            <w:r w:rsidRPr="00B65247">
              <w:rPr>
                <w:rFonts w:ascii="Arial Narrow" w:hAnsi="Arial Narrow"/>
                <w:sz w:val="20"/>
                <w:szCs w:val="20"/>
              </w:rPr>
              <w:t>%</w:t>
            </w:r>
            <w:r w:rsidRPr="00B65247">
              <w:rPr>
                <w:rFonts w:ascii="Arial Narrow" w:hAnsi="Arial Narrow"/>
                <w:sz w:val="20"/>
                <w:szCs w:val="20"/>
                <w:vertAlign w:val="superscript"/>
              </w:rPr>
              <w:t>i</w:t>
            </w:r>
          </w:p>
          <w:p w:rsidR="00B65247" w:rsidRPr="00B65247" w:rsidRDefault="00B65247" w:rsidP="00B65247">
            <w:pPr>
              <w:keepNext/>
              <w:keepLines/>
              <w:widowControl/>
              <w:jc w:val="center"/>
              <w:rPr>
                <w:rFonts w:ascii="Arial Narrow" w:hAnsi="Arial Narrow"/>
                <w:sz w:val="20"/>
                <w:szCs w:val="20"/>
              </w:rPr>
            </w:pPr>
            <w:r w:rsidRPr="00B65247">
              <w:rPr>
                <w:rFonts w:ascii="Arial Narrow" w:hAnsi="Arial Narrow"/>
                <w:sz w:val="20"/>
                <w:szCs w:val="20"/>
              </w:rPr>
              <w:t xml:space="preserve">Year 2: </w:t>
            </w:r>
            <w:r w:rsidR="00B07B22">
              <w:rPr>
                <w:rFonts w:ascii="Arial Narrow" w:hAnsi="Arial Narrow"/>
                <w:noProof/>
                <w:color w:val="000000"/>
                <w:sz w:val="20"/>
                <w:szCs w:val="20"/>
                <w:highlight w:val="black"/>
              </w:rPr>
              <w:t>''''''</w:t>
            </w:r>
            <w:r w:rsidRPr="00B65247">
              <w:rPr>
                <w:rFonts w:ascii="Arial Narrow" w:hAnsi="Arial Narrow"/>
                <w:sz w:val="20"/>
                <w:szCs w:val="20"/>
              </w:rPr>
              <w:t>%</w:t>
            </w:r>
          </w:p>
          <w:p w:rsidR="00B65247" w:rsidRPr="00B65247" w:rsidRDefault="00B65247" w:rsidP="00B65247">
            <w:pPr>
              <w:keepNext/>
              <w:keepLines/>
              <w:widowControl/>
              <w:jc w:val="center"/>
              <w:rPr>
                <w:rFonts w:ascii="Arial Narrow" w:hAnsi="Arial Narrow"/>
                <w:sz w:val="20"/>
                <w:szCs w:val="20"/>
              </w:rPr>
            </w:pPr>
            <w:r w:rsidRPr="00B65247">
              <w:rPr>
                <w:rFonts w:ascii="Arial Narrow" w:hAnsi="Arial Narrow"/>
                <w:sz w:val="20"/>
                <w:szCs w:val="20"/>
              </w:rPr>
              <w:t xml:space="preserve">Year 3: </w:t>
            </w:r>
            <w:r w:rsidR="00B07B22">
              <w:rPr>
                <w:rFonts w:ascii="Arial Narrow" w:hAnsi="Arial Narrow"/>
                <w:noProof/>
                <w:color w:val="000000"/>
                <w:sz w:val="20"/>
                <w:szCs w:val="20"/>
                <w:highlight w:val="black"/>
              </w:rPr>
              <w:t>''''''</w:t>
            </w:r>
            <w:r w:rsidRPr="00B65247">
              <w:rPr>
                <w:rFonts w:ascii="Arial Narrow" w:hAnsi="Arial Narrow"/>
                <w:sz w:val="20"/>
                <w:szCs w:val="20"/>
              </w:rPr>
              <w:t>%</w:t>
            </w:r>
          </w:p>
          <w:p w:rsidR="00B65247" w:rsidRPr="00B65247" w:rsidRDefault="00B65247" w:rsidP="00B65247">
            <w:pPr>
              <w:keepNext/>
              <w:keepLines/>
              <w:widowControl/>
              <w:jc w:val="center"/>
              <w:rPr>
                <w:rFonts w:ascii="Arial Narrow" w:hAnsi="Arial Narrow"/>
                <w:sz w:val="20"/>
                <w:szCs w:val="20"/>
              </w:rPr>
            </w:pPr>
            <w:r w:rsidRPr="00B65247">
              <w:rPr>
                <w:rFonts w:ascii="Arial Narrow" w:hAnsi="Arial Narrow"/>
                <w:sz w:val="20"/>
                <w:szCs w:val="20"/>
              </w:rPr>
              <w:t xml:space="preserve">Year 4: </w:t>
            </w:r>
            <w:r w:rsidR="00B07B22">
              <w:rPr>
                <w:rFonts w:ascii="Arial Narrow" w:hAnsi="Arial Narrow"/>
                <w:noProof/>
                <w:color w:val="000000"/>
                <w:sz w:val="20"/>
                <w:szCs w:val="20"/>
                <w:highlight w:val="black"/>
              </w:rPr>
              <w:t>''''''</w:t>
            </w:r>
            <w:r w:rsidRPr="00B65247">
              <w:rPr>
                <w:rFonts w:ascii="Arial Narrow" w:hAnsi="Arial Narrow"/>
                <w:sz w:val="20"/>
                <w:szCs w:val="20"/>
              </w:rPr>
              <w:t>%</w:t>
            </w:r>
          </w:p>
          <w:p w:rsidR="00B65247" w:rsidRPr="00B65247" w:rsidRDefault="00B65247" w:rsidP="00B65247">
            <w:pPr>
              <w:keepNext/>
              <w:keepLines/>
              <w:widowControl/>
              <w:jc w:val="center"/>
              <w:rPr>
                <w:rFonts w:ascii="Arial Narrow" w:hAnsi="Arial Narrow"/>
                <w:sz w:val="20"/>
                <w:szCs w:val="20"/>
              </w:rPr>
            </w:pPr>
            <w:r w:rsidRPr="00B65247">
              <w:rPr>
                <w:rFonts w:ascii="Arial Narrow" w:hAnsi="Arial Narrow"/>
                <w:sz w:val="20"/>
                <w:szCs w:val="20"/>
              </w:rPr>
              <w:t xml:space="preserve">Year 5: </w:t>
            </w:r>
            <w:r w:rsidR="00B07B22">
              <w:rPr>
                <w:rFonts w:ascii="Arial Narrow" w:hAnsi="Arial Narrow"/>
                <w:noProof/>
                <w:color w:val="000000"/>
                <w:sz w:val="20"/>
                <w:szCs w:val="20"/>
                <w:highlight w:val="black"/>
              </w:rPr>
              <w:t>'''''''</w:t>
            </w:r>
            <w:r w:rsidRPr="00B65247">
              <w:rPr>
                <w:rFonts w:ascii="Arial Narrow" w:hAnsi="Arial Narrow"/>
                <w:sz w:val="20"/>
                <w:szCs w:val="20"/>
              </w:rPr>
              <w:t>%</w:t>
            </w:r>
          </w:p>
          <w:p w:rsidR="00B65247" w:rsidRPr="00B65247" w:rsidRDefault="00B65247" w:rsidP="00B65247">
            <w:pPr>
              <w:keepNext/>
              <w:keepLines/>
              <w:widowControl/>
              <w:jc w:val="center"/>
              <w:rPr>
                <w:rFonts w:ascii="Arial Narrow" w:hAnsi="Arial Narrow"/>
                <w:sz w:val="20"/>
                <w:szCs w:val="20"/>
              </w:rPr>
            </w:pPr>
            <w:r w:rsidRPr="00B65247">
              <w:rPr>
                <w:rFonts w:ascii="Arial Narrow" w:hAnsi="Arial Narrow"/>
                <w:sz w:val="20"/>
                <w:szCs w:val="20"/>
              </w:rPr>
              <w:t xml:space="preserve">Year 6: </w:t>
            </w:r>
            <w:r w:rsidR="00B07B22">
              <w:rPr>
                <w:rFonts w:ascii="Arial Narrow" w:hAnsi="Arial Narrow"/>
                <w:noProof/>
                <w:color w:val="000000"/>
                <w:sz w:val="20"/>
                <w:szCs w:val="20"/>
                <w:highlight w:val="black"/>
              </w:rPr>
              <w:t>'''''''</w:t>
            </w:r>
            <w:r w:rsidRPr="00B65247">
              <w:rPr>
                <w:rFonts w:ascii="Arial Narrow" w:hAnsi="Arial Narrow"/>
                <w:sz w:val="20"/>
                <w:szCs w:val="20"/>
              </w:rPr>
              <w:t>%</w:t>
            </w:r>
          </w:p>
        </w:tc>
      </w:tr>
      <w:tr w:rsidR="00AE69F9" w:rsidRPr="00D070E9" w:rsidTr="009D69C5">
        <w:trPr>
          <w:tblHeader/>
        </w:trPr>
        <w:tc>
          <w:tcPr>
            <w:tcW w:w="929" w:type="pct"/>
            <w:vAlign w:val="center"/>
          </w:tcPr>
          <w:p w:rsidR="00AE69F9" w:rsidRPr="00D070E9" w:rsidRDefault="00AE69F9" w:rsidP="00AE69F9">
            <w:pPr>
              <w:keepNext/>
              <w:keepLines/>
              <w:widowControl/>
              <w:rPr>
                <w:rFonts w:ascii="Arial Narrow" w:hAnsi="Arial Narrow"/>
                <w:sz w:val="20"/>
                <w:szCs w:val="20"/>
              </w:rPr>
            </w:pPr>
            <w:r w:rsidRPr="00D070E9">
              <w:rPr>
                <w:rFonts w:ascii="Arial Narrow" w:hAnsi="Arial Narrow"/>
                <w:sz w:val="20"/>
                <w:szCs w:val="20"/>
              </w:rPr>
              <w:t>Cost/patient/year</w:t>
            </w:r>
          </w:p>
        </w:tc>
        <w:tc>
          <w:tcPr>
            <w:tcW w:w="955" w:type="pct"/>
            <w:vAlign w:val="center"/>
          </w:tcPr>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w:t>
            </w:r>
          </w:p>
        </w:tc>
        <w:tc>
          <w:tcPr>
            <w:tcW w:w="955" w:type="pct"/>
            <w:vAlign w:val="center"/>
          </w:tcPr>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w:t>
            </w:r>
          </w:p>
        </w:tc>
        <w:tc>
          <w:tcPr>
            <w:tcW w:w="1081" w:type="pct"/>
            <w:vAlign w:val="center"/>
          </w:tcPr>
          <w:p w:rsidR="00AE69F9" w:rsidRPr="00D070E9" w:rsidRDefault="00AE69F9" w:rsidP="00AE69F9">
            <w:pPr>
              <w:keepNext/>
              <w:keepLines/>
              <w:widowControl/>
              <w:jc w:val="center"/>
              <w:rPr>
                <w:rFonts w:ascii="Arial Narrow" w:hAnsi="Arial Narrow"/>
                <w:sz w:val="20"/>
                <w:szCs w:val="20"/>
                <w:vertAlign w:val="superscript"/>
              </w:rPr>
            </w:pPr>
            <w:r w:rsidRPr="00D070E9">
              <w:rPr>
                <w:rFonts w:ascii="Arial Narrow" w:hAnsi="Arial Narrow"/>
                <w:sz w:val="20"/>
                <w:szCs w:val="20"/>
              </w:rPr>
              <w:t>Year 1: $</w:t>
            </w:r>
            <w:r w:rsidR="00B07B22">
              <w:rPr>
                <w:rFonts w:ascii="Arial Narrow" w:hAnsi="Arial Narrow"/>
                <w:noProof/>
                <w:color w:val="000000"/>
                <w:sz w:val="20"/>
                <w:szCs w:val="20"/>
                <w:highlight w:val="black"/>
              </w:rPr>
              <w:t xml:space="preserve">''''''''''''''''''''''' </w:t>
            </w:r>
            <w:r w:rsidRPr="00D070E9">
              <w:rPr>
                <w:rFonts w:ascii="Arial Narrow" w:hAnsi="Arial Narrow"/>
                <w:sz w:val="20"/>
                <w:szCs w:val="20"/>
                <w:vertAlign w:val="superscript"/>
              </w:rPr>
              <w:t>j</w:t>
            </w:r>
          </w:p>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Year 2: $</w:t>
            </w:r>
            <w:r w:rsidR="00B07B22">
              <w:rPr>
                <w:rFonts w:ascii="Arial Narrow" w:hAnsi="Arial Narrow"/>
                <w:noProof/>
                <w:color w:val="000000"/>
                <w:sz w:val="20"/>
                <w:szCs w:val="20"/>
                <w:highlight w:val="black"/>
              </w:rPr>
              <w:t>'''''''''''''''''''''</w:t>
            </w:r>
          </w:p>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Year 3: $</w:t>
            </w:r>
            <w:r w:rsidR="00B07B22">
              <w:rPr>
                <w:rFonts w:ascii="Arial Narrow" w:hAnsi="Arial Narrow"/>
                <w:noProof/>
                <w:color w:val="000000"/>
                <w:sz w:val="20"/>
                <w:szCs w:val="20"/>
                <w:highlight w:val="black"/>
              </w:rPr>
              <w:t>'''''''''''''''''''''''</w:t>
            </w:r>
          </w:p>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Year 4: $</w:t>
            </w:r>
            <w:r w:rsidR="00B07B22">
              <w:rPr>
                <w:rFonts w:ascii="Arial Narrow" w:hAnsi="Arial Narrow"/>
                <w:noProof/>
                <w:color w:val="000000"/>
                <w:sz w:val="20"/>
                <w:szCs w:val="20"/>
                <w:highlight w:val="black"/>
              </w:rPr>
              <w:t>''''''''''''''''''''</w:t>
            </w:r>
          </w:p>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Year 5: $</w:t>
            </w:r>
            <w:r w:rsidR="00B07B22">
              <w:rPr>
                <w:rFonts w:ascii="Arial Narrow" w:hAnsi="Arial Narrow"/>
                <w:noProof/>
                <w:color w:val="000000"/>
                <w:sz w:val="20"/>
                <w:szCs w:val="20"/>
                <w:highlight w:val="black"/>
              </w:rPr>
              <w:t>''''''''''''''''''''</w:t>
            </w:r>
          </w:p>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Year 6+: Not estimated</w:t>
            </w:r>
          </w:p>
        </w:tc>
        <w:tc>
          <w:tcPr>
            <w:tcW w:w="1080" w:type="pct"/>
            <w:vAlign w:val="center"/>
          </w:tcPr>
          <w:p w:rsidR="00AE69F9" w:rsidRPr="00D070E9" w:rsidRDefault="00AE69F9" w:rsidP="00AE69F9">
            <w:pPr>
              <w:keepNext/>
              <w:keepLines/>
              <w:widowControl/>
              <w:jc w:val="center"/>
              <w:rPr>
                <w:rFonts w:ascii="Arial Narrow" w:hAnsi="Arial Narrow"/>
                <w:sz w:val="20"/>
                <w:szCs w:val="20"/>
                <w:vertAlign w:val="superscript"/>
              </w:rPr>
            </w:pPr>
            <w:r w:rsidRPr="00D070E9">
              <w:rPr>
                <w:rFonts w:ascii="Arial Narrow" w:hAnsi="Arial Narrow"/>
                <w:sz w:val="20"/>
                <w:szCs w:val="20"/>
              </w:rPr>
              <w:t>Year 1: $</w:t>
            </w:r>
            <w:r w:rsidR="00B07B22">
              <w:rPr>
                <w:rFonts w:ascii="Arial Narrow" w:hAnsi="Arial Narrow"/>
                <w:noProof/>
                <w:color w:val="000000"/>
                <w:sz w:val="20"/>
                <w:szCs w:val="20"/>
                <w:highlight w:val="black"/>
              </w:rPr>
              <w:t>'''''''''''''''''''''</w:t>
            </w:r>
            <w:r w:rsidRPr="006F2C3B">
              <w:rPr>
                <w:rFonts w:ascii="Arial Narrow" w:hAnsi="Arial Narrow"/>
                <w:sz w:val="20"/>
                <w:szCs w:val="20"/>
                <w:vertAlign w:val="superscript"/>
              </w:rPr>
              <w:t>k</w:t>
            </w:r>
          </w:p>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Year 2: $</w:t>
            </w:r>
            <w:r w:rsidR="00B07B22">
              <w:rPr>
                <w:rFonts w:ascii="Arial Narrow" w:hAnsi="Arial Narrow"/>
                <w:noProof/>
                <w:color w:val="000000"/>
                <w:sz w:val="20"/>
                <w:szCs w:val="20"/>
                <w:highlight w:val="black"/>
              </w:rPr>
              <w:t>'''''''''''''''''''''</w:t>
            </w:r>
          </w:p>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Year 3: $</w:t>
            </w:r>
            <w:r w:rsidR="00B07B22">
              <w:rPr>
                <w:rFonts w:ascii="Arial Narrow" w:hAnsi="Arial Narrow"/>
                <w:noProof/>
                <w:color w:val="000000"/>
                <w:sz w:val="20"/>
                <w:szCs w:val="20"/>
                <w:highlight w:val="black"/>
              </w:rPr>
              <w:t>''''''''''''''''''''</w:t>
            </w:r>
          </w:p>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Year 4: $</w:t>
            </w:r>
            <w:r w:rsidR="00B07B22">
              <w:rPr>
                <w:rFonts w:ascii="Arial Narrow" w:hAnsi="Arial Narrow"/>
                <w:noProof/>
                <w:color w:val="000000"/>
                <w:sz w:val="20"/>
                <w:szCs w:val="20"/>
                <w:highlight w:val="black"/>
              </w:rPr>
              <w:t>'''''''''''''''''''''</w:t>
            </w:r>
          </w:p>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Year 5: $</w:t>
            </w:r>
            <w:r w:rsidR="00B07B22">
              <w:rPr>
                <w:rFonts w:ascii="Arial Narrow" w:hAnsi="Arial Narrow"/>
                <w:noProof/>
                <w:color w:val="000000"/>
                <w:sz w:val="20"/>
                <w:szCs w:val="20"/>
                <w:highlight w:val="black"/>
              </w:rPr>
              <w:t>'''''''''''''''''''''</w:t>
            </w:r>
          </w:p>
          <w:p w:rsidR="00AE69F9" w:rsidRPr="00D070E9" w:rsidRDefault="00AE69F9" w:rsidP="00AE69F9">
            <w:pPr>
              <w:keepNext/>
              <w:keepLines/>
              <w:widowControl/>
              <w:jc w:val="center"/>
              <w:rPr>
                <w:rFonts w:ascii="Arial Narrow" w:hAnsi="Arial Narrow"/>
                <w:sz w:val="20"/>
                <w:szCs w:val="20"/>
              </w:rPr>
            </w:pPr>
            <w:r w:rsidRPr="00D070E9">
              <w:rPr>
                <w:rFonts w:ascii="Arial Narrow" w:hAnsi="Arial Narrow"/>
                <w:sz w:val="20"/>
                <w:szCs w:val="20"/>
              </w:rPr>
              <w:t>Year 6: $</w:t>
            </w:r>
            <w:r w:rsidR="00B07B22">
              <w:rPr>
                <w:rFonts w:ascii="Arial Narrow" w:hAnsi="Arial Narrow"/>
                <w:noProof/>
                <w:color w:val="000000"/>
                <w:sz w:val="20"/>
                <w:szCs w:val="20"/>
                <w:highlight w:val="black"/>
              </w:rPr>
              <w:t>'''''''''''''''''''</w:t>
            </w:r>
          </w:p>
        </w:tc>
      </w:tr>
    </w:tbl>
    <w:p w:rsidR="00187C5E" w:rsidRDefault="00187C5E" w:rsidP="00F275C0">
      <w:pPr>
        <w:pStyle w:val="TableFooter"/>
        <w:keepNext/>
        <w:keepLines/>
        <w:widowControl/>
      </w:pPr>
      <w:r>
        <w:t>DPMQ = dispensed price for maximum quantity</w:t>
      </w:r>
    </w:p>
    <w:p w:rsidR="00504DE7" w:rsidRDefault="00504DE7" w:rsidP="00F275C0">
      <w:pPr>
        <w:pStyle w:val="TableFooter"/>
        <w:keepNext/>
        <w:keepLines/>
        <w:widowControl/>
      </w:pPr>
      <w:r>
        <w:t>Source: compiled during the evaluation</w:t>
      </w:r>
    </w:p>
    <w:p w:rsidR="00504DE7" w:rsidRPr="00AB65D7" w:rsidRDefault="00504DE7" w:rsidP="00F275C0">
      <w:pPr>
        <w:pStyle w:val="TableFooter"/>
        <w:keepNext/>
        <w:keepLines/>
        <w:widowControl/>
      </w:pPr>
      <w:r>
        <w:rPr>
          <w:vertAlign w:val="superscript"/>
        </w:rPr>
        <w:t>a</w:t>
      </w:r>
      <w:r>
        <w:t xml:space="preserve"> Based on treatment exposure data from the trial</w:t>
      </w:r>
    </w:p>
    <w:p w:rsidR="00504DE7" w:rsidRDefault="00504DE7" w:rsidP="00F275C0">
      <w:pPr>
        <w:pStyle w:val="TableFooter"/>
        <w:keepNext/>
        <w:keepLines/>
        <w:widowControl/>
      </w:pPr>
      <w:r>
        <w:rPr>
          <w:vertAlign w:val="superscript"/>
        </w:rPr>
        <w:t>b</w:t>
      </w:r>
      <w:r>
        <w:t xml:space="preserve"> Weighted across both stratum 1 (17.6 g/day, n = 220) and stratum 2 (25.2 g/day, n = 84) based on number of patients in each stratum </w:t>
      </w:r>
    </w:p>
    <w:p w:rsidR="00504DE7" w:rsidRDefault="00504DE7" w:rsidP="00F275C0">
      <w:pPr>
        <w:pStyle w:val="TableFooter"/>
        <w:keepNext/>
        <w:keepLines/>
        <w:widowControl/>
      </w:pPr>
      <w:r>
        <w:rPr>
          <w:vertAlign w:val="superscript"/>
        </w:rPr>
        <w:t>c</w:t>
      </w:r>
      <w:r>
        <w:t xml:space="preserve"> Assumption</w:t>
      </w:r>
    </w:p>
    <w:p w:rsidR="00504DE7" w:rsidRDefault="00504DE7" w:rsidP="00F275C0">
      <w:pPr>
        <w:pStyle w:val="TableFooter"/>
        <w:keepNext/>
        <w:keepLines/>
        <w:widowControl/>
      </w:pPr>
      <w:r>
        <w:rPr>
          <w:vertAlign w:val="superscript"/>
        </w:rPr>
        <w:t>d</w:t>
      </w:r>
      <w:r>
        <w:t xml:space="preserve"> Assumed proportional use</w:t>
      </w:r>
    </w:p>
    <w:p w:rsidR="00504DE7" w:rsidRDefault="00504DE7" w:rsidP="00F275C0">
      <w:pPr>
        <w:pStyle w:val="TableFooter"/>
        <w:keepNext/>
        <w:keepLines/>
        <w:widowControl/>
      </w:pPr>
      <w:r>
        <w:rPr>
          <w:vertAlign w:val="superscript"/>
        </w:rPr>
        <w:t>e</w:t>
      </w:r>
      <w:r>
        <w:t xml:space="preserve"> Based on treatment exposure data </w:t>
      </w:r>
    </w:p>
    <w:p w:rsidR="00504DE7" w:rsidRDefault="00504DE7" w:rsidP="00F275C0">
      <w:pPr>
        <w:pStyle w:val="TableFooter"/>
        <w:keepNext/>
        <w:keepLines/>
        <w:widowControl/>
      </w:pPr>
      <w:r>
        <w:rPr>
          <w:vertAlign w:val="superscript"/>
        </w:rPr>
        <w:t>f</w:t>
      </w:r>
      <w:r>
        <w:t xml:space="preserve"> Based on whole trial duration (8-week treatment initiation and 44-week long term maintenance period) from AMETHYST-DN. </w:t>
      </w:r>
      <w:r w:rsidRPr="007A0881">
        <w:t>Weighted average adherence from patients in the 8.4 g and 16.8 g arms from Stratum 1 (serum K+ &gt; 5.0 to 5.5 mEq/L) and those in the 16.8 g and 25.2 g arms from Stratum 2 (serum K+ &gt; 5.5 to &lt; 6.0 mEq/L).</w:t>
      </w:r>
    </w:p>
    <w:p w:rsidR="00504DE7" w:rsidRDefault="00504DE7" w:rsidP="00F275C0">
      <w:pPr>
        <w:pStyle w:val="TableFooter"/>
        <w:keepNext/>
        <w:keepLines/>
        <w:widowControl/>
      </w:pPr>
      <w:r>
        <w:rPr>
          <w:vertAlign w:val="superscript"/>
        </w:rPr>
        <w:t>g</w:t>
      </w:r>
      <w:r>
        <w:t xml:space="preserve"> Based on proposed DPMQ for 16.8 g sachet ($</w:t>
      </w:r>
      <w:r w:rsidR="00B07B22">
        <w:rPr>
          <w:noProof/>
          <w:color w:val="000000"/>
          <w:highlight w:val="black"/>
        </w:rPr>
        <w:t>''''''''''''''''</w:t>
      </w:r>
      <w:r>
        <w:t xml:space="preserve">), adjustment for 30 day coverage per script and 96.4% adherence rate </w:t>
      </w:r>
    </w:p>
    <w:p w:rsidR="00504DE7" w:rsidRDefault="00504DE7" w:rsidP="00F275C0">
      <w:pPr>
        <w:pStyle w:val="TableFooter"/>
        <w:keepNext/>
        <w:keepLines/>
        <w:widowControl/>
      </w:pPr>
      <w:r>
        <w:rPr>
          <w:vertAlign w:val="superscript"/>
        </w:rPr>
        <w:t>h</w:t>
      </w:r>
      <w:r>
        <w:t xml:space="preserve"> Weighted monthly cost based on proposed DPMQ for 8.4 g ($</w:t>
      </w:r>
      <w:r w:rsidR="00B07B22">
        <w:rPr>
          <w:noProof/>
          <w:color w:val="000000"/>
          <w:highlight w:val="black"/>
        </w:rPr>
        <w:t>'''''''''''''''''</w:t>
      </w:r>
      <w:r>
        <w:t>) and 16.8 g ($</w:t>
      </w:r>
      <w:r w:rsidR="00B07B22">
        <w:rPr>
          <w:noProof/>
          <w:color w:val="000000"/>
          <w:highlight w:val="black"/>
        </w:rPr>
        <w:t>''''''''''''''''</w:t>
      </w:r>
      <w:r>
        <w:t>), assumed proportions of use across 8.4-25.2 g/day, 96.4% adherence rate and 100% persistence</w:t>
      </w:r>
    </w:p>
    <w:p w:rsidR="00504DE7" w:rsidRDefault="00504DE7" w:rsidP="00F275C0">
      <w:pPr>
        <w:pStyle w:val="TableFooter"/>
        <w:keepNext/>
        <w:keepLines/>
        <w:widowControl/>
      </w:pPr>
      <w:r>
        <w:rPr>
          <w:vertAlign w:val="superscript"/>
        </w:rPr>
        <w:t>i</w:t>
      </w:r>
      <w:r>
        <w:t xml:space="preserve"> Persistence estimates based on a log-normal curve fitted to AMETHYST-DN long term data. Persistence estimates were applied to the incident population in each year, starting at 70% and decreasing to specific proportions in subsequent years</w:t>
      </w:r>
    </w:p>
    <w:p w:rsidR="00504DE7" w:rsidRDefault="00504DE7" w:rsidP="00F275C0">
      <w:pPr>
        <w:pStyle w:val="TableFooter"/>
        <w:keepNext/>
        <w:keepLines/>
        <w:widowControl/>
      </w:pPr>
      <w:r>
        <w:rPr>
          <w:vertAlign w:val="superscript"/>
        </w:rPr>
        <w:t>j</w:t>
      </w:r>
      <w:r>
        <w:t xml:space="preserve"> Monthly cost multiplied by 12</w:t>
      </w:r>
    </w:p>
    <w:p w:rsidR="00504DE7" w:rsidRDefault="00504DE7" w:rsidP="00F275C0">
      <w:pPr>
        <w:pStyle w:val="TableFooter"/>
        <w:keepNext/>
        <w:keepLines/>
        <w:widowControl/>
      </w:pPr>
      <w:r>
        <w:rPr>
          <w:vertAlign w:val="superscript"/>
        </w:rPr>
        <w:t>k</w:t>
      </w:r>
      <w:r>
        <w:t xml:space="preserve"> Costs applied to incident population from Year 1, over 6 years</w:t>
      </w:r>
    </w:p>
    <w:p w:rsidR="009321DF" w:rsidRDefault="009321DF" w:rsidP="00C209C6">
      <w:pPr>
        <w:pStyle w:val="TableFooter"/>
        <w:keepNext/>
        <w:keepLines/>
        <w:widowControl/>
      </w:pPr>
    </w:p>
    <w:p w:rsidR="00B60939" w:rsidRPr="00C9624D" w:rsidRDefault="00B60939" w:rsidP="00C209C6">
      <w:pPr>
        <w:pStyle w:val="Heading2"/>
        <w:widowControl/>
      </w:pPr>
      <w:bookmarkStart w:id="15" w:name="_Toc19703824"/>
      <w:r w:rsidRPr="00C9624D">
        <w:t>Estimated PBS usage &amp; financial implications</w:t>
      </w:r>
      <w:bookmarkEnd w:id="15"/>
    </w:p>
    <w:p w:rsidR="002136E2" w:rsidRDefault="003331AA" w:rsidP="00F275C0">
      <w:pPr>
        <w:pStyle w:val="ListParagraph"/>
        <w:widowControl/>
        <w:numPr>
          <w:ilvl w:val="1"/>
          <w:numId w:val="3"/>
        </w:numPr>
        <w:spacing w:after="120"/>
      </w:pPr>
      <w:r w:rsidRPr="00E31A2B">
        <w:t>Th</w:t>
      </w:r>
      <w:r>
        <w:t>e</w:t>
      </w:r>
      <w:r w:rsidRPr="00E31A2B">
        <w:t xml:space="preserve"> </w:t>
      </w:r>
      <w:r w:rsidR="002136E2" w:rsidRPr="00E31A2B">
        <w:t xml:space="preserve">submission </w:t>
      </w:r>
      <w:r>
        <w:t>was</w:t>
      </w:r>
      <w:r w:rsidR="002136E2" w:rsidRPr="00E31A2B">
        <w:t xml:space="preserve"> considered by</w:t>
      </w:r>
      <w:r>
        <w:t xml:space="preserve"> the</w:t>
      </w:r>
      <w:r w:rsidR="002136E2" w:rsidRPr="00E31A2B">
        <w:t xml:space="preserve"> DUSC. The submission used an epidemiological approach to estimate the utilisation and financial implications of listing patiromer on the PBS</w:t>
      </w:r>
      <w:r w:rsidR="002136E2">
        <w:t>.</w:t>
      </w:r>
    </w:p>
    <w:p w:rsidR="002136E2" w:rsidRPr="00E31A2B" w:rsidRDefault="002136E2" w:rsidP="00F275C0">
      <w:pPr>
        <w:pStyle w:val="ListParagraph"/>
        <w:widowControl/>
        <w:numPr>
          <w:ilvl w:val="1"/>
          <w:numId w:val="3"/>
        </w:numPr>
        <w:spacing w:after="120"/>
      </w:pPr>
      <w:r>
        <w:t>Table 18 summarises the estimated extent of use and cost of listing patiromer on the PBS.</w:t>
      </w:r>
    </w:p>
    <w:p w:rsidR="002136E2" w:rsidRPr="00C25D9C" w:rsidRDefault="002136E2" w:rsidP="00F275C0">
      <w:pPr>
        <w:keepNext/>
        <w:keepLines/>
      </w:pPr>
      <w:r w:rsidRPr="00187C5E">
        <w:rPr>
          <w:rStyle w:val="CommentReference"/>
        </w:rPr>
        <w:lastRenderedPageBreak/>
        <w:t>Table 18: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Estimated use and financial implications"/>
      </w:tblPr>
      <w:tblGrid>
        <w:gridCol w:w="2000"/>
        <w:gridCol w:w="1156"/>
        <w:gridCol w:w="1157"/>
        <w:gridCol w:w="1157"/>
        <w:gridCol w:w="1157"/>
        <w:gridCol w:w="1157"/>
        <w:gridCol w:w="1155"/>
      </w:tblGrid>
      <w:tr w:rsidR="002136E2" w:rsidRPr="00D1078F" w:rsidTr="00D10B65">
        <w:trPr>
          <w:tblHeader/>
        </w:trPr>
        <w:tc>
          <w:tcPr>
            <w:tcW w:w="1119" w:type="pct"/>
            <w:shd w:val="clear" w:color="auto" w:fill="auto"/>
            <w:vAlign w:val="center"/>
          </w:tcPr>
          <w:p w:rsidR="002136E2" w:rsidRPr="00A02C03" w:rsidRDefault="002136E2" w:rsidP="00F275C0">
            <w:pPr>
              <w:pStyle w:val="Tabletext"/>
              <w:keepNext/>
              <w:keepLines/>
              <w:rPr>
                <w:szCs w:val="20"/>
              </w:rPr>
            </w:pPr>
          </w:p>
        </w:tc>
        <w:tc>
          <w:tcPr>
            <w:tcW w:w="647" w:type="pct"/>
            <w:shd w:val="clear" w:color="auto" w:fill="auto"/>
            <w:vAlign w:val="center"/>
          </w:tcPr>
          <w:p w:rsidR="002136E2" w:rsidRPr="00A02C03" w:rsidRDefault="002136E2" w:rsidP="00F275C0">
            <w:pPr>
              <w:pStyle w:val="Tabletext"/>
              <w:keepNext/>
              <w:keepLines/>
              <w:jc w:val="center"/>
              <w:rPr>
                <w:b/>
                <w:szCs w:val="20"/>
              </w:rPr>
            </w:pPr>
            <w:r w:rsidRPr="00A02C03">
              <w:rPr>
                <w:b/>
                <w:szCs w:val="20"/>
              </w:rPr>
              <w:t>Year 1</w:t>
            </w:r>
          </w:p>
        </w:tc>
        <w:tc>
          <w:tcPr>
            <w:tcW w:w="647" w:type="pct"/>
            <w:shd w:val="clear" w:color="auto" w:fill="auto"/>
            <w:vAlign w:val="center"/>
          </w:tcPr>
          <w:p w:rsidR="002136E2" w:rsidRPr="00A02C03" w:rsidRDefault="002136E2" w:rsidP="00F275C0">
            <w:pPr>
              <w:pStyle w:val="Tabletext"/>
              <w:keepNext/>
              <w:keepLines/>
              <w:jc w:val="center"/>
              <w:rPr>
                <w:b/>
                <w:szCs w:val="20"/>
              </w:rPr>
            </w:pPr>
            <w:r w:rsidRPr="00A02C03">
              <w:rPr>
                <w:b/>
                <w:szCs w:val="20"/>
              </w:rPr>
              <w:t>Year 2</w:t>
            </w:r>
          </w:p>
        </w:tc>
        <w:tc>
          <w:tcPr>
            <w:tcW w:w="647" w:type="pct"/>
            <w:shd w:val="clear" w:color="auto" w:fill="auto"/>
            <w:vAlign w:val="center"/>
          </w:tcPr>
          <w:p w:rsidR="002136E2" w:rsidRPr="00A02C03" w:rsidRDefault="002136E2" w:rsidP="00F275C0">
            <w:pPr>
              <w:pStyle w:val="Tabletext"/>
              <w:keepNext/>
              <w:keepLines/>
              <w:jc w:val="center"/>
              <w:rPr>
                <w:b/>
                <w:szCs w:val="20"/>
              </w:rPr>
            </w:pPr>
            <w:r w:rsidRPr="00A02C03">
              <w:rPr>
                <w:b/>
                <w:szCs w:val="20"/>
              </w:rPr>
              <w:t>Year 3</w:t>
            </w:r>
          </w:p>
        </w:tc>
        <w:tc>
          <w:tcPr>
            <w:tcW w:w="647" w:type="pct"/>
            <w:shd w:val="clear" w:color="auto" w:fill="auto"/>
            <w:vAlign w:val="center"/>
          </w:tcPr>
          <w:p w:rsidR="002136E2" w:rsidRPr="00A02C03" w:rsidRDefault="002136E2" w:rsidP="00F275C0">
            <w:pPr>
              <w:pStyle w:val="Tabletext"/>
              <w:keepNext/>
              <w:keepLines/>
              <w:jc w:val="center"/>
              <w:rPr>
                <w:b/>
                <w:szCs w:val="20"/>
              </w:rPr>
            </w:pPr>
            <w:r w:rsidRPr="00A02C03">
              <w:rPr>
                <w:b/>
                <w:szCs w:val="20"/>
              </w:rPr>
              <w:t>Year 4</w:t>
            </w:r>
          </w:p>
        </w:tc>
        <w:tc>
          <w:tcPr>
            <w:tcW w:w="647" w:type="pct"/>
            <w:shd w:val="clear" w:color="auto" w:fill="auto"/>
            <w:vAlign w:val="center"/>
          </w:tcPr>
          <w:p w:rsidR="002136E2" w:rsidRPr="00A02C03" w:rsidRDefault="002136E2" w:rsidP="00F275C0">
            <w:pPr>
              <w:pStyle w:val="Tabletext"/>
              <w:keepNext/>
              <w:keepLines/>
              <w:jc w:val="center"/>
              <w:rPr>
                <w:b/>
                <w:szCs w:val="20"/>
              </w:rPr>
            </w:pPr>
            <w:r w:rsidRPr="00A02C03">
              <w:rPr>
                <w:b/>
                <w:szCs w:val="20"/>
              </w:rPr>
              <w:t>Year 5</w:t>
            </w:r>
          </w:p>
        </w:tc>
        <w:tc>
          <w:tcPr>
            <w:tcW w:w="646" w:type="pct"/>
          </w:tcPr>
          <w:p w:rsidR="002136E2" w:rsidRPr="00A02C03" w:rsidRDefault="002136E2" w:rsidP="00F275C0">
            <w:pPr>
              <w:pStyle w:val="Tabletext"/>
              <w:keepNext/>
              <w:keepLines/>
              <w:jc w:val="center"/>
              <w:rPr>
                <w:b/>
                <w:szCs w:val="20"/>
              </w:rPr>
            </w:pPr>
            <w:r w:rsidRPr="00A02C03">
              <w:rPr>
                <w:b/>
                <w:szCs w:val="20"/>
              </w:rPr>
              <w:t>Year 6</w:t>
            </w:r>
          </w:p>
        </w:tc>
      </w:tr>
      <w:tr w:rsidR="002136E2" w:rsidRPr="00D1078F" w:rsidTr="00D10B65">
        <w:tc>
          <w:tcPr>
            <w:tcW w:w="5000" w:type="pct"/>
            <w:gridSpan w:val="7"/>
            <w:shd w:val="clear" w:color="auto" w:fill="auto"/>
            <w:vAlign w:val="center"/>
          </w:tcPr>
          <w:p w:rsidR="002136E2" w:rsidRPr="00A02C03" w:rsidRDefault="002136E2" w:rsidP="00F275C0">
            <w:pPr>
              <w:pStyle w:val="Tabletext"/>
              <w:keepNext/>
              <w:keepLines/>
              <w:rPr>
                <w:b/>
                <w:bCs/>
                <w:color w:val="000000"/>
                <w:szCs w:val="20"/>
              </w:rPr>
            </w:pPr>
            <w:r w:rsidRPr="00A02C03">
              <w:rPr>
                <w:b/>
                <w:bCs/>
                <w:color w:val="000000"/>
                <w:szCs w:val="20"/>
              </w:rPr>
              <w:t>Estimated extent of use of patiromer</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rPr>
            </w:pPr>
            <w:r w:rsidRPr="00A02C03">
              <w:rPr>
                <w:szCs w:val="20"/>
              </w:rPr>
              <w:t>Total patients treated</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6" w:type="pct"/>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rPr>
            </w:pPr>
            <w:r w:rsidRPr="00A02C03">
              <w:rPr>
                <w:szCs w:val="20"/>
              </w:rPr>
              <w:t>Scripts 8.4 g</w:t>
            </w:r>
            <w:r w:rsidRPr="00A02C03">
              <w:rPr>
                <w:szCs w:val="20"/>
                <w:vertAlign w:val="superscript"/>
              </w:rPr>
              <w:t>a</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c>
          <w:tcPr>
            <w:tcW w:w="646" w:type="pct"/>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rPr>
            </w:pPr>
            <w:r w:rsidRPr="00A02C03">
              <w:rPr>
                <w:szCs w:val="20"/>
              </w:rPr>
              <w:t>Scripts 16.8 g</w:t>
            </w:r>
            <w:r w:rsidRPr="00A02C03">
              <w:rPr>
                <w:szCs w:val="20"/>
                <w:vertAlign w:val="superscript"/>
              </w:rPr>
              <w:t>a</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c>
          <w:tcPr>
            <w:tcW w:w="646" w:type="pct"/>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 xml:space="preserve">''''''''''''''''' </w:t>
            </w:r>
          </w:p>
        </w:tc>
      </w:tr>
      <w:tr w:rsidR="002136E2" w:rsidRPr="00D1078F" w:rsidTr="00D10B65">
        <w:tc>
          <w:tcPr>
            <w:tcW w:w="5000" w:type="pct"/>
            <w:gridSpan w:val="7"/>
            <w:shd w:val="clear" w:color="auto" w:fill="auto"/>
            <w:vAlign w:val="center"/>
          </w:tcPr>
          <w:p w:rsidR="002136E2" w:rsidRPr="00A02C03" w:rsidRDefault="002136E2" w:rsidP="00F275C0">
            <w:pPr>
              <w:pStyle w:val="Tabletext"/>
              <w:keepNext/>
              <w:keepLines/>
              <w:rPr>
                <w:b/>
                <w:bCs/>
                <w:color w:val="000000"/>
                <w:szCs w:val="20"/>
              </w:rPr>
            </w:pPr>
            <w:r w:rsidRPr="00A02C03">
              <w:rPr>
                <w:b/>
                <w:bCs/>
                <w:color w:val="000000"/>
                <w:szCs w:val="20"/>
              </w:rPr>
              <w:t>Estimated financial implications of patiromer</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rPr>
            </w:pPr>
            <w:r w:rsidRPr="00A02C03">
              <w:rPr>
                <w:szCs w:val="20"/>
              </w:rPr>
              <w:t>Cost to PBS/RPBS</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6" w:type="pct"/>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rPr>
            </w:pPr>
            <w:r w:rsidRPr="00A02C03">
              <w:rPr>
                <w:szCs w:val="20"/>
              </w:rPr>
              <w:t>Copayments</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6" w:type="pct"/>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rPr>
            </w:pPr>
            <w:r w:rsidRPr="00A02C03">
              <w:rPr>
                <w:szCs w:val="20"/>
              </w:rPr>
              <w:t>Cost to PBS/RPBS less copayments</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b/>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b/>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b/>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b/>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b/>
                <w:noProof/>
                <w:color w:val="000000"/>
                <w:szCs w:val="20"/>
                <w:highlight w:val="black"/>
              </w:rPr>
              <w:t>''''''''''''''''''''''''''''</w:t>
            </w:r>
          </w:p>
        </w:tc>
        <w:tc>
          <w:tcPr>
            <w:tcW w:w="646" w:type="pct"/>
            <w:vAlign w:val="center"/>
          </w:tcPr>
          <w:p w:rsidR="002136E2" w:rsidRPr="00B07B22" w:rsidRDefault="00B07B22" w:rsidP="00F275C0">
            <w:pPr>
              <w:pStyle w:val="Tabletext"/>
              <w:keepNext/>
              <w:keepLines/>
              <w:jc w:val="center"/>
              <w:rPr>
                <w:bCs/>
                <w:color w:val="000000"/>
                <w:szCs w:val="20"/>
                <w:highlight w:val="black"/>
              </w:rPr>
            </w:pPr>
            <w:r>
              <w:rPr>
                <w:b/>
                <w:noProof/>
                <w:color w:val="000000"/>
                <w:szCs w:val="20"/>
                <w:highlight w:val="black"/>
              </w:rPr>
              <w:t>'''''''''''''''''''''''''</w:t>
            </w:r>
          </w:p>
        </w:tc>
      </w:tr>
      <w:tr w:rsidR="002136E2" w:rsidRPr="003639A6" w:rsidTr="00D10B65">
        <w:tc>
          <w:tcPr>
            <w:tcW w:w="5000" w:type="pct"/>
            <w:gridSpan w:val="7"/>
            <w:shd w:val="clear" w:color="auto" w:fill="auto"/>
            <w:vAlign w:val="center"/>
          </w:tcPr>
          <w:p w:rsidR="002136E2" w:rsidRPr="00A02C03" w:rsidRDefault="002136E2" w:rsidP="00F275C0">
            <w:pPr>
              <w:pStyle w:val="Tabletext"/>
              <w:keepNext/>
              <w:keepLines/>
              <w:rPr>
                <w:bCs/>
                <w:color w:val="000000"/>
                <w:szCs w:val="20"/>
              </w:rPr>
            </w:pPr>
            <w:r w:rsidRPr="00A02C03">
              <w:rPr>
                <w:b/>
                <w:bCs/>
                <w:color w:val="000000"/>
                <w:szCs w:val="20"/>
              </w:rPr>
              <w:t>Estimated financial implications for increased costs of RAASi medicines</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vertAlign w:val="superscript"/>
              </w:rPr>
            </w:pPr>
            <w:r w:rsidRPr="00A02C03">
              <w:rPr>
                <w:szCs w:val="20"/>
              </w:rPr>
              <w:t>Cost to PBS/RPBS</w:t>
            </w:r>
            <w:r w:rsidRPr="00A02C03">
              <w:rPr>
                <w:szCs w:val="20"/>
                <w:vertAlign w:val="superscript"/>
              </w:rPr>
              <w:t>b</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6" w:type="pct"/>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vertAlign w:val="superscript"/>
              </w:rPr>
            </w:pPr>
            <w:r w:rsidRPr="00A02C03">
              <w:rPr>
                <w:szCs w:val="20"/>
              </w:rPr>
              <w:t>Copayments</w:t>
            </w:r>
            <w:r w:rsidRPr="00A02C03">
              <w:rPr>
                <w:szCs w:val="20"/>
                <w:vertAlign w:val="superscript"/>
              </w:rPr>
              <w:t>c</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6" w:type="pct"/>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rPr>
            </w:pPr>
            <w:r w:rsidRPr="00A02C03">
              <w:rPr>
                <w:szCs w:val="20"/>
              </w:rPr>
              <w:t>Cost to PBS/RPBS less copayments</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6" w:type="pct"/>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r>
      <w:tr w:rsidR="002136E2" w:rsidRPr="00FC22AB" w:rsidTr="00D10B65">
        <w:tc>
          <w:tcPr>
            <w:tcW w:w="5000" w:type="pct"/>
            <w:gridSpan w:val="7"/>
            <w:shd w:val="clear" w:color="auto" w:fill="auto"/>
            <w:vAlign w:val="center"/>
          </w:tcPr>
          <w:p w:rsidR="002136E2" w:rsidRPr="00A02C03" w:rsidRDefault="002136E2" w:rsidP="00F275C0">
            <w:pPr>
              <w:pStyle w:val="Tabletext"/>
              <w:keepNext/>
              <w:keepLines/>
              <w:rPr>
                <w:b/>
                <w:bCs/>
                <w:color w:val="000000"/>
                <w:szCs w:val="20"/>
              </w:rPr>
            </w:pPr>
            <w:r w:rsidRPr="00A02C03">
              <w:rPr>
                <w:b/>
                <w:bCs/>
                <w:color w:val="000000"/>
                <w:szCs w:val="20"/>
              </w:rPr>
              <w:t>Net financial implications</w:t>
            </w:r>
            <w:r w:rsidRPr="00A02C03">
              <w:rPr>
                <w:b/>
                <w:bCs/>
                <w:color w:val="4BACC6" w:themeColor="accent5"/>
                <w:szCs w:val="20"/>
              </w:rPr>
              <w:t xml:space="preserve"> </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rPr>
            </w:pPr>
            <w:r w:rsidRPr="00A02C03">
              <w:rPr>
                <w:szCs w:val="20"/>
              </w:rPr>
              <w:t>Net cost to PBS/RPBS</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6" w:type="pct"/>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rPr>
            </w:pPr>
            <w:r w:rsidRPr="00A02C03">
              <w:rPr>
                <w:szCs w:val="20"/>
              </w:rPr>
              <w:t>Copayments</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6" w:type="pct"/>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r>
      <w:tr w:rsidR="002136E2" w:rsidRPr="003639A6" w:rsidTr="00D10B65">
        <w:tc>
          <w:tcPr>
            <w:tcW w:w="1119" w:type="pct"/>
            <w:shd w:val="clear" w:color="auto" w:fill="auto"/>
            <w:vAlign w:val="center"/>
          </w:tcPr>
          <w:p w:rsidR="002136E2" w:rsidRPr="00A02C03" w:rsidRDefault="002136E2" w:rsidP="00F275C0">
            <w:pPr>
              <w:pStyle w:val="Tabletext"/>
              <w:keepNext/>
              <w:keepLines/>
              <w:rPr>
                <w:szCs w:val="20"/>
              </w:rPr>
            </w:pPr>
            <w:r w:rsidRPr="00A02C03">
              <w:rPr>
                <w:szCs w:val="20"/>
              </w:rPr>
              <w:t>Cost to PBS/RPBS less copayments</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7" w:type="pct"/>
            <w:shd w:val="clear" w:color="auto" w:fill="auto"/>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c>
          <w:tcPr>
            <w:tcW w:w="646" w:type="pct"/>
            <w:vAlign w:val="center"/>
          </w:tcPr>
          <w:p w:rsidR="002136E2" w:rsidRPr="00B07B22" w:rsidRDefault="00B07B22" w:rsidP="00F275C0">
            <w:pPr>
              <w:pStyle w:val="Tabletext"/>
              <w:keepNext/>
              <w:keepLines/>
              <w:jc w:val="center"/>
              <w:rPr>
                <w:bCs/>
                <w:color w:val="000000"/>
                <w:szCs w:val="20"/>
                <w:highlight w:val="black"/>
              </w:rPr>
            </w:pPr>
            <w:r>
              <w:rPr>
                <w:noProof/>
                <w:color w:val="000000"/>
                <w:szCs w:val="20"/>
                <w:highlight w:val="black"/>
              </w:rPr>
              <w:t>''''''''''''''''''''''''''''''''</w:t>
            </w:r>
          </w:p>
        </w:tc>
      </w:tr>
    </w:tbl>
    <w:p w:rsidR="002136E2" w:rsidRDefault="002136E2" w:rsidP="00F275C0">
      <w:pPr>
        <w:pStyle w:val="TableFooter"/>
        <w:keepNext/>
        <w:keepLines/>
      </w:pPr>
      <w:r>
        <w:t>CKD</w:t>
      </w:r>
      <w:r w:rsidR="00187C5E">
        <w:t xml:space="preserve"> =</w:t>
      </w:r>
      <w:r>
        <w:t xml:space="preserve"> chronic kidney disease; </w:t>
      </w:r>
      <w:r w:rsidR="00187C5E">
        <w:t>DPMQ = dispensed price for maximum quantity; PBS = Pharmaceutical Benefits Scheme; RPBS = Repatriation Pharmaceutical Benefits Scheme</w:t>
      </w:r>
    </w:p>
    <w:p w:rsidR="00187C5E" w:rsidRPr="00AF2305" w:rsidRDefault="00187C5E" w:rsidP="00F275C0">
      <w:pPr>
        <w:pStyle w:val="TableFooter"/>
        <w:keepNext/>
        <w:keepLines/>
      </w:pPr>
      <w:r>
        <w:t xml:space="preserve">Source: Table 4-2, p130; Table 4-4, p131; Table </w:t>
      </w:r>
      <w:r w:rsidRPr="00AF2305">
        <w:t>4-6, p133 of the submission; Section 4 Excel spreadsheet.</w:t>
      </w:r>
    </w:p>
    <w:p w:rsidR="002136E2" w:rsidRDefault="002136E2" w:rsidP="00F275C0">
      <w:pPr>
        <w:pStyle w:val="TableFooter"/>
        <w:keepNext/>
        <w:keepLines/>
      </w:pPr>
      <w:r w:rsidRPr="00AF2305">
        <w:rPr>
          <w:vertAlign w:val="superscript"/>
        </w:rPr>
        <w:t>a</w:t>
      </w:r>
      <w:r w:rsidRPr="00AF2305">
        <w:t xml:space="preserve"> Total scripts calculated based on proportional use of </w:t>
      </w:r>
      <w:r w:rsidR="00B07B22">
        <w:rPr>
          <w:noProof/>
          <w:color w:val="000000"/>
          <w:highlight w:val="black"/>
        </w:rPr>
        <w:t>''''''</w:t>
      </w:r>
      <w:r w:rsidR="00AF2305" w:rsidRPr="00AF2305">
        <w:t xml:space="preserve">% 8.4 g, </w:t>
      </w:r>
      <w:r w:rsidR="00B07B22">
        <w:rPr>
          <w:noProof/>
          <w:color w:val="000000"/>
          <w:highlight w:val="black"/>
        </w:rPr>
        <w:t>''''''</w:t>
      </w:r>
      <w:r w:rsidR="00AF2305" w:rsidRPr="00AF2305">
        <w:t xml:space="preserve">% 16.8g, and </w:t>
      </w:r>
      <w:r w:rsidR="00B07B22">
        <w:rPr>
          <w:noProof/>
          <w:color w:val="000000"/>
          <w:highlight w:val="black"/>
        </w:rPr>
        <w:t>''''''</w:t>
      </w:r>
      <w:r w:rsidR="00AF2305" w:rsidRPr="00AF2305">
        <w:t xml:space="preserve">% 25.2 g  </w:t>
      </w:r>
      <w:r w:rsidRPr="00AF2305">
        <w:t>(made</w:t>
      </w:r>
      <w:r>
        <w:t xml:space="preserve"> up of one 8.4g and one 16.8g sachet), and incorporating an adherence rate of 96.4%</w:t>
      </w:r>
    </w:p>
    <w:p w:rsidR="002136E2" w:rsidRDefault="002136E2" w:rsidP="00F275C0">
      <w:pPr>
        <w:pStyle w:val="TableFooter"/>
        <w:keepNext/>
        <w:keepLines/>
      </w:pPr>
      <w:r>
        <w:rPr>
          <w:vertAlign w:val="superscript"/>
        </w:rPr>
        <w:t>b</w:t>
      </w:r>
      <w:r>
        <w:t xml:space="preserve"> Cost were based on DMPQ for each medicine as follows: perindopril 2 mg, $13.02; perindopril 8 mg, $15.86; perindopril 5 mg + amlodipine 5 mg, $15.23; perindopril 10 mg + amlodipine 10 mg, $17.44; irbesartan 150 mg, $13.32; irbesartan 300 mg, $15.17; irbesartan 150 mg + HCT 12.5 mg, $13.59; irbesartan 300 mg + HCT 25 mg, $15.69</w:t>
      </w:r>
    </w:p>
    <w:p w:rsidR="002136E2" w:rsidRDefault="002136E2" w:rsidP="00F275C0">
      <w:pPr>
        <w:pStyle w:val="TableFooter"/>
        <w:keepNext/>
        <w:keepLines/>
        <w:rPr>
          <w:rStyle w:val="CommentReference"/>
        </w:rPr>
      </w:pPr>
      <w:r>
        <w:rPr>
          <w:vertAlign w:val="superscript"/>
        </w:rPr>
        <w:t xml:space="preserve">c </w:t>
      </w:r>
      <w:r>
        <w:t>Weighted average PBS co-payment $5.81; RPBS co-payment $5.35</w:t>
      </w:r>
    </w:p>
    <w:p w:rsidR="002136E2" w:rsidRPr="00C25D9C" w:rsidRDefault="002136E2" w:rsidP="002136E2">
      <w:pPr>
        <w:widowControl/>
      </w:pPr>
    </w:p>
    <w:p w:rsidR="002136E2" w:rsidRDefault="002136E2" w:rsidP="00F275C0">
      <w:pPr>
        <w:pStyle w:val="ListParagraph"/>
        <w:widowControl/>
        <w:numPr>
          <w:ilvl w:val="1"/>
          <w:numId w:val="3"/>
        </w:numPr>
        <w:spacing w:after="120"/>
      </w:pPr>
      <w:r w:rsidRPr="00D75465">
        <w:t xml:space="preserve">The net cost of listing patiromer was estimated at </w:t>
      </w:r>
      <w:r w:rsidR="00B77F2E">
        <w:t>$20 - $30</w:t>
      </w:r>
      <w:r w:rsidRPr="00D75465">
        <w:t xml:space="preserve"> million in Year 1, increasing to </w:t>
      </w:r>
      <w:r w:rsidR="00B77F2E">
        <w:t xml:space="preserve">more than $100 </w:t>
      </w:r>
      <w:r w:rsidRPr="00D75465">
        <w:t xml:space="preserve">million in Year 6, a cumulative total of </w:t>
      </w:r>
      <w:r w:rsidR="00B77F2E">
        <w:t>more than $100</w:t>
      </w:r>
      <w:r w:rsidRPr="00D75465">
        <w:t xml:space="preserve"> million over the first 6 years of listing. The submission argued that the additional costs would be offset by significant benefit to patients and the broader health system, captured in the economic evaluation.</w:t>
      </w:r>
    </w:p>
    <w:p w:rsidR="002136E2" w:rsidRPr="002136E2" w:rsidRDefault="002136E2" w:rsidP="00F275C0">
      <w:pPr>
        <w:pStyle w:val="ListParagraph"/>
        <w:widowControl/>
        <w:numPr>
          <w:ilvl w:val="1"/>
          <w:numId w:val="3"/>
        </w:numPr>
        <w:spacing w:after="120"/>
      </w:pPr>
      <w:r w:rsidRPr="002136E2">
        <w:rPr>
          <w:snapToGrid/>
          <w:lang w:val="en-US" w:eastAsia="en-AU"/>
        </w:rPr>
        <w:t>Sensitivity analyses conducted for the submission showed that the cumulative net cost of patiromer was sensitive to changes in price, proportional split between dose strengths and compliance, but was most sensitive to changes to the uptake of patiromer and persistence with treatment.</w:t>
      </w:r>
    </w:p>
    <w:p w:rsidR="002136E2" w:rsidRPr="002136E2" w:rsidRDefault="002136E2" w:rsidP="00F275C0">
      <w:pPr>
        <w:pStyle w:val="ListParagraph"/>
        <w:numPr>
          <w:ilvl w:val="1"/>
          <w:numId w:val="3"/>
        </w:numPr>
        <w:spacing w:after="120"/>
      </w:pPr>
      <w:r w:rsidRPr="002136E2">
        <w:t xml:space="preserve">The </w:t>
      </w:r>
      <w:r w:rsidR="005A3FDF">
        <w:t xml:space="preserve">DUSC considered that </w:t>
      </w:r>
      <w:r w:rsidR="00486DF5">
        <w:t xml:space="preserve">overall </w:t>
      </w:r>
      <w:r w:rsidR="005A3FDF">
        <w:t xml:space="preserve">the </w:t>
      </w:r>
      <w:r w:rsidRPr="002136E2">
        <w:t xml:space="preserve">estimated utilisation and financial implications </w:t>
      </w:r>
      <w:r w:rsidR="00CC6ECA">
        <w:t>were underestimated</w:t>
      </w:r>
      <w:r w:rsidRPr="002136E2">
        <w:t>:</w:t>
      </w:r>
    </w:p>
    <w:p w:rsidR="002136E2" w:rsidRPr="002136E2" w:rsidRDefault="002136E2" w:rsidP="00F275C0">
      <w:pPr>
        <w:pStyle w:val="ListParagraph"/>
        <w:widowControl/>
        <w:numPr>
          <w:ilvl w:val="0"/>
          <w:numId w:val="9"/>
        </w:numPr>
        <w:spacing w:after="120"/>
        <w:ind w:left="1134"/>
      </w:pPr>
      <w:r w:rsidRPr="002136E2">
        <w:t>The assumption that the prevalence of CKD Stage 3+ has not changed since the 2011-2012 AIHW survey is not reasonable, given the prevalence of Stage 3+ CKD increased from 3.1% to 4.4% between 1999-2000 and 2011-12 (AIHW 2018), and most likely underestimated the eligible population.</w:t>
      </w:r>
    </w:p>
    <w:p w:rsidR="002136E2" w:rsidRPr="002136E2" w:rsidRDefault="00CC6ECA" w:rsidP="00F275C0">
      <w:pPr>
        <w:pStyle w:val="ListParagraph"/>
        <w:widowControl/>
        <w:numPr>
          <w:ilvl w:val="0"/>
          <w:numId w:val="9"/>
        </w:numPr>
        <w:spacing w:after="120"/>
        <w:ind w:left="1134"/>
      </w:pPr>
      <w:r>
        <w:t>Major limitations in the</w:t>
      </w:r>
      <w:r w:rsidRPr="002136E2">
        <w:t xml:space="preserve"> </w:t>
      </w:r>
      <w:r w:rsidR="002136E2" w:rsidRPr="002136E2">
        <w:t>NPS Report</w:t>
      </w:r>
      <w:r>
        <w:t xml:space="preserve"> resulting in an underestimation</w:t>
      </w:r>
      <w:r w:rsidR="002136E2" w:rsidRPr="002136E2">
        <w:t xml:space="preserve"> of the proportion of patients with CKD Stage 3+ who experienced a hyperkalaemia episod</w:t>
      </w:r>
      <w:r>
        <w:t xml:space="preserve">e. DUSC noted the exclusion of </w:t>
      </w:r>
      <w:r w:rsidR="002136E2" w:rsidRPr="002136E2">
        <w:t xml:space="preserve"> the following potentially eligible cohorts:</w:t>
      </w:r>
    </w:p>
    <w:p w:rsidR="002136E2" w:rsidRPr="002136E2" w:rsidRDefault="002136E2" w:rsidP="00F275C0">
      <w:pPr>
        <w:pStyle w:val="ListParagraph"/>
        <w:widowControl/>
        <w:numPr>
          <w:ilvl w:val="0"/>
          <w:numId w:val="23"/>
        </w:numPr>
        <w:spacing w:after="120"/>
      </w:pPr>
      <w:r w:rsidRPr="002136E2">
        <w:lastRenderedPageBreak/>
        <w:t>patients likely to be indicated for RAASi therapy, but not currently taking RAASi therapy due to intolerance related to hyperkalaemia;</w:t>
      </w:r>
    </w:p>
    <w:p w:rsidR="002136E2" w:rsidRPr="002136E2" w:rsidRDefault="002136E2" w:rsidP="00F275C0">
      <w:pPr>
        <w:pStyle w:val="ListParagraph"/>
        <w:widowControl/>
        <w:numPr>
          <w:ilvl w:val="0"/>
          <w:numId w:val="23"/>
        </w:numPr>
        <w:spacing w:after="120"/>
      </w:pPr>
      <w:r w:rsidRPr="002136E2">
        <w:t>eighty-nine percent (300,074/336,978) of patients with one or more RAASi prescription identified during the study period, but did not have an eGFR record; and</w:t>
      </w:r>
    </w:p>
    <w:p w:rsidR="002136E2" w:rsidRPr="002136E2" w:rsidRDefault="002136E2" w:rsidP="00F275C0">
      <w:pPr>
        <w:pStyle w:val="ListParagraph"/>
        <w:widowControl/>
        <w:numPr>
          <w:ilvl w:val="0"/>
          <w:numId w:val="23"/>
        </w:numPr>
        <w:spacing w:after="120"/>
      </w:pPr>
      <w:r w:rsidRPr="002136E2">
        <w:t>patients with a prior history of hyperkalaemia in the year prior to the first eligible RAASi prescription.</w:t>
      </w:r>
    </w:p>
    <w:p w:rsidR="002362FF" w:rsidRDefault="002362FF" w:rsidP="00F275C0">
      <w:pPr>
        <w:pStyle w:val="ListParagraph"/>
        <w:widowControl/>
        <w:numPr>
          <w:ilvl w:val="0"/>
          <w:numId w:val="9"/>
        </w:numPr>
        <w:spacing w:after="120"/>
        <w:ind w:left="1134"/>
      </w:pPr>
      <w:r>
        <w:t>The definition of recent hyperkalaemia used in the estimates was inconsistent with the restriction and may have underestimated the size of the eligible prevalent population.</w:t>
      </w:r>
    </w:p>
    <w:p w:rsidR="002136E2" w:rsidRPr="002136E2" w:rsidRDefault="002136E2" w:rsidP="00F275C0">
      <w:pPr>
        <w:pStyle w:val="ListParagraph"/>
        <w:widowControl/>
        <w:numPr>
          <w:ilvl w:val="0"/>
          <w:numId w:val="9"/>
        </w:numPr>
        <w:spacing w:after="120"/>
        <w:ind w:left="1134"/>
      </w:pPr>
      <w:r w:rsidRPr="002136E2">
        <w:t>The assumption that the prevalent population in the first year of listing is equivalent to 25% of the incident population from the prior year, was not reasonable, and most likely underestimated the eligible population.</w:t>
      </w:r>
    </w:p>
    <w:p w:rsidR="002136E2" w:rsidRPr="002136E2" w:rsidRDefault="002136E2" w:rsidP="00F275C0">
      <w:pPr>
        <w:pStyle w:val="ListParagraph"/>
        <w:widowControl/>
        <w:numPr>
          <w:ilvl w:val="0"/>
          <w:numId w:val="9"/>
        </w:numPr>
        <w:spacing w:after="120"/>
        <w:ind w:left="1134"/>
      </w:pPr>
      <w:r w:rsidRPr="002136E2">
        <w:t>Extrapolation of the estimated prevalent population by fitting a lognormal survival curve to 12 months of patiromer persistence data from the AMETHYST-DN study was not reasonable, given treatment persistence observed in the study with intensive monitoring is unlikely to be realised in Australian clinical practice, and most likely overestimated the prevalent population. Similarly, the estimated adherence to patiromer dose regimens derived from the AMETHYST-DN study was also overestimated.</w:t>
      </w:r>
    </w:p>
    <w:p w:rsidR="002136E2" w:rsidRPr="002136E2" w:rsidRDefault="002136E2" w:rsidP="00F275C0">
      <w:pPr>
        <w:pStyle w:val="ListParagraph"/>
        <w:widowControl/>
        <w:numPr>
          <w:ilvl w:val="0"/>
          <w:numId w:val="9"/>
        </w:numPr>
        <w:spacing w:after="120"/>
        <w:ind w:left="1134"/>
      </w:pPr>
      <w:r w:rsidRPr="002136E2">
        <w:t xml:space="preserve">Uptake of patiromer </w:t>
      </w:r>
      <w:r w:rsidR="002362FF">
        <w:t>might be higher than expected considering the unpalatable nature of resins and the perception that fewer diet and lifestyle changes would be required.</w:t>
      </w:r>
    </w:p>
    <w:p w:rsidR="002136E2" w:rsidRPr="00A910C4" w:rsidRDefault="002136E2" w:rsidP="00F275C0">
      <w:pPr>
        <w:pStyle w:val="ListParagraph"/>
        <w:widowControl/>
        <w:numPr>
          <w:ilvl w:val="0"/>
          <w:numId w:val="9"/>
        </w:numPr>
        <w:spacing w:after="120"/>
        <w:ind w:left="1134"/>
      </w:pPr>
      <w:r w:rsidRPr="002136E2">
        <w:rPr>
          <w:snapToGrid/>
          <w:lang w:val="en-US" w:eastAsia="en-AU"/>
        </w:rPr>
        <w:t>The estimated proportions of RAASi medicine use were derived using exploratory cross sectional data, from a short duration withdrawal study (OPAL-HK Part B), with small patient numbers and low serum potassium thresholds for RAASi down titration/discontinuation, and may not reflect patiromer related changes in RAASi use likely to be observed in clinical practice. The expected increase in RAASi medicine use is most likely overestimated.</w:t>
      </w:r>
    </w:p>
    <w:p w:rsidR="0004657E" w:rsidRDefault="0004657E" w:rsidP="00F275C0">
      <w:pPr>
        <w:pStyle w:val="ListParagraph"/>
        <w:numPr>
          <w:ilvl w:val="1"/>
          <w:numId w:val="3"/>
        </w:numPr>
        <w:spacing w:after="120"/>
      </w:pPr>
      <w:r>
        <w:t xml:space="preserve">The </w:t>
      </w:r>
      <w:r w:rsidRPr="002136E2">
        <w:t xml:space="preserve">DUSC noted potassium-binding resins are widely used in the hospital setting and </w:t>
      </w:r>
      <w:r>
        <w:t xml:space="preserve">suggested that </w:t>
      </w:r>
      <w:r w:rsidRPr="002136E2">
        <w:t xml:space="preserve">hospital data on the use of these agents </w:t>
      </w:r>
      <w:r>
        <w:t>c</w:t>
      </w:r>
      <w:r w:rsidRPr="002136E2">
        <w:t xml:space="preserve">ould have been used to estimate </w:t>
      </w:r>
      <w:r>
        <w:t>the potential use of patiromer.</w:t>
      </w:r>
    </w:p>
    <w:p w:rsidR="0004657E" w:rsidRPr="00EE4C73" w:rsidRDefault="0004657E" w:rsidP="00F275C0">
      <w:pPr>
        <w:pStyle w:val="Heading2"/>
        <w:keepNext/>
        <w:spacing w:after="120"/>
      </w:pPr>
      <w:bookmarkStart w:id="16" w:name="_Toc9426420"/>
      <w:r w:rsidRPr="00EE4C73">
        <w:t>Quality Use of Medicines</w:t>
      </w:r>
      <w:bookmarkEnd w:id="16"/>
    </w:p>
    <w:p w:rsidR="00E34AC7" w:rsidRDefault="006B3A90" w:rsidP="00F275C0">
      <w:pPr>
        <w:pStyle w:val="ListParagraph"/>
        <w:keepNext/>
        <w:numPr>
          <w:ilvl w:val="1"/>
          <w:numId w:val="3"/>
        </w:numPr>
        <w:spacing w:after="120"/>
      </w:pPr>
      <w:r w:rsidRPr="00365D06">
        <w:rPr>
          <w:szCs w:val="24"/>
        </w:rPr>
        <w:t>It was noted that patiromer may interfere with absorption of other medicines and should be taken at least three hours before or after other ora</w:t>
      </w:r>
      <w:r w:rsidRPr="004E3503">
        <w:t>l medications.</w:t>
      </w:r>
      <w:r>
        <w:t xml:space="preserve"> </w:t>
      </w:r>
      <w:r w:rsidRPr="00D03515">
        <w:t xml:space="preserve">The ESC </w:t>
      </w:r>
      <w:r>
        <w:t xml:space="preserve">and DUSC were concerned </w:t>
      </w:r>
      <w:r w:rsidRPr="00D03515">
        <w:t xml:space="preserve">that this would </w:t>
      </w:r>
      <w:r w:rsidR="00CC71CC">
        <w:t xml:space="preserve">potentially result in drug interactions when patiromer is co-administered with other oral drugs and </w:t>
      </w:r>
      <w:r w:rsidRPr="00D03515">
        <w:t>could result in changes in the</w:t>
      </w:r>
      <w:r w:rsidR="00CC71CC">
        <w:t>ir</w:t>
      </w:r>
      <w:r w:rsidRPr="00D03515">
        <w:t xml:space="preserve"> bioavailability.</w:t>
      </w:r>
      <w:r>
        <w:t xml:space="preserve"> </w:t>
      </w:r>
      <w:r w:rsidR="00A910C4" w:rsidRPr="002136E2">
        <w:t xml:space="preserve">While the effect in real world practice is unknown, reduced absorption of other cardiovascular and diabetes treatments may offset potential benefits to health outcomes. Complex dosage schedules (with dose separation of 3 hours) could </w:t>
      </w:r>
      <w:r w:rsidR="00A910C4" w:rsidRPr="002136E2">
        <w:lastRenderedPageBreak/>
        <w:t>decrease patient adherence to other medicines.</w:t>
      </w:r>
    </w:p>
    <w:p w:rsidR="009321DF" w:rsidRPr="009321DF" w:rsidRDefault="009321DF" w:rsidP="00F275C0">
      <w:pPr>
        <w:pStyle w:val="PBACHeading1"/>
        <w:keepNext/>
        <w:numPr>
          <w:ilvl w:val="0"/>
          <w:numId w:val="0"/>
        </w:numPr>
        <w:spacing w:after="120"/>
        <w:ind w:left="720"/>
        <w:rPr>
          <w:b w:val="0"/>
          <w:i/>
          <w:sz w:val="24"/>
        </w:rPr>
      </w:pPr>
      <w:r w:rsidRPr="009321DF">
        <w:rPr>
          <w:b w:val="0"/>
          <w:i/>
          <w:sz w:val="24"/>
        </w:rPr>
        <w:t>For more detail on PBAC’s view, see section 7 PBAC outcome.</w:t>
      </w:r>
    </w:p>
    <w:p w:rsidR="006E7BFE" w:rsidRDefault="006E7BFE" w:rsidP="002A32A6">
      <w:pPr>
        <w:pStyle w:val="PBACHeading1"/>
        <w:spacing w:before="240" w:after="120"/>
        <w:outlineLvl w:val="0"/>
      </w:pPr>
      <w:r w:rsidRPr="004F155E">
        <w:t>PBAC Outcome</w:t>
      </w:r>
    </w:p>
    <w:p w:rsidR="0045051E" w:rsidRPr="00A51893" w:rsidRDefault="002A39BE" w:rsidP="00F275C0">
      <w:pPr>
        <w:pStyle w:val="ListParagraph"/>
        <w:widowControl/>
        <w:numPr>
          <w:ilvl w:val="1"/>
          <w:numId w:val="3"/>
        </w:numPr>
        <w:spacing w:after="120"/>
        <w:rPr>
          <w:snapToGrid/>
          <w:lang w:val="en-US" w:eastAsia="en-AU"/>
        </w:rPr>
      </w:pPr>
      <w:r w:rsidRPr="002A39BE">
        <w:rPr>
          <w:snapToGrid/>
          <w:lang w:val="en-US" w:eastAsia="en-AU"/>
        </w:rPr>
        <w:t xml:space="preserve">The </w:t>
      </w:r>
      <w:r w:rsidR="004F155E">
        <w:rPr>
          <w:snapToGrid/>
          <w:lang w:val="en-US" w:eastAsia="en-AU"/>
        </w:rPr>
        <w:t>PBAC did not recommend</w:t>
      </w:r>
      <w:r w:rsidR="00C067D6">
        <w:rPr>
          <w:snapToGrid/>
          <w:lang w:val="en-US" w:eastAsia="en-AU"/>
        </w:rPr>
        <w:t xml:space="preserve"> the listing of</w:t>
      </w:r>
      <w:r w:rsidR="004F155E">
        <w:rPr>
          <w:snapToGrid/>
          <w:lang w:val="en-US" w:eastAsia="en-AU"/>
        </w:rPr>
        <w:t xml:space="preserve"> patiromer for the treatment of </w:t>
      </w:r>
      <w:r w:rsidR="004F155E">
        <w:t xml:space="preserve">hyperkalaemia in patients with CKD Stage 3+ </w:t>
      </w:r>
      <w:r w:rsidR="004F155E" w:rsidRPr="0077321C">
        <w:t xml:space="preserve">who are receiving one or more </w:t>
      </w:r>
      <w:r w:rsidR="004F155E">
        <w:t>RAASi</w:t>
      </w:r>
      <w:r w:rsidR="004F155E" w:rsidRPr="0077321C">
        <w:t xml:space="preserve"> medicines</w:t>
      </w:r>
      <w:r w:rsidR="00B86C59">
        <w:t xml:space="preserve"> (</w:t>
      </w:r>
      <w:r w:rsidR="004F155E" w:rsidRPr="0077321C">
        <w:t xml:space="preserve">or are indicated for </w:t>
      </w:r>
      <w:r w:rsidR="004F155E">
        <w:t>a RAASi medicine but are unable to tolerate this due to complications of hyperkalaemia</w:t>
      </w:r>
      <w:r w:rsidR="00B86C59">
        <w:t xml:space="preserve">), </w:t>
      </w:r>
      <w:r w:rsidR="004F155E" w:rsidRPr="0077321C">
        <w:t>have experienced a recent episode of hyperkalaemia requiring pharmacological intervention</w:t>
      </w:r>
      <w:r w:rsidR="00B86C59">
        <w:t xml:space="preserve"> and need chronic management of serum potassium in order to prevent subsequent hyperkalaemia episodes</w:t>
      </w:r>
      <w:r w:rsidR="00E43B11">
        <w:t xml:space="preserve">. The PBAC considered the </w:t>
      </w:r>
      <w:r w:rsidR="00B06FE7">
        <w:t xml:space="preserve">proposed </w:t>
      </w:r>
      <w:r w:rsidR="00E43B11">
        <w:t xml:space="preserve">population </w:t>
      </w:r>
      <w:r w:rsidR="00930C04">
        <w:t>was not adequately defined and,</w:t>
      </w:r>
      <w:r w:rsidR="00B06FE7">
        <w:t xml:space="preserve"> in order </w:t>
      </w:r>
      <w:r w:rsidR="00E43B11">
        <w:t>to target patients</w:t>
      </w:r>
      <w:r w:rsidR="00B06FE7">
        <w:t xml:space="preserve"> with the highest clinical need</w:t>
      </w:r>
      <w:r w:rsidR="00930C04">
        <w:t>, there would need to be better definition and a substantial narrowing of the eligible population</w:t>
      </w:r>
      <w:r w:rsidR="00E43B11">
        <w:t xml:space="preserve">. The PBAC also considered the </w:t>
      </w:r>
      <w:r w:rsidR="00426596">
        <w:t xml:space="preserve">ICER and financial estimates were </w:t>
      </w:r>
      <w:r w:rsidR="008A4AC0">
        <w:t xml:space="preserve">unacceptably </w:t>
      </w:r>
      <w:r w:rsidR="00B5678A">
        <w:t xml:space="preserve">high, </w:t>
      </w:r>
      <w:r w:rsidR="00426596">
        <w:t>uncertain</w:t>
      </w:r>
      <w:r w:rsidR="0050359F">
        <w:t xml:space="preserve"> and inadequately justified. </w:t>
      </w:r>
      <w:r w:rsidR="00426596">
        <w:t xml:space="preserve"> </w:t>
      </w:r>
    </w:p>
    <w:p w:rsidR="00500099" w:rsidRDefault="00500099" w:rsidP="00F275C0">
      <w:pPr>
        <w:pStyle w:val="ListParagraph"/>
        <w:widowControl/>
        <w:numPr>
          <w:ilvl w:val="1"/>
          <w:numId w:val="3"/>
        </w:numPr>
        <w:spacing w:after="120"/>
      </w:pPr>
      <w:r>
        <w:t>The PBAC considered that the submission had requested listing in a</w:t>
      </w:r>
      <w:r w:rsidRPr="006E6779">
        <w:t xml:space="preserve"> broad patient population with an unclear clinical benefit across all proposed patients</w:t>
      </w:r>
      <w:r>
        <w:t xml:space="preserve">. </w:t>
      </w:r>
      <w:r w:rsidRPr="006E6779">
        <w:t xml:space="preserve">The </w:t>
      </w:r>
      <w:r>
        <w:t>PBAC</w:t>
      </w:r>
      <w:r w:rsidRPr="006E6779">
        <w:t xml:space="preserve"> considered the population would need to be more narrowly defined to target those patients with the highest clinical need and who would most likely derive a clinically meaningly benefit from patiromer</w:t>
      </w:r>
      <w:r>
        <w:t xml:space="preserve">. </w:t>
      </w:r>
    </w:p>
    <w:p w:rsidR="00A51893" w:rsidRPr="007A6732" w:rsidRDefault="00D0469E" w:rsidP="00F275C0">
      <w:pPr>
        <w:pStyle w:val="ListParagraph"/>
        <w:widowControl/>
        <w:numPr>
          <w:ilvl w:val="1"/>
          <w:numId w:val="3"/>
        </w:numPr>
        <w:spacing w:after="120"/>
        <w:rPr>
          <w:i/>
          <w:snapToGrid/>
          <w:lang w:val="en-US" w:eastAsia="en-AU"/>
        </w:rPr>
      </w:pPr>
      <w:r w:rsidRPr="00D03515">
        <w:t xml:space="preserve">The </w:t>
      </w:r>
      <w:r>
        <w:t xml:space="preserve">PBAC agreed with the ESC and </w:t>
      </w:r>
      <w:r w:rsidRPr="00D03515">
        <w:t xml:space="preserve">considered that </w:t>
      </w:r>
      <w:r w:rsidR="00D11A91">
        <w:t>“</w:t>
      </w:r>
      <w:r w:rsidRPr="00D03515">
        <w:t>hyperkalaemia requiring active pharmacological intervention</w:t>
      </w:r>
      <w:r w:rsidR="00D11A91">
        <w:t>”</w:t>
      </w:r>
      <w:r w:rsidRPr="00D03515">
        <w:t xml:space="preserve"> </w:t>
      </w:r>
      <w:r w:rsidR="007A6732">
        <w:t>was</w:t>
      </w:r>
      <w:r w:rsidRPr="00D03515">
        <w:t xml:space="preserve"> not adequately defined within the</w:t>
      </w:r>
      <w:r w:rsidRPr="007A6732">
        <w:rPr>
          <w:i/>
        </w:rPr>
        <w:t xml:space="preserve"> </w:t>
      </w:r>
      <w:r w:rsidRPr="00D03515">
        <w:t xml:space="preserve">restriction in terms of </w:t>
      </w:r>
      <w:r w:rsidR="000138C3">
        <w:t xml:space="preserve">(i) the </w:t>
      </w:r>
      <w:r w:rsidRPr="00D03515">
        <w:t>serum potassium concentration</w:t>
      </w:r>
      <w:r w:rsidR="007F4C79">
        <w:t>,</w:t>
      </w:r>
      <w:r w:rsidR="000138C3">
        <w:t xml:space="preserve"> which requires treatment;</w:t>
      </w:r>
      <w:r w:rsidRPr="00D03515">
        <w:t xml:space="preserve"> and </w:t>
      </w:r>
      <w:r w:rsidR="000138C3">
        <w:t xml:space="preserve">(ii) </w:t>
      </w:r>
      <w:r w:rsidRPr="00D03515">
        <w:t xml:space="preserve">what was </w:t>
      </w:r>
      <w:r w:rsidR="000138C3">
        <w:t>considered to be</w:t>
      </w:r>
      <w:r w:rsidRPr="00D03515">
        <w:t xml:space="preserve"> pharmacological therapy (e.g. thiazides or loop acting diuretics may be considered a pharmacological intervention).  </w:t>
      </w:r>
    </w:p>
    <w:p w:rsidR="00FC204E" w:rsidRPr="00DB209B" w:rsidRDefault="00D11A91" w:rsidP="00F275C0">
      <w:pPr>
        <w:pStyle w:val="ListParagraph"/>
        <w:widowControl/>
        <w:numPr>
          <w:ilvl w:val="1"/>
          <w:numId w:val="3"/>
        </w:numPr>
        <w:spacing w:after="120"/>
      </w:pPr>
      <w:r w:rsidRPr="00D03515">
        <w:rPr>
          <w:rFonts w:asciiTheme="minorHAnsi" w:hAnsiTheme="minorHAnsi" w:cstheme="minorHAnsi"/>
        </w:rPr>
        <w:t xml:space="preserve">The </w:t>
      </w:r>
      <w:r>
        <w:rPr>
          <w:rFonts w:asciiTheme="minorHAnsi" w:hAnsiTheme="minorHAnsi" w:cstheme="minorHAnsi"/>
        </w:rPr>
        <w:t xml:space="preserve">PBAC noted there is no uniformly accepted serum potassium threshold for treatment of </w:t>
      </w:r>
      <w:r w:rsidR="00D24DBC">
        <w:rPr>
          <w:rFonts w:asciiTheme="minorHAnsi" w:hAnsiTheme="minorHAnsi" w:cstheme="minorHAnsi"/>
        </w:rPr>
        <w:t>hyperkalaemia</w:t>
      </w:r>
      <w:r>
        <w:rPr>
          <w:rFonts w:asciiTheme="minorHAnsi" w:hAnsiTheme="minorHAnsi" w:cstheme="minorHAnsi"/>
        </w:rPr>
        <w:t xml:space="preserve">, </w:t>
      </w:r>
      <w:r w:rsidRPr="00D03515">
        <w:rPr>
          <w:rFonts w:asciiTheme="minorHAnsi" w:hAnsiTheme="minorHAnsi" w:cstheme="minorHAnsi"/>
        </w:rPr>
        <w:t>that there are multiple treatment guidelines available</w:t>
      </w:r>
      <w:r w:rsidR="00500099">
        <w:rPr>
          <w:rFonts w:asciiTheme="minorHAnsi" w:hAnsiTheme="minorHAnsi" w:cstheme="minorHAnsi"/>
        </w:rPr>
        <w:t>,</w:t>
      </w:r>
      <w:r w:rsidRPr="00D03515">
        <w:rPr>
          <w:rFonts w:asciiTheme="minorHAnsi" w:hAnsiTheme="minorHAnsi" w:cstheme="minorHAnsi"/>
        </w:rPr>
        <w:t xml:space="preserve"> </w:t>
      </w:r>
      <w:r>
        <w:rPr>
          <w:rFonts w:asciiTheme="minorHAnsi" w:hAnsiTheme="minorHAnsi" w:cstheme="minorHAnsi"/>
        </w:rPr>
        <w:t>and</w:t>
      </w:r>
      <w:r w:rsidRPr="00D03515">
        <w:rPr>
          <w:rFonts w:asciiTheme="minorHAnsi" w:hAnsiTheme="minorHAnsi" w:cstheme="minorHAnsi"/>
        </w:rPr>
        <w:t xml:space="preserve"> that the treatment of hyperkalaemia is complex and may </w:t>
      </w:r>
      <w:r w:rsidRPr="00DB209B">
        <w:t>differ between different patient populations depending on a patient’s underlying disease and medications.</w:t>
      </w:r>
      <w:r>
        <w:t xml:space="preserve"> </w:t>
      </w:r>
      <w:r w:rsidR="00FC204E" w:rsidRPr="00FC204E">
        <w:rPr>
          <w:snapToGrid/>
          <w:lang w:val="en-US" w:eastAsia="en-AU"/>
        </w:rPr>
        <w:t>The PBAC noted</w:t>
      </w:r>
      <w:r w:rsidR="00FC204E" w:rsidRPr="00FC204E">
        <w:rPr>
          <w:rFonts w:asciiTheme="minorHAnsi" w:hAnsiTheme="minorHAnsi" w:cstheme="minorHAnsi"/>
        </w:rPr>
        <w:t xml:space="preserve"> </w:t>
      </w:r>
      <w:r>
        <w:rPr>
          <w:rFonts w:asciiTheme="minorHAnsi" w:hAnsiTheme="minorHAnsi" w:cstheme="minorHAnsi"/>
        </w:rPr>
        <w:t xml:space="preserve">that </w:t>
      </w:r>
      <w:r w:rsidRPr="004E3503">
        <w:rPr>
          <w:rFonts w:asciiTheme="minorHAnsi" w:hAnsiTheme="minorHAnsi" w:cstheme="minorHAnsi"/>
        </w:rPr>
        <w:t>Australian clinical guidelines</w:t>
      </w:r>
      <w:r w:rsidR="00500099">
        <w:rPr>
          <w:rFonts w:asciiTheme="minorHAnsi" w:hAnsiTheme="minorHAnsi" w:cstheme="minorHAnsi"/>
        </w:rPr>
        <w:t xml:space="preserve"> </w:t>
      </w:r>
      <w:r w:rsidRPr="004E3503">
        <w:rPr>
          <w:rFonts w:asciiTheme="minorHAnsi" w:hAnsiTheme="minorHAnsi" w:cstheme="minorHAnsi"/>
        </w:rPr>
        <w:t xml:space="preserve">suggest a target serum potassium of ≤ 6.0 mmol/L, </w:t>
      </w:r>
      <w:r w:rsidR="00500099">
        <w:rPr>
          <w:rFonts w:asciiTheme="minorHAnsi" w:hAnsiTheme="minorHAnsi" w:cstheme="minorHAnsi"/>
        </w:rPr>
        <w:t xml:space="preserve">with </w:t>
      </w:r>
      <w:r w:rsidRPr="004E3503">
        <w:rPr>
          <w:rFonts w:asciiTheme="minorHAnsi" w:hAnsiTheme="minorHAnsi" w:cstheme="minorHAnsi"/>
        </w:rPr>
        <w:t>dietary control as first</w:t>
      </w:r>
      <w:r w:rsidR="00500099">
        <w:rPr>
          <w:rFonts w:asciiTheme="minorHAnsi" w:hAnsiTheme="minorHAnsi" w:cstheme="minorHAnsi"/>
        </w:rPr>
        <w:t>-</w:t>
      </w:r>
      <w:r w:rsidRPr="004E3503">
        <w:rPr>
          <w:rFonts w:asciiTheme="minorHAnsi" w:hAnsiTheme="minorHAnsi" w:cstheme="minorHAnsi"/>
        </w:rPr>
        <w:t xml:space="preserve">line therapy, </w:t>
      </w:r>
      <w:r w:rsidR="00304B8B">
        <w:rPr>
          <w:rFonts w:asciiTheme="minorHAnsi" w:hAnsiTheme="minorHAnsi" w:cstheme="minorHAnsi"/>
        </w:rPr>
        <w:t>CPS or SPS</w:t>
      </w:r>
      <w:r w:rsidRPr="004E3503">
        <w:rPr>
          <w:rFonts w:asciiTheme="minorHAnsi" w:hAnsiTheme="minorHAnsi" w:cstheme="minorHAnsi"/>
        </w:rPr>
        <w:t xml:space="preserve"> resins for intermittent control of hyperkalaemia and acute intervention </w:t>
      </w:r>
      <w:r>
        <w:rPr>
          <w:rFonts w:asciiTheme="minorHAnsi" w:hAnsiTheme="minorHAnsi" w:cstheme="minorHAnsi"/>
        </w:rPr>
        <w:t xml:space="preserve">in the hospital setting </w:t>
      </w:r>
      <w:r w:rsidRPr="004E3503">
        <w:rPr>
          <w:rFonts w:asciiTheme="minorHAnsi" w:hAnsiTheme="minorHAnsi" w:cstheme="minorHAnsi"/>
        </w:rPr>
        <w:t>if serum potassium is &gt; 6.5 mmol/L (Chronic Kidney Disease Management in General Practice, KHA 2015</w:t>
      </w:r>
      <w:r w:rsidRPr="00D03515">
        <w:rPr>
          <w:rFonts w:asciiTheme="minorHAnsi" w:hAnsiTheme="minorHAnsi" w:cstheme="minorHAnsi"/>
        </w:rPr>
        <w:t>)</w:t>
      </w:r>
      <w:r w:rsidR="00500099">
        <w:rPr>
          <w:rFonts w:asciiTheme="minorHAnsi" w:hAnsiTheme="minorHAnsi" w:cstheme="minorHAnsi"/>
        </w:rPr>
        <w:t xml:space="preserve">. The PBAC considered that the Australian guidelines were </w:t>
      </w:r>
      <w:r w:rsidR="00D24DBC">
        <w:rPr>
          <w:rFonts w:asciiTheme="minorHAnsi" w:hAnsiTheme="minorHAnsi" w:cstheme="minorHAnsi"/>
        </w:rPr>
        <w:t>inconsistent with the clinical trial data, which included patients with baseline potassium levels as low as 4.3 mmol/L (PEARL-HF)</w:t>
      </w:r>
      <w:r w:rsidR="00500099">
        <w:rPr>
          <w:rFonts w:asciiTheme="minorHAnsi" w:hAnsiTheme="minorHAnsi" w:cstheme="minorHAnsi"/>
        </w:rPr>
        <w:t>,</w:t>
      </w:r>
      <w:r w:rsidR="00D24DBC">
        <w:rPr>
          <w:rFonts w:asciiTheme="minorHAnsi" w:hAnsiTheme="minorHAnsi" w:cstheme="minorHAnsi"/>
        </w:rPr>
        <w:t xml:space="preserve"> </w:t>
      </w:r>
      <w:r w:rsidR="00500099">
        <w:rPr>
          <w:rFonts w:asciiTheme="minorHAnsi" w:hAnsiTheme="minorHAnsi" w:cstheme="minorHAnsi"/>
        </w:rPr>
        <w:t>and</w:t>
      </w:r>
      <w:r w:rsidR="00D24DBC">
        <w:rPr>
          <w:rFonts w:asciiTheme="minorHAnsi" w:hAnsiTheme="minorHAnsi" w:cstheme="minorHAnsi"/>
        </w:rPr>
        <w:t xml:space="preserve"> with the economic evaluation, which assumed that all hyperkalaemi</w:t>
      </w:r>
      <w:r w:rsidR="00304B8B">
        <w:rPr>
          <w:rFonts w:asciiTheme="minorHAnsi" w:hAnsiTheme="minorHAnsi" w:cstheme="minorHAnsi"/>
        </w:rPr>
        <w:t>a</w:t>
      </w:r>
      <w:r w:rsidR="00D24DBC">
        <w:rPr>
          <w:rFonts w:asciiTheme="minorHAnsi" w:hAnsiTheme="minorHAnsi" w:cstheme="minorHAnsi"/>
        </w:rPr>
        <w:t xml:space="preserve"> episodes, defined as a serum potassium &gt; 5.5 mmol/L, would result in an emergency room visit</w:t>
      </w:r>
      <w:r w:rsidRPr="00D03515">
        <w:rPr>
          <w:rFonts w:asciiTheme="minorHAnsi" w:hAnsiTheme="minorHAnsi" w:cstheme="minorHAnsi"/>
        </w:rPr>
        <w:t>.</w:t>
      </w:r>
      <w:r w:rsidR="00D24DBC">
        <w:rPr>
          <w:rFonts w:asciiTheme="minorHAnsi" w:hAnsiTheme="minorHAnsi" w:cstheme="minorHAnsi"/>
        </w:rPr>
        <w:t xml:space="preserve"> </w:t>
      </w:r>
    </w:p>
    <w:p w:rsidR="00D24DBC" w:rsidRDefault="0000248C" w:rsidP="00F275C0">
      <w:pPr>
        <w:pStyle w:val="ListParagraph"/>
        <w:widowControl/>
        <w:numPr>
          <w:ilvl w:val="1"/>
          <w:numId w:val="3"/>
        </w:numPr>
        <w:spacing w:after="120"/>
      </w:pPr>
      <w:r>
        <w:t>The PBAC considered that any future proposed restriction would need to</w:t>
      </w:r>
      <w:r w:rsidR="000931BD">
        <w:t>:</w:t>
      </w:r>
    </w:p>
    <w:p w:rsidR="000931BD" w:rsidRDefault="00500099" w:rsidP="00F275C0">
      <w:pPr>
        <w:pStyle w:val="ListParagraph"/>
        <w:widowControl/>
        <w:numPr>
          <w:ilvl w:val="1"/>
          <w:numId w:val="20"/>
        </w:numPr>
        <w:spacing w:after="120"/>
        <w:ind w:left="1077" w:hanging="357"/>
      </w:pPr>
      <w:r>
        <w:t>c</w:t>
      </w:r>
      <w:r w:rsidR="000931BD">
        <w:t>learly defin</w:t>
      </w:r>
      <w:r>
        <w:t>e</w:t>
      </w:r>
      <w:r w:rsidR="000931BD">
        <w:t xml:space="preserve"> hyperkalaemia </w:t>
      </w:r>
      <w:r w:rsidR="006B3A90">
        <w:t>as a clinical criterion</w:t>
      </w:r>
      <w:r w:rsidR="000931BD">
        <w:t>;</w:t>
      </w:r>
    </w:p>
    <w:p w:rsidR="000931BD" w:rsidRDefault="00500099" w:rsidP="00F275C0">
      <w:pPr>
        <w:pStyle w:val="ListParagraph"/>
        <w:widowControl/>
        <w:numPr>
          <w:ilvl w:val="1"/>
          <w:numId w:val="20"/>
        </w:numPr>
        <w:spacing w:after="120"/>
        <w:ind w:left="1077" w:hanging="357"/>
      </w:pPr>
      <w:r>
        <w:lastRenderedPageBreak/>
        <w:t>r</w:t>
      </w:r>
      <w:r w:rsidR="0021102E">
        <w:t>estrict use</w:t>
      </w:r>
      <w:r w:rsidR="000931BD">
        <w:t xml:space="preserve"> to patients with CKD Stage 3 or 4</w:t>
      </w:r>
      <w:r w:rsidR="003A25A2">
        <w:t xml:space="preserve"> only</w:t>
      </w:r>
      <w:r w:rsidR="00885978">
        <w:t xml:space="preserve">. </w:t>
      </w:r>
      <w:r w:rsidR="00ED5330">
        <w:t xml:space="preserve">Patients with </w:t>
      </w:r>
      <w:r w:rsidR="000931BD">
        <w:t xml:space="preserve">end stage </w:t>
      </w:r>
      <w:r w:rsidR="00ED5330">
        <w:t xml:space="preserve">kidney </w:t>
      </w:r>
      <w:r w:rsidR="000931BD">
        <w:t>disease or those receiving dialysis</w:t>
      </w:r>
      <w:r w:rsidR="00ED5330">
        <w:t xml:space="preserve"> should not initiate or continue patiromer treatment</w:t>
      </w:r>
      <w:r w:rsidR="000931BD">
        <w:t>;</w:t>
      </w:r>
    </w:p>
    <w:p w:rsidR="0021102E" w:rsidRDefault="00500099" w:rsidP="00F275C0">
      <w:pPr>
        <w:pStyle w:val="ListParagraph"/>
        <w:widowControl/>
        <w:numPr>
          <w:ilvl w:val="1"/>
          <w:numId w:val="20"/>
        </w:numPr>
        <w:spacing w:after="120"/>
        <w:ind w:left="1077" w:hanging="357"/>
      </w:pPr>
      <w:r>
        <w:t>l</w:t>
      </w:r>
      <w:r w:rsidR="00885978">
        <w:t xml:space="preserve">imit use to </w:t>
      </w:r>
      <w:r w:rsidR="000931BD">
        <w:t xml:space="preserve">patients with chronic </w:t>
      </w:r>
      <w:r w:rsidR="00930C04">
        <w:t xml:space="preserve">or recurrent </w:t>
      </w:r>
      <w:r w:rsidR="000931BD">
        <w:t>hyperkalaemia (a</w:t>
      </w:r>
      <w:r w:rsidR="006B3A90">
        <w:t>s a</w:t>
      </w:r>
      <w:r w:rsidR="000931BD">
        <w:t xml:space="preserve"> single episode of hyperkalaemia might not represent chronic disease); </w:t>
      </w:r>
    </w:p>
    <w:p w:rsidR="0021102E" w:rsidRDefault="00500099" w:rsidP="00F275C0">
      <w:pPr>
        <w:pStyle w:val="ListParagraph"/>
        <w:widowControl/>
        <w:numPr>
          <w:ilvl w:val="1"/>
          <w:numId w:val="20"/>
        </w:numPr>
        <w:spacing w:after="120"/>
        <w:ind w:left="1077" w:hanging="357"/>
      </w:pPr>
      <w:r>
        <w:t>l</w:t>
      </w:r>
      <w:r w:rsidR="000931BD">
        <w:t xml:space="preserve">imit use to patients who </w:t>
      </w:r>
      <w:r w:rsidR="00930C04">
        <w:t xml:space="preserve">are eligible for and </w:t>
      </w:r>
      <w:r w:rsidR="00AF2613">
        <w:t>remain on</w:t>
      </w:r>
      <w:r w:rsidR="00ED5330">
        <w:t xml:space="preserve"> </w:t>
      </w:r>
      <w:r w:rsidR="000931BD">
        <w:t>RAASi</w:t>
      </w:r>
      <w:r w:rsidR="008A4AC0">
        <w:t xml:space="preserve"> therapy</w:t>
      </w:r>
      <w:r w:rsidR="0021102E">
        <w:t xml:space="preserve">; </w:t>
      </w:r>
    </w:p>
    <w:p w:rsidR="00ED5330" w:rsidRDefault="00500099" w:rsidP="00F275C0">
      <w:pPr>
        <w:pStyle w:val="ListParagraph"/>
        <w:widowControl/>
        <w:numPr>
          <w:ilvl w:val="1"/>
          <w:numId w:val="20"/>
        </w:numPr>
        <w:spacing w:after="120"/>
        <w:ind w:left="1077" w:hanging="357"/>
      </w:pPr>
      <w:r>
        <w:t>i</w:t>
      </w:r>
      <w:r w:rsidR="0021102E">
        <w:t>ncorporat</w:t>
      </w:r>
      <w:r>
        <w:t>e</w:t>
      </w:r>
      <w:r w:rsidR="0021102E">
        <w:t xml:space="preserve"> a stopping rule</w:t>
      </w:r>
      <w:r w:rsidR="00ED5330">
        <w:t>;</w:t>
      </w:r>
    </w:p>
    <w:p w:rsidR="00ED5330" w:rsidRDefault="00500099" w:rsidP="00F275C0">
      <w:pPr>
        <w:pStyle w:val="ListParagraph"/>
        <w:widowControl/>
        <w:numPr>
          <w:ilvl w:val="1"/>
          <w:numId w:val="20"/>
        </w:numPr>
        <w:spacing w:after="120"/>
        <w:ind w:left="1077" w:hanging="357"/>
      </w:pPr>
      <w:r>
        <w:t>l</w:t>
      </w:r>
      <w:r w:rsidR="00ED5330">
        <w:t xml:space="preserve">imit prescribing to </w:t>
      </w:r>
      <w:r w:rsidR="00930C04">
        <w:t xml:space="preserve">specialist </w:t>
      </w:r>
      <w:r w:rsidR="00ED5330">
        <w:t>medical practitioners; and</w:t>
      </w:r>
    </w:p>
    <w:p w:rsidR="000931BD" w:rsidRDefault="00500099" w:rsidP="00F275C0">
      <w:pPr>
        <w:pStyle w:val="ListParagraph"/>
        <w:widowControl/>
        <w:numPr>
          <w:ilvl w:val="1"/>
          <w:numId w:val="20"/>
        </w:numPr>
        <w:spacing w:after="120"/>
        <w:ind w:left="1077" w:hanging="357"/>
      </w:pPr>
      <w:r>
        <w:t>r</w:t>
      </w:r>
      <w:r w:rsidR="00ED5330">
        <w:t>equest</w:t>
      </w:r>
      <w:r>
        <w:t xml:space="preserve"> </w:t>
      </w:r>
      <w:r w:rsidR="00ED5330">
        <w:t>a restriction level of Authority Required (telephone)</w:t>
      </w:r>
      <w:r w:rsidR="000931BD">
        <w:t>.</w:t>
      </w:r>
    </w:p>
    <w:p w:rsidR="00074FB8" w:rsidRPr="001136B4" w:rsidRDefault="00B76ADE" w:rsidP="00F275C0">
      <w:pPr>
        <w:pStyle w:val="ListParagraph"/>
        <w:widowControl/>
        <w:numPr>
          <w:ilvl w:val="1"/>
          <w:numId w:val="3"/>
        </w:numPr>
        <w:spacing w:after="120"/>
      </w:pPr>
      <w:r w:rsidRPr="00DB209B">
        <w:t xml:space="preserve">The </w:t>
      </w:r>
      <w:r w:rsidR="000931BD">
        <w:t xml:space="preserve">submission nominated placebo as the primary comparator, defined in the PSCR and pre-PBAC response as a proxy for </w:t>
      </w:r>
      <w:r w:rsidR="00224E5B" w:rsidRPr="00DB209B">
        <w:t>standard of care, which incorporated guideline recommended doses of RA</w:t>
      </w:r>
      <w:r w:rsidR="000931BD">
        <w:t>A</w:t>
      </w:r>
      <w:r w:rsidR="00224E5B" w:rsidRPr="00DB209B">
        <w:t xml:space="preserve">Si medications and dietary restriction of potassium intake.  </w:t>
      </w:r>
      <w:r w:rsidR="000931BD">
        <w:t>T</w:t>
      </w:r>
      <w:r w:rsidR="00644516">
        <w:t xml:space="preserve">he PBAC </w:t>
      </w:r>
      <w:r w:rsidR="00291961">
        <w:t xml:space="preserve">considered </w:t>
      </w:r>
      <w:r w:rsidR="00FD1C0F">
        <w:t xml:space="preserve">the comparator was </w:t>
      </w:r>
      <w:r w:rsidR="00500099">
        <w:t>poorly defined</w:t>
      </w:r>
      <w:r w:rsidR="00594035">
        <w:t>,</w:t>
      </w:r>
      <w:r w:rsidR="00FD1C0F">
        <w:t xml:space="preserve"> given </w:t>
      </w:r>
      <w:r w:rsidR="0021102E">
        <w:t xml:space="preserve">the submission did not specifically discuss diet modification or medication management. </w:t>
      </w:r>
      <w:r w:rsidR="00E60036">
        <w:t>Further, t</w:t>
      </w:r>
      <w:r w:rsidR="00DB209B">
        <w:t xml:space="preserve">he PBAC </w:t>
      </w:r>
      <w:r w:rsidR="009A403D">
        <w:t>considered</w:t>
      </w:r>
      <w:r w:rsidR="00DB209B">
        <w:t xml:space="preserve"> that </w:t>
      </w:r>
      <w:r w:rsidR="00DB209B" w:rsidRPr="00D03515">
        <w:t xml:space="preserve">intermittent use of SPS </w:t>
      </w:r>
      <w:r w:rsidR="008A09D3">
        <w:t>was</w:t>
      </w:r>
      <w:r w:rsidR="00801EB1">
        <w:t xml:space="preserve"> </w:t>
      </w:r>
      <w:r w:rsidR="00E60036">
        <w:t>an</w:t>
      </w:r>
      <w:r w:rsidR="00DB209B" w:rsidRPr="00D03515">
        <w:t xml:space="preserve"> appropriate comparator.</w:t>
      </w:r>
    </w:p>
    <w:p w:rsidR="00074FB8" w:rsidRPr="004E3503" w:rsidRDefault="007855C2" w:rsidP="00F275C0">
      <w:pPr>
        <w:pStyle w:val="ListParagraph"/>
        <w:widowControl/>
        <w:numPr>
          <w:ilvl w:val="1"/>
          <w:numId w:val="3"/>
        </w:numPr>
        <w:spacing w:after="120"/>
      </w:pPr>
      <w:r>
        <w:t xml:space="preserve">The PBAC noted the evidence for patiromer was based on one </w:t>
      </w:r>
      <w:r w:rsidR="00885978">
        <w:t>P</w:t>
      </w:r>
      <w:r>
        <w:t xml:space="preserve">hase III (OPAL-HK) and two </w:t>
      </w:r>
      <w:r w:rsidR="00885978">
        <w:t>P</w:t>
      </w:r>
      <w:r>
        <w:t>hase II (PEARL-H</w:t>
      </w:r>
      <w:r w:rsidR="00105C07">
        <w:t>F</w:t>
      </w:r>
      <w:r>
        <w:t xml:space="preserve"> &amp; AMETHYST-DN)</w:t>
      </w:r>
      <w:r w:rsidR="00B544A5">
        <w:t xml:space="preserve"> </w:t>
      </w:r>
      <w:r>
        <w:t>studies of adult patients with hyperkalaemia or a recent history of hyperkalaemia.</w:t>
      </w:r>
      <w:r w:rsidRPr="009321DF">
        <w:t xml:space="preserve"> </w:t>
      </w:r>
      <w:r w:rsidR="00074FB8" w:rsidRPr="009321DF">
        <w:t>The</w:t>
      </w:r>
      <w:r w:rsidR="001136B4">
        <w:t xml:space="preserve"> PBAC</w:t>
      </w:r>
      <w:r w:rsidR="00074FB8" w:rsidRPr="009321DF">
        <w:t xml:space="preserve"> considered there was a high risk of bias</w:t>
      </w:r>
      <w:r w:rsidR="00074FB8" w:rsidRPr="004E3503">
        <w:t xml:space="preserve"> in all three clinical studies </w:t>
      </w:r>
      <w:r w:rsidR="00156DAA">
        <w:t>(</w:t>
      </w:r>
      <w:r w:rsidR="0004657E">
        <w:t xml:space="preserve">see </w:t>
      </w:r>
      <w:r w:rsidR="00156DAA">
        <w:t xml:space="preserve">paragraph </w:t>
      </w:r>
      <w:r w:rsidR="00156DAA" w:rsidRPr="00F13BC7">
        <w:t>6.8</w:t>
      </w:r>
      <w:r w:rsidR="00156DAA">
        <w:t>)</w:t>
      </w:r>
      <w:r w:rsidR="00074FB8" w:rsidRPr="004E3503">
        <w:t xml:space="preserve">. </w:t>
      </w:r>
      <w:r w:rsidR="00B8608B">
        <w:t xml:space="preserve"> The PBAC also considered there </w:t>
      </w:r>
      <w:r w:rsidR="00A37B5A">
        <w:t xml:space="preserve">were issues regarding </w:t>
      </w:r>
      <w:r w:rsidR="00B8608B">
        <w:t>the applicability of the trial results</w:t>
      </w:r>
      <w:r w:rsidR="00A1524A">
        <w:t xml:space="preserve"> to the requested PBS population</w:t>
      </w:r>
      <w:r w:rsidR="00A37B5A">
        <w:t>,</w:t>
      </w:r>
      <w:r w:rsidR="00B8608B">
        <w:t xml:space="preserve"> given the </w:t>
      </w:r>
      <w:r w:rsidR="003C745F">
        <w:t xml:space="preserve">likely </w:t>
      </w:r>
      <w:r w:rsidR="00B8608B">
        <w:t>differences</w:t>
      </w:r>
      <w:r w:rsidR="003C745F">
        <w:t xml:space="preserve"> in</w:t>
      </w:r>
      <w:r w:rsidR="00B8608B">
        <w:t xml:space="preserve">  baseline CKD </w:t>
      </w:r>
      <w:r w:rsidR="001E3425">
        <w:t>S</w:t>
      </w:r>
      <w:r w:rsidR="00B8608B">
        <w:t xml:space="preserve">tage and comorbidities, as well as substantial differences between study design and Australian clinical practice in terms of intensity of patient monitoring, patiromer/RAASi dose titration and patiromer dose strengths. </w:t>
      </w:r>
    </w:p>
    <w:p w:rsidR="005F6F30" w:rsidRDefault="005F6F30" w:rsidP="00F275C0">
      <w:pPr>
        <w:pStyle w:val="ListParagraph"/>
        <w:widowControl/>
        <w:numPr>
          <w:ilvl w:val="1"/>
          <w:numId w:val="3"/>
        </w:numPr>
        <w:spacing w:after="120"/>
      </w:pPr>
      <w:r w:rsidRPr="00D03515">
        <w:t>The</w:t>
      </w:r>
      <w:r w:rsidR="002419F7">
        <w:t xml:space="preserve"> primary outcome in the studies was mean change in serum potassium from baseline at either four weeks (OPAL-HK, part A, PEARL-HF and AMETHYST-DN) or eight weeks (OPA-HK part B and AMETHYST-DN). The</w:t>
      </w:r>
      <w:r>
        <w:t xml:space="preserve"> PBAC noted </w:t>
      </w:r>
      <w:r w:rsidR="002419F7">
        <w:t xml:space="preserve">that the mean change in serum potassium </w:t>
      </w:r>
      <w:r>
        <w:t>r</w:t>
      </w:r>
      <w:r w:rsidRPr="004E3503">
        <w:t xml:space="preserve">esults generally statistically favoured patiromer, but varied in magnitude between </w:t>
      </w:r>
      <w:r w:rsidR="002419F7">
        <w:t xml:space="preserve">the </w:t>
      </w:r>
      <w:r w:rsidRPr="004E3503">
        <w:t xml:space="preserve">studies. </w:t>
      </w:r>
      <w:r>
        <w:t xml:space="preserve">The PBAC </w:t>
      </w:r>
      <w:r w:rsidR="00DF0687">
        <w:t xml:space="preserve">noted </w:t>
      </w:r>
      <w:r w:rsidRPr="00D03515">
        <w:t>that</w:t>
      </w:r>
      <w:r>
        <w:t xml:space="preserve"> </w:t>
      </w:r>
      <w:r w:rsidR="002419F7">
        <w:t xml:space="preserve">although </w:t>
      </w:r>
      <w:r>
        <w:t>patiromer appeared to lower serum potassium levels,</w:t>
      </w:r>
      <w:r w:rsidRPr="00D03515">
        <w:t xml:space="preserve"> the</w:t>
      </w:r>
      <w:r w:rsidR="002419F7">
        <w:t xml:space="preserve"> </w:t>
      </w:r>
      <w:r w:rsidR="00961FA6">
        <w:t xml:space="preserve">PBAC </w:t>
      </w:r>
      <w:r w:rsidR="00044695">
        <w:t>considered that the clinical relevance of the observed changes was unknown.</w:t>
      </w:r>
      <w:r w:rsidR="00961FA6">
        <w:t xml:space="preserve"> In addition, the </w:t>
      </w:r>
      <w:r w:rsidR="002419F7">
        <w:t xml:space="preserve">submission did not nominate a MCID, </w:t>
      </w:r>
      <w:r w:rsidR="001700B9">
        <w:t xml:space="preserve">further </w:t>
      </w:r>
      <w:r w:rsidR="00521788">
        <w:t xml:space="preserve">limiting the interpretability and assessment of </w:t>
      </w:r>
      <w:r w:rsidR="00044695">
        <w:t xml:space="preserve">the </w:t>
      </w:r>
      <w:r w:rsidR="00521788">
        <w:t>clinical relevance of the resu</w:t>
      </w:r>
      <w:r w:rsidR="00F461E8">
        <w:t>l</w:t>
      </w:r>
      <w:r w:rsidR="00521788">
        <w:t>t</w:t>
      </w:r>
      <w:r w:rsidR="00F461E8">
        <w:t>s</w:t>
      </w:r>
      <w:r w:rsidR="002419F7">
        <w:t xml:space="preserve">. The PBAC considered that the use of the MDD had no plausible links to clinical outcomes or adverse events. </w:t>
      </w:r>
      <w:r w:rsidRPr="00D03515">
        <w:t xml:space="preserve"> </w:t>
      </w:r>
      <w:r w:rsidR="002419F7">
        <w:t xml:space="preserve">In addition, the PBAC </w:t>
      </w:r>
      <w:r w:rsidR="001464EB">
        <w:t xml:space="preserve">noted </w:t>
      </w:r>
      <w:r w:rsidR="002419F7">
        <w:t xml:space="preserve">that the </w:t>
      </w:r>
      <w:r w:rsidRPr="00D03515">
        <w:t>data presented w</w:t>
      </w:r>
      <w:r w:rsidR="002419F7">
        <w:t>ere</w:t>
      </w:r>
      <w:r w:rsidRPr="00D03515">
        <w:t xml:space="preserve"> limited</w:t>
      </w:r>
      <w:r w:rsidR="008A4AC0">
        <w:t xml:space="preserve"> in duration</w:t>
      </w:r>
      <w:r w:rsidRPr="00D03515">
        <w:t xml:space="preserve"> (</w:t>
      </w:r>
      <w:r w:rsidR="00BA18B1">
        <w:t>eight</w:t>
      </w:r>
      <w:r w:rsidRPr="00D03515">
        <w:t xml:space="preserve"> weeks of randomised clinical trial data and a maximum of 52 weeks of open label trial data) and considered that this did not adequately support the submission’s claim of long-term</w:t>
      </w:r>
      <w:r w:rsidR="00ED5330">
        <w:t xml:space="preserve"> efficacy.</w:t>
      </w:r>
      <w:r w:rsidRPr="00D03515">
        <w:t xml:space="preserve"> </w:t>
      </w:r>
    </w:p>
    <w:p w:rsidR="005F6F30" w:rsidRDefault="005F6F30" w:rsidP="00F275C0">
      <w:pPr>
        <w:pStyle w:val="ListParagraph"/>
        <w:widowControl/>
        <w:numPr>
          <w:ilvl w:val="1"/>
          <w:numId w:val="3"/>
        </w:numPr>
        <w:spacing w:after="120"/>
      </w:pPr>
      <w:r>
        <w:t xml:space="preserve">The PBAC noted </w:t>
      </w:r>
      <w:r w:rsidR="00961FA6">
        <w:t xml:space="preserve">that </w:t>
      </w:r>
      <w:r>
        <w:t xml:space="preserve">the claim that </w:t>
      </w:r>
      <w:r w:rsidR="00ED5330">
        <w:t xml:space="preserve">patiromer </w:t>
      </w:r>
      <w:r>
        <w:t xml:space="preserve">treatment allowed patients to continue optimal treatment with RAASi therapies relied on exploratory outcomes from the OPAL-HK dosing/withdrawal study. The PBAC </w:t>
      </w:r>
      <w:r w:rsidR="00044695">
        <w:t>noted</w:t>
      </w:r>
      <w:r>
        <w:t xml:space="preserve"> </w:t>
      </w:r>
      <w:r w:rsidR="001464EB">
        <w:t xml:space="preserve">that </w:t>
      </w:r>
      <w:r w:rsidR="00316112">
        <w:t xml:space="preserve">these outcomes favoured patiromer, </w:t>
      </w:r>
      <w:r w:rsidR="00044695">
        <w:t xml:space="preserve">but also noted that the likely risk of bias favoured patiromer </w:t>
      </w:r>
      <w:r w:rsidR="00316112">
        <w:t xml:space="preserve">given the </w:t>
      </w:r>
      <w:r w:rsidR="00316112">
        <w:lastRenderedPageBreak/>
        <w:t>different criteria for down-titration of RAASi therapies</w:t>
      </w:r>
      <w:r w:rsidR="007F4C79">
        <w:t>,</w:t>
      </w:r>
      <w:r w:rsidR="00316112">
        <w:t xml:space="preserve"> which were applied to the patiromer and placebo arms of the study. The PBAC also considered long-term extrapolation of this treatment effect could not be adequately supported </w:t>
      </w:r>
      <w:r w:rsidR="00961FA6">
        <w:t xml:space="preserve">as it was </w:t>
      </w:r>
      <w:r w:rsidR="00316112">
        <w:t xml:space="preserve">based on </w:t>
      </w:r>
      <w:r w:rsidR="00BA18B1">
        <w:t>eight</w:t>
      </w:r>
      <w:r w:rsidR="00DF0687">
        <w:t xml:space="preserve"> weeks’ of</w:t>
      </w:r>
      <w:r w:rsidR="00316112">
        <w:t xml:space="preserve"> trial data. </w:t>
      </w:r>
    </w:p>
    <w:p w:rsidR="001464EB" w:rsidRPr="00D03515" w:rsidRDefault="001464EB" w:rsidP="00F275C0">
      <w:pPr>
        <w:pStyle w:val="ListParagraph"/>
        <w:widowControl/>
        <w:numPr>
          <w:ilvl w:val="1"/>
          <w:numId w:val="3"/>
        </w:numPr>
        <w:spacing w:after="120"/>
      </w:pPr>
      <w:r>
        <w:t>Overall, the PBAC considered that the clinical claim that patiromer was superior compared to placebo in terms of efficacy was unclear.</w:t>
      </w:r>
      <w:r w:rsidR="0078145D">
        <w:t xml:space="preserve"> </w:t>
      </w:r>
      <w:r w:rsidR="00044695">
        <w:t>Although the studies demonstrated a reduction in potassium levels with patiromer, the clinical relevance and long-term impact was uncertain. Further, an incremental benefit versus intermittent use of SPS was not demonstrated.</w:t>
      </w:r>
    </w:p>
    <w:p w:rsidR="00074FB8" w:rsidRDefault="00074FB8" w:rsidP="00F275C0">
      <w:pPr>
        <w:pStyle w:val="ListParagraph"/>
        <w:widowControl/>
        <w:numPr>
          <w:ilvl w:val="1"/>
          <w:numId w:val="3"/>
        </w:numPr>
        <w:spacing w:after="120"/>
        <w:rPr>
          <w:snapToGrid/>
          <w:lang w:val="en-US" w:eastAsia="en-AU"/>
        </w:rPr>
      </w:pPr>
      <w:r>
        <w:rPr>
          <w:snapToGrid/>
          <w:lang w:val="en-US" w:eastAsia="en-AU"/>
        </w:rPr>
        <w:t xml:space="preserve">The PBAC </w:t>
      </w:r>
      <w:r w:rsidR="003A455E">
        <w:rPr>
          <w:snapToGrid/>
          <w:lang w:val="en-US" w:eastAsia="en-AU"/>
        </w:rPr>
        <w:t xml:space="preserve">accepted the </w:t>
      </w:r>
      <w:r w:rsidR="00594074">
        <w:rPr>
          <w:snapToGrid/>
          <w:lang w:val="en-US" w:eastAsia="en-AU"/>
        </w:rPr>
        <w:t xml:space="preserve">claim </w:t>
      </w:r>
      <w:r w:rsidR="001464EB">
        <w:rPr>
          <w:snapToGrid/>
          <w:lang w:val="en-US" w:eastAsia="en-AU"/>
        </w:rPr>
        <w:t xml:space="preserve">that patiromer was </w:t>
      </w:r>
      <w:r w:rsidR="003A455E">
        <w:rPr>
          <w:snapToGrid/>
          <w:lang w:val="en-US" w:eastAsia="en-AU"/>
        </w:rPr>
        <w:t xml:space="preserve">inferior </w:t>
      </w:r>
      <w:r w:rsidR="001464EB">
        <w:rPr>
          <w:snapToGrid/>
          <w:lang w:val="en-US" w:eastAsia="en-AU"/>
        </w:rPr>
        <w:t xml:space="preserve">compared to placebo in terms of </w:t>
      </w:r>
      <w:r w:rsidR="003A455E">
        <w:rPr>
          <w:snapToGrid/>
          <w:lang w:val="en-US" w:eastAsia="en-AU"/>
        </w:rPr>
        <w:t>safety. The PBAC considered</w:t>
      </w:r>
      <w:r w:rsidR="00594074">
        <w:rPr>
          <w:snapToGrid/>
          <w:lang w:val="en-US" w:eastAsia="en-AU"/>
        </w:rPr>
        <w:t xml:space="preserve"> the risk</w:t>
      </w:r>
      <w:r w:rsidR="00961FA6">
        <w:rPr>
          <w:snapToGrid/>
          <w:lang w:val="en-US" w:eastAsia="en-AU"/>
        </w:rPr>
        <w:t>s</w:t>
      </w:r>
      <w:r w:rsidR="00594074">
        <w:rPr>
          <w:snapToGrid/>
          <w:lang w:val="en-US" w:eastAsia="en-AU"/>
        </w:rPr>
        <w:t xml:space="preserve"> of hypokalaemia and hypomagnesaemia should have been addressed </w:t>
      </w:r>
      <w:r w:rsidR="00DF0687">
        <w:rPr>
          <w:snapToGrid/>
          <w:lang w:val="en-US" w:eastAsia="en-AU"/>
        </w:rPr>
        <w:t xml:space="preserve">in </w:t>
      </w:r>
      <w:r w:rsidR="00594074">
        <w:rPr>
          <w:snapToGrid/>
          <w:lang w:val="en-US" w:eastAsia="en-AU"/>
        </w:rPr>
        <w:t>the submission, noting</w:t>
      </w:r>
      <w:r w:rsidR="00FD3F20">
        <w:rPr>
          <w:snapToGrid/>
          <w:lang w:val="en-US" w:eastAsia="en-AU"/>
        </w:rPr>
        <w:t xml:space="preserve"> </w:t>
      </w:r>
      <w:r w:rsidR="00594074">
        <w:rPr>
          <w:snapToGrid/>
          <w:lang w:val="en-US" w:eastAsia="en-AU"/>
        </w:rPr>
        <w:t xml:space="preserve">both increase the risk of adverse clinical </w:t>
      </w:r>
      <w:r w:rsidR="009D69C5">
        <w:rPr>
          <w:snapToGrid/>
          <w:lang w:val="en-US" w:eastAsia="en-AU"/>
        </w:rPr>
        <w:t>outcomes (including mortality).</w:t>
      </w:r>
    </w:p>
    <w:p w:rsidR="00362E40" w:rsidRDefault="00362E40" w:rsidP="00F275C0">
      <w:pPr>
        <w:pStyle w:val="ListParagraph"/>
        <w:widowControl/>
        <w:numPr>
          <w:ilvl w:val="1"/>
          <w:numId w:val="3"/>
        </w:numPr>
        <w:spacing w:after="120"/>
      </w:pPr>
      <w:r>
        <w:t>The PBAC noted the economic evaluation was presented as a cost-utility analysis based on data from the OPAL-HK Part B and the AMETHYST-DN stud</w:t>
      </w:r>
      <w:r w:rsidR="00BA18B1">
        <w:t>ies</w:t>
      </w:r>
      <w:r w:rsidR="002F7D28">
        <w:t>,</w:t>
      </w:r>
      <w:r>
        <w:t xml:space="preserve"> as well as other modelled variables.</w:t>
      </w:r>
    </w:p>
    <w:p w:rsidR="00D5308B" w:rsidRPr="00C65C69" w:rsidRDefault="00362E40" w:rsidP="00F275C0">
      <w:pPr>
        <w:pStyle w:val="ListParagraph"/>
        <w:widowControl/>
        <w:numPr>
          <w:ilvl w:val="1"/>
          <w:numId w:val="3"/>
        </w:numPr>
        <w:spacing w:after="120"/>
        <w:rPr>
          <w:snapToGrid/>
          <w:lang w:val="en-US" w:eastAsia="en-AU"/>
        </w:rPr>
      </w:pPr>
      <w:r>
        <w:rPr>
          <w:snapToGrid/>
          <w:lang w:val="en-US" w:eastAsia="en-AU"/>
        </w:rPr>
        <w:t xml:space="preserve">The </w:t>
      </w:r>
      <w:r w:rsidR="00BA18B1">
        <w:rPr>
          <w:snapToGrid/>
          <w:lang w:val="en-US" w:eastAsia="en-AU"/>
        </w:rPr>
        <w:t>PBAC</w:t>
      </w:r>
      <w:r w:rsidR="00BA18B1" w:rsidRPr="00C65C69">
        <w:rPr>
          <w:snapToGrid/>
          <w:lang w:val="en-US" w:eastAsia="en-AU"/>
        </w:rPr>
        <w:t xml:space="preserve"> </w:t>
      </w:r>
      <w:r w:rsidR="00D5308B" w:rsidRPr="00C65C69">
        <w:rPr>
          <w:snapToGrid/>
          <w:lang w:val="en-US" w:eastAsia="en-AU"/>
        </w:rPr>
        <w:t xml:space="preserve">noted </w:t>
      </w:r>
      <w:r w:rsidR="00044695">
        <w:rPr>
          <w:snapToGrid/>
          <w:lang w:val="en-US" w:eastAsia="en-AU"/>
        </w:rPr>
        <w:t xml:space="preserve">that </w:t>
      </w:r>
      <w:r w:rsidR="00C65C69">
        <w:rPr>
          <w:snapToGrid/>
          <w:lang w:val="en-US" w:eastAsia="en-AU"/>
        </w:rPr>
        <w:t>the key driver of the model was the reduction in the incidence of hyperkalaemia events. The PBAC considered this was inappropriate</w:t>
      </w:r>
      <w:r w:rsidR="00FD3F20">
        <w:rPr>
          <w:snapToGrid/>
          <w:lang w:val="en-US" w:eastAsia="en-AU"/>
        </w:rPr>
        <w:t>,</w:t>
      </w:r>
      <w:r w:rsidR="00C65C69">
        <w:rPr>
          <w:snapToGrid/>
          <w:lang w:val="en-US" w:eastAsia="en-AU"/>
        </w:rPr>
        <w:t xml:space="preserve"> as it did not align with the key rationale for listing patiromer, which was increasing the proportion of patients who are able to receive maximum doses of RAASi therapy. </w:t>
      </w:r>
    </w:p>
    <w:p w:rsidR="00A32854" w:rsidRPr="00A32854" w:rsidRDefault="00C65C69" w:rsidP="00F275C0">
      <w:pPr>
        <w:pStyle w:val="ListParagraph"/>
        <w:widowControl/>
        <w:numPr>
          <w:ilvl w:val="1"/>
          <w:numId w:val="3"/>
        </w:numPr>
        <w:spacing w:after="120"/>
        <w:rPr>
          <w:snapToGrid/>
          <w:lang w:val="en-US" w:eastAsia="en-AU"/>
        </w:rPr>
      </w:pPr>
      <w:r w:rsidRPr="00A32854">
        <w:rPr>
          <w:snapToGrid/>
          <w:lang w:val="en-US" w:eastAsia="en-AU"/>
        </w:rPr>
        <w:t xml:space="preserve">The PBAC </w:t>
      </w:r>
      <w:r w:rsidR="00BB3386" w:rsidRPr="00A32854">
        <w:rPr>
          <w:snapToGrid/>
          <w:lang w:val="en-US" w:eastAsia="en-AU"/>
        </w:rPr>
        <w:t xml:space="preserve">considered that the </w:t>
      </w:r>
      <w:r w:rsidR="00D2615A">
        <w:rPr>
          <w:snapToGrid/>
          <w:lang w:val="en-US" w:eastAsia="en-AU"/>
        </w:rPr>
        <w:t>effect</w:t>
      </w:r>
      <w:r w:rsidR="00BB3386" w:rsidRPr="00A32854">
        <w:rPr>
          <w:snapToGrid/>
          <w:lang w:val="en-US" w:eastAsia="en-AU"/>
        </w:rPr>
        <w:t xml:space="preserve"> of </w:t>
      </w:r>
      <w:r w:rsidRPr="00A32854">
        <w:rPr>
          <w:snapToGrid/>
          <w:lang w:val="en-US" w:eastAsia="en-AU"/>
        </w:rPr>
        <w:t xml:space="preserve">hyperkalaemia was </w:t>
      </w:r>
      <w:r w:rsidR="00B30E27">
        <w:rPr>
          <w:snapToGrid/>
          <w:lang w:val="en-US" w:eastAsia="en-AU"/>
        </w:rPr>
        <w:t xml:space="preserve">significantly </w:t>
      </w:r>
      <w:r w:rsidR="00BB3386" w:rsidRPr="00A32854">
        <w:rPr>
          <w:snapToGrid/>
          <w:lang w:val="en-US" w:eastAsia="en-AU"/>
        </w:rPr>
        <w:t>overestimated</w:t>
      </w:r>
      <w:r w:rsidR="00A4151C">
        <w:rPr>
          <w:snapToGrid/>
          <w:lang w:val="en-US" w:eastAsia="en-AU"/>
        </w:rPr>
        <w:t xml:space="preserve"> noting that</w:t>
      </w:r>
      <w:r w:rsidR="00A32854" w:rsidRPr="00A32854">
        <w:rPr>
          <w:snapToGrid/>
          <w:lang w:val="en-US" w:eastAsia="en-AU"/>
        </w:rPr>
        <w:t xml:space="preserve"> the model </w:t>
      </w:r>
      <w:r w:rsidR="00A4151C">
        <w:rPr>
          <w:snapToGrid/>
          <w:lang w:val="en-US" w:eastAsia="en-AU"/>
        </w:rPr>
        <w:t xml:space="preserve">(i) </w:t>
      </w:r>
      <w:r w:rsidR="00A32854" w:rsidRPr="00A32854">
        <w:rPr>
          <w:snapToGrid/>
          <w:lang w:val="en-US" w:eastAsia="en-AU"/>
        </w:rPr>
        <w:t>defined hyperkalaemia as any episode in which a patient’s serum potassium was greater than 5.5mmol/L</w:t>
      </w:r>
      <w:r w:rsidR="00A4151C">
        <w:rPr>
          <w:snapToGrid/>
          <w:lang w:val="en-US" w:eastAsia="en-AU"/>
        </w:rPr>
        <w:t>;</w:t>
      </w:r>
      <w:r w:rsidR="00A32854" w:rsidRPr="00A32854">
        <w:rPr>
          <w:snapToGrid/>
          <w:lang w:val="en-US" w:eastAsia="en-AU"/>
        </w:rPr>
        <w:t xml:space="preserve"> and </w:t>
      </w:r>
      <w:r w:rsidR="00A4151C">
        <w:rPr>
          <w:snapToGrid/>
          <w:lang w:val="en-US" w:eastAsia="en-AU"/>
        </w:rPr>
        <w:t xml:space="preserve">(ii) assumed </w:t>
      </w:r>
      <w:r w:rsidR="00A32854" w:rsidRPr="00A32854">
        <w:rPr>
          <w:snapToGrid/>
          <w:lang w:val="en-US" w:eastAsia="en-AU"/>
        </w:rPr>
        <w:t>that all hyperkalaemia event</w:t>
      </w:r>
      <w:r w:rsidR="00A4151C">
        <w:rPr>
          <w:snapToGrid/>
          <w:lang w:val="en-US" w:eastAsia="en-AU"/>
        </w:rPr>
        <w:t>s</w:t>
      </w:r>
      <w:r w:rsidR="00A32854" w:rsidRPr="00A32854">
        <w:rPr>
          <w:snapToGrid/>
          <w:lang w:val="en-US" w:eastAsia="en-AU"/>
        </w:rPr>
        <w:t xml:space="preserve"> would result in an emergency room visit. The PBAC considered that this was inconsistent with Australian guidelines</w:t>
      </w:r>
      <w:r w:rsidR="007F4C79">
        <w:rPr>
          <w:snapToGrid/>
          <w:lang w:val="en-US" w:eastAsia="en-AU"/>
        </w:rPr>
        <w:t>,</w:t>
      </w:r>
      <w:r w:rsidR="00A32854" w:rsidRPr="00A32854">
        <w:rPr>
          <w:snapToGrid/>
          <w:lang w:val="en-US" w:eastAsia="en-AU"/>
        </w:rPr>
        <w:t xml:space="preserve"> </w:t>
      </w:r>
      <w:r w:rsidR="00A4151C">
        <w:rPr>
          <w:snapToGrid/>
          <w:lang w:val="en-US" w:eastAsia="en-AU"/>
        </w:rPr>
        <w:t>which</w:t>
      </w:r>
      <w:r w:rsidR="00A32854" w:rsidRPr="00A32854">
        <w:rPr>
          <w:snapToGrid/>
          <w:lang w:val="en-US" w:eastAsia="en-AU"/>
        </w:rPr>
        <w:t xml:space="preserve"> recommend </w:t>
      </w:r>
      <w:r w:rsidR="00A4151C">
        <w:rPr>
          <w:snapToGrid/>
          <w:lang w:val="en-US" w:eastAsia="en-AU"/>
        </w:rPr>
        <w:t xml:space="preserve">that </w:t>
      </w:r>
      <w:r w:rsidR="00A32854" w:rsidRPr="00A32854">
        <w:rPr>
          <w:snapToGrid/>
          <w:lang w:val="en-US" w:eastAsia="en-AU"/>
        </w:rPr>
        <w:t>serum potassium levels of &lt; 6.5 mmol/L</w:t>
      </w:r>
      <w:r w:rsidR="00A4151C">
        <w:rPr>
          <w:snapToGrid/>
          <w:lang w:val="en-US" w:eastAsia="en-AU"/>
        </w:rPr>
        <w:t xml:space="preserve"> are managed in the community. In addition, the PBAC considered that the estimated rate of mortality associated with hyperkalaemia events was implausible and significantly overestimated.</w:t>
      </w:r>
    </w:p>
    <w:p w:rsidR="00A4151C" w:rsidRDefault="00A4151C" w:rsidP="00F275C0">
      <w:pPr>
        <w:pStyle w:val="ListParagraph"/>
        <w:widowControl/>
        <w:numPr>
          <w:ilvl w:val="1"/>
          <w:numId w:val="3"/>
        </w:numPr>
        <w:spacing w:after="120"/>
        <w:rPr>
          <w:snapToGrid/>
          <w:lang w:val="en-US" w:eastAsia="en-AU"/>
        </w:rPr>
      </w:pPr>
      <w:r>
        <w:rPr>
          <w:snapToGrid/>
          <w:lang w:val="en-US" w:eastAsia="en-AU"/>
        </w:rPr>
        <w:t xml:space="preserve">Other issues </w:t>
      </w:r>
      <w:r w:rsidR="00961FA6">
        <w:rPr>
          <w:snapToGrid/>
          <w:lang w:val="en-US" w:eastAsia="en-AU"/>
        </w:rPr>
        <w:t xml:space="preserve">with the economic model </w:t>
      </w:r>
      <w:r>
        <w:rPr>
          <w:snapToGrid/>
          <w:lang w:val="en-US" w:eastAsia="en-AU"/>
        </w:rPr>
        <w:t>identified by the PBAC included:</w:t>
      </w:r>
    </w:p>
    <w:p w:rsidR="00044695" w:rsidRDefault="00044695" w:rsidP="00F275C0">
      <w:pPr>
        <w:pStyle w:val="ListParagraph"/>
        <w:widowControl/>
        <w:numPr>
          <w:ilvl w:val="1"/>
          <w:numId w:val="21"/>
        </w:numPr>
        <w:spacing w:after="120"/>
        <w:ind w:left="1077" w:hanging="357"/>
        <w:rPr>
          <w:snapToGrid/>
          <w:lang w:val="en-US" w:eastAsia="en-AU"/>
        </w:rPr>
      </w:pPr>
      <w:r w:rsidRPr="00C65C69">
        <w:rPr>
          <w:snapToGrid/>
          <w:lang w:val="en-US" w:eastAsia="en-AU"/>
        </w:rPr>
        <w:t xml:space="preserve">structural issues </w:t>
      </w:r>
      <w:r>
        <w:rPr>
          <w:snapToGrid/>
          <w:lang w:val="en-US" w:eastAsia="en-AU"/>
        </w:rPr>
        <w:t>which meant that the incidence of hyperkalaemia did not appear to influence the use of hyperkalaemia treatments or RAASi therapy;</w:t>
      </w:r>
    </w:p>
    <w:p w:rsidR="00A4151C" w:rsidRDefault="00044695" w:rsidP="00F275C0">
      <w:pPr>
        <w:pStyle w:val="ListParagraph"/>
        <w:widowControl/>
        <w:numPr>
          <w:ilvl w:val="1"/>
          <w:numId w:val="21"/>
        </w:numPr>
        <w:spacing w:after="120"/>
        <w:ind w:left="1077" w:hanging="357"/>
        <w:rPr>
          <w:snapToGrid/>
          <w:lang w:val="en-US" w:eastAsia="en-AU"/>
        </w:rPr>
      </w:pPr>
      <w:r>
        <w:rPr>
          <w:snapToGrid/>
          <w:lang w:val="en-US" w:eastAsia="en-AU"/>
        </w:rPr>
        <w:t>t</w:t>
      </w:r>
      <w:r w:rsidR="00A4151C">
        <w:rPr>
          <w:snapToGrid/>
          <w:lang w:val="en-US" w:eastAsia="en-AU"/>
        </w:rPr>
        <w:t>hat all patients who entered the model were receiving optimal RAASi therapy. This was inconsistent with the proposed PBS restriction tha</w:t>
      </w:r>
      <w:r w:rsidR="00C345B6">
        <w:rPr>
          <w:snapToGrid/>
          <w:lang w:val="en-US" w:eastAsia="en-AU"/>
        </w:rPr>
        <w:t>t did not require patients RAASi</w:t>
      </w:r>
      <w:r w:rsidR="00A4151C">
        <w:rPr>
          <w:snapToGrid/>
          <w:lang w:val="en-US" w:eastAsia="en-AU"/>
        </w:rPr>
        <w:t xml:space="preserve"> therapy to be optimised and included patients who were intolerant to RAASi therapy;</w:t>
      </w:r>
    </w:p>
    <w:p w:rsidR="00B30E27" w:rsidRDefault="00044695" w:rsidP="00F275C0">
      <w:pPr>
        <w:pStyle w:val="ListParagraph"/>
        <w:widowControl/>
        <w:numPr>
          <w:ilvl w:val="1"/>
          <w:numId w:val="21"/>
        </w:numPr>
        <w:spacing w:after="120"/>
        <w:ind w:left="1077" w:hanging="357"/>
        <w:rPr>
          <w:snapToGrid/>
          <w:lang w:val="en-US" w:eastAsia="en-AU"/>
        </w:rPr>
      </w:pPr>
      <w:r>
        <w:rPr>
          <w:snapToGrid/>
          <w:lang w:val="en-US" w:eastAsia="en-AU"/>
        </w:rPr>
        <w:t>t</w:t>
      </w:r>
      <w:r w:rsidR="00A4151C">
        <w:rPr>
          <w:snapToGrid/>
          <w:lang w:val="en-US" w:eastAsia="en-AU"/>
        </w:rPr>
        <w:t>he overall rate of mortality was likely to be overestimated due to the potential for double/triple counting;</w:t>
      </w:r>
      <w:r w:rsidR="002C0C23">
        <w:rPr>
          <w:snapToGrid/>
          <w:lang w:val="en-US" w:eastAsia="en-AU"/>
        </w:rPr>
        <w:t xml:space="preserve"> </w:t>
      </w:r>
    </w:p>
    <w:p w:rsidR="00A4151C" w:rsidRDefault="00044695" w:rsidP="00F275C0">
      <w:pPr>
        <w:pStyle w:val="ListParagraph"/>
        <w:widowControl/>
        <w:numPr>
          <w:ilvl w:val="1"/>
          <w:numId w:val="21"/>
        </w:numPr>
        <w:spacing w:after="120"/>
        <w:ind w:left="1077" w:hanging="357"/>
        <w:rPr>
          <w:snapToGrid/>
          <w:lang w:val="en-US" w:eastAsia="en-AU"/>
        </w:rPr>
      </w:pPr>
      <w:r>
        <w:rPr>
          <w:snapToGrid/>
          <w:lang w:val="en-US" w:eastAsia="en-AU"/>
        </w:rPr>
        <w:t>t</w:t>
      </w:r>
      <w:r w:rsidR="00B30E27" w:rsidRPr="00B30E27">
        <w:rPr>
          <w:snapToGrid/>
          <w:lang w:val="en-US" w:eastAsia="en-AU"/>
        </w:rPr>
        <w:t>he incidence of hyperkalaemia did not appear to influence the use of hyperkalaemia treatments or RAASi therapy</w:t>
      </w:r>
      <w:r w:rsidR="00B30E27">
        <w:rPr>
          <w:snapToGrid/>
          <w:lang w:val="en-US" w:eastAsia="en-AU"/>
        </w:rPr>
        <w:t xml:space="preserve">; </w:t>
      </w:r>
      <w:r w:rsidR="002C0C23">
        <w:rPr>
          <w:snapToGrid/>
          <w:lang w:val="en-US" w:eastAsia="en-AU"/>
        </w:rPr>
        <w:t>and</w:t>
      </w:r>
    </w:p>
    <w:p w:rsidR="0034057F" w:rsidRPr="0034057F" w:rsidRDefault="00044695" w:rsidP="00F275C0">
      <w:pPr>
        <w:pStyle w:val="ListParagraph"/>
        <w:widowControl/>
        <w:numPr>
          <w:ilvl w:val="0"/>
          <w:numId w:val="18"/>
        </w:numPr>
        <w:spacing w:after="120"/>
        <w:ind w:left="1077" w:hanging="357"/>
        <w:rPr>
          <w:snapToGrid/>
          <w:lang w:val="en-US" w:eastAsia="en-AU"/>
        </w:rPr>
      </w:pPr>
      <w:r>
        <w:rPr>
          <w:snapToGrid/>
          <w:lang w:val="en-US" w:eastAsia="en-AU"/>
        </w:rPr>
        <w:lastRenderedPageBreak/>
        <w:t>t</w:t>
      </w:r>
      <w:r w:rsidR="002C0C23">
        <w:rPr>
          <w:snapToGrid/>
          <w:lang w:val="en-US" w:eastAsia="en-AU"/>
        </w:rPr>
        <w:t>he fixed dose of patiromer in the model, 16.8 g, was lower than the mean doses administered in the AMETHYST-DN and OPAL-HK Part B studies.</w:t>
      </w:r>
    </w:p>
    <w:p w:rsidR="003928A3" w:rsidRDefault="003A25A2" w:rsidP="00F275C0">
      <w:pPr>
        <w:pStyle w:val="ListParagraph"/>
        <w:widowControl/>
        <w:numPr>
          <w:ilvl w:val="1"/>
          <w:numId w:val="3"/>
        </w:numPr>
        <w:spacing w:after="120"/>
        <w:rPr>
          <w:snapToGrid/>
          <w:lang w:val="en-US" w:eastAsia="en-AU"/>
        </w:rPr>
      </w:pPr>
      <w:r>
        <w:rPr>
          <w:snapToGrid/>
          <w:lang w:val="en-US" w:eastAsia="en-AU"/>
        </w:rPr>
        <w:t>The PBAC considered the true base case ICER was unable to be determined, as the microsimulation was highly unstable</w:t>
      </w:r>
      <w:r w:rsidR="00961FA6">
        <w:rPr>
          <w:snapToGrid/>
          <w:lang w:val="en-US" w:eastAsia="en-AU"/>
        </w:rPr>
        <w:t xml:space="preserve">. </w:t>
      </w:r>
      <w:r w:rsidR="003928A3">
        <w:rPr>
          <w:snapToGrid/>
          <w:lang w:val="en-US" w:eastAsia="en-AU"/>
        </w:rPr>
        <w:t xml:space="preserve">The PBAC considered the base case ICER </w:t>
      </w:r>
      <w:r>
        <w:rPr>
          <w:snapToGrid/>
          <w:lang w:val="en-US" w:eastAsia="en-AU"/>
        </w:rPr>
        <w:t xml:space="preserve">presented in the submission </w:t>
      </w:r>
      <w:r w:rsidR="003928A3">
        <w:rPr>
          <w:snapToGrid/>
          <w:lang w:val="en-US" w:eastAsia="en-AU"/>
        </w:rPr>
        <w:t xml:space="preserve">of </w:t>
      </w:r>
      <w:r w:rsidR="00B77F2E">
        <w:rPr>
          <w:snapToGrid/>
          <w:lang w:val="en-US" w:eastAsia="en-AU"/>
        </w:rPr>
        <w:t>$105,000 - $200,000</w:t>
      </w:r>
      <w:r w:rsidR="003928A3">
        <w:rPr>
          <w:snapToGrid/>
          <w:lang w:val="en-US" w:eastAsia="en-AU"/>
        </w:rPr>
        <w:t xml:space="preserve">/QALY was </w:t>
      </w:r>
      <w:r w:rsidR="008D1431">
        <w:rPr>
          <w:snapToGrid/>
          <w:lang w:val="en-US" w:eastAsia="en-AU"/>
        </w:rPr>
        <w:t xml:space="preserve">unacceptably </w:t>
      </w:r>
      <w:r w:rsidR="003928A3">
        <w:rPr>
          <w:snapToGrid/>
          <w:lang w:val="en-US" w:eastAsia="en-AU"/>
        </w:rPr>
        <w:t>high and unreliable given the major issues</w:t>
      </w:r>
      <w:r w:rsidR="008D1431">
        <w:rPr>
          <w:snapToGrid/>
          <w:lang w:val="en-US" w:eastAsia="en-AU"/>
        </w:rPr>
        <w:t xml:space="preserve"> with the model, as outlined above and in the ‘Economic analysis’ section</w:t>
      </w:r>
      <w:r w:rsidR="003928A3">
        <w:rPr>
          <w:snapToGrid/>
          <w:lang w:val="en-US" w:eastAsia="en-AU"/>
        </w:rPr>
        <w:t xml:space="preserve">. </w:t>
      </w:r>
    </w:p>
    <w:p w:rsidR="005C3102" w:rsidRDefault="009E2DF5" w:rsidP="00F275C0">
      <w:pPr>
        <w:pStyle w:val="ListParagraph"/>
        <w:widowControl/>
        <w:numPr>
          <w:ilvl w:val="1"/>
          <w:numId w:val="3"/>
        </w:numPr>
        <w:spacing w:after="120"/>
        <w:rPr>
          <w:snapToGrid/>
          <w:lang w:val="en-US" w:eastAsia="en-AU"/>
        </w:rPr>
      </w:pPr>
      <w:r>
        <w:rPr>
          <w:snapToGrid/>
          <w:lang w:val="en-US" w:eastAsia="en-AU"/>
        </w:rPr>
        <w:t xml:space="preserve">The PBAC noted the </w:t>
      </w:r>
      <w:r w:rsidR="005A3FDF">
        <w:rPr>
          <w:snapToGrid/>
          <w:lang w:val="en-US" w:eastAsia="en-AU"/>
        </w:rPr>
        <w:t xml:space="preserve">estimated utilisation and </w:t>
      </w:r>
      <w:r>
        <w:rPr>
          <w:snapToGrid/>
          <w:lang w:val="en-US" w:eastAsia="en-AU"/>
        </w:rPr>
        <w:t xml:space="preserve">financial impact of </w:t>
      </w:r>
      <w:r w:rsidR="005A3FDF">
        <w:rPr>
          <w:snapToGrid/>
          <w:lang w:val="en-US" w:eastAsia="en-AU"/>
        </w:rPr>
        <w:t xml:space="preserve">listing </w:t>
      </w:r>
      <w:r>
        <w:rPr>
          <w:snapToGrid/>
          <w:lang w:val="en-US" w:eastAsia="en-AU"/>
        </w:rPr>
        <w:t xml:space="preserve">patiromer </w:t>
      </w:r>
      <w:r w:rsidR="005A3FDF">
        <w:rPr>
          <w:snapToGrid/>
          <w:lang w:val="en-US" w:eastAsia="en-AU"/>
        </w:rPr>
        <w:t>on the PBS/RPBS was very high</w:t>
      </w:r>
      <w:r w:rsidR="007D593B">
        <w:rPr>
          <w:snapToGrid/>
          <w:lang w:val="en-US" w:eastAsia="en-AU"/>
        </w:rPr>
        <w:t>, increasing from approximately</w:t>
      </w:r>
      <w:r w:rsidR="00B77F2E">
        <w:rPr>
          <w:snapToGrid/>
          <w:lang w:val="en-US" w:eastAsia="en-AU"/>
        </w:rPr>
        <w:t xml:space="preserve"> $20 - $30</w:t>
      </w:r>
      <w:r w:rsidR="005A3FDF">
        <w:rPr>
          <w:snapToGrid/>
          <w:lang w:val="en-US" w:eastAsia="en-AU"/>
        </w:rPr>
        <w:t xml:space="preserve"> million in Year 1 to </w:t>
      </w:r>
      <w:r w:rsidR="00B77F2E">
        <w:rPr>
          <w:snapToGrid/>
          <w:lang w:val="en-US" w:eastAsia="en-AU"/>
        </w:rPr>
        <w:t xml:space="preserve">more than $100 </w:t>
      </w:r>
      <w:r w:rsidR="005A3FDF">
        <w:rPr>
          <w:snapToGrid/>
          <w:lang w:val="en-US" w:eastAsia="en-AU"/>
        </w:rPr>
        <w:t xml:space="preserve">million in Year 6. </w:t>
      </w:r>
      <w:r w:rsidR="00930C04">
        <w:rPr>
          <w:snapToGrid/>
          <w:lang w:val="en-US" w:eastAsia="en-AU"/>
        </w:rPr>
        <w:t xml:space="preserve">The PBAC also noted that the financial estimates in the submission inferred continued high rates of uptake year upon year. </w:t>
      </w:r>
      <w:r w:rsidR="005C3102">
        <w:rPr>
          <w:snapToGrid/>
          <w:lang w:val="en-US" w:eastAsia="en-AU"/>
        </w:rPr>
        <w:t xml:space="preserve">The PBAC considered that the estimates were highly uncertain given the issues identified by DUSC (see paragraph </w:t>
      </w:r>
      <w:r w:rsidR="005C3102" w:rsidRPr="00F13BC7">
        <w:rPr>
          <w:snapToGrid/>
          <w:lang w:val="en-US" w:eastAsia="en-AU"/>
        </w:rPr>
        <w:t>6.71</w:t>
      </w:r>
      <w:r w:rsidR="005C3102">
        <w:rPr>
          <w:snapToGrid/>
          <w:lang w:val="en-US" w:eastAsia="en-AU"/>
        </w:rPr>
        <w:t>) and the issues identified by the PBAC surrounding the proposed patient population.</w:t>
      </w:r>
    </w:p>
    <w:p w:rsidR="005C3102" w:rsidRDefault="005C3102" w:rsidP="00F275C0">
      <w:pPr>
        <w:pStyle w:val="ListParagraph"/>
        <w:widowControl/>
        <w:numPr>
          <w:ilvl w:val="1"/>
          <w:numId w:val="3"/>
        </w:numPr>
        <w:spacing w:after="120"/>
        <w:rPr>
          <w:snapToGrid/>
          <w:lang w:val="en-US" w:eastAsia="en-AU"/>
        </w:rPr>
      </w:pPr>
      <w:r>
        <w:rPr>
          <w:snapToGrid/>
          <w:lang w:val="en-US" w:eastAsia="en-AU"/>
        </w:rPr>
        <w:t>The PBAC considered that a Risk Sharing Arrangement (RSA)</w:t>
      </w:r>
      <w:r w:rsidR="007F4C79">
        <w:rPr>
          <w:snapToGrid/>
          <w:lang w:val="en-US" w:eastAsia="en-AU"/>
        </w:rPr>
        <w:t>,</w:t>
      </w:r>
      <w:r>
        <w:rPr>
          <w:snapToGrid/>
          <w:lang w:val="en-US" w:eastAsia="en-AU"/>
        </w:rPr>
        <w:t xml:space="preserve"> which consisted of revised financial impact estimates, beyond which 100% rebates would apply, would be required in order to manage the financial uncertainty related to the </w:t>
      </w:r>
      <w:r w:rsidR="00D35E91">
        <w:rPr>
          <w:snapToGrid/>
          <w:lang w:val="en-US" w:eastAsia="en-AU"/>
        </w:rPr>
        <w:t xml:space="preserve">uncertain </w:t>
      </w:r>
      <w:r>
        <w:rPr>
          <w:snapToGrid/>
          <w:lang w:val="en-US" w:eastAsia="en-AU"/>
        </w:rPr>
        <w:t>patient population.</w:t>
      </w:r>
    </w:p>
    <w:p w:rsidR="009E2DF5" w:rsidRDefault="005B73FF" w:rsidP="00F275C0">
      <w:pPr>
        <w:pStyle w:val="ListParagraph"/>
        <w:widowControl/>
        <w:numPr>
          <w:ilvl w:val="1"/>
          <w:numId w:val="3"/>
        </w:numPr>
        <w:spacing w:after="120"/>
      </w:pPr>
      <w:r>
        <w:t xml:space="preserve">The PBAC considered that </w:t>
      </w:r>
      <w:r w:rsidR="00D35E91">
        <w:t>there may be</w:t>
      </w:r>
      <w:r w:rsidR="008F5DFF">
        <w:t xml:space="preserve"> </w:t>
      </w:r>
      <w:r w:rsidR="0034752F">
        <w:t>quality use of medicines</w:t>
      </w:r>
      <w:r w:rsidR="008F5DFF">
        <w:t xml:space="preserve"> issue</w:t>
      </w:r>
      <w:r w:rsidR="00D35E91">
        <w:t>s associated with</w:t>
      </w:r>
      <w:r w:rsidR="00D35E91" w:rsidRPr="00D35E91">
        <w:t xml:space="preserve"> </w:t>
      </w:r>
      <w:r w:rsidR="00D35E91">
        <w:t>patiromer</w:t>
      </w:r>
      <w:r w:rsidR="008A4AC0">
        <w:t xml:space="preserve"> </w:t>
      </w:r>
      <w:r w:rsidR="00D35E91">
        <w:t>given</w:t>
      </w:r>
      <w:r w:rsidR="008F5DFF" w:rsidRPr="004E3503">
        <w:rPr>
          <w:szCs w:val="24"/>
        </w:rPr>
        <w:t xml:space="preserve"> that </w:t>
      </w:r>
      <w:r w:rsidR="00DB3429">
        <w:rPr>
          <w:szCs w:val="24"/>
        </w:rPr>
        <w:t>it</w:t>
      </w:r>
      <w:r w:rsidR="008F5DFF" w:rsidRPr="004E3503">
        <w:rPr>
          <w:szCs w:val="24"/>
        </w:rPr>
        <w:t xml:space="preserve"> may interfere with absorption of other medicines and should be taken at least three hours before or after other ora</w:t>
      </w:r>
      <w:r w:rsidR="008F5DFF" w:rsidRPr="004E3503">
        <w:t>l medications.</w:t>
      </w:r>
      <w:r w:rsidR="008F5DFF">
        <w:t xml:space="preserve">  </w:t>
      </w:r>
      <w:r w:rsidR="008F5DFF" w:rsidRPr="00D03515">
        <w:t xml:space="preserve">The </w:t>
      </w:r>
      <w:r w:rsidR="008F5DFF">
        <w:t>PBAC considered</w:t>
      </w:r>
      <w:r w:rsidR="008F5DFF" w:rsidRPr="00D03515">
        <w:t xml:space="preserve"> that this would pose potential difficulties for patients on multiple other medications (as many patients with CKD and cardiovascular disease require) and could result in changes in the bioavailability of other medications</w:t>
      </w:r>
      <w:r w:rsidR="008F5DFF">
        <w:t>.</w:t>
      </w:r>
    </w:p>
    <w:p w:rsidR="00AD3AF0" w:rsidRDefault="00AD3AF0" w:rsidP="00F275C0">
      <w:pPr>
        <w:pStyle w:val="ListParagraph"/>
        <w:widowControl/>
        <w:numPr>
          <w:ilvl w:val="1"/>
          <w:numId w:val="3"/>
        </w:numPr>
        <w:spacing w:after="120"/>
      </w:pPr>
      <w:r>
        <w:t>The PBAC considered that any resubmission</w:t>
      </w:r>
      <w:r w:rsidR="00785B79">
        <w:t xml:space="preserve"> should be a major submission and</w:t>
      </w:r>
      <w:r>
        <w:t xml:space="preserve"> would be required to:</w:t>
      </w:r>
    </w:p>
    <w:p w:rsidR="00AD3AF0" w:rsidRDefault="006226F4" w:rsidP="00F275C0">
      <w:pPr>
        <w:pStyle w:val="ListParagraph"/>
        <w:widowControl/>
        <w:numPr>
          <w:ilvl w:val="0"/>
          <w:numId w:val="19"/>
        </w:numPr>
        <w:spacing w:after="120"/>
        <w:ind w:left="1077" w:hanging="357"/>
      </w:pPr>
      <w:r>
        <w:t>p</w:t>
      </w:r>
      <w:r w:rsidR="00AD3AF0">
        <w:t>rovide a narrow</w:t>
      </w:r>
      <w:r w:rsidR="000A621A">
        <w:t>er</w:t>
      </w:r>
      <w:r w:rsidR="00AD3AF0">
        <w:t xml:space="preserve"> and better defined PBS eligible population</w:t>
      </w:r>
      <w:r w:rsidR="00252129">
        <w:t>;</w:t>
      </w:r>
    </w:p>
    <w:p w:rsidR="00AD3AF0" w:rsidRDefault="003A25A2" w:rsidP="00F275C0">
      <w:pPr>
        <w:pStyle w:val="ListParagraph"/>
        <w:widowControl/>
        <w:numPr>
          <w:ilvl w:val="0"/>
          <w:numId w:val="19"/>
        </w:numPr>
        <w:spacing w:after="120"/>
        <w:ind w:left="1077" w:hanging="357"/>
      </w:pPr>
      <w:r>
        <w:t>better define the comparator and incorporate the</w:t>
      </w:r>
      <w:r w:rsidR="00AD3AF0">
        <w:t xml:space="preserve"> intermittent use of SPS</w:t>
      </w:r>
      <w:r w:rsidR="00252129">
        <w:t>;</w:t>
      </w:r>
    </w:p>
    <w:p w:rsidR="006C59D7" w:rsidRDefault="006C59D7" w:rsidP="00F275C0">
      <w:pPr>
        <w:pStyle w:val="ListParagraph"/>
        <w:widowControl/>
        <w:numPr>
          <w:ilvl w:val="0"/>
          <w:numId w:val="19"/>
        </w:numPr>
        <w:spacing w:after="120"/>
        <w:ind w:left="1077" w:hanging="357"/>
      </w:pPr>
      <w:r>
        <w:t>present a revised economic model based on the revised population, addressing the issues identified in paragraphs 7.13 to 7.15 and the ‘Economic analysis’ section. Further, the PBAC considered that a significant price reduction would be required to result in an ICER which was within an acceptable range;</w:t>
      </w:r>
    </w:p>
    <w:p w:rsidR="00AD3AF0" w:rsidRDefault="00690756" w:rsidP="00F275C0">
      <w:pPr>
        <w:pStyle w:val="ListParagraph"/>
        <w:widowControl/>
        <w:numPr>
          <w:ilvl w:val="0"/>
          <w:numId w:val="19"/>
        </w:numPr>
        <w:spacing w:after="120"/>
        <w:ind w:left="1077" w:hanging="357"/>
      </w:pPr>
      <w:r>
        <w:t xml:space="preserve">provide </w:t>
      </w:r>
      <w:r w:rsidR="006226F4">
        <w:t>f</w:t>
      </w:r>
      <w:r w:rsidR="00AD3AF0">
        <w:t xml:space="preserve">urther </w:t>
      </w:r>
      <w:r>
        <w:t xml:space="preserve">information about </w:t>
      </w:r>
      <w:r w:rsidR="00AD3AF0">
        <w:t>real-world persistence</w:t>
      </w:r>
      <w:r>
        <w:t xml:space="preserve"> with patiromer</w:t>
      </w:r>
      <w:r w:rsidR="0005429F">
        <w:t>;</w:t>
      </w:r>
      <w:r w:rsidR="00F13BC7">
        <w:t xml:space="preserve"> and</w:t>
      </w:r>
    </w:p>
    <w:p w:rsidR="00E316A0" w:rsidRDefault="006226F4" w:rsidP="00F275C0">
      <w:pPr>
        <w:pStyle w:val="ListParagraph"/>
        <w:widowControl/>
        <w:numPr>
          <w:ilvl w:val="0"/>
          <w:numId w:val="19"/>
        </w:numPr>
        <w:spacing w:after="120"/>
        <w:ind w:left="1077" w:hanging="357"/>
      </w:pPr>
      <w:r>
        <w:t>p</w:t>
      </w:r>
      <w:r w:rsidR="00DB3429">
        <w:t>ropose</w:t>
      </w:r>
      <w:r w:rsidR="00E316A0">
        <w:t xml:space="preserve"> a RSA, with a realistic financial cap and </w:t>
      </w:r>
      <w:r w:rsidR="00041848">
        <w:t xml:space="preserve">a </w:t>
      </w:r>
      <w:r w:rsidR="00E316A0">
        <w:t xml:space="preserve">100% rebate </w:t>
      </w:r>
      <w:r w:rsidR="00041848">
        <w:t xml:space="preserve">for use </w:t>
      </w:r>
      <w:r w:rsidR="00E316A0">
        <w:t xml:space="preserve">over the cap, given the uncertainty surrounding utilisation. </w:t>
      </w:r>
    </w:p>
    <w:p w:rsidR="002A39BE" w:rsidRPr="0004657E" w:rsidRDefault="00252129" w:rsidP="00F275C0">
      <w:pPr>
        <w:pStyle w:val="PBACHeading1"/>
        <w:numPr>
          <w:ilvl w:val="1"/>
          <w:numId w:val="3"/>
        </w:numPr>
        <w:spacing w:after="120"/>
        <w:rPr>
          <w:b w:val="0"/>
          <w:sz w:val="24"/>
          <w:szCs w:val="24"/>
          <w:lang w:val="en-GB"/>
        </w:rPr>
      </w:pPr>
      <w:r w:rsidRPr="0004657E">
        <w:rPr>
          <w:b w:val="0"/>
          <w:sz w:val="24"/>
          <w:szCs w:val="24"/>
        </w:rPr>
        <w:t xml:space="preserve">The PBAC noted that this submission is eligible for an Independent Review. </w:t>
      </w:r>
    </w:p>
    <w:p w:rsidR="00057112" w:rsidRPr="002A39BE" w:rsidRDefault="00057112" w:rsidP="00E55CFC">
      <w:pPr>
        <w:pStyle w:val="PBACHeading1"/>
        <w:numPr>
          <w:ilvl w:val="0"/>
          <w:numId w:val="0"/>
        </w:numPr>
        <w:rPr>
          <w:sz w:val="24"/>
          <w:lang w:val="en-GB"/>
        </w:rPr>
      </w:pPr>
      <w:r w:rsidRPr="002A39BE">
        <w:rPr>
          <w:sz w:val="24"/>
          <w:lang w:val="en-GB"/>
        </w:rPr>
        <w:t>Outcome:</w:t>
      </w:r>
    </w:p>
    <w:p w:rsidR="00057112" w:rsidRDefault="00057112" w:rsidP="00E55CFC">
      <w:pPr>
        <w:pStyle w:val="PBACHeading1"/>
        <w:numPr>
          <w:ilvl w:val="0"/>
          <w:numId w:val="0"/>
        </w:numPr>
        <w:ind w:left="720" w:hanging="720"/>
        <w:rPr>
          <w:b w:val="0"/>
          <w:sz w:val="24"/>
          <w:lang w:val="en-GB"/>
        </w:rPr>
      </w:pPr>
      <w:r w:rsidRPr="002A39BE">
        <w:rPr>
          <w:b w:val="0"/>
          <w:sz w:val="24"/>
          <w:lang w:val="en-GB"/>
        </w:rPr>
        <w:t xml:space="preserve">Rejected </w:t>
      </w:r>
    </w:p>
    <w:p w:rsidR="00902DBA" w:rsidRDefault="00902DBA" w:rsidP="002A32A6">
      <w:pPr>
        <w:pStyle w:val="PBACHeading1"/>
        <w:spacing w:before="240" w:after="120"/>
        <w:outlineLvl w:val="0"/>
      </w:pPr>
      <w:r>
        <w:t xml:space="preserve">Context for Decision </w:t>
      </w:r>
    </w:p>
    <w:p w:rsidR="00020677" w:rsidRPr="00020677" w:rsidRDefault="00020677" w:rsidP="00020677">
      <w:pPr>
        <w:spacing w:after="120" w:line="276" w:lineRule="auto"/>
        <w:rPr>
          <w:rFonts w:asciiTheme="minorHAnsi" w:eastAsiaTheme="minorHAnsi" w:hAnsiTheme="minorHAnsi"/>
          <w:bCs/>
        </w:rPr>
      </w:pPr>
      <w:r w:rsidRPr="00020677">
        <w:rPr>
          <w:rFonts w:asciiTheme="minorHAnsi" w:eastAsiaTheme="minorHAnsi" w:hAnsiTheme="minorHAnsi"/>
          <w:bCs/>
        </w:rPr>
        <w:lastRenderedPageBreak/>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02DBA" w:rsidRPr="00D53BD3" w:rsidRDefault="00902DBA" w:rsidP="002A32A6">
      <w:pPr>
        <w:pStyle w:val="PBACHeading1"/>
        <w:spacing w:before="240" w:after="120"/>
        <w:outlineLvl w:val="0"/>
      </w:pPr>
      <w:r w:rsidRPr="00D53BD3">
        <w:t>Sponsor’s Comment</w:t>
      </w:r>
    </w:p>
    <w:p w:rsidR="00902DBA" w:rsidRPr="00020677" w:rsidRDefault="00902DBA" w:rsidP="00020677">
      <w:pPr>
        <w:spacing w:after="120" w:line="276" w:lineRule="auto"/>
        <w:rPr>
          <w:rFonts w:asciiTheme="minorHAnsi" w:eastAsiaTheme="minorHAnsi" w:hAnsiTheme="minorHAnsi"/>
          <w:bCs/>
        </w:rPr>
      </w:pPr>
      <w:r w:rsidRPr="00D53BD3">
        <w:rPr>
          <w:rFonts w:asciiTheme="minorHAnsi" w:eastAsiaTheme="minorHAnsi" w:hAnsiTheme="minorHAnsi"/>
          <w:bCs/>
        </w:rPr>
        <w:t>The sponsor had no comment.</w:t>
      </w:r>
    </w:p>
    <w:sectPr w:rsidR="00902DBA" w:rsidRPr="00020677" w:rsidSect="003B6632">
      <w:headerReference w:type="default" r:id="rId11"/>
      <w:footerReference w:type="default" r:id="rId12"/>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2EE00E" w16cid:durableId="21483CBB"/>
  <w16cid:commentId w16cid:paraId="38C395B3" w16cid:durableId="21483D36"/>
  <w16cid:commentId w16cid:paraId="3B1BE7CC" w16cid:durableId="21483E24"/>
  <w16cid:commentId w16cid:paraId="15176419" w16cid:durableId="21483E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B22" w:rsidRDefault="00B07B22" w:rsidP="00124A51">
      <w:r>
        <w:separator/>
      </w:r>
    </w:p>
    <w:p w:rsidR="00B07B22" w:rsidRDefault="00B07B22"/>
  </w:endnote>
  <w:endnote w:type="continuationSeparator" w:id="0">
    <w:p w:rsidR="00B07B22" w:rsidRDefault="00B07B22" w:rsidP="00124A51">
      <w:r>
        <w:continuationSeparator/>
      </w:r>
    </w:p>
    <w:p w:rsidR="00B07B22" w:rsidRDefault="00B07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98" w:rsidRPr="00441598" w:rsidRDefault="00441598" w:rsidP="00441598">
    <w:pPr>
      <w:widowControl/>
      <w:tabs>
        <w:tab w:val="center" w:pos="4513"/>
        <w:tab w:val="right" w:pos="9026"/>
      </w:tabs>
      <w:jc w:val="center"/>
      <w:rPr>
        <w:rFonts w:eastAsia="Calibri"/>
        <w:b/>
        <w:snapToGrid/>
      </w:rPr>
    </w:pPr>
    <w:r w:rsidRPr="00441598">
      <w:rPr>
        <w:rFonts w:eastAsia="Calibri"/>
        <w:b/>
        <w:snapToGrid/>
      </w:rPr>
      <w:fldChar w:fldCharType="begin"/>
    </w:r>
    <w:r w:rsidRPr="00441598">
      <w:rPr>
        <w:rFonts w:eastAsia="Calibri"/>
        <w:b/>
        <w:snapToGrid/>
      </w:rPr>
      <w:instrText xml:space="preserve"> PAGE   \* MERGEFORMAT </w:instrText>
    </w:r>
    <w:r w:rsidRPr="00441598">
      <w:rPr>
        <w:rFonts w:eastAsia="Calibri"/>
        <w:b/>
        <w:snapToGrid/>
      </w:rPr>
      <w:fldChar w:fldCharType="separate"/>
    </w:r>
    <w:r>
      <w:rPr>
        <w:rFonts w:eastAsia="Calibri"/>
        <w:b/>
        <w:noProof/>
        <w:snapToGrid/>
      </w:rPr>
      <w:t>1</w:t>
    </w:r>
    <w:r w:rsidRPr="00441598">
      <w:rPr>
        <w:rFonts w:eastAsia="Calibri"/>
        <w:b/>
        <w:noProof/>
        <w:snapToGrid/>
      </w:rPr>
      <w:fldChar w:fldCharType="end"/>
    </w:r>
  </w:p>
  <w:p w:rsidR="00441598" w:rsidRDefault="00441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B22" w:rsidRDefault="00B07B22" w:rsidP="00124A51">
      <w:r>
        <w:separator/>
      </w:r>
    </w:p>
    <w:p w:rsidR="00B07B22" w:rsidRDefault="00B07B22"/>
  </w:footnote>
  <w:footnote w:type="continuationSeparator" w:id="0">
    <w:p w:rsidR="00B07B22" w:rsidRDefault="00B07B22" w:rsidP="00124A51">
      <w:r>
        <w:continuationSeparator/>
      </w:r>
    </w:p>
    <w:p w:rsidR="00B07B22" w:rsidRDefault="00B07B22"/>
  </w:footnote>
  <w:footnote w:id="1">
    <w:p w:rsidR="008C4F12" w:rsidRDefault="008C4F12">
      <w:pPr>
        <w:pStyle w:val="FootnoteText"/>
      </w:pPr>
      <w:r>
        <w:rPr>
          <w:rStyle w:val="FootnoteReference"/>
        </w:rPr>
        <w:footnoteRef/>
      </w:r>
      <w:r>
        <w:t xml:space="preserve"> AHA 2005; KDIGO 2012; KHA 2015; NKF 2014; UKRA 2014; RCH 2016; Kovesdy 2016; Maxwell et al. 2013</w:t>
      </w:r>
    </w:p>
  </w:footnote>
  <w:footnote w:id="2">
    <w:p w:rsidR="008C4F12" w:rsidRDefault="008C4F12">
      <w:pPr>
        <w:pStyle w:val="FootnoteText"/>
      </w:pPr>
      <w:r>
        <w:rPr>
          <w:rStyle w:val="FootnoteReference"/>
        </w:rPr>
        <w:footnoteRef/>
      </w:r>
      <w:r>
        <w:t xml:space="preserve"> </w:t>
      </w:r>
      <w:r>
        <w:rPr>
          <w:color w:val="222222"/>
        </w:rPr>
        <w:t xml:space="preserve">Collins AJ, Pitt B, Reaven N, et al. Association of serum potassium with all-cause mortality in patients with and without heart failure, chronic kidney disease, and/or diabetes. </w:t>
      </w:r>
      <w:r>
        <w:rPr>
          <w:i/>
          <w:iCs/>
          <w:color w:val="222222"/>
        </w:rPr>
        <w:t xml:space="preserve">American Journal of Nephrology. </w:t>
      </w:r>
      <w:r>
        <w:rPr>
          <w:iCs/>
          <w:color w:val="222222"/>
        </w:rPr>
        <w:t xml:space="preserve">2017; </w:t>
      </w:r>
      <w:r w:rsidRPr="00F13BC7">
        <w:rPr>
          <w:iCs/>
          <w:color w:val="222222"/>
        </w:rPr>
        <w:t>46</w:t>
      </w:r>
      <w:r w:rsidRPr="00F13BC7">
        <w:rPr>
          <w:color w:val="222222"/>
        </w:rPr>
        <w:t>(3</w:t>
      </w:r>
      <w:r>
        <w:rPr>
          <w:color w:val="222222"/>
        </w:rPr>
        <w:t>): 213-221.</w:t>
      </w:r>
    </w:p>
  </w:footnote>
  <w:footnote w:id="3">
    <w:p w:rsidR="008C4F12" w:rsidRDefault="008C4F12">
      <w:pPr>
        <w:pStyle w:val="FootnoteText"/>
      </w:pPr>
      <w:r>
        <w:rPr>
          <w:rStyle w:val="FootnoteReference"/>
        </w:rPr>
        <w:footnoteRef/>
      </w:r>
      <w:r>
        <w:t xml:space="preserve"> </w:t>
      </w:r>
      <w:r>
        <w:rPr>
          <w:color w:val="222222"/>
        </w:rPr>
        <w:t xml:space="preserve">Chernin G, Gal‐Oz A, Ben‐Assa E,  et al. Secondary prevention of hyperkalemia with sodium polystyrene sulfonate in cardiac and kidney patients on renin‐angiotensin‐aldosterone system inhibition therapy. </w:t>
      </w:r>
      <w:r>
        <w:rPr>
          <w:i/>
          <w:iCs/>
          <w:color w:val="222222"/>
        </w:rPr>
        <w:t xml:space="preserve">Clinical Cardiology. </w:t>
      </w:r>
      <w:r>
        <w:rPr>
          <w:iCs/>
          <w:color w:val="222222"/>
        </w:rPr>
        <w:t>2012;</w:t>
      </w:r>
      <w:r>
        <w:rPr>
          <w:color w:val="222222"/>
        </w:rPr>
        <w:t xml:space="preserve"> </w:t>
      </w:r>
      <w:r w:rsidRPr="00F13BC7">
        <w:rPr>
          <w:iCs/>
          <w:color w:val="222222"/>
        </w:rPr>
        <w:t>35</w:t>
      </w:r>
      <w:r w:rsidRPr="00F13BC7">
        <w:rPr>
          <w:color w:val="222222"/>
        </w:rPr>
        <w:t>(</w:t>
      </w:r>
      <w:r>
        <w:rPr>
          <w:color w:val="222222"/>
        </w:rPr>
        <w:t>1): 32-36.</w:t>
      </w:r>
    </w:p>
  </w:footnote>
  <w:footnote w:id="4">
    <w:p w:rsidR="008C4F12" w:rsidRDefault="008C4F12">
      <w:pPr>
        <w:pStyle w:val="FootnoteText"/>
      </w:pPr>
      <w:r>
        <w:rPr>
          <w:rStyle w:val="FootnoteReference"/>
        </w:rPr>
        <w:footnoteRef/>
      </w:r>
      <w:r>
        <w:t xml:space="preserve"> </w:t>
      </w:r>
      <w:r>
        <w:rPr>
          <w:color w:val="222222"/>
        </w:rPr>
        <w:t xml:space="preserve">Yu MY, Yeo JH, Park JS, et al. Long-term efficacy of oral calcium polystyrene sulfonate for hyperkalemia in CKD patients. </w:t>
      </w:r>
      <w:r>
        <w:rPr>
          <w:i/>
          <w:iCs/>
          <w:color w:val="222222"/>
        </w:rPr>
        <w:t xml:space="preserve">PloS One. </w:t>
      </w:r>
      <w:r w:rsidRPr="00F13BC7">
        <w:rPr>
          <w:iCs/>
          <w:color w:val="222222"/>
        </w:rPr>
        <w:t>2017;</w:t>
      </w:r>
      <w:r w:rsidRPr="00F13BC7">
        <w:rPr>
          <w:color w:val="222222"/>
        </w:rPr>
        <w:t xml:space="preserve"> </w:t>
      </w:r>
      <w:r w:rsidRPr="00F13BC7">
        <w:rPr>
          <w:iCs/>
          <w:color w:val="222222"/>
        </w:rPr>
        <w:t>12</w:t>
      </w:r>
      <w:r w:rsidRPr="00F13BC7">
        <w:rPr>
          <w:color w:val="222222"/>
        </w:rPr>
        <w:t>(3</w:t>
      </w:r>
      <w:r>
        <w:rPr>
          <w:color w:val="222222"/>
        </w:rPr>
        <w:t>): p.e0173542.</w:t>
      </w:r>
    </w:p>
  </w:footnote>
  <w:footnote w:id="5">
    <w:p w:rsidR="008C4F12" w:rsidRDefault="008C4F12" w:rsidP="00A478FB">
      <w:pPr>
        <w:pStyle w:val="FootnoteText"/>
      </w:pPr>
      <w:r>
        <w:rPr>
          <w:rStyle w:val="FootnoteReference"/>
        </w:rPr>
        <w:footnoteRef/>
      </w:r>
      <w:r>
        <w:t xml:space="preserve"> </w:t>
      </w:r>
      <w:r w:rsidRPr="00E13228">
        <w:t xml:space="preserve">  Bowden R, Murali K, Lambert K</w:t>
      </w:r>
      <w:r>
        <w:t>,</w:t>
      </w:r>
      <w:r w:rsidRPr="00E13228">
        <w:t xml:space="preserve"> et al. Chronic use of</w:t>
      </w:r>
      <w:r>
        <w:t xml:space="preserve"> sodium polystyrene sulfonate (R</w:t>
      </w:r>
      <w:r w:rsidRPr="00E13228">
        <w:t xml:space="preserve">esonium) enables wider </w:t>
      </w:r>
      <w:r w:rsidRPr="00033AE8">
        <w:t>implementation</w:t>
      </w:r>
      <w:r w:rsidRPr="00E13228">
        <w:t xml:space="preserve"> of renin-angiotensin-aldosterone inhibition in chronic kidney disease patients. </w:t>
      </w:r>
      <w:r>
        <w:t>Abstract of p</w:t>
      </w:r>
      <w:r w:rsidRPr="00E13228">
        <w:t>oster presented at: Australian and New Zealand Society of Nephrology Annual Scientific Meeting</w:t>
      </w:r>
      <w:r>
        <w:t>.</w:t>
      </w:r>
      <w:r w:rsidRPr="00E13228">
        <w:t xml:space="preserve"> 2017</w:t>
      </w:r>
      <w:r>
        <w:t>,</w:t>
      </w:r>
      <w:r w:rsidRPr="00E13228">
        <w:t xml:space="preserve"> Sep 2-6; Darwin, Australia.</w:t>
      </w:r>
    </w:p>
  </w:footnote>
  <w:footnote w:id="6">
    <w:p w:rsidR="008C4F12" w:rsidRDefault="008C4F12">
      <w:pPr>
        <w:pStyle w:val="FootnoteText"/>
      </w:pPr>
      <w:r>
        <w:rPr>
          <w:rStyle w:val="FootnoteReference"/>
        </w:rPr>
        <w:footnoteRef/>
      </w:r>
      <w:r>
        <w:t xml:space="preserve"> </w:t>
      </w:r>
      <w:r>
        <w:rPr>
          <w:color w:val="222222"/>
        </w:rPr>
        <w:t xml:space="preserve">Agarwal R, Rossignol P, Romero A, et al. Patiromer versus placebo to enable spironolactone use in patients with resistant hypertension and chronic kidney disease (AMBER): a phase 2, randomised, double-blind, placebo-controlled trial. </w:t>
      </w:r>
      <w:r>
        <w:rPr>
          <w:i/>
          <w:iCs/>
          <w:color w:val="222222"/>
        </w:rPr>
        <w:t>The Lancet</w:t>
      </w:r>
      <w:r>
        <w:rPr>
          <w:color w:val="222222"/>
        </w:rPr>
        <w:t>. 2019; DOI: 10.1016/S0140-6736(19)32135-X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98" w:rsidRPr="00441598" w:rsidRDefault="00441598" w:rsidP="00441598">
    <w:pPr>
      <w:widowControl/>
      <w:tabs>
        <w:tab w:val="center" w:pos="4513"/>
        <w:tab w:val="right" w:pos="9026"/>
      </w:tabs>
      <w:jc w:val="center"/>
      <w:rPr>
        <w:rFonts w:eastAsia="Calibri"/>
        <w:i/>
        <w:snapToGrid/>
      </w:rPr>
    </w:pPr>
    <w:r w:rsidRPr="00441598">
      <w:rPr>
        <w:rFonts w:eastAsia="Calibri"/>
        <w:i/>
        <w:snapToGrid/>
      </w:rPr>
      <w:t>Public Summary Document – November 2019 PBAC Meeting</w:t>
    </w:r>
  </w:p>
  <w:p w:rsidR="008C4F12" w:rsidRPr="00642DAB" w:rsidRDefault="008C4F12" w:rsidP="00642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EC1"/>
    <w:multiLevelType w:val="hybridMultilevel"/>
    <w:tmpl w:val="C1125B2C"/>
    <w:lvl w:ilvl="0" w:tplc="04090001">
      <w:start w:val="1"/>
      <w:numFmt w:val="bullet"/>
      <w:lvlText w:val=""/>
      <w:lvlJc w:val="left"/>
      <w:pPr>
        <w:ind w:left="720" w:hanging="360"/>
      </w:pPr>
      <w:rPr>
        <w:rFonts w:ascii="Symbol" w:hAnsi="Symbol" w:hint="default"/>
      </w:rPr>
    </w:lvl>
    <w:lvl w:ilvl="1" w:tplc="B18CBCF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46490"/>
    <w:multiLevelType w:val="hybridMultilevel"/>
    <w:tmpl w:val="5FC8F0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9BF34E4"/>
    <w:multiLevelType w:val="hybridMultilevel"/>
    <w:tmpl w:val="B85E889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BD4213E"/>
    <w:multiLevelType w:val="hybridMultilevel"/>
    <w:tmpl w:val="048CBE06"/>
    <w:lvl w:ilvl="0" w:tplc="9B5EE4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B541D7"/>
    <w:multiLevelType w:val="hybridMultilevel"/>
    <w:tmpl w:val="392006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5886152"/>
    <w:multiLevelType w:val="hybridMultilevel"/>
    <w:tmpl w:val="B3F42210"/>
    <w:lvl w:ilvl="0" w:tplc="0C090001">
      <w:start w:val="1"/>
      <w:numFmt w:val="bullet"/>
      <w:lvlText w:val=""/>
      <w:lvlJc w:val="left"/>
      <w:pPr>
        <w:ind w:left="1545" w:hanging="360"/>
      </w:pPr>
      <w:rPr>
        <w:rFonts w:ascii="Symbol" w:hAnsi="Symbol"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6" w15:restartNumberingAfterBreak="0">
    <w:nsid w:val="36051C74"/>
    <w:multiLevelType w:val="multilevel"/>
    <w:tmpl w:val="9252DED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4000E8"/>
    <w:multiLevelType w:val="hybridMultilevel"/>
    <w:tmpl w:val="7180AB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B7C34E2"/>
    <w:multiLevelType w:val="hybridMultilevel"/>
    <w:tmpl w:val="C45C8F50"/>
    <w:lvl w:ilvl="0" w:tplc="0C090001">
      <w:start w:val="1"/>
      <w:numFmt w:val="bullet"/>
      <w:lvlText w:val=""/>
      <w:lvlJc w:val="left"/>
      <w:pPr>
        <w:ind w:left="720" w:hanging="360"/>
      </w:pPr>
      <w:rPr>
        <w:rFonts w:ascii="Symbol" w:hAnsi="Symbol" w:hint="default"/>
      </w:rPr>
    </w:lvl>
    <w:lvl w:ilvl="1" w:tplc="8870B2B2">
      <w:numFmt w:val="bullet"/>
      <w:lvlText w:val="•"/>
      <w:lvlJc w:val="left"/>
      <w:pPr>
        <w:ind w:left="1800" w:hanging="720"/>
      </w:pPr>
      <w:rPr>
        <w:rFonts w:ascii="Arial Narrow" w:eastAsia="Times New Roman" w:hAnsi="Arial Narrow"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B62B6B"/>
    <w:multiLevelType w:val="hybridMultilevel"/>
    <w:tmpl w:val="A07A1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DC4488"/>
    <w:multiLevelType w:val="multilevel"/>
    <w:tmpl w:val="9252DED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42297"/>
    <w:multiLevelType w:val="hybridMultilevel"/>
    <w:tmpl w:val="F4027854"/>
    <w:lvl w:ilvl="0" w:tplc="BABA0520">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260E4"/>
    <w:multiLevelType w:val="multilevel"/>
    <w:tmpl w:val="8C66C57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573D21"/>
    <w:multiLevelType w:val="hybridMultilevel"/>
    <w:tmpl w:val="F8EC1B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2E25C09"/>
    <w:multiLevelType w:val="hybridMultilevel"/>
    <w:tmpl w:val="A32C7A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BB6480"/>
    <w:multiLevelType w:val="multilevel"/>
    <w:tmpl w:val="C3DC5350"/>
    <w:lvl w:ilvl="0">
      <w:start w:val="1"/>
      <w:numFmt w:val="decimal"/>
      <w:lvlText w:val="%1"/>
      <w:lvlJc w:val="left"/>
      <w:pPr>
        <w:ind w:left="720" w:hanging="720"/>
      </w:pPr>
      <w:rPr>
        <w:rFonts w:hint="default"/>
        <w:b/>
      </w:rPr>
    </w:lvl>
    <w:lvl w:ilvl="1">
      <w:start w:val="1"/>
      <w:numFmt w:val="bullet"/>
      <w:lvlText w:val=""/>
      <w:lvlJc w:val="left"/>
      <w:pPr>
        <w:ind w:left="5823"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C85236"/>
    <w:multiLevelType w:val="multilevel"/>
    <w:tmpl w:val="42AE6B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7B6B17"/>
    <w:multiLevelType w:val="hybridMultilevel"/>
    <w:tmpl w:val="59DA66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42D3DF6"/>
    <w:multiLevelType w:val="hybridMultilevel"/>
    <w:tmpl w:val="8EF011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4BF2DD3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0E23A0"/>
    <w:multiLevelType w:val="hybridMultilevel"/>
    <w:tmpl w:val="EFC26D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F53672A"/>
    <w:multiLevelType w:val="hybridMultilevel"/>
    <w:tmpl w:val="A288BE4A"/>
    <w:lvl w:ilvl="0" w:tplc="8C8C3BD4">
      <w:start w:val="1"/>
      <w:numFmt w:val="decimal"/>
      <w:lvlText w:val="%1."/>
      <w:lvlJc w:val="left"/>
      <w:pPr>
        <w:ind w:left="829" w:hanging="360"/>
      </w:pPr>
      <w:rPr>
        <w:i w:val="0"/>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num w:numId="1">
    <w:abstractNumId w:val="8"/>
  </w:num>
  <w:num w:numId="2">
    <w:abstractNumId w:val="0"/>
  </w:num>
  <w:num w:numId="3">
    <w:abstractNumId w:val="20"/>
  </w:num>
  <w:num w:numId="4">
    <w:abstractNumId w:val="11"/>
  </w:num>
  <w:num w:numId="5">
    <w:abstractNumId w:val="16"/>
  </w:num>
  <w:num w:numId="6">
    <w:abstractNumId w:val="21"/>
  </w:num>
  <w:num w:numId="7">
    <w:abstractNumId w:val="5"/>
  </w:num>
  <w:num w:numId="8">
    <w:abstractNumId w:val="7"/>
  </w:num>
  <w:num w:numId="9">
    <w:abstractNumId w:val="19"/>
  </w:num>
  <w:num w:numId="10">
    <w:abstractNumId w:val="13"/>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5"/>
  </w:num>
  <w:num w:numId="14">
    <w:abstractNumId w:val="17"/>
  </w:num>
  <w:num w:numId="15">
    <w:abstractNumId w:val="9"/>
  </w:num>
  <w:num w:numId="16">
    <w:abstractNumId w:val="14"/>
  </w:num>
  <w:num w:numId="17">
    <w:abstractNumId w:val="18"/>
  </w:num>
  <w:num w:numId="18">
    <w:abstractNumId w:val="4"/>
  </w:num>
  <w:num w:numId="19">
    <w:abstractNumId w:val="2"/>
  </w:num>
  <w:num w:numId="20">
    <w:abstractNumId w:val="6"/>
  </w:num>
  <w:num w:numId="21">
    <w:abstractNumId w:val="10"/>
  </w:num>
  <w:num w:numId="22">
    <w:abstractNumId w:val="3"/>
  </w:num>
  <w:num w:numId="23">
    <w:abstractNumId w:val="1"/>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545"/>
    <w:rsid w:val="0000248C"/>
    <w:rsid w:val="00003499"/>
    <w:rsid w:val="000039B7"/>
    <w:rsid w:val="0000519A"/>
    <w:rsid w:val="000055EF"/>
    <w:rsid w:val="0000560E"/>
    <w:rsid w:val="00006212"/>
    <w:rsid w:val="00006B45"/>
    <w:rsid w:val="00006DBF"/>
    <w:rsid w:val="000077A1"/>
    <w:rsid w:val="00007E39"/>
    <w:rsid w:val="0001015C"/>
    <w:rsid w:val="00010E88"/>
    <w:rsid w:val="00012038"/>
    <w:rsid w:val="00012EEE"/>
    <w:rsid w:val="00013247"/>
    <w:rsid w:val="000138C3"/>
    <w:rsid w:val="000151FF"/>
    <w:rsid w:val="000153CF"/>
    <w:rsid w:val="00015428"/>
    <w:rsid w:val="00015886"/>
    <w:rsid w:val="000162EF"/>
    <w:rsid w:val="000163E6"/>
    <w:rsid w:val="0001763F"/>
    <w:rsid w:val="000200A5"/>
    <w:rsid w:val="00020677"/>
    <w:rsid w:val="0002225F"/>
    <w:rsid w:val="00022875"/>
    <w:rsid w:val="00023763"/>
    <w:rsid w:val="00024155"/>
    <w:rsid w:val="00024898"/>
    <w:rsid w:val="0002565E"/>
    <w:rsid w:val="00026A71"/>
    <w:rsid w:val="00026EB0"/>
    <w:rsid w:val="00027443"/>
    <w:rsid w:val="00033863"/>
    <w:rsid w:val="00033AE8"/>
    <w:rsid w:val="00034E83"/>
    <w:rsid w:val="00035DC0"/>
    <w:rsid w:val="00036829"/>
    <w:rsid w:val="00037531"/>
    <w:rsid w:val="00037E9F"/>
    <w:rsid w:val="00040895"/>
    <w:rsid w:val="00041848"/>
    <w:rsid w:val="00041CA9"/>
    <w:rsid w:val="0004278C"/>
    <w:rsid w:val="00042B57"/>
    <w:rsid w:val="00042F1D"/>
    <w:rsid w:val="00043C37"/>
    <w:rsid w:val="00044695"/>
    <w:rsid w:val="00044C20"/>
    <w:rsid w:val="00045017"/>
    <w:rsid w:val="0004563A"/>
    <w:rsid w:val="00045A2B"/>
    <w:rsid w:val="0004657E"/>
    <w:rsid w:val="0004698F"/>
    <w:rsid w:val="00046C26"/>
    <w:rsid w:val="00050EF7"/>
    <w:rsid w:val="00051497"/>
    <w:rsid w:val="000519B6"/>
    <w:rsid w:val="00051FD6"/>
    <w:rsid w:val="000533C6"/>
    <w:rsid w:val="0005381A"/>
    <w:rsid w:val="000539D0"/>
    <w:rsid w:val="0005429F"/>
    <w:rsid w:val="00054621"/>
    <w:rsid w:val="000546D7"/>
    <w:rsid w:val="00054DB9"/>
    <w:rsid w:val="00055B25"/>
    <w:rsid w:val="000565B3"/>
    <w:rsid w:val="00056A91"/>
    <w:rsid w:val="00057112"/>
    <w:rsid w:val="00057369"/>
    <w:rsid w:val="00057905"/>
    <w:rsid w:val="000629D4"/>
    <w:rsid w:val="00064301"/>
    <w:rsid w:val="00066360"/>
    <w:rsid w:val="0006639A"/>
    <w:rsid w:val="000665A6"/>
    <w:rsid w:val="00066B70"/>
    <w:rsid w:val="00070695"/>
    <w:rsid w:val="00070B01"/>
    <w:rsid w:val="00071248"/>
    <w:rsid w:val="00071FC3"/>
    <w:rsid w:val="000720B9"/>
    <w:rsid w:val="0007235F"/>
    <w:rsid w:val="000730BC"/>
    <w:rsid w:val="000733F2"/>
    <w:rsid w:val="000737F7"/>
    <w:rsid w:val="000744F9"/>
    <w:rsid w:val="000749F6"/>
    <w:rsid w:val="00074FB8"/>
    <w:rsid w:val="0007672F"/>
    <w:rsid w:val="000774F0"/>
    <w:rsid w:val="0007754B"/>
    <w:rsid w:val="00080478"/>
    <w:rsid w:val="00080909"/>
    <w:rsid w:val="00081149"/>
    <w:rsid w:val="00081256"/>
    <w:rsid w:val="00081284"/>
    <w:rsid w:val="000812CA"/>
    <w:rsid w:val="0008131C"/>
    <w:rsid w:val="0008258D"/>
    <w:rsid w:val="00083C8E"/>
    <w:rsid w:val="00083E99"/>
    <w:rsid w:val="0008501A"/>
    <w:rsid w:val="000854FA"/>
    <w:rsid w:val="000856C5"/>
    <w:rsid w:val="000868F6"/>
    <w:rsid w:val="0009041C"/>
    <w:rsid w:val="00090C7E"/>
    <w:rsid w:val="00090D41"/>
    <w:rsid w:val="00092600"/>
    <w:rsid w:val="0009262B"/>
    <w:rsid w:val="000928E3"/>
    <w:rsid w:val="000931BD"/>
    <w:rsid w:val="00093310"/>
    <w:rsid w:val="00093AA5"/>
    <w:rsid w:val="0009445C"/>
    <w:rsid w:val="00095FE5"/>
    <w:rsid w:val="00096284"/>
    <w:rsid w:val="000A1CD6"/>
    <w:rsid w:val="000A4154"/>
    <w:rsid w:val="000A5B22"/>
    <w:rsid w:val="000A5C51"/>
    <w:rsid w:val="000A621A"/>
    <w:rsid w:val="000A6B85"/>
    <w:rsid w:val="000A7B3E"/>
    <w:rsid w:val="000A7D08"/>
    <w:rsid w:val="000B010A"/>
    <w:rsid w:val="000B0670"/>
    <w:rsid w:val="000B0E75"/>
    <w:rsid w:val="000B0E79"/>
    <w:rsid w:val="000B1846"/>
    <w:rsid w:val="000B50C3"/>
    <w:rsid w:val="000B6CAC"/>
    <w:rsid w:val="000B758F"/>
    <w:rsid w:val="000B7612"/>
    <w:rsid w:val="000B7DA5"/>
    <w:rsid w:val="000B7F2F"/>
    <w:rsid w:val="000C09AE"/>
    <w:rsid w:val="000C192E"/>
    <w:rsid w:val="000C387D"/>
    <w:rsid w:val="000C3DF9"/>
    <w:rsid w:val="000C4BE7"/>
    <w:rsid w:val="000C6713"/>
    <w:rsid w:val="000C6B23"/>
    <w:rsid w:val="000C6E4E"/>
    <w:rsid w:val="000C6E94"/>
    <w:rsid w:val="000C796E"/>
    <w:rsid w:val="000D1A78"/>
    <w:rsid w:val="000D1BFC"/>
    <w:rsid w:val="000D281A"/>
    <w:rsid w:val="000D326A"/>
    <w:rsid w:val="000D416F"/>
    <w:rsid w:val="000D51FB"/>
    <w:rsid w:val="000D65EE"/>
    <w:rsid w:val="000E135D"/>
    <w:rsid w:val="000E1613"/>
    <w:rsid w:val="000E1B25"/>
    <w:rsid w:val="000E43DD"/>
    <w:rsid w:val="000E463E"/>
    <w:rsid w:val="000E6B77"/>
    <w:rsid w:val="000F00BA"/>
    <w:rsid w:val="000F0B6F"/>
    <w:rsid w:val="000F316A"/>
    <w:rsid w:val="000F3C74"/>
    <w:rsid w:val="000F3CBA"/>
    <w:rsid w:val="000F4381"/>
    <w:rsid w:val="000F4877"/>
    <w:rsid w:val="000F4B55"/>
    <w:rsid w:val="000F4BB8"/>
    <w:rsid w:val="000F4DC3"/>
    <w:rsid w:val="000F4FB7"/>
    <w:rsid w:val="000F5A29"/>
    <w:rsid w:val="000F63BA"/>
    <w:rsid w:val="000F7127"/>
    <w:rsid w:val="00100AF5"/>
    <w:rsid w:val="00100F8A"/>
    <w:rsid w:val="0010132D"/>
    <w:rsid w:val="001022D3"/>
    <w:rsid w:val="00104EC7"/>
    <w:rsid w:val="001059B0"/>
    <w:rsid w:val="00105AE2"/>
    <w:rsid w:val="00105C07"/>
    <w:rsid w:val="001066C9"/>
    <w:rsid w:val="00106B80"/>
    <w:rsid w:val="0011032E"/>
    <w:rsid w:val="001108D6"/>
    <w:rsid w:val="00110F33"/>
    <w:rsid w:val="00111C92"/>
    <w:rsid w:val="0011348B"/>
    <w:rsid w:val="001136B4"/>
    <w:rsid w:val="0011416A"/>
    <w:rsid w:val="00115982"/>
    <w:rsid w:val="00116AB9"/>
    <w:rsid w:val="00116C53"/>
    <w:rsid w:val="00121799"/>
    <w:rsid w:val="001222FC"/>
    <w:rsid w:val="001239A9"/>
    <w:rsid w:val="0012453C"/>
    <w:rsid w:val="00124A51"/>
    <w:rsid w:val="00124C2C"/>
    <w:rsid w:val="00126621"/>
    <w:rsid w:val="001301E9"/>
    <w:rsid w:val="00131D82"/>
    <w:rsid w:val="00133D36"/>
    <w:rsid w:val="001347FA"/>
    <w:rsid w:val="00135367"/>
    <w:rsid w:val="00137645"/>
    <w:rsid w:val="00137E5E"/>
    <w:rsid w:val="0014015A"/>
    <w:rsid w:val="001407BA"/>
    <w:rsid w:val="00140A2D"/>
    <w:rsid w:val="00140E99"/>
    <w:rsid w:val="0014128A"/>
    <w:rsid w:val="00145540"/>
    <w:rsid w:val="001456B0"/>
    <w:rsid w:val="00146280"/>
    <w:rsid w:val="001464EB"/>
    <w:rsid w:val="00147FD4"/>
    <w:rsid w:val="001505CD"/>
    <w:rsid w:val="001510CA"/>
    <w:rsid w:val="001521F6"/>
    <w:rsid w:val="00155614"/>
    <w:rsid w:val="001563AD"/>
    <w:rsid w:val="00156DAA"/>
    <w:rsid w:val="00157130"/>
    <w:rsid w:val="001576B1"/>
    <w:rsid w:val="00157726"/>
    <w:rsid w:val="00160A4C"/>
    <w:rsid w:val="00161B68"/>
    <w:rsid w:val="00162913"/>
    <w:rsid w:val="00163A27"/>
    <w:rsid w:val="00163EFF"/>
    <w:rsid w:val="00164B93"/>
    <w:rsid w:val="001661FB"/>
    <w:rsid w:val="00166D82"/>
    <w:rsid w:val="00167CFC"/>
    <w:rsid w:val="00167E58"/>
    <w:rsid w:val="001700B9"/>
    <w:rsid w:val="001723FA"/>
    <w:rsid w:val="00172DB1"/>
    <w:rsid w:val="001734C5"/>
    <w:rsid w:val="00173565"/>
    <w:rsid w:val="00173B07"/>
    <w:rsid w:val="00173BD2"/>
    <w:rsid w:val="00175957"/>
    <w:rsid w:val="00180EC4"/>
    <w:rsid w:val="00181A8E"/>
    <w:rsid w:val="00181D9C"/>
    <w:rsid w:val="001836A6"/>
    <w:rsid w:val="00183AEF"/>
    <w:rsid w:val="00186879"/>
    <w:rsid w:val="00186A23"/>
    <w:rsid w:val="0018752F"/>
    <w:rsid w:val="00187C5E"/>
    <w:rsid w:val="00190CAB"/>
    <w:rsid w:val="00190D85"/>
    <w:rsid w:val="00195222"/>
    <w:rsid w:val="001975D8"/>
    <w:rsid w:val="001977BD"/>
    <w:rsid w:val="001A00F6"/>
    <w:rsid w:val="001A0234"/>
    <w:rsid w:val="001A05A0"/>
    <w:rsid w:val="001A2D58"/>
    <w:rsid w:val="001A43FA"/>
    <w:rsid w:val="001A54EF"/>
    <w:rsid w:val="001A59FB"/>
    <w:rsid w:val="001A6354"/>
    <w:rsid w:val="001A7AE8"/>
    <w:rsid w:val="001B04F9"/>
    <w:rsid w:val="001B204E"/>
    <w:rsid w:val="001B2B81"/>
    <w:rsid w:val="001B3443"/>
    <w:rsid w:val="001B4D20"/>
    <w:rsid w:val="001B4D9E"/>
    <w:rsid w:val="001B7732"/>
    <w:rsid w:val="001B7BAA"/>
    <w:rsid w:val="001C2A9B"/>
    <w:rsid w:val="001C2F81"/>
    <w:rsid w:val="001C4182"/>
    <w:rsid w:val="001C4299"/>
    <w:rsid w:val="001C4941"/>
    <w:rsid w:val="001C4971"/>
    <w:rsid w:val="001C5F94"/>
    <w:rsid w:val="001C623C"/>
    <w:rsid w:val="001C6E66"/>
    <w:rsid w:val="001D0300"/>
    <w:rsid w:val="001D133C"/>
    <w:rsid w:val="001D1430"/>
    <w:rsid w:val="001D1D25"/>
    <w:rsid w:val="001D22FF"/>
    <w:rsid w:val="001D33C5"/>
    <w:rsid w:val="001D7025"/>
    <w:rsid w:val="001E1E07"/>
    <w:rsid w:val="001E2085"/>
    <w:rsid w:val="001E238E"/>
    <w:rsid w:val="001E2483"/>
    <w:rsid w:val="001E2B1E"/>
    <w:rsid w:val="001E30D4"/>
    <w:rsid w:val="001E3425"/>
    <w:rsid w:val="001E398D"/>
    <w:rsid w:val="001E43F4"/>
    <w:rsid w:val="001E49FC"/>
    <w:rsid w:val="001E52EB"/>
    <w:rsid w:val="001E61D2"/>
    <w:rsid w:val="001E6F91"/>
    <w:rsid w:val="001E740C"/>
    <w:rsid w:val="001E77E8"/>
    <w:rsid w:val="001E7FD0"/>
    <w:rsid w:val="001F0FDE"/>
    <w:rsid w:val="001F1235"/>
    <w:rsid w:val="001F1588"/>
    <w:rsid w:val="001F1CB3"/>
    <w:rsid w:val="001F1E82"/>
    <w:rsid w:val="001F3019"/>
    <w:rsid w:val="001F375B"/>
    <w:rsid w:val="001F38B5"/>
    <w:rsid w:val="001F3C00"/>
    <w:rsid w:val="001F6558"/>
    <w:rsid w:val="001F7361"/>
    <w:rsid w:val="001F768F"/>
    <w:rsid w:val="001F7911"/>
    <w:rsid w:val="001F7BE5"/>
    <w:rsid w:val="00200424"/>
    <w:rsid w:val="002009BE"/>
    <w:rsid w:val="00200BA7"/>
    <w:rsid w:val="002011B0"/>
    <w:rsid w:val="00202916"/>
    <w:rsid w:val="00203181"/>
    <w:rsid w:val="002033A6"/>
    <w:rsid w:val="00203783"/>
    <w:rsid w:val="0020385F"/>
    <w:rsid w:val="00204729"/>
    <w:rsid w:val="0020699A"/>
    <w:rsid w:val="00207021"/>
    <w:rsid w:val="0020732F"/>
    <w:rsid w:val="00207D00"/>
    <w:rsid w:val="002105C1"/>
    <w:rsid w:val="0021102E"/>
    <w:rsid w:val="002129C4"/>
    <w:rsid w:val="0021367F"/>
    <w:rsid w:val="002136E2"/>
    <w:rsid w:val="00216F9E"/>
    <w:rsid w:val="00220C77"/>
    <w:rsid w:val="00222313"/>
    <w:rsid w:val="00223B49"/>
    <w:rsid w:val="002243B7"/>
    <w:rsid w:val="00224DD4"/>
    <w:rsid w:val="00224E5B"/>
    <w:rsid w:val="00224F57"/>
    <w:rsid w:val="002264D9"/>
    <w:rsid w:val="00227245"/>
    <w:rsid w:val="0022774C"/>
    <w:rsid w:val="002309CC"/>
    <w:rsid w:val="00230BD3"/>
    <w:rsid w:val="0023209F"/>
    <w:rsid w:val="00232919"/>
    <w:rsid w:val="0023376C"/>
    <w:rsid w:val="00235F7E"/>
    <w:rsid w:val="0023603B"/>
    <w:rsid w:val="0023629D"/>
    <w:rsid w:val="002362FF"/>
    <w:rsid w:val="00237255"/>
    <w:rsid w:val="002376D1"/>
    <w:rsid w:val="002404AC"/>
    <w:rsid w:val="00240CE0"/>
    <w:rsid w:val="002419F7"/>
    <w:rsid w:val="002424AF"/>
    <w:rsid w:val="002427D3"/>
    <w:rsid w:val="00242899"/>
    <w:rsid w:val="00242DC7"/>
    <w:rsid w:val="002439DC"/>
    <w:rsid w:val="00244DC8"/>
    <w:rsid w:val="00245673"/>
    <w:rsid w:val="002458BA"/>
    <w:rsid w:val="00245B9F"/>
    <w:rsid w:val="0024636C"/>
    <w:rsid w:val="00246F1F"/>
    <w:rsid w:val="002475AD"/>
    <w:rsid w:val="00247925"/>
    <w:rsid w:val="002505E0"/>
    <w:rsid w:val="002509F2"/>
    <w:rsid w:val="00252129"/>
    <w:rsid w:val="002525C6"/>
    <w:rsid w:val="0025424D"/>
    <w:rsid w:val="00254DCF"/>
    <w:rsid w:val="002551C3"/>
    <w:rsid w:val="0025534B"/>
    <w:rsid w:val="00255BB7"/>
    <w:rsid w:val="00257541"/>
    <w:rsid w:val="0026072A"/>
    <w:rsid w:val="00260851"/>
    <w:rsid w:val="00262A1A"/>
    <w:rsid w:val="00262A87"/>
    <w:rsid w:val="00264C4F"/>
    <w:rsid w:val="00264D26"/>
    <w:rsid w:val="00265D9E"/>
    <w:rsid w:val="00266F53"/>
    <w:rsid w:val="00267348"/>
    <w:rsid w:val="00267642"/>
    <w:rsid w:val="00267AEA"/>
    <w:rsid w:val="0027007E"/>
    <w:rsid w:val="002700E6"/>
    <w:rsid w:val="002707A7"/>
    <w:rsid w:val="0027294B"/>
    <w:rsid w:val="00274598"/>
    <w:rsid w:val="00274A7E"/>
    <w:rsid w:val="00275C5A"/>
    <w:rsid w:val="00275EA0"/>
    <w:rsid w:val="002773E4"/>
    <w:rsid w:val="00281014"/>
    <w:rsid w:val="002832ED"/>
    <w:rsid w:val="00285E98"/>
    <w:rsid w:val="00286A82"/>
    <w:rsid w:val="00287D5B"/>
    <w:rsid w:val="00291179"/>
    <w:rsid w:val="00291961"/>
    <w:rsid w:val="00292316"/>
    <w:rsid w:val="002947F9"/>
    <w:rsid w:val="00294AF7"/>
    <w:rsid w:val="00295D39"/>
    <w:rsid w:val="00295E1E"/>
    <w:rsid w:val="002A0761"/>
    <w:rsid w:val="002A0F77"/>
    <w:rsid w:val="002A14AB"/>
    <w:rsid w:val="002A2F50"/>
    <w:rsid w:val="002A32A6"/>
    <w:rsid w:val="002A39BE"/>
    <w:rsid w:val="002A3D9B"/>
    <w:rsid w:val="002A5D33"/>
    <w:rsid w:val="002B022F"/>
    <w:rsid w:val="002B09A4"/>
    <w:rsid w:val="002B0C6E"/>
    <w:rsid w:val="002B1C1F"/>
    <w:rsid w:val="002B261B"/>
    <w:rsid w:val="002B432F"/>
    <w:rsid w:val="002B5CFC"/>
    <w:rsid w:val="002B5EE7"/>
    <w:rsid w:val="002B62B3"/>
    <w:rsid w:val="002B6754"/>
    <w:rsid w:val="002B6CCE"/>
    <w:rsid w:val="002C0C23"/>
    <w:rsid w:val="002C1534"/>
    <w:rsid w:val="002C190B"/>
    <w:rsid w:val="002C2510"/>
    <w:rsid w:val="002C2775"/>
    <w:rsid w:val="002C27C1"/>
    <w:rsid w:val="002C46C2"/>
    <w:rsid w:val="002C5099"/>
    <w:rsid w:val="002C5889"/>
    <w:rsid w:val="002C70AD"/>
    <w:rsid w:val="002C71CE"/>
    <w:rsid w:val="002D0B82"/>
    <w:rsid w:val="002D37D5"/>
    <w:rsid w:val="002D4BAA"/>
    <w:rsid w:val="002D577C"/>
    <w:rsid w:val="002D5E04"/>
    <w:rsid w:val="002D6908"/>
    <w:rsid w:val="002E15B9"/>
    <w:rsid w:val="002E1824"/>
    <w:rsid w:val="002E2158"/>
    <w:rsid w:val="002E352B"/>
    <w:rsid w:val="002E74DE"/>
    <w:rsid w:val="002E7722"/>
    <w:rsid w:val="002F07BA"/>
    <w:rsid w:val="002F0DA9"/>
    <w:rsid w:val="002F1C1C"/>
    <w:rsid w:val="002F3814"/>
    <w:rsid w:val="002F4587"/>
    <w:rsid w:val="002F5A68"/>
    <w:rsid w:val="002F643C"/>
    <w:rsid w:val="002F71C0"/>
    <w:rsid w:val="002F7D28"/>
    <w:rsid w:val="00301017"/>
    <w:rsid w:val="0030155F"/>
    <w:rsid w:val="003021E1"/>
    <w:rsid w:val="00302D63"/>
    <w:rsid w:val="00303B86"/>
    <w:rsid w:val="00303D35"/>
    <w:rsid w:val="00304B8B"/>
    <w:rsid w:val="0030587B"/>
    <w:rsid w:val="00306D98"/>
    <w:rsid w:val="0030786C"/>
    <w:rsid w:val="0031031A"/>
    <w:rsid w:val="00310981"/>
    <w:rsid w:val="00311036"/>
    <w:rsid w:val="003145C6"/>
    <w:rsid w:val="003147E0"/>
    <w:rsid w:val="00314FCB"/>
    <w:rsid w:val="00315498"/>
    <w:rsid w:val="00316112"/>
    <w:rsid w:val="00316CDC"/>
    <w:rsid w:val="00317BB4"/>
    <w:rsid w:val="00317DF7"/>
    <w:rsid w:val="00320522"/>
    <w:rsid w:val="003208EF"/>
    <w:rsid w:val="00321C36"/>
    <w:rsid w:val="00322107"/>
    <w:rsid w:val="00322846"/>
    <w:rsid w:val="00322F25"/>
    <w:rsid w:val="00326DA7"/>
    <w:rsid w:val="003270E4"/>
    <w:rsid w:val="00330F5C"/>
    <w:rsid w:val="00331A21"/>
    <w:rsid w:val="003331AA"/>
    <w:rsid w:val="003366C9"/>
    <w:rsid w:val="003371B0"/>
    <w:rsid w:val="003374EF"/>
    <w:rsid w:val="0034057F"/>
    <w:rsid w:val="00340D6B"/>
    <w:rsid w:val="00340DF1"/>
    <w:rsid w:val="0034138D"/>
    <w:rsid w:val="0034752F"/>
    <w:rsid w:val="003517F9"/>
    <w:rsid w:val="00352B56"/>
    <w:rsid w:val="00353C5E"/>
    <w:rsid w:val="00353D50"/>
    <w:rsid w:val="00354608"/>
    <w:rsid w:val="00355F02"/>
    <w:rsid w:val="0035620E"/>
    <w:rsid w:val="0035652D"/>
    <w:rsid w:val="003568C5"/>
    <w:rsid w:val="00357D1E"/>
    <w:rsid w:val="003624C4"/>
    <w:rsid w:val="00362B7D"/>
    <w:rsid w:val="00362C00"/>
    <w:rsid w:val="00362E33"/>
    <w:rsid w:val="00362E40"/>
    <w:rsid w:val="0036320F"/>
    <w:rsid w:val="00363DED"/>
    <w:rsid w:val="003654AC"/>
    <w:rsid w:val="00365D06"/>
    <w:rsid w:val="00366B82"/>
    <w:rsid w:val="003710CF"/>
    <w:rsid w:val="0037358A"/>
    <w:rsid w:val="00373D5E"/>
    <w:rsid w:val="00375052"/>
    <w:rsid w:val="003750F6"/>
    <w:rsid w:val="00375487"/>
    <w:rsid w:val="00375C08"/>
    <w:rsid w:val="003760FC"/>
    <w:rsid w:val="00377CFD"/>
    <w:rsid w:val="00380B70"/>
    <w:rsid w:val="0038103D"/>
    <w:rsid w:val="0038365C"/>
    <w:rsid w:val="0038369B"/>
    <w:rsid w:val="00383B78"/>
    <w:rsid w:val="003846CA"/>
    <w:rsid w:val="00385A9D"/>
    <w:rsid w:val="003902B1"/>
    <w:rsid w:val="00390A39"/>
    <w:rsid w:val="00390F60"/>
    <w:rsid w:val="00392142"/>
    <w:rsid w:val="003928A3"/>
    <w:rsid w:val="003932B1"/>
    <w:rsid w:val="0039346D"/>
    <w:rsid w:val="00393950"/>
    <w:rsid w:val="00394B11"/>
    <w:rsid w:val="00396896"/>
    <w:rsid w:val="00396FD0"/>
    <w:rsid w:val="003A1123"/>
    <w:rsid w:val="003A1A7A"/>
    <w:rsid w:val="003A1BB3"/>
    <w:rsid w:val="003A2392"/>
    <w:rsid w:val="003A25A2"/>
    <w:rsid w:val="003A2831"/>
    <w:rsid w:val="003A3ED1"/>
    <w:rsid w:val="003A455E"/>
    <w:rsid w:val="003A5D47"/>
    <w:rsid w:val="003A7392"/>
    <w:rsid w:val="003B2160"/>
    <w:rsid w:val="003B5295"/>
    <w:rsid w:val="003B58C0"/>
    <w:rsid w:val="003B5B61"/>
    <w:rsid w:val="003B6575"/>
    <w:rsid w:val="003B6632"/>
    <w:rsid w:val="003B6ECA"/>
    <w:rsid w:val="003B7DF2"/>
    <w:rsid w:val="003C0148"/>
    <w:rsid w:val="003C157E"/>
    <w:rsid w:val="003C1644"/>
    <w:rsid w:val="003C1654"/>
    <w:rsid w:val="003C3865"/>
    <w:rsid w:val="003C4C62"/>
    <w:rsid w:val="003C6FAC"/>
    <w:rsid w:val="003C745F"/>
    <w:rsid w:val="003C74A2"/>
    <w:rsid w:val="003C7D19"/>
    <w:rsid w:val="003C7E20"/>
    <w:rsid w:val="003D17F4"/>
    <w:rsid w:val="003D1828"/>
    <w:rsid w:val="003D1DE4"/>
    <w:rsid w:val="003D2422"/>
    <w:rsid w:val="003D2C92"/>
    <w:rsid w:val="003D39A1"/>
    <w:rsid w:val="003D3F72"/>
    <w:rsid w:val="003D3FBF"/>
    <w:rsid w:val="003D4A30"/>
    <w:rsid w:val="003D4B90"/>
    <w:rsid w:val="003D4CDB"/>
    <w:rsid w:val="003D5910"/>
    <w:rsid w:val="003D62CD"/>
    <w:rsid w:val="003D6B23"/>
    <w:rsid w:val="003D79BB"/>
    <w:rsid w:val="003D7C98"/>
    <w:rsid w:val="003E0543"/>
    <w:rsid w:val="003E0A28"/>
    <w:rsid w:val="003E1672"/>
    <w:rsid w:val="003E2D58"/>
    <w:rsid w:val="003E31A7"/>
    <w:rsid w:val="003E5995"/>
    <w:rsid w:val="003E7237"/>
    <w:rsid w:val="003E7243"/>
    <w:rsid w:val="003F22CC"/>
    <w:rsid w:val="003F299E"/>
    <w:rsid w:val="003F4156"/>
    <w:rsid w:val="003F4AA5"/>
    <w:rsid w:val="003F626E"/>
    <w:rsid w:val="003F7E9D"/>
    <w:rsid w:val="004000C7"/>
    <w:rsid w:val="0040055A"/>
    <w:rsid w:val="00400736"/>
    <w:rsid w:val="00400B29"/>
    <w:rsid w:val="00401C59"/>
    <w:rsid w:val="00402F96"/>
    <w:rsid w:val="00404DE3"/>
    <w:rsid w:val="0040504B"/>
    <w:rsid w:val="004053E7"/>
    <w:rsid w:val="00405724"/>
    <w:rsid w:val="004057AA"/>
    <w:rsid w:val="004060CB"/>
    <w:rsid w:val="00410708"/>
    <w:rsid w:val="00410EC7"/>
    <w:rsid w:val="00411B39"/>
    <w:rsid w:val="00411E70"/>
    <w:rsid w:val="00412CBD"/>
    <w:rsid w:val="004139F0"/>
    <w:rsid w:val="00413A1E"/>
    <w:rsid w:val="00413E37"/>
    <w:rsid w:val="00413F85"/>
    <w:rsid w:val="00414476"/>
    <w:rsid w:val="00414C2E"/>
    <w:rsid w:val="004151CF"/>
    <w:rsid w:val="00416364"/>
    <w:rsid w:val="00416899"/>
    <w:rsid w:val="0042082F"/>
    <w:rsid w:val="004208F0"/>
    <w:rsid w:val="00420AA6"/>
    <w:rsid w:val="00420B9F"/>
    <w:rsid w:val="0042204F"/>
    <w:rsid w:val="00422260"/>
    <w:rsid w:val="0042413F"/>
    <w:rsid w:val="00426596"/>
    <w:rsid w:val="0042659C"/>
    <w:rsid w:val="004269FF"/>
    <w:rsid w:val="00427B73"/>
    <w:rsid w:val="004319F8"/>
    <w:rsid w:val="00431E55"/>
    <w:rsid w:val="004321F6"/>
    <w:rsid w:val="00433044"/>
    <w:rsid w:val="004375B9"/>
    <w:rsid w:val="004404B9"/>
    <w:rsid w:val="0044074F"/>
    <w:rsid w:val="004410F5"/>
    <w:rsid w:val="00441598"/>
    <w:rsid w:val="004428D0"/>
    <w:rsid w:val="00442DD4"/>
    <w:rsid w:val="004443A7"/>
    <w:rsid w:val="0044442C"/>
    <w:rsid w:val="004455EE"/>
    <w:rsid w:val="00445941"/>
    <w:rsid w:val="004464EB"/>
    <w:rsid w:val="00447D26"/>
    <w:rsid w:val="0045051E"/>
    <w:rsid w:val="0045126D"/>
    <w:rsid w:val="00452EC5"/>
    <w:rsid w:val="00455D45"/>
    <w:rsid w:val="00455ED0"/>
    <w:rsid w:val="00462607"/>
    <w:rsid w:val="00462852"/>
    <w:rsid w:val="00463B48"/>
    <w:rsid w:val="00464595"/>
    <w:rsid w:val="0046628E"/>
    <w:rsid w:val="004673FD"/>
    <w:rsid w:val="00467C77"/>
    <w:rsid w:val="00470133"/>
    <w:rsid w:val="00470786"/>
    <w:rsid w:val="00471489"/>
    <w:rsid w:val="00471984"/>
    <w:rsid w:val="004725C3"/>
    <w:rsid w:val="00472A79"/>
    <w:rsid w:val="00472EBC"/>
    <w:rsid w:val="00473F19"/>
    <w:rsid w:val="004740AA"/>
    <w:rsid w:val="00474C14"/>
    <w:rsid w:val="00474F9C"/>
    <w:rsid w:val="00475280"/>
    <w:rsid w:val="00475A44"/>
    <w:rsid w:val="00475B9D"/>
    <w:rsid w:val="00475E22"/>
    <w:rsid w:val="00476224"/>
    <w:rsid w:val="00477E9B"/>
    <w:rsid w:val="004801DF"/>
    <w:rsid w:val="00480719"/>
    <w:rsid w:val="0048088E"/>
    <w:rsid w:val="00481745"/>
    <w:rsid w:val="00482720"/>
    <w:rsid w:val="004835E7"/>
    <w:rsid w:val="0048379A"/>
    <w:rsid w:val="00484F3B"/>
    <w:rsid w:val="004867E2"/>
    <w:rsid w:val="00486DF5"/>
    <w:rsid w:val="00486E6B"/>
    <w:rsid w:val="00487890"/>
    <w:rsid w:val="004907A0"/>
    <w:rsid w:val="004913C6"/>
    <w:rsid w:val="0049186A"/>
    <w:rsid w:val="00491B3A"/>
    <w:rsid w:val="00492CFD"/>
    <w:rsid w:val="00494BB7"/>
    <w:rsid w:val="00494DD5"/>
    <w:rsid w:val="004962D2"/>
    <w:rsid w:val="00497363"/>
    <w:rsid w:val="004A0DA1"/>
    <w:rsid w:val="004A1593"/>
    <w:rsid w:val="004A3C04"/>
    <w:rsid w:val="004A4C1D"/>
    <w:rsid w:val="004A52E9"/>
    <w:rsid w:val="004A638B"/>
    <w:rsid w:val="004A6597"/>
    <w:rsid w:val="004A7848"/>
    <w:rsid w:val="004B0BF4"/>
    <w:rsid w:val="004B1CB4"/>
    <w:rsid w:val="004B1E4C"/>
    <w:rsid w:val="004B2A59"/>
    <w:rsid w:val="004B2D0B"/>
    <w:rsid w:val="004B2F18"/>
    <w:rsid w:val="004B3BB3"/>
    <w:rsid w:val="004B3DDB"/>
    <w:rsid w:val="004B44FD"/>
    <w:rsid w:val="004B5CFC"/>
    <w:rsid w:val="004B758A"/>
    <w:rsid w:val="004B774D"/>
    <w:rsid w:val="004C1948"/>
    <w:rsid w:val="004C1B7A"/>
    <w:rsid w:val="004C4AED"/>
    <w:rsid w:val="004D11CD"/>
    <w:rsid w:val="004D1CA5"/>
    <w:rsid w:val="004D2C2D"/>
    <w:rsid w:val="004D3F3F"/>
    <w:rsid w:val="004D4BA8"/>
    <w:rsid w:val="004D6EB7"/>
    <w:rsid w:val="004D71BA"/>
    <w:rsid w:val="004D7227"/>
    <w:rsid w:val="004E0E7F"/>
    <w:rsid w:val="004E0EB8"/>
    <w:rsid w:val="004E0F2B"/>
    <w:rsid w:val="004E2ADC"/>
    <w:rsid w:val="004E3503"/>
    <w:rsid w:val="004E43B2"/>
    <w:rsid w:val="004E544B"/>
    <w:rsid w:val="004E623C"/>
    <w:rsid w:val="004E688B"/>
    <w:rsid w:val="004E68DB"/>
    <w:rsid w:val="004E7F33"/>
    <w:rsid w:val="004F049D"/>
    <w:rsid w:val="004F112A"/>
    <w:rsid w:val="004F155E"/>
    <w:rsid w:val="004F1D02"/>
    <w:rsid w:val="004F2679"/>
    <w:rsid w:val="004F2680"/>
    <w:rsid w:val="004F2B78"/>
    <w:rsid w:val="004F2F21"/>
    <w:rsid w:val="004F4D6B"/>
    <w:rsid w:val="004F6913"/>
    <w:rsid w:val="004F7865"/>
    <w:rsid w:val="004F7CED"/>
    <w:rsid w:val="00500099"/>
    <w:rsid w:val="005013EE"/>
    <w:rsid w:val="005016D6"/>
    <w:rsid w:val="00501D3A"/>
    <w:rsid w:val="00501F78"/>
    <w:rsid w:val="0050219B"/>
    <w:rsid w:val="0050359F"/>
    <w:rsid w:val="00503F17"/>
    <w:rsid w:val="0050456E"/>
    <w:rsid w:val="00504DE7"/>
    <w:rsid w:val="00506905"/>
    <w:rsid w:val="00506928"/>
    <w:rsid w:val="005077B9"/>
    <w:rsid w:val="0050782E"/>
    <w:rsid w:val="00511EF9"/>
    <w:rsid w:val="00512204"/>
    <w:rsid w:val="0051337F"/>
    <w:rsid w:val="00513930"/>
    <w:rsid w:val="00514534"/>
    <w:rsid w:val="00514DA1"/>
    <w:rsid w:val="005152B5"/>
    <w:rsid w:val="00516C07"/>
    <w:rsid w:val="00516E91"/>
    <w:rsid w:val="005207BD"/>
    <w:rsid w:val="00520E8F"/>
    <w:rsid w:val="0052119D"/>
    <w:rsid w:val="00521264"/>
    <w:rsid w:val="00521319"/>
    <w:rsid w:val="00521788"/>
    <w:rsid w:val="00522BC8"/>
    <w:rsid w:val="00523C28"/>
    <w:rsid w:val="00535EEE"/>
    <w:rsid w:val="00536F42"/>
    <w:rsid w:val="00537182"/>
    <w:rsid w:val="00542743"/>
    <w:rsid w:val="00542C2D"/>
    <w:rsid w:val="00544656"/>
    <w:rsid w:val="00545638"/>
    <w:rsid w:val="00551985"/>
    <w:rsid w:val="00552BD3"/>
    <w:rsid w:val="00553027"/>
    <w:rsid w:val="005546A1"/>
    <w:rsid w:val="005550C9"/>
    <w:rsid w:val="00555109"/>
    <w:rsid w:val="005568DD"/>
    <w:rsid w:val="00556AA7"/>
    <w:rsid w:val="00557AA1"/>
    <w:rsid w:val="0056185E"/>
    <w:rsid w:val="005618F1"/>
    <w:rsid w:val="00562C95"/>
    <w:rsid w:val="00563FE2"/>
    <w:rsid w:val="00565C54"/>
    <w:rsid w:val="005668A9"/>
    <w:rsid w:val="0056696F"/>
    <w:rsid w:val="00566C16"/>
    <w:rsid w:val="005676B9"/>
    <w:rsid w:val="00572269"/>
    <w:rsid w:val="0057244A"/>
    <w:rsid w:val="00573432"/>
    <w:rsid w:val="00574557"/>
    <w:rsid w:val="00575D8D"/>
    <w:rsid w:val="00576972"/>
    <w:rsid w:val="00577AC0"/>
    <w:rsid w:val="005801C2"/>
    <w:rsid w:val="005811F2"/>
    <w:rsid w:val="005817C2"/>
    <w:rsid w:val="005821E6"/>
    <w:rsid w:val="005823CB"/>
    <w:rsid w:val="00583699"/>
    <w:rsid w:val="0058527A"/>
    <w:rsid w:val="00585CDD"/>
    <w:rsid w:val="00587058"/>
    <w:rsid w:val="005905A5"/>
    <w:rsid w:val="00591957"/>
    <w:rsid w:val="005919E0"/>
    <w:rsid w:val="00594035"/>
    <w:rsid w:val="00594074"/>
    <w:rsid w:val="005956F7"/>
    <w:rsid w:val="00597442"/>
    <w:rsid w:val="00597769"/>
    <w:rsid w:val="00597BF9"/>
    <w:rsid w:val="00597E47"/>
    <w:rsid w:val="005A0523"/>
    <w:rsid w:val="005A1C56"/>
    <w:rsid w:val="005A373D"/>
    <w:rsid w:val="005A3C5C"/>
    <w:rsid w:val="005A3FDF"/>
    <w:rsid w:val="005A431B"/>
    <w:rsid w:val="005A5831"/>
    <w:rsid w:val="005A6A8B"/>
    <w:rsid w:val="005A6FE1"/>
    <w:rsid w:val="005A73B4"/>
    <w:rsid w:val="005B1889"/>
    <w:rsid w:val="005B26DC"/>
    <w:rsid w:val="005B5857"/>
    <w:rsid w:val="005B59D3"/>
    <w:rsid w:val="005B73FF"/>
    <w:rsid w:val="005B79C2"/>
    <w:rsid w:val="005B7AF9"/>
    <w:rsid w:val="005C1B83"/>
    <w:rsid w:val="005C1EF7"/>
    <w:rsid w:val="005C2731"/>
    <w:rsid w:val="005C274A"/>
    <w:rsid w:val="005C2D55"/>
    <w:rsid w:val="005C3102"/>
    <w:rsid w:val="005C346B"/>
    <w:rsid w:val="005C5F4F"/>
    <w:rsid w:val="005D044D"/>
    <w:rsid w:val="005D0ABD"/>
    <w:rsid w:val="005D0C65"/>
    <w:rsid w:val="005D18AD"/>
    <w:rsid w:val="005D1C09"/>
    <w:rsid w:val="005D228E"/>
    <w:rsid w:val="005D26B4"/>
    <w:rsid w:val="005D3A88"/>
    <w:rsid w:val="005D460D"/>
    <w:rsid w:val="005D68A8"/>
    <w:rsid w:val="005E1269"/>
    <w:rsid w:val="005E6B06"/>
    <w:rsid w:val="005E6CBC"/>
    <w:rsid w:val="005E73C0"/>
    <w:rsid w:val="005F1BCE"/>
    <w:rsid w:val="005F1D68"/>
    <w:rsid w:val="005F2706"/>
    <w:rsid w:val="005F2D17"/>
    <w:rsid w:val="005F4A02"/>
    <w:rsid w:val="005F514E"/>
    <w:rsid w:val="005F56D1"/>
    <w:rsid w:val="005F5F11"/>
    <w:rsid w:val="005F6A8F"/>
    <w:rsid w:val="005F6F15"/>
    <w:rsid w:val="005F6F30"/>
    <w:rsid w:val="006004B2"/>
    <w:rsid w:val="006024AB"/>
    <w:rsid w:val="0060281F"/>
    <w:rsid w:val="00602BBB"/>
    <w:rsid w:val="0060323D"/>
    <w:rsid w:val="00603DB9"/>
    <w:rsid w:val="00605596"/>
    <w:rsid w:val="00605A6B"/>
    <w:rsid w:val="00607669"/>
    <w:rsid w:val="00607AFD"/>
    <w:rsid w:val="006108E5"/>
    <w:rsid w:val="00610D7E"/>
    <w:rsid w:val="00611873"/>
    <w:rsid w:val="00612837"/>
    <w:rsid w:val="00612F97"/>
    <w:rsid w:val="006131F4"/>
    <w:rsid w:val="0061345D"/>
    <w:rsid w:val="006158B9"/>
    <w:rsid w:val="006160FF"/>
    <w:rsid w:val="00616802"/>
    <w:rsid w:val="00617DEC"/>
    <w:rsid w:val="00617E12"/>
    <w:rsid w:val="0062048B"/>
    <w:rsid w:val="00620F5E"/>
    <w:rsid w:val="00621477"/>
    <w:rsid w:val="00621F34"/>
    <w:rsid w:val="00622327"/>
    <w:rsid w:val="006226F4"/>
    <w:rsid w:val="006233CE"/>
    <w:rsid w:val="00626413"/>
    <w:rsid w:val="0062729D"/>
    <w:rsid w:val="006275E5"/>
    <w:rsid w:val="00630D97"/>
    <w:rsid w:val="0063129B"/>
    <w:rsid w:val="0063158F"/>
    <w:rsid w:val="00631D6B"/>
    <w:rsid w:val="00632B60"/>
    <w:rsid w:val="006330A1"/>
    <w:rsid w:val="00633738"/>
    <w:rsid w:val="0063479F"/>
    <w:rsid w:val="00634E3A"/>
    <w:rsid w:val="006353F0"/>
    <w:rsid w:val="006364A1"/>
    <w:rsid w:val="00637BFD"/>
    <w:rsid w:val="00641C4E"/>
    <w:rsid w:val="00642DAB"/>
    <w:rsid w:val="006433DF"/>
    <w:rsid w:val="00643D85"/>
    <w:rsid w:val="00644516"/>
    <w:rsid w:val="006445A0"/>
    <w:rsid w:val="00646315"/>
    <w:rsid w:val="006471CC"/>
    <w:rsid w:val="0065079F"/>
    <w:rsid w:val="0065100F"/>
    <w:rsid w:val="0065379F"/>
    <w:rsid w:val="006538FC"/>
    <w:rsid w:val="00653EF5"/>
    <w:rsid w:val="0065417F"/>
    <w:rsid w:val="00654780"/>
    <w:rsid w:val="006552EA"/>
    <w:rsid w:val="0065558A"/>
    <w:rsid w:val="0065624B"/>
    <w:rsid w:val="00656D6A"/>
    <w:rsid w:val="0065767C"/>
    <w:rsid w:val="006578C0"/>
    <w:rsid w:val="00661C6B"/>
    <w:rsid w:val="0066349D"/>
    <w:rsid w:val="006641E5"/>
    <w:rsid w:val="0066670F"/>
    <w:rsid w:val="00666F3D"/>
    <w:rsid w:val="00667595"/>
    <w:rsid w:val="00671743"/>
    <w:rsid w:val="00672726"/>
    <w:rsid w:val="00672E26"/>
    <w:rsid w:val="0067354C"/>
    <w:rsid w:val="00674E42"/>
    <w:rsid w:val="00675562"/>
    <w:rsid w:val="006759C0"/>
    <w:rsid w:val="00676039"/>
    <w:rsid w:val="006770E7"/>
    <w:rsid w:val="00677D1F"/>
    <w:rsid w:val="006815F4"/>
    <w:rsid w:val="00682112"/>
    <w:rsid w:val="006838C7"/>
    <w:rsid w:val="00686957"/>
    <w:rsid w:val="006872BA"/>
    <w:rsid w:val="00690569"/>
    <w:rsid w:val="00690756"/>
    <w:rsid w:val="006913AD"/>
    <w:rsid w:val="00691648"/>
    <w:rsid w:val="006917D7"/>
    <w:rsid w:val="006943BA"/>
    <w:rsid w:val="00694F44"/>
    <w:rsid w:val="006A3F0F"/>
    <w:rsid w:val="006A5FEA"/>
    <w:rsid w:val="006A7E5F"/>
    <w:rsid w:val="006B261B"/>
    <w:rsid w:val="006B2C90"/>
    <w:rsid w:val="006B3A90"/>
    <w:rsid w:val="006B464A"/>
    <w:rsid w:val="006B6B0B"/>
    <w:rsid w:val="006B6DD0"/>
    <w:rsid w:val="006C0196"/>
    <w:rsid w:val="006C1B67"/>
    <w:rsid w:val="006C2A8E"/>
    <w:rsid w:val="006C32FD"/>
    <w:rsid w:val="006C36BE"/>
    <w:rsid w:val="006C38C5"/>
    <w:rsid w:val="006C3BA2"/>
    <w:rsid w:val="006C59D7"/>
    <w:rsid w:val="006C69CC"/>
    <w:rsid w:val="006D206F"/>
    <w:rsid w:val="006D3237"/>
    <w:rsid w:val="006D331C"/>
    <w:rsid w:val="006D3C7D"/>
    <w:rsid w:val="006D4BB5"/>
    <w:rsid w:val="006D5179"/>
    <w:rsid w:val="006D554B"/>
    <w:rsid w:val="006D5D5F"/>
    <w:rsid w:val="006E139A"/>
    <w:rsid w:val="006E2ECE"/>
    <w:rsid w:val="006E3388"/>
    <w:rsid w:val="006E52DB"/>
    <w:rsid w:val="006E6779"/>
    <w:rsid w:val="006E6EF9"/>
    <w:rsid w:val="006E782F"/>
    <w:rsid w:val="006E7BFE"/>
    <w:rsid w:val="006F2C3B"/>
    <w:rsid w:val="006F306C"/>
    <w:rsid w:val="006F4F63"/>
    <w:rsid w:val="006F63A5"/>
    <w:rsid w:val="006F77A4"/>
    <w:rsid w:val="0070060E"/>
    <w:rsid w:val="00700F7F"/>
    <w:rsid w:val="0070142B"/>
    <w:rsid w:val="00701EB4"/>
    <w:rsid w:val="0070276E"/>
    <w:rsid w:val="00702F8F"/>
    <w:rsid w:val="00704F82"/>
    <w:rsid w:val="0070515D"/>
    <w:rsid w:val="0070617F"/>
    <w:rsid w:val="0071102F"/>
    <w:rsid w:val="0071152F"/>
    <w:rsid w:val="00711A36"/>
    <w:rsid w:val="00713109"/>
    <w:rsid w:val="00714AD2"/>
    <w:rsid w:val="0071529C"/>
    <w:rsid w:val="007160B2"/>
    <w:rsid w:val="007172AD"/>
    <w:rsid w:val="00717450"/>
    <w:rsid w:val="007215F6"/>
    <w:rsid w:val="00722B1B"/>
    <w:rsid w:val="0072416F"/>
    <w:rsid w:val="00727700"/>
    <w:rsid w:val="00727C94"/>
    <w:rsid w:val="00731EAE"/>
    <w:rsid w:val="007333FA"/>
    <w:rsid w:val="00733AA5"/>
    <w:rsid w:val="00735033"/>
    <w:rsid w:val="00735328"/>
    <w:rsid w:val="00735931"/>
    <w:rsid w:val="0073685B"/>
    <w:rsid w:val="00740DCD"/>
    <w:rsid w:val="0074278D"/>
    <w:rsid w:val="00742917"/>
    <w:rsid w:val="0074776D"/>
    <w:rsid w:val="00752142"/>
    <w:rsid w:val="007523F9"/>
    <w:rsid w:val="0075306B"/>
    <w:rsid w:val="007535EB"/>
    <w:rsid w:val="0075362F"/>
    <w:rsid w:val="007545EC"/>
    <w:rsid w:val="0075543D"/>
    <w:rsid w:val="007573E8"/>
    <w:rsid w:val="007579CE"/>
    <w:rsid w:val="0076071F"/>
    <w:rsid w:val="00760C4E"/>
    <w:rsid w:val="00762095"/>
    <w:rsid w:val="00762CDD"/>
    <w:rsid w:val="00765B1A"/>
    <w:rsid w:val="00766221"/>
    <w:rsid w:val="00767E99"/>
    <w:rsid w:val="0077321B"/>
    <w:rsid w:val="0077321C"/>
    <w:rsid w:val="00775020"/>
    <w:rsid w:val="00775F05"/>
    <w:rsid w:val="00776BB7"/>
    <w:rsid w:val="0078140E"/>
    <w:rsid w:val="0078145D"/>
    <w:rsid w:val="007843F2"/>
    <w:rsid w:val="007855C2"/>
    <w:rsid w:val="00785B79"/>
    <w:rsid w:val="00787269"/>
    <w:rsid w:val="00790722"/>
    <w:rsid w:val="00792D05"/>
    <w:rsid w:val="00793F01"/>
    <w:rsid w:val="007960D3"/>
    <w:rsid w:val="00796E64"/>
    <w:rsid w:val="007A0A12"/>
    <w:rsid w:val="007A0FCA"/>
    <w:rsid w:val="007A1214"/>
    <w:rsid w:val="007A132D"/>
    <w:rsid w:val="007A6732"/>
    <w:rsid w:val="007B0D68"/>
    <w:rsid w:val="007B16FB"/>
    <w:rsid w:val="007B22F4"/>
    <w:rsid w:val="007B251D"/>
    <w:rsid w:val="007B4F58"/>
    <w:rsid w:val="007B528D"/>
    <w:rsid w:val="007B5F83"/>
    <w:rsid w:val="007B77D1"/>
    <w:rsid w:val="007B78DE"/>
    <w:rsid w:val="007C1CD9"/>
    <w:rsid w:val="007C361D"/>
    <w:rsid w:val="007C3684"/>
    <w:rsid w:val="007C386C"/>
    <w:rsid w:val="007C4B84"/>
    <w:rsid w:val="007C4DD4"/>
    <w:rsid w:val="007D004F"/>
    <w:rsid w:val="007D0B38"/>
    <w:rsid w:val="007D4BD9"/>
    <w:rsid w:val="007D5440"/>
    <w:rsid w:val="007D593B"/>
    <w:rsid w:val="007D6455"/>
    <w:rsid w:val="007D6A07"/>
    <w:rsid w:val="007D7129"/>
    <w:rsid w:val="007D7302"/>
    <w:rsid w:val="007E3E72"/>
    <w:rsid w:val="007E49F2"/>
    <w:rsid w:val="007E5B1E"/>
    <w:rsid w:val="007E7495"/>
    <w:rsid w:val="007F021B"/>
    <w:rsid w:val="007F1017"/>
    <w:rsid w:val="007F3F5C"/>
    <w:rsid w:val="007F4A3F"/>
    <w:rsid w:val="007F4A61"/>
    <w:rsid w:val="007F4C79"/>
    <w:rsid w:val="007F61C2"/>
    <w:rsid w:val="007F67CC"/>
    <w:rsid w:val="007F6D53"/>
    <w:rsid w:val="007F7D2D"/>
    <w:rsid w:val="00801EB1"/>
    <w:rsid w:val="00805142"/>
    <w:rsid w:val="0080558A"/>
    <w:rsid w:val="00805D98"/>
    <w:rsid w:val="0080712E"/>
    <w:rsid w:val="00807A8B"/>
    <w:rsid w:val="00807BA4"/>
    <w:rsid w:val="00807F77"/>
    <w:rsid w:val="00810D89"/>
    <w:rsid w:val="00811383"/>
    <w:rsid w:val="00812149"/>
    <w:rsid w:val="00812CAC"/>
    <w:rsid w:val="00815227"/>
    <w:rsid w:val="008153BB"/>
    <w:rsid w:val="0081580C"/>
    <w:rsid w:val="008159FF"/>
    <w:rsid w:val="008166EF"/>
    <w:rsid w:val="00816737"/>
    <w:rsid w:val="00817192"/>
    <w:rsid w:val="008208A1"/>
    <w:rsid w:val="008215DE"/>
    <w:rsid w:val="008216F6"/>
    <w:rsid w:val="00822711"/>
    <w:rsid w:val="008240CA"/>
    <w:rsid w:val="00825751"/>
    <w:rsid w:val="008264EB"/>
    <w:rsid w:val="0082717B"/>
    <w:rsid w:val="00830949"/>
    <w:rsid w:val="00830B14"/>
    <w:rsid w:val="00831D11"/>
    <w:rsid w:val="0083239E"/>
    <w:rsid w:val="00833B05"/>
    <w:rsid w:val="00833CBA"/>
    <w:rsid w:val="008362B4"/>
    <w:rsid w:val="00836C16"/>
    <w:rsid w:val="00840CA2"/>
    <w:rsid w:val="008411F3"/>
    <w:rsid w:val="0084155C"/>
    <w:rsid w:val="00842C5A"/>
    <w:rsid w:val="0084374F"/>
    <w:rsid w:val="00844888"/>
    <w:rsid w:val="00846329"/>
    <w:rsid w:val="0084667F"/>
    <w:rsid w:val="00847DF5"/>
    <w:rsid w:val="0085278F"/>
    <w:rsid w:val="008527E8"/>
    <w:rsid w:val="008528D5"/>
    <w:rsid w:val="0085309D"/>
    <w:rsid w:val="0085655B"/>
    <w:rsid w:val="0085683D"/>
    <w:rsid w:val="00856897"/>
    <w:rsid w:val="00856E9A"/>
    <w:rsid w:val="00857F36"/>
    <w:rsid w:val="0086075D"/>
    <w:rsid w:val="00860CFC"/>
    <w:rsid w:val="00861B7F"/>
    <w:rsid w:val="00861F2B"/>
    <w:rsid w:val="00862301"/>
    <w:rsid w:val="00862502"/>
    <w:rsid w:val="00863B14"/>
    <w:rsid w:val="008660D4"/>
    <w:rsid w:val="00866EDF"/>
    <w:rsid w:val="008703E8"/>
    <w:rsid w:val="00871FA9"/>
    <w:rsid w:val="00872270"/>
    <w:rsid w:val="008728E9"/>
    <w:rsid w:val="00873ABA"/>
    <w:rsid w:val="00874986"/>
    <w:rsid w:val="0087685A"/>
    <w:rsid w:val="00877F13"/>
    <w:rsid w:val="00881E5E"/>
    <w:rsid w:val="00882491"/>
    <w:rsid w:val="00882874"/>
    <w:rsid w:val="00882E94"/>
    <w:rsid w:val="00883787"/>
    <w:rsid w:val="00885978"/>
    <w:rsid w:val="00885B3A"/>
    <w:rsid w:val="008867FB"/>
    <w:rsid w:val="00886CD2"/>
    <w:rsid w:val="00887EA2"/>
    <w:rsid w:val="008908F3"/>
    <w:rsid w:val="00892497"/>
    <w:rsid w:val="00892749"/>
    <w:rsid w:val="00892A36"/>
    <w:rsid w:val="00893239"/>
    <w:rsid w:val="00894489"/>
    <w:rsid w:val="00895676"/>
    <w:rsid w:val="008963A5"/>
    <w:rsid w:val="008A0412"/>
    <w:rsid w:val="008A0577"/>
    <w:rsid w:val="008A075F"/>
    <w:rsid w:val="008A09D3"/>
    <w:rsid w:val="008A1DD0"/>
    <w:rsid w:val="008A222A"/>
    <w:rsid w:val="008A259F"/>
    <w:rsid w:val="008A29CE"/>
    <w:rsid w:val="008A2B2C"/>
    <w:rsid w:val="008A3363"/>
    <w:rsid w:val="008A3371"/>
    <w:rsid w:val="008A3C3E"/>
    <w:rsid w:val="008A4AC0"/>
    <w:rsid w:val="008A6BA9"/>
    <w:rsid w:val="008A7881"/>
    <w:rsid w:val="008A79DE"/>
    <w:rsid w:val="008A7B99"/>
    <w:rsid w:val="008B1757"/>
    <w:rsid w:val="008B19E7"/>
    <w:rsid w:val="008B243F"/>
    <w:rsid w:val="008B2CE7"/>
    <w:rsid w:val="008B5DEE"/>
    <w:rsid w:val="008B7D7E"/>
    <w:rsid w:val="008C021E"/>
    <w:rsid w:val="008C2D3F"/>
    <w:rsid w:val="008C2D4D"/>
    <w:rsid w:val="008C3123"/>
    <w:rsid w:val="008C4F12"/>
    <w:rsid w:val="008C506B"/>
    <w:rsid w:val="008C7A40"/>
    <w:rsid w:val="008C7ECB"/>
    <w:rsid w:val="008D13DB"/>
    <w:rsid w:val="008D1431"/>
    <w:rsid w:val="008D14CD"/>
    <w:rsid w:val="008D4755"/>
    <w:rsid w:val="008D4C3D"/>
    <w:rsid w:val="008D6F05"/>
    <w:rsid w:val="008D77CB"/>
    <w:rsid w:val="008E0D3C"/>
    <w:rsid w:val="008E14E6"/>
    <w:rsid w:val="008E1B9E"/>
    <w:rsid w:val="008E2873"/>
    <w:rsid w:val="008E55AB"/>
    <w:rsid w:val="008E5682"/>
    <w:rsid w:val="008F094E"/>
    <w:rsid w:val="008F120A"/>
    <w:rsid w:val="008F27E0"/>
    <w:rsid w:val="008F48EB"/>
    <w:rsid w:val="008F4F0B"/>
    <w:rsid w:val="008F5654"/>
    <w:rsid w:val="008F5DFF"/>
    <w:rsid w:val="008F60D9"/>
    <w:rsid w:val="008F6116"/>
    <w:rsid w:val="008F78FA"/>
    <w:rsid w:val="00900F55"/>
    <w:rsid w:val="0090290A"/>
    <w:rsid w:val="00902DBA"/>
    <w:rsid w:val="00903005"/>
    <w:rsid w:val="00903E50"/>
    <w:rsid w:val="00903EB1"/>
    <w:rsid w:val="009046C4"/>
    <w:rsid w:val="0090533B"/>
    <w:rsid w:val="009062A5"/>
    <w:rsid w:val="00907715"/>
    <w:rsid w:val="00911272"/>
    <w:rsid w:val="009114CF"/>
    <w:rsid w:val="00912A0D"/>
    <w:rsid w:val="00912BF5"/>
    <w:rsid w:val="0091343E"/>
    <w:rsid w:val="009135D6"/>
    <w:rsid w:val="00914C77"/>
    <w:rsid w:val="00914E69"/>
    <w:rsid w:val="009174BD"/>
    <w:rsid w:val="00920BD3"/>
    <w:rsid w:val="009217E0"/>
    <w:rsid w:val="00923471"/>
    <w:rsid w:val="0092369B"/>
    <w:rsid w:val="009250D4"/>
    <w:rsid w:val="0092546C"/>
    <w:rsid w:val="0092750F"/>
    <w:rsid w:val="0093044A"/>
    <w:rsid w:val="00930C04"/>
    <w:rsid w:val="009321DF"/>
    <w:rsid w:val="00932710"/>
    <w:rsid w:val="00933A61"/>
    <w:rsid w:val="00933C78"/>
    <w:rsid w:val="009371FB"/>
    <w:rsid w:val="00940EA9"/>
    <w:rsid w:val="00941F0A"/>
    <w:rsid w:val="00946005"/>
    <w:rsid w:val="00947F5B"/>
    <w:rsid w:val="00950D60"/>
    <w:rsid w:val="009510A2"/>
    <w:rsid w:val="00952128"/>
    <w:rsid w:val="00953257"/>
    <w:rsid w:val="00954E21"/>
    <w:rsid w:val="00956A16"/>
    <w:rsid w:val="00957B47"/>
    <w:rsid w:val="0096015D"/>
    <w:rsid w:val="00960690"/>
    <w:rsid w:val="00961FA6"/>
    <w:rsid w:val="009625A2"/>
    <w:rsid w:val="00962CB9"/>
    <w:rsid w:val="00963F6D"/>
    <w:rsid w:val="00964312"/>
    <w:rsid w:val="00965301"/>
    <w:rsid w:val="00965B8A"/>
    <w:rsid w:val="00967D29"/>
    <w:rsid w:val="009717AC"/>
    <w:rsid w:val="00971E4B"/>
    <w:rsid w:val="00974DEA"/>
    <w:rsid w:val="00976333"/>
    <w:rsid w:val="00977060"/>
    <w:rsid w:val="00980A42"/>
    <w:rsid w:val="00983E57"/>
    <w:rsid w:val="009843AA"/>
    <w:rsid w:val="009865FB"/>
    <w:rsid w:val="0098675D"/>
    <w:rsid w:val="00986930"/>
    <w:rsid w:val="00987E2C"/>
    <w:rsid w:val="0099151F"/>
    <w:rsid w:val="00992079"/>
    <w:rsid w:val="00995EB0"/>
    <w:rsid w:val="0099609D"/>
    <w:rsid w:val="0099679F"/>
    <w:rsid w:val="00996B1A"/>
    <w:rsid w:val="009A0494"/>
    <w:rsid w:val="009A0E23"/>
    <w:rsid w:val="009A1E42"/>
    <w:rsid w:val="009A38C4"/>
    <w:rsid w:val="009A403D"/>
    <w:rsid w:val="009A7F10"/>
    <w:rsid w:val="009A7FF1"/>
    <w:rsid w:val="009B3702"/>
    <w:rsid w:val="009B3E26"/>
    <w:rsid w:val="009B57C3"/>
    <w:rsid w:val="009B603F"/>
    <w:rsid w:val="009C0F14"/>
    <w:rsid w:val="009C217D"/>
    <w:rsid w:val="009C2F73"/>
    <w:rsid w:val="009C345C"/>
    <w:rsid w:val="009C421E"/>
    <w:rsid w:val="009C49D5"/>
    <w:rsid w:val="009C6CEA"/>
    <w:rsid w:val="009C7B85"/>
    <w:rsid w:val="009D0E7E"/>
    <w:rsid w:val="009D3445"/>
    <w:rsid w:val="009D5B91"/>
    <w:rsid w:val="009D64A3"/>
    <w:rsid w:val="009D69C5"/>
    <w:rsid w:val="009D792E"/>
    <w:rsid w:val="009E03B4"/>
    <w:rsid w:val="009E0C60"/>
    <w:rsid w:val="009E0DFE"/>
    <w:rsid w:val="009E1C20"/>
    <w:rsid w:val="009E2DF5"/>
    <w:rsid w:val="009E31B0"/>
    <w:rsid w:val="009E4197"/>
    <w:rsid w:val="009E4B68"/>
    <w:rsid w:val="009E4B7A"/>
    <w:rsid w:val="009E4C07"/>
    <w:rsid w:val="009E5428"/>
    <w:rsid w:val="009E5DD6"/>
    <w:rsid w:val="009E5FF4"/>
    <w:rsid w:val="009E6209"/>
    <w:rsid w:val="009E7057"/>
    <w:rsid w:val="009F1026"/>
    <w:rsid w:val="009F112B"/>
    <w:rsid w:val="009F2C6E"/>
    <w:rsid w:val="009F3CC3"/>
    <w:rsid w:val="009F41EC"/>
    <w:rsid w:val="009F7369"/>
    <w:rsid w:val="00A01184"/>
    <w:rsid w:val="00A02C03"/>
    <w:rsid w:val="00A03650"/>
    <w:rsid w:val="00A03D43"/>
    <w:rsid w:val="00A04380"/>
    <w:rsid w:val="00A043EE"/>
    <w:rsid w:val="00A04F06"/>
    <w:rsid w:val="00A058E9"/>
    <w:rsid w:val="00A06B3E"/>
    <w:rsid w:val="00A06BD6"/>
    <w:rsid w:val="00A107E5"/>
    <w:rsid w:val="00A11CD0"/>
    <w:rsid w:val="00A12102"/>
    <w:rsid w:val="00A13948"/>
    <w:rsid w:val="00A13C22"/>
    <w:rsid w:val="00A14AA0"/>
    <w:rsid w:val="00A1524A"/>
    <w:rsid w:val="00A1555B"/>
    <w:rsid w:val="00A155C5"/>
    <w:rsid w:val="00A16902"/>
    <w:rsid w:val="00A16AD8"/>
    <w:rsid w:val="00A16FFA"/>
    <w:rsid w:val="00A1724B"/>
    <w:rsid w:val="00A17CB6"/>
    <w:rsid w:val="00A200A2"/>
    <w:rsid w:val="00A21CF3"/>
    <w:rsid w:val="00A232A0"/>
    <w:rsid w:val="00A23A56"/>
    <w:rsid w:val="00A23B82"/>
    <w:rsid w:val="00A27AEC"/>
    <w:rsid w:val="00A27BF8"/>
    <w:rsid w:val="00A320DB"/>
    <w:rsid w:val="00A32854"/>
    <w:rsid w:val="00A32E40"/>
    <w:rsid w:val="00A33AB5"/>
    <w:rsid w:val="00A34FE8"/>
    <w:rsid w:val="00A35444"/>
    <w:rsid w:val="00A35D16"/>
    <w:rsid w:val="00A367CE"/>
    <w:rsid w:val="00A36B3F"/>
    <w:rsid w:val="00A36E46"/>
    <w:rsid w:val="00A37B5A"/>
    <w:rsid w:val="00A37BCD"/>
    <w:rsid w:val="00A37E7C"/>
    <w:rsid w:val="00A4151C"/>
    <w:rsid w:val="00A422D0"/>
    <w:rsid w:val="00A425AD"/>
    <w:rsid w:val="00A43C2D"/>
    <w:rsid w:val="00A43C59"/>
    <w:rsid w:val="00A45305"/>
    <w:rsid w:val="00A454E1"/>
    <w:rsid w:val="00A469A4"/>
    <w:rsid w:val="00A478FB"/>
    <w:rsid w:val="00A50B4C"/>
    <w:rsid w:val="00A50ECD"/>
    <w:rsid w:val="00A51893"/>
    <w:rsid w:val="00A518F3"/>
    <w:rsid w:val="00A51C43"/>
    <w:rsid w:val="00A52729"/>
    <w:rsid w:val="00A5281F"/>
    <w:rsid w:val="00A53675"/>
    <w:rsid w:val="00A55513"/>
    <w:rsid w:val="00A55D00"/>
    <w:rsid w:val="00A56302"/>
    <w:rsid w:val="00A564D7"/>
    <w:rsid w:val="00A5658C"/>
    <w:rsid w:val="00A56B6A"/>
    <w:rsid w:val="00A56CE9"/>
    <w:rsid w:val="00A5785E"/>
    <w:rsid w:val="00A578DC"/>
    <w:rsid w:val="00A61C6D"/>
    <w:rsid w:val="00A64A15"/>
    <w:rsid w:val="00A64D9D"/>
    <w:rsid w:val="00A65410"/>
    <w:rsid w:val="00A6725B"/>
    <w:rsid w:val="00A672D0"/>
    <w:rsid w:val="00A705A5"/>
    <w:rsid w:val="00A70605"/>
    <w:rsid w:val="00A72B62"/>
    <w:rsid w:val="00A73134"/>
    <w:rsid w:val="00A7558D"/>
    <w:rsid w:val="00A777B2"/>
    <w:rsid w:val="00A778CD"/>
    <w:rsid w:val="00A81D4F"/>
    <w:rsid w:val="00A82D7A"/>
    <w:rsid w:val="00A82FE7"/>
    <w:rsid w:val="00A833DF"/>
    <w:rsid w:val="00A84EF7"/>
    <w:rsid w:val="00A86E8B"/>
    <w:rsid w:val="00A87164"/>
    <w:rsid w:val="00A910C4"/>
    <w:rsid w:val="00A93072"/>
    <w:rsid w:val="00A932A0"/>
    <w:rsid w:val="00A93953"/>
    <w:rsid w:val="00A940F1"/>
    <w:rsid w:val="00A946D7"/>
    <w:rsid w:val="00A94F8A"/>
    <w:rsid w:val="00A959D8"/>
    <w:rsid w:val="00A96996"/>
    <w:rsid w:val="00A96E66"/>
    <w:rsid w:val="00AA03AE"/>
    <w:rsid w:val="00AA113D"/>
    <w:rsid w:val="00AA2B09"/>
    <w:rsid w:val="00AA61EC"/>
    <w:rsid w:val="00AA6C7D"/>
    <w:rsid w:val="00AA71B1"/>
    <w:rsid w:val="00AA7FD6"/>
    <w:rsid w:val="00AB042A"/>
    <w:rsid w:val="00AB0D39"/>
    <w:rsid w:val="00AB1840"/>
    <w:rsid w:val="00AB26E1"/>
    <w:rsid w:val="00AB2D34"/>
    <w:rsid w:val="00AB3430"/>
    <w:rsid w:val="00AB41F2"/>
    <w:rsid w:val="00AB4AD1"/>
    <w:rsid w:val="00AB7CFA"/>
    <w:rsid w:val="00AC0D8D"/>
    <w:rsid w:val="00AC25CB"/>
    <w:rsid w:val="00AC34D3"/>
    <w:rsid w:val="00AC3963"/>
    <w:rsid w:val="00AC5682"/>
    <w:rsid w:val="00AC5B48"/>
    <w:rsid w:val="00AC6ECC"/>
    <w:rsid w:val="00AC7295"/>
    <w:rsid w:val="00AD2F16"/>
    <w:rsid w:val="00AD3AF0"/>
    <w:rsid w:val="00AD6502"/>
    <w:rsid w:val="00AD7241"/>
    <w:rsid w:val="00AE69F9"/>
    <w:rsid w:val="00AE735E"/>
    <w:rsid w:val="00AE79EB"/>
    <w:rsid w:val="00AF1315"/>
    <w:rsid w:val="00AF19BF"/>
    <w:rsid w:val="00AF2305"/>
    <w:rsid w:val="00AF2613"/>
    <w:rsid w:val="00AF2794"/>
    <w:rsid w:val="00AF2DC3"/>
    <w:rsid w:val="00AF48B0"/>
    <w:rsid w:val="00AF60D9"/>
    <w:rsid w:val="00AF6947"/>
    <w:rsid w:val="00AF75E9"/>
    <w:rsid w:val="00B00D79"/>
    <w:rsid w:val="00B00E1E"/>
    <w:rsid w:val="00B033E5"/>
    <w:rsid w:val="00B03A63"/>
    <w:rsid w:val="00B03A7E"/>
    <w:rsid w:val="00B05301"/>
    <w:rsid w:val="00B05819"/>
    <w:rsid w:val="00B0590F"/>
    <w:rsid w:val="00B0633B"/>
    <w:rsid w:val="00B0683F"/>
    <w:rsid w:val="00B06960"/>
    <w:rsid w:val="00B06FE7"/>
    <w:rsid w:val="00B07B22"/>
    <w:rsid w:val="00B12CB9"/>
    <w:rsid w:val="00B133C1"/>
    <w:rsid w:val="00B163D7"/>
    <w:rsid w:val="00B1794D"/>
    <w:rsid w:val="00B201A4"/>
    <w:rsid w:val="00B213A6"/>
    <w:rsid w:val="00B22759"/>
    <w:rsid w:val="00B229D5"/>
    <w:rsid w:val="00B24DF6"/>
    <w:rsid w:val="00B25F17"/>
    <w:rsid w:val="00B27FA9"/>
    <w:rsid w:val="00B30E27"/>
    <w:rsid w:val="00B31910"/>
    <w:rsid w:val="00B330C2"/>
    <w:rsid w:val="00B331E7"/>
    <w:rsid w:val="00B33879"/>
    <w:rsid w:val="00B34FE2"/>
    <w:rsid w:val="00B357D8"/>
    <w:rsid w:val="00B359C6"/>
    <w:rsid w:val="00B366ED"/>
    <w:rsid w:val="00B36E63"/>
    <w:rsid w:val="00B37BFC"/>
    <w:rsid w:val="00B40358"/>
    <w:rsid w:val="00B409C0"/>
    <w:rsid w:val="00B41614"/>
    <w:rsid w:val="00B41C34"/>
    <w:rsid w:val="00B4243D"/>
    <w:rsid w:val="00B42851"/>
    <w:rsid w:val="00B42F80"/>
    <w:rsid w:val="00B435CB"/>
    <w:rsid w:val="00B44B9F"/>
    <w:rsid w:val="00B506E9"/>
    <w:rsid w:val="00B50A48"/>
    <w:rsid w:val="00B50D9F"/>
    <w:rsid w:val="00B50DB8"/>
    <w:rsid w:val="00B521F9"/>
    <w:rsid w:val="00B53654"/>
    <w:rsid w:val="00B53905"/>
    <w:rsid w:val="00B544A5"/>
    <w:rsid w:val="00B547D2"/>
    <w:rsid w:val="00B54B5B"/>
    <w:rsid w:val="00B5562E"/>
    <w:rsid w:val="00B5678A"/>
    <w:rsid w:val="00B56F12"/>
    <w:rsid w:val="00B57000"/>
    <w:rsid w:val="00B60939"/>
    <w:rsid w:val="00B60AFD"/>
    <w:rsid w:val="00B61ABF"/>
    <w:rsid w:val="00B61DFB"/>
    <w:rsid w:val="00B62715"/>
    <w:rsid w:val="00B65247"/>
    <w:rsid w:val="00B65CB5"/>
    <w:rsid w:val="00B66080"/>
    <w:rsid w:val="00B668DC"/>
    <w:rsid w:val="00B709F6"/>
    <w:rsid w:val="00B70B40"/>
    <w:rsid w:val="00B70D69"/>
    <w:rsid w:val="00B71693"/>
    <w:rsid w:val="00B7270E"/>
    <w:rsid w:val="00B760FA"/>
    <w:rsid w:val="00B76839"/>
    <w:rsid w:val="00B76937"/>
    <w:rsid w:val="00B76ADE"/>
    <w:rsid w:val="00B77F2E"/>
    <w:rsid w:val="00B818A4"/>
    <w:rsid w:val="00B8386E"/>
    <w:rsid w:val="00B83B98"/>
    <w:rsid w:val="00B84117"/>
    <w:rsid w:val="00B85AA2"/>
    <w:rsid w:val="00B8608B"/>
    <w:rsid w:val="00B8649C"/>
    <w:rsid w:val="00B86C59"/>
    <w:rsid w:val="00B87F0A"/>
    <w:rsid w:val="00B9140B"/>
    <w:rsid w:val="00B921DB"/>
    <w:rsid w:val="00B924BF"/>
    <w:rsid w:val="00B92D0B"/>
    <w:rsid w:val="00B94945"/>
    <w:rsid w:val="00B94C9E"/>
    <w:rsid w:val="00B95B39"/>
    <w:rsid w:val="00B968E3"/>
    <w:rsid w:val="00B979DE"/>
    <w:rsid w:val="00B97B10"/>
    <w:rsid w:val="00BA00E6"/>
    <w:rsid w:val="00BA18B1"/>
    <w:rsid w:val="00BA1AAE"/>
    <w:rsid w:val="00BA1D52"/>
    <w:rsid w:val="00BA221E"/>
    <w:rsid w:val="00BA322D"/>
    <w:rsid w:val="00BA4537"/>
    <w:rsid w:val="00BA50A7"/>
    <w:rsid w:val="00BA67CD"/>
    <w:rsid w:val="00BA7736"/>
    <w:rsid w:val="00BB0BDD"/>
    <w:rsid w:val="00BB215A"/>
    <w:rsid w:val="00BB2A73"/>
    <w:rsid w:val="00BB3386"/>
    <w:rsid w:val="00BB373C"/>
    <w:rsid w:val="00BB4ACC"/>
    <w:rsid w:val="00BB4E5E"/>
    <w:rsid w:val="00BB5558"/>
    <w:rsid w:val="00BB556B"/>
    <w:rsid w:val="00BB5A75"/>
    <w:rsid w:val="00BB69D7"/>
    <w:rsid w:val="00BB703E"/>
    <w:rsid w:val="00BB7405"/>
    <w:rsid w:val="00BB77D3"/>
    <w:rsid w:val="00BC0745"/>
    <w:rsid w:val="00BC0D61"/>
    <w:rsid w:val="00BC15A5"/>
    <w:rsid w:val="00BC24A9"/>
    <w:rsid w:val="00BC3631"/>
    <w:rsid w:val="00BC3E82"/>
    <w:rsid w:val="00BC3E9C"/>
    <w:rsid w:val="00BC5C0C"/>
    <w:rsid w:val="00BC7187"/>
    <w:rsid w:val="00BC7918"/>
    <w:rsid w:val="00BD31C4"/>
    <w:rsid w:val="00BD4EEF"/>
    <w:rsid w:val="00BD5DE1"/>
    <w:rsid w:val="00BD68A3"/>
    <w:rsid w:val="00BD6938"/>
    <w:rsid w:val="00BD6CF3"/>
    <w:rsid w:val="00BD7A2A"/>
    <w:rsid w:val="00BD7DCE"/>
    <w:rsid w:val="00BE00E9"/>
    <w:rsid w:val="00BE2024"/>
    <w:rsid w:val="00BE2180"/>
    <w:rsid w:val="00BE21F2"/>
    <w:rsid w:val="00BE38FB"/>
    <w:rsid w:val="00BE4275"/>
    <w:rsid w:val="00BF0F95"/>
    <w:rsid w:val="00BF2433"/>
    <w:rsid w:val="00BF30D8"/>
    <w:rsid w:val="00BF5143"/>
    <w:rsid w:val="00BF61C9"/>
    <w:rsid w:val="00BF6C94"/>
    <w:rsid w:val="00BF6E6C"/>
    <w:rsid w:val="00BF72D7"/>
    <w:rsid w:val="00BF7AC5"/>
    <w:rsid w:val="00C00424"/>
    <w:rsid w:val="00C01EDE"/>
    <w:rsid w:val="00C02637"/>
    <w:rsid w:val="00C03357"/>
    <w:rsid w:val="00C0508F"/>
    <w:rsid w:val="00C067D6"/>
    <w:rsid w:val="00C06B60"/>
    <w:rsid w:val="00C070B7"/>
    <w:rsid w:val="00C12B83"/>
    <w:rsid w:val="00C12C14"/>
    <w:rsid w:val="00C13237"/>
    <w:rsid w:val="00C13F36"/>
    <w:rsid w:val="00C16830"/>
    <w:rsid w:val="00C17888"/>
    <w:rsid w:val="00C200AA"/>
    <w:rsid w:val="00C209C6"/>
    <w:rsid w:val="00C211B3"/>
    <w:rsid w:val="00C2140F"/>
    <w:rsid w:val="00C2154E"/>
    <w:rsid w:val="00C237ED"/>
    <w:rsid w:val="00C23AAE"/>
    <w:rsid w:val="00C24632"/>
    <w:rsid w:val="00C249E4"/>
    <w:rsid w:val="00C25418"/>
    <w:rsid w:val="00C25D9C"/>
    <w:rsid w:val="00C25F66"/>
    <w:rsid w:val="00C26B9B"/>
    <w:rsid w:val="00C2778B"/>
    <w:rsid w:val="00C31649"/>
    <w:rsid w:val="00C32590"/>
    <w:rsid w:val="00C33D2F"/>
    <w:rsid w:val="00C34322"/>
    <w:rsid w:val="00C345B6"/>
    <w:rsid w:val="00C34707"/>
    <w:rsid w:val="00C35C07"/>
    <w:rsid w:val="00C35C8B"/>
    <w:rsid w:val="00C3645A"/>
    <w:rsid w:val="00C36C4A"/>
    <w:rsid w:val="00C371E9"/>
    <w:rsid w:val="00C4012B"/>
    <w:rsid w:val="00C40385"/>
    <w:rsid w:val="00C40D4D"/>
    <w:rsid w:val="00C40EAF"/>
    <w:rsid w:val="00C41072"/>
    <w:rsid w:val="00C43D68"/>
    <w:rsid w:val="00C44AFF"/>
    <w:rsid w:val="00C45A54"/>
    <w:rsid w:val="00C46609"/>
    <w:rsid w:val="00C46610"/>
    <w:rsid w:val="00C46A5C"/>
    <w:rsid w:val="00C46ECD"/>
    <w:rsid w:val="00C475AA"/>
    <w:rsid w:val="00C51B4B"/>
    <w:rsid w:val="00C54786"/>
    <w:rsid w:val="00C571D5"/>
    <w:rsid w:val="00C60F05"/>
    <w:rsid w:val="00C617A3"/>
    <w:rsid w:val="00C63009"/>
    <w:rsid w:val="00C65576"/>
    <w:rsid w:val="00C65C69"/>
    <w:rsid w:val="00C66165"/>
    <w:rsid w:val="00C670CB"/>
    <w:rsid w:val="00C679D8"/>
    <w:rsid w:val="00C7151A"/>
    <w:rsid w:val="00C71F60"/>
    <w:rsid w:val="00C72241"/>
    <w:rsid w:val="00C74A0E"/>
    <w:rsid w:val="00C750C8"/>
    <w:rsid w:val="00C7560F"/>
    <w:rsid w:val="00C75FDB"/>
    <w:rsid w:val="00C76BFF"/>
    <w:rsid w:val="00C77936"/>
    <w:rsid w:val="00C80A0E"/>
    <w:rsid w:val="00C8213F"/>
    <w:rsid w:val="00C826DB"/>
    <w:rsid w:val="00C82E1C"/>
    <w:rsid w:val="00C83ABC"/>
    <w:rsid w:val="00C8410B"/>
    <w:rsid w:val="00C845AE"/>
    <w:rsid w:val="00C846A2"/>
    <w:rsid w:val="00C8797A"/>
    <w:rsid w:val="00C900B8"/>
    <w:rsid w:val="00C90C71"/>
    <w:rsid w:val="00C92C62"/>
    <w:rsid w:val="00C931CF"/>
    <w:rsid w:val="00C938CF"/>
    <w:rsid w:val="00C95089"/>
    <w:rsid w:val="00C9624D"/>
    <w:rsid w:val="00C969DA"/>
    <w:rsid w:val="00C97610"/>
    <w:rsid w:val="00CA0A49"/>
    <w:rsid w:val="00CA2239"/>
    <w:rsid w:val="00CA2C77"/>
    <w:rsid w:val="00CA3E2C"/>
    <w:rsid w:val="00CA444F"/>
    <w:rsid w:val="00CA5245"/>
    <w:rsid w:val="00CA5E04"/>
    <w:rsid w:val="00CA71F4"/>
    <w:rsid w:val="00CA7B09"/>
    <w:rsid w:val="00CB0A0E"/>
    <w:rsid w:val="00CB266F"/>
    <w:rsid w:val="00CB26D0"/>
    <w:rsid w:val="00CB2F2A"/>
    <w:rsid w:val="00CB3DC8"/>
    <w:rsid w:val="00CB4538"/>
    <w:rsid w:val="00CB53B7"/>
    <w:rsid w:val="00CB5B1A"/>
    <w:rsid w:val="00CB5F40"/>
    <w:rsid w:val="00CB6B22"/>
    <w:rsid w:val="00CB6E00"/>
    <w:rsid w:val="00CB731D"/>
    <w:rsid w:val="00CB7F5F"/>
    <w:rsid w:val="00CC09DF"/>
    <w:rsid w:val="00CC1B39"/>
    <w:rsid w:val="00CC36D3"/>
    <w:rsid w:val="00CC3D64"/>
    <w:rsid w:val="00CC46A2"/>
    <w:rsid w:val="00CC5584"/>
    <w:rsid w:val="00CC6ECA"/>
    <w:rsid w:val="00CC70D5"/>
    <w:rsid w:val="00CC71CC"/>
    <w:rsid w:val="00CD0132"/>
    <w:rsid w:val="00CD063D"/>
    <w:rsid w:val="00CD3988"/>
    <w:rsid w:val="00CD507B"/>
    <w:rsid w:val="00CD562C"/>
    <w:rsid w:val="00CD6ADC"/>
    <w:rsid w:val="00CE3645"/>
    <w:rsid w:val="00CE4044"/>
    <w:rsid w:val="00CE564A"/>
    <w:rsid w:val="00CE5965"/>
    <w:rsid w:val="00CE6274"/>
    <w:rsid w:val="00CE7129"/>
    <w:rsid w:val="00CE79E4"/>
    <w:rsid w:val="00CF033E"/>
    <w:rsid w:val="00CF098E"/>
    <w:rsid w:val="00CF16F9"/>
    <w:rsid w:val="00CF1B69"/>
    <w:rsid w:val="00CF2B8D"/>
    <w:rsid w:val="00CF456B"/>
    <w:rsid w:val="00CF5A22"/>
    <w:rsid w:val="00CF5E83"/>
    <w:rsid w:val="00CF6EAD"/>
    <w:rsid w:val="00D00661"/>
    <w:rsid w:val="00D0262E"/>
    <w:rsid w:val="00D03515"/>
    <w:rsid w:val="00D0469E"/>
    <w:rsid w:val="00D06405"/>
    <w:rsid w:val="00D070E9"/>
    <w:rsid w:val="00D070FC"/>
    <w:rsid w:val="00D10582"/>
    <w:rsid w:val="00D10ACC"/>
    <w:rsid w:val="00D10B65"/>
    <w:rsid w:val="00D10F59"/>
    <w:rsid w:val="00D110BD"/>
    <w:rsid w:val="00D11A91"/>
    <w:rsid w:val="00D13416"/>
    <w:rsid w:val="00D13675"/>
    <w:rsid w:val="00D13888"/>
    <w:rsid w:val="00D13897"/>
    <w:rsid w:val="00D141E1"/>
    <w:rsid w:val="00D14D01"/>
    <w:rsid w:val="00D15714"/>
    <w:rsid w:val="00D17D6C"/>
    <w:rsid w:val="00D233FC"/>
    <w:rsid w:val="00D24185"/>
    <w:rsid w:val="00D24DBC"/>
    <w:rsid w:val="00D2615A"/>
    <w:rsid w:val="00D273F4"/>
    <w:rsid w:val="00D2754D"/>
    <w:rsid w:val="00D27B27"/>
    <w:rsid w:val="00D31561"/>
    <w:rsid w:val="00D32373"/>
    <w:rsid w:val="00D323D9"/>
    <w:rsid w:val="00D32410"/>
    <w:rsid w:val="00D33BE9"/>
    <w:rsid w:val="00D357FF"/>
    <w:rsid w:val="00D35E91"/>
    <w:rsid w:val="00D362AA"/>
    <w:rsid w:val="00D377B5"/>
    <w:rsid w:val="00D37D5A"/>
    <w:rsid w:val="00D37ED9"/>
    <w:rsid w:val="00D37F3F"/>
    <w:rsid w:val="00D41152"/>
    <w:rsid w:val="00D424C7"/>
    <w:rsid w:val="00D43B2A"/>
    <w:rsid w:val="00D47575"/>
    <w:rsid w:val="00D47874"/>
    <w:rsid w:val="00D528C4"/>
    <w:rsid w:val="00D5308B"/>
    <w:rsid w:val="00D60218"/>
    <w:rsid w:val="00D60723"/>
    <w:rsid w:val="00D60811"/>
    <w:rsid w:val="00D61B27"/>
    <w:rsid w:val="00D62762"/>
    <w:rsid w:val="00D63129"/>
    <w:rsid w:val="00D63718"/>
    <w:rsid w:val="00D66737"/>
    <w:rsid w:val="00D66E87"/>
    <w:rsid w:val="00D70703"/>
    <w:rsid w:val="00D707F4"/>
    <w:rsid w:val="00D70F16"/>
    <w:rsid w:val="00D7255B"/>
    <w:rsid w:val="00D7275E"/>
    <w:rsid w:val="00D762CC"/>
    <w:rsid w:val="00D76A44"/>
    <w:rsid w:val="00D800CC"/>
    <w:rsid w:val="00D80FD6"/>
    <w:rsid w:val="00D815EF"/>
    <w:rsid w:val="00D834B5"/>
    <w:rsid w:val="00D86456"/>
    <w:rsid w:val="00D87FD0"/>
    <w:rsid w:val="00D90421"/>
    <w:rsid w:val="00D91923"/>
    <w:rsid w:val="00D91A95"/>
    <w:rsid w:val="00D93753"/>
    <w:rsid w:val="00D938EA"/>
    <w:rsid w:val="00D94975"/>
    <w:rsid w:val="00D94D3A"/>
    <w:rsid w:val="00D97A7D"/>
    <w:rsid w:val="00DA16E8"/>
    <w:rsid w:val="00DA3167"/>
    <w:rsid w:val="00DA4374"/>
    <w:rsid w:val="00DA4DC3"/>
    <w:rsid w:val="00DA5F08"/>
    <w:rsid w:val="00DA77A5"/>
    <w:rsid w:val="00DA7C1B"/>
    <w:rsid w:val="00DB10D7"/>
    <w:rsid w:val="00DB15D7"/>
    <w:rsid w:val="00DB209B"/>
    <w:rsid w:val="00DB2111"/>
    <w:rsid w:val="00DB3429"/>
    <w:rsid w:val="00DB484F"/>
    <w:rsid w:val="00DB6417"/>
    <w:rsid w:val="00DB7404"/>
    <w:rsid w:val="00DC04DB"/>
    <w:rsid w:val="00DC04F6"/>
    <w:rsid w:val="00DC06F9"/>
    <w:rsid w:val="00DC1F34"/>
    <w:rsid w:val="00DC2A92"/>
    <w:rsid w:val="00DC3C57"/>
    <w:rsid w:val="00DC5501"/>
    <w:rsid w:val="00DC5EFA"/>
    <w:rsid w:val="00DD04F4"/>
    <w:rsid w:val="00DD06C0"/>
    <w:rsid w:val="00DD273C"/>
    <w:rsid w:val="00DD2DD3"/>
    <w:rsid w:val="00DD34BD"/>
    <w:rsid w:val="00DD35DA"/>
    <w:rsid w:val="00DD3F28"/>
    <w:rsid w:val="00DD4537"/>
    <w:rsid w:val="00DD45AD"/>
    <w:rsid w:val="00DD4E15"/>
    <w:rsid w:val="00DD65F7"/>
    <w:rsid w:val="00DE0565"/>
    <w:rsid w:val="00DE07BA"/>
    <w:rsid w:val="00DE0CEC"/>
    <w:rsid w:val="00DE19D4"/>
    <w:rsid w:val="00DE3138"/>
    <w:rsid w:val="00DE37F8"/>
    <w:rsid w:val="00DE42D1"/>
    <w:rsid w:val="00DE47F7"/>
    <w:rsid w:val="00DE4FCB"/>
    <w:rsid w:val="00DE6014"/>
    <w:rsid w:val="00DE7832"/>
    <w:rsid w:val="00DF0687"/>
    <w:rsid w:val="00DF1085"/>
    <w:rsid w:val="00DF18FC"/>
    <w:rsid w:val="00DF5D2B"/>
    <w:rsid w:val="00DF73AB"/>
    <w:rsid w:val="00DF7709"/>
    <w:rsid w:val="00E006E9"/>
    <w:rsid w:val="00E00E8E"/>
    <w:rsid w:val="00E00E97"/>
    <w:rsid w:val="00E01E7F"/>
    <w:rsid w:val="00E042F8"/>
    <w:rsid w:val="00E05630"/>
    <w:rsid w:val="00E0571A"/>
    <w:rsid w:val="00E06137"/>
    <w:rsid w:val="00E06221"/>
    <w:rsid w:val="00E06475"/>
    <w:rsid w:val="00E068B6"/>
    <w:rsid w:val="00E06DBB"/>
    <w:rsid w:val="00E10149"/>
    <w:rsid w:val="00E10DAD"/>
    <w:rsid w:val="00E16372"/>
    <w:rsid w:val="00E16540"/>
    <w:rsid w:val="00E17B67"/>
    <w:rsid w:val="00E20E4D"/>
    <w:rsid w:val="00E20ED6"/>
    <w:rsid w:val="00E21358"/>
    <w:rsid w:val="00E21940"/>
    <w:rsid w:val="00E223C8"/>
    <w:rsid w:val="00E2249B"/>
    <w:rsid w:val="00E22A0D"/>
    <w:rsid w:val="00E231E7"/>
    <w:rsid w:val="00E2357C"/>
    <w:rsid w:val="00E23C01"/>
    <w:rsid w:val="00E24155"/>
    <w:rsid w:val="00E25DA0"/>
    <w:rsid w:val="00E263C2"/>
    <w:rsid w:val="00E2771E"/>
    <w:rsid w:val="00E279EC"/>
    <w:rsid w:val="00E30A98"/>
    <w:rsid w:val="00E316A0"/>
    <w:rsid w:val="00E317D3"/>
    <w:rsid w:val="00E34948"/>
    <w:rsid w:val="00E34AC7"/>
    <w:rsid w:val="00E34CD3"/>
    <w:rsid w:val="00E364C5"/>
    <w:rsid w:val="00E36606"/>
    <w:rsid w:val="00E37569"/>
    <w:rsid w:val="00E4021D"/>
    <w:rsid w:val="00E403EC"/>
    <w:rsid w:val="00E409F3"/>
    <w:rsid w:val="00E41647"/>
    <w:rsid w:val="00E41E30"/>
    <w:rsid w:val="00E43316"/>
    <w:rsid w:val="00E43949"/>
    <w:rsid w:val="00E43B11"/>
    <w:rsid w:val="00E43D70"/>
    <w:rsid w:val="00E446F5"/>
    <w:rsid w:val="00E45121"/>
    <w:rsid w:val="00E45E87"/>
    <w:rsid w:val="00E466F3"/>
    <w:rsid w:val="00E467A5"/>
    <w:rsid w:val="00E46B0C"/>
    <w:rsid w:val="00E47B2C"/>
    <w:rsid w:val="00E47EAD"/>
    <w:rsid w:val="00E50319"/>
    <w:rsid w:val="00E51560"/>
    <w:rsid w:val="00E5319B"/>
    <w:rsid w:val="00E5328B"/>
    <w:rsid w:val="00E535B2"/>
    <w:rsid w:val="00E54347"/>
    <w:rsid w:val="00E5522F"/>
    <w:rsid w:val="00E55424"/>
    <w:rsid w:val="00E558D9"/>
    <w:rsid w:val="00E55BB5"/>
    <w:rsid w:val="00E55CFC"/>
    <w:rsid w:val="00E60036"/>
    <w:rsid w:val="00E612E8"/>
    <w:rsid w:val="00E61E9D"/>
    <w:rsid w:val="00E625EF"/>
    <w:rsid w:val="00E6266C"/>
    <w:rsid w:val="00E63C7D"/>
    <w:rsid w:val="00E643AA"/>
    <w:rsid w:val="00E65E79"/>
    <w:rsid w:val="00E66892"/>
    <w:rsid w:val="00E66BA2"/>
    <w:rsid w:val="00E66DFD"/>
    <w:rsid w:val="00E67416"/>
    <w:rsid w:val="00E70056"/>
    <w:rsid w:val="00E7031C"/>
    <w:rsid w:val="00E718B6"/>
    <w:rsid w:val="00E71C28"/>
    <w:rsid w:val="00E723BA"/>
    <w:rsid w:val="00E7260E"/>
    <w:rsid w:val="00E73581"/>
    <w:rsid w:val="00E74A7B"/>
    <w:rsid w:val="00E75F56"/>
    <w:rsid w:val="00E8011F"/>
    <w:rsid w:val="00E80FE6"/>
    <w:rsid w:val="00E81945"/>
    <w:rsid w:val="00E8202C"/>
    <w:rsid w:val="00E82546"/>
    <w:rsid w:val="00E833F7"/>
    <w:rsid w:val="00E836D9"/>
    <w:rsid w:val="00E839E3"/>
    <w:rsid w:val="00E83BDF"/>
    <w:rsid w:val="00E83D3F"/>
    <w:rsid w:val="00E84D57"/>
    <w:rsid w:val="00E851F8"/>
    <w:rsid w:val="00E85FB2"/>
    <w:rsid w:val="00E87A1D"/>
    <w:rsid w:val="00E87C6C"/>
    <w:rsid w:val="00E90A56"/>
    <w:rsid w:val="00E926A5"/>
    <w:rsid w:val="00E939C9"/>
    <w:rsid w:val="00E944FE"/>
    <w:rsid w:val="00E95289"/>
    <w:rsid w:val="00E9596B"/>
    <w:rsid w:val="00E95B87"/>
    <w:rsid w:val="00E95C48"/>
    <w:rsid w:val="00E9734B"/>
    <w:rsid w:val="00E978D5"/>
    <w:rsid w:val="00EA111E"/>
    <w:rsid w:val="00EA17C3"/>
    <w:rsid w:val="00EA294F"/>
    <w:rsid w:val="00EA2CAA"/>
    <w:rsid w:val="00EA3864"/>
    <w:rsid w:val="00EA3AA6"/>
    <w:rsid w:val="00EA62B0"/>
    <w:rsid w:val="00EA758B"/>
    <w:rsid w:val="00EB15B6"/>
    <w:rsid w:val="00EB2220"/>
    <w:rsid w:val="00EB3D52"/>
    <w:rsid w:val="00EB4916"/>
    <w:rsid w:val="00EB6EED"/>
    <w:rsid w:val="00EC00C9"/>
    <w:rsid w:val="00EC0276"/>
    <w:rsid w:val="00EC11C5"/>
    <w:rsid w:val="00EC12C5"/>
    <w:rsid w:val="00EC193A"/>
    <w:rsid w:val="00EC2649"/>
    <w:rsid w:val="00EC433E"/>
    <w:rsid w:val="00EC48A8"/>
    <w:rsid w:val="00EC71A4"/>
    <w:rsid w:val="00EC79C0"/>
    <w:rsid w:val="00ED2BE3"/>
    <w:rsid w:val="00ED3B48"/>
    <w:rsid w:val="00ED5330"/>
    <w:rsid w:val="00ED57EA"/>
    <w:rsid w:val="00ED5A9D"/>
    <w:rsid w:val="00ED6363"/>
    <w:rsid w:val="00ED6FF5"/>
    <w:rsid w:val="00ED7C19"/>
    <w:rsid w:val="00EE07D3"/>
    <w:rsid w:val="00EE2202"/>
    <w:rsid w:val="00EE22AF"/>
    <w:rsid w:val="00EE391A"/>
    <w:rsid w:val="00EE46BE"/>
    <w:rsid w:val="00EE5869"/>
    <w:rsid w:val="00EE707B"/>
    <w:rsid w:val="00EF0143"/>
    <w:rsid w:val="00EF0171"/>
    <w:rsid w:val="00EF13D8"/>
    <w:rsid w:val="00EF1B25"/>
    <w:rsid w:val="00EF2DB8"/>
    <w:rsid w:val="00EF30F8"/>
    <w:rsid w:val="00EF369D"/>
    <w:rsid w:val="00EF4747"/>
    <w:rsid w:val="00EF4BF8"/>
    <w:rsid w:val="00EF4D9B"/>
    <w:rsid w:val="00EF4F6D"/>
    <w:rsid w:val="00EF76D8"/>
    <w:rsid w:val="00F009AE"/>
    <w:rsid w:val="00F0109F"/>
    <w:rsid w:val="00F02253"/>
    <w:rsid w:val="00F03828"/>
    <w:rsid w:val="00F03C2E"/>
    <w:rsid w:val="00F04A66"/>
    <w:rsid w:val="00F0516C"/>
    <w:rsid w:val="00F067A2"/>
    <w:rsid w:val="00F07D4C"/>
    <w:rsid w:val="00F10DA2"/>
    <w:rsid w:val="00F118DB"/>
    <w:rsid w:val="00F1263A"/>
    <w:rsid w:val="00F12673"/>
    <w:rsid w:val="00F13BC7"/>
    <w:rsid w:val="00F1481A"/>
    <w:rsid w:val="00F17013"/>
    <w:rsid w:val="00F17C89"/>
    <w:rsid w:val="00F20752"/>
    <w:rsid w:val="00F2084E"/>
    <w:rsid w:val="00F24837"/>
    <w:rsid w:val="00F254AF"/>
    <w:rsid w:val="00F2575F"/>
    <w:rsid w:val="00F27565"/>
    <w:rsid w:val="00F275C0"/>
    <w:rsid w:val="00F27FB1"/>
    <w:rsid w:val="00F310D4"/>
    <w:rsid w:val="00F31865"/>
    <w:rsid w:val="00F31D5A"/>
    <w:rsid w:val="00F32959"/>
    <w:rsid w:val="00F33DE9"/>
    <w:rsid w:val="00F3619A"/>
    <w:rsid w:val="00F40AAA"/>
    <w:rsid w:val="00F40BA7"/>
    <w:rsid w:val="00F41A68"/>
    <w:rsid w:val="00F461E8"/>
    <w:rsid w:val="00F46CB6"/>
    <w:rsid w:val="00F47DE8"/>
    <w:rsid w:val="00F5024E"/>
    <w:rsid w:val="00F505D7"/>
    <w:rsid w:val="00F5222D"/>
    <w:rsid w:val="00F532A5"/>
    <w:rsid w:val="00F53A69"/>
    <w:rsid w:val="00F542C1"/>
    <w:rsid w:val="00F556BC"/>
    <w:rsid w:val="00F55E73"/>
    <w:rsid w:val="00F55EDA"/>
    <w:rsid w:val="00F5629A"/>
    <w:rsid w:val="00F578C5"/>
    <w:rsid w:val="00F57A78"/>
    <w:rsid w:val="00F60092"/>
    <w:rsid w:val="00F60B4F"/>
    <w:rsid w:val="00F65F4B"/>
    <w:rsid w:val="00F67D35"/>
    <w:rsid w:val="00F70C9D"/>
    <w:rsid w:val="00F71C4C"/>
    <w:rsid w:val="00F735A8"/>
    <w:rsid w:val="00F74720"/>
    <w:rsid w:val="00F74CD9"/>
    <w:rsid w:val="00F74FCF"/>
    <w:rsid w:val="00F774BB"/>
    <w:rsid w:val="00F77AA2"/>
    <w:rsid w:val="00F80A7B"/>
    <w:rsid w:val="00F80E5D"/>
    <w:rsid w:val="00F81C27"/>
    <w:rsid w:val="00F82254"/>
    <w:rsid w:val="00F839B4"/>
    <w:rsid w:val="00F851CE"/>
    <w:rsid w:val="00F852C5"/>
    <w:rsid w:val="00F90D4B"/>
    <w:rsid w:val="00F90EB0"/>
    <w:rsid w:val="00F91219"/>
    <w:rsid w:val="00F91570"/>
    <w:rsid w:val="00F92CC6"/>
    <w:rsid w:val="00F92E72"/>
    <w:rsid w:val="00F93E49"/>
    <w:rsid w:val="00F9452A"/>
    <w:rsid w:val="00F946D0"/>
    <w:rsid w:val="00F97A78"/>
    <w:rsid w:val="00FA0B20"/>
    <w:rsid w:val="00FA11BD"/>
    <w:rsid w:val="00FA24E7"/>
    <w:rsid w:val="00FA2F01"/>
    <w:rsid w:val="00FA2F9F"/>
    <w:rsid w:val="00FA3B44"/>
    <w:rsid w:val="00FA4F1E"/>
    <w:rsid w:val="00FB1091"/>
    <w:rsid w:val="00FB2FCB"/>
    <w:rsid w:val="00FB4066"/>
    <w:rsid w:val="00FB7B7B"/>
    <w:rsid w:val="00FC0DBB"/>
    <w:rsid w:val="00FC1074"/>
    <w:rsid w:val="00FC1884"/>
    <w:rsid w:val="00FC1E17"/>
    <w:rsid w:val="00FC204E"/>
    <w:rsid w:val="00FC371D"/>
    <w:rsid w:val="00FC5F0B"/>
    <w:rsid w:val="00FD0866"/>
    <w:rsid w:val="00FD1BDD"/>
    <w:rsid w:val="00FD1C0F"/>
    <w:rsid w:val="00FD2100"/>
    <w:rsid w:val="00FD2A01"/>
    <w:rsid w:val="00FD3F20"/>
    <w:rsid w:val="00FD436C"/>
    <w:rsid w:val="00FD446D"/>
    <w:rsid w:val="00FD4F18"/>
    <w:rsid w:val="00FD6394"/>
    <w:rsid w:val="00FE0E6C"/>
    <w:rsid w:val="00FE3D55"/>
    <w:rsid w:val="00FE3DF4"/>
    <w:rsid w:val="00FE3EA5"/>
    <w:rsid w:val="00FE49CC"/>
    <w:rsid w:val="00FE6B3A"/>
    <w:rsid w:val="00FE70C3"/>
    <w:rsid w:val="00FF01CD"/>
    <w:rsid w:val="00FF2DE2"/>
    <w:rsid w:val="00FF3DCF"/>
    <w:rsid w:val="00FF45C8"/>
    <w:rsid w:val="00FF492C"/>
    <w:rsid w:val="00FF4A21"/>
    <w:rsid w:val="00FF5AA3"/>
    <w:rsid w:val="00FF5AD8"/>
    <w:rsid w:val="00FF6B48"/>
    <w:rsid w:val="00FF73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5DE"/>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DE42D1"/>
    <w:rPr>
      <w:b/>
      <w:sz w:val="36"/>
      <w:szCs w:val="36"/>
    </w:rPr>
  </w:style>
  <w:style w:type="character" w:customStyle="1" w:styleId="TitleChar">
    <w:name w:val="Title Char"/>
    <w:basedOn w:val="DefaultParagraphFont"/>
    <w:link w:val="Title"/>
    <w:rsid w:val="00DE42D1"/>
    <w:rPr>
      <w:rFonts w:ascii="Calibri" w:hAnsi="Calibri" w:cs="Arial"/>
      <w:b/>
      <w:snapToGrid w:val="0"/>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3"/>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Font">
    <w:name w:val="Font"/>
    <w:basedOn w:val="DefaultParagraphFont"/>
    <w:uiPriority w:val="1"/>
    <w:qFormat/>
    <w:rsid w:val="009C345C"/>
    <w:rPr>
      <w:rFonts w:ascii="Candara" w:hAnsi="Candara"/>
      <w:sz w:val="24"/>
    </w:rPr>
  </w:style>
  <w:style w:type="paragraph" w:customStyle="1" w:styleId="Table">
    <w:name w:val="Table"/>
    <w:basedOn w:val="Normal"/>
    <w:link w:val="TableChar"/>
    <w:qFormat/>
    <w:rsid w:val="001A05A0"/>
    <w:pPr>
      <w:widowControl/>
      <w:jc w:val="left"/>
    </w:pPr>
    <w:rPr>
      <w:rFonts w:ascii="Candara" w:eastAsiaTheme="majorEastAsia" w:hAnsi="Candara" w:cstheme="majorBidi"/>
      <w:snapToGrid/>
      <w:sz w:val="20"/>
      <w:lang w:bidi="en-US"/>
    </w:rPr>
  </w:style>
  <w:style w:type="character" w:customStyle="1" w:styleId="TableChar">
    <w:name w:val="Table Char"/>
    <w:basedOn w:val="DefaultParagraphFont"/>
    <w:link w:val="Table"/>
    <w:locked/>
    <w:rsid w:val="001A05A0"/>
    <w:rPr>
      <w:rFonts w:ascii="Candara" w:eastAsiaTheme="majorEastAsia" w:hAnsi="Candara" w:cstheme="majorBidi"/>
      <w:szCs w:val="22"/>
      <w:lang w:eastAsia="en-US" w:bidi="en-US"/>
    </w:rPr>
  </w:style>
  <w:style w:type="character" w:customStyle="1" w:styleId="SmallSuperscript">
    <w:name w:val="Small Superscript"/>
    <w:basedOn w:val="DefaultParagraphFont"/>
    <w:uiPriority w:val="1"/>
    <w:qFormat/>
    <w:rsid w:val="001A05A0"/>
    <w:rPr>
      <w:rFonts w:ascii="Candara" w:hAnsi="Candara"/>
      <w:sz w:val="20"/>
      <w:vertAlign w:val="superscript"/>
    </w:rPr>
  </w:style>
  <w:style w:type="paragraph" w:customStyle="1" w:styleId="Default">
    <w:name w:val="Default"/>
    <w:rsid w:val="00553027"/>
    <w:pPr>
      <w:autoSpaceDE w:val="0"/>
      <w:autoSpaceDN w:val="0"/>
      <w:adjustRightInd w:val="0"/>
    </w:pPr>
    <w:rPr>
      <w:color w:val="000000"/>
      <w:sz w:val="24"/>
      <w:szCs w:val="24"/>
    </w:rPr>
  </w:style>
  <w:style w:type="character" w:customStyle="1" w:styleId="FontBold">
    <w:name w:val="Font Bold"/>
    <w:basedOn w:val="Font"/>
    <w:uiPriority w:val="1"/>
    <w:qFormat/>
    <w:rsid w:val="00A16FFA"/>
    <w:rPr>
      <w:rFonts w:ascii="Candara" w:hAnsi="Candara"/>
      <w:b/>
      <w:sz w:val="24"/>
    </w:rPr>
  </w:style>
  <w:style w:type="character" w:customStyle="1" w:styleId="Small">
    <w:name w:val="Small"/>
    <w:basedOn w:val="Font"/>
    <w:uiPriority w:val="4"/>
    <w:qFormat/>
    <w:rsid w:val="00E5328B"/>
    <w:rPr>
      <w:rFonts w:ascii="Candara" w:hAnsi="Candara"/>
      <w:sz w:val="20"/>
    </w:rPr>
  </w:style>
  <w:style w:type="paragraph" w:customStyle="1" w:styleId="TableBullets">
    <w:name w:val="Table Bullets"/>
    <w:basedOn w:val="Table"/>
    <w:uiPriority w:val="5"/>
    <w:qFormat/>
    <w:rsid w:val="00E5328B"/>
    <w:pPr>
      <w:numPr>
        <w:numId w:val="5"/>
      </w:numPr>
      <w:ind w:left="357" w:hanging="357"/>
    </w:pPr>
  </w:style>
  <w:style w:type="character" w:customStyle="1" w:styleId="SmallHighlight">
    <w:name w:val="Small Highlight"/>
    <w:basedOn w:val="Small"/>
    <w:uiPriority w:val="1"/>
    <w:qFormat/>
    <w:rsid w:val="00501F78"/>
    <w:rPr>
      <w:rFonts w:ascii="Candara" w:hAnsi="Candara"/>
      <w:sz w:val="20"/>
      <w:bdr w:val="none" w:sz="0" w:space="0" w:color="auto"/>
      <w:shd w:val="clear" w:color="auto" w:fill="FFFF00"/>
    </w:rPr>
  </w:style>
  <w:style w:type="character" w:customStyle="1" w:styleId="FontSuperscript">
    <w:name w:val="Font Superscript"/>
    <w:basedOn w:val="Font"/>
    <w:uiPriority w:val="1"/>
    <w:qFormat/>
    <w:rsid w:val="00860CFC"/>
    <w:rPr>
      <w:rFonts w:ascii="Candara" w:hAnsi="Candara"/>
      <w:sz w:val="24"/>
      <w:vertAlign w:val="superscript"/>
    </w:rPr>
  </w:style>
  <w:style w:type="paragraph" w:customStyle="1" w:styleId="TableCentre">
    <w:name w:val="Table Centre"/>
    <w:basedOn w:val="Table"/>
    <w:qFormat/>
    <w:rsid w:val="00C95089"/>
    <w:pPr>
      <w:jc w:val="center"/>
    </w:pPr>
  </w:style>
  <w:style w:type="character" w:customStyle="1" w:styleId="CaptionFootnoteChar">
    <w:name w:val="Caption Footnote Char"/>
    <w:basedOn w:val="CaptionChar"/>
    <w:link w:val="CaptionFootnote"/>
    <w:rsid w:val="00C95089"/>
    <w:rPr>
      <w:rFonts w:ascii="Candara" w:eastAsiaTheme="majorEastAsia" w:hAnsi="Candara" w:cstheme="majorBidi"/>
      <w:b w:val="0"/>
      <w:bCs/>
      <w:snapToGrid/>
      <w:color w:val="4F81BD" w:themeColor="accent1"/>
      <w:sz w:val="16"/>
      <w:szCs w:val="18"/>
      <w:lang w:eastAsia="en-US" w:bidi="en-US"/>
    </w:rPr>
  </w:style>
  <w:style w:type="paragraph" w:customStyle="1" w:styleId="CaptionFootnote">
    <w:name w:val="Caption Footnote"/>
    <w:basedOn w:val="Caption"/>
    <w:link w:val="CaptionFootnoteChar"/>
    <w:qFormat/>
    <w:rsid w:val="00C95089"/>
    <w:pPr>
      <w:spacing w:after="0"/>
      <w:jc w:val="left"/>
    </w:pPr>
    <w:rPr>
      <w:rFonts w:ascii="Candara" w:eastAsiaTheme="majorEastAsia" w:hAnsi="Candara" w:cstheme="majorBidi"/>
      <w:b w:val="0"/>
      <w:snapToGrid/>
      <w:color w:val="auto"/>
      <w:sz w:val="16"/>
      <w:lang w:eastAsia="en-AU" w:bidi="en-US"/>
    </w:rPr>
  </w:style>
  <w:style w:type="paragraph" w:customStyle="1" w:styleId="V50Instructions">
    <w:name w:val="V5.0 Instructions"/>
    <w:basedOn w:val="Normal"/>
    <w:link w:val="V50InstructionsChar"/>
    <w:qFormat/>
    <w:rsid w:val="008A0412"/>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8A0412"/>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link w:val="TableTextChar0"/>
    <w:qFormat/>
    <w:rsid w:val="008A0412"/>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link w:val="TableHeadingChar"/>
    <w:qFormat/>
    <w:rsid w:val="008A0412"/>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8A0412"/>
    <w:rPr>
      <w:rFonts w:ascii="Arial Narrow" w:eastAsiaTheme="minorHAnsi" w:hAnsi="Arial Narrow" w:cstheme="minorBidi"/>
      <w:szCs w:val="22"/>
      <w:lang w:eastAsia="en-US"/>
    </w:rPr>
  </w:style>
  <w:style w:type="character" w:customStyle="1" w:styleId="TableHeadingChar">
    <w:name w:val="Table Heading Char"/>
    <w:link w:val="TableHeading0"/>
    <w:rsid w:val="008A0412"/>
    <w:rPr>
      <w:rFonts w:ascii="Arial Narrow" w:eastAsiaTheme="minorHAnsi" w:hAnsi="Arial Narrow" w:cstheme="minorBidi"/>
      <w:b/>
      <w:szCs w:val="22"/>
      <w:lang w:eastAsia="en-US"/>
    </w:rPr>
  </w:style>
  <w:style w:type="paragraph" w:styleId="FootnoteText">
    <w:name w:val="footnote text"/>
    <w:basedOn w:val="Normal"/>
    <w:link w:val="FootnoteTextChar"/>
    <w:semiHidden/>
    <w:unhideWhenUsed/>
    <w:rsid w:val="003B5295"/>
    <w:rPr>
      <w:sz w:val="20"/>
      <w:szCs w:val="20"/>
    </w:rPr>
  </w:style>
  <w:style w:type="character" w:customStyle="1" w:styleId="FootnoteTextChar">
    <w:name w:val="Footnote Text Char"/>
    <w:basedOn w:val="DefaultParagraphFont"/>
    <w:link w:val="FootnoteText"/>
    <w:semiHidden/>
    <w:rsid w:val="003B5295"/>
    <w:rPr>
      <w:rFonts w:ascii="Calibri" w:hAnsi="Calibri" w:cs="Arial"/>
      <w:snapToGrid w:val="0"/>
      <w:lang w:eastAsia="en-US"/>
    </w:rPr>
  </w:style>
  <w:style w:type="character" w:styleId="FootnoteReference">
    <w:name w:val="footnote reference"/>
    <w:basedOn w:val="DefaultParagraphFont"/>
    <w:semiHidden/>
    <w:unhideWhenUsed/>
    <w:rsid w:val="003B5295"/>
    <w:rPr>
      <w:vertAlign w:val="superscript"/>
    </w:rPr>
  </w:style>
  <w:style w:type="character" w:customStyle="1" w:styleId="Heading1Char">
    <w:name w:val="Heading 1 Char"/>
    <w:basedOn w:val="DefaultParagraphFont"/>
    <w:link w:val="Heading1"/>
    <w:uiPriority w:val="1"/>
    <w:rsid w:val="00CE564A"/>
    <w:rPr>
      <w:rFonts w:ascii="Calibri" w:hAnsi="Calibri" w:cs="Arial"/>
      <w:b/>
      <w:caps/>
      <w:snapToGrid w:val="0"/>
      <w:sz w:val="32"/>
      <w:szCs w:val="22"/>
      <w:lang w:eastAsia="en-US"/>
    </w:rPr>
  </w:style>
  <w:style w:type="paragraph" w:customStyle="1" w:styleId="2Sections">
    <w:name w:val="2. Sections"/>
    <w:qFormat/>
    <w:rsid w:val="00902DBA"/>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902DBA"/>
    <w:pPr>
      <w:widowControl/>
      <w:spacing w:after="120"/>
      <w:ind w:left="1146" w:hanging="720"/>
    </w:pPr>
    <w:rPr>
      <w:rFonts w:asciiTheme="minorHAnsi" w:eastAsiaTheme="minorHAnsi" w:hAnsiTheme="minorHAnsi" w:cstheme="minorBidi"/>
      <w: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8946">
      <w:bodyDiv w:val="1"/>
      <w:marLeft w:val="0"/>
      <w:marRight w:val="0"/>
      <w:marTop w:val="0"/>
      <w:marBottom w:val="0"/>
      <w:divBdr>
        <w:top w:val="none" w:sz="0" w:space="0" w:color="auto"/>
        <w:left w:val="none" w:sz="0" w:space="0" w:color="auto"/>
        <w:bottom w:val="none" w:sz="0" w:space="0" w:color="auto"/>
        <w:right w:val="none" w:sz="0" w:space="0" w:color="auto"/>
      </w:divBdr>
      <w:divsChild>
        <w:div w:id="178349861">
          <w:marLeft w:val="360"/>
          <w:marRight w:val="0"/>
          <w:marTop w:val="200"/>
          <w:marBottom w:val="0"/>
          <w:divBdr>
            <w:top w:val="none" w:sz="0" w:space="0" w:color="auto"/>
            <w:left w:val="none" w:sz="0" w:space="0" w:color="auto"/>
            <w:bottom w:val="none" w:sz="0" w:space="0" w:color="auto"/>
            <w:right w:val="none" w:sz="0" w:space="0" w:color="auto"/>
          </w:divBdr>
        </w:div>
      </w:divsChild>
    </w:div>
    <w:div w:id="323245638">
      <w:bodyDiv w:val="1"/>
      <w:marLeft w:val="0"/>
      <w:marRight w:val="0"/>
      <w:marTop w:val="0"/>
      <w:marBottom w:val="0"/>
      <w:divBdr>
        <w:top w:val="none" w:sz="0" w:space="0" w:color="auto"/>
        <w:left w:val="none" w:sz="0" w:space="0" w:color="auto"/>
        <w:bottom w:val="none" w:sz="0" w:space="0" w:color="auto"/>
        <w:right w:val="none" w:sz="0" w:space="0" w:color="auto"/>
      </w:divBdr>
    </w:div>
    <w:div w:id="1294167777">
      <w:bodyDiv w:val="1"/>
      <w:marLeft w:val="0"/>
      <w:marRight w:val="0"/>
      <w:marTop w:val="0"/>
      <w:marBottom w:val="0"/>
      <w:divBdr>
        <w:top w:val="none" w:sz="0" w:space="0" w:color="auto"/>
        <w:left w:val="none" w:sz="0" w:space="0" w:color="auto"/>
        <w:bottom w:val="none" w:sz="0" w:space="0" w:color="auto"/>
        <w:right w:val="none" w:sz="0" w:space="0" w:color="auto"/>
      </w:divBdr>
      <w:divsChild>
        <w:div w:id="869488587">
          <w:marLeft w:val="360"/>
          <w:marRight w:val="0"/>
          <w:marTop w:val="200"/>
          <w:marBottom w:val="0"/>
          <w:divBdr>
            <w:top w:val="none" w:sz="0" w:space="0" w:color="auto"/>
            <w:left w:val="none" w:sz="0" w:space="0" w:color="auto"/>
            <w:bottom w:val="none" w:sz="0" w:space="0" w:color="auto"/>
            <w:right w:val="none" w:sz="0" w:space="0" w:color="auto"/>
          </w:divBdr>
        </w:div>
        <w:div w:id="1273367800">
          <w:marLeft w:val="1080"/>
          <w:marRight w:val="0"/>
          <w:marTop w:val="100"/>
          <w:marBottom w:val="0"/>
          <w:divBdr>
            <w:top w:val="none" w:sz="0" w:space="0" w:color="auto"/>
            <w:left w:val="none" w:sz="0" w:space="0" w:color="auto"/>
            <w:bottom w:val="none" w:sz="0" w:space="0" w:color="auto"/>
            <w:right w:val="none" w:sz="0" w:space="0" w:color="auto"/>
          </w:divBdr>
        </w:div>
        <w:div w:id="81993458">
          <w:marLeft w:val="1080"/>
          <w:marRight w:val="0"/>
          <w:marTop w:val="100"/>
          <w:marBottom w:val="0"/>
          <w:divBdr>
            <w:top w:val="none" w:sz="0" w:space="0" w:color="auto"/>
            <w:left w:val="none" w:sz="0" w:space="0" w:color="auto"/>
            <w:bottom w:val="none" w:sz="0" w:space="0" w:color="auto"/>
            <w:right w:val="none" w:sz="0" w:space="0" w:color="auto"/>
          </w:divBdr>
        </w:div>
      </w:divsChild>
    </w:div>
    <w:div w:id="16796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584FC-DF0F-4680-972E-464DC07F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13251</Words>
  <Characters>74396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2020-02-25T05:52:00Z</dcterms:created>
  <dcterms:modified xsi:type="dcterms:W3CDTF">2020-02-28T05:38:00Z</dcterms:modified>
</cp:coreProperties>
</file>