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091" w:rsidRPr="0020356A" w:rsidRDefault="001C4091" w:rsidP="0020356A">
      <w:pPr>
        <w:pStyle w:val="1MainTitle"/>
        <w:spacing w:after="120"/>
        <w:rPr>
          <w:rFonts w:asciiTheme="minorHAnsi" w:hAnsiTheme="minorHAnsi"/>
          <w:lang w:eastAsia="en-AU"/>
        </w:rPr>
      </w:pPr>
      <w:bookmarkStart w:id="0" w:name="_Toc18489946"/>
      <w:r w:rsidRPr="0020356A">
        <w:rPr>
          <w:rFonts w:asciiTheme="minorHAnsi" w:hAnsiTheme="minorHAnsi"/>
          <w:lang w:eastAsia="en-AU"/>
        </w:rPr>
        <w:t>6.05 OLAPARIB,</w:t>
      </w:r>
    </w:p>
    <w:p w:rsidR="001C4091" w:rsidRDefault="001C4091" w:rsidP="00594409">
      <w:pPr>
        <w:spacing w:before="0" w:after="0"/>
        <w:ind w:left="709" w:firstLine="1"/>
        <w:rPr>
          <w:rFonts w:ascii="Calibri" w:hAnsi="Calibri" w:cs="Calibri"/>
          <w:b/>
          <w:sz w:val="36"/>
          <w:szCs w:val="36"/>
        </w:rPr>
      </w:pPr>
      <w:r>
        <w:rPr>
          <w:rFonts w:ascii="Calibri" w:hAnsi="Calibri" w:cs="Calibri"/>
          <w:b/>
          <w:sz w:val="36"/>
          <w:szCs w:val="36"/>
        </w:rPr>
        <w:t>Tablet 150</w:t>
      </w:r>
      <w:r w:rsidR="00002272">
        <w:rPr>
          <w:rFonts w:ascii="Calibri" w:hAnsi="Calibri" w:cs="Calibri"/>
          <w:b/>
          <w:sz w:val="36"/>
          <w:szCs w:val="36"/>
        </w:rPr>
        <w:t xml:space="preserve"> </w:t>
      </w:r>
      <w:r>
        <w:rPr>
          <w:rFonts w:ascii="Calibri" w:hAnsi="Calibri" w:cs="Calibri"/>
          <w:b/>
          <w:sz w:val="36"/>
          <w:szCs w:val="36"/>
        </w:rPr>
        <w:t>mg, Tablet 100</w:t>
      </w:r>
      <w:r w:rsidR="00002272">
        <w:rPr>
          <w:rFonts w:ascii="Calibri" w:hAnsi="Calibri" w:cs="Calibri"/>
          <w:b/>
          <w:sz w:val="36"/>
          <w:szCs w:val="36"/>
        </w:rPr>
        <w:t xml:space="preserve"> </w:t>
      </w:r>
      <w:r>
        <w:rPr>
          <w:rFonts w:ascii="Calibri" w:hAnsi="Calibri" w:cs="Calibri"/>
          <w:b/>
          <w:sz w:val="36"/>
          <w:szCs w:val="36"/>
        </w:rPr>
        <w:t xml:space="preserve">mg, </w:t>
      </w:r>
    </w:p>
    <w:p w:rsidR="001C4091" w:rsidRDefault="001C4091" w:rsidP="00594409">
      <w:pPr>
        <w:spacing w:before="0" w:after="0"/>
        <w:ind w:left="709"/>
        <w:rPr>
          <w:rFonts w:ascii="Calibri" w:hAnsi="Calibri" w:cs="Calibri"/>
          <w:b/>
          <w:sz w:val="36"/>
          <w:szCs w:val="36"/>
        </w:rPr>
      </w:pPr>
      <w:proofErr w:type="spellStart"/>
      <w:r>
        <w:rPr>
          <w:rFonts w:ascii="Calibri" w:hAnsi="Calibri" w:cs="Calibri"/>
          <w:b/>
          <w:sz w:val="36"/>
          <w:szCs w:val="36"/>
        </w:rPr>
        <w:t>Lynparza</w:t>
      </w:r>
      <w:proofErr w:type="spellEnd"/>
      <w:r>
        <w:rPr>
          <w:rFonts w:ascii="Calibri" w:hAnsi="Calibri" w:cs="Calibri"/>
          <w:b/>
          <w:sz w:val="36"/>
          <w:szCs w:val="36"/>
        </w:rPr>
        <w:t>®,</w:t>
      </w:r>
    </w:p>
    <w:p w:rsidR="00704999" w:rsidRPr="00C97064" w:rsidRDefault="001C4091" w:rsidP="00594409">
      <w:pPr>
        <w:spacing w:before="0" w:after="0"/>
        <w:ind w:left="709"/>
        <w:rPr>
          <w:rFonts w:ascii="Calibri" w:hAnsi="Calibri" w:cs="Calibri"/>
          <w:b/>
          <w:sz w:val="36"/>
          <w:szCs w:val="36"/>
        </w:rPr>
      </w:pPr>
      <w:r>
        <w:rPr>
          <w:rFonts w:ascii="Calibri" w:hAnsi="Calibri" w:cs="Calibri"/>
          <w:b/>
          <w:sz w:val="36"/>
          <w:szCs w:val="36"/>
        </w:rPr>
        <w:t>AstraZeneca Pty Ltd.</w:t>
      </w:r>
      <w:bookmarkStart w:id="1" w:name="_Toc413139271"/>
      <w:bookmarkEnd w:id="0"/>
    </w:p>
    <w:p w:rsidR="00B12A8C" w:rsidRPr="00DC08B0" w:rsidRDefault="00B12A8C" w:rsidP="00563974">
      <w:pPr>
        <w:pStyle w:val="PBACESHeading1"/>
        <w:keepNext w:val="0"/>
        <w:numPr>
          <w:ilvl w:val="0"/>
          <w:numId w:val="12"/>
        </w:numPr>
      </w:pPr>
      <w:bookmarkStart w:id="2" w:name="_Toc18489968"/>
      <w:r w:rsidRPr="00DC08B0">
        <w:t>Purpose of submission</w:t>
      </w:r>
      <w:bookmarkEnd w:id="2"/>
    </w:p>
    <w:p w:rsidR="00B12A8C" w:rsidRDefault="00B12A8C" w:rsidP="00563974">
      <w:pPr>
        <w:pStyle w:val="ListParagraph"/>
        <w:numPr>
          <w:ilvl w:val="4"/>
          <w:numId w:val="1"/>
        </w:numPr>
      </w:pPr>
      <w:r w:rsidRPr="00DC08B0">
        <w:t xml:space="preserve">An application </w:t>
      </w:r>
      <w:r w:rsidR="00946AD9">
        <w:t xml:space="preserve">has been made </w:t>
      </w:r>
      <w:r w:rsidRPr="00DC08B0">
        <w:t xml:space="preserve">requesting MBS listing of </w:t>
      </w:r>
      <w:r w:rsidR="003017DE" w:rsidRPr="003017DE">
        <w:t xml:space="preserve">germline </w:t>
      </w:r>
      <w:proofErr w:type="spellStart"/>
      <w:r w:rsidR="003017DE" w:rsidRPr="008943DD">
        <w:rPr>
          <w:i/>
          <w:iCs/>
        </w:rPr>
        <w:t>BRCA</w:t>
      </w:r>
      <w:r w:rsidR="003017DE" w:rsidRPr="003017DE">
        <w:t>m</w:t>
      </w:r>
      <w:proofErr w:type="spellEnd"/>
      <w:r w:rsidR="003017DE" w:rsidRPr="003017DE">
        <w:t xml:space="preserve"> testing (Scenario 1) or tumour </w:t>
      </w:r>
      <w:proofErr w:type="spellStart"/>
      <w:r w:rsidR="003017DE" w:rsidRPr="008943DD">
        <w:rPr>
          <w:i/>
          <w:iCs/>
        </w:rPr>
        <w:t>BRCA</w:t>
      </w:r>
      <w:r w:rsidR="003017DE" w:rsidRPr="003017DE">
        <w:t>m</w:t>
      </w:r>
      <w:proofErr w:type="spellEnd"/>
      <w:r w:rsidR="003017DE" w:rsidRPr="003017DE">
        <w:t xml:space="preserve"> testing (Scenario 2) for the evaluation of </w:t>
      </w:r>
      <w:r w:rsidR="003017DE" w:rsidRPr="008943DD">
        <w:rPr>
          <w:i/>
          <w:iCs/>
        </w:rPr>
        <w:t>BRCA</w:t>
      </w:r>
      <w:r w:rsidR="003017DE" w:rsidRPr="003017DE">
        <w:t xml:space="preserve"> pathological or likely pathological variants (</w:t>
      </w:r>
      <w:proofErr w:type="spellStart"/>
      <w:r w:rsidR="003017DE" w:rsidRPr="003017DE">
        <w:t>BRCAm</w:t>
      </w:r>
      <w:proofErr w:type="spellEnd"/>
      <w:r w:rsidR="003017DE" w:rsidRPr="003017DE">
        <w:t>)</w:t>
      </w:r>
      <w:r w:rsidR="003017DE">
        <w:t>,</w:t>
      </w:r>
      <w:r w:rsidRPr="00DC08B0">
        <w:t xml:space="preserve"> and PBS listing of </w:t>
      </w:r>
      <w:proofErr w:type="spellStart"/>
      <w:r w:rsidRPr="00DC08B0">
        <w:t>olaparib</w:t>
      </w:r>
      <w:proofErr w:type="spellEnd"/>
      <w:r w:rsidRPr="00DC08B0">
        <w:t xml:space="preserve"> following response to first-line platinum-based chemotherapy for the targeted treatment of advanced, high-grade epithelial ovarian cancer (HGEOC) with a </w:t>
      </w:r>
      <w:r w:rsidR="003017DE" w:rsidRPr="00A64A41">
        <w:t xml:space="preserve">somatic or germline </w:t>
      </w:r>
      <w:proofErr w:type="spellStart"/>
      <w:r w:rsidR="003017DE" w:rsidRPr="00A64A41">
        <w:rPr>
          <w:i/>
        </w:rPr>
        <w:t>BRCA</w:t>
      </w:r>
      <w:r w:rsidR="003017DE" w:rsidRPr="00A64A41">
        <w:t>m</w:t>
      </w:r>
      <w:proofErr w:type="spellEnd"/>
      <w:r w:rsidRPr="00DC08B0">
        <w:t>.</w:t>
      </w:r>
    </w:p>
    <w:p w:rsidR="00387684" w:rsidRPr="00DC08B0" w:rsidRDefault="00387684" w:rsidP="00387684">
      <w:pPr>
        <w:pStyle w:val="ListParagraph"/>
        <w:numPr>
          <w:ilvl w:val="4"/>
          <w:numId w:val="1"/>
        </w:numPr>
      </w:pPr>
      <w:r w:rsidRPr="00DC08B0">
        <w:t xml:space="preserve">This is the first submission to the PBAC for the use of </w:t>
      </w:r>
      <w:proofErr w:type="spellStart"/>
      <w:r w:rsidRPr="00DC08B0">
        <w:t>olaparib</w:t>
      </w:r>
      <w:proofErr w:type="spellEnd"/>
      <w:r w:rsidRPr="00DC08B0">
        <w:t xml:space="preserve"> for this indication. </w:t>
      </w:r>
      <w:proofErr w:type="spellStart"/>
      <w:r w:rsidRPr="005829C8">
        <w:t>Olaparib</w:t>
      </w:r>
      <w:proofErr w:type="spellEnd"/>
      <w:r w:rsidRPr="005829C8">
        <w:t xml:space="preserve"> is currently listed for the treatment of HGEOC following response to a </w:t>
      </w:r>
      <w:r w:rsidRPr="005829C8">
        <w:rPr>
          <w:iCs/>
        </w:rPr>
        <w:t>second</w:t>
      </w:r>
      <w:r w:rsidRPr="005829C8">
        <w:t xml:space="preserve"> platinum-based regimen in patients who are </w:t>
      </w:r>
      <w:proofErr w:type="spellStart"/>
      <w:r w:rsidRPr="005829C8">
        <w:t>g</w:t>
      </w:r>
      <w:r w:rsidRPr="005829C8">
        <w:rPr>
          <w:i/>
        </w:rPr>
        <w:t>BRCA</w:t>
      </w:r>
      <w:r w:rsidRPr="005829C8">
        <w:t>m</w:t>
      </w:r>
      <w:proofErr w:type="spellEnd"/>
      <w:r w:rsidRPr="005829C8">
        <w:t>-positive</w:t>
      </w:r>
      <w:r w:rsidRPr="00DC08B0">
        <w:t xml:space="preserve">. At the time of the previous submission, the targeting of patients with a </w:t>
      </w:r>
      <w:proofErr w:type="spellStart"/>
      <w:r w:rsidRPr="00E42F6A">
        <w:rPr>
          <w:i/>
        </w:rPr>
        <w:t>BRCA</w:t>
      </w:r>
      <w:r w:rsidRPr="00DC08B0">
        <w:t>m</w:t>
      </w:r>
      <w:proofErr w:type="spellEnd"/>
      <w:r w:rsidRPr="00DC08B0">
        <w:t xml:space="preserve"> resulted in a co-dependent process. </w:t>
      </w:r>
      <w:r>
        <w:t xml:space="preserve">The </w:t>
      </w:r>
      <w:r w:rsidRPr="00DC08B0">
        <w:t xml:space="preserve">MSAC recommended listing of a MBS item number </w:t>
      </w:r>
      <w:r>
        <w:t xml:space="preserve">for </w:t>
      </w:r>
      <w:r w:rsidRPr="00DC08B0">
        <w:t xml:space="preserve">germline </w:t>
      </w:r>
      <w:proofErr w:type="spellStart"/>
      <w:r w:rsidRPr="00DE3011">
        <w:rPr>
          <w:i/>
        </w:rPr>
        <w:t>BRCA</w:t>
      </w:r>
      <w:r w:rsidRPr="00DE3011">
        <w:t>m</w:t>
      </w:r>
      <w:proofErr w:type="spellEnd"/>
      <w:r w:rsidRPr="00DE3011">
        <w:t xml:space="preserve"> testing</w:t>
      </w:r>
      <w:r>
        <w:rPr>
          <w:i/>
        </w:rPr>
        <w:t xml:space="preserve"> </w:t>
      </w:r>
      <w:r w:rsidRPr="00DC08B0">
        <w:t xml:space="preserve">to permit the identification of patients </w:t>
      </w:r>
      <w:r>
        <w:t>who</w:t>
      </w:r>
      <w:r w:rsidRPr="00DC08B0">
        <w:t xml:space="preserve"> would be eligible for </w:t>
      </w:r>
      <w:proofErr w:type="spellStart"/>
      <w:r w:rsidRPr="00DC08B0">
        <w:t>olaparib</w:t>
      </w:r>
      <w:proofErr w:type="spellEnd"/>
      <w:r w:rsidRPr="00DC08B0">
        <w:t xml:space="preserve">, but did not recommend the listing of tumour </w:t>
      </w:r>
      <w:proofErr w:type="spellStart"/>
      <w:r w:rsidRPr="00E42F6A">
        <w:rPr>
          <w:i/>
        </w:rPr>
        <w:t>BRCA</w:t>
      </w:r>
      <w:r w:rsidRPr="00DC08B0">
        <w:t>m</w:t>
      </w:r>
      <w:proofErr w:type="spellEnd"/>
      <w:r w:rsidRPr="00DC08B0">
        <w:t xml:space="preserve"> testing (</w:t>
      </w:r>
      <w:r w:rsidR="001E0D30">
        <w:t>Public Summary Document (</w:t>
      </w:r>
      <w:r>
        <w:t>PSD</w:t>
      </w:r>
      <w:r w:rsidR="001E0D30">
        <w:t>)</w:t>
      </w:r>
      <w:r>
        <w:t xml:space="preserve"> for MSAC 1380; </w:t>
      </w:r>
      <w:r w:rsidRPr="00DC08B0">
        <w:t>MSAC meeting, November 2016).</w:t>
      </w:r>
    </w:p>
    <w:p w:rsidR="00005E7E" w:rsidRPr="008943DD" w:rsidRDefault="00005E7E" w:rsidP="00563974">
      <w:pPr>
        <w:pStyle w:val="ListParagraph"/>
        <w:numPr>
          <w:ilvl w:val="4"/>
          <w:numId w:val="1"/>
        </w:numPr>
      </w:pPr>
      <w:r w:rsidRPr="008943DD">
        <w:t xml:space="preserve">Germline </w:t>
      </w:r>
      <w:proofErr w:type="spellStart"/>
      <w:r w:rsidRPr="00494E97">
        <w:rPr>
          <w:i/>
        </w:rPr>
        <w:t>BRCA</w:t>
      </w:r>
      <w:r w:rsidRPr="008943DD">
        <w:t>m</w:t>
      </w:r>
      <w:proofErr w:type="spellEnd"/>
      <w:r w:rsidRPr="008943DD">
        <w:t xml:space="preserve"> testing is currently listed on the MBS</w:t>
      </w:r>
      <w:r>
        <w:t xml:space="preserve"> (MBS item 73296)</w:t>
      </w:r>
      <w:r w:rsidRPr="008943DD">
        <w:t xml:space="preserve">. HGEOC </w:t>
      </w:r>
      <w:proofErr w:type="gramStart"/>
      <w:r w:rsidRPr="008943DD">
        <w:t>patients</w:t>
      </w:r>
      <w:proofErr w:type="gramEnd"/>
      <w:r w:rsidRPr="008943DD">
        <w:t xml:space="preserve"> are eligible for reimbursement using this test at diagnosis. Tumour </w:t>
      </w:r>
      <w:proofErr w:type="spellStart"/>
      <w:r w:rsidRPr="00A64A41">
        <w:rPr>
          <w:i/>
        </w:rPr>
        <w:t>BRCA</w:t>
      </w:r>
      <w:r w:rsidRPr="008943DD">
        <w:t>m</w:t>
      </w:r>
      <w:proofErr w:type="spellEnd"/>
      <w:r w:rsidRPr="008943DD">
        <w:t xml:space="preserve"> testing is not currently MBS listed, however it is available </w:t>
      </w:r>
      <w:r>
        <w:t xml:space="preserve">privately </w:t>
      </w:r>
      <w:r w:rsidRPr="008943DD">
        <w:t xml:space="preserve">in Australia. Tumour </w:t>
      </w:r>
      <w:proofErr w:type="spellStart"/>
      <w:r w:rsidRPr="00A64A41">
        <w:rPr>
          <w:i/>
        </w:rPr>
        <w:t>BRCA</w:t>
      </w:r>
      <w:r w:rsidRPr="008943DD">
        <w:t>m</w:t>
      </w:r>
      <w:proofErr w:type="spellEnd"/>
      <w:r w:rsidRPr="008943DD">
        <w:t xml:space="preserve"> testing identif</w:t>
      </w:r>
      <w:r>
        <w:t>ies</w:t>
      </w:r>
      <w:r w:rsidRPr="008943DD">
        <w:t xml:space="preserve"> patients with both germline and somatic </w:t>
      </w:r>
      <w:proofErr w:type="spellStart"/>
      <w:r w:rsidRPr="00A64A41">
        <w:rPr>
          <w:i/>
        </w:rPr>
        <w:t>BRCA</w:t>
      </w:r>
      <w:r w:rsidRPr="008943DD">
        <w:t>m</w:t>
      </w:r>
      <w:proofErr w:type="spellEnd"/>
      <w:r w:rsidRPr="008943DD">
        <w:t>. Th</w:t>
      </w:r>
      <w:r w:rsidR="00A63973">
        <w:t>e submission proposed</w:t>
      </w:r>
      <w:r>
        <w:t xml:space="preserve"> that tumour </w:t>
      </w:r>
      <w:proofErr w:type="spellStart"/>
      <w:r w:rsidRPr="00A64A41">
        <w:rPr>
          <w:i/>
        </w:rPr>
        <w:t>BRCA</w:t>
      </w:r>
      <w:r>
        <w:t>m</w:t>
      </w:r>
      <w:proofErr w:type="spellEnd"/>
      <w:r>
        <w:t xml:space="preserve"> testing should be available </w:t>
      </w:r>
      <w:r w:rsidRPr="008943DD">
        <w:t xml:space="preserve">to increase the number of patients </w:t>
      </w:r>
      <w:r>
        <w:t xml:space="preserve">identified </w:t>
      </w:r>
      <w:r w:rsidRPr="008943DD">
        <w:t>who are likely to respond to a PARP inhibitor.</w:t>
      </w:r>
    </w:p>
    <w:p w:rsidR="00E42F6A" w:rsidRPr="00005E7E" w:rsidRDefault="00F30311" w:rsidP="00563974">
      <w:pPr>
        <w:pStyle w:val="ListParagraph"/>
        <w:numPr>
          <w:ilvl w:val="4"/>
          <w:numId w:val="1"/>
        </w:numPr>
      </w:pPr>
      <w:r>
        <w:t xml:space="preserve">The submission to the PBAC was lodged prior to the TGA decision for first-line </w:t>
      </w:r>
      <w:proofErr w:type="spellStart"/>
      <w:r>
        <w:t>olaparib</w:t>
      </w:r>
      <w:proofErr w:type="spellEnd"/>
      <w:r>
        <w:t xml:space="preserve">, and it was unknown whether the TGA would approve </w:t>
      </w:r>
      <w:proofErr w:type="spellStart"/>
      <w:r>
        <w:t>olaparib</w:t>
      </w:r>
      <w:proofErr w:type="spellEnd"/>
      <w:r>
        <w:t xml:space="preserve"> for use in both </w:t>
      </w:r>
      <w:proofErr w:type="spellStart"/>
      <w:r>
        <w:t>s</w:t>
      </w:r>
      <w:r w:rsidRPr="00494E97">
        <w:rPr>
          <w:i/>
        </w:rPr>
        <w:t>BRCA</w:t>
      </w:r>
      <w:r>
        <w:t>m</w:t>
      </w:r>
      <w:proofErr w:type="spellEnd"/>
      <w:r>
        <w:t xml:space="preserve"> and </w:t>
      </w:r>
      <w:proofErr w:type="spellStart"/>
      <w:r>
        <w:t>g</w:t>
      </w:r>
      <w:r w:rsidRPr="00494E97">
        <w:rPr>
          <w:i/>
        </w:rPr>
        <w:t>BRCA</w:t>
      </w:r>
      <w:r>
        <w:t>m</w:t>
      </w:r>
      <w:proofErr w:type="spellEnd"/>
      <w:r>
        <w:t xml:space="preserve"> or only </w:t>
      </w:r>
      <w:proofErr w:type="spellStart"/>
      <w:r>
        <w:t>g</w:t>
      </w:r>
      <w:r w:rsidRPr="00494E97">
        <w:rPr>
          <w:i/>
        </w:rPr>
        <w:t>BRCA</w:t>
      </w:r>
      <w:r>
        <w:t>m</w:t>
      </w:r>
      <w:proofErr w:type="spellEnd"/>
      <w:r>
        <w:t xml:space="preserve"> patients. </w:t>
      </w:r>
      <w:r w:rsidR="00E42F6A">
        <w:t>An</w:t>
      </w:r>
      <w:r w:rsidR="00D80337">
        <w:t xml:space="preserve"> alternative proposed listing (S</w:t>
      </w:r>
      <w:r w:rsidR="00E42F6A">
        <w:t xml:space="preserve">cenario 1), which included only germline </w:t>
      </w:r>
      <w:proofErr w:type="spellStart"/>
      <w:r w:rsidR="00E42F6A" w:rsidRPr="00E42F6A">
        <w:rPr>
          <w:i/>
          <w:iCs/>
        </w:rPr>
        <w:t>BRCA</w:t>
      </w:r>
      <w:r w:rsidR="00DE3011" w:rsidRPr="00DE3011">
        <w:rPr>
          <w:iCs/>
        </w:rPr>
        <w:t>m</w:t>
      </w:r>
      <w:proofErr w:type="spellEnd"/>
      <w:r w:rsidR="00E42F6A">
        <w:t xml:space="preserve"> testing, </w:t>
      </w:r>
      <w:r w:rsidR="00B767F8">
        <w:t>was provided in the submission</w:t>
      </w:r>
      <w:r w:rsidR="00B358E7">
        <w:t xml:space="preserve"> as this would be the appropriate population should</w:t>
      </w:r>
      <w:r w:rsidR="00E42F6A">
        <w:t xml:space="preserve"> the TGA </w:t>
      </w:r>
      <w:r w:rsidR="00B358E7">
        <w:t xml:space="preserve">limit the approved indication to </w:t>
      </w:r>
      <w:proofErr w:type="spellStart"/>
      <w:r w:rsidR="00B358E7">
        <w:t>g</w:t>
      </w:r>
      <w:r w:rsidR="00B358E7" w:rsidRPr="00B358E7">
        <w:rPr>
          <w:i/>
        </w:rPr>
        <w:t>BRCA</w:t>
      </w:r>
      <w:r w:rsidR="00B358E7">
        <w:t>m</w:t>
      </w:r>
      <w:proofErr w:type="spellEnd"/>
      <w:r w:rsidR="00E42F6A">
        <w:t>.</w:t>
      </w:r>
      <w:r>
        <w:t xml:space="preserve"> </w:t>
      </w:r>
      <w:r w:rsidRPr="005829C8">
        <w:rPr>
          <w:iCs/>
        </w:rPr>
        <w:t xml:space="preserve">The TGA approved indication became available during the evaluation and included both </w:t>
      </w:r>
      <w:proofErr w:type="spellStart"/>
      <w:r w:rsidRPr="005829C8">
        <w:rPr>
          <w:iCs/>
        </w:rPr>
        <w:t>s</w:t>
      </w:r>
      <w:r w:rsidRPr="00494E97">
        <w:rPr>
          <w:i/>
          <w:iCs/>
        </w:rPr>
        <w:t>BRCA</w:t>
      </w:r>
      <w:r w:rsidRPr="005829C8">
        <w:rPr>
          <w:iCs/>
        </w:rPr>
        <w:t>m</w:t>
      </w:r>
      <w:proofErr w:type="spellEnd"/>
      <w:r w:rsidRPr="005829C8">
        <w:rPr>
          <w:iCs/>
        </w:rPr>
        <w:t xml:space="preserve"> and </w:t>
      </w:r>
      <w:proofErr w:type="spellStart"/>
      <w:r w:rsidRPr="005829C8">
        <w:rPr>
          <w:iCs/>
        </w:rPr>
        <w:t>g</w:t>
      </w:r>
      <w:r w:rsidRPr="00494E97">
        <w:rPr>
          <w:i/>
          <w:iCs/>
        </w:rPr>
        <w:t>BRCA</w:t>
      </w:r>
      <w:r w:rsidRPr="005829C8">
        <w:rPr>
          <w:iCs/>
        </w:rPr>
        <w:t>m</w:t>
      </w:r>
      <w:proofErr w:type="spellEnd"/>
      <w:r w:rsidR="00BA05F0" w:rsidRPr="00704999">
        <w:rPr>
          <w:iCs/>
        </w:rPr>
        <w:t>.</w:t>
      </w:r>
      <w:r w:rsidR="00E42F6A" w:rsidRPr="00704999">
        <w:t xml:space="preserve"> </w:t>
      </w:r>
      <w:r w:rsidR="00BA05F0" w:rsidRPr="00704999">
        <w:rPr>
          <w:iCs/>
        </w:rPr>
        <w:t>S</w:t>
      </w:r>
      <w:r w:rsidR="008943DD" w:rsidRPr="00704999">
        <w:rPr>
          <w:iCs/>
        </w:rPr>
        <w:t xml:space="preserve">cenario </w:t>
      </w:r>
      <w:r w:rsidR="00BA05F0" w:rsidRPr="00704999">
        <w:rPr>
          <w:iCs/>
        </w:rPr>
        <w:t xml:space="preserve">1 </w:t>
      </w:r>
      <w:r w:rsidR="008943DD" w:rsidRPr="00704999">
        <w:rPr>
          <w:iCs/>
        </w:rPr>
        <w:t xml:space="preserve">has minimal testing implications and represents primarily a movement of </w:t>
      </w:r>
      <w:proofErr w:type="spellStart"/>
      <w:r w:rsidR="008943DD" w:rsidRPr="00704999">
        <w:rPr>
          <w:iCs/>
        </w:rPr>
        <w:t>olaparib</w:t>
      </w:r>
      <w:proofErr w:type="spellEnd"/>
      <w:r w:rsidR="008943DD" w:rsidRPr="00704999">
        <w:rPr>
          <w:iCs/>
        </w:rPr>
        <w:t xml:space="preserve"> for patients with </w:t>
      </w:r>
      <w:proofErr w:type="spellStart"/>
      <w:r w:rsidR="008943DD" w:rsidRPr="00704999">
        <w:rPr>
          <w:iCs/>
        </w:rPr>
        <w:t>g</w:t>
      </w:r>
      <w:r w:rsidR="008943DD" w:rsidRPr="00494E97">
        <w:rPr>
          <w:i/>
          <w:iCs/>
        </w:rPr>
        <w:t>BRCA</w:t>
      </w:r>
      <w:r w:rsidR="008943DD" w:rsidRPr="00704999">
        <w:rPr>
          <w:iCs/>
        </w:rPr>
        <w:t>m</w:t>
      </w:r>
      <w:proofErr w:type="spellEnd"/>
      <w:r w:rsidR="008943DD" w:rsidRPr="00704999">
        <w:rPr>
          <w:iCs/>
        </w:rPr>
        <w:t xml:space="preserve"> from a second-line to a first-line setting.</w:t>
      </w:r>
      <w:r w:rsidR="00005E7E">
        <w:rPr>
          <w:iCs/>
        </w:rPr>
        <w:t xml:space="preserve"> </w:t>
      </w:r>
    </w:p>
    <w:p w:rsidR="00005E7E" w:rsidRPr="00CC4DC5" w:rsidRDefault="00005E7E" w:rsidP="003D404F">
      <w:pPr>
        <w:pStyle w:val="ListParagraph"/>
        <w:numPr>
          <w:ilvl w:val="4"/>
          <w:numId w:val="1"/>
        </w:numPr>
        <w:spacing w:before="0" w:after="60"/>
      </w:pPr>
      <w:r w:rsidRPr="00CC4DC5">
        <w:rPr>
          <w:iCs/>
        </w:rPr>
        <w:t xml:space="preserve">The </w:t>
      </w:r>
      <w:r w:rsidR="001E0D30" w:rsidRPr="007C7244">
        <w:rPr>
          <w:rFonts w:cstheme="minorHAnsi"/>
          <w:szCs w:val="24"/>
        </w:rPr>
        <w:t>Economics Sub-Committee</w:t>
      </w:r>
      <w:r w:rsidR="001E0D30" w:rsidRPr="00CC4DC5">
        <w:rPr>
          <w:iCs/>
        </w:rPr>
        <w:t xml:space="preserve"> </w:t>
      </w:r>
      <w:r w:rsidR="001E0D30">
        <w:rPr>
          <w:iCs/>
        </w:rPr>
        <w:t>(</w:t>
      </w:r>
      <w:r w:rsidRPr="00CC4DC5">
        <w:rPr>
          <w:iCs/>
        </w:rPr>
        <w:t>ESC</w:t>
      </w:r>
      <w:r w:rsidR="001E0D30">
        <w:rPr>
          <w:iCs/>
        </w:rPr>
        <w:t>)</w:t>
      </w:r>
      <w:r w:rsidRPr="00CC4DC5">
        <w:rPr>
          <w:iCs/>
        </w:rPr>
        <w:t xml:space="preserve"> noted that following the TGA approval of </w:t>
      </w:r>
      <w:proofErr w:type="spellStart"/>
      <w:r w:rsidRPr="00CC4DC5">
        <w:rPr>
          <w:iCs/>
        </w:rPr>
        <w:t>olaparib</w:t>
      </w:r>
      <w:proofErr w:type="spellEnd"/>
      <w:r w:rsidRPr="00CC4DC5">
        <w:rPr>
          <w:iCs/>
        </w:rPr>
        <w:t xml:space="preserve"> in patients with either </w:t>
      </w:r>
      <w:proofErr w:type="spellStart"/>
      <w:r w:rsidRPr="00CC4DC5">
        <w:rPr>
          <w:iCs/>
        </w:rPr>
        <w:t>s</w:t>
      </w:r>
      <w:r w:rsidRPr="00CC4DC5">
        <w:rPr>
          <w:i/>
          <w:iCs/>
        </w:rPr>
        <w:t>BRCA</w:t>
      </w:r>
      <w:r w:rsidRPr="00CC4DC5">
        <w:rPr>
          <w:iCs/>
        </w:rPr>
        <w:t>m</w:t>
      </w:r>
      <w:proofErr w:type="spellEnd"/>
      <w:r w:rsidRPr="00CC4DC5">
        <w:rPr>
          <w:iCs/>
        </w:rPr>
        <w:t xml:space="preserve"> or </w:t>
      </w:r>
      <w:proofErr w:type="spellStart"/>
      <w:r w:rsidRPr="00CC4DC5">
        <w:rPr>
          <w:iCs/>
        </w:rPr>
        <w:t>g</w:t>
      </w:r>
      <w:r w:rsidRPr="00CC4DC5">
        <w:rPr>
          <w:i/>
          <w:iCs/>
        </w:rPr>
        <w:t>BRCA</w:t>
      </w:r>
      <w:r w:rsidRPr="00CC4DC5">
        <w:rPr>
          <w:iCs/>
        </w:rPr>
        <w:t>m</w:t>
      </w:r>
      <w:proofErr w:type="spellEnd"/>
      <w:r w:rsidRPr="00CC4DC5">
        <w:rPr>
          <w:iCs/>
        </w:rPr>
        <w:t xml:space="preserve">, scenario 2 may be more relevant, </w:t>
      </w:r>
      <w:r w:rsidRPr="00CC4DC5">
        <w:rPr>
          <w:iCs/>
        </w:rPr>
        <w:lastRenderedPageBreak/>
        <w:t xml:space="preserve">however, in the event that the MSAC does not recommend tumour testing for </w:t>
      </w:r>
      <w:proofErr w:type="spellStart"/>
      <w:r w:rsidRPr="00CC4DC5">
        <w:rPr>
          <w:i/>
          <w:iCs/>
        </w:rPr>
        <w:t>BRCA</w:t>
      </w:r>
      <w:r w:rsidRPr="00CC4DC5">
        <w:rPr>
          <w:iCs/>
        </w:rPr>
        <w:t>m</w:t>
      </w:r>
      <w:proofErr w:type="spellEnd"/>
      <w:r w:rsidRPr="00CC4DC5">
        <w:rPr>
          <w:iCs/>
        </w:rPr>
        <w:t>, scenario 1 would be more relevant.</w:t>
      </w:r>
    </w:p>
    <w:p w:rsidR="00B12A8C" w:rsidRPr="00DC08B0" w:rsidRDefault="00B12A8C" w:rsidP="003D404F">
      <w:pPr>
        <w:pStyle w:val="ListParagraph"/>
        <w:numPr>
          <w:ilvl w:val="4"/>
          <w:numId w:val="1"/>
        </w:numPr>
        <w:spacing w:before="0" w:after="60"/>
      </w:pPr>
      <w:r w:rsidRPr="00DC08B0">
        <w:t xml:space="preserve">The submission </w:t>
      </w:r>
      <w:r w:rsidR="00C26365">
        <w:t>requested</w:t>
      </w:r>
      <w:r w:rsidRPr="00DC08B0">
        <w:t xml:space="preserve"> a listing for </w:t>
      </w:r>
      <w:proofErr w:type="spellStart"/>
      <w:r w:rsidRPr="00DC08B0">
        <w:t>olaparib</w:t>
      </w:r>
      <w:proofErr w:type="spellEnd"/>
      <w:r w:rsidRPr="00DC08B0">
        <w:t xml:space="preserve"> and relevant </w:t>
      </w:r>
      <w:proofErr w:type="spellStart"/>
      <w:r w:rsidRPr="00E42F6A">
        <w:rPr>
          <w:i/>
        </w:rPr>
        <w:t>BRCA</w:t>
      </w:r>
      <w:r w:rsidRPr="00DC08B0">
        <w:t>m</w:t>
      </w:r>
      <w:proofErr w:type="spellEnd"/>
      <w:r w:rsidRPr="00DC08B0">
        <w:t xml:space="preserve"> testing on a cost-effectiveness basis compared with current practice. </w:t>
      </w:r>
    </w:p>
    <w:p w:rsidR="00B12A8C" w:rsidRDefault="00B12A8C" w:rsidP="003D404F">
      <w:pPr>
        <w:pStyle w:val="Caption"/>
        <w:keepLines/>
        <w:spacing w:before="0"/>
        <w:ind w:left="1418" w:hanging="1418"/>
      </w:pPr>
      <w:r w:rsidRPr="00DC08B0">
        <w:t>Table</w:t>
      </w:r>
      <w:r w:rsidR="00563974">
        <w:t xml:space="preserve"> </w:t>
      </w:r>
      <w:r w:rsidR="00A75368">
        <w:rPr>
          <w:noProof/>
        </w:rPr>
        <w:t>1</w:t>
      </w:r>
      <w:r w:rsidR="00563974">
        <w:rPr>
          <w:noProof/>
        </w:rPr>
        <w:t xml:space="preserve">: </w:t>
      </w:r>
      <w:r w:rsidRPr="00DC08B0">
        <w:t>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3686"/>
        <w:gridCol w:w="4059"/>
      </w:tblGrid>
      <w:tr w:rsidR="008943DD" w:rsidRPr="00931C45" w:rsidTr="00440D09">
        <w:trPr>
          <w:cnfStyle w:val="100000000000" w:firstRow="1" w:lastRow="0" w:firstColumn="0" w:lastColumn="0" w:oddVBand="0" w:evenVBand="0" w:oddHBand="0" w:evenHBand="0" w:firstRowFirstColumn="0" w:firstRowLastColumn="0" w:lastRowFirstColumn="0" w:lastRowLastColumn="0"/>
          <w:cantSplit/>
          <w:tblHeader/>
        </w:trPr>
        <w:tc>
          <w:tcPr>
            <w:tcW w:w="1271" w:type="dxa"/>
            <w:shd w:val="clear" w:color="auto" w:fill="auto"/>
          </w:tcPr>
          <w:p w:rsidR="008943DD" w:rsidRPr="00931C45" w:rsidRDefault="008943DD" w:rsidP="00563974">
            <w:pPr>
              <w:pStyle w:val="TableText"/>
              <w:keepNext/>
              <w:keepLines/>
              <w:widowControl/>
            </w:pPr>
            <w:r w:rsidRPr="00931C45">
              <w:rPr>
                <w:lang w:val="en-AU"/>
              </w:rPr>
              <w:t>Component</w:t>
            </w:r>
          </w:p>
        </w:tc>
        <w:tc>
          <w:tcPr>
            <w:tcW w:w="3686" w:type="dxa"/>
            <w:tcBorders>
              <w:right w:val="nil"/>
            </w:tcBorders>
            <w:shd w:val="clear" w:color="auto" w:fill="auto"/>
          </w:tcPr>
          <w:p w:rsidR="008943DD" w:rsidRPr="00931C45" w:rsidRDefault="008943DD" w:rsidP="00563974">
            <w:pPr>
              <w:pStyle w:val="TableText"/>
              <w:keepNext/>
              <w:keepLines/>
              <w:widowControl/>
            </w:pPr>
            <w:r>
              <w:t>Description</w:t>
            </w:r>
          </w:p>
        </w:tc>
        <w:tc>
          <w:tcPr>
            <w:tcW w:w="4059" w:type="dxa"/>
            <w:tcBorders>
              <w:left w:val="nil"/>
            </w:tcBorders>
            <w:shd w:val="clear" w:color="auto" w:fill="auto"/>
          </w:tcPr>
          <w:p w:rsidR="008943DD" w:rsidRPr="00931C45" w:rsidRDefault="008943DD" w:rsidP="00563974">
            <w:pPr>
              <w:pStyle w:val="TableText"/>
              <w:keepNext/>
              <w:keepLines/>
              <w:widowControl/>
              <w:rPr>
                <w:color w:val="FFFFFF" w:themeColor="background1"/>
              </w:rPr>
            </w:pPr>
          </w:p>
        </w:tc>
      </w:tr>
      <w:tr w:rsidR="008943DD" w:rsidRPr="00931C45" w:rsidTr="00440D09">
        <w:trPr>
          <w:cantSplit/>
        </w:trPr>
        <w:tc>
          <w:tcPr>
            <w:tcW w:w="1271" w:type="dxa"/>
            <w:shd w:val="clear" w:color="auto" w:fill="auto"/>
          </w:tcPr>
          <w:p w:rsidR="008943DD" w:rsidRPr="00931C45" w:rsidRDefault="008943DD" w:rsidP="00563974">
            <w:pPr>
              <w:pStyle w:val="TableText"/>
              <w:keepNext/>
              <w:keepLines/>
              <w:widowControl/>
              <w:rPr>
                <w:b/>
                <w:lang w:val="en-AU"/>
              </w:rPr>
            </w:pPr>
          </w:p>
        </w:tc>
        <w:tc>
          <w:tcPr>
            <w:tcW w:w="3686" w:type="dxa"/>
            <w:shd w:val="clear" w:color="auto" w:fill="auto"/>
          </w:tcPr>
          <w:p w:rsidR="008943DD" w:rsidRPr="00931C45" w:rsidRDefault="008943DD" w:rsidP="00563974">
            <w:pPr>
              <w:pStyle w:val="TableText"/>
              <w:keepNext/>
              <w:keepLines/>
              <w:widowControl/>
              <w:rPr>
                <w:b/>
                <w:lang w:val="en-AU"/>
              </w:rPr>
            </w:pPr>
            <w:r w:rsidRPr="00931C45">
              <w:rPr>
                <w:b/>
                <w:lang w:val="en-AU"/>
              </w:rPr>
              <w:t>S</w:t>
            </w:r>
            <w:r>
              <w:rPr>
                <w:b/>
                <w:lang w:val="en-AU"/>
              </w:rPr>
              <w:t>cenario</w:t>
            </w:r>
            <w:r w:rsidRPr="00931C45">
              <w:rPr>
                <w:b/>
                <w:lang w:val="en-AU"/>
              </w:rPr>
              <w:t xml:space="preserve"> 1 (</w:t>
            </w:r>
            <w:proofErr w:type="spellStart"/>
            <w:r w:rsidRPr="00931C45">
              <w:rPr>
                <w:b/>
                <w:lang w:val="en-AU"/>
              </w:rPr>
              <w:t>g</w:t>
            </w:r>
            <w:r w:rsidRPr="00931C45">
              <w:rPr>
                <w:b/>
                <w:i/>
                <w:lang w:val="en-AU"/>
              </w:rPr>
              <w:t>BRCA</w:t>
            </w:r>
            <w:r w:rsidRPr="00931C45">
              <w:rPr>
                <w:b/>
                <w:lang w:val="en-AU"/>
              </w:rPr>
              <w:t>m</w:t>
            </w:r>
            <w:proofErr w:type="spellEnd"/>
            <w:r w:rsidRPr="00931C45">
              <w:rPr>
                <w:b/>
                <w:lang w:val="en-AU"/>
              </w:rPr>
              <w:t xml:space="preserve"> only)</w:t>
            </w:r>
          </w:p>
        </w:tc>
        <w:tc>
          <w:tcPr>
            <w:tcW w:w="4059" w:type="dxa"/>
            <w:shd w:val="clear" w:color="auto" w:fill="auto"/>
          </w:tcPr>
          <w:p w:rsidR="008943DD" w:rsidRPr="00931C45" w:rsidRDefault="008943DD" w:rsidP="00563974">
            <w:pPr>
              <w:pStyle w:val="TableText"/>
              <w:keepNext/>
              <w:keepLines/>
              <w:widowControl/>
              <w:rPr>
                <w:b/>
                <w:lang w:val="en-AU"/>
              </w:rPr>
            </w:pPr>
            <w:r w:rsidRPr="00931C45">
              <w:rPr>
                <w:b/>
                <w:lang w:val="en-AU"/>
              </w:rPr>
              <w:t>S</w:t>
            </w:r>
            <w:r>
              <w:rPr>
                <w:b/>
                <w:lang w:val="en-AU"/>
              </w:rPr>
              <w:t>cenario</w:t>
            </w:r>
            <w:r w:rsidRPr="00931C45">
              <w:rPr>
                <w:b/>
                <w:lang w:val="en-AU"/>
              </w:rPr>
              <w:t xml:space="preserve"> 2 (</w:t>
            </w:r>
            <w:proofErr w:type="spellStart"/>
            <w:r w:rsidRPr="00931C45">
              <w:rPr>
                <w:b/>
                <w:lang w:val="en-AU"/>
              </w:rPr>
              <w:t>g</w:t>
            </w:r>
            <w:r w:rsidRPr="00931C45">
              <w:rPr>
                <w:b/>
                <w:i/>
                <w:lang w:val="en-AU"/>
              </w:rPr>
              <w:t>BRCA</w:t>
            </w:r>
            <w:r w:rsidRPr="00931C45">
              <w:rPr>
                <w:b/>
                <w:lang w:val="en-AU"/>
              </w:rPr>
              <w:t>m</w:t>
            </w:r>
            <w:proofErr w:type="spellEnd"/>
            <w:r w:rsidRPr="00931C45">
              <w:rPr>
                <w:b/>
                <w:lang w:val="en-AU"/>
              </w:rPr>
              <w:t xml:space="preserve"> and </w:t>
            </w:r>
            <w:proofErr w:type="spellStart"/>
            <w:r w:rsidRPr="00931C45">
              <w:rPr>
                <w:b/>
                <w:lang w:val="en-AU"/>
              </w:rPr>
              <w:t>s</w:t>
            </w:r>
            <w:r w:rsidRPr="00931C45">
              <w:rPr>
                <w:b/>
                <w:i/>
                <w:lang w:val="en-AU"/>
              </w:rPr>
              <w:t>BRCA</w:t>
            </w:r>
            <w:r w:rsidRPr="00931C45">
              <w:rPr>
                <w:b/>
                <w:lang w:val="en-AU"/>
              </w:rPr>
              <w:t>m</w:t>
            </w:r>
            <w:proofErr w:type="spellEnd"/>
            <w:r w:rsidRPr="00931C45">
              <w:rPr>
                <w:b/>
                <w:lang w:val="en-AU"/>
              </w:rPr>
              <w:t>)</w:t>
            </w:r>
          </w:p>
        </w:tc>
      </w:tr>
      <w:tr w:rsidR="008943DD" w:rsidRPr="00DC08B0" w:rsidTr="00440D09">
        <w:trPr>
          <w:cantSplit/>
        </w:trPr>
        <w:tc>
          <w:tcPr>
            <w:tcW w:w="1271" w:type="dxa"/>
            <w:shd w:val="clear" w:color="auto" w:fill="auto"/>
            <w:vAlign w:val="center"/>
          </w:tcPr>
          <w:p w:rsidR="008943DD" w:rsidRPr="00DC08B0" w:rsidRDefault="008943DD" w:rsidP="00563974">
            <w:pPr>
              <w:pStyle w:val="TableText"/>
              <w:keepNext/>
              <w:keepLines/>
              <w:widowControl/>
              <w:rPr>
                <w:lang w:val="en-AU"/>
              </w:rPr>
            </w:pPr>
            <w:r w:rsidRPr="00DC08B0">
              <w:rPr>
                <w:lang w:val="en-AU"/>
              </w:rPr>
              <w:t>Test Population</w:t>
            </w:r>
          </w:p>
        </w:tc>
        <w:tc>
          <w:tcPr>
            <w:tcW w:w="7745" w:type="dxa"/>
            <w:gridSpan w:val="2"/>
            <w:shd w:val="clear" w:color="auto" w:fill="auto"/>
            <w:vAlign w:val="center"/>
          </w:tcPr>
          <w:p w:rsidR="008943DD" w:rsidRDefault="008943DD" w:rsidP="00563974">
            <w:pPr>
              <w:pStyle w:val="TableText"/>
              <w:keepNext/>
              <w:keepLines/>
              <w:widowControl/>
              <w:rPr>
                <w:lang w:val="en-AU"/>
              </w:rPr>
            </w:pPr>
            <w:r w:rsidRPr="00DC08B0">
              <w:rPr>
                <w:lang w:val="en-AU"/>
              </w:rPr>
              <w:t xml:space="preserve">Test: </w:t>
            </w:r>
            <w:r>
              <w:rPr>
                <w:lang w:val="en-AU"/>
              </w:rPr>
              <w:t>patients n</w:t>
            </w:r>
            <w:r w:rsidRPr="00DC08B0">
              <w:rPr>
                <w:lang w:val="en-AU"/>
              </w:rPr>
              <w:t xml:space="preserve">ewly diagnosed </w:t>
            </w:r>
            <w:r>
              <w:rPr>
                <w:lang w:val="en-AU"/>
              </w:rPr>
              <w:t xml:space="preserve">with </w:t>
            </w:r>
            <w:r w:rsidRPr="00DC08B0">
              <w:rPr>
                <w:lang w:val="en-AU"/>
              </w:rPr>
              <w:t>advanced (FIGO stage III-IV) high grade epithelial ovarian</w:t>
            </w:r>
            <w:r>
              <w:rPr>
                <w:lang w:val="en-AU"/>
              </w:rPr>
              <w:t>,</w:t>
            </w:r>
            <w:r w:rsidRPr="00DC08B0">
              <w:rPr>
                <w:lang w:val="en-AU"/>
              </w:rPr>
              <w:t xml:space="preserve"> fallopian tub</w:t>
            </w:r>
            <w:r>
              <w:rPr>
                <w:lang w:val="en-AU"/>
              </w:rPr>
              <w:t xml:space="preserve">e and primary peritoneal </w:t>
            </w:r>
            <w:r w:rsidRPr="00DC08B0">
              <w:rPr>
                <w:lang w:val="en-AU"/>
              </w:rPr>
              <w:t>cancer</w:t>
            </w:r>
          </w:p>
          <w:p w:rsidR="008943DD" w:rsidRPr="00704999" w:rsidRDefault="008943DD" w:rsidP="00563974">
            <w:pPr>
              <w:pStyle w:val="TableText"/>
              <w:keepNext/>
              <w:keepLines/>
              <w:widowControl/>
              <w:rPr>
                <w:lang w:val="en-AU"/>
              </w:rPr>
            </w:pPr>
            <w:r w:rsidRPr="00704999">
              <w:rPr>
                <w:lang w:val="en-AU"/>
              </w:rPr>
              <w:t xml:space="preserve">The PICO population also included patients who had prior germline </w:t>
            </w:r>
            <w:proofErr w:type="spellStart"/>
            <w:r w:rsidRPr="00704999">
              <w:rPr>
                <w:lang w:val="en-AU"/>
              </w:rPr>
              <w:t>BRCAm</w:t>
            </w:r>
            <w:proofErr w:type="spellEnd"/>
            <w:r w:rsidRPr="00704999">
              <w:rPr>
                <w:lang w:val="en-AU"/>
              </w:rPr>
              <w:t xml:space="preserve"> testing but a negative test result (either at diagnosis or from previous familial cascade testing); these patients were not considered in the submission. </w:t>
            </w:r>
            <w:r w:rsidR="002B30A5" w:rsidRPr="00704999">
              <w:rPr>
                <w:lang w:val="en-AU"/>
              </w:rPr>
              <w:t>T</w:t>
            </w:r>
            <w:r w:rsidRPr="00704999">
              <w:rPr>
                <w:lang w:val="en-AU"/>
              </w:rPr>
              <w:t xml:space="preserve">hese patients </w:t>
            </w:r>
            <w:r w:rsidR="002B30A5" w:rsidRPr="00704999">
              <w:rPr>
                <w:lang w:val="en-AU"/>
              </w:rPr>
              <w:t>may or may</w:t>
            </w:r>
            <w:r w:rsidR="00B767F8" w:rsidRPr="00704999">
              <w:rPr>
                <w:lang w:val="en-AU"/>
              </w:rPr>
              <w:t xml:space="preserve"> </w:t>
            </w:r>
            <w:r w:rsidR="002B30A5" w:rsidRPr="00704999">
              <w:rPr>
                <w:lang w:val="en-AU"/>
              </w:rPr>
              <w:t xml:space="preserve">not </w:t>
            </w:r>
            <w:r w:rsidRPr="00704999">
              <w:rPr>
                <w:lang w:val="en-AU"/>
              </w:rPr>
              <w:t xml:space="preserve">have </w:t>
            </w:r>
            <w:r w:rsidR="00563974">
              <w:rPr>
                <w:lang w:val="en-AU"/>
              </w:rPr>
              <w:t>received</w:t>
            </w:r>
            <w:r w:rsidR="002B30A5" w:rsidRPr="00704999">
              <w:rPr>
                <w:lang w:val="en-AU"/>
              </w:rPr>
              <w:t xml:space="preserve"> tumour </w:t>
            </w:r>
            <w:proofErr w:type="spellStart"/>
            <w:r w:rsidR="002B30A5" w:rsidRPr="00704999">
              <w:rPr>
                <w:lang w:val="en-AU"/>
              </w:rPr>
              <w:t>BRCAm</w:t>
            </w:r>
            <w:proofErr w:type="spellEnd"/>
            <w:r w:rsidR="002B30A5" w:rsidRPr="00704999">
              <w:rPr>
                <w:lang w:val="en-AU"/>
              </w:rPr>
              <w:t xml:space="preserve"> testing in scenario 2 to identify a </w:t>
            </w:r>
            <w:r w:rsidRPr="00704999">
              <w:rPr>
                <w:lang w:val="en-AU"/>
              </w:rPr>
              <w:t>s</w:t>
            </w:r>
            <w:r w:rsidRPr="00704999">
              <w:t>BRCA</w:t>
            </w:r>
            <w:r w:rsidRPr="00704999">
              <w:rPr>
                <w:lang w:val="en-AU"/>
              </w:rPr>
              <w:t>m.</w:t>
            </w:r>
          </w:p>
        </w:tc>
      </w:tr>
      <w:tr w:rsidR="008943DD" w:rsidRPr="00DC08B0" w:rsidTr="00440D09">
        <w:trPr>
          <w:cantSplit/>
        </w:trPr>
        <w:tc>
          <w:tcPr>
            <w:tcW w:w="1271" w:type="dxa"/>
            <w:shd w:val="clear" w:color="auto" w:fill="auto"/>
            <w:vAlign w:val="center"/>
          </w:tcPr>
          <w:p w:rsidR="008943DD" w:rsidRPr="00DC08B0" w:rsidRDefault="008943DD" w:rsidP="00563974">
            <w:pPr>
              <w:pStyle w:val="TableText"/>
              <w:keepNext/>
              <w:keepLines/>
              <w:widowControl/>
              <w:rPr>
                <w:lang w:val="en-AU"/>
              </w:rPr>
            </w:pPr>
            <w:r w:rsidRPr="00DC08B0">
              <w:rPr>
                <w:lang w:val="en-AU"/>
              </w:rPr>
              <w:t>Treatment Population</w:t>
            </w:r>
          </w:p>
        </w:tc>
        <w:tc>
          <w:tcPr>
            <w:tcW w:w="3686" w:type="dxa"/>
            <w:shd w:val="clear" w:color="auto" w:fill="auto"/>
            <w:vAlign w:val="center"/>
          </w:tcPr>
          <w:p w:rsidR="008943DD" w:rsidRPr="005829C8" w:rsidRDefault="008943DD" w:rsidP="00563974">
            <w:pPr>
              <w:pStyle w:val="TableText"/>
              <w:keepNext/>
              <w:keepLines/>
              <w:widowControl/>
              <w:rPr>
                <w:lang w:val="en-AU"/>
              </w:rPr>
            </w:pPr>
            <w:r w:rsidRPr="005829C8">
              <w:t xml:space="preserve">Patients who test positive for a </w:t>
            </w:r>
            <w:r w:rsidRPr="005829C8">
              <w:rPr>
                <w:b/>
                <w:bCs/>
              </w:rPr>
              <w:t>germline</w:t>
            </w:r>
            <w:r w:rsidRPr="005829C8">
              <w:t xml:space="preserve"> </w:t>
            </w:r>
            <w:proofErr w:type="spellStart"/>
            <w:r w:rsidRPr="005829C8">
              <w:rPr>
                <w:i/>
              </w:rPr>
              <w:t>BRCA</w:t>
            </w:r>
            <w:r w:rsidRPr="005829C8">
              <w:t>m</w:t>
            </w:r>
            <w:proofErr w:type="spellEnd"/>
            <w:r w:rsidRPr="005829C8">
              <w:t xml:space="preserve"> and who are in partial or complete response to platinum-based chemotherapy.</w:t>
            </w:r>
          </w:p>
        </w:tc>
        <w:tc>
          <w:tcPr>
            <w:tcW w:w="4059" w:type="dxa"/>
            <w:vAlign w:val="center"/>
          </w:tcPr>
          <w:p w:rsidR="008943DD" w:rsidRPr="005829C8" w:rsidRDefault="008943DD" w:rsidP="00563974">
            <w:pPr>
              <w:pStyle w:val="TableText"/>
              <w:keepNext/>
              <w:keepLines/>
              <w:widowControl/>
              <w:rPr>
                <w:lang w:val="en-AU"/>
              </w:rPr>
            </w:pPr>
            <w:r w:rsidRPr="005829C8">
              <w:t xml:space="preserve">Patients whose </w:t>
            </w:r>
            <w:proofErr w:type="spellStart"/>
            <w:r w:rsidRPr="005829C8">
              <w:rPr>
                <w:b/>
                <w:bCs/>
              </w:rPr>
              <w:t>tumour</w:t>
            </w:r>
            <w:proofErr w:type="spellEnd"/>
            <w:r w:rsidRPr="005829C8">
              <w:t xml:space="preserve"> tissue tests positive for a </w:t>
            </w:r>
            <w:proofErr w:type="spellStart"/>
            <w:r w:rsidRPr="005829C8">
              <w:rPr>
                <w:i/>
              </w:rPr>
              <w:t>BRCA</w:t>
            </w:r>
            <w:r w:rsidRPr="005829C8">
              <w:t>m</w:t>
            </w:r>
            <w:proofErr w:type="spellEnd"/>
            <w:r w:rsidRPr="005829C8">
              <w:t xml:space="preserve"> and who are in partial or complete response to platinum-based chemotherapy.</w:t>
            </w:r>
          </w:p>
        </w:tc>
      </w:tr>
      <w:tr w:rsidR="008943DD" w:rsidRPr="00DC08B0" w:rsidTr="00440D09">
        <w:trPr>
          <w:cantSplit/>
        </w:trPr>
        <w:tc>
          <w:tcPr>
            <w:tcW w:w="1271" w:type="dxa"/>
            <w:shd w:val="clear" w:color="auto" w:fill="auto"/>
            <w:vAlign w:val="center"/>
          </w:tcPr>
          <w:p w:rsidR="008943DD" w:rsidRPr="00DC08B0" w:rsidRDefault="008943DD" w:rsidP="00563974">
            <w:pPr>
              <w:pStyle w:val="TableText"/>
              <w:keepNext/>
              <w:keepLines/>
              <w:widowControl/>
              <w:rPr>
                <w:lang w:val="en-AU"/>
              </w:rPr>
            </w:pPr>
            <w:r w:rsidRPr="00DC08B0">
              <w:rPr>
                <w:lang w:val="en-AU"/>
              </w:rPr>
              <w:t>Intervention</w:t>
            </w:r>
          </w:p>
        </w:tc>
        <w:tc>
          <w:tcPr>
            <w:tcW w:w="3686" w:type="dxa"/>
            <w:shd w:val="clear" w:color="auto" w:fill="auto"/>
          </w:tcPr>
          <w:p w:rsidR="008943DD" w:rsidRPr="00DC08B0" w:rsidRDefault="008943DD" w:rsidP="00563974">
            <w:pPr>
              <w:pStyle w:val="TableText"/>
              <w:keepNext/>
              <w:keepLines/>
              <w:widowControl/>
              <w:rPr>
                <w:lang w:val="en-AU"/>
              </w:rPr>
            </w:pPr>
            <w:r w:rsidRPr="00DC08B0">
              <w:rPr>
                <w:lang w:val="en-AU"/>
              </w:rPr>
              <w:t xml:space="preserve">Test: Blood test to determine </w:t>
            </w:r>
            <w:proofErr w:type="spellStart"/>
            <w:r w:rsidRPr="00DC08B0">
              <w:rPr>
                <w:lang w:val="en-AU"/>
              </w:rPr>
              <w:t>g</w:t>
            </w:r>
            <w:r w:rsidRPr="00DC08B0">
              <w:rPr>
                <w:i/>
                <w:lang w:val="en-AU"/>
              </w:rPr>
              <w:t>BRCA</w:t>
            </w:r>
            <w:r w:rsidRPr="00DC08B0">
              <w:rPr>
                <w:lang w:val="en-AU"/>
              </w:rPr>
              <w:t>m</w:t>
            </w:r>
            <w:proofErr w:type="spellEnd"/>
            <w:r w:rsidRPr="00DC08B0">
              <w:rPr>
                <w:lang w:val="en-AU"/>
              </w:rPr>
              <w:t xml:space="preserve"> status.</w:t>
            </w:r>
          </w:p>
          <w:p w:rsidR="008943DD" w:rsidRPr="00DC08B0" w:rsidRDefault="008943DD" w:rsidP="00563974">
            <w:pPr>
              <w:pStyle w:val="TableText"/>
              <w:keepNext/>
              <w:keepLines/>
              <w:widowControl/>
              <w:rPr>
                <w:lang w:val="en-AU"/>
              </w:rPr>
            </w:pPr>
            <w:r w:rsidRPr="00DC08B0">
              <w:rPr>
                <w:lang w:val="en-AU"/>
              </w:rPr>
              <w:t>Medicine:</w:t>
            </w:r>
          </w:p>
          <w:p w:rsidR="008943DD" w:rsidRPr="00DC08B0" w:rsidRDefault="008943DD" w:rsidP="00563974">
            <w:pPr>
              <w:pStyle w:val="TableText"/>
              <w:keepNext/>
              <w:keepLines/>
              <w:widowControl/>
              <w:numPr>
                <w:ilvl w:val="0"/>
                <w:numId w:val="16"/>
              </w:numPr>
              <w:ind w:left="459"/>
              <w:rPr>
                <w:lang w:val="en-AU"/>
              </w:rPr>
            </w:pPr>
            <w:r w:rsidRPr="00DC08B0">
              <w:rPr>
                <w:lang w:val="en-AU"/>
              </w:rPr>
              <w:t xml:space="preserve">If </w:t>
            </w:r>
            <w:proofErr w:type="spellStart"/>
            <w:r w:rsidRPr="00DC08B0">
              <w:rPr>
                <w:lang w:val="en-AU"/>
              </w:rPr>
              <w:t>g</w:t>
            </w:r>
            <w:r w:rsidRPr="00DC08B0">
              <w:rPr>
                <w:i/>
                <w:lang w:val="en-AU"/>
              </w:rPr>
              <w:t>BRCA</w:t>
            </w:r>
            <w:r w:rsidRPr="00DC08B0">
              <w:rPr>
                <w:lang w:val="en-AU"/>
              </w:rPr>
              <w:t>m</w:t>
            </w:r>
            <w:proofErr w:type="spellEnd"/>
            <w:r w:rsidRPr="00DC08B0">
              <w:rPr>
                <w:lang w:val="en-AU"/>
              </w:rPr>
              <w:t xml:space="preserve"> positive, receive </w:t>
            </w:r>
            <w:proofErr w:type="spellStart"/>
            <w:r w:rsidRPr="005829C8">
              <w:t>olaparib</w:t>
            </w:r>
            <w:proofErr w:type="spellEnd"/>
            <w:r w:rsidRPr="00DC08B0">
              <w:rPr>
                <w:lang w:val="en-AU"/>
              </w:rPr>
              <w:t>.</w:t>
            </w:r>
          </w:p>
          <w:p w:rsidR="008943DD" w:rsidRPr="00DC08B0" w:rsidRDefault="008943DD" w:rsidP="00563974">
            <w:pPr>
              <w:pStyle w:val="TableText"/>
              <w:keepNext/>
              <w:keepLines/>
              <w:widowControl/>
              <w:numPr>
                <w:ilvl w:val="0"/>
                <w:numId w:val="16"/>
              </w:numPr>
              <w:ind w:left="459"/>
              <w:rPr>
                <w:lang w:val="en-AU"/>
              </w:rPr>
            </w:pPr>
            <w:r>
              <w:rPr>
                <w:lang w:val="en-AU"/>
              </w:rPr>
              <w:t xml:space="preserve">If </w:t>
            </w:r>
            <w:proofErr w:type="spellStart"/>
            <w:r>
              <w:rPr>
                <w:lang w:val="en-AU"/>
              </w:rPr>
              <w:t>s</w:t>
            </w:r>
            <w:r w:rsidRPr="00DC08B0">
              <w:rPr>
                <w:i/>
                <w:lang w:val="en-AU"/>
              </w:rPr>
              <w:t>BRCA</w:t>
            </w:r>
            <w:r w:rsidRPr="00DC08B0">
              <w:rPr>
                <w:lang w:val="en-AU"/>
              </w:rPr>
              <w:t>m</w:t>
            </w:r>
            <w:proofErr w:type="spellEnd"/>
            <w:r>
              <w:rPr>
                <w:lang w:val="en-AU"/>
              </w:rPr>
              <w:t>,</w:t>
            </w:r>
            <w:r w:rsidRPr="00DC08B0">
              <w:rPr>
                <w:i/>
                <w:lang w:val="en-AU"/>
              </w:rPr>
              <w:t xml:space="preserve"> </w:t>
            </w:r>
            <w:proofErr w:type="spellStart"/>
            <w:r w:rsidRPr="00DC08B0">
              <w:rPr>
                <w:i/>
                <w:lang w:val="en-AU"/>
              </w:rPr>
              <w:t>BRCA</w:t>
            </w:r>
            <w:r w:rsidRPr="00DC08B0">
              <w:rPr>
                <w:lang w:val="en-AU"/>
              </w:rPr>
              <w:t>wt</w:t>
            </w:r>
            <w:proofErr w:type="spellEnd"/>
            <w:r w:rsidRPr="00DC08B0">
              <w:rPr>
                <w:lang w:val="en-AU"/>
              </w:rPr>
              <w:t xml:space="preserve"> or unknown, watch and wait.</w:t>
            </w:r>
          </w:p>
        </w:tc>
        <w:tc>
          <w:tcPr>
            <w:tcW w:w="4059" w:type="dxa"/>
          </w:tcPr>
          <w:p w:rsidR="008943DD" w:rsidRPr="00DC08B0" w:rsidRDefault="008943DD" w:rsidP="00563974">
            <w:pPr>
              <w:pStyle w:val="TableText"/>
              <w:keepNext/>
              <w:keepLines/>
              <w:widowControl/>
              <w:rPr>
                <w:lang w:val="en-AU"/>
              </w:rPr>
            </w:pPr>
            <w:r w:rsidRPr="00DC08B0">
              <w:rPr>
                <w:lang w:val="en-AU"/>
              </w:rPr>
              <w:t xml:space="preserve">Test: Tumour </w:t>
            </w:r>
            <w:proofErr w:type="spellStart"/>
            <w:r w:rsidRPr="00DC08B0">
              <w:rPr>
                <w:i/>
                <w:lang w:val="en-AU"/>
              </w:rPr>
              <w:t>BRCA</w:t>
            </w:r>
            <w:r w:rsidRPr="00DC08B0">
              <w:rPr>
                <w:lang w:val="en-AU"/>
              </w:rPr>
              <w:t>m</w:t>
            </w:r>
            <w:proofErr w:type="spellEnd"/>
            <w:r w:rsidRPr="00DC08B0">
              <w:rPr>
                <w:lang w:val="en-AU"/>
              </w:rPr>
              <w:t xml:space="preserve"> test</w:t>
            </w:r>
            <w:r>
              <w:rPr>
                <w:lang w:val="en-AU"/>
              </w:rPr>
              <w:t xml:space="preserve"> on fresh-frozen or FFPE tumour tissue</w:t>
            </w:r>
          </w:p>
          <w:p w:rsidR="008943DD" w:rsidRPr="00DC08B0" w:rsidRDefault="008943DD" w:rsidP="00563974">
            <w:pPr>
              <w:pStyle w:val="TableText"/>
              <w:keepNext/>
              <w:keepLines/>
              <w:widowControl/>
              <w:rPr>
                <w:lang w:val="en-AU"/>
              </w:rPr>
            </w:pPr>
            <w:r w:rsidRPr="00DC08B0">
              <w:rPr>
                <w:lang w:val="en-AU"/>
              </w:rPr>
              <w:t>Medicine:</w:t>
            </w:r>
          </w:p>
          <w:p w:rsidR="008943DD" w:rsidRPr="00DC08B0" w:rsidRDefault="008943DD" w:rsidP="00563974">
            <w:pPr>
              <w:pStyle w:val="TableText"/>
              <w:keepNext/>
              <w:keepLines/>
              <w:widowControl/>
              <w:numPr>
                <w:ilvl w:val="0"/>
                <w:numId w:val="17"/>
              </w:numPr>
              <w:ind w:left="414"/>
              <w:rPr>
                <w:lang w:val="en-AU"/>
              </w:rPr>
            </w:pPr>
            <w:r w:rsidRPr="00DC08B0">
              <w:rPr>
                <w:lang w:val="en-AU"/>
              </w:rPr>
              <w:t xml:space="preserve">If </w:t>
            </w:r>
            <w:proofErr w:type="spellStart"/>
            <w:r w:rsidRPr="00DC08B0">
              <w:rPr>
                <w:i/>
                <w:lang w:val="en-AU"/>
              </w:rPr>
              <w:t>BRCA</w:t>
            </w:r>
            <w:r w:rsidRPr="00DC08B0">
              <w:rPr>
                <w:lang w:val="en-AU"/>
              </w:rPr>
              <w:t>m</w:t>
            </w:r>
            <w:proofErr w:type="spellEnd"/>
            <w:r w:rsidRPr="00DC08B0">
              <w:rPr>
                <w:lang w:val="en-AU"/>
              </w:rPr>
              <w:t xml:space="preserve"> positive, receive </w:t>
            </w:r>
            <w:proofErr w:type="spellStart"/>
            <w:r w:rsidRPr="005829C8">
              <w:t>olaparib</w:t>
            </w:r>
            <w:proofErr w:type="spellEnd"/>
            <w:r w:rsidRPr="00DC08B0">
              <w:rPr>
                <w:lang w:val="en-AU"/>
              </w:rPr>
              <w:t>.</w:t>
            </w:r>
          </w:p>
          <w:p w:rsidR="008943DD" w:rsidRPr="00DC08B0" w:rsidRDefault="008943DD" w:rsidP="00563974">
            <w:pPr>
              <w:pStyle w:val="TableText"/>
              <w:keepNext/>
              <w:keepLines/>
              <w:widowControl/>
              <w:numPr>
                <w:ilvl w:val="0"/>
                <w:numId w:val="17"/>
              </w:numPr>
              <w:ind w:left="414"/>
              <w:rPr>
                <w:lang w:val="en-AU"/>
              </w:rPr>
            </w:pPr>
            <w:r w:rsidRPr="00DC08B0">
              <w:rPr>
                <w:lang w:val="en-AU"/>
              </w:rPr>
              <w:t xml:space="preserve">If </w:t>
            </w:r>
            <w:proofErr w:type="spellStart"/>
            <w:r w:rsidRPr="00DC08B0">
              <w:rPr>
                <w:i/>
                <w:lang w:val="en-AU"/>
              </w:rPr>
              <w:t>BRCA</w:t>
            </w:r>
            <w:r w:rsidRPr="00DC08B0">
              <w:rPr>
                <w:lang w:val="en-AU"/>
              </w:rPr>
              <w:t>wt</w:t>
            </w:r>
            <w:proofErr w:type="spellEnd"/>
            <w:r w:rsidRPr="00DC08B0">
              <w:rPr>
                <w:lang w:val="en-AU"/>
              </w:rPr>
              <w:t xml:space="preserve"> or unknown, watch and wait.</w:t>
            </w:r>
          </w:p>
        </w:tc>
      </w:tr>
      <w:tr w:rsidR="008943DD" w:rsidRPr="00DC08B0" w:rsidTr="00387684">
        <w:trPr>
          <w:cantSplit/>
        </w:trPr>
        <w:tc>
          <w:tcPr>
            <w:tcW w:w="1271" w:type="dxa"/>
            <w:shd w:val="clear" w:color="auto" w:fill="auto"/>
            <w:vAlign w:val="center"/>
          </w:tcPr>
          <w:p w:rsidR="008943DD" w:rsidRPr="00DC08B0" w:rsidRDefault="008943DD" w:rsidP="00563974">
            <w:pPr>
              <w:pStyle w:val="TableText"/>
              <w:keepLines/>
              <w:widowControl/>
              <w:rPr>
                <w:lang w:val="en-AU"/>
              </w:rPr>
            </w:pPr>
            <w:r w:rsidRPr="00DC08B0">
              <w:rPr>
                <w:lang w:val="en-AU"/>
              </w:rPr>
              <w:t>Comparator</w:t>
            </w:r>
          </w:p>
        </w:tc>
        <w:tc>
          <w:tcPr>
            <w:tcW w:w="3686" w:type="dxa"/>
            <w:shd w:val="clear" w:color="auto" w:fill="auto"/>
          </w:tcPr>
          <w:p w:rsidR="008943DD" w:rsidRPr="00FC2315" w:rsidRDefault="008943DD" w:rsidP="00A4252F">
            <w:pPr>
              <w:pStyle w:val="TableText"/>
              <w:keepLines/>
              <w:widowControl/>
              <w:rPr>
                <w:lang w:val="en-AU"/>
              </w:rPr>
            </w:pPr>
            <w:r w:rsidRPr="00FC2315">
              <w:rPr>
                <w:lang w:val="en-AU"/>
              </w:rPr>
              <w:t>Test</w:t>
            </w:r>
            <w:r>
              <w:rPr>
                <w:lang w:val="en-AU"/>
              </w:rPr>
              <w:t>: no change</w:t>
            </w:r>
          </w:p>
          <w:p w:rsidR="008943DD" w:rsidRDefault="008943DD" w:rsidP="00F40347">
            <w:pPr>
              <w:pStyle w:val="TableText"/>
              <w:keepLines/>
              <w:widowControl/>
            </w:pPr>
            <w:r w:rsidRPr="00DC08B0">
              <w:rPr>
                <w:lang w:val="en-AU"/>
              </w:rPr>
              <w:t xml:space="preserve">Medicine: </w:t>
            </w:r>
            <w:r w:rsidRPr="005829C8">
              <w:t>Watch and wait following platinum-based chemotherapy</w:t>
            </w:r>
            <w:r w:rsidR="00CA47F7">
              <w:t xml:space="preserve">, followed by second-line chemotherapy at relapse and maintenance </w:t>
            </w:r>
            <w:proofErr w:type="spellStart"/>
            <w:r w:rsidR="00CA47F7">
              <w:t>olaparib</w:t>
            </w:r>
            <w:proofErr w:type="spellEnd"/>
            <w:r w:rsidR="00CA47F7">
              <w:t>.</w:t>
            </w:r>
          </w:p>
        </w:tc>
        <w:tc>
          <w:tcPr>
            <w:tcW w:w="4059" w:type="dxa"/>
            <w:shd w:val="clear" w:color="auto" w:fill="auto"/>
            <w:vAlign w:val="center"/>
          </w:tcPr>
          <w:p w:rsidR="008943DD" w:rsidRDefault="008943DD" w:rsidP="00563974">
            <w:pPr>
              <w:pStyle w:val="TableText"/>
              <w:keepLines/>
              <w:widowControl/>
              <w:rPr>
                <w:lang w:val="en-AU"/>
              </w:rPr>
            </w:pPr>
            <w:r>
              <w:rPr>
                <w:lang w:val="en-AU"/>
              </w:rPr>
              <w:t>Test:</w:t>
            </w:r>
            <w:r w:rsidRPr="00FC2315">
              <w:rPr>
                <w:lang w:val="en-AU"/>
              </w:rPr>
              <w:t xml:space="preserve"> </w:t>
            </w:r>
            <w:r>
              <w:rPr>
                <w:lang w:val="en-AU"/>
              </w:rPr>
              <w:t>g</w:t>
            </w:r>
            <w:r w:rsidRPr="00FC2315">
              <w:rPr>
                <w:lang w:val="en-AU"/>
              </w:rPr>
              <w:t xml:space="preserve">ermline </w:t>
            </w:r>
            <w:proofErr w:type="spellStart"/>
            <w:r w:rsidRPr="00FC2315">
              <w:rPr>
                <w:i/>
                <w:lang w:val="en-AU"/>
              </w:rPr>
              <w:t>BRCA</w:t>
            </w:r>
            <w:r w:rsidRPr="00FC2315">
              <w:rPr>
                <w:lang w:val="en-AU"/>
              </w:rPr>
              <w:t>m</w:t>
            </w:r>
            <w:proofErr w:type="spellEnd"/>
            <w:r w:rsidRPr="00FC2315">
              <w:rPr>
                <w:lang w:val="en-AU"/>
              </w:rPr>
              <w:t xml:space="preserve"> testing</w:t>
            </w:r>
          </w:p>
          <w:p w:rsidR="008943DD" w:rsidRDefault="008943DD" w:rsidP="00563974">
            <w:pPr>
              <w:pStyle w:val="TableText"/>
              <w:keepLines/>
              <w:widowControl/>
              <w:rPr>
                <w:lang w:val="en-AU"/>
              </w:rPr>
            </w:pPr>
            <w:r w:rsidRPr="00F056DF">
              <w:rPr>
                <w:lang w:val="en-AU"/>
              </w:rPr>
              <w:t>Medicine:</w:t>
            </w:r>
          </w:p>
          <w:p w:rsidR="008943DD" w:rsidRPr="00F056DF" w:rsidRDefault="008943DD" w:rsidP="00563974">
            <w:pPr>
              <w:pStyle w:val="TableText"/>
              <w:keepLines/>
              <w:widowControl/>
              <w:numPr>
                <w:ilvl w:val="0"/>
                <w:numId w:val="18"/>
              </w:numPr>
              <w:ind w:left="446"/>
              <w:rPr>
                <w:lang w:val="en-AU"/>
              </w:rPr>
            </w:pPr>
            <w:r w:rsidRPr="00F056DF">
              <w:rPr>
                <w:lang w:val="en-AU"/>
              </w:rPr>
              <w:t xml:space="preserve">For patients identified with </w:t>
            </w:r>
            <w:proofErr w:type="spellStart"/>
            <w:r w:rsidRPr="00F056DF">
              <w:rPr>
                <w:lang w:val="en-AU"/>
              </w:rPr>
              <w:t>gBRCAm</w:t>
            </w:r>
            <w:proofErr w:type="spellEnd"/>
            <w:r w:rsidRPr="00F056DF">
              <w:rPr>
                <w:lang w:val="en-AU"/>
              </w:rPr>
              <w:t xml:space="preserve">, comparator is watch and wait, followed by second-line platinum chemotherapy at relapse and </w:t>
            </w:r>
            <w:proofErr w:type="spellStart"/>
            <w:r w:rsidRPr="00F056DF">
              <w:rPr>
                <w:lang w:val="en-AU"/>
              </w:rPr>
              <w:t>olaparib</w:t>
            </w:r>
            <w:proofErr w:type="spellEnd"/>
            <w:r w:rsidRPr="00F056DF">
              <w:rPr>
                <w:lang w:val="en-AU"/>
              </w:rPr>
              <w:t xml:space="preserve"> maintenance</w:t>
            </w:r>
            <w:r w:rsidR="005829C8">
              <w:rPr>
                <w:lang w:val="en-AU"/>
              </w:rPr>
              <w:t>.</w:t>
            </w:r>
          </w:p>
          <w:p w:rsidR="008943DD" w:rsidRPr="00DC08B0" w:rsidRDefault="008943DD" w:rsidP="00563974">
            <w:pPr>
              <w:pStyle w:val="TableText"/>
              <w:keepLines/>
              <w:widowControl/>
              <w:numPr>
                <w:ilvl w:val="0"/>
                <w:numId w:val="18"/>
              </w:numPr>
              <w:ind w:left="446"/>
              <w:rPr>
                <w:lang w:val="en-AU"/>
              </w:rPr>
            </w:pPr>
            <w:r w:rsidRPr="00F056DF">
              <w:rPr>
                <w:lang w:val="en-AU"/>
              </w:rPr>
              <w:t xml:space="preserve">For patients without </w:t>
            </w:r>
            <w:proofErr w:type="spellStart"/>
            <w:r w:rsidRPr="00F056DF">
              <w:rPr>
                <w:lang w:val="en-AU"/>
              </w:rPr>
              <w:t>gBRCAm</w:t>
            </w:r>
            <w:proofErr w:type="spellEnd"/>
            <w:r w:rsidRPr="00F056DF">
              <w:rPr>
                <w:lang w:val="en-AU"/>
              </w:rPr>
              <w:t xml:space="preserve"> (i</w:t>
            </w:r>
            <w:r>
              <w:rPr>
                <w:lang w:val="en-AU"/>
              </w:rPr>
              <w:t>.</w:t>
            </w:r>
            <w:r w:rsidRPr="00F056DF">
              <w:rPr>
                <w:lang w:val="en-AU"/>
              </w:rPr>
              <w:t>e</w:t>
            </w:r>
            <w:r>
              <w:rPr>
                <w:lang w:val="en-AU"/>
              </w:rPr>
              <w:t>.</w:t>
            </w:r>
            <w:r w:rsidRPr="00F056DF">
              <w:rPr>
                <w:lang w:val="en-AU"/>
              </w:rPr>
              <w:t xml:space="preserve"> possibly </w:t>
            </w:r>
            <w:proofErr w:type="spellStart"/>
            <w:r w:rsidRPr="00F056DF">
              <w:rPr>
                <w:lang w:val="en-AU"/>
              </w:rPr>
              <w:t>sBRCAm</w:t>
            </w:r>
            <w:proofErr w:type="spellEnd"/>
            <w:r w:rsidRPr="00F056DF">
              <w:rPr>
                <w:lang w:val="en-AU"/>
              </w:rPr>
              <w:t xml:space="preserve">, </w:t>
            </w:r>
            <w:proofErr w:type="spellStart"/>
            <w:r w:rsidRPr="00F056DF">
              <w:rPr>
                <w:lang w:val="en-AU"/>
              </w:rPr>
              <w:t>BRCAwt</w:t>
            </w:r>
            <w:proofErr w:type="spellEnd"/>
            <w:r w:rsidRPr="00F056DF">
              <w:rPr>
                <w:lang w:val="en-AU"/>
              </w:rPr>
              <w:t xml:space="preserve"> or unknown), comparator is </w:t>
            </w:r>
            <w:r w:rsidRPr="005829C8">
              <w:t>watch and wait, followed by platinum chemotherapy at relapse</w:t>
            </w:r>
            <w:r w:rsidR="005829C8">
              <w:t>.</w:t>
            </w:r>
          </w:p>
        </w:tc>
      </w:tr>
      <w:tr w:rsidR="008943DD" w:rsidRPr="00DC08B0" w:rsidTr="00440D09">
        <w:trPr>
          <w:cantSplit/>
        </w:trPr>
        <w:tc>
          <w:tcPr>
            <w:tcW w:w="1271" w:type="dxa"/>
            <w:shd w:val="clear" w:color="auto" w:fill="auto"/>
            <w:vAlign w:val="center"/>
          </w:tcPr>
          <w:p w:rsidR="008943DD" w:rsidRPr="00DC08B0" w:rsidRDefault="008943DD" w:rsidP="00563974">
            <w:pPr>
              <w:pStyle w:val="TableText"/>
              <w:keepLines/>
              <w:widowControl/>
              <w:rPr>
                <w:lang w:val="en-AU"/>
              </w:rPr>
            </w:pPr>
            <w:r w:rsidRPr="00DC08B0">
              <w:rPr>
                <w:lang w:val="en-AU"/>
              </w:rPr>
              <w:t>Outcomes</w:t>
            </w:r>
          </w:p>
        </w:tc>
        <w:tc>
          <w:tcPr>
            <w:tcW w:w="7745" w:type="dxa"/>
            <w:gridSpan w:val="2"/>
            <w:shd w:val="clear" w:color="auto" w:fill="auto"/>
            <w:vAlign w:val="center"/>
          </w:tcPr>
          <w:p w:rsidR="008943DD" w:rsidRPr="00704999" w:rsidRDefault="008943DD" w:rsidP="00563974">
            <w:pPr>
              <w:pStyle w:val="TableText"/>
              <w:keepLines/>
              <w:widowControl/>
              <w:rPr>
                <w:lang w:val="en-AU"/>
              </w:rPr>
            </w:pPr>
            <w:r w:rsidRPr="00704999">
              <w:rPr>
                <w:lang w:val="en-AU"/>
              </w:rPr>
              <w:t>The submission has considered most outcomes related to the test except for the safety of the test; main outcomes considered were sensitivity, specificity and concordance.</w:t>
            </w:r>
          </w:p>
          <w:p w:rsidR="008943DD" w:rsidRPr="00DC08B0" w:rsidRDefault="008943DD" w:rsidP="00563974">
            <w:pPr>
              <w:pStyle w:val="TableText"/>
              <w:keepLines/>
              <w:widowControl/>
              <w:rPr>
                <w:lang w:val="en-AU"/>
              </w:rPr>
            </w:pPr>
            <w:r w:rsidRPr="00DC08B0">
              <w:rPr>
                <w:lang w:val="en-AU"/>
              </w:rPr>
              <w:t xml:space="preserve">The submission has selected the following patient relevant outcomes: </w:t>
            </w:r>
            <w:r w:rsidRPr="005829C8">
              <w:t>Overall survival, quality of life and safety</w:t>
            </w:r>
            <w:r w:rsidRPr="00DC08B0">
              <w:rPr>
                <w:lang w:val="en-AU"/>
              </w:rPr>
              <w:t xml:space="preserve">. The submission has also nominated </w:t>
            </w:r>
            <w:r w:rsidR="006F7250" w:rsidRPr="005829C8">
              <w:t>progression-free</w:t>
            </w:r>
            <w:r w:rsidRPr="005829C8">
              <w:t xml:space="preserve"> survival, second </w:t>
            </w:r>
            <w:r w:rsidR="006F7250" w:rsidRPr="005829C8">
              <w:t>progression-free</w:t>
            </w:r>
            <w:r w:rsidRPr="005829C8">
              <w:t xml:space="preserve"> survival (time from </w:t>
            </w:r>
            <w:proofErr w:type="spellStart"/>
            <w:r w:rsidRPr="005829C8">
              <w:t>randomisation</w:t>
            </w:r>
            <w:proofErr w:type="spellEnd"/>
            <w:r w:rsidRPr="005829C8">
              <w:t xml:space="preserve"> to second progression) and time to subsequent therapy as relevant outcomes</w:t>
            </w:r>
            <w:r w:rsidRPr="00DC08B0">
              <w:rPr>
                <w:lang w:val="en-AU"/>
              </w:rPr>
              <w:t>.</w:t>
            </w:r>
          </w:p>
        </w:tc>
      </w:tr>
      <w:tr w:rsidR="008943DD" w:rsidRPr="00DC08B0" w:rsidTr="00440D09">
        <w:trPr>
          <w:cantSplit/>
        </w:trPr>
        <w:tc>
          <w:tcPr>
            <w:tcW w:w="1271" w:type="dxa"/>
            <w:shd w:val="clear" w:color="auto" w:fill="auto"/>
            <w:vAlign w:val="center"/>
          </w:tcPr>
          <w:p w:rsidR="008943DD" w:rsidRPr="00DC08B0" w:rsidRDefault="008943DD" w:rsidP="00563974">
            <w:pPr>
              <w:pStyle w:val="TableText"/>
              <w:keepLines/>
              <w:widowControl/>
              <w:rPr>
                <w:lang w:val="en-AU"/>
              </w:rPr>
            </w:pPr>
            <w:r w:rsidRPr="00DC08B0">
              <w:rPr>
                <w:lang w:val="en-AU"/>
              </w:rPr>
              <w:t>Clinical claim</w:t>
            </w:r>
          </w:p>
        </w:tc>
        <w:tc>
          <w:tcPr>
            <w:tcW w:w="7745" w:type="dxa"/>
            <w:gridSpan w:val="2"/>
            <w:shd w:val="clear" w:color="auto" w:fill="auto"/>
            <w:vAlign w:val="center"/>
          </w:tcPr>
          <w:p w:rsidR="008943DD" w:rsidRPr="00DC08B0" w:rsidRDefault="008943DD" w:rsidP="00563974">
            <w:pPr>
              <w:pStyle w:val="TableText"/>
              <w:keepLines/>
              <w:widowControl/>
              <w:rPr>
                <w:lang w:val="en-AU"/>
              </w:rPr>
            </w:pPr>
            <w:r w:rsidRPr="00DC08B0">
              <w:rPr>
                <w:lang w:val="en-AU"/>
              </w:rPr>
              <w:t>I</w:t>
            </w:r>
            <w:r w:rsidRPr="005829C8">
              <w:t xml:space="preserve">n patients with newly diagnosed, advanced (FIGO stage III-IV) high grade epithelial ovarian cancer (including fallopian tube and primary peritoneal cancer) who test positive for a class 4 or class 5 </w:t>
            </w:r>
            <w:r w:rsidRPr="005829C8">
              <w:rPr>
                <w:i/>
              </w:rPr>
              <w:t>BRCA1/2</w:t>
            </w:r>
            <w:r w:rsidRPr="005829C8">
              <w:t xml:space="preserve"> mutation and are in complete or partial response to platinum-based chemotherapy, </w:t>
            </w:r>
            <w:proofErr w:type="spellStart"/>
            <w:r w:rsidRPr="005829C8">
              <w:t>olaparib</w:t>
            </w:r>
            <w:proofErr w:type="spellEnd"/>
            <w:r w:rsidRPr="005829C8">
              <w:t xml:space="preserve"> maintenance therapy is superior to placebo (watch and wait) in terms of efficacy and non-inferior in terms of safety and quality of life.</w:t>
            </w:r>
            <w:r w:rsidRPr="00DC08B0">
              <w:rPr>
                <w:lang w:val="en-AU"/>
              </w:rPr>
              <w:t xml:space="preserve"> </w:t>
            </w:r>
          </w:p>
        </w:tc>
      </w:tr>
    </w:tbl>
    <w:p w:rsidR="008943DD" w:rsidRPr="00DC08B0" w:rsidRDefault="008943DD" w:rsidP="00563974">
      <w:pPr>
        <w:pStyle w:val="TableFooter"/>
        <w:keepLines/>
        <w:widowControl/>
      </w:pPr>
      <w:proofErr w:type="spellStart"/>
      <w:r w:rsidRPr="00DC08B0">
        <w:rPr>
          <w:i/>
        </w:rPr>
        <w:t>BRCA</w:t>
      </w:r>
      <w:r w:rsidRPr="00DC08B0">
        <w:t>m</w:t>
      </w:r>
      <w:proofErr w:type="spellEnd"/>
      <w:r w:rsidRPr="00DC08B0">
        <w:t xml:space="preserve"> = breast cancer gene 1 and 2 pathological or likely pathological variant; </w:t>
      </w:r>
      <w:proofErr w:type="spellStart"/>
      <w:r w:rsidRPr="00FC2315">
        <w:rPr>
          <w:i/>
        </w:rPr>
        <w:t>BRCA</w:t>
      </w:r>
      <w:r>
        <w:t>wt</w:t>
      </w:r>
      <w:proofErr w:type="spellEnd"/>
      <w:r>
        <w:t xml:space="preserve"> = </w:t>
      </w:r>
      <w:r w:rsidRPr="00FC2315">
        <w:rPr>
          <w:i/>
        </w:rPr>
        <w:t>BRCA</w:t>
      </w:r>
      <w:r>
        <w:t xml:space="preserve"> wild type; FIGO = </w:t>
      </w:r>
      <w:r w:rsidRPr="00931C45">
        <w:t>Federation of Gynaecology and Obstetrics</w:t>
      </w:r>
      <w:r>
        <w:t>;</w:t>
      </w:r>
      <w:r w:rsidRPr="00931C45">
        <w:t xml:space="preserve"> </w:t>
      </w:r>
      <w:r w:rsidRPr="00DC08B0">
        <w:t xml:space="preserve">FFPE = formalin-fixed paraffin-embedded; </w:t>
      </w:r>
      <w:proofErr w:type="spellStart"/>
      <w:r>
        <w:t>g</w:t>
      </w:r>
      <w:r w:rsidRPr="00FC2315">
        <w:rPr>
          <w:i/>
        </w:rPr>
        <w:t>BRCA</w:t>
      </w:r>
      <w:r>
        <w:t>m</w:t>
      </w:r>
      <w:proofErr w:type="spellEnd"/>
      <w:r>
        <w:t xml:space="preserve"> = germline </w:t>
      </w:r>
      <w:r w:rsidRPr="00FC2315">
        <w:rPr>
          <w:i/>
        </w:rPr>
        <w:t>BRCA</w:t>
      </w:r>
      <w:r>
        <w:t xml:space="preserve"> </w:t>
      </w:r>
      <w:r w:rsidRPr="00FC2315">
        <w:t>pathological or likely pathological variant</w:t>
      </w:r>
      <w:r>
        <w:t xml:space="preserve">; </w:t>
      </w:r>
      <w:r w:rsidRPr="00DC08B0">
        <w:t>HGEOC = high grade epithelial ovarian, fallopian tube and primary peritoneal cancer</w:t>
      </w:r>
      <w:r>
        <w:t xml:space="preserve">; PICO = population, intervention, comparator, outcomes; </w:t>
      </w:r>
      <w:proofErr w:type="spellStart"/>
      <w:r>
        <w:t>s</w:t>
      </w:r>
      <w:r w:rsidRPr="00FC2315">
        <w:rPr>
          <w:i/>
        </w:rPr>
        <w:t>BRCA</w:t>
      </w:r>
      <w:r>
        <w:t>m</w:t>
      </w:r>
      <w:proofErr w:type="spellEnd"/>
      <w:r>
        <w:t xml:space="preserve"> = somatic </w:t>
      </w:r>
      <w:r w:rsidRPr="00FC2315">
        <w:rPr>
          <w:i/>
        </w:rPr>
        <w:t>BRCA</w:t>
      </w:r>
      <w:r>
        <w:t xml:space="preserve"> </w:t>
      </w:r>
      <w:r w:rsidRPr="00FC2315">
        <w:t>pathological or likely pathological variant</w:t>
      </w:r>
    </w:p>
    <w:p w:rsidR="008943DD" w:rsidRPr="00DC08B0" w:rsidRDefault="008943DD" w:rsidP="00563974">
      <w:pPr>
        <w:pStyle w:val="TableFooter"/>
        <w:keepLines/>
        <w:widowControl/>
      </w:pPr>
      <w:r w:rsidRPr="00DC08B0">
        <w:t>Source: Table 1-4 of the submission</w:t>
      </w:r>
    </w:p>
    <w:p w:rsidR="00B12A8C" w:rsidRPr="00DC08B0" w:rsidRDefault="00D80337" w:rsidP="00563974">
      <w:pPr>
        <w:numPr>
          <w:ilvl w:val="4"/>
          <w:numId w:val="1"/>
        </w:numPr>
        <w:spacing w:before="0" w:after="0" w:line="259" w:lineRule="auto"/>
      </w:pPr>
      <w:r w:rsidRPr="008113D5">
        <w:lastRenderedPageBreak/>
        <w:t>In S</w:t>
      </w:r>
      <w:r w:rsidR="00B12A8C" w:rsidRPr="008113D5">
        <w:t xml:space="preserve">cenario 1, germline </w:t>
      </w:r>
      <w:proofErr w:type="spellStart"/>
      <w:r w:rsidR="00B12A8C" w:rsidRPr="008113D5">
        <w:rPr>
          <w:i/>
        </w:rPr>
        <w:t>BRCA</w:t>
      </w:r>
      <w:r w:rsidR="007B09DA" w:rsidRPr="008113D5">
        <w:t>m</w:t>
      </w:r>
      <w:proofErr w:type="spellEnd"/>
      <w:r w:rsidR="007B09DA" w:rsidRPr="008113D5">
        <w:t xml:space="preserve"> </w:t>
      </w:r>
      <w:r w:rsidR="00B12A8C" w:rsidRPr="008113D5">
        <w:t xml:space="preserve">testing </w:t>
      </w:r>
      <w:r w:rsidR="00C26365">
        <w:t>wa</w:t>
      </w:r>
      <w:r w:rsidR="00B12A8C" w:rsidRPr="008113D5">
        <w:t>s proposed to occur at diagnosis of HGEOC</w:t>
      </w:r>
      <w:r w:rsidR="00B12A8C" w:rsidRPr="00DC08B0">
        <w:t xml:space="preserve">. </w:t>
      </w:r>
      <w:r w:rsidR="00B12A8C" w:rsidRPr="00704999">
        <w:rPr>
          <w:iCs/>
        </w:rPr>
        <w:t>While the sponsor requested a change to an existing MBS item number</w:t>
      </w:r>
      <w:r w:rsidR="00E20BB4" w:rsidRPr="00704999">
        <w:rPr>
          <w:iCs/>
        </w:rPr>
        <w:t xml:space="preserve"> (currently used to inform access to second-line </w:t>
      </w:r>
      <w:proofErr w:type="spellStart"/>
      <w:r w:rsidR="00E20BB4" w:rsidRPr="00704999">
        <w:rPr>
          <w:iCs/>
        </w:rPr>
        <w:t>olaparib</w:t>
      </w:r>
      <w:proofErr w:type="spellEnd"/>
      <w:r w:rsidR="00E20BB4" w:rsidRPr="00704999">
        <w:rPr>
          <w:iCs/>
        </w:rPr>
        <w:t>)</w:t>
      </w:r>
      <w:r w:rsidR="00B12A8C" w:rsidRPr="00704999">
        <w:rPr>
          <w:iCs/>
        </w:rPr>
        <w:t xml:space="preserve"> to permit earlier testing, the timing and nature of the testing proposed in </w:t>
      </w:r>
      <w:r w:rsidRPr="00704999">
        <w:rPr>
          <w:iCs/>
        </w:rPr>
        <w:t>S</w:t>
      </w:r>
      <w:r w:rsidR="00B12A8C" w:rsidRPr="00704999">
        <w:rPr>
          <w:iCs/>
        </w:rPr>
        <w:t>cenario 1 does not represent a large departure from current clinical practice. The submission estimate</w:t>
      </w:r>
      <w:r w:rsidR="00C26365">
        <w:rPr>
          <w:iCs/>
        </w:rPr>
        <w:t>d</w:t>
      </w:r>
      <w:r w:rsidR="00B12A8C" w:rsidRPr="00704999">
        <w:rPr>
          <w:iCs/>
        </w:rPr>
        <w:t xml:space="preserve"> that 70% of patients with a diagnosis of HGEOC would receive germline testing at baseline as they would be eligible for MBS item number 73296 (that requires a patient to have a 10% or greater risk of a </w:t>
      </w:r>
      <w:proofErr w:type="spellStart"/>
      <w:r w:rsidR="007B09DA" w:rsidRPr="00704999">
        <w:rPr>
          <w:iCs/>
        </w:rPr>
        <w:t>g</w:t>
      </w:r>
      <w:r w:rsidR="00B12A8C" w:rsidRPr="00704999">
        <w:rPr>
          <w:iCs/>
        </w:rPr>
        <w:t>BRCAm</w:t>
      </w:r>
      <w:proofErr w:type="spellEnd"/>
      <w:r w:rsidR="007B09DA" w:rsidRPr="00704999">
        <w:rPr>
          <w:iCs/>
        </w:rPr>
        <w:t xml:space="preserve"> d</w:t>
      </w:r>
      <w:r w:rsidR="00B12A8C" w:rsidRPr="00704999">
        <w:rPr>
          <w:iCs/>
        </w:rPr>
        <w:t>etect</w:t>
      </w:r>
      <w:r w:rsidR="007B09DA" w:rsidRPr="00704999">
        <w:rPr>
          <w:iCs/>
        </w:rPr>
        <w:t>ed</w:t>
      </w:r>
      <w:r w:rsidR="00B12A8C" w:rsidRPr="00F94F34">
        <w:rPr>
          <w:iCs/>
        </w:rPr>
        <w:t>).</w:t>
      </w:r>
      <w:r w:rsidR="009121D7" w:rsidRPr="00F94F34">
        <w:rPr>
          <w:iCs/>
        </w:rPr>
        <w:t xml:space="preserve"> </w:t>
      </w:r>
      <w:r w:rsidR="009121D7" w:rsidRPr="00CC4DC5">
        <w:rPr>
          <w:iCs/>
        </w:rPr>
        <w:t>The</w:t>
      </w:r>
      <w:r w:rsidR="005E3629">
        <w:rPr>
          <w:iCs/>
        </w:rPr>
        <w:t xml:space="preserve"> Pre-Sub-Committee Response</w:t>
      </w:r>
      <w:r w:rsidR="009121D7" w:rsidRPr="00CC4DC5">
        <w:rPr>
          <w:iCs/>
        </w:rPr>
        <w:t xml:space="preserve"> </w:t>
      </w:r>
      <w:r w:rsidR="005E3629">
        <w:rPr>
          <w:iCs/>
        </w:rPr>
        <w:t>(</w:t>
      </w:r>
      <w:r w:rsidR="009121D7" w:rsidRPr="00CC4DC5">
        <w:rPr>
          <w:iCs/>
        </w:rPr>
        <w:t>PSCR</w:t>
      </w:r>
      <w:r w:rsidR="005E3629">
        <w:rPr>
          <w:iCs/>
        </w:rPr>
        <w:t>)</w:t>
      </w:r>
      <w:r w:rsidR="009121D7" w:rsidRPr="00CC4DC5">
        <w:rPr>
          <w:iCs/>
        </w:rPr>
        <w:t xml:space="preserve"> noted that </w:t>
      </w:r>
      <w:r w:rsidR="009121D7" w:rsidRPr="00CC4DC5">
        <w:rPr>
          <w:rFonts w:cstheme="minorHAnsi"/>
        </w:rPr>
        <w:t>although all patients with HGEOC have a greater than 10% risk as soon as they are diagnosed with HGEOC, the Manchester Scoring system does not reflect this for patients aged 60 years and over at diagnosis. The Sponsor’s suggested amendment to MBS item 73295 would enable patients aged 60 years and over to access testing if the diagnosis of HGEOC alone is considered insufficient for having a greater than 10% risk.</w:t>
      </w:r>
      <w:r w:rsidR="009D3618">
        <w:rPr>
          <w:rFonts w:cstheme="minorHAnsi"/>
        </w:rPr>
        <w:t xml:space="preserve"> The PBAC considered that almost all patients would currently be tested for </w:t>
      </w:r>
      <w:proofErr w:type="spellStart"/>
      <w:r w:rsidR="009D3618" w:rsidRPr="009D3618">
        <w:rPr>
          <w:rFonts w:cstheme="minorHAnsi"/>
          <w:i/>
        </w:rPr>
        <w:t>BRCA</w:t>
      </w:r>
      <w:r w:rsidR="009D3618">
        <w:rPr>
          <w:rFonts w:cstheme="minorHAnsi"/>
        </w:rPr>
        <w:t>m</w:t>
      </w:r>
      <w:proofErr w:type="spellEnd"/>
      <w:r w:rsidR="009D3618">
        <w:rPr>
          <w:rFonts w:cstheme="minorHAnsi"/>
        </w:rPr>
        <w:t xml:space="preserve"> at diagnosis.</w:t>
      </w:r>
    </w:p>
    <w:p w:rsidR="00B12A8C" w:rsidRPr="00DC08B0" w:rsidRDefault="00D80337" w:rsidP="00563974">
      <w:pPr>
        <w:pStyle w:val="ListParagraph"/>
        <w:numPr>
          <w:ilvl w:val="4"/>
          <w:numId w:val="1"/>
        </w:numPr>
        <w:rPr>
          <w:color w:val="auto"/>
        </w:rPr>
      </w:pPr>
      <w:r w:rsidRPr="008113D5">
        <w:rPr>
          <w:color w:val="auto"/>
        </w:rPr>
        <w:t>In S</w:t>
      </w:r>
      <w:r w:rsidR="00B12A8C" w:rsidRPr="008113D5">
        <w:rPr>
          <w:color w:val="auto"/>
        </w:rPr>
        <w:t xml:space="preserve">cenario 2, tumour </w:t>
      </w:r>
      <w:proofErr w:type="spellStart"/>
      <w:r w:rsidR="007B09DA" w:rsidRPr="008113D5">
        <w:rPr>
          <w:i/>
          <w:color w:val="auto"/>
        </w:rPr>
        <w:t>BRCA</w:t>
      </w:r>
      <w:r w:rsidR="007B09DA" w:rsidRPr="008113D5">
        <w:rPr>
          <w:color w:val="auto"/>
        </w:rPr>
        <w:t>m</w:t>
      </w:r>
      <w:proofErr w:type="spellEnd"/>
      <w:r w:rsidR="007B09DA" w:rsidRPr="008113D5">
        <w:rPr>
          <w:color w:val="auto"/>
        </w:rPr>
        <w:t xml:space="preserve"> </w:t>
      </w:r>
      <w:r w:rsidR="00B12A8C" w:rsidRPr="008113D5">
        <w:rPr>
          <w:color w:val="auto"/>
        </w:rPr>
        <w:t xml:space="preserve">testing </w:t>
      </w:r>
      <w:r w:rsidR="00C26365">
        <w:rPr>
          <w:color w:val="auto"/>
        </w:rPr>
        <w:t>wa</w:t>
      </w:r>
      <w:r w:rsidR="00B12A8C" w:rsidRPr="008113D5">
        <w:rPr>
          <w:color w:val="auto"/>
        </w:rPr>
        <w:t>s proposed to occur at diagnosis of HGEOC</w:t>
      </w:r>
      <w:r w:rsidR="00B12A8C" w:rsidRPr="00DC08B0">
        <w:rPr>
          <w:color w:val="auto"/>
        </w:rPr>
        <w:t xml:space="preserve">, when a biopsy or surgically excised tissue is available. In patients with inadequate tissue, or for whom tumour testing is not feasible, a germline </w:t>
      </w:r>
      <w:proofErr w:type="spellStart"/>
      <w:r w:rsidR="00B12A8C" w:rsidRPr="00E42F6A">
        <w:rPr>
          <w:i/>
          <w:color w:val="auto"/>
        </w:rPr>
        <w:t>BRCA</w:t>
      </w:r>
      <w:r w:rsidR="007B09DA">
        <w:rPr>
          <w:color w:val="auto"/>
        </w:rPr>
        <w:t>m</w:t>
      </w:r>
      <w:proofErr w:type="spellEnd"/>
      <w:r w:rsidR="007B09DA">
        <w:rPr>
          <w:color w:val="auto"/>
        </w:rPr>
        <w:t xml:space="preserve"> </w:t>
      </w:r>
      <w:r w:rsidR="00B12A8C" w:rsidRPr="00DC08B0">
        <w:rPr>
          <w:color w:val="auto"/>
        </w:rPr>
        <w:t xml:space="preserve">test </w:t>
      </w:r>
      <w:r w:rsidR="00C26365">
        <w:rPr>
          <w:color w:val="auto"/>
        </w:rPr>
        <w:t>was</w:t>
      </w:r>
      <w:r w:rsidR="00B12A8C" w:rsidRPr="00DC08B0">
        <w:rPr>
          <w:color w:val="auto"/>
        </w:rPr>
        <w:t xml:space="preserve"> requested. </w:t>
      </w:r>
      <w:r w:rsidR="00B12A8C" w:rsidRPr="008113D5">
        <w:rPr>
          <w:color w:val="auto"/>
        </w:rPr>
        <w:t xml:space="preserve">Patients diagnosed with </w:t>
      </w:r>
      <w:proofErr w:type="spellStart"/>
      <w:r w:rsidR="00B12A8C" w:rsidRPr="008113D5">
        <w:rPr>
          <w:i/>
          <w:color w:val="auto"/>
        </w:rPr>
        <w:t>BRCA</w:t>
      </w:r>
      <w:r w:rsidR="00B12A8C" w:rsidRPr="008113D5">
        <w:rPr>
          <w:color w:val="auto"/>
        </w:rPr>
        <w:t>m</w:t>
      </w:r>
      <w:proofErr w:type="spellEnd"/>
      <w:r w:rsidR="00B12A8C" w:rsidRPr="008113D5">
        <w:rPr>
          <w:color w:val="auto"/>
        </w:rPr>
        <w:t xml:space="preserve"> on tumour testing will require a subsequent germline </w:t>
      </w:r>
      <w:proofErr w:type="spellStart"/>
      <w:r w:rsidR="007B09DA" w:rsidRPr="008113D5">
        <w:rPr>
          <w:i/>
        </w:rPr>
        <w:t>BRCA</w:t>
      </w:r>
      <w:r w:rsidR="007B09DA" w:rsidRPr="008113D5">
        <w:t>m</w:t>
      </w:r>
      <w:proofErr w:type="spellEnd"/>
      <w:r w:rsidR="007B09DA" w:rsidRPr="008113D5">
        <w:rPr>
          <w:color w:val="auto"/>
        </w:rPr>
        <w:t xml:space="preserve"> </w:t>
      </w:r>
      <w:r w:rsidR="00B12A8C" w:rsidRPr="008113D5">
        <w:rPr>
          <w:color w:val="auto"/>
        </w:rPr>
        <w:t>test to differentiate between somatic and germline tumours, and to inform the utility of subsequent family cascade testing</w:t>
      </w:r>
      <w:r w:rsidR="00B12A8C" w:rsidRPr="00DC08B0">
        <w:rPr>
          <w:color w:val="auto"/>
        </w:rPr>
        <w:t xml:space="preserve">. </w:t>
      </w:r>
      <w:r w:rsidR="00B12A8C" w:rsidRPr="00704999">
        <w:rPr>
          <w:iCs/>
          <w:color w:val="auto"/>
        </w:rPr>
        <w:t xml:space="preserve">As most patients with a diagnosis of HGEOC would likely be offered a germline </w:t>
      </w:r>
      <w:proofErr w:type="spellStart"/>
      <w:r w:rsidR="00B12A8C" w:rsidRPr="008113D5">
        <w:rPr>
          <w:i/>
          <w:iCs/>
          <w:color w:val="auto"/>
        </w:rPr>
        <w:t>BRCA</w:t>
      </w:r>
      <w:r w:rsidR="007B09DA" w:rsidRPr="00704999">
        <w:rPr>
          <w:iCs/>
          <w:color w:val="auto"/>
        </w:rPr>
        <w:t>m</w:t>
      </w:r>
      <w:proofErr w:type="spellEnd"/>
      <w:r w:rsidR="00B12A8C" w:rsidRPr="00704999">
        <w:rPr>
          <w:iCs/>
          <w:color w:val="auto"/>
        </w:rPr>
        <w:t xml:space="preserve"> test, the timing of the tumour test will not represent a large change to current clinical practice.</w:t>
      </w:r>
    </w:p>
    <w:p w:rsidR="00B12A8C" w:rsidRPr="00DC08B0" w:rsidRDefault="00B12A8C" w:rsidP="00563974">
      <w:pPr>
        <w:pStyle w:val="ListParagraph"/>
        <w:numPr>
          <w:ilvl w:val="4"/>
          <w:numId w:val="1"/>
        </w:numPr>
        <w:rPr>
          <w:color w:val="auto"/>
        </w:rPr>
      </w:pPr>
      <w:r w:rsidRPr="00DC08B0">
        <w:rPr>
          <w:color w:val="auto"/>
        </w:rPr>
        <w:t xml:space="preserve">In both </w:t>
      </w:r>
      <w:r w:rsidR="00D80337">
        <w:rPr>
          <w:color w:val="auto"/>
        </w:rPr>
        <w:t>S</w:t>
      </w:r>
      <w:r w:rsidRPr="00DC08B0">
        <w:rPr>
          <w:color w:val="auto"/>
        </w:rPr>
        <w:t xml:space="preserve">cenario 1 and </w:t>
      </w:r>
      <w:r w:rsidR="00D80337">
        <w:rPr>
          <w:color w:val="auto"/>
        </w:rPr>
        <w:t>S</w:t>
      </w:r>
      <w:r w:rsidR="00C26365">
        <w:rPr>
          <w:color w:val="auto"/>
        </w:rPr>
        <w:t xml:space="preserve">cenario 2, </w:t>
      </w:r>
      <w:proofErr w:type="spellStart"/>
      <w:r w:rsidR="00C26365">
        <w:rPr>
          <w:color w:val="auto"/>
        </w:rPr>
        <w:t>olaparib</w:t>
      </w:r>
      <w:proofErr w:type="spellEnd"/>
      <w:r w:rsidR="00C26365">
        <w:rPr>
          <w:color w:val="auto"/>
        </w:rPr>
        <w:t xml:space="preserve"> wa</w:t>
      </w:r>
      <w:r w:rsidRPr="00DC08B0">
        <w:rPr>
          <w:color w:val="auto"/>
        </w:rPr>
        <w:t>s proposed to be used in the maintenance setting following response to first-line</w:t>
      </w:r>
      <w:r w:rsidR="00466B34">
        <w:rPr>
          <w:color w:val="auto"/>
        </w:rPr>
        <w:t xml:space="preserve"> </w:t>
      </w:r>
      <w:r w:rsidRPr="00DC08B0">
        <w:rPr>
          <w:color w:val="auto"/>
        </w:rPr>
        <w:t xml:space="preserve">platinum-based chemotherapy for patients with </w:t>
      </w:r>
      <w:proofErr w:type="spellStart"/>
      <w:r w:rsidRPr="00DC08B0">
        <w:rPr>
          <w:color w:val="auto"/>
        </w:rPr>
        <w:t>g</w:t>
      </w:r>
      <w:r w:rsidRPr="00E42F6A">
        <w:rPr>
          <w:i/>
          <w:color w:val="auto"/>
        </w:rPr>
        <w:t>BRCA</w:t>
      </w:r>
      <w:r w:rsidRPr="00DC08B0">
        <w:rPr>
          <w:color w:val="auto"/>
        </w:rPr>
        <w:t>m</w:t>
      </w:r>
      <w:proofErr w:type="spellEnd"/>
      <w:r w:rsidRPr="00DC08B0">
        <w:rPr>
          <w:color w:val="auto"/>
        </w:rPr>
        <w:t xml:space="preserve"> (</w:t>
      </w:r>
      <w:r w:rsidR="00D80337">
        <w:rPr>
          <w:color w:val="auto"/>
        </w:rPr>
        <w:t>S</w:t>
      </w:r>
      <w:r w:rsidRPr="00DC08B0">
        <w:rPr>
          <w:color w:val="auto"/>
        </w:rPr>
        <w:t xml:space="preserve">cenario 1) or both germline and somatic </w:t>
      </w:r>
      <w:proofErr w:type="spellStart"/>
      <w:r w:rsidRPr="00E42F6A">
        <w:rPr>
          <w:i/>
          <w:color w:val="auto"/>
        </w:rPr>
        <w:t>BRCA</w:t>
      </w:r>
      <w:r w:rsidRPr="00DC08B0">
        <w:rPr>
          <w:color w:val="auto"/>
        </w:rPr>
        <w:t>m</w:t>
      </w:r>
      <w:proofErr w:type="spellEnd"/>
      <w:r w:rsidRPr="00DC08B0">
        <w:rPr>
          <w:color w:val="auto"/>
        </w:rPr>
        <w:t xml:space="preserve"> (</w:t>
      </w:r>
      <w:r w:rsidR="00D80337">
        <w:rPr>
          <w:color w:val="auto"/>
        </w:rPr>
        <w:t>S</w:t>
      </w:r>
      <w:r w:rsidRPr="00DC08B0">
        <w:rPr>
          <w:color w:val="auto"/>
        </w:rPr>
        <w:t>cenario</w:t>
      </w:r>
      <w:r w:rsidR="00466B34">
        <w:rPr>
          <w:color w:val="auto"/>
        </w:rPr>
        <w:t xml:space="preserve"> </w:t>
      </w:r>
      <w:r w:rsidRPr="00DC08B0">
        <w:rPr>
          <w:color w:val="auto"/>
        </w:rPr>
        <w:t xml:space="preserve">2). </w:t>
      </w:r>
    </w:p>
    <w:p w:rsidR="00B12A8C" w:rsidRPr="00DC08B0" w:rsidRDefault="00B12A8C" w:rsidP="00563974">
      <w:pPr>
        <w:pStyle w:val="ListParagraph"/>
        <w:numPr>
          <w:ilvl w:val="4"/>
          <w:numId w:val="1"/>
        </w:numPr>
        <w:rPr>
          <w:color w:val="auto"/>
        </w:rPr>
      </w:pPr>
      <w:r w:rsidRPr="008113D5">
        <w:rPr>
          <w:color w:val="auto"/>
        </w:rPr>
        <w:t xml:space="preserve">The </w:t>
      </w:r>
      <w:r w:rsidR="009D3618">
        <w:rPr>
          <w:color w:val="auto"/>
        </w:rPr>
        <w:t>submission stated</w:t>
      </w:r>
      <w:r w:rsidRPr="008113D5">
        <w:rPr>
          <w:color w:val="auto"/>
        </w:rPr>
        <w:t xml:space="preserve"> that </w:t>
      </w:r>
      <w:proofErr w:type="spellStart"/>
      <w:r w:rsidRPr="008113D5">
        <w:rPr>
          <w:color w:val="auto"/>
        </w:rPr>
        <w:t>olaparib</w:t>
      </w:r>
      <w:proofErr w:type="spellEnd"/>
      <w:r w:rsidRPr="008113D5">
        <w:rPr>
          <w:color w:val="auto"/>
        </w:rPr>
        <w:t xml:space="preserve"> used in the </w:t>
      </w:r>
      <w:r w:rsidR="007B09DA" w:rsidRPr="008113D5">
        <w:rPr>
          <w:color w:val="auto"/>
        </w:rPr>
        <w:t>first-line</w:t>
      </w:r>
      <w:r w:rsidRPr="008113D5">
        <w:rPr>
          <w:color w:val="auto"/>
        </w:rPr>
        <w:t xml:space="preserve"> maintenance setting will not replace any currently subsidised medicine. However, the proposed use of </w:t>
      </w:r>
      <w:proofErr w:type="spellStart"/>
      <w:r w:rsidRPr="008113D5">
        <w:rPr>
          <w:color w:val="auto"/>
        </w:rPr>
        <w:t>olaparib</w:t>
      </w:r>
      <w:proofErr w:type="spellEnd"/>
      <w:r w:rsidRPr="008113D5">
        <w:rPr>
          <w:color w:val="auto"/>
        </w:rPr>
        <w:t xml:space="preserve"> will be partially offset by a reduction in the currently subsidised use of </w:t>
      </w:r>
      <w:proofErr w:type="spellStart"/>
      <w:r w:rsidRPr="008113D5">
        <w:rPr>
          <w:color w:val="auto"/>
        </w:rPr>
        <w:t>olaparib</w:t>
      </w:r>
      <w:proofErr w:type="spellEnd"/>
      <w:r w:rsidRPr="008113D5">
        <w:rPr>
          <w:color w:val="auto"/>
        </w:rPr>
        <w:t xml:space="preserve"> in the </w:t>
      </w:r>
      <w:r w:rsidR="00466B34" w:rsidRPr="008113D5">
        <w:rPr>
          <w:color w:val="auto"/>
        </w:rPr>
        <w:t>second-line</w:t>
      </w:r>
      <w:r w:rsidRPr="008113D5">
        <w:rPr>
          <w:color w:val="auto"/>
        </w:rPr>
        <w:t xml:space="preserve"> maintenance setting (for the proportion of patients who progress after </w:t>
      </w:r>
      <w:r w:rsidR="007B09DA" w:rsidRPr="008113D5">
        <w:rPr>
          <w:color w:val="auto"/>
        </w:rPr>
        <w:t>fir</w:t>
      </w:r>
      <w:r w:rsidR="00E20BB4" w:rsidRPr="008113D5">
        <w:rPr>
          <w:color w:val="auto"/>
        </w:rPr>
        <w:t>s</w:t>
      </w:r>
      <w:r w:rsidR="007B09DA" w:rsidRPr="008113D5">
        <w:rPr>
          <w:color w:val="auto"/>
        </w:rPr>
        <w:t>t-line</w:t>
      </w:r>
      <w:r w:rsidRPr="008113D5">
        <w:rPr>
          <w:color w:val="auto"/>
        </w:rPr>
        <w:t xml:space="preserve"> treatment and remain eligible to receive it)</w:t>
      </w:r>
      <w:r w:rsidRPr="00DC08B0">
        <w:rPr>
          <w:color w:val="auto"/>
        </w:rPr>
        <w:t>.</w:t>
      </w:r>
    </w:p>
    <w:p w:rsidR="00A239E6" w:rsidRDefault="00C26365" w:rsidP="00563974">
      <w:pPr>
        <w:pStyle w:val="ListParagraph"/>
        <w:numPr>
          <w:ilvl w:val="4"/>
          <w:numId w:val="1"/>
        </w:numPr>
        <w:rPr>
          <w:color w:val="auto"/>
        </w:rPr>
      </w:pPr>
      <w:r>
        <w:rPr>
          <w:color w:val="auto"/>
        </w:rPr>
        <w:t>The commentary noted that i</w:t>
      </w:r>
      <w:r w:rsidR="003F0F94" w:rsidRPr="0095285B">
        <w:rPr>
          <w:color w:val="auto"/>
        </w:rPr>
        <w:t xml:space="preserve">f the Committees decide against recommending the listing of </w:t>
      </w:r>
      <w:proofErr w:type="spellStart"/>
      <w:r w:rsidR="003F0F94" w:rsidRPr="0095285B">
        <w:rPr>
          <w:color w:val="auto"/>
        </w:rPr>
        <w:t>olaparib</w:t>
      </w:r>
      <w:proofErr w:type="spellEnd"/>
      <w:r w:rsidR="003F0F94" w:rsidRPr="0095285B">
        <w:rPr>
          <w:color w:val="auto"/>
        </w:rPr>
        <w:t xml:space="preserve"> for the first-line maintenance setting, the Committees may still decide to support making tumour testing for </w:t>
      </w:r>
      <w:proofErr w:type="spellStart"/>
      <w:r w:rsidR="003F0F94" w:rsidRPr="0095285B">
        <w:rPr>
          <w:i/>
          <w:color w:val="auto"/>
        </w:rPr>
        <w:t>BRCA</w:t>
      </w:r>
      <w:r w:rsidR="003F0F94" w:rsidRPr="0095285B">
        <w:rPr>
          <w:color w:val="auto"/>
        </w:rPr>
        <w:t>m</w:t>
      </w:r>
      <w:proofErr w:type="spellEnd"/>
      <w:r w:rsidR="003F0F94" w:rsidRPr="0095285B">
        <w:rPr>
          <w:color w:val="auto"/>
        </w:rPr>
        <w:t xml:space="preserve"> available on the MBS and broaden the existing second-line </w:t>
      </w:r>
      <w:proofErr w:type="spellStart"/>
      <w:r w:rsidR="003F0F94" w:rsidRPr="0095285B">
        <w:rPr>
          <w:color w:val="auto"/>
        </w:rPr>
        <w:t>olaparib</w:t>
      </w:r>
      <w:proofErr w:type="spellEnd"/>
      <w:r w:rsidR="003F0F94" w:rsidRPr="0095285B">
        <w:rPr>
          <w:color w:val="auto"/>
        </w:rPr>
        <w:t xml:space="preserve"> listing to include </w:t>
      </w:r>
      <w:proofErr w:type="spellStart"/>
      <w:r w:rsidR="003F0F94" w:rsidRPr="0095285B">
        <w:rPr>
          <w:color w:val="auto"/>
        </w:rPr>
        <w:t>s</w:t>
      </w:r>
      <w:r w:rsidR="003F0F94" w:rsidRPr="0095285B">
        <w:rPr>
          <w:i/>
          <w:color w:val="auto"/>
        </w:rPr>
        <w:t>BRCA</w:t>
      </w:r>
      <w:r w:rsidR="003F0F94" w:rsidRPr="0095285B">
        <w:rPr>
          <w:color w:val="auto"/>
        </w:rPr>
        <w:t>m</w:t>
      </w:r>
      <w:proofErr w:type="spellEnd"/>
      <w:r w:rsidR="003F0F94" w:rsidRPr="0095285B">
        <w:rPr>
          <w:color w:val="auto"/>
        </w:rPr>
        <w:t xml:space="preserve">. This would result in patients with somatic </w:t>
      </w:r>
      <w:r w:rsidR="003F0F94" w:rsidRPr="0095285B">
        <w:rPr>
          <w:i/>
          <w:color w:val="auto"/>
        </w:rPr>
        <w:t>BRCA</w:t>
      </w:r>
      <w:r w:rsidR="003F0F94" w:rsidRPr="0095285B">
        <w:rPr>
          <w:color w:val="auto"/>
        </w:rPr>
        <w:t xml:space="preserve"> mutations being able to access </w:t>
      </w:r>
      <w:proofErr w:type="spellStart"/>
      <w:r w:rsidR="003F0F94" w:rsidRPr="0095285B">
        <w:rPr>
          <w:color w:val="auto"/>
        </w:rPr>
        <w:t>olaparib</w:t>
      </w:r>
      <w:proofErr w:type="spellEnd"/>
      <w:r w:rsidR="003F0F94" w:rsidRPr="0095285B">
        <w:rPr>
          <w:color w:val="auto"/>
        </w:rPr>
        <w:t xml:space="preserve"> in the second-line setting</w:t>
      </w:r>
      <w:r w:rsidR="009D3618">
        <w:rPr>
          <w:color w:val="auto"/>
        </w:rPr>
        <w:t>.</w:t>
      </w:r>
    </w:p>
    <w:p w:rsidR="00B12A8C" w:rsidRDefault="00B12A8C" w:rsidP="00563974">
      <w:pPr>
        <w:pStyle w:val="PBACESHeading1"/>
        <w:keepNext w:val="0"/>
        <w:numPr>
          <w:ilvl w:val="0"/>
          <w:numId w:val="1"/>
        </w:numPr>
      </w:pPr>
      <w:bookmarkStart w:id="3" w:name="_Toc18489969"/>
      <w:r w:rsidRPr="00DC08B0">
        <w:lastRenderedPageBreak/>
        <w:t>Requested listing</w:t>
      </w:r>
      <w:bookmarkEnd w:id="3"/>
    </w:p>
    <w:p w:rsidR="00B12A8C" w:rsidRDefault="00B12A8C" w:rsidP="00563974">
      <w:pPr>
        <w:pStyle w:val="PBACESHeading2"/>
        <w:keepNext w:val="0"/>
      </w:pPr>
      <w:r w:rsidRPr="00DC08B0">
        <w:t>Proposed PBS Listing</w:t>
      </w:r>
    </w:p>
    <w:p w:rsidR="00E15D5E" w:rsidRPr="00E15D5E" w:rsidRDefault="00E15D5E" w:rsidP="00E15D5E">
      <w:pPr>
        <w:pStyle w:val="ListParagraph"/>
        <w:numPr>
          <w:ilvl w:val="4"/>
          <w:numId w:val="1"/>
        </w:numPr>
        <w:rPr>
          <w:color w:val="auto"/>
        </w:rPr>
      </w:pPr>
      <w:r w:rsidRPr="00E15D5E">
        <w:rPr>
          <w:color w:val="auto"/>
        </w:rPr>
        <w:t>Suggested additions are in italics and deletions are in strikethrough. The requested PBS restriction has been updated to conform to the electronic requirement for listings.</w:t>
      </w:r>
    </w:p>
    <w:tbl>
      <w:tblPr>
        <w:tblW w:w="5000" w:type="pct"/>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Pr>
      <w:tblGrid>
        <w:gridCol w:w="2694"/>
        <w:gridCol w:w="992"/>
        <w:gridCol w:w="850"/>
        <w:gridCol w:w="851"/>
        <w:gridCol w:w="1843"/>
        <w:gridCol w:w="1796"/>
      </w:tblGrid>
      <w:tr w:rsidR="00C80E42" w:rsidRPr="008113D5" w:rsidTr="00563974">
        <w:trPr>
          <w:tblHeader/>
        </w:trPr>
        <w:tc>
          <w:tcPr>
            <w:tcW w:w="2694"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Name, restriction, manner of administration, form</w:t>
            </w:r>
          </w:p>
        </w:tc>
        <w:tc>
          <w:tcPr>
            <w:tcW w:w="992"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 xml:space="preserve">Max </w:t>
            </w:r>
            <w:proofErr w:type="spellStart"/>
            <w:r w:rsidRPr="008113D5">
              <w:rPr>
                <w:rFonts w:ascii="Arial Narrow" w:hAnsi="Arial Narrow"/>
                <w:b/>
                <w:sz w:val="20"/>
              </w:rPr>
              <w:t>qty</w:t>
            </w:r>
            <w:proofErr w:type="spellEnd"/>
            <w:r w:rsidRPr="008113D5">
              <w:rPr>
                <w:rFonts w:ascii="Arial Narrow" w:hAnsi="Arial Narrow"/>
                <w:b/>
                <w:sz w:val="20"/>
              </w:rPr>
              <w:t xml:space="preserve"> packs</w:t>
            </w:r>
          </w:p>
        </w:tc>
        <w:tc>
          <w:tcPr>
            <w:tcW w:w="850"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 xml:space="preserve">Max </w:t>
            </w:r>
            <w:proofErr w:type="spellStart"/>
            <w:r w:rsidRPr="008113D5">
              <w:rPr>
                <w:rFonts w:ascii="Arial Narrow" w:hAnsi="Arial Narrow"/>
                <w:b/>
                <w:sz w:val="20"/>
              </w:rPr>
              <w:t>qty</w:t>
            </w:r>
            <w:proofErr w:type="spellEnd"/>
            <w:r w:rsidRPr="008113D5">
              <w:rPr>
                <w:rFonts w:ascii="Arial Narrow" w:hAnsi="Arial Narrow"/>
                <w:b/>
                <w:sz w:val="20"/>
              </w:rPr>
              <w:t xml:space="preserve"> (units)</w:t>
            </w:r>
          </w:p>
        </w:tc>
        <w:tc>
          <w:tcPr>
            <w:tcW w:w="851"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No. of repeats</w:t>
            </w:r>
          </w:p>
        </w:tc>
        <w:tc>
          <w:tcPr>
            <w:tcW w:w="1843"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 xml:space="preserve">Dispensed price for maximum amount </w:t>
            </w:r>
          </w:p>
        </w:tc>
        <w:tc>
          <w:tcPr>
            <w:tcW w:w="1796" w:type="dxa"/>
          </w:tcPr>
          <w:p w:rsidR="00C80E42" w:rsidRPr="008113D5" w:rsidRDefault="00C80E42" w:rsidP="00563974">
            <w:pPr>
              <w:keepLines/>
              <w:spacing w:before="40" w:after="40" w:line="256" w:lineRule="auto"/>
              <w:jc w:val="left"/>
              <w:rPr>
                <w:rFonts w:ascii="Arial Narrow" w:hAnsi="Arial Narrow"/>
                <w:b/>
                <w:sz w:val="20"/>
              </w:rPr>
            </w:pPr>
            <w:r w:rsidRPr="008113D5">
              <w:rPr>
                <w:rFonts w:ascii="Arial Narrow" w:hAnsi="Arial Narrow"/>
                <w:b/>
                <w:sz w:val="20"/>
              </w:rPr>
              <w:t>Proprietary name and manufacturer</w:t>
            </w:r>
          </w:p>
        </w:tc>
      </w:tr>
      <w:tr w:rsidR="00C80E42" w:rsidRPr="00DC08B0" w:rsidTr="00563974">
        <w:tc>
          <w:tcPr>
            <w:tcW w:w="2694" w:type="dxa"/>
          </w:tcPr>
          <w:p w:rsidR="00C80E42" w:rsidRPr="00DC08B0" w:rsidRDefault="00C80E42" w:rsidP="00563974">
            <w:pPr>
              <w:keepLines/>
              <w:spacing w:before="40" w:after="40" w:line="256" w:lineRule="auto"/>
              <w:jc w:val="left"/>
              <w:rPr>
                <w:rFonts w:ascii="Arial Narrow" w:hAnsi="Arial Narrow"/>
                <w:sz w:val="20"/>
              </w:rPr>
            </w:pPr>
            <w:proofErr w:type="spellStart"/>
            <w:r w:rsidRPr="00DC08B0">
              <w:rPr>
                <w:rFonts w:ascii="Arial Narrow" w:hAnsi="Arial Narrow"/>
                <w:sz w:val="20"/>
              </w:rPr>
              <w:t>Olaparib</w:t>
            </w:r>
            <w:proofErr w:type="spellEnd"/>
            <w:r w:rsidRPr="00DC08B0">
              <w:rPr>
                <w:rFonts w:ascii="Arial Narrow" w:hAnsi="Arial Narrow"/>
                <w:sz w:val="20"/>
              </w:rPr>
              <w:t>, tablet, 150mg, 100mg</w:t>
            </w:r>
          </w:p>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INITIAL TREATMENT</w:t>
            </w:r>
          </w:p>
        </w:tc>
        <w:tc>
          <w:tcPr>
            <w:tcW w:w="992" w:type="dxa"/>
          </w:tcPr>
          <w:p w:rsidR="00C80E42" w:rsidRDefault="00C80E42" w:rsidP="00563974">
            <w:pPr>
              <w:keepLines/>
              <w:spacing w:before="40" w:after="40" w:line="256" w:lineRule="auto"/>
              <w:jc w:val="left"/>
              <w:rPr>
                <w:rFonts w:ascii="Arial Narrow" w:hAnsi="Arial Narrow"/>
                <w:sz w:val="20"/>
              </w:rPr>
            </w:pPr>
            <w:r>
              <w:rPr>
                <w:rFonts w:ascii="Arial Narrow" w:hAnsi="Arial Narrow"/>
                <w:sz w:val="20"/>
              </w:rPr>
              <w:t>2</w:t>
            </w:r>
          </w:p>
        </w:tc>
        <w:tc>
          <w:tcPr>
            <w:tcW w:w="850" w:type="dxa"/>
          </w:tcPr>
          <w:p w:rsidR="00C80E42" w:rsidRPr="00DC08B0" w:rsidRDefault="00C80E42" w:rsidP="00563974">
            <w:pPr>
              <w:keepLines/>
              <w:spacing w:before="40" w:after="40" w:line="256" w:lineRule="auto"/>
              <w:jc w:val="left"/>
              <w:rPr>
                <w:rFonts w:ascii="Arial Narrow" w:hAnsi="Arial Narrow"/>
                <w:sz w:val="20"/>
              </w:rPr>
            </w:pPr>
            <w:r>
              <w:rPr>
                <w:rFonts w:ascii="Arial Narrow" w:hAnsi="Arial Narrow"/>
                <w:sz w:val="20"/>
              </w:rPr>
              <w:t>112</w:t>
            </w:r>
          </w:p>
        </w:tc>
        <w:tc>
          <w:tcPr>
            <w:tcW w:w="851" w:type="dxa"/>
          </w:tcPr>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2</w:t>
            </w:r>
          </w:p>
        </w:tc>
        <w:tc>
          <w:tcPr>
            <w:tcW w:w="1843" w:type="dxa"/>
          </w:tcPr>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$6961.05</w:t>
            </w:r>
            <w:r w:rsidR="00C87929">
              <w:rPr>
                <w:rFonts w:ascii="Arial Narrow" w:hAnsi="Arial Narrow"/>
                <w:sz w:val="20"/>
              </w:rPr>
              <w:t xml:space="preserve"> (published)</w:t>
            </w:r>
            <w:r w:rsidRPr="00DC08B0">
              <w:rPr>
                <w:rFonts w:ascii="Arial Narrow" w:hAnsi="Arial Narrow"/>
                <w:sz w:val="20"/>
              </w:rPr>
              <w:br/>
            </w:r>
            <w:r w:rsidRPr="00DC08B0">
              <w:rPr>
                <w:rFonts w:ascii="Arial Narrow" w:hAnsi="Arial Narrow"/>
                <w:i/>
                <w:iCs/>
                <w:sz w:val="20"/>
              </w:rPr>
              <w:t>$</w:t>
            </w:r>
            <w:r w:rsidR="005C3678">
              <w:rPr>
                <w:rFonts w:ascii="Arial Narrow" w:hAnsi="Arial Narrow"/>
                <w:i/>
                <w:iCs/>
                <w:noProof/>
                <w:color w:val="000000"/>
                <w:sz w:val="20"/>
                <w:highlight w:val="black"/>
              </w:rPr>
              <w:t>'''''''''''''''''''</w:t>
            </w:r>
            <w:r>
              <w:rPr>
                <w:rFonts w:ascii="Arial Narrow" w:hAnsi="Arial Narrow"/>
                <w:i/>
                <w:iCs/>
                <w:sz w:val="20"/>
              </w:rPr>
              <w:t xml:space="preserve"> (effective)</w:t>
            </w:r>
          </w:p>
        </w:tc>
        <w:tc>
          <w:tcPr>
            <w:tcW w:w="1796" w:type="dxa"/>
          </w:tcPr>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LYNPARZA®</w:t>
            </w:r>
            <w:r w:rsidRPr="00DC08B0">
              <w:rPr>
                <w:rFonts w:ascii="Arial Narrow" w:hAnsi="Arial Narrow"/>
                <w:sz w:val="20"/>
              </w:rPr>
              <w:br/>
              <w:t>AstraZeneca Pty Ltd</w:t>
            </w:r>
          </w:p>
        </w:tc>
      </w:tr>
      <w:tr w:rsidR="00C80E42" w:rsidRPr="00DC08B0" w:rsidTr="00563974">
        <w:tc>
          <w:tcPr>
            <w:tcW w:w="2694" w:type="dxa"/>
          </w:tcPr>
          <w:p w:rsidR="00C80E42" w:rsidRPr="00DC08B0" w:rsidRDefault="00C80E42" w:rsidP="00563974">
            <w:pPr>
              <w:keepLines/>
              <w:spacing w:before="40" w:after="40" w:line="256" w:lineRule="auto"/>
              <w:jc w:val="left"/>
              <w:rPr>
                <w:rFonts w:ascii="Arial Narrow" w:hAnsi="Arial Narrow"/>
                <w:sz w:val="20"/>
              </w:rPr>
            </w:pPr>
            <w:proofErr w:type="spellStart"/>
            <w:r w:rsidRPr="00DC08B0">
              <w:rPr>
                <w:rFonts w:ascii="Arial Narrow" w:hAnsi="Arial Narrow"/>
                <w:sz w:val="20"/>
              </w:rPr>
              <w:t>Olaparib</w:t>
            </w:r>
            <w:proofErr w:type="spellEnd"/>
            <w:r w:rsidRPr="00DC08B0">
              <w:rPr>
                <w:rFonts w:ascii="Arial Narrow" w:hAnsi="Arial Narrow"/>
                <w:sz w:val="20"/>
              </w:rPr>
              <w:t>, tablet, 150mg, 100mg</w:t>
            </w:r>
          </w:p>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CONTINUING TREATMENT</w:t>
            </w:r>
          </w:p>
        </w:tc>
        <w:tc>
          <w:tcPr>
            <w:tcW w:w="992" w:type="dxa"/>
          </w:tcPr>
          <w:p w:rsidR="00C80E42" w:rsidRDefault="00C80E42" w:rsidP="00563974">
            <w:pPr>
              <w:keepLines/>
              <w:spacing w:before="40" w:after="40" w:line="256" w:lineRule="auto"/>
              <w:jc w:val="left"/>
              <w:rPr>
                <w:rFonts w:ascii="Arial Narrow" w:hAnsi="Arial Narrow"/>
                <w:sz w:val="20"/>
              </w:rPr>
            </w:pPr>
            <w:r>
              <w:rPr>
                <w:rFonts w:ascii="Arial Narrow" w:hAnsi="Arial Narrow"/>
                <w:sz w:val="20"/>
              </w:rPr>
              <w:t>2</w:t>
            </w:r>
          </w:p>
        </w:tc>
        <w:tc>
          <w:tcPr>
            <w:tcW w:w="850" w:type="dxa"/>
          </w:tcPr>
          <w:p w:rsidR="00C80E42" w:rsidRPr="00DC08B0" w:rsidRDefault="00C80E42" w:rsidP="00563974">
            <w:pPr>
              <w:keepLines/>
              <w:spacing w:before="40" w:after="40" w:line="256" w:lineRule="auto"/>
              <w:jc w:val="left"/>
              <w:rPr>
                <w:rFonts w:ascii="Arial Narrow" w:hAnsi="Arial Narrow"/>
                <w:sz w:val="20"/>
              </w:rPr>
            </w:pPr>
            <w:r>
              <w:rPr>
                <w:rFonts w:ascii="Arial Narrow" w:hAnsi="Arial Narrow"/>
                <w:sz w:val="20"/>
              </w:rPr>
              <w:t>112</w:t>
            </w:r>
          </w:p>
        </w:tc>
        <w:tc>
          <w:tcPr>
            <w:tcW w:w="851" w:type="dxa"/>
          </w:tcPr>
          <w:p w:rsidR="00C80E42" w:rsidRPr="00C22335" w:rsidRDefault="00C80E42" w:rsidP="00563974">
            <w:pPr>
              <w:keepLines/>
              <w:spacing w:before="40" w:after="40" w:line="256" w:lineRule="auto"/>
              <w:jc w:val="left"/>
              <w:rPr>
                <w:rFonts w:ascii="Arial Narrow" w:hAnsi="Arial Narrow"/>
                <w:strike/>
                <w:sz w:val="20"/>
              </w:rPr>
            </w:pPr>
            <w:r w:rsidRPr="00C22335">
              <w:rPr>
                <w:rFonts w:ascii="Arial Narrow" w:hAnsi="Arial Narrow"/>
                <w:strike/>
                <w:sz w:val="20"/>
              </w:rPr>
              <w:t>6</w:t>
            </w:r>
            <w:r w:rsidR="00E15D5E" w:rsidRPr="00C22335">
              <w:rPr>
                <w:rFonts w:ascii="Arial Narrow" w:hAnsi="Arial Narrow"/>
                <w:i/>
                <w:sz w:val="20"/>
              </w:rPr>
              <w:t xml:space="preserve"> 5</w:t>
            </w:r>
          </w:p>
        </w:tc>
        <w:tc>
          <w:tcPr>
            <w:tcW w:w="1843" w:type="dxa"/>
          </w:tcPr>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$6961.05</w:t>
            </w:r>
            <w:r>
              <w:rPr>
                <w:rFonts w:ascii="Arial Narrow" w:hAnsi="Arial Narrow"/>
                <w:sz w:val="20"/>
              </w:rPr>
              <w:t xml:space="preserve"> (published)</w:t>
            </w:r>
            <w:r w:rsidRPr="00DC08B0">
              <w:rPr>
                <w:rFonts w:ascii="Arial Narrow" w:hAnsi="Arial Narrow"/>
                <w:sz w:val="20"/>
              </w:rPr>
              <w:br/>
            </w:r>
            <w:r w:rsidRPr="00DC08B0">
              <w:rPr>
                <w:rFonts w:ascii="Arial Narrow" w:hAnsi="Arial Narrow"/>
                <w:i/>
                <w:iCs/>
                <w:sz w:val="20"/>
              </w:rPr>
              <w:t>$</w:t>
            </w:r>
            <w:r w:rsidR="005C3678">
              <w:rPr>
                <w:rFonts w:ascii="Arial Narrow" w:hAnsi="Arial Narrow"/>
                <w:i/>
                <w:iCs/>
                <w:noProof/>
                <w:color w:val="000000"/>
                <w:sz w:val="20"/>
                <w:highlight w:val="black"/>
              </w:rPr>
              <w:t>''''''''''''''''''''</w:t>
            </w:r>
            <w:r>
              <w:rPr>
                <w:rFonts w:ascii="Arial Narrow" w:hAnsi="Arial Narrow"/>
                <w:i/>
                <w:iCs/>
                <w:sz w:val="20"/>
              </w:rPr>
              <w:t xml:space="preserve"> (effective)</w:t>
            </w:r>
          </w:p>
        </w:tc>
        <w:tc>
          <w:tcPr>
            <w:tcW w:w="1796" w:type="dxa"/>
          </w:tcPr>
          <w:p w:rsidR="00C80E42" w:rsidRPr="00DC08B0" w:rsidRDefault="00C80E42" w:rsidP="00563974">
            <w:pPr>
              <w:keepLines/>
              <w:spacing w:before="40" w:after="40" w:line="256" w:lineRule="auto"/>
              <w:jc w:val="left"/>
              <w:rPr>
                <w:rFonts w:ascii="Arial Narrow" w:hAnsi="Arial Narrow"/>
                <w:sz w:val="20"/>
              </w:rPr>
            </w:pPr>
            <w:r w:rsidRPr="00DC08B0">
              <w:rPr>
                <w:rFonts w:ascii="Arial Narrow" w:hAnsi="Arial Narrow"/>
                <w:sz w:val="20"/>
              </w:rPr>
              <w:t>LYNPARZA®</w:t>
            </w:r>
            <w:r w:rsidRPr="00DC08B0">
              <w:rPr>
                <w:rFonts w:ascii="Arial Narrow" w:hAnsi="Arial Narrow"/>
                <w:sz w:val="20"/>
              </w:rPr>
              <w:br/>
              <w:t>AstraZeneca Pty Ltd</w:t>
            </w:r>
          </w:p>
        </w:tc>
      </w:tr>
    </w:tbl>
    <w:p w:rsidR="00C80E42" w:rsidRDefault="00C80E42" w:rsidP="00563974">
      <w:pPr>
        <w:rPr>
          <w:b/>
        </w:rPr>
      </w:pPr>
    </w:p>
    <w:tbl>
      <w:tblPr>
        <w:tblW w:w="5000" w:type="pct"/>
        <w:tblLayout w:type="fixed"/>
        <w:tblLook w:val="0000" w:firstRow="0" w:lastRow="0" w:firstColumn="0" w:lastColumn="0" w:noHBand="0" w:noVBand="0"/>
      </w:tblPr>
      <w:tblGrid>
        <w:gridCol w:w="2547"/>
        <w:gridCol w:w="6469"/>
      </w:tblGrid>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Category / Program:</w:t>
            </w: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GENERAL – General Schedule (Code GE)</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Prescriber type:</w:t>
            </w:r>
          </w:p>
          <w:p w:rsidR="007D6C1F" w:rsidRPr="00C22335" w:rsidRDefault="007D6C1F" w:rsidP="007B78C8">
            <w:pPr>
              <w:spacing w:before="0" w:after="0"/>
              <w:rPr>
                <w:rFonts w:ascii="Arial Narrow" w:hAnsi="Arial Narrow" w:cs="Arial"/>
                <w:b/>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1"/>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Dental  </w:t>
            </w:r>
            <w:r w:rsidRPr="00C22335">
              <w:rPr>
                <w:rFonts w:ascii="Arial Narrow" w:hAnsi="Arial Narrow" w:cs="Arial"/>
                <w:sz w:val="20"/>
                <w:szCs w:val="20"/>
              </w:rPr>
              <w:fldChar w:fldCharType="begin">
                <w:ffData>
                  <w:name w:val=""/>
                  <w:enabled/>
                  <w:calcOnExit w:val="0"/>
                  <w:checkBox>
                    <w:sizeAuto/>
                    <w:default w:val="1"/>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Medical Practitioners  </w:t>
            </w:r>
            <w:r w:rsidRPr="00C22335">
              <w:rPr>
                <w:rFonts w:ascii="Arial Narrow" w:hAnsi="Arial Narrow" w:cs="Arial"/>
                <w:sz w:val="20"/>
                <w:szCs w:val="20"/>
              </w:rPr>
              <w:fldChar w:fldCharType="begin">
                <w:ffData>
                  <w:name w:val="Check3"/>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Nurse practitioners  </w:t>
            </w:r>
            <w:r w:rsidRPr="00C22335">
              <w:rPr>
                <w:rFonts w:ascii="Arial Narrow" w:hAnsi="Arial Narrow" w:cs="Arial"/>
                <w:sz w:val="20"/>
                <w:szCs w:val="20"/>
              </w:rPr>
              <w:fldChar w:fldCharType="begin">
                <w:ffData>
                  <w:name w:val=""/>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Optometrists</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5"/>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Midwives</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trike/>
                <w:sz w:val="20"/>
                <w:szCs w:val="20"/>
              </w:rPr>
            </w:pPr>
            <w:r w:rsidRPr="00C22335">
              <w:rPr>
                <w:rFonts w:ascii="Arial Narrow" w:hAnsi="Arial Narrow" w:cs="Arial"/>
                <w:b/>
                <w:strike/>
                <w:sz w:val="20"/>
                <w:szCs w:val="20"/>
              </w:rPr>
              <w:t>Severity:</w:t>
            </w: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trike/>
                <w:sz w:val="20"/>
                <w:szCs w:val="20"/>
              </w:rPr>
            </w:pPr>
            <w:r w:rsidRPr="00C22335">
              <w:rPr>
                <w:rFonts w:ascii="Arial Narrow" w:hAnsi="Arial Narrow" w:cs="Arial"/>
                <w:strike/>
                <w:sz w:val="20"/>
                <w:szCs w:val="20"/>
              </w:rPr>
              <w:t>Advanced (FIGO Stage III-IV)</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Condition:</w:t>
            </w: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High grade epithelial ovarian, fallopian tube or primary peritoneal cancer</w:t>
            </w:r>
          </w:p>
        </w:tc>
      </w:tr>
      <w:tr w:rsidR="007D6C1F" w:rsidRPr="00C22335" w:rsidTr="00C22335">
        <w:trPr>
          <w:cantSplit/>
          <w:trHeight w:val="369"/>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PBS Indication:</w:t>
            </w:r>
          </w:p>
          <w:p w:rsidR="007D6C1F" w:rsidRPr="00C22335" w:rsidRDefault="007D6C1F" w:rsidP="007B78C8">
            <w:pPr>
              <w:spacing w:before="0" w:after="0"/>
              <w:rPr>
                <w:rFonts w:ascii="Arial Narrow" w:hAnsi="Arial Narrow" w:cs="Arial"/>
                <w:i/>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trike/>
                <w:sz w:val="20"/>
                <w:szCs w:val="20"/>
              </w:rPr>
              <w:t xml:space="preserve">Advanced (FIGO Stage III-IV) ovarian cancer </w:t>
            </w:r>
            <w:r w:rsidRPr="00C22335">
              <w:rPr>
                <w:rFonts w:ascii="Arial Narrow" w:hAnsi="Arial Narrow" w:cs="Arial"/>
                <w:sz w:val="20"/>
                <w:szCs w:val="20"/>
              </w:rPr>
              <w:t>high grade epithelial ovarian, fallopian tube or primary peritoneal cancer</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Treatment phase:</w:t>
            </w: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Initial treatment</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Restriction Level / Method:</w:t>
            </w:r>
          </w:p>
          <w:p w:rsidR="007D6C1F" w:rsidRPr="00C22335" w:rsidRDefault="007D6C1F" w:rsidP="007B78C8">
            <w:pPr>
              <w:spacing w:before="0" w:after="0"/>
              <w:rPr>
                <w:rFonts w:ascii="Arial Narrow" w:hAnsi="Arial Narrow" w:cs="Arial"/>
                <w:i/>
                <w:sz w:val="20"/>
                <w:szCs w:val="20"/>
              </w:rPr>
            </w:pPr>
          </w:p>
          <w:p w:rsidR="007D6C1F" w:rsidRPr="00C22335" w:rsidRDefault="007D6C1F" w:rsidP="00C22335">
            <w:pPr>
              <w:spacing w:before="0" w:after="0"/>
              <w:rPr>
                <w:rFonts w:ascii="Arial Narrow" w:hAnsi="Arial Narrow" w:cs="Arial"/>
                <w:i/>
                <w:sz w:val="20"/>
                <w:szCs w:val="20"/>
              </w:rPr>
            </w:pPr>
          </w:p>
          <w:p w:rsidR="007D6C1F" w:rsidRPr="00C22335" w:rsidRDefault="007D6C1F" w:rsidP="00C22335">
            <w:pPr>
              <w:spacing w:before="0" w:after="0"/>
              <w:rPr>
                <w:rFonts w:ascii="Arial Narrow" w:hAnsi="Arial Narrow" w:cs="Arial"/>
                <w:i/>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1"/>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Restricted benefit</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Authority Required – In Writing</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3"/>
                  <w:enabled/>
                  <w:calcOnExit w:val="0"/>
                  <w:checkBox>
                    <w:sizeAuto/>
                    <w:default w:val="1"/>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Authority Required – Telephone/Electronic/Emergency</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5"/>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Streamlined</w:t>
            </w:r>
          </w:p>
        </w:tc>
      </w:tr>
      <w:tr w:rsidR="007D6C1F" w:rsidRPr="00C22335" w:rsidTr="00C22335">
        <w:trPr>
          <w:cantSplit/>
          <w:trHeight w:val="657"/>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Clinical criteria:</w:t>
            </w:r>
          </w:p>
          <w:p w:rsidR="007D6C1F" w:rsidRPr="00C22335" w:rsidRDefault="007D6C1F" w:rsidP="007B78C8">
            <w:pPr>
              <w:spacing w:before="0" w:after="0"/>
              <w:rPr>
                <w:rFonts w:ascii="Arial Narrow" w:hAnsi="Arial Narrow" w:cs="Arial"/>
                <w:b/>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C22335">
            <w:pPr>
              <w:pStyle w:val="Default"/>
              <w:jc w:val="both"/>
              <w:rPr>
                <w:rFonts w:ascii="Arial Narrow" w:hAnsi="Arial Narrow"/>
                <w:i/>
                <w:color w:val="auto"/>
                <w:sz w:val="20"/>
                <w:szCs w:val="20"/>
              </w:rPr>
            </w:pPr>
            <w:r w:rsidRPr="00C22335">
              <w:rPr>
                <w:rFonts w:ascii="Arial Narrow" w:hAnsi="Arial Narrow"/>
                <w:i/>
                <w:color w:val="auto"/>
                <w:sz w:val="20"/>
                <w:szCs w:val="20"/>
              </w:rPr>
              <w:t xml:space="preserve">The condition must be a germline </w:t>
            </w:r>
            <w:r w:rsidRPr="00C22335">
              <w:rPr>
                <w:rFonts w:ascii="Arial Narrow" w:hAnsi="Arial Narrow"/>
                <w:i/>
                <w:color w:val="FF0000"/>
                <w:sz w:val="20"/>
                <w:szCs w:val="20"/>
              </w:rPr>
              <w:t xml:space="preserve">(or somatic) </w:t>
            </w:r>
            <w:r w:rsidRPr="00C22335">
              <w:rPr>
                <w:rFonts w:ascii="Arial Narrow" w:hAnsi="Arial Narrow"/>
                <w:i/>
                <w:color w:val="auto"/>
                <w:sz w:val="20"/>
                <w:szCs w:val="20"/>
              </w:rPr>
              <w:t>class 4 or 5 BRCA1 or BRCA2 gene mutation,</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AND</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The condition must be platinum sensitive,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AND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Patient must have received previous platinum-containing regimen,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AND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Patient must be in partial or complete response to </w:t>
            </w:r>
            <w:r w:rsidRPr="00C22335">
              <w:rPr>
                <w:rFonts w:ascii="Arial Narrow" w:hAnsi="Arial Narrow"/>
                <w:i/>
                <w:color w:val="auto"/>
                <w:sz w:val="20"/>
                <w:szCs w:val="20"/>
              </w:rPr>
              <w:t>the immediately preceding</w:t>
            </w:r>
            <w:r w:rsidRPr="00C22335">
              <w:rPr>
                <w:rFonts w:ascii="Arial Narrow" w:hAnsi="Arial Narrow"/>
                <w:color w:val="auto"/>
                <w:sz w:val="20"/>
                <w:szCs w:val="20"/>
              </w:rPr>
              <w:t xml:space="preserve"> platinum-based </w:t>
            </w:r>
            <w:r w:rsidRPr="00C22335">
              <w:rPr>
                <w:rFonts w:ascii="Arial Narrow" w:hAnsi="Arial Narrow"/>
                <w:i/>
                <w:color w:val="auto"/>
                <w:sz w:val="20"/>
                <w:szCs w:val="20"/>
              </w:rPr>
              <w:t>chemotherapy</w:t>
            </w:r>
            <w:r w:rsidRPr="00C22335">
              <w:rPr>
                <w:rFonts w:ascii="Arial Narrow" w:hAnsi="Arial Narrow"/>
                <w:color w:val="auto"/>
                <w:sz w:val="20"/>
                <w:szCs w:val="20"/>
              </w:rPr>
              <w:t xml:space="preserve"> regimen,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AND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The treatment must be the sole PBS-subsidised therapy for this condition,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AND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The treatment must be maintenance therapy, </w:t>
            </w:r>
          </w:p>
          <w:p w:rsidR="007D6C1F" w:rsidRPr="00C22335" w:rsidRDefault="007D6C1F" w:rsidP="00C22335">
            <w:pPr>
              <w:pStyle w:val="Default"/>
              <w:jc w:val="both"/>
              <w:rPr>
                <w:rFonts w:ascii="Arial Narrow" w:hAnsi="Arial Narrow"/>
                <w:color w:val="auto"/>
                <w:sz w:val="20"/>
                <w:szCs w:val="20"/>
              </w:rPr>
            </w:pPr>
            <w:r w:rsidRPr="00C22335">
              <w:rPr>
                <w:rFonts w:ascii="Arial Narrow" w:hAnsi="Arial Narrow"/>
                <w:color w:val="auto"/>
                <w:sz w:val="20"/>
                <w:szCs w:val="20"/>
              </w:rPr>
              <w:t xml:space="preserve">AND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Patient must not have previously received PBS-subsidised treatment with this drug for this condition </w:t>
            </w:r>
          </w:p>
        </w:tc>
      </w:tr>
      <w:tr w:rsidR="007D6C1F" w:rsidRPr="00C22335" w:rsidTr="00C22335">
        <w:trPr>
          <w:cantSplit/>
          <w:trHeight w:val="489"/>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Population criteria:</w:t>
            </w: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pStyle w:val="Default"/>
              <w:jc w:val="both"/>
              <w:rPr>
                <w:rFonts w:ascii="Arial Narrow" w:hAnsi="Arial Narrow"/>
                <w:strike/>
                <w:color w:val="auto"/>
                <w:sz w:val="20"/>
                <w:szCs w:val="20"/>
              </w:rPr>
            </w:pPr>
            <w:r w:rsidRPr="00C22335">
              <w:rPr>
                <w:rFonts w:ascii="Arial Narrow" w:hAnsi="Arial Narrow"/>
                <w:strike/>
                <w:color w:val="auto"/>
                <w:sz w:val="20"/>
                <w:szCs w:val="20"/>
              </w:rPr>
              <w:t xml:space="preserve">Patient must have evidence of a germline </w:t>
            </w:r>
            <w:r w:rsidRPr="00C22335">
              <w:rPr>
                <w:rFonts w:ascii="Arial Narrow" w:hAnsi="Arial Narrow"/>
                <w:strike/>
                <w:color w:val="FF0000"/>
                <w:sz w:val="20"/>
                <w:szCs w:val="20"/>
              </w:rPr>
              <w:t>(or somatic)</w:t>
            </w:r>
            <w:r w:rsidRPr="00C22335">
              <w:rPr>
                <w:rFonts w:ascii="Arial Narrow" w:hAnsi="Arial Narrow"/>
                <w:strike/>
                <w:color w:val="auto"/>
                <w:sz w:val="20"/>
                <w:szCs w:val="20"/>
              </w:rPr>
              <w:t xml:space="preserve"> class 4 or 5 BRCA1 or BRCA 2 gene mutation </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lastRenderedPageBreak/>
              <w:t>Prescriber Instructions:</w:t>
            </w:r>
          </w:p>
          <w:p w:rsidR="007D6C1F" w:rsidRPr="00C22335" w:rsidRDefault="007D6C1F" w:rsidP="007B78C8">
            <w:pPr>
              <w:spacing w:before="0" w:after="0"/>
              <w:rPr>
                <w:rFonts w:ascii="Arial Narrow" w:hAnsi="Arial Narrow" w:cs="Arial"/>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C22335">
            <w:pPr>
              <w:pStyle w:val="Default"/>
              <w:jc w:val="both"/>
              <w:rPr>
                <w:rFonts w:ascii="Arial Narrow" w:hAnsi="Arial Narrow"/>
                <w:i/>
                <w:color w:val="auto"/>
                <w:sz w:val="20"/>
                <w:szCs w:val="20"/>
              </w:rPr>
            </w:pPr>
            <w:r w:rsidRPr="00C22335">
              <w:rPr>
                <w:rFonts w:ascii="Arial Narrow" w:hAnsi="Arial Narrow"/>
                <w:i/>
                <w:color w:val="auto"/>
                <w:sz w:val="20"/>
                <w:szCs w:val="20"/>
              </w:rPr>
              <w:t xml:space="preserve">Platinum sensitivity is defined as disease progression greater than 6 months after completion of the penultimate platinum regimen. </w:t>
            </w:r>
          </w:p>
          <w:p w:rsidR="007D6C1F" w:rsidRPr="00C22335" w:rsidRDefault="007D6C1F" w:rsidP="00C22335">
            <w:pPr>
              <w:pStyle w:val="Default"/>
              <w:jc w:val="both"/>
              <w:rPr>
                <w:rFonts w:ascii="Arial Narrow" w:hAnsi="Arial Narrow"/>
                <w:i/>
                <w:color w:val="auto"/>
                <w:sz w:val="20"/>
                <w:szCs w:val="20"/>
              </w:rPr>
            </w:pPr>
            <w:r w:rsidRPr="00C22335">
              <w:rPr>
                <w:rFonts w:ascii="Arial Narrow" w:hAnsi="Arial Narrow"/>
                <w:i/>
                <w:color w:val="auto"/>
                <w:sz w:val="20"/>
                <w:szCs w:val="20"/>
              </w:rPr>
              <w:t xml:space="preserve">A response (complete or partial) to the platinum-based chemotherapy regimen is to be assessed using either Gynaecologic Cancer </w:t>
            </w:r>
            <w:proofErr w:type="spellStart"/>
            <w:r w:rsidRPr="00C22335">
              <w:rPr>
                <w:rFonts w:ascii="Arial Narrow" w:hAnsi="Arial Narrow"/>
                <w:i/>
                <w:color w:val="auto"/>
                <w:sz w:val="20"/>
                <w:szCs w:val="20"/>
              </w:rPr>
              <w:t>InterGroup</w:t>
            </w:r>
            <w:proofErr w:type="spellEnd"/>
            <w:r w:rsidRPr="00C22335">
              <w:rPr>
                <w:rFonts w:ascii="Arial Narrow" w:hAnsi="Arial Narrow"/>
                <w:i/>
                <w:color w:val="auto"/>
                <w:sz w:val="20"/>
                <w:szCs w:val="20"/>
              </w:rPr>
              <w:t xml:space="preserve"> (GCIG) or Response Evaluation Criteria in Solid Tumours (RECIST) guidelines.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i/>
                <w:sz w:val="20"/>
                <w:szCs w:val="20"/>
              </w:rPr>
              <w:t>Evidence of a BRCA1 or BRCA2 gene mutation must be derived through germline testing.</w:t>
            </w:r>
            <w:r w:rsidRPr="00C22335">
              <w:rPr>
                <w:rFonts w:ascii="Arial Narrow" w:hAnsi="Arial Narrow" w:cs="Arial"/>
                <w:sz w:val="20"/>
                <w:szCs w:val="20"/>
              </w:rPr>
              <w:t xml:space="preserve"> </w:t>
            </w:r>
          </w:p>
        </w:tc>
      </w:tr>
      <w:tr w:rsidR="007D6C1F" w:rsidRPr="00C22335" w:rsidTr="00C22335">
        <w:trPr>
          <w:cantSplit/>
          <w:trHeight w:val="360"/>
        </w:trPr>
        <w:tc>
          <w:tcPr>
            <w:tcW w:w="2547"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Administrative Advice:</w:t>
            </w:r>
          </w:p>
          <w:p w:rsidR="007D6C1F" w:rsidRPr="00C22335" w:rsidRDefault="007D6C1F" w:rsidP="007B78C8">
            <w:pPr>
              <w:spacing w:before="0" w:after="0"/>
              <w:rPr>
                <w:rFonts w:ascii="Arial Narrow" w:hAnsi="Arial Narrow" w:cs="Arial"/>
                <w:i/>
                <w:sz w:val="20"/>
                <w:szCs w:val="20"/>
              </w:rPr>
            </w:pPr>
          </w:p>
        </w:tc>
        <w:tc>
          <w:tcPr>
            <w:tcW w:w="6469" w:type="dxa"/>
            <w:tcBorders>
              <w:top w:val="single" w:sz="4" w:space="0" w:color="auto"/>
              <w:left w:val="single" w:sz="4" w:space="0" w:color="auto"/>
              <w:bottom w:val="single" w:sz="4" w:space="0" w:color="auto"/>
              <w:right w:val="single" w:sz="4" w:space="0" w:color="auto"/>
            </w:tcBorders>
          </w:tcPr>
          <w:p w:rsidR="007D6C1F" w:rsidRPr="00C22335" w:rsidRDefault="007D6C1F" w:rsidP="00C22335">
            <w:pPr>
              <w:spacing w:before="0" w:after="0"/>
              <w:rPr>
                <w:rFonts w:ascii="Arial Narrow" w:hAnsi="Arial Narrow" w:cs="Arial"/>
                <w:i/>
                <w:sz w:val="20"/>
                <w:szCs w:val="20"/>
              </w:rPr>
            </w:pPr>
            <w:r w:rsidRPr="00C22335">
              <w:rPr>
                <w:rFonts w:ascii="Arial Narrow" w:hAnsi="Arial Narrow" w:cs="Arial"/>
                <w:i/>
                <w:sz w:val="20"/>
                <w:szCs w:val="20"/>
              </w:rPr>
              <w:t>Applications for authorisation under this criterion may be made by telephone by contacting the Department of Human Services on 1800 700 270 (hours of operation 8 a.m. to 5 p.m. EST Monday to Friday).</w:t>
            </w:r>
          </w:p>
          <w:p w:rsidR="007D6C1F" w:rsidRPr="00C22335" w:rsidRDefault="007D6C1F" w:rsidP="00C22335">
            <w:pPr>
              <w:pStyle w:val="Default"/>
              <w:jc w:val="both"/>
              <w:rPr>
                <w:rFonts w:ascii="Arial Narrow" w:hAnsi="Arial Narrow"/>
                <w:i/>
                <w:color w:val="auto"/>
                <w:sz w:val="20"/>
                <w:szCs w:val="20"/>
              </w:rPr>
            </w:pPr>
            <w:r w:rsidRPr="00C22335">
              <w:rPr>
                <w:rFonts w:ascii="Arial Narrow" w:hAnsi="Arial Narrow"/>
                <w:i/>
                <w:color w:val="auto"/>
                <w:sz w:val="20"/>
                <w:szCs w:val="20"/>
              </w:rPr>
              <w:t xml:space="preserve">Special Pricing Arrangements apply. </w:t>
            </w:r>
          </w:p>
        </w:tc>
      </w:tr>
    </w:tbl>
    <w:p w:rsidR="007D6C1F" w:rsidRPr="00C22335" w:rsidRDefault="007D6C1F" w:rsidP="004E14ED">
      <w:pPr>
        <w:rPr>
          <w:rFonts w:cstheme="minorHAnsi"/>
          <w:color w:val="0070C0"/>
          <w:u w:val="single"/>
        </w:rPr>
      </w:pPr>
    </w:p>
    <w:tbl>
      <w:tblPr>
        <w:tblW w:w="5006" w:type="pct"/>
        <w:tblInd w:w="-5" w:type="dxa"/>
        <w:tblLayout w:type="fixed"/>
        <w:tblLook w:val="0000" w:firstRow="0" w:lastRow="0" w:firstColumn="0" w:lastColumn="0" w:noHBand="0" w:noVBand="0"/>
      </w:tblPr>
      <w:tblGrid>
        <w:gridCol w:w="2552"/>
        <w:gridCol w:w="6475"/>
      </w:tblGrid>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Category / Program:</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GENERAL – General Schedule (Code GE)</w:t>
            </w:r>
          </w:p>
        </w:tc>
      </w:tr>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Prescriber type:</w:t>
            </w:r>
          </w:p>
          <w:p w:rsidR="007D6C1F" w:rsidRPr="00C22335" w:rsidRDefault="007D6C1F" w:rsidP="007B78C8">
            <w:pPr>
              <w:spacing w:before="0" w:after="0"/>
              <w:rPr>
                <w:rFonts w:ascii="Arial Narrow" w:hAnsi="Arial Narrow" w:cs="Arial"/>
                <w:b/>
                <w:sz w:val="20"/>
                <w:szCs w:val="20"/>
              </w:rPr>
            </w:pP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1"/>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Dental  </w:t>
            </w:r>
            <w:r w:rsidRPr="00C22335">
              <w:rPr>
                <w:rFonts w:ascii="Arial Narrow" w:hAnsi="Arial Narrow" w:cs="Arial"/>
                <w:sz w:val="20"/>
                <w:szCs w:val="20"/>
              </w:rPr>
              <w:fldChar w:fldCharType="begin">
                <w:ffData>
                  <w:name w:val=""/>
                  <w:enabled/>
                  <w:calcOnExit w:val="0"/>
                  <w:checkBox>
                    <w:sizeAuto/>
                    <w:default w:val="1"/>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Medical Practitioners  </w:t>
            </w:r>
            <w:r w:rsidRPr="00C22335">
              <w:rPr>
                <w:rFonts w:ascii="Arial Narrow" w:hAnsi="Arial Narrow" w:cs="Arial"/>
                <w:sz w:val="20"/>
                <w:szCs w:val="20"/>
              </w:rPr>
              <w:fldChar w:fldCharType="begin">
                <w:ffData>
                  <w:name w:val="Check3"/>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 xml:space="preserve">Nurse practitioners  </w:t>
            </w:r>
            <w:r w:rsidRPr="00C22335">
              <w:rPr>
                <w:rFonts w:ascii="Arial Narrow" w:hAnsi="Arial Narrow" w:cs="Arial"/>
                <w:sz w:val="20"/>
                <w:szCs w:val="20"/>
              </w:rPr>
              <w:fldChar w:fldCharType="begin">
                <w:ffData>
                  <w:name w:val=""/>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Optometrists</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5"/>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Midwives</w:t>
            </w:r>
          </w:p>
        </w:tc>
      </w:tr>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Severity:</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496889" w:rsidP="007B78C8">
            <w:pPr>
              <w:spacing w:before="0" w:after="0"/>
              <w:rPr>
                <w:rFonts w:ascii="Arial Narrow" w:hAnsi="Arial Narrow" w:cs="Arial"/>
                <w:sz w:val="20"/>
                <w:szCs w:val="20"/>
              </w:rPr>
            </w:pPr>
            <w:r w:rsidRPr="00C22335">
              <w:rPr>
                <w:rFonts w:ascii="Arial Narrow" w:hAnsi="Arial Narrow" w:cs="Arial"/>
                <w:sz w:val="20"/>
                <w:szCs w:val="20"/>
              </w:rPr>
              <w:t>Advanced (FIGO Stage III-IV)</w:t>
            </w:r>
          </w:p>
        </w:tc>
      </w:tr>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Condition:</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High grade epithelial ovarian, fallopian tube or primary peritoneal cancer</w:t>
            </w:r>
          </w:p>
        </w:tc>
      </w:tr>
      <w:tr w:rsidR="007D6C1F" w:rsidRPr="00C22335" w:rsidTr="00C22335">
        <w:trPr>
          <w:cantSplit/>
          <w:trHeight w:val="369"/>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PBS Indication:</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sz w:val="20"/>
                <w:szCs w:val="20"/>
              </w:rPr>
            </w:pPr>
            <w:r w:rsidRPr="00C22335">
              <w:rPr>
                <w:rFonts w:ascii="Arial Narrow" w:hAnsi="Arial Narrow" w:cs="Arial"/>
                <w:sz w:val="20"/>
                <w:szCs w:val="20"/>
              </w:rPr>
              <w:t>Advanced (FIGO Stage III-IV) high grade epithelial ovarian</w:t>
            </w:r>
          </w:p>
        </w:tc>
      </w:tr>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Treatment phase:</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sz w:val="20"/>
                <w:szCs w:val="20"/>
              </w:rPr>
            </w:pPr>
            <w:r w:rsidRPr="00C22335">
              <w:rPr>
                <w:rFonts w:ascii="Arial Narrow" w:hAnsi="Arial Narrow" w:cs="Arial"/>
                <w:sz w:val="20"/>
                <w:szCs w:val="20"/>
              </w:rPr>
              <w:t>Continuing treatment</w:t>
            </w:r>
          </w:p>
        </w:tc>
      </w:tr>
      <w:tr w:rsidR="007D6C1F" w:rsidRPr="00C22335"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Restriction Level / Method:</w:t>
            </w:r>
          </w:p>
          <w:p w:rsidR="007D6C1F" w:rsidRPr="00C22335" w:rsidRDefault="007D6C1F" w:rsidP="004E14ED">
            <w:pPr>
              <w:spacing w:before="0" w:after="0"/>
              <w:rPr>
                <w:rFonts w:ascii="Arial Narrow" w:hAnsi="Arial Narrow" w:cs="Arial"/>
                <w:i/>
                <w:sz w:val="20"/>
                <w:szCs w:val="20"/>
              </w:rPr>
            </w:pP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1"/>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Restricted benefit</w:t>
            </w:r>
          </w:p>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Authority Required – In Writing</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
                  <w:enabled/>
                  <w:calcOnExit w:val="0"/>
                  <w:checkBox>
                    <w:sizeAuto/>
                    <w:default w:val="0"/>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Authority Required – Telephone/Electronic/Emergency</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fldChar w:fldCharType="begin">
                <w:ffData>
                  <w:name w:val="Check5"/>
                  <w:enabled/>
                  <w:calcOnExit w:val="0"/>
                  <w:checkBox>
                    <w:sizeAuto/>
                    <w:default w:val="1"/>
                  </w:checkBox>
                </w:ffData>
              </w:fldChar>
            </w:r>
            <w:r w:rsidRPr="00C22335">
              <w:rPr>
                <w:rFonts w:ascii="Arial Narrow" w:hAnsi="Arial Narrow" w:cs="Arial"/>
                <w:sz w:val="20"/>
                <w:szCs w:val="20"/>
              </w:rPr>
              <w:instrText xml:space="preserve"> FORMCHECKBOX </w:instrText>
            </w:r>
            <w:r w:rsidR="00B0364C">
              <w:rPr>
                <w:rFonts w:ascii="Arial Narrow" w:hAnsi="Arial Narrow" w:cs="Arial"/>
                <w:sz w:val="20"/>
                <w:szCs w:val="20"/>
              </w:rPr>
            </w:r>
            <w:r w:rsidR="00B0364C">
              <w:rPr>
                <w:rFonts w:ascii="Arial Narrow" w:hAnsi="Arial Narrow" w:cs="Arial"/>
                <w:sz w:val="20"/>
                <w:szCs w:val="20"/>
              </w:rPr>
              <w:fldChar w:fldCharType="separate"/>
            </w:r>
            <w:r w:rsidRPr="00C22335">
              <w:rPr>
                <w:rFonts w:ascii="Arial Narrow" w:hAnsi="Arial Narrow" w:cs="Arial"/>
                <w:sz w:val="20"/>
                <w:szCs w:val="20"/>
              </w:rPr>
              <w:fldChar w:fldCharType="end"/>
            </w:r>
            <w:r w:rsidRPr="00C22335">
              <w:rPr>
                <w:rFonts w:ascii="Arial Narrow" w:hAnsi="Arial Narrow" w:cs="Arial"/>
                <w:sz w:val="20"/>
                <w:szCs w:val="20"/>
              </w:rPr>
              <w:t>Streamlined</w:t>
            </w:r>
          </w:p>
        </w:tc>
      </w:tr>
      <w:tr w:rsidR="007D6C1F" w:rsidRPr="00C22335" w:rsidTr="00C22335">
        <w:trPr>
          <w:cantSplit/>
          <w:trHeight w:val="657"/>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Clinical criteria:</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spacing w:before="0" w:after="0"/>
              <w:rPr>
                <w:rFonts w:ascii="Arial Narrow" w:hAnsi="Arial Narrow" w:cs="Arial"/>
                <w:sz w:val="20"/>
                <w:szCs w:val="20"/>
              </w:rPr>
            </w:pPr>
            <w:r w:rsidRPr="00C22335">
              <w:rPr>
                <w:rFonts w:ascii="Arial Narrow" w:hAnsi="Arial Narrow" w:cs="Arial"/>
                <w:sz w:val="20"/>
                <w:szCs w:val="20"/>
              </w:rPr>
              <w:t xml:space="preserve">Patient must have previously received PBS-subsidised treatment with this drug for this condition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AND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The treatment must be the sole PBS-subsidised therapy for this condition,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AND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The treatment must be maintenance therapy,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AND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Patient must not have </w:t>
            </w:r>
            <w:r w:rsidRPr="00C22335">
              <w:rPr>
                <w:rFonts w:ascii="Arial Narrow" w:hAnsi="Arial Narrow" w:cs="Arial"/>
                <w:strike/>
                <w:sz w:val="20"/>
                <w:szCs w:val="20"/>
              </w:rPr>
              <w:t xml:space="preserve">progressive disease </w:t>
            </w:r>
            <w:r w:rsidRPr="00C22335">
              <w:rPr>
                <w:rFonts w:ascii="Arial Narrow" w:hAnsi="Arial Narrow" w:cs="Arial"/>
                <w:i/>
                <w:sz w:val="20"/>
                <w:szCs w:val="20"/>
              </w:rPr>
              <w:t xml:space="preserve">developed disease progression while receiving treatment with this drug for this condition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 xml:space="preserve">AND </w:t>
            </w:r>
          </w:p>
          <w:p w:rsidR="007D6C1F" w:rsidRPr="00C22335" w:rsidRDefault="007D6C1F" w:rsidP="00C22335">
            <w:pPr>
              <w:spacing w:before="0" w:after="0"/>
              <w:rPr>
                <w:rFonts w:ascii="Arial Narrow" w:hAnsi="Arial Narrow" w:cs="Arial"/>
                <w:sz w:val="20"/>
                <w:szCs w:val="20"/>
              </w:rPr>
            </w:pPr>
            <w:r w:rsidRPr="00C22335">
              <w:rPr>
                <w:rFonts w:ascii="Arial Narrow" w:hAnsi="Arial Narrow" w:cs="Arial"/>
                <w:sz w:val="20"/>
                <w:szCs w:val="20"/>
              </w:rPr>
              <w:t>Treatment must not exceed a total of 24 months for patients in complete response</w:t>
            </w:r>
            <w:r w:rsidRPr="00C22335">
              <w:rPr>
                <w:sz w:val="20"/>
                <w:szCs w:val="20"/>
              </w:rPr>
              <w:t xml:space="preserve"> </w:t>
            </w:r>
          </w:p>
        </w:tc>
      </w:tr>
      <w:tr w:rsidR="007D6C1F" w:rsidRPr="00C22335" w:rsidTr="00C22335">
        <w:trPr>
          <w:cantSplit/>
          <w:trHeight w:val="657"/>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i/>
                <w:sz w:val="20"/>
                <w:szCs w:val="20"/>
              </w:rPr>
            </w:pPr>
            <w:r w:rsidRPr="00C22335">
              <w:rPr>
                <w:rFonts w:ascii="Arial Narrow" w:hAnsi="Arial Narrow" w:cs="Arial"/>
                <w:b/>
                <w:i/>
                <w:sz w:val="20"/>
                <w:szCs w:val="20"/>
              </w:rPr>
              <w:t>Prescriber instructions:</w:t>
            </w:r>
          </w:p>
        </w:tc>
        <w:tc>
          <w:tcPr>
            <w:tcW w:w="6475" w:type="dxa"/>
            <w:tcBorders>
              <w:top w:val="single" w:sz="4" w:space="0" w:color="auto"/>
              <w:left w:val="single" w:sz="4" w:space="0" w:color="auto"/>
              <w:bottom w:val="single" w:sz="4" w:space="0" w:color="auto"/>
              <w:right w:val="single" w:sz="4" w:space="0" w:color="auto"/>
            </w:tcBorders>
          </w:tcPr>
          <w:p w:rsidR="007D6C1F" w:rsidRPr="00C22335" w:rsidRDefault="007D6C1F" w:rsidP="007B78C8">
            <w:pPr>
              <w:pStyle w:val="Default"/>
              <w:jc w:val="both"/>
              <w:rPr>
                <w:rFonts w:ascii="Arial Narrow" w:hAnsi="Arial Narrow"/>
                <w:i/>
                <w:color w:val="auto"/>
                <w:sz w:val="20"/>
                <w:szCs w:val="20"/>
              </w:rPr>
            </w:pPr>
            <w:r w:rsidRPr="00C22335">
              <w:rPr>
                <w:rFonts w:ascii="Arial Narrow" w:hAnsi="Arial Narrow"/>
                <w:i/>
                <w:color w:val="auto"/>
                <w:sz w:val="20"/>
                <w:szCs w:val="20"/>
              </w:rPr>
              <w:t xml:space="preserve">A response (complete or partial) to the platinum-based chemotherapy regimen is to be assessed using either Gynaecologic Cancer </w:t>
            </w:r>
            <w:proofErr w:type="spellStart"/>
            <w:r w:rsidRPr="00C22335">
              <w:rPr>
                <w:rFonts w:ascii="Arial Narrow" w:hAnsi="Arial Narrow"/>
                <w:i/>
                <w:color w:val="auto"/>
                <w:sz w:val="20"/>
                <w:szCs w:val="20"/>
              </w:rPr>
              <w:t>InterGroup</w:t>
            </w:r>
            <w:proofErr w:type="spellEnd"/>
            <w:r w:rsidRPr="00C22335">
              <w:rPr>
                <w:rFonts w:ascii="Arial Narrow" w:hAnsi="Arial Narrow"/>
                <w:i/>
                <w:color w:val="auto"/>
                <w:sz w:val="20"/>
                <w:szCs w:val="20"/>
              </w:rPr>
              <w:t xml:space="preserve"> (GCIG) or Response Evaluation Criteria in Solid Tumours (RECIST) guidelines. </w:t>
            </w:r>
          </w:p>
        </w:tc>
      </w:tr>
      <w:tr w:rsidR="007D6C1F" w:rsidRPr="00C254D9" w:rsidTr="00C22335">
        <w:trPr>
          <w:cantSplit/>
          <w:trHeight w:val="360"/>
        </w:trPr>
        <w:tc>
          <w:tcPr>
            <w:tcW w:w="2552" w:type="dxa"/>
            <w:tcBorders>
              <w:top w:val="single" w:sz="4" w:space="0" w:color="auto"/>
              <w:left w:val="single" w:sz="4" w:space="0" w:color="auto"/>
              <w:bottom w:val="single" w:sz="4" w:space="0" w:color="auto"/>
              <w:right w:val="single" w:sz="4" w:space="0" w:color="auto"/>
            </w:tcBorders>
          </w:tcPr>
          <w:p w:rsidR="007D6C1F" w:rsidRPr="00C22335" w:rsidRDefault="007D6C1F" w:rsidP="004E14ED">
            <w:pPr>
              <w:spacing w:before="0" w:after="0"/>
              <w:rPr>
                <w:rFonts w:ascii="Arial Narrow" w:hAnsi="Arial Narrow" w:cs="Arial"/>
                <w:b/>
                <w:sz w:val="20"/>
                <w:szCs w:val="20"/>
              </w:rPr>
            </w:pPr>
            <w:r w:rsidRPr="00C22335">
              <w:rPr>
                <w:rFonts w:ascii="Arial Narrow" w:hAnsi="Arial Narrow" w:cs="Arial"/>
                <w:b/>
                <w:sz w:val="20"/>
                <w:szCs w:val="20"/>
              </w:rPr>
              <w:t>Administrative Advice:</w:t>
            </w:r>
          </w:p>
        </w:tc>
        <w:tc>
          <w:tcPr>
            <w:tcW w:w="6475" w:type="dxa"/>
            <w:tcBorders>
              <w:top w:val="single" w:sz="4" w:space="0" w:color="auto"/>
              <w:left w:val="single" w:sz="4" w:space="0" w:color="auto"/>
              <w:bottom w:val="single" w:sz="4" w:space="0" w:color="auto"/>
              <w:right w:val="single" w:sz="4" w:space="0" w:color="auto"/>
            </w:tcBorders>
          </w:tcPr>
          <w:p w:rsidR="007D6C1F" w:rsidRPr="001C279C" w:rsidRDefault="007D6C1F" w:rsidP="007B78C8">
            <w:pPr>
              <w:pStyle w:val="Default"/>
              <w:jc w:val="both"/>
              <w:rPr>
                <w:rFonts w:ascii="Arial Narrow" w:hAnsi="Arial Narrow"/>
                <w:i/>
                <w:color w:val="auto"/>
                <w:sz w:val="20"/>
                <w:szCs w:val="20"/>
              </w:rPr>
            </w:pPr>
            <w:r w:rsidRPr="00C22335">
              <w:rPr>
                <w:rFonts w:ascii="Arial Narrow" w:hAnsi="Arial Narrow"/>
                <w:i/>
                <w:color w:val="auto"/>
                <w:sz w:val="20"/>
                <w:szCs w:val="20"/>
              </w:rPr>
              <w:t>Special Pricing Arrangements apply.</w:t>
            </w:r>
            <w:r>
              <w:rPr>
                <w:rFonts w:ascii="Arial Narrow" w:hAnsi="Arial Narrow"/>
                <w:i/>
                <w:color w:val="auto"/>
                <w:sz w:val="20"/>
                <w:szCs w:val="20"/>
              </w:rPr>
              <w:t xml:space="preserve"> </w:t>
            </w:r>
          </w:p>
        </w:tc>
      </w:tr>
    </w:tbl>
    <w:p w:rsidR="00B12A8C" w:rsidRPr="00DC08B0" w:rsidRDefault="00B12A8C" w:rsidP="00563974">
      <w:pPr>
        <w:pStyle w:val="ListParagraph"/>
        <w:numPr>
          <w:ilvl w:val="4"/>
          <w:numId w:val="1"/>
        </w:numPr>
        <w:rPr>
          <w:color w:val="auto"/>
        </w:rPr>
      </w:pPr>
      <w:r w:rsidRPr="008113D5">
        <w:rPr>
          <w:color w:val="auto"/>
        </w:rPr>
        <w:t xml:space="preserve">The sponsor proposed a special pricing arrangement to permit a published price that is </w:t>
      </w:r>
      <w:r w:rsidR="005C3678">
        <w:rPr>
          <w:noProof/>
          <w:color w:val="000000"/>
          <w:highlight w:val="black"/>
        </w:rPr>
        <w:t>'''''</w:t>
      </w:r>
      <w:r w:rsidRPr="008113D5">
        <w:rPr>
          <w:color w:val="auto"/>
        </w:rPr>
        <w:t>% higher than the effective price</w:t>
      </w:r>
      <w:r w:rsidRPr="00DC08B0">
        <w:rPr>
          <w:color w:val="auto"/>
        </w:rPr>
        <w:t>.</w:t>
      </w:r>
      <w:r w:rsidR="005A182E">
        <w:rPr>
          <w:color w:val="auto"/>
        </w:rPr>
        <w:t xml:space="preserve"> </w:t>
      </w:r>
      <w:r w:rsidR="005A182E" w:rsidRPr="00CC4DC5">
        <w:rPr>
          <w:color w:val="auto"/>
        </w:rPr>
        <w:t xml:space="preserve">The requested effective price </w:t>
      </w:r>
      <w:r w:rsidR="009A2C6F">
        <w:rPr>
          <w:color w:val="auto"/>
        </w:rPr>
        <w:t>wa</w:t>
      </w:r>
      <w:r w:rsidR="005A182E" w:rsidRPr="00CC4DC5">
        <w:rPr>
          <w:color w:val="auto"/>
        </w:rPr>
        <w:t>s the same as the current effective price in the second-line setting.</w:t>
      </w:r>
    </w:p>
    <w:p w:rsidR="003A09FF" w:rsidRPr="003A09FF" w:rsidRDefault="003A09FF" w:rsidP="003A09FF">
      <w:pPr>
        <w:pStyle w:val="ListParagraph"/>
        <w:numPr>
          <w:ilvl w:val="4"/>
          <w:numId w:val="1"/>
        </w:numPr>
        <w:rPr>
          <w:iCs/>
          <w:color w:val="auto"/>
        </w:rPr>
      </w:pPr>
      <w:r w:rsidRPr="003A09FF">
        <w:rPr>
          <w:iCs/>
          <w:color w:val="auto"/>
        </w:rPr>
        <w:t xml:space="preserve">The initial treatment restriction proposed 2 repeats, which would be sufficient for 3 months treatment. The body of the submission requested 6 repeats for the continuing restriction, however the executive summary proposed 5 repeats. Five repeats is consistent with the existing listing for </w:t>
      </w:r>
      <w:proofErr w:type="spellStart"/>
      <w:r w:rsidRPr="003A09FF">
        <w:rPr>
          <w:iCs/>
          <w:color w:val="auto"/>
        </w:rPr>
        <w:t>olaparib</w:t>
      </w:r>
      <w:proofErr w:type="spellEnd"/>
      <w:r w:rsidRPr="003A09FF">
        <w:rPr>
          <w:iCs/>
          <w:color w:val="auto"/>
        </w:rPr>
        <w:t xml:space="preserve">, and is sufficient for 6 months </w:t>
      </w:r>
      <w:r w:rsidRPr="003A09FF">
        <w:rPr>
          <w:iCs/>
          <w:color w:val="auto"/>
        </w:rPr>
        <w:lastRenderedPageBreak/>
        <w:t>treatment</w:t>
      </w:r>
      <w:bookmarkStart w:id="4" w:name="_GoBack"/>
      <w:r w:rsidRPr="003A09FF">
        <w:rPr>
          <w:iCs/>
          <w:color w:val="auto"/>
        </w:rPr>
        <w:tab/>
      </w:r>
      <w:r w:rsidRPr="003A09FF">
        <w:rPr>
          <w:iCs/>
          <w:color w:val="auto"/>
        </w:rPr>
        <w:tab/>
      </w:r>
      <w:r w:rsidRPr="003A09FF">
        <w:rPr>
          <w:iCs/>
          <w:color w:val="auto"/>
        </w:rPr>
        <w:tab/>
      </w:r>
      <w:r w:rsidRPr="003A09FF">
        <w:rPr>
          <w:iCs/>
          <w:color w:val="auto"/>
        </w:rPr>
        <w:tab/>
      </w:r>
      <w:bookmarkEnd w:id="4"/>
      <w:r w:rsidRPr="003A09FF">
        <w:rPr>
          <w:iCs/>
          <w:color w:val="auto"/>
        </w:rPr>
        <w:t xml:space="preserve">. Patients who are in complete response may receive up to 24 months (108 weeks) of treatment, which would require 1 initial script and 4 continuing scripts. </w:t>
      </w:r>
    </w:p>
    <w:p w:rsidR="00B12A8C" w:rsidRDefault="00B12A8C" w:rsidP="00563974">
      <w:pPr>
        <w:pStyle w:val="ListParagraph"/>
        <w:numPr>
          <w:ilvl w:val="4"/>
          <w:numId w:val="1"/>
        </w:numPr>
        <w:rPr>
          <w:iCs/>
          <w:color w:val="auto"/>
        </w:rPr>
      </w:pPr>
      <w:r w:rsidRPr="008113D5">
        <w:rPr>
          <w:iCs/>
          <w:color w:val="auto"/>
        </w:rPr>
        <w:t>The restriction does not exclude patients who have used bevacizumab as part of their platinum-based chemotherapy. Prior bevacizumab was not permitted in the key trial</w:t>
      </w:r>
      <w:r w:rsidRPr="00704999">
        <w:rPr>
          <w:iCs/>
          <w:color w:val="auto"/>
        </w:rPr>
        <w:t>.</w:t>
      </w:r>
      <w:r w:rsidR="00DF21FF">
        <w:rPr>
          <w:iCs/>
          <w:color w:val="auto"/>
        </w:rPr>
        <w:t xml:space="preserve"> </w:t>
      </w:r>
      <w:r w:rsidR="00024500">
        <w:rPr>
          <w:iCs/>
          <w:color w:val="auto"/>
        </w:rPr>
        <w:t xml:space="preserve">Under the current PBS listing patients may be treated with bevacizumab for up to 18 cycles, including </w:t>
      </w:r>
      <w:r w:rsidR="00C3460A">
        <w:rPr>
          <w:iCs/>
          <w:color w:val="auto"/>
        </w:rPr>
        <w:t xml:space="preserve">initial </w:t>
      </w:r>
      <w:r w:rsidR="00024500">
        <w:rPr>
          <w:iCs/>
          <w:color w:val="auto"/>
        </w:rPr>
        <w:t xml:space="preserve">concurrent treatment with chemotherapy </w:t>
      </w:r>
      <w:r w:rsidR="00C3460A">
        <w:rPr>
          <w:iCs/>
          <w:color w:val="auto"/>
        </w:rPr>
        <w:t>(usually six cycles)</w:t>
      </w:r>
      <w:r w:rsidR="00024500">
        <w:rPr>
          <w:iCs/>
          <w:color w:val="auto"/>
        </w:rPr>
        <w:t xml:space="preserve">. </w:t>
      </w:r>
      <w:r w:rsidR="00DF21FF">
        <w:rPr>
          <w:iCs/>
          <w:color w:val="auto"/>
        </w:rPr>
        <w:t xml:space="preserve">The PBAC considered that concurrent treatment with </w:t>
      </w:r>
      <w:proofErr w:type="spellStart"/>
      <w:r w:rsidR="00DF21FF">
        <w:rPr>
          <w:iCs/>
          <w:color w:val="auto"/>
        </w:rPr>
        <w:t>olaparib</w:t>
      </w:r>
      <w:proofErr w:type="spellEnd"/>
      <w:r w:rsidR="00DF21FF">
        <w:rPr>
          <w:iCs/>
          <w:color w:val="auto"/>
        </w:rPr>
        <w:t xml:space="preserve"> and bevacizumab would not be appropriate</w:t>
      </w:r>
      <w:r w:rsidR="007837FC">
        <w:rPr>
          <w:iCs/>
          <w:color w:val="auto"/>
        </w:rPr>
        <w:t xml:space="preserve"> without supporting evidence,</w:t>
      </w:r>
      <w:r w:rsidR="00DF21FF">
        <w:rPr>
          <w:iCs/>
          <w:color w:val="auto"/>
        </w:rPr>
        <w:t xml:space="preserve"> and the additional restriction “Must not be used concurrently with bevacizumab” </w:t>
      </w:r>
      <w:r w:rsidR="00387684">
        <w:rPr>
          <w:iCs/>
          <w:color w:val="auto"/>
        </w:rPr>
        <w:t>would</w:t>
      </w:r>
      <w:r w:rsidR="00DF21FF">
        <w:rPr>
          <w:iCs/>
          <w:color w:val="auto"/>
        </w:rPr>
        <w:t xml:space="preserve"> be appropriate. The PBAC considered that the restricti</w:t>
      </w:r>
      <w:r w:rsidR="00E15D5E">
        <w:rPr>
          <w:iCs/>
          <w:color w:val="auto"/>
        </w:rPr>
        <w:t>on</w:t>
      </w:r>
      <w:r w:rsidR="00DF21FF">
        <w:rPr>
          <w:iCs/>
          <w:color w:val="auto"/>
        </w:rPr>
        <w:t xml:space="preserve"> should not explicitly prohibit </w:t>
      </w:r>
      <w:r w:rsidR="00E15D5E">
        <w:rPr>
          <w:iCs/>
          <w:color w:val="auto"/>
        </w:rPr>
        <w:t>patients who have</w:t>
      </w:r>
      <w:r w:rsidR="00DF21FF">
        <w:rPr>
          <w:iCs/>
          <w:color w:val="auto"/>
        </w:rPr>
        <w:t xml:space="preserve"> received prior concurrent use of chemotherapy and bevacizumab</w:t>
      </w:r>
      <w:r w:rsidR="007D771B">
        <w:rPr>
          <w:iCs/>
          <w:color w:val="auto"/>
        </w:rPr>
        <w:t>,</w:t>
      </w:r>
      <w:r w:rsidR="00E15D5E">
        <w:rPr>
          <w:iCs/>
          <w:color w:val="auto"/>
        </w:rPr>
        <w:t xml:space="preserve"> as patients eligible for bevacizumab who respond to platinum-based therapy </w:t>
      </w:r>
      <w:r w:rsidR="00D50951">
        <w:rPr>
          <w:iCs/>
          <w:color w:val="auto"/>
        </w:rPr>
        <w:t>may still</w:t>
      </w:r>
      <w:r w:rsidR="00E15D5E">
        <w:rPr>
          <w:iCs/>
          <w:color w:val="auto"/>
        </w:rPr>
        <w:t xml:space="preserve"> benefit from </w:t>
      </w:r>
      <w:proofErr w:type="spellStart"/>
      <w:r w:rsidR="00E15D5E">
        <w:rPr>
          <w:iCs/>
          <w:color w:val="auto"/>
        </w:rPr>
        <w:t>olaparib</w:t>
      </w:r>
      <w:proofErr w:type="spellEnd"/>
      <w:r w:rsidR="00E15D5E">
        <w:rPr>
          <w:iCs/>
          <w:color w:val="auto"/>
        </w:rPr>
        <w:t xml:space="preserve"> maintenance</w:t>
      </w:r>
      <w:r w:rsidR="00D50951">
        <w:rPr>
          <w:iCs/>
          <w:color w:val="auto"/>
        </w:rPr>
        <w:t xml:space="preserve"> treatment</w:t>
      </w:r>
      <w:r w:rsidR="00DF21FF">
        <w:rPr>
          <w:iCs/>
          <w:color w:val="auto"/>
        </w:rPr>
        <w:t>.</w:t>
      </w:r>
    </w:p>
    <w:p w:rsidR="003A09FF" w:rsidRPr="003A09FF" w:rsidRDefault="003A09FF" w:rsidP="003A09FF">
      <w:pPr>
        <w:pStyle w:val="ListParagraph"/>
        <w:numPr>
          <w:ilvl w:val="4"/>
          <w:numId w:val="1"/>
        </w:numPr>
        <w:rPr>
          <w:iCs/>
          <w:color w:val="auto"/>
        </w:rPr>
      </w:pPr>
      <w:r w:rsidRPr="003A09FF">
        <w:rPr>
          <w:iCs/>
          <w:color w:val="auto"/>
        </w:rPr>
        <w:t xml:space="preserve">The FIGO stage is not specified in the second-line </w:t>
      </w:r>
      <w:proofErr w:type="spellStart"/>
      <w:r w:rsidRPr="003A09FF">
        <w:rPr>
          <w:iCs/>
          <w:color w:val="auto"/>
        </w:rPr>
        <w:t>olaparib</w:t>
      </w:r>
      <w:proofErr w:type="spellEnd"/>
      <w:r w:rsidRPr="003A09FF">
        <w:rPr>
          <w:iCs/>
          <w:color w:val="auto"/>
        </w:rPr>
        <w:t xml:space="preserve"> listings, for which the indications are “High grade serous ovarian cancer”, “High grade serous fallopian tube cancer” and “High grade serous primary peritoneal cancer”. The listings for second-line </w:t>
      </w:r>
      <w:proofErr w:type="spellStart"/>
      <w:r w:rsidRPr="003A09FF">
        <w:rPr>
          <w:iCs/>
          <w:color w:val="auto"/>
        </w:rPr>
        <w:t>olaparib</w:t>
      </w:r>
      <w:proofErr w:type="spellEnd"/>
      <w:r w:rsidRPr="003A09FF">
        <w:rPr>
          <w:iCs/>
          <w:color w:val="auto"/>
        </w:rPr>
        <w:t xml:space="preserve"> were split into these three separate indications; the same approach may be needed for the proposed listing. </w:t>
      </w:r>
      <w:r>
        <w:rPr>
          <w:iCs/>
          <w:color w:val="auto"/>
        </w:rPr>
        <w:t xml:space="preserve">The PBAC </w:t>
      </w:r>
      <w:r w:rsidR="009A2C6F">
        <w:rPr>
          <w:iCs/>
          <w:color w:val="auto"/>
        </w:rPr>
        <w:t>considered</w:t>
      </w:r>
      <w:r>
        <w:rPr>
          <w:iCs/>
          <w:color w:val="auto"/>
        </w:rPr>
        <w:t xml:space="preserve"> these would be the appropriate indications for the proposed listing.</w:t>
      </w:r>
      <w:r w:rsidRPr="003A09FF">
        <w:rPr>
          <w:iCs/>
          <w:color w:val="auto"/>
        </w:rPr>
        <w:t xml:space="preserve"> </w:t>
      </w:r>
    </w:p>
    <w:p w:rsidR="003A09FF" w:rsidRPr="003A09FF" w:rsidRDefault="003A09FF" w:rsidP="003A09FF">
      <w:pPr>
        <w:pStyle w:val="ListParagraph"/>
        <w:numPr>
          <w:ilvl w:val="4"/>
          <w:numId w:val="1"/>
        </w:numPr>
        <w:rPr>
          <w:iCs/>
          <w:color w:val="auto"/>
        </w:rPr>
      </w:pPr>
      <w:r w:rsidRPr="003A09FF">
        <w:rPr>
          <w:iCs/>
          <w:color w:val="auto"/>
        </w:rPr>
        <w:t xml:space="preserve">The existing </w:t>
      </w:r>
      <w:proofErr w:type="spellStart"/>
      <w:r w:rsidRPr="003A09FF">
        <w:rPr>
          <w:iCs/>
          <w:color w:val="auto"/>
        </w:rPr>
        <w:t>olaparib</w:t>
      </w:r>
      <w:proofErr w:type="spellEnd"/>
      <w:r w:rsidRPr="003A09FF">
        <w:rPr>
          <w:iCs/>
          <w:color w:val="auto"/>
        </w:rPr>
        <w:t xml:space="preserve"> listings have an Authority required (Telephone) restriction level for the initial and grandfathering listings and an Authority required (STREAMLINED) restriction level for the continuing listing. The submission proposed an Authority required (Telephone) restriction level for the initial and grandfathering listings and Authority required (Telephone) or (STREAMLINED) restriction level for the continuing restriction. </w:t>
      </w:r>
    </w:p>
    <w:p w:rsidR="003A09FF" w:rsidRPr="003A09FF" w:rsidRDefault="003A09FF" w:rsidP="003A09FF">
      <w:pPr>
        <w:pStyle w:val="ListParagraph"/>
        <w:numPr>
          <w:ilvl w:val="4"/>
          <w:numId w:val="1"/>
        </w:numPr>
        <w:rPr>
          <w:iCs/>
          <w:color w:val="auto"/>
        </w:rPr>
      </w:pPr>
      <w:r w:rsidRPr="003A09FF">
        <w:rPr>
          <w:iCs/>
          <w:color w:val="auto"/>
        </w:rPr>
        <w:t xml:space="preserve">The proposed criteria allow patients who are not in complete response to continue </w:t>
      </w:r>
      <w:proofErr w:type="spellStart"/>
      <w:r w:rsidRPr="003A09FF">
        <w:rPr>
          <w:iCs/>
          <w:color w:val="auto"/>
        </w:rPr>
        <w:t>olaparib</w:t>
      </w:r>
      <w:proofErr w:type="spellEnd"/>
      <w:r w:rsidRPr="003A09FF">
        <w:rPr>
          <w:iCs/>
          <w:color w:val="auto"/>
        </w:rPr>
        <w:t xml:space="preserve"> treatment, although patients must not have progressive disease. Patients in complete response must not exceed a total of 24 months of treatment. This was consistent with the SOLO1 trial. </w:t>
      </w:r>
      <w:r w:rsidR="00DF21FF">
        <w:rPr>
          <w:iCs/>
          <w:color w:val="auto"/>
        </w:rPr>
        <w:t>The PBAC considered that this approach was appropriate for the first-line maintenance setting.</w:t>
      </w:r>
    </w:p>
    <w:p w:rsidR="003A09FF" w:rsidRPr="003A09FF" w:rsidRDefault="003A09FF" w:rsidP="003A09FF">
      <w:pPr>
        <w:pStyle w:val="ListParagraph"/>
        <w:numPr>
          <w:ilvl w:val="4"/>
          <w:numId w:val="1"/>
        </w:numPr>
        <w:rPr>
          <w:iCs/>
          <w:color w:val="auto"/>
        </w:rPr>
      </w:pPr>
      <w:r w:rsidRPr="003A09FF">
        <w:rPr>
          <w:iCs/>
          <w:color w:val="auto"/>
        </w:rPr>
        <w:t xml:space="preserve">The submission stated that patients will only receive one course of treatment with </w:t>
      </w:r>
      <w:proofErr w:type="spellStart"/>
      <w:r w:rsidRPr="003A09FF">
        <w:rPr>
          <w:iCs/>
          <w:color w:val="auto"/>
        </w:rPr>
        <w:t>olaparib</w:t>
      </w:r>
      <w:proofErr w:type="spellEnd"/>
      <w:r w:rsidRPr="003A09FF">
        <w:rPr>
          <w:iCs/>
          <w:color w:val="auto"/>
        </w:rPr>
        <w:t xml:space="preserve"> as there is currently no evidence to support re-treatment with </w:t>
      </w:r>
      <w:proofErr w:type="spellStart"/>
      <w:r w:rsidRPr="003A09FF">
        <w:rPr>
          <w:iCs/>
          <w:color w:val="auto"/>
        </w:rPr>
        <w:t>olaparib</w:t>
      </w:r>
      <w:proofErr w:type="spellEnd"/>
      <w:r w:rsidRPr="003A09FF">
        <w:rPr>
          <w:iCs/>
          <w:color w:val="auto"/>
        </w:rPr>
        <w:t xml:space="preserve"> or another PARP inhibitor. There are currently no other PARP inhibitors listed for ovarian cancer. The PBAC </w:t>
      </w:r>
      <w:r w:rsidR="00DF21FF">
        <w:rPr>
          <w:iCs/>
          <w:color w:val="auto"/>
        </w:rPr>
        <w:t>considered that</w:t>
      </w:r>
      <w:r w:rsidRPr="003A09FF">
        <w:rPr>
          <w:iCs/>
          <w:color w:val="auto"/>
        </w:rPr>
        <w:t xml:space="preserve"> a line-agnostic listing </w:t>
      </w:r>
      <w:r w:rsidR="003934CB">
        <w:rPr>
          <w:iCs/>
          <w:color w:val="auto"/>
        </w:rPr>
        <w:t>may</w:t>
      </w:r>
      <w:r w:rsidR="00DF21FF">
        <w:rPr>
          <w:iCs/>
          <w:color w:val="auto"/>
        </w:rPr>
        <w:t xml:space="preserve"> be a reasonable</w:t>
      </w:r>
      <w:r w:rsidRPr="003A09FF">
        <w:rPr>
          <w:iCs/>
          <w:color w:val="auto"/>
        </w:rPr>
        <w:t xml:space="preserve"> approach to listings for </w:t>
      </w:r>
      <w:proofErr w:type="spellStart"/>
      <w:r w:rsidRPr="003A09FF">
        <w:rPr>
          <w:iCs/>
          <w:color w:val="auto"/>
        </w:rPr>
        <w:t>olaparib</w:t>
      </w:r>
      <w:proofErr w:type="spellEnd"/>
      <w:r w:rsidRPr="003A09FF">
        <w:rPr>
          <w:iCs/>
          <w:color w:val="auto"/>
        </w:rPr>
        <w:t xml:space="preserve"> in ovarian cancer</w:t>
      </w:r>
      <w:r w:rsidR="00DF21FF">
        <w:rPr>
          <w:iCs/>
          <w:color w:val="auto"/>
        </w:rPr>
        <w:t>, provided that the listing ensured a maximum 24 mo</w:t>
      </w:r>
      <w:r w:rsidR="003934CB">
        <w:rPr>
          <w:iCs/>
          <w:color w:val="auto"/>
        </w:rPr>
        <w:t>n</w:t>
      </w:r>
      <w:r w:rsidR="00DF21FF">
        <w:rPr>
          <w:iCs/>
          <w:color w:val="auto"/>
        </w:rPr>
        <w:t xml:space="preserve">th treatment duration for patients in complete response and did not allow re-treatment with </w:t>
      </w:r>
      <w:proofErr w:type="spellStart"/>
      <w:r w:rsidR="00DF21FF">
        <w:rPr>
          <w:iCs/>
          <w:color w:val="auto"/>
        </w:rPr>
        <w:t>olaparib</w:t>
      </w:r>
      <w:proofErr w:type="spellEnd"/>
      <w:r w:rsidR="00DF21FF">
        <w:rPr>
          <w:iCs/>
          <w:color w:val="auto"/>
        </w:rPr>
        <w:t xml:space="preserve"> following relapse</w:t>
      </w:r>
      <w:r w:rsidRPr="003A09FF">
        <w:rPr>
          <w:iCs/>
          <w:color w:val="auto"/>
        </w:rPr>
        <w:t xml:space="preserve">. </w:t>
      </w:r>
    </w:p>
    <w:p w:rsidR="003A09FF" w:rsidRPr="003A09FF" w:rsidRDefault="003A09FF" w:rsidP="003A09FF">
      <w:pPr>
        <w:pStyle w:val="ListParagraph"/>
        <w:numPr>
          <w:ilvl w:val="4"/>
          <w:numId w:val="1"/>
        </w:numPr>
        <w:rPr>
          <w:iCs/>
          <w:color w:val="auto"/>
        </w:rPr>
      </w:pPr>
      <w:r w:rsidRPr="003A09FF">
        <w:rPr>
          <w:iCs/>
          <w:color w:val="auto"/>
        </w:rPr>
        <w:t xml:space="preserve">The sponsor requested a grandfather restriction for patients accessing </w:t>
      </w:r>
      <w:proofErr w:type="spellStart"/>
      <w:r w:rsidRPr="003A09FF">
        <w:rPr>
          <w:iCs/>
          <w:color w:val="auto"/>
        </w:rPr>
        <w:t>olaparib</w:t>
      </w:r>
      <w:proofErr w:type="spellEnd"/>
      <w:r w:rsidRPr="003A09FF">
        <w:rPr>
          <w:iCs/>
          <w:color w:val="auto"/>
        </w:rPr>
        <w:t xml:space="preserve"> under a compassionate access program, who meet the proposed criteria. These patients </w:t>
      </w:r>
      <w:r w:rsidRPr="003A09FF">
        <w:rPr>
          <w:iCs/>
          <w:color w:val="auto"/>
        </w:rPr>
        <w:lastRenderedPageBreak/>
        <w:t>would be eligible for treatment under the proposed initial treatment listing, therefore a separate gran</w:t>
      </w:r>
      <w:r w:rsidR="00E267D2">
        <w:rPr>
          <w:iCs/>
          <w:color w:val="auto"/>
        </w:rPr>
        <w:t>dfather listing is not required.</w:t>
      </w:r>
    </w:p>
    <w:p w:rsidR="00FB3214" w:rsidRPr="00FB3214" w:rsidRDefault="00A239E6" w:rsidP="00A239E6">
      <w:pPr>
        <w:ind w:firstLine="1"/>
        <w:rPr>
          <w:i/>
        </w:rPr>
      </w:pPr>
      <w:r>
        <w:rPr>
          <w:i/>
        </w:rPr>
        <w:tab/>
      </w:r>
      <w:r>
        <w:rPr>
          <w:i/>
        </w:rPr>
        <w:tab/>
      </w:r>
      <w:r>
        <w:rPr>
          <w:i/>
        </w:rPr>
        <w:tab/>
      </w:r>
      <w:r w:rsidR="00FB3214" w:rsidRPr="00FB3214">
        <w:rPr>
          <w:i/>
        </w:rPr>
        <w:t>For more detail on PBAC’s view, see section 7 PBAC outcome.</w:t>
      </w:r>
    </w:p>
    <w:p w:rsidR="00B12A8C" w:rsidRPr="00DC08B0" w:rsidRDefault="00B12A8C" w:rsidP="00563974">
      <w:pPr>
        <w:pStyle w:val="PBACESHeading1"/>
        <w:keepNext w:val="0"/>
        <w:numPr>
          <w:ilvl w:val="0"/>
          <w:numId w:val="1"/>
        </w:numPr>
      </w:pPr>
      <w:bookmarkStart w:id="5" w:name="_Toc18489970"/>
      <w:r w:rsidRPr="00DC08B0">
        <w:t>Background</w:t>
      </w:r>
      <w:bookmarkEnd w:id="5"/>
    </w:p>
    <w:p w:rsidR="00B12A8C" w:rsidRPr="00002272" w:rsidRDefault="00B12A8C" w:rsidP="00563974">
      <w:pPr>
        <w:pStyle w:val="PBACESHeading2"/>
        <w:keepNext w:val="0"/>
      </w:pPr>
      <w:bookmarkStart w:id="6" w:name="_Toc18489971"/>
      <w:r w:rsidRPr="00002272">
        <w:t>Registration status</w:t>
      </w:r>
      <w:bookmarkEnd w:id="6"/>
    </w:p>
    <w:p w:rsidR="00B12A8C" w:rsidRPr="00DC08B0" w:rsidRDefault="00B12A8C" w:rsidP="00563974">
      <w:pPr>
        <w:pStyle w:val="ListParagraph"/>
        <w:numPr>
          <w:ilvl w:val="4"/>
          <w:numId w:val="1"/>
        </w:numPr>
        <w:rPr>
          <w:color w:val="auto"/>
        </w:rPr>
      </w:pPr>
      <w:proofErr w:type="spellStart"/>
      <w:r w:rsidRPr="00DC08B0">
        <w:rPr>
          <w:color w:val="auto"/>
        </w:rPr>
        <w:t>Olaparib</w:t>
      </w:r>
      <w:proofErr w:type="spellEnd"/>
      <w:r w:rsidRPr="00DC08B0">
        <w:rPr>
          <w:color w:val="auto"/>
        </w:rPr>
        <w:t xml:space="preserve"> received an ARTG listing effective </w:t>
      </w:r>
      <w:r w:rsidR="00B12721">
        <w:rPr>
          <w:color w:val="auto"/>
        </w:rPr>
        <w:t xml:space="preserve">21 June </w:t>
      </w:r>
      <w:r w:rsidRPr="00DC08B0">
        <w:rPr>
          <w:color w:val="auto"/>
        </w:rPr>
        <w:t>2019 for the following indication:</w:t>
      </w:r>
    </w:p>
    <w:p w:rsidR="00B12A8C" w:rsidRPr="00DC08B0" w:rsidRDefault="00B12A8C" w:rsidP="00563974">
      <w:pPr>
        <w:pStyle w:val="InstructionalText"/>
        <w:ind w:left="720"/>
        <w:rPr>
          <w:color w:val="auto"/>
        </w:rPr>
      </w:pPr>
      <w:r w:rsidRPr="00DC08B0">
        <w:rPr>
          <w:color w:val="auto"/>
        </w:rPr>
        <w:t xml:space="preserve">Maintenance treatment of adult patients with advanced </w:t>
      </w:r>
      <w:proofErr w:type="spellStart"/>
      <w:r w:rsidRPr="00E42F6A">
        <w:rPr>
          <w:i/>
          <w:color w:val="auto"/>
        </w:rPr>
        <w:t>BRCA</w:t>
      </w:r>
      <w:r w:rsidRPr="00DC08B0">
        <w:rPr>
          <w:color w:val="auto"/>
        </w:rPr>
        <w:t>m</w:t>
      </w:r>
      <w:proofErr w:type="spellEnd"/>
      <w:r w:rsidRPr="00DC08B0">
        <w:rPr>
          <w:color w:val="auto"/>
        </w:rPr>
        <w:t xml:space="preserve"> (germline or somatic) high-grade epithelial ovarian, fallopian tube or primary peritoneal cancer who are in response (complete response or partial response) to first-line platinum-based chemotherapy. </w:t>
      </w:r>
      <w:proofErr w:type="spellStart"/>
      <w:r w:rsidRPr="00E42F6A">
        <w:rPr>
          <w:i/>
          <w:color w:val="auto"/>
        </w:rPr>
        <w:t>BRCA</w:t>
      </w:r>
      <w:r w:rsidRPr="00DC08B0">
        <w:rPr>
          <w:color w:val="auto"/>
        </w:rPr>
        <w:t>m</w:t>
      </w:r>
      <w:proofErr w:type="spellEnd"/>
      <w:r w:rsidRPr="00DC08B0">
        <w:rPr>
          <w:color w:val="auto"/>
        </w:rPr>
        <w:t xml:space="preserve"> status should be determined by an experienced laboratory using a validated test method</w:t>
      </w:r>
      <w:r w:rsidR="00E20BB4">
        <w:rPr>
          <w:color w:val="auto"/>
        </w:rPr>
        <w:t>.</w:t>
      </w:r>
    </w:p>
    <w:p w:rsidR="00B12A8C" w:rsidRPr="009A0D5D" w:rsidRDefault="00B12A8C" w:rsidP="00563974">
      <w:pPr>
        <w:pStyle w:val="PBACESHeading2"/>
      </w:pPr>
      <w:bookmarkStart w:id="7" w:name="_Toc18489972"/>
      <w:r w:rsidRPr="009A0D5D">
        <w:t>Previous PBAC consideration</w:t>
      </w:r>
      <w:bookmarkEnd w:id="7"/>
    </w:p>
    <w:p w:rsidR="00B12A8C" w:rsidRPr="00DC08B0" w:rsidRDefault="009121D7" w:rsidP="00563974">
      <w:pPr>
        <w:pStyle w:val="ListParagraph"/>
        <w:keepNext/>
        <w:numPr>
          <w:ilvl w:val="4"/>
          <w:numId w:val="1"/>
        </w:numPr>
        <w:rPr>
          <w:color w:val="auto"/>
        </w:rPr>
      </w:pPr>
      <w:r>
        <w:rPr>
          <w:color w:val="auto"/>
        </w:rPr>
        <w:t xml:space="preserve">The </w:t>
      </w:r>
      <w:r w:rsidR="00B12A8C" w:rsidRPr="00DC08B0">
        <w:rPr>
          <w:color w:val="auto"/>
        </w:rPr>
        <w:t xml:space="preserve">PBAC has not previously considered </w:t>
      </w:r>
      <w:proofErr w:type="spellStart"/>
      <w:r w:rsidR="00B12A8C" w:rsidRPr="00DC08B0">
        <w:rPr>
          <w:color w:val="auto"/>
        </w:rPr>
        <w:t>olaparib</w:t>
      </w:r>
      <w:proofErr w:type="spellEnd"/>
      <w:r w:rsidR="00B12A8C" w:rsidRPr="00DC08B0">
        <w:rPr>
          <w:color w:val="auto"/>
        </w:rPr>
        <w:t xml:space="preserve"> for the proposed indication. </w:t>
      </w:r>
    </w:p>
    <w:p w:rsidR="00B12A8C" w:rsidRDefault="00B12A8C" w:rsidP="00563974">
      <w:pPr>
        <w:pStyle w:val="ListParagraph"/>
        <w:numPr>
          <w:ilvl w:val="4"/>
          <w:numId w:val="1"/>
        </w:numPr>
        <w:rPr>
          <w:color w:val="auto"/>
        </w:rPr>
      </w:pPr>
      <w:proofErr w:type="spellStart"/>
      <w:r w:rsidRPr="00DC08B0">
        <w:rPr>
          <w:color w:val="auto"/>
        </w:rPr>
        <w:t>Olaparib</w:t>
      </w:r>
      <w:proofErr w:type="spellEnd"/>
      <w:r w:rsidRPr="00DC08B0">
        <w:rPr>
          <w:color w:val="auto"/>
        </w:rPr>
        <w:t xml:space="preserve"> is currently </w:t>
      </w:r>
      <w:r w:rsidR="00E20BB4">
        <w:rPr>
          <w:color w:val="auto"/>
        </w:rPr>
        <w:t xml:space="preserve">available </w:t>
      </w:r>
      <w:r w:rsidRPr="00DC08B0">
        <w:rPr>
          <w:color w:val="auto"/>
        </w:rPr>
        <w:t xml:space="preserve">on the PBS for maintenance use by patients with </w:t>
      </w:r>
      <w:proofErr w:type="spellStart"/>
      <w:r w:rsidRPr="00DC08B0">
        <w:rPr>
          <w:color w:val="auto"/>
        </w:rPr>
        <w:t>g</w:t>
      </w:r>
      <w:r w:rsidRPr="007B09DA">
        <w:rPr>
          <w:i/>
          <w:color w:val="auto"/>
        </w:rPr>
        <w:t>BRCA</w:t>
      </w:r>
      <w:r w:rsidRPr="00DC08B0">
        <w:rPr>
          <w:color w:val="auto"/>
        </w:rPr>
        <w:t>m</w:t>
      </w:r>
      <w:proofErr w:type="spellEnd"/>
      <w:r w:rsidR="007B09DA">
        <w:rPr>
          <w:color w:val="auto"/>
        </w:rPr>
        <w:t>-</w:t>
      </w:r>
      <w:r w:rsidRPr="00DC08B0">
        <w:rPr>
          <w:color w:val="auto"/>
        </w:rPr>
        <w:t xml:space="preserve">positive high-grade </w:t>
      </w:r>
      <w:r w:rsidR="00041CC0">
        <w:rPr>
          <w:color w:val="auto"/>
        </w:rPr>
        <w:t xml:space="preserve">serous </w:t>
      </w:r>
      <w:r w:rsidRPr="00DC08B0">
        <w:rPr>
          <w:color w:val="auto"/>
        </w:rPr>
        <w:t>ovarian</w:t>
      </w:r>
      <w:r w:rsidR="00041CC0">
        <w:rPr>
          <w:color w:val="auto"/>
        </w:rPr>
        <w:t xml:space="preserve">, </w:t>
      </w:r>
      <w:r w:rsidR="006F0968">
        <w:rPr>
          <w:color w:val="auto"/>
        </w:rPr>
        <w:t>fallopian tube and primary peritoneal</w:t>
      </w:r>
      <w:r w:rsidRPr="00DC08B0">
        <w:rPr>
          <w:color w:val="auto"/>
        </w:rPr>
        <w:t xml:space="preserve"> cancer following response to a second regimen of platinum-based chemotherapy (</w:t>
      </w:r>
      <w:proofErr w:type="spellStart"/>
      <w:r w:rsidRPr="00DC08B0">
        <w:rPr>
          <w:color w:val="auto"/>
        </w:rPr>
        <w:t>ie</w:t>
      </w:r>
      <w:proofErr w:type="spellEnd"/>
      <w:r w:rsidRPr="00DC08B0">
        <w:rPr>
          <w:color w:val="auto"/>
        </w:rPr>
        <w:t xml:space="preserve">. </w:t>
      </w:r>
      <w:r w:rsidR="0047579B">
        <w:rPr>
          <w:color w:val="auto"/>
        </w:rPr>
        <w:t>second</w:t>
      </w:r>
      <w:r w:rsidR="0047579B" w:rsidRPr="0047579B">
        <w:rPr>
          <w:color w:val="auto"/>
        </w:rPr>
        <w:t>-line</w:t>
      </w:r>
      <w:r w:rsidRPr="00DC08B0">
        <w:rPr>
          <w:color w:val="auto"/>
        </w:rPr>
        <w:t xml:space="preserve"> maintenance).</w:t>
      </w:r>
    </w:p>
    <w:p w:rsidR="00FB3214" w:rsidRPr="00FB3214" w:rsidRDefault="00FB3214" w:rsidP="00FB3214">
      <w:pPr>
        <w:rPr>
          <w:i/>
        </w:rPr>
      </w:pPr>
      <w:r w:rsidRPr="00FB3214">
        <w:rPr>
          <w:i/>
        </w:rPr>
        <w:t>For more detail on PBAC’s view, see section 7 PBAC outcome.</w:t>
      </w:r>
    </w:p>
    <w:p w:rsidR="00B12A8C" w:rsidRPr="00DC08B0" w:rsidRDefault="00B12A8C" w:rsidP="00563974">
      <w:pPr>
        <w:pStyle w:val="PBACESHeading1"/>
        <w:keepNext w:val="0"/>
        <w:numPr>
          <w:ilvl w:val="0"/>
          <w:numId w:val="1"/>
        </w:numPr>
      </w:pPr>
      <w:bookmarkStart w:id="8" w:name="_Toc18489973"/>
      <w:r w:rsidRPr="00DC08B0">
        <w:t>Population and disease</w:t>
      </w:r>
      <w:bookmarkEnd w:id="8"/>
    </w:p>
    <w:p w:rsidR="00B12A8C" w:rsidRPr="00DC08B0" w:rsidRDefault="00B12A8C" w:rsidP="00563974">
      <w:pPr>
        <w:pStyle w:val="ListParagraph"/>
        <w:numPr>
          <w:ilvl w:val="4"/>
          <w:numId w:val="1"/>
        </w:numPr>
        <w:rPr>
          <w:color w:val="auto"/>
        </w:rPr>
      </w:pPr>
      <w:r w:rsidRPr="00DC08B0">
        <w:rPr>
          <w:color w:val="auto"/>
        </w:rPr>
        <w:t xml:space="preserve">Ovarian (including fallopian tube and primary peritoneal) cancer is projected to </w:t>
      </w:r>
      <w:r w:rsidR="00DF7282">
        <w:rPr>
          <w:color w:val="auto"/>
        </w:rPr>
        <w:t>a</w:t>
      </w:r>
      <w:r w:rsidRPr="00DC08B0">
        <w:rPr>
          <w:color w:val="auto"/>
        </w:rPr>
        <w:t>ffect more than 1,600 patients in Australia in 2020. Most patients (70%) are diagnosed at an advanced (FIGO III/IV) stage</w:t>
      </w:r>
      <w:r w:rsidRPr="00DC08B0">
        <w:rPr>
          <w:rStyle w:val="FootnoteReference"/>
          <w:color w:val="auto"/>
        </w:rPr>
        <w:footnoteReference w:id="1"/>
      </w:r>
      <w:r w:rsidRPr="00DC08B0">
        <w:rPr>
          <w:color w:val="auto"/>
        </w:rPr>
        <w:t xml:space="preserve"> and an estimated 23</w:t>
      </w:r>
      <w:r w:rsidR="00E20BB4">
        <w:rPr>
          <w:color w:val="auto"/>
        </w:rPr>
        <w:t>-32</w:t>
      </w:r>
      <w:r w:rsidRPr="00DC08B0">
        <w:rPr>
          <w:color w:val="auto"/>
        </w:rPr>
        <w:t xml:space="preserve">% of those will harbour either a germline or somatic </w:t>
      </w:r>
      <w:proofErr w:type="spellStart"/>
      <w:r w:rsidRPr="00E42F6A">
        <w:rPr>
          <w:i/>
          <w:color w:val="auto"/>
        </w:rPr>
        <w:t>BRCA</w:t>
      </w:r>
      <w:r w:rsidRPr="00DC08B0">
        <w:rPr>
          <w:color w:val="auto"/>
        </w:rPr>
        <w:t>m</w:t>
      </w:r>
      <w:proofErr w:type="spellEnd"/>
      <w:r w:rsidRPr="00DC08B0">
        <w:rPr>
          <w:rStyle w:val="FootnoteReference"/>
          <w:color w:val="auto"/>
        </w:rPr>
        <w:footnoteReference w:id="2"/>
      </w:r>
      <w:r w:rsidR="00E267D2">
        <w:rPr>
          <w:color w:val="auto"/>
        </w:rPr>
        <w:t>.</w:t>
      </w:r>
    </w:p>
    <w:p w:rsidR="00B12A8C" w:rsidRPr="00DC08B0" w:rsidRDefault="00B12A8C" w:rsidP="00563974">
      <w:pPr>
        <w:pStyle w:val="ListParagraph"/>
        <w:numPr>
          <w:ilvl w:val="4"/>
          <w:numId w:val="1"/>
        </w:numPr>
        <w:rPr>
          <w:color w:val="auto"/>
        </w:rPr>
      </w:pPr>
      <w:r w:rsidRPr="00DC08B0">
        <w:rPr>
          <w:color w:val="auto"/>
        </w:rPr>
        <w:t xml:space="preserve">Advanced ovarian cancer has a high mortality rate. Despite high rates of response to first-line platinum-based chemotherapy, the majority of patients with advanced </w:t>
      </w:r>
      <w:r w:rsidRPr="00DC08B0">
        <w:rPr>
          <w:color w:val="auto"/>
        </w:rPr>
        <w:lastRenderedPageBreak/>
        <w:t xml:space="preserve">ovarian cancer will relapse or progress within 3 years. Recurrent ovarian cancer is estimated to have a 5 year survival rate of less than 30%. </w:t>
      </w:r>
    </w:p>
    <w:p w:rsidR="00E2384D" w:rsidRPr="00DC08B0" w:rsidRDefault="00E2384D" w:rsidP="00563974">
      <w:pPr>
        <w:pStyle w:val="ListParagraph"/>
        <w:numPr>
          <w:ilvl w:val="4"/>
          <w:numId w:val="1"/>
        </w:numPr>
        <w:rPr>
          <w:color w:val="auto"/>
        </w:rPr>
      </w:pPr>
      <w:proofErr w:type="spellStart"/>
      <w:r w:rsidRPr="00DC08B0">
        <w:rPr>
          <w:color w:val="auto"/>
        </w:rPr>
        <w:t>Olaparib</w:t>
      </w:r>
      <w:proofErr w:type="spellEnd"/>
      <w:r w:rsidRPr="00DC08B0">
        <w:rPr>
          <w:color w:val="auto"/>
        </w:rPr>
        <w:t xml:space="preserve"> is an orally active inhibitor of human poly ADP ribose polymerase enzymes (PARP inhibitor). PARP enzymes are required for the repair of single DNA strand breaks. </w:t>
      </w:r>
      <w:proofErr w:type="spellStart"/>
      <w:r w:rsidRPr="00DC08B0">
        <w:rPr>
          <w:color w:val="auto"/>
        </w:rPr>
        <w:t>Olaparib</w:t>
      </w:r>
      <w:proofErr w:type="spellEnd"/>
      <w:r w:rsidRPr="00DC08B0">
        <w:rPr>
          <w:color w:val="auto"/>
        </w:rPr>
        <w:t xml:space="preserve"> binds to PARP, preventing dissociation from the DNA and blocking repair. This leads to double strand breaks. In patients with deficient homologous recombination repair (HRR) pathways, such as patients </w:t>
      </w:r>
      <w:r>
        <w:rPr>
          <w:color w:val="auto"/>
        </w:rPr>
        <w:t xml:space="preserve">with </w:t>
      </w:r>
      <w:proofErr w:type="spellStart"/>
      <w:r w:rsidRPr="00E42F6A">
        <w:rPr>
          <w:i/>
          <w:color w:val="auto"/>
        </w:rPr>
        <w:t>BRCA</w:t>
      </w:r>
      <w:r>
        <w:rPr>
          <w:color w:val="auto"/>
        </w:rPr>
        <w:t>m</w:t>
      </w:r>
      <w:proofErr w:type="spellEnd"/>
      <w:r w:rsidRPr="00DC08B0">
        <w:rPr>
          <w:color w:val="auto"/>
        </w:rPr>
        <w:t>, DNA double strand breaks cannot be repaired accurately or effectively. Accumulated genomic instability can lead to cell death.</w:t>
      </w:r>
    </w:p>
    <w:p w:rsidR="00E2384D" w:rsidRDefault="00B12A8C" w:rsidP="00563974">
      <w:pPr>
        <w:pStyle w:val="ListParagraph"/>
        <w:numPr>
          <w:ilvl w:val="4"/>
          <w:numId w:val="1"/>
        </w:numPr>
        <w:rPr>
          <w:color w:val="auto"/>
        </w:rPr>
      </w:pPr>
      <w:r w:rsidRPr="00DC08B0">
        <w:rPr>
          <w:color w:val="auto"/>
        </w:rPr>
        <w:t xml:space="preserve">The proposed use of </w:t>
      </w:r>
      <w:proofErr w:type="spellStart"/>
      <w:r w:rsidRPr="00DC08B0">
        <w:rPr>
          <w:color w:val="auto"/>
        </w:rPr>
        <w:t>olapa</w:t>
      </w:r>
      <w:r w:rsidR="00C26365">
        <w:rPr>
          <w:color w:val="auto"/>
        </w:rPr>
        <w:t>rib</w:t>
      </w:r>
      <w:proofErr w:type="spellEnd"/>
      <w:r w:rsidR="00C26365">
        <w:rPr>
          <w:color w:val="auto"/>
        </w:rPr>
        <w:t xml:space="preserve"> in the current submission was</w:t>
      </w:r>
      <w:r w:rsidRPr="00DC08B0">
        <w:rPr>
          <w:color w:val="auto"/>
        </w:rPr>
        <w:t xml:space="preserve"> as maintenance therapy following response to a first-line platinum-based chemotherapy regimen for patients with either germline or somatic </w:t>
      </w:r>
      <w:proofErr w:type="spellStart"/>
      <w:r w:rsidRPr="00E42F6A">
        <w:rPr>
          <w:i/>
          <w:color w:val="auto"/>
        </w:rPr>
        <w:t>BRCA</w:t>
      </w:r>
      <w:r w:rsidRPr="00DC08B0">
        <w:rPr>
          <w:color w:val="auto"/>
        </w:rPr>
        <w:t>m</w:t>
      </w:r>
      <w:proofErr w:type="spellEnd"/>
      <w:r w:rsidR="007B09DA">
        <w:rPr>
          <w:color w:val="auto"/>
        </w:rPr>
        <w:t>-</w:t>
      </w:r>
      <w:r w:rsidRPr="00DC08B0">
        <w:rPr>
          <w:color w:val="auto"/>
        </w:rPr>
        <w:t xml:space="preserve">positive tumours. To inform the use of </w:t>
      </w:r>
      <w:proofErr w:type="spellStart"/>
      <w:r w:rsidRPr="00DC08B0">
        <w:rPr>
          <w:color w:val="auto"/>
        </w:rPr>
        <w:t>olaparib</w:t>
      </w:r>
      <w:proofErr w:type="spellEnd"/>
      <w:r w:rsidRPr="00DC08B0">
        <w:rPr>
          <w:color w:val="auto"/>
        </w:rPr>
        <w:t xml:space="preserve"> for this indication, a tumour</w:t>
      </w:r>
      <w:r w:rsidRPr="00E42F6A">
        <w:rPr>
          <w:i/>
          <w:color w:val="auto"/>
        </w:rPr>
        <w:t xml:space="preserve"> </w:t>
      </w:r>
      <w:proofErr w:type="spellStart"/>
      <w:r w:rsidRPr="00E42F6A">
        <w:rPr>
          <w:i/>
          <w:color w:val="auto"/>
        </w:rPr>
        <w:t>BRCA</w:t>
      </w:r>
      <w:r w:rsidR="007B09DA">
        <w:rPr>
          <w:color w:val="auto"/>
        </w:rPr>
        <w:t>m</w:t>
      </w:r>
      <w:proofErr w:type="spellEnd"/>
      <w:r w:rsidR="007B09DA">
        <w:rPr>
          <w:color w:val="auto"/>
        </w:rPr>
        <w:t xml:space="preserve"> </w:t>
      </w:r>
      <w:r w:rsidR="00C26365">
        <w:rPr>
          <w:color w:val="auto"/>
        </w:rPr>
        <w:t>test wa</w:t>
      </w:r>
      <w:r w:rsidRPr="00DC08B0">
        <w:rPr>
          <w:color w:val="auto"/>
        </w:rPr>
        <w:t>s proposed to occur at diagnosis.</w:t>
      </w:r>
      <w:r w:rsidR="00E2384D" w:rsidRPr="00E2384D">
        <w:rPr>
          <w:color w:val="auto"/>
        </w:rPr>
        <w:t xml:space="preserve"> </w:t>
      </w:r>
    </w:p>
    <w:p w:rsidR="00C068CB" w:rsidRPr="006C4660" w:rsidRDefault="00E2384D" w:rsidP="00563974">
      <w:pPr>
        <w:pStyle w:val="ListParagraph"/>
        <w:numPr>
          <w:ilvl w:val="4"/>
          <w:numId w:val="1"/>
        </w:numPr>
        <w:rPr>
          <w:color w:val="auto"/>
        </w:rPr>
      </w:pPr>
      <w:r w:rsidRPr="00E2384D">
        <w:rPr>
          <w:color w:val="auto"/>
        </w:rPr>
        <w:t xml:space="preserve">The starting dose for </w:t>
      </w:r>
      <w:proofErr w:type="spellStart"/>
      <w:r w:rsidRPr="00E2384D">
        <w:rPr>
          <w:color w:val="auto"/>
        </w:rPr>
        <w:t>olaparib</w:t>
      </w:r>
      <w:proofErr w:type="spellEnd"/>
      <w:r w:rsidRPr="00E2384D">
        <w:rPr>
          <w:color w:val="auto"/>
        </w:rPr>
        <w:t xml:space="preserve"> is 300</w:t>
      </w:r>
      <w:r w:rsidR="00BA7C1F">
        <w:rPr>
          <w:color w:val="auto"/>
        </w:rPr>
        <w:t xml:space="preserve"> </w:t>
      </w:r>
      <w:r w:rsidRPr="00E2384D">
        <w:rPr>
          <w:color w:val="auto"/>
        </w:rPr>
        <w:t xml:space="preserve">mg </w:t>
      </w:r>
      <w:proofErr w:type="spellStart"/>
      <w:r w:rsidRPr="00E2384D">
        <w:rPr>
          <w:color w:val="auto"/>
        </w:rPr>
        <w:t>bd</w:t>
      </w:r>
      <w:proofErr w:type="spellEnd"/>
      <w:r w:rsidRPr="00E2384D">
        <w:rPr>
          <w:color w:val="auto"/>
        </w:rPr>
        <w:t>, taken as two 150</w:t>
      </w:r>
      <w:r w:rsidR="00BA7C1F">
        <w:rPr>
          <w:color w:val="auto"/>
        </w:rPr>
        <w:t xml:space="preserve"> </w:t>
      </w:r>
      <w:r w:rsidRPr="00E2384D">
        <w:rPr>
          <w:color w:val="auto"/>
        </w:rPr>
        <w:t xml:space="preserve">mg tablets, twice daily. </w:t>
      </w:r>
      <w:proofErr w:type="spellStart"/>
      <w:r w:rsidRPr="00A2670B">
        <w:rPr>
          <w:color w:val="auto"/>
        </w:rPr>
        <w:t>Olaparib</w:t>
      </w:r>
      <w:proofErr w:type="spellEnd"/>
      <w:r w:rsidRPr="00A2670B">
        <w:rPr>
          <w:color w:val="auto"/>
        </w:rPr>
        <w:t xml:space="preserve"> is to be taken continuously until disease progression, or until 2 years if patients remain in complete response. There is no maximum treatment duration for patients with evidence of disease (partial response or stable disease) and treatment may be ongoing i</w:t>
      </w:r>
      <w:r w:rsidRPr="007F1D8C">
        <w:rPr>
          <w:color w:val="auto"/>
        </w:rPr>
        <w:t>f, in the opinion of the treating physician, the patient may derive further benefit</w:t>
      </w:r>
      <w:r w:rsidRPr="006C4660">
        <w:rPr>
          <w:color w:val="auto"/>
        </w:rPr>
        <w:t>.</w:t>
      </w:r>
    </w:p>
    <w:p w:rsidR="00563974" w:rsidRPr="00CC4DC5" w:rsidRDefault="00DD7B03" w:rsidP="00563974">
      <w:pPr>
        <w:pStyle w:val="ListParagraph"/>
        <w:numPr>
          <w:ilvl w:val="4"/>
          <w:numId w:val="1"/>
        </w:numPr>
      </w:pPr>
      <w:r w:rsidRPr="00CC4DC5">
        <w:t xml:space="preserve">The current and </w:t>
      </w:r>
      <w:r w:rsidR="0053775C" w:rsidRPr="00CC4DC5">
        <w:t xml:space="preserve">proposed clinical management algorithms </w:t>
      </w:r>
      <w:r w:rsidR="00B307F2" w:rsidRPr="00CC4DC5">
        <w:t xml:space="preserve">provided in the submission </w:t>
      </w:r>
      <w:r w:rsidR="00A416B3" w:rsidRPr="00CC4DC5">
        <w:t xml:space="preserve">are shown </w:t>
      </w:r>
      <w:r w:rsidR="0032442E" w:rsidRPr="00CC4DC5">
        <w:t>below.</w:t>
      </w:r>
      <w:r w:rsidR="002E0370" w:rsidRPr="00CC4DC5">
        <w:tab/>
      </w:r>
      <w:r w:rsidR="002E0370" w:rsidRPr="00CC4DC5">
        <w:tab/>
      </w:r>
    </w:p>
    <w:p w:rsidR="00764D08" w:rsidRPr="00764D08" w:rsidRDefault="00563974" w:rsidP="00563974">
      <w:pPr>
        <w:pStyle w:val="Caption"/>
      </w:pPr>
      <w:bookmarkStart w:id="9" w:name="_Ref22647194"/>
      <w:r>
        <w:lastRenderedPageBreak/>
        <w:t xml:space="preserve">Figure </w:t>
      </w:r>
      <w:r w:rsidR="004070CB">
        <w:rPr>
          <w:noProof/>
        </w:rPr>
        <w:t>1</w:t>
      </w:r>
      <w:bookmarkEnd w:id="9"/>
      <w:r>
        <w:t xml:space="preserve">: </w:t>
      </w:r>
      <w:r w:rsidRPr="00F377F6">
        <w:t>Current management for patient newly diagnosed with advanced (FIGO Stage III-IV) high grade epithelial ovarian cancer</w:t>
      </w:r>
    </w:p>
    <w:p w:rsidR="001D3A33" w:rsidRPr="00C068CB" w:rsidRDefault="001D3A33" w:rsidP="00563974">
      <w:r>
        <w:rPr>
          <w:noProof/>
          <w:lang w:eastAsia="en-AU"/>
        </w:rPr>
        <w:drawing>
          <wp:inline distT="0" distB="0" distL="0" distR="0" wp14:anchorId="5BA1DD3B" wp14:editId="493F6A56">
            <wp:extent cx="5731510" cy="5572125"/>
            <wp:effectExtent l="0" t="0" r="2540" b="9525"/>
            <wp:docPr id="23" name="Picture 23" title="Figure 1: Current management for patient newly diagnosed with advanced (FIGO Stage III-IV) high grade epithelial ovarian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572125"/>
                    </a:xfrm>
                    <a:prstGeom prst="rect">
                      <a:avLst/>
                    </a:prstGeom>
                  </pic:spPr>
                </pic:pic>
              </a:graphicData>
            </a:graphic>
          </wp:inline>
        </w:drawing>
      </w:r>
    </w:p>
    <w:p w:rsidR="00563974" w:rsidRDefault="001D3A33" w:rsidP="00563974">
      <w:pPr>
        <w:pStyle w:val="TableFooter"/>
        <w:widowControl/>
      </w:pPr>
      <w:r>
        <w:t xml:space="preserve">Abbreviations: FIGO = the International Federation of Gynaecology and Obstetrics; </w:t>
      </w:r>
      <w:proofErr w:type="spellStart"/>
      <w:r>
        <w:t>gBRCAm</w:t>
      </w:r>
      <w:proofErr w:type="spellEnd"/>
      <w:r>
        <w:t xml:space="preserve"> = germline BRCA1 or BRCA2 mutation; HGSOC = high grade serous ovarian cancer</w:t>
      </w:r>
    </w:p>
    <w:p w:rsidR="001D3A33" w:rsidRPr="00F377F6" w:rsidRDefault="00563974" w:rsidP="00C3460A">
      <w:pPr>
        <w:pStyle w:val="Caption"/>
        <w:ind w:left="0" w:firstLine="0"/>
        <w:jc w:val="left"/>
      </w:pPr>
      <w:r>
        <w:lastRenderedPageBreak/>
        <w:t xml:space="preserve">Figure </w:t>
      </w:r>
      <w:r w:rsidR="004070CB">
        <w:rPr>
          <w:noProof/>
        </w:rPr>
        <w:t>2</w:t>
      </w:r>
      <w:r>
        <w:t xml:space="preserve">: </w:t>
      </w:r>
      <w:r w:rsidRPr="00F377F6">
        <w:t>Scenario 1 proposed management including co-dependent test and medicine</w:t>
      </w:r>
    </w:p>
    <w:p w:rsidR="001D3A33" w:rsidRDefault="001D3A33" w:rsidP="00563974">
      <w:r>
        <w:rPr>
          <w:noProof/>
          <w:lang w:eastAsia="en-AU"/>
        </w:rPr>
        <w:drawing>
          <wp:inline distT="0" distB="0" distL="0" distR="0" wp14:anchorId="7F83E0D7" wp14:editId="74DB2190">
            <wp:extent cx="5731510" cy="3841750"/>
            <wp:effectExtent l="0" t="0" r="2540" b="6350"/>
            <wp:docPr id="24" name="Picture 24" title="Figure 2: Scenario 1 proposed management including co-dependent test and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841750"/>
                    </a:xfrm>
                    <a:prstGeom prst="rect">
                      <a:avLst/>
                    </a:prstGeom>
                  </pic:spPr>
                </pic:pic>
              </a:graphicData>
            </a:graphic>
          </wp:inline>
        </w:drawing>
      </w:r>
    </w:p>
    <w:p w:rsidR="001D3A33" w:rsidRPr="00F377F6" w:rsidRDefault="001D3A33" w:rsidP="00563974">
      <w:pPr>
        <w:pStyle w:val="TableFooter"/>
        <w:widowControl/>
      </w:pPr>
      <w:r>
        <w:t xml:space="preserve">Abbreviations: FIGO = the International Federation of Gynaecology and Obstetrics; </w:t>
      </w:r>
      <w:proofErr w:type="spellStart"/>
      <w:r>
        <w:t>gBRCAm</w:t>
      </w:r>
      <w:proofErr w:type="spellEnd"/>
      <w:r>
        <w:t xml:space="preserve"> = germline BRCA1 or BRCA2 mutation</w:t>
      </w:r>
    </w:p>
    <w:p w:rsidR="001D3A33" w:rsidRPr="00DC08B0" w:rsidRDefault="001D3A33" w:rsidP="00563974"/>
    <w:p w:rsidR="001D3A33" w:rsidRPr="00DC08B0" w:rsidRDefault="001D3A33" w:rsidP="00563974"/>
    <w:p w:rsidR="00563974" w:rsidRDefault="00563974" w:rsidP="00563974">
      <w:pPr>
        <w:pStyle w:val="Caption"/>
      </w:pPr>
      <w:r>
        <w:rPr>
          <w:noProof/>
          <w:lang w:eastAsia="en-AU"/>
        </w:rPr>
        <w:br w:type="column"/>
      </w:r>
      <w:bookmarkStart w:id="10" w:name="_Ref22647202"/>
      <w:r>
        <w:lastRenderedPageBreak/>
        <w:t xml:space="preserve">Figure </w:t>
      </w:r>
      <w:r w:rsidR="004070CB">
        <w:rPr>
          <w:noProof/>
        </w:rPr>
        <w:t>3</w:t>
      </w:r>
      <w:bookmarkEnd w:id="10"/>
      <w:r>
        <w:t xml:space="preserve">: </w:t>
      </w:r>
      <w:r w:rsidRPr="00F377F6">
        <w:t>Scenario 2 proposed management including co-dependent test and medicine</w:t>
      </w:r>
    </w:p>
    <w:p w:rsidR="001D3A33" w:rsidRDefault="001D3A33" w:rsidP="00563974">
      <w:r>
        <w:rPr>
          <w:noProof/>
          <w:lang w:eastAsia="en-AU"/>
        </w:rPr>
        <w:drawing>
          <wp:inline distT="0" distB="0" distL="0" distR="0" wp14:anchorId="4A736F73" wp14:editId="26AD0EA0">
            <wp:extent cx="5731510" cy="3886835"/>
            <wp:effectExtent l="0" t="0" r="2540" b="0"/>
            <wp:docPr id="25" name="Picture 25" title="Figure 3: Scenario 2 proposed management including co-dependent test and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886835"/>
                    </a:xfrm>
                    <a:prstGeom prst="rect">
                      <a:avLst/>
                    </a:prstGeom>
                  </pic:spPr>
                </pic:pic>
              </a:graphicData>
            </a:graphic>
          </wp:inline>
        </w:drawing>
      </w:r>
    </w:p>
    <w:p w:rsidR="001D3A33" w:rsidRPr="00F377F6" w:rsidRDefault="001D3A33" w:rsidP="00563974">
      <w:pPr>
        <w:pStyle w:val="TableFooter"/>
        <w:widowControl/>
        <w:sectPr w:rsidR="001D3A33" w:rsidRPr="00F377F6" w:rsidSect="00A239E6">
          <w:headerReference w:type="default" r:id="rId11"/>
          <w:footerReference w:type="default" r:id="rId12"/>
          <w:pgSz w:w="11906" w:h="16838"/>
          <w:pgMar w:top="1440" w:right="1440" w:bottom="1702" w:left="1440" w:header="1440" w:footer="1440" w:gutter="0"/>
          <w:cols w:space="708"/>
          <w:docGrid w:linePitch="360"/>
        </w:sectPr>
      </w:pPr>
      <w:r>
        <w:t xml:space="preserve">Abbreviations: FIGO = the International Federation of Gynaecology and Obstetrics; </w:t>
      </w:r>
      <w:proofErr w:type="spellStart"/>
      <w:r>
        <w:t>gBRCAm</w:t>
      </w:r>
      <w:proofErr w:type="spellEnd"/>
      <w:r>
        <w:t xml:space="preserve"> = germline BRCA1 or BRCA2 mutation</w:t>
      </w:r>
    </w:p>
    <w:p w:rsidR="009C575A" w:rsidRPr="00CC4DC5" w:rsidRDefault="007352B8" w:rsidP="00563974">
      <w:pPr>
        <w:pStyle w:val="ListParagraph"/>
        <w:numPr>
          <w:ilvl w:val="4"/>
          <w:numId w:val="1"/>
        </w:numPr>
        <w:rPr>
          <w:color w:val="auto"/>
        </w:rPr>
      </w:pPr>
      <w:r w:rsidRPr="00CC4DC5">
        <w:rPr>
          <w:color w:val="auto"/>
        </w:rPr>
        <w:lastRenderedPageBreak/>
        <w:t>The ESC noted that the current algorithm presented in the submission (</w:t>
      </w:r>
      <w:r w:rsidR="0065147A" w:rsidRPr="00CC4DC5">
        <w:t xml:space="preserve">Figure </w:t>
      </w:r>
      <w:r w:rsidR="0065147A" w:rsidRPr="00CC4DC5">
        <w:rPr>
          <w:noProof/>
        </w:rPr>
        <w:t>1</w:t>
      </w:r>
      <w:r w:rsidRPr="00CC4DC5">
        <w:rPr>
          <w:color w:val="auto"/>
        </w:rPr>
        <w:t xml:space="preserve">) omitted the requirement for patients to respond to the immediately </w:t>
      </w:r>
      <w:r w:rsidR="00563974" w:rsidRPr="00CC4DC5">
        <w:rPr>
          <w:color w:val="auto"/>
        </w:rPr>
        <w:t>preceding</w:t>
      </w:r>
      <w:r w:rsidRPr="00CC4DC5">
        <w:rPr>
          <w:color w:val="auto"/>
        </w:rPr>
        <w:t xml:space="preserve"> platinum-based chemotherapy prior to receiving </w:t>
      </w:r>
      <w:proofErr w:type="spellStart"/>
      <w:r w:rsidRPr="00CC4DC5">
        <w:rPr>
          <w:color w:val="auto"/>
        </w:rPr>
        <w:t>olaparib</w:t>
      </w:r>
      <w:proofErr w:type="spellEnd"/>
      <w:r w:rsidRPr="00CC4DC5">
        <w:rPr>
          <w:color w:val="auto"/>
        </w:rPr>
        <w:t xml:space="preserve">. </w:t>
      </w:r>
      <w:r w:rsidR="00FE1BDE" w:rsidRPr="00CC4DC5">
        <w:rPr>
          <w:color w:val="auto"/>
        </w:rPr>
        <w:t xml:space="preserve">For </w:t>
      </w:r>
      <w:r w:rsidR="00D72121" w:rsidRPr="00CC4DC5">
        <w:rPr>
          <w:color w:val="auto"/>
        </w:rPr>
        <w:t>proposed scenario 1</w:t>
      </w:r>
      <w:r w:rsidR="001D62D4" w:rsidRPr="00CC4DC5">
        <w:rPr>
          <w:color w:val="auto"/>
        </w:rPr>
        <w:t>,</w:t>
      </w:r>
      <w:r w:rsidR="00D72121" w:rsidRPr="00CC4DC5">
        <w:rPr>
          <w:color w:val="auto"/>
        </w:rPr>
        <w:t xml:space="preserve"> </w:t>
      </w:r>
      <w:r w:rsidR="000E1E61" w:rsidRPr="00CC4DC5">
        <w:rPr>
          <w:color w:val="auto"/>
        </w:rPr>
        <w:t xml:space="preserve">the </w:t>
      </w:r>
      <w:r w:rsidR="006447E7" w:rsidRPr="00CC4DC5">
        <w:rPr>
          <w:color w:val="auto"/>
        </w:rPr>
        <w:t xml:space="preserve">separate </w:t>
      </w:r>
      <w:proofErr w:type="spellStart"/>
      <w:r w:rsidR="000E1E61" w:rsidRPr="00CC4DC5">
        <w:rPr>
          <w:color w:val="auto"/>
        </w:rPr>
        <w:t>g</w:t>
      </w:r>
      <w:r w:rsidR="000E1E61" w:rsidRPr="00CC4DC5">
        <w:rPr>
          <w:i/>
          <w:color w:val="auto"/>
        </w:rPr>
        <w:t>BRCA</w:t>
      </w:r>
      <w:r w:rsidR="000E1E61" w:rsidRPr="00CC4DC5">
        <w:rPr>
          <w:color w:val="auto"/>
        </w:rPr>
        <w:t>m</w:t>
      </w:r>
      <w:proofErr w:type="spellEnd"/>
      <w:r w:rsidR="000E1E61" w:rsidRPr="00CC4DC5">
        <w:rPr>
          <w:color w:val="auto"/>
        </w:rPr>
        <w:t xml:space="preserve"> test (amended MBS 73295) pathway was not relevant</w:t>
      </w:r>
      <w:r w:rsidR="00BA7C1F" w:rsidRPr="00CC4DC5">
        <w:rPr>
          <w:color w:val="auto"/>
        </w:rPr>
        <w:t xml:space="preserve"> for the majority of patients</w:t>
      </w:r>
      <w:r w:rsidR="000E1E61" w:rsidRPr="00CC4DC5">
        <w:rPr>
          <w:color w:val="auto"/>
        </w:rPr>
        <w:t xml:space="preserve">, </w:t>
      </w:r>
      <w:r w:rsidR="003869DB" w:rsidRPr="00CC4DC5">
        <w:rPr>
          <w:color w:val="auto"/>
        </w:rPr>
        <w:t>who would be</w:t>
      </w:r>
      <w:r w:rsidR="006C73F1" w:rsidRPr="00CC4DC5">
        <w:rPr>
          <w:color w:val="auto"/>
        </w:rPr>
        <w:t xml:space="preserve"> </w:t>
      </w:r>
      <w:r w:rsidR="008455D2" w:rsidRPr="00CC4DC5">
        <w:rPr>
          <w:color w:val="auto"/>
        </w:rPr>
        <w:t xml:space="preserve">eligible for </w:t>
      </w:r>
      <w:proofErr w:type="spellStart"/>
      <w:r w:rsidR="006C73F1" w:rsidRPr="00CC4DC5">
        <w:rPr>
          <w:color w:val="auto"/>
        </w:rPr>
        <w:t>g</w:t>
      </w:r>
      <w:r w:rsidR="006C73F1" w:rsidRPr="00CC4DC5">
        <w:rPr>
          <w:i/>
          <w:color w:val="auto"/>
        </w:rPr>
        <w:t>BRCA</w:t>
      </w:r>
      <w:r w:rsidR="006C73F1" w:rsidRPr="00CC4DC5">
        <w:rPr>
          <w:color w:val="auto"/>
        </w:rPr>
        <w:t>m</w:t>
      </w:r>
      <w:proofErr w:type="spellEnd"/>
      <w:r w:rsidR="006C73F1" w:rsidRPr="00CC4DC5">
        <w:rPr>
          <w:color w:val="auto"/>
        </w:rPr>
        <w:t xml:space="preserve"> testing at diagnosis</w:t>
      </w:r>
      <w:r w:rsidR="006447E7" w:rsidRPr="00CC4DC5">
        <w:rPr>
          <w:color w:val="auto"/>
        </w:rPr>
        <w:t xml:space="preserve"> under MBS item 73296</w:t>
      </w:r>
      <w:r w:rsidR="006C73F1" w:rsidRPr="00CC4DC5">
        <w:rPr>
          <w:color w:val="auto"/>
        </w:rPr>
        <w:t>.</w:t>
      </w:r>
      <w:r w:rsidR="008C05BC">
        <w:rPr>
          <w:color w:val="auto"/>
        </w:rPr>
        <w:t xml:space="preserve"> </w:t>
      </w:r>
    </w:p>
    <w:p w:rsidR="00DD7B03" w:rsidRDefault="00872BAB" w:rsidP="00563974">
      <w:pPr>
        <w:pStyle w:val="ListParagraph"/>
        <w:numPr>
          <w:ilvl w:val="4"/>
          <w:numId w:val="1"/>
        </w:numPr>
        <w:rPr>
          <w:color w:val="auto"/>
        </w:rPr>
      </w:pPr>
      <w:r w:rsidRPr="00CC4DC5">
        <w:rPr>
          <w:color w:val="auto"/>
        </w:rPr>
        <w:t xml:space="preserve">The ESC noted that the </w:t>
      </w:r>
      <w:r w:rsidR="00D246DC" w:rsidRPr="00CC4DC5">
        <w:rPr>
          <w:color w:val="auto"/>
        </w:rPr>
        <w:t xml:space="preserve">TGA </w:t>
      </w:r>
      <w:r w:rsidRPr="00CC4DC5">
        <w:rPr>
          <w:color w:val="auto"/>
        </w:rPr>
        <w:t xml:space="preserve">has removed the requirement for presence of </w:t>
      </w:r>
      <w:proofErr w:type="spellStart"/>
      <w:r w:rsidRPr="00CC4DC5">
        <w:rPr>
          <w:i/>
          <w:color w:val="auto"/>
        </w:rPr>
        <w:t>BRCA</w:t>
      </w:r>
      <w:r w:rsidRPr="00CC4DC5">
        <w:rPr>
          <w:color w:val="auto"/>
        </w:rPr>
        <w:t>m</w:t>
      </w:r>
      <w:proofErr w:type="spellEnd"/>
      <w:r w:rsidRPr="00CC4DC5">
        <w:rPr>
          <w:color w:val="auto"/>
        </w:rPr>
        <w:t xml:space="preserve"> </w:t>
      </w:r>
      <w:r w:rsidR="00BA0FDB" w:rsidRPr="00CC4DC5">
        <w:rPr>
          <w:color w:val="auto"/>
        </w:rPr>
        <w:t xml:space="preserve">for use of </w:t>
      </w:r>
      <w:proofErr w:type="spellStart"/>
      <w:r w:rsidR="00BA0FDB" w:rsidRPr="00CC4DC5">
        <w:rPr>
          <w:color w:val="auto"/>
        </w:rPr>
        <w:t>olaparib</w:t>
      </w:r>
      <w:proofErr w:type="spellEnd"/>
      <w:r w:rsidR="00BA0FDB" w:rsidRPr="00CC4DC5">
        <w:rPr>
          <w:color w:val="auto"/>
        </w:rPr>
        <w:t xml:space="preserve"> after 2</w:t>
      </w:r>
      <w:r w:rsidR="00BA0FDB" w:rsidRPr="00CC4DC5">
        <w:rPr>
          <w:color w:val="auto"/>
          <w:vertAlign w:val="superscript"/>
        </w:rPr>
        <w:t>nd</w:t>
      </w:r>
      <w:r w:rsidR="00BA0FDB" w:rsidRPr="00CC4DC5">
        <w:rPr>
          <w:color w:val="auto"/>
        </w:rPr>
        <w:t xml:space="preserve"> line platinum chemotherapy</w:t>
      </w:r>
      <w:r w:rsidR="0027530F" w:rsidRPr="00CC4DC5">
        <w:rPr>
          <w:color w:val="auto"/>
        </w:rPr>
        <w:t xml:space="preserve">, and anticipated </w:t>
      </w:r>
      <w:r w:rsidR="00863CA9" w:rsidRPr="00CC4DC5">
        <w:rPr>
          <w:color w:val="auto"/>
        </w:rPr>
        <w:t xml:space="preserve">that </w:t>
      </w:r>
      <w:r w:rsidR="00D246DC" w:rsidRPr="00CC4DC5">
        <w:rPr>
          <w:color w:val="auto"/>
        </w:rPr>
        <w:t xml:space="preserve">if the PBS listing was aligned </w:t>
      </w:r>
      <w:r w:rsidR="00C776D3" w:rsidRPr="00CC4DC5">
        <w:rPr>
          <w:color w:val="auto"/>
        </w:rPr>
        <w:t xml:space="preserve">in the future </w:t>
      </w:r>
      <w:r w:rsidR="00D246DC" w:rsidRPr="00CC4DC5">
        <w:rPr>
          <w:color w:val="auto"/>
        </w:rPr>
        <w:t xml:space="preserve">then </w:t>
      </w:r>
      <w:r w:rsidR="00D21324" w:rsidRPr="00CC4DC5">
        <w:rPr>
          <w:color w:val="auto"/>
        </w:rPr>
        <w:t xml:space="preserve">all </w:t>
      </w:r>
      <w:r w:rsidR="00D06A5B" w:rsidRPr="00CC4DC5">
        <w:rPr>
          <w:color w:val="auto"/>
        </w:rPr>
        <w:t xml:space="preserve">platinum-responding patients would be </w:t>
      </w:r>
      <w:r w:rsidR="00563974" w:rsidRPr="00CC4DC5">
        <w:rPr>
          <w:color w:val="auto"/>
        </w:rPr>
        <w:t>eligible</w:t>
      </w:r>
      <w:r w:rsidR="00D06A5B" w:rsidRPr="00CC4DC5">
        <w:rPr>
          <w:color w:val="auto"/>
        </w:rPr>
        <w:t xml:space="preserve"> for </w:t>
      </w:r>
      <w:proofErr w:type="spellStart"/>
      <w:r w:rsidR="00D06A5B" w:rsidRPr="00CC4DC5">
        <w:rPr>
          <w:color w:val="auto"/>
        </w:rPr>
        <w:t>olaparib</w:t>
      </w:r>
      <w:proofErr w:type="spellEnd"/>
      <w:r w:rsidR="00727BC9" w:rsidRPr="00CC4DC5">
        <w:rPr>
          <w:color w:val="auto"/>
        </w:rPr>
        <w:t>.</w:t>
      </w:r>
      <w:r w:rsidR="009A358B" w:rsidRPr="00CC4DC5">
        <w:t xml:space="preserve"> </w:t>
      </w:r>
      <w:r w:rsidR="006447E7" w:rsidRPr="00CC4DC5">
        <w:t>However, t</w:t>
      </w:r>
      <w:r w:rsidR="009A358B" w:rsidRPr="00CC4DC5">
        <w:rPr>
          <w:color w:val="auto"/>
        </w:rPr>
        <w:t xml:space="preserve">he </w:t>
      </w:r>
      <w:r w:rsidR="00052DD0" w:rsidRPr="00CC4DC5">
        <w:rPr>
          <w:color w:val="auto"/>
        </w:rPr>
        <w:t xml:space="preserve">ESC </w:t>
      </w:r>
      <w:r w:rsidR="00AF330A" w:rsidRPr="00CC4DC5">
        <w:rPr>
          <w:color w:val="auto"/>
        </w:rPr>
        <w:t xml:space="preserve">noted that such a change would require PBAC consideration of a major submission for this broader indication. The ESC noted </w:t>
      </w:r>
      <w:r w:rsidR="00052DD0" w:rsidRPr="00CC4DC5">
        <w:rPr>
          <w:color w:val="auto"/>
        </w:rPr>
        <w:t xml:space="preserve">that </w:t>
      </w:r>
      <w:r w:rsidR="00C10B87" w:rsidRPr="00CC4DC5">
        <w:rPr>
          <w:color w:val="auto"/>
        </w:rPr>
        <w:t xml:space="preserve">the </w:t>
      </w:r>
      <w:r w:rsidR="009A358B" w:rsidRPr="00CC4DC5">
        <w:rPr>
          <w:color w:val="auto"/>
        </w:rPr>
        <w:t xml:space="preserve">incremental effectiveness of </w:t>
      </w:r>
      <w:r w:rsidR="003869DB" w:rsidRPr="00CC4DC5">
        <w:rPr>
          <w:color w:val="auto"/>
        </w:rPr>
        <w:t>second</w:t>
      </w:r>
      <w:r w:rsidR="00CC1DEF">
        <w:rPr>
          <w:color w:val="auto"/>
        </w:rPr>
        <w:t>-</w:t>
      </w:r>
      <w:r w:rsidR="00C10B87" w:rsidRPr="00CC4DC5">
        <w:rPr>
          <w:color w:val="auto"/>
        </w:rPr>
        <w:t xml:space="preserve">line </w:t>
      </w:r>
      <w:proofErr w:type="spellStart"/>
      <w:r w:rsidR="009A358B" w:rsidRPr="00CC4DC5">
        <w:rPr>
          <w:color w:val="auto"/>
        </w:rPr>
        <w:t>olaparib</w:t>
      </w:r>
      <w:proofErr w:type="spellEnd"/>
      <w:r w:rsidR="009A358B" w:rsidRPr="00CC4DC5">
        <w:rPr>
          <w:color w:val="auto"/>
        </w:rPr>
        <w:t xml:space="preserve"> </w:t>
      </w:r>
      <w:r w:rsidR="00B732C2" w:rsidRPr="00CC4DC5">
        <w:rPr>
          <w:color w:val="auto"/>
        </w:rPr>
        <w:t xml:space="preserve">was reduced </w:t>
      </w:r>
      <w:r w:rsidR="009A358B" w:rsidRPr="00CC4DC5">
        <w:rPr>
          <w:color w:val="auto"/>
        </w:rPr>
        <w:t>in</w:t>
      </w:r>
      <w:r w:rsidR="00C10B87" w:rsidRPr="00CC4DC5">
        <w:rPr>
          <w:color w:val="auto"/>
        </w:rPr>
        <w:t xml:space="preserve"> </w:t>
      </w:r>
      <w:proofErr w:type="spellStart"/>
      <w:r w:rsidR="00C10B87" w:rsidRPr="004527E3">
        <w:rPr>
          <w:i/>
          <w:color w:val="auto"/>
        </w:rPr>
        <w:t>BRCA</w:t>
      </w:r>
      <w:r w:rsidR="00C10B87" w:rsidRPr="00CC4DC5">
        <w:rPr>
          <w:color w:val="auto"/>
        </w:rPr>
        <w:t>wt</w:t>
      </w:r>
      <w:proofErr w:type="spellEnd"/>
      <w:r w:rsidR="00C10B87" w:rsidRPr="00CC4DC5">
        <w:rPr>
          <w:color w:val="auto"/>
        </w:rPr>
        <w:t xml:space="preserve"> </w:t>
      </w:r>
      <w:r w:rsidR="009A358B" w:rsidRPr="00CC4DC5">
        <w:rPr>
          <w:color w:val="auto"/>
        </w:rPr>
        <w:t xml:space="preserve">patients compared to </w:t>
      </w:r>
      <w:proofErr w:type="spellStart"/>
      <w:r w:rsidR="009A358B" w:rsidRPr="00CC4DC5">
        <w:rPr>
          <w:i/>
          <w:color w:val="auto"/>
        </w:rPr>
        <w:t>BRCA</w:t>
      </w:r>
      <w:r w:rsidR="00B732C2" w:rsidRPr="00CC4DC5">
        <w:rPr>
          <w:color w:val="auto"/>
        </w:rPr>
        <w:t>m</w:t>
      </w:r>
      <w:proofErr w:type="spellEnd"/>
      <w:r w:rsidR="00B732C2" w:rsidRPr="00CC4DC5">
        <w:rPr>
          <w:color w:val="auto"/>
        </w:rPr>
        <w:t xml:space="preserve"> </w:t>
      </w:r>
      <w:r w:rsidR="009A358B" w:rsidRPr="00CC4DC5">
        <w:rPr>
          <w:color w:val="auto"/>
        </w:rPr>
        <w:t xml:space="preserve">patients, </w:t>
      </w:r>
      <w:r w:rsidR="00AF3FCF" w:rsidRPr="00CC4DC5">
        <w:rPr>
          <w:color w:val="auto"/>
        </w:rPr>
        <w:t xml:space="preserve">consequently </w:t>
      </w:r>
      <w:r w:rsidR="00D526FE" w:rsidRPr="00CC4DC5">
        <w:rPr>
          <w:color w:val="auto"/>
        </w:rPr>
        <w:t xml:space="preserve">a broader </w:t>
      </w:r>
      <w:r w:rsidR="003869DB" w:rsidRPr="00CC4DC5">
        <w:rPr>
          <w:color w:val="auto"/>
        </w:rPr>
        <w:t>second</w:t>
      </w:r>
      <w:r w:rsidR="00CC1DEF">
        <w:rPr>
          <w:color w:val="auto"/>
        </w:rPr>
        <w:t>-</w:t>
      </w:r>
      <w:r w:rsidR="00EA3D7D" w:rsidRPr="00CC4DC5">
        <w:rPr>
          <w:color w:val="auto"/>
        </w:rPr>
        <w:t>l</w:t>
      </w:r>
      <w:r w:rsidR="00D526FE" w:rsidRPr="00CC4DC5">
        <w:rPr>
          <w:color w:val="auto"/>
        </w:rPr>
        <w:t xml:space="preserve">ine PBS listing would </w:t>
      </w:r>
      <w:r w:rsidR="009A358B" w:rsidRPr="00CC4DC5">
        <w:rPr>
          <w:color w:val="auto"/>
        </w:rPr>
        <w:t>increas</w:t>
      </w:r>
      <w:r w:rsidR="00D526FE" w:rsidRPr="00CC4DC5">
        <w:rPr>
          <w:color w:val="auto"/>
        </w:rPr>
        <w:t xml:space="preserve">e </w:t>
      </w:r>
      <w:r w:rsidR="009A358B" w:rsidRPr="00CC4DC5">
        <w:rPr>
          <w:color w:val="auto"/>
        </w:rPr>
        <w:t>the ICER/QALY for this additional population</w:t>
      </w:r>
      <w:r w:rsidR="00AF330A" w:rsidRPr="00CC4DC5">
        <w:rPr>
          <w:color w:val="auto"/>
        </w:rPr>
        <w:t xml:space="preserve">. As such, </w:t>
      </w:r>
      <w:proofErr w:type="spellStart"/>
      <w:r w:rsidR="00AF330A" w:rsidRPr="00CC4DC5">
        <w:rPr>
          <w:color w:val="auto"/>
        </w:rPr>
        <w:t>olaparib</w:t>
      </w:r>
      <w:proofErr w:type="spellEnd"/>
      <w:r w:rsidR="00AF330A" w:rsidRPr="00CC4DC5">
        <w:rPr>
          <w:color w:val="auto"/>
        </w:rPr>
        <w:t xml:space="preserve"> treatment in the broader </w:t>
      </w:r>
      <w:r w:rsidR="003869DB" w:rsidRPr="00CC4DC5">
        <w:rPr>
          <w:color w:val="auto"/>
        </w:rPr>
        <w:t>second</w:t>
      </w:r>
      <w:r w:rsidR="00CC1DEF">
        <w:rPr>
          <w:color w:val="auto"/>
        </w:rPr>
        <w:t>-</w:t>
      </w:r>
      <w:r w:rsidR="00AF330A" w:rsidRPr="00CC4DC5">
        <w:rPr>
          <w:color w:val="auto"/>
        </w:rPr>
        <w:t xml:space="preserve">line </w:t>
      </w:r>
      <w:r w:rsidR="00E166DE" w:rsidRPr="00CC4DC5">
        <w:rPr>
          <w:color w:val="auto"/>
        </w:rPr>
        <w:t>population may not</w:t>
      </w:r>
      <w:r w:rsidR="006C4660" w:rsidRPr="00CC4DC5">
        <w:rPr>
          <w:color w:val="auto"/>
        </w:rPr>
        <w:t xml:space="preserve"> be</w:t>
      </w:r>
      <w:r w:rsidR="009A358B" w:rsidRPr="00CC4DC5">
        <w:rPr>
          <w:color w:val="auto"/>
        </w:rPr>
        <w:t xml:space="preserve"> acceptably cost-effective under the current pricing arrangement</w:t>
      </w:r>
      <w:r w:rsidR="00D526FE" w:rsidRPr="00CC4DC5">
        <w:rPr>
          <w:color w:val="auto"/>
        </w:rPr>
        <w:t>.</w:t>
      </w:r>
    </w:p>
    <w:p w:rsidR="00FB3214" w:rsidRPr="00FB3214" w:rsidRDefault="00FB3214" w:rsidP="00FB3214">
      <w:pPr>
        <w:rPr>
          <w:i/>
        </w:rPr>
      </w:pPr>
      <w:r w:rsidRPr="00FB3214">
        <w:rPr>
          <w:i/>
        </w:rPr>
        <w:t>For more detail on PBAC’s view, see section 7 PBAC outcome.</w:t>
      </w:r>
    </w:p>
    <w:p w:rsidR="00B12A8C" w:rsidRPr="00DC08B0" w:rsidRDefault="00B12A8C" w:rsidP="00563974">
      <w:pPr>
        <w:pStyle w:val="PBACESHeading1"/>
        <w:keepNext w:val="0"/>
        <w:numPr>
          <w:ilvl w:val="0"/>
          <w:numId w:val="1"/>
        </w:numPr>
      </w:pPr>
      <w:bookmarkStart w:id="11" w:name="_Toc18489974"/>
      <w:r w:rsidRPr="00DC08B0">
        <w:t>Comparator</w:t>
      </w:r>
      <w:bookmarkEnd w:id="11"/>
    </w:p>
    <w:p w:rsidR="00B12A8C" w:rsidRPr="00DC08B0" w:rsidRDefault="00B12A8C" w:rsidP="00563974">
      <w:pPr>
        <w:pStyle w:val="ListParagraph"/>
        <w:numPr>
          <w:ilvl w:val="4"/>
          <w:numId w:val="1"/>
        </w:numPr>
        <w:rPr>
          <w:color w:val="auto"/>
        </w:rPr>
      </w:pPr>
      <w:r w:rsidRPr="00DC08B0">
        <w:rPr>
          <w:color w:val="auto"/>
        </w:rPr>
        <w:t>The proposed comparator</w:t>
      </w:r>
      <w:r w:rsidR="002B3987">
        <w:rPr>
          <w:color w:val="auto"/>
        </w:rPr>
        <w:t xml:space="preserve"> in the submission was</w:t>
      </w:r>
      <w:r w:rsidRPr="00DC08B0">
        <w:rPr>
          <w:color w:val="auto"/>
        </w:rPr>
        <w:t xml:space="preserve"> standard clinical practice. Currently, patients diagnosed with HGEOC will likely receive germline </w:t>
      </w:r>
      <w:proofErr w:type="spellStart"/>
      <w:r w:rsidRPr="00E42F6A">
        <w:rPr>
          <w:i/>
          <w:color w:val="auto"/>
        </w:rPr>
        <w:t>BRCA</w:t>
      </w:r>
      <w:r w:rsidR="00122D91">
        <w:rPr>
          <w:color w:val="auto"/>
        </w:rPr>
        <w:t>m</w:t>
      </w:r>
      <w:proofErr w:type="spellEnd"/>
      <w:r w:rsidR="00122D91">
        <w:rPr>
          <w:color w:val="auto"/>
        </w:rPr>
        <w:t xml:space="preserve"> </w:t>
      </w:r>
      <w:r w:rsidRPr="00DC08B0">
        <w:rPr>
          <w:color w:val="auto"/>
        </w:rPr>
        <w:t xml:space="preserve">testing. Following platinum-based chemotherapy, patients </w:t>
      </w:r>
      <w:r w:rsidR="0018473F">
        <w:rPr>
          <w:color w:val="auto"/>
        </w:rPr>
        <w:t>are</w:t>
      </w:r>
      <w:r w:rsidR="0018473F" w:rsidRPr="00DC08B0">
        <w:rPr>
          <w:color w:val="auto"/>
        </w:rPr>
        <w:t xml:space="preserve"> </w:t>
      </w:r>
      <w:r w:rsidRPr="00DC08B0">
        <w:rPr>
          <w:color w:val="auto"/>
        </w:rPr>
        <w:t xml:space="preserve">monitored (watch and wait). In the </w:t>
      </w:r>
      <w:r w:rsidR="006F3D21">
        <w:rPr>
          <w:color w:val="auto"/>
        </w:rPr>
        <w:t>e</w:t>
      </w:r>
      <w:r w:rsidRPr="00DC08B0">
        <w:rPr>
          <w:color w:val="auto"/>
        </w:rPr>
        <w:t xml:space="preserve">vent of progression or relapse, patients who remain suitable receive a second-line of platinum-based chemotherapy. Those patients who respond (either partial or complete response) and who are </w:t>
      </w:r>
      <w:proofErr w:type="spellStart"/>
      <w:r w:rsidRPr="00DC08B0">
        <w:rPr>
          <w:color w:val="auto"/>
        </w:rPr>
        <w:t>g</w:t>
      </w:r>
      <w:r w:rsidRPr="003B527C">
        <w:rPr>
          <w:i/>
          <w:color w:val="auto"/>
        </w:rPr>
        <w:t>BRCA</w:t>
      </w:r>
      <w:r w:rsidR="00122D91">
        <w:rPr>
          <w:color w:val="auto"/>
        </w:rPr>
        <w:t>m</w:t>
      </w:r>
      <w:proofErr w:type="spellEnd"/>
      <w:r w:rsidR="00122D91">
        <w:rPr>
          <w:color w:val="auto"/>
        </w:rPr>
        <w:t>-</w:t>
      </w:r>
      <w:r w:rsidRPr="00DC08B0">
        <w:rPr>
          <w:color w:val="auto"/>
        </w:rPr>
        <w:t xml:space="preserve">positive </w:t>
      </w:r>
      <w:r w:rsidR="009327F6">
        <w:rPr>
          <w:color w:val="auto"/>
        </w:rPr>
        <w:t>are</w:t>
      </w:r>
      <w:r w:rsidRPr="00DC08B0">
        <w:rPr>
          <w:color w:val="auto"/>
        </w:rPr>
        <w:t xml:space="preserve"> eligible for maintenance </w:t>
      </w:r>
      <w:proofErr w:type="spellStart"/>
      <w:r w:rsidRPr="00DC08B0">
        <w:rPr>
          <w:color w:val="auto"/>
        </w:rPr>
        <w:t>olaparib</w:t>
      </w:r>
      <w:proofErr w:type="spellEnd"/>
      <w:r w:rsidRPr="00DC08B0">
        <w:rPr>
          <w:color w:val="auto"/>
        </w:rPr>
        <w:t>.</w:t>
      </w:r>
      <w:r w:rsidR="00CA47F7">
        <w:rPr>
          <w:color w:val="auto"/>
        </w:rPr>
        <w:t xml:space="preserve"> </w:t>
      </w:r>
    </w:p>
    <w:p w:rsidR="00B12A8C" w:rsidRPr="00DC08B0" w:rsidRDefault="00B12A8C" w:rsidP="00563974">
      <w:pPr>
        <w:pStyle w:val="ListParagraph"/>
        <w:numPr>
          <w:ilvl w:val="4"/>
          <w:numId w:val="1"/>
        </w:numPr>
        <w:rPr>
          <w:color w:val="auto"/>
        </w:rPr>
      </w:pPr>
      <w:r w:rsidRPr="00DC08B0">
        <w:rPr>
          <w:color w:val="auto"/>
        </w:rPr>
        <w:t xml:space="preserve">Patients who did not receive a germline </w:t>
      </w:r>
      <w:proofErr w:type="spellStart"/>
      <w:r w:rsidRPr="003B527C">
        <w:rPr>
          <w:i/>
          <w:color w:val="auto"/>
        </w:rPr>
        <w:t>BRCA</w:t>
      </w:r>
      <w:r w:rsidR="00122D91">
        <w:rPr>
          <w:color w:val="auto"/>
        </w:rPr>
        <w:t>m</w:t>
      </w:r>
      <w:proofErr w:type="spellEnd"/>
      <w:r w:rsidR="00122D91">
        <w:rPr>
          <w:color w:val="auto"/>
        </w:rPr>
        <w:t xml:space="preserve"> </w:t>
      </w:r>
      <w:r w:rsidRPr="00DC08B0">
        <w:rPr>
          <w:color w:val="auto"/>
        </w:rPr>
        <w:t xml:space="preserve">test at diagnosis receive a germline </w:t>
      </w:r>
      <w:proofErr w:type="spellStart"/>
      <w:r w:rsidRPr="003B527C">
        <w:rPr>
          <w:i/>
          <w:color w:val="auto"/>
        </w:rPr>
        <w:t>BRCA</w:t>
      </w:r>
      <w:r w:rsidR="00122D91">
        <w:rPr>
          <w:color w:val="auto"/>
        </w:rPr>
        <w:t>m</w:t>
      </w:r>
      <w:proofErr w:type="spellEnd"/>
      <w:r w:rsidR="00122D91">
        <w:rPr>
          <w:color w:val="auto"/>
        </w:rPr>
        <w:t xml:space="preserve"> </w:t>
      </w:r>
      <w:r w:rsidRPr="00DC08B0">
        <w:rPr>
          <w:color w:val="auto"/>
        </w:rPr>
        <w:t xml:space="preserve">test following response to the </w:t>
      </w:r>
      <w:r w:rsidR="00122D91">
        <w:rPr>
          <w:color w:val="auto"/>
        </w:rPr>
        <w:t>second-line</w:t>
      </w:r>
      <w:r w:rsidRPr="00DC08B0">
        <w:rPr>
          <w:color w:val="auto"/>
        </w:rPr>
        <w:t xml:space="preserve"> platinum-based chemotherapy to establish eligibility for maintenance </w:t>
      </w:r>
      <w:proofErr w:type="spellStart"/>
      <w:r w:rsidRPr="00DC08B0">
        <w:rPr>
          <w:color w:val="auto"/>
        </w:rPr>
        <w:t>olaparib</w:t>
      </w:r>
      <w:proofErr w:type="spellEnd"/>
      <w:r w:rsidRPr="00DC08B0">
        <w:rPr>
          <w:color w:val="auto"/>
        </w:rPr>
        <w:t>.</w:t>
      </w:r>
    </w:p>
    <w:p w:rsidR="00B12A8C" w:rsidRPr="00DC08B0" w:rsidRDefault="00B12A8C" w:rsidP="00563974">
      <w:pPr>
        <w:pStyle w:val="ListParagraph"/>
        <w:numPr>
          <w:ilvl w:val="4"/>
          <w:numId w:val="1"/>
        </w:numPr>
        <w:rPr>
          <w:color w:val="auto"/>
        </w:rPr>
      </w:pPr>
      <w:r w:rsidRPr="00DC08B0">
        <w:rPr>
          <w:color w:val="auto"/>
        </w:rPr>
        <w:t xml:space="preserve">Patients who </w:t>
      </w:r>
      <w:r w:rsidR="00122D91">
        <w:rPr>
          <w:color w:val="auto"/>
        </w:rPr>
        <w:t xml:space="preserve">do not have a </w:t>
      </w:r>
      <w:proofErr w:type="spellStart"/>
      <w:r w:rsidRPr="00DC08B0">
        <w:rPr>
          <w:color w:val="auto"/>
        </w:rPr>
        <w:t>g</w:t>
      </w:r>
      <w:r w:rsidRPr="003B527C">
        <w:rPr>
          <w:i/>
          <w:color w:val="auto"/>
        </w:rPr>
        <w:t>BRCA</w:t>
      </w:r>
      <w:r w:rsidR="00122D91">
        <w:rPr>
          <w:color w:val="auto"/>
        </w:rPr>
        <w:t>m</w:t>
      </w:r>
      <w:proofErr w:type="spellEnd"/>
      <w:r w:rsidRPr="00DC08B0">
        <w:rPr>
          <w:color w:val="auto"/>
        </w:rPr>
        <w:t xml:space="preserve"> receive sequential regimens of platinum-based chemotherapy without </w:t>
      </w:r>
      <w:r w:rsidR="00122D91">
        <w:rPr>
          <w:color w:val="auto"/>
        </w:rPr>
        <w:t>second-line</w:t>
      </w:r>
      <w:r w:rsidRPr="00DC08B0">
        <w:rPr>
          <w:color w:val="auto"/>
        </w:rPr>
        <w:t xml:space="preserve"> maintenance </w:t>
      </w:r>
      <w:proofErr w:type="spellStart"/>
      <w:r w:rsidRPr="00DC08B0">
        <w:rPr>
          <w:color w:val="auto"/>
        </w:rPr>
        <w:t>olaparib</w:t>
      </w:r>
      <w:proofErr w:type="spellEnd"/>
      <w:r w:rsidRPr="00DC08B0">
        <w:rPr>
          <w:color w:val="auto"/>
        </w:rPr>
        <w:t>. This group include</w:t>
      </w:r>
      <w:r w:rsidR="00DF7282">
        <w:rPr>
          <w:color w:val="auto"/>
        </w:rPr>
        <w:t>s</w:t>
      </w:r>
      <w:r w:rsidRPr="00DC08B0">
        <w:rPr>
          <w:color w:val="auto"/>
        </w:rPr>
        <w:t xml:space="preserve"> patients who harbour</w:t>
      </w:r>
      <w:r w:rsidR="00DF7282">
        <w:rPr>
          <w:color w:val="auto"/>
        </w:rPr>
        <w:t xml:space="preserve"> a</w:t>
      </w:r>
      <w:r w:rsidRPr="00DC08B0">
        <w:rPr>
          <w:color w:val="auto"/>
        </w:rPr>
        <w:t xml:space="preserve"> </w:t>
      </w:r>
      <w:proofErr w:type="spellStart"/>
      <w:r w:rsidRPr="00DC08B0">
        <w:rPr>
          <w:color w:val="auto"/>
        </w:rPr>
        <w:t>s</w:t>
      </w:r>
      <w:r w:rsidRPr="003B527C">
        <w:rPr>
          <w:i/>
          <w:color w:val="auto"/>
        </w:rPr>
        <w:t>BRCA</w:t>
      </w:r>
      <w:r w:rsidRPr="00DC08B0">
        <w:rPr>
          <w:color w:val="auto"/>
        </w:rPr>
        <w:t>m</w:t>
      </w:r>
      <w:proofErr w:type="spellEnd"/>
      <w:r w:rsidRPr="00DC08B0">
        <w:rPr>
          <w:color w:val="auto"/>
        </w:rPr>
        <w:t>.</w:t>
      </w:r>
    </w:p>
    <w:p w:rsidR="00B12A8C" w:rsidRDefault="00B12A8C" w:rsidP="00563974">
      <w:pPr>
        <w:pStyle w:val="ListParagraph"/>
        <w:numPr>
          <w:ilvl w:val="4"/>
          <w:numId w:val="1"/>
        </w:numPr>
        <w:rPr>
          <w:color w:val="auto"/>
        </w:rPr>
      </w:pPr>
      <w:r w:rsidRPr="00DC08B0">
        <w:rPr>
          <w:color w:val="auto"/>
        </w:rPr>
        <w:t xml:space="preserve">The </w:t>
      </w:r>
      <w:r w:rsidR="00CA47F7">
        <w:rPr>
          <w:color w:val="auto"/>
        </w:rPr>
        <w:t xml:space="preserve">PBAC considered the </w:t>
      </w:r>
      <w:r w:rsidRPr="00DC08B0">
        <w:rPr>
          <w:color w:val="auto"/>
        </w:rPr>
        <w:t xml:space="preserve">appropriate comparator is therefore watch and wait, followed by second-line platinum-based chemotherapy with </w:t>
      </w:r>
      <w:proofErr w:type="spellStart"/>
      <w:r w:rsidRPr="00DC08B0">
        <w:rPr>
          <w:color w:val="auto"/>
        </w:rPr>
        <w:t>olaparib</w:t>
      </w:r>
      <w:proofErr w:type="spellEnd"/>
      <w:r w:rsidRPr="00DC08B0">
        <w:rPr>
          <w:color w:val="auto"/>
        </w:rPr>
        <w:t xml:space="preserve"> maintenance in patients with </w:t>
      </w:r>
      <w:proofErr w:type="spellStart"/>
      <w:r w:rsidRPr="00DC08B0">
        <w:rPr>
          <w:color w:val="auto"/>
        </w:rPr>
        <w:t>g</w:t>
      </w:r>
      <w:r w:rsidRPr="003B527C">
        <w:rPr>
          <w:i/>
          <w:color w:val="auto"/>
        </w:rPr>
        <w:t>BRCA</w:t>
      </w:r>
      <w:r w:rsidRPr="00DC08B0">
        <w:rPr>
          <w:color w:val="auto"/>
        </w:rPr>
        <w:t>m</w:t>
      </w:r>
      <w:proofErr w:type="spellEnd"/>
      <w:r w:rsidRPr="00DC08B0">
        <w:rPr>
          <w:color w:val="auto"/>
        </w:rPr>
        <w:t xml:space="preserve">; and watch and wait, followed by second-line platinum-based chemotherapy without </w:t>
      </w:r>
      <w:proofErr w:type="spellStart"/>
      <w:r w:rsidRPr="00DC08B0">
        <w:rPr>
          <w:color w:val="auto"/>
        </w:rPr>
        <w:t>olaparib</w:t>
      </w:r>
      <w:proofErr w:type="spellEnd"/>
      <w:r w:rsidRPr="00DC08B0">
        <w:rPr>
          <w:color w:val="auto"/>
        </w:rPr>
        <w:t xml:space="preserve"> maintenance in patients with </w:t>
      </w:r>
      <w:proofErr w:type="spellStart"/>
      <w:r w:rsidRPr="00CC4DC5">
        <w:rPr>
          <w:color w:val="auto"/>
        </w:rPr>
        <w:t>s</w:t>
      </w:r>
      <w:r w:rsidRPr="00CC4DC5">
        <w:rPr>
          <w:i/>
          <w:color w:val="auto"/>
        </w:rPr>
        <w:t>BRCA</w:t>
      </w:r>
      <w:r w:rsidRPr="00CC4DC5">
        <w:rPr>
          <w:color w:val="auto"/>
        </w:rPr>
        <w:t>m</w:t>
      </w:r>
      <w:proofErr w:type="spellEnd"/>
      <w:r w:rsidR="00FA37FA" w:rsidRPr="00CC4DC5">
        <w:rPr>
          <w:color w:val="auto"/>
        </w:rPr>
        <w:t xml:space="preserve"> without </w:t>
      </w:r>
      <w:proofErr w:type="spellStart"/>
      <w:r w:rsidR="00D75790" w:rsidRPr="00CC4DC5">
        <w:rPr>
          <w:color w:val="auto"/>
        </w:rPr>
        <w:t>g</w:t>
      </w:r>
      <w:r w:rsidR="00D75790" w:rsidRPr="00CC4DC5">
        <w:rPr>
          <w:i/>
          <w:color w:val="auto"/>
        </w:rPr>
        <w:t>BRCA</w:t>
      </w:r>
      <w:r w:rsidR="00D75790" w:rsidRPr="00CC4DC5">
        <w:rPr>
          <w:color w:val="auto"/>
        </w:rPr>
        <w:t>m</w:t>
      </w:r>
      <w:proofErr w:type="spellEnd"/>
      <w:r w:rsidRPr="00DC08B0">
        <w:rPr>
          <w:color w:val="auto"/>
        </w:rPr>
        <w:t>.</w:t>
      </w:r>
    </w:p>
    <w:p w:rsidR="00CA47F7" w:rsidRPr="00CA47F7" w:rsidRDefault="00CA47F7" w:rsidP="00CA47F7">
      <w:pPr>
        <w:pStyle w:val="ListParagraph"/>
        <w:numPr>
          <w:ilvl w:val="4"/>
          <w:numId w:val="1"/>
        </w:numPr>
        <w:rPr>
          <w:color w:val="auto"/>
        </w:rPr>
      </w:pPr>
      <w:r w:rsidRPr="00DC08B0">
        <w:rPr>
          <w:color w:val="auto"/>
        </w:rPr>
        <w:t>While bevacizumab is currently available for patients with sub</w:t>
      </w:r>
      <w:r>
        <w:rPr>
          <w:color w:val="auto"/>
        </w:rPr>
        <w:t>-</w:t>
      </w:r>
      <w:r w:rsidRPr="00DC08B0">
        <w:rPr>
          <w:color w:val="auto"/>
        </w:rPr>
        <w:t xml:space="preserve">optimally </w:t>
      </w:r>
      <w:proofErr w:type="spellStart"/>
      <w:r w:rsidRPr="00DC08B0">
        <w:rPr>
          <w:color w:val="auto"/>
        </w:rPr>
        <w:t>debulked</w:t>
      </w:r>
      <w:proofErr w:type="spellEnd"/>
      <w:r w:rsidRPr="00DC08B0">
        <w:rPr>
          <w:color w:val="auto"/>
        </w:rPr>
        <w:t xml:space="preserve"> Stage III ovarian cancer, the </w:t>
      </w:r>
      <w:r>
        <w:rPr>
          <w:color w:val="auto"/>
        </w:rPr>
        <w:t>submission</w:t>
      </w:r>
      <w:r w:rsidRPr="00DC08B0">
        <w:rPr>
          <w:color w:val="auto"/>
        </w:rPr>
        <w:t xml:space="preserve"> stated that the populations currently treated </w:t>
      </w:r>
      <w:r w:rsidRPr="00DC08B0">
        <w:rPr>
          <w:color w:val="auto"/>
        </w:rPr>
        <w:lastRenderedPageBreak/>
        <w:t xml:space="preserve">with bevacizumab are less likely to harbour a </w:t>
      </w:r>
      <w:proofErr w:type="spellStart"/>
      <w:r w:rsidRPr="00E42F6A">
        <w:rPr>
          <w:i/>
          <w:color w:val="auto"/>
        </w:rPr>
        <w:t>BRCA</w:t>
      </w:r>
      <w:r w:rsidRPr="00DC08B0">
        <w:rPr>
          <w:color w:val="auto"/>
        </w:rPr>
        <w:t>m</w:t>
      </w:r>
      <w:proofErr w:type="spellEnd"/>
      <w:r w:rsidRPr="00DC08B0">
        <w:rPr>
          <w:color w:val="auto"/>
        </w:rPr>
        <w:t xml:space="preserve">, and are less likely to respond to platinum-based chemotherapy. </w:t>
      </w:r>
      <w:r w:rsidR="00C75756">
        <w:rPr>
          <w:color w:val="auto"/>
        </w:rPr>
        <w:t>The PBAC noted</w:t>
      </w:r>
      <w:r w:rsidR="008E3797">
        <w:rPr>
          <w:color w:val="auto"/>
        </w:rPr>
        <w:t xml:space="preserve"> </w:t>
      </w:r>
      <w:proofErr w:type="spellStart"/>
      <w:r w:rsidR="00342267">
        <w:rPr>
          <w:color w:val="auto"/>
        </w:rPr>
        <w:t>olaparib</w:t>
      </w:r>
      <w:proofErr w:type="spellEnd"/>
      <w:r w:rsidR="00342267">
        <w:rPr>
          <w:color w:val="auto"/>
        </w:rPr>
        <w:t xml:space="preserve"> is an alternative to</w:t>
      </w:r>
      <w:r w:rsidRPr="00DC08B0">
        <w:rPr>
          <w:color w:val="auto"/>
        </w:rPr>
        <w:t xml:space="preserve"> bevacizumab maintenance following </w:t>
      </w:r>
      <w:r>
        <w:rPr>
          <w:color w:val="auto"/>
        </w:rPr>
        <w:t>first-line</w:t>
      </w:r>
      <w:r w:rsidRPr="00DC08B0">
        <w:rPr>
          <w:color w:val="auto"/>
        </w:rPr>
        <w:t xml:space="preserve"> </w:t>
      </w:r>
      <w:r w:rsidR="00342267">
        <w:rPr>
          <w:color w:val="auto"/>
        </w:rPr>
        <w:t>chemotherapy</w:t>
      </w:r>
      <w:r w:rsidR="008E3797">
        <w:rPr>
          <w:color w:val="auto"/>
        </w:rPr>
        <w:t xml:space="preserve"> and bevacizumab</w:t>
      </w:r>
      <w:r w:rsidR="00C75756">
        <w:rPr>
          <w:color w:val="auto"/>
        </w:rPr>
        <w:t>. Although t</w:t>
      </w:r>
      <w:r w:rsidRPr="00DC08B0">
        <w:rPr>
          <w:color w:val="auto"/>
        </w:rPr>
        <w:t xml:space="preserve">he extent to which </w:t>
      </w:r>
      <w:proofErr w:type="spellStart"/>
      <w:r w:rsidRPr="00DC08B0">
        <w:rPr>
          <w:color w:val="auto"/>
        </w:rPr>
        <w:t>olaparib</w:t>
      </w:r>
      <w:proofErr w:type="spellEnd"/>
      <w:r w:rsidRPr="00DC08B0">
        <w:rPr>
          <w:color w:val="auto"/>
        </w:rPr>
        <w:t xml:space="preserve"> would replace bevacizumab is unknown</w:t>
      </w:r>
      <w:r w:rsidR="00C75756">
        <w:rPr>
          <w:color w:val="auto"/>
        </w:rPr>
        <w:t xml:space="preserve">, the PBAC considered that bevacizumab </w:t>
      </w:r>
      <w:r w:rsidR="008E3797">
        <w:rPr>
          <w:color w:val="auto"/>
        </w:rPr>
        <w:t>is</w:t>
      </w:r>
      <w:r w:rsidR="00C75756">
        <w:rPr>
          <w:color w:val="auto"/>
        </w:rPr>
        <w:t xml:space="preserve"> an appropriate comparator </w:t>
      </w:r>
      <w:r w:rsidR="008E3797">
        <w:rPr>
          <w:color w:val="auto"/>
        </w:rPr>
        <w:t xml:space="preserve">for the subgroup of </w:t>
      </w:r>
      <w:r w:rsidR="008E3797" w:rsidRPr="00DC08B0">
        <w:rPr>
          <w:color w:val="auto"/>
        </w:rPr>
        <w:t>patients with sub</w:t>
      </w:r>
      <w:r w:rsidR="008E3797">
        <w:rPr>
          <w:color w:val="auto"/>
        </w:rPr>
        <w:t>-</w:t>
      </w:r>
      <w:r w:rsidR="008E3797" w:rsidRPr="00DC08B0">
        <w:rPr>
          <w:color w:val="auto"/>
        </w:rPr>
        <w:t xml:space="preserve">optimally </w:t>
      </w:r>
      <w:proofErr w:type="spellStart"/>
      <w:r w:rsidR="008E3797" w:rsidRPr="00DC08B0">
        <w:rPr>
          <w:color w:val="auto"/>
        </w:rPr>
        <w:t>debulked</w:t>
      </w:r>
      <w:proofErr w:type="spellEnd"/>
      <w:r w:rsidR="008E3797" w:rsidRPr="00DC08B0">
        <w:rPr>
          <w:color w:val="auto"/>
        </w:rPr>
        <w:t xml:space="preserve"> Stage III ovarian cancer</w:t>
      </w:r>
      <w:r w:rsidRPr="00DC08B0">
        <w:rPr>
          <w:color w:val="auto"/>
        </w:rPr>
        <w:t xml:space="preserve">. </w:t>
      </w:r>
    </w:p>
    <w:p w:rsidR="00B12A8C" w:rsidRPr="00DC08B0" w:rsidRDefault="00B12A8C" w:rsidP="00CC4DC5">
      <w:pPr>
        <w:pStyle w:val="PBACESHeading1"/>
        <w:numPr>
          <w:ilvl w:val="0"/>
          <w:numId w:val="1"/>
        </w:numPr>
      </w:pPr>
      <w:bookmarkStart w:id="12" w:name="_Toc18489975"/>
      <w:r w:rsidRPr="00DC08B0">
        <w:t>Consideration of the evidence</w:t>
      </w:r>
      <w:bookmarkEnd w:id="12"/>
    </w:p>
    <w:p w:rsidR="00FB3214" w:rsidRPr="004366FF" w:rsidRDefault="00FB3214" w:rsidP="004366FF">
      <w:pPr>
        <w:pStyle w:val="PBACESHeading2"/>
        <w:keepNext w:val="0"/>
        <w:keepLines w:val="0"/>
        <w:widowControl w:val="0"/>
      </w:pPr>
      <w:bookmarkStart w:id="13" w:name="_Toc18489976"/>
      <w:r w:rsidRPr="004366FF">
        <w:t>Sponsor hearing</w:t>
      </w:r>
    </w:p>
    <w:p w:rsidR="00FB3214" w:rsidRPr="009456B1" w:rsidRDefault="00FB3214" w:rsidP="00FB3214">
      <w:pPr>
        <w:pStyle w:val="ListParagraph"/>
        <w:numPr>
          <w:ilvl w:val="4"/>
          <w:numId w:val="1"/>
        </w:numPr>
        <w:rPr>
          <w:color w:val="auto"/>
        </w:rPr>
      </w:pPr>
      <w:r w:rsidRPr="009456B1">
        <w:rPr>
          <w:color w:val="auto"/>
        </w:rPr>
        <w:t xml:space="preserve">The sponsor requested a hearing for this item.  The clinician </w:t>
      </w:r>
      <w:r w:rsidR="007B78C8" w:rsidRPr="009456B1">
        <w:rPr>
          <w:color w:val="auto"/>
        </w:rPr>
        <w:t>discussed the results of the SOLO1 trial</w:t>
      </w:r>
      <w:r w:rsidR="00383D4F">
        <w:rPr>
          <w:color w:val="auto"/>
        </w:rPr>
        <w:t>,</w:t>
      </w:r>
      <w:r w:rsidR="007B78C8" w:rsidRPr="009456B1">
        <w:rPr>
          <w:color w:val="auto"/>
        </w:rPr>
        <w:t xml:space="preserve"> </w:t>
      </w:r>
      <w:r w:rsidR="000908C6" w:rsidRPr="009456B1">
        <w:rPr>
          <w:color w:val="auto"/>
        </w:rPr>
        <w:t xml:space="preserve">noted that the prolonged PFS and time to next treatment demonstrated in this trial have the potential to make an important difference to patients in terms of quality of life, and </w:t>
      </w:r>
      <w:r w:rsidR="00B75E00">
        <w:rPr>
          <w:color w:val="auto"/>
        </w:rPr>
        <w:t xml:space="preserve">anticipated that </w:t>
      </w:r>
      <w:r w:rsidR="009A1805">
        <w:rPr>
          <w:color w:val="auto"/>
        </w:rPr>
        <w:t>it was</w:t>
      </w:r>
      <w:r w:rsidR="000908C6" w:rsidRPr="009456B1">
        <w:rPr>
          <w:color w:val="auto"/>
        </w:rPr>
        <w:t xml:space="preserve"> likely to result in survival benefit. The clinician noted that treatment of patients in the first-line setting is the only opportunity to cure patients</w:t>
      </w:r>
      <w:r w:rsidR="00714446">
        <w:rPr>
          <w:color w:val="auto"/>
        </w:rPr>
        <w:t>,</w:t>
      </w:r>
      <w:r w:rsidR="000908C6" w:rsidRPr="009456B1">
        <w:rPr>
          <w:color w:val="auto"/>
        </w:rPr>
        <w:t xml:space="preserve"> and noted changes to treatment approaches in other indications where </w:t>
      </w:r>
      <w:r w:rsidR="00557803">
        <w:rPr>
          <w:color w:val="auto"/>
        </w:rPr>
        <w:t xml:space="preserve">maintenance </w:t>
      </w:r>
      <w:r w:rsidR="000908C6" w:rsidRPr="009456B1">
        <w:rPr>
          <w:color w:val="auto"/>
        </w:rPr>
        <w:t>treatment with curative intent is the preferred approach</w:t>
      </w:r>
      <w:r w:rsidR="00B26BE5">
        <w:rPr>
          <w:color w:val="auto"/>
        </w:rPr>
        <w:t>,</w:t>
      </w:r>
      <w:r w:rsidR="004D395F" w:rsidRPr="004D395F">
        <w:rPr>
          <w:color w:val="auto"/>
        </w:rPr>
        <w:t xml:space="preserve"> </w:t>
      </w:r>
      <w:r w:rsidR="004D395F" w:rsidRPr="009456B1">
        <w:rPr>
          <w:color w:val="auto"/>
        </w:rPr>
        <w:t xml:space="preserve">such as </w:t>
      </w:r>
      <w:r w:rsidR="003242A5">
        <w:rPr>
          <w:color w:val="auto"/>
        </w:rPr>
        <w:t xml:space="preserve">immunotherapy for </w:t>
      </w:r>
      <w:r w:rsidR="004D395F" w:rsidRPr="009456B1">
        <w:rPr>
          <w:color w:val="auto"/>
        </w:rPr>
        <w:t>melanoma</w:t>
      </w:r>
      <w:r w:rsidR="000908C6" w:rsidRPr="009456B1">
        <w:rPr>
          <w:color w:val="auto"/>
        </w:rPr>
        <w:t xml:space="preserve">. The clinician answered </w:t>
      </w:r>
      <w:r w:rsidR="00557803" w:rsidRPr="009456B1">
        <w:rPr>
          <w:color w:val="auto"/>
        </w:rPr>
        <w:t xml:space="preserve">questions regarding identification of the </w:t>
      </w:r>
      <w:r w:rsidR="00E7383C">
        <w:rPr>
          <w:color w:val="auto"/>
        </w:rPr>
        <w:t xml:space="preserve">broader </w:t>
      </w:r>
      <w:r w:rsidR="00557803" w:rsidRPr="009456B1">
        <w:rPr>
          <w:color w:val="auto"/>
        </w:rPr>
        <w:t>patient population</w:t>
      </w:r>
      <w:r w:rsidR="00E7383C">
        <w:rPr>
          <w:color w:val="auto"/>
        </w:rPr>
        <w:t>s</w:t>
      </w:r>
      <w:r w:rsidR="00557803" w:rsidRPr="009456B1">
        <w:rPr>
          <w:color w:val="auto"/>
        </w:rPr>
        <w:t xml:space="preserve"> likely to benefit from </w:t>
      </w:r>
      <w:proofErr w:type="spellStart"/>
      <w:r w:rsidR="00557803" w:rsidRPr="009456B1">
        <w:rPr>
          <w:color w:val="auto"/>
        </w:rPr>
        <w:t>olaparib</w:t>
      </w:r>
      <w:proofErr w:type="spellEnd"/>
      <w:r w:rsidR="00557803" w:rsidRPr="009456B1">
        <w:rPr>
          <w:color w:val="auto"/>
        </w:rPr>
        <w:t xml:space="preserve"> treatment</w:t>
      </w:r>
      <w:r w:rsidR="00E7383C">
        <w:rPr>
          <w:color w:val="auto"/>
        </w:rPr>
        <w:t>,</w:t>
      </w:r>
      <w:r w:rsidR="00557803" w:rsidRPr="009456B1">
        <w:rPr>
          <w:color w:val="auto"/>
        </w:rPr>
        <w:t xml:space="preserve"> and the duration of treatment consider</w:t>
      </w:r>
      <w:r w:rsidR="004D60F0">
        <w:rPr>
          <w:color w:val="auto"/>
        </w:rPr>
        <w:t>e</w:t>
      </w:r>
      <w:r w:rsidR="00557803" w:rsidRPr="009456B1">
        <w:rPr>
          <w:color w:val="auto"/>
        </w:rPr>
        <w:t>d appropriate for patients with complete or partial response</w:t>
      </w:r>
      <w:r w:rsidR="00336893">
        <w:rPr>
          <w:color w:val="auto"/>
        </w:rPr>
        <w:t xml:space="preserve">, with a preference to focus </w:t>
      </w:r>
      <w:r w:rsidR="00B26BE5">
        <w:rPr>
          <w:color w:val="auto"/>
        </w:rPr>
        <w:t xml:space="preserve">on </w:t>
      </w:r>
      <w:r w:rsidR="00336893">
        <w:rPr>
          <w:color w:val="auto"/>
        </w:rPr>
        <w:t xml:space="preserve">the </w:t>
      </w:r>
      <w:r w:rsidR="00E7383C">
        <w:rPr>
          <w:color w:val="auto"/>
        </w:rPr>
        <w:t xml:space="preserve">germline and somatic </w:t>
      </w:r>
      <w:proofErr w:type="spellStart"/>
      <w:r w:rsidR="00336893">
        <w:rPr>
          <w:color w:val="auto"/>
        </w:rPr>
        <w:t>BRCAm</w:t>
      </w:r>
      <w:proofErr w:type="spellEnd"/>
      <w:r w:rsidR="00336893">
        <w:rPr>
          <w:color w:val="auto"/>
        </w:rPr>
        <w:t xml:space="preserve"> population at this time</w:t>
      </w:r>
      <w:r w:rsidR="00557803" w:rsidRPr="009456B1">
        <w:rPr>
          <w:color w:val="auto"/>
        </w:rPr>
        <w:t>.</w:t>
      </w:r>
    </w:p>
    <w:p w:rsidR="00FB3214" w:rsidRPr="004366FF" w:rsidRDefault="00FB3214" w:rsidP="004366FF">
      <w:pPr>
        <w:pStyle w:val="PBACESHeading2"/>
        <w:keepNext w:val="0"/>
        <w:keepLines w:val="0"/>
        <w:widowControl w:val="0"/>
      </w:pPr>
      <w:r w:rsidRPr="004366FF">
        <w:t>Consumer comments</w:t>
      </w:r>
    </w:p>
    <w:p w:rsidR="006117B9" w:rsidRDefault="006117B9" w:rsidP="006117B9">
      <w:pPr>
        <w:pStyle w:val="ListParagraph"/>
        <w:numPr>
          <w:ilvl w:val="4"/>
          <w:numId w:val="1"/>
        </w:numPr>
        <w:rPr>
          <w:color w:val="auto"/>
        </w:rPr>
      </w:pPr>
      <w:r>
        <w:rPr>
          <w:color w:val="auto"/>
        </w:rPr>
        <w:t xml:space="preserve">The PBAC noted and welcomed input from a </w:t>
      </w:r>
      <w:r w:rsidR="00047B00">
        <w:rPr>
          <w:color w:val="auto"/>
        </w:rPr>
        <w:t>C</w:t>
      </w:r>
      <w:r>
        <w:rPr>
          <w:color w:val="auto"/>
        </w:rPr>
        <w:t xml:space="preserve">onsumer </w:t>
      </w:r>
      <w:r w:rsidR="00047B00">
        <w:rPr>
          <w:color w:val="auto"/>
        </w:rPr>
        <w:t>H</w:t>
      </w:r>
      <w:r>
        <w:rPr>
          <w:color w:val="auto"/>
        </w:rPr>
        <w:t xml:space="preserve">earing with Ovarian Cancer Australia in support of the </w:t>
      </w:r>
      <w:proofErr w:type="spellStart"/>
      <w:r>
        <w:rPr>
          <w:color w:val="auto"/>
        </w:rPr>
        <w:t>olaparib</w:t>
      </w:r>
      <w:proofErr w:type="spellEnd"/>
      <w:r>
        <w:rPr>
          <w:color w:val="auto"/>
        </w:rPr>
        <w:t xml:space="preserve"> submission</w:t>
      </w:r>
      <w:r w:rsidR="00311637">
        <w:rPr>
          <w:color w:val="auto"/>
        </w:rPr>
        <w:t>, discussing the impact on patients of recurrence, patient interest in and understanding of treatments</w:t>
      </w:r>
      <w:r w:rsidR="00B358F7">
        <w:rPr>
          <w:color w:val="auto"/>
        </w:rPr>
        <w:t xml:space="preserve"> such as </w:t>
      </w:r>
      <w:proofErr w:type="spellStart"/>
      <w:r w:rsidR="00B358F7">
        <w:rPr>
          <w:color w:val="auto"/>
        </w:rPr>
        <w:t>olaparib</w:t>
      </w:r>
      <w:proofErr w:type="spellEnd"/>
      <w:r w:rsidR="00311637">
        <w:rPr>
          <w:color w:val="auto"/>
        </w:rPr>
        <w:t>, and the benefits of first-line maintenance treatment</w:t>
      </w:r>
      <w:r>
        <w:rPr>
          <w:color w:val="auto"/>
        </w:rPr>
        <w:t xml:space="preserve">.  </w:t>
      </w:r>
    </w:p>
    <w:p w:rsidR="00162818" w:rsidRDefault="004D1E1E" w:rsidP="00FB3214">
      <w:pPr>
        <w:pStyle w:val="ListParagraph"/>
        <w:numPr>
          <w:ilvl w:val="4"/>
          <w:numId w:val="1"/>
        </w:numPr>
        <w:rPr>
          <w:color w:val="auto"/>
        </w:rPr>
      </w:pPr>
      <w:r>
        <w:rPr>
          <w:color w:val="auto"/>
        </w:rPr>
        <w:t xml:space="preserve">The PBAC noted and welcomed input from patient support organisations </w:t>
      </w:r>
      <w:r w:rsidR="009955A2">
        <w:rPr>
          <w:color w:val="auto"/>
        </w:rPr>
        <w:t xml:space="preserve">Pink Hope, Ovarian Cancer Australia, Rare Cancers Australia and the Centre for Community-Driven Research in support of the </w:t>
      </w:r>
      <w:proofErr w:type="spellStart"/>
      <w:r w:rsidR="009955A2">
        <w:rPr>
          <w:color w:val="auto"/>
        </w:rPr>
        <w:t>olaparib</w:t>
      </w:r>
      <w:proofErr w:type="spellEnd"/>
      <w:r w:rsidR="009955A2">
        <w:rPr>
          <w:color w:val="auto"/>
        </w:rPr>
        <w:t xml:space="preserve"> submission.</w:t>
      </w:r>
      <w:r>
        <w:rPr>
          <w:color w:val="auto"/>
        </w:rPr>
        <w:t xml:space="preserve"> The comments described the benefit to patients of access to medicines that can give extended </w:t>
      </w:r>
      <w:r w:rsidR="00375F59">
        <w:rPr>
          <w:color w:val="auto"/>
        </w:rPr>
        <w:t>survival</w:t>
      </w:r>
      <w:r>
        <w:rPr>
          <w:color w:val="auto"/>
        </w:rPr>
        <w:t xml:space="preserve"> while maintaining quality of life. The comments noted that patients with ovarian cancer have a high risk of recurrence following standard treatment and </w:t>
      </w:r>
      <w:r w:rsidR="00375F59">
        <w:rPr>
          <w:color w:val="auto"/>
        </w:rPr>
        <w:t xml:space="preserve">many </w:t>
      </w:r>
      <w:r>
        <w:rPr>
          <w:color w:val="auto"/>
        </w:rPr>
        <w:t xml:space="preserve">patients experience </w:t>
      </w:r>
      <w:r w:rsidR="00375F59">
        <w:rPr>
          <w:color w:val="auto"/>
        </w:rPr>
        <w:t>anxiety and depression</w:t>
      </w:r>
      <w:r w:rsidR="002B0C00">
        <w:rPr>
          <w:color w:val="auto"/>
        </w:rPr>
        <w:t xml:space="preserve"> or emotional strain related to the fear of recurrence</w:t>
      </w:r>
      <w:r w:rsidR="00375F59">
        <w:rPr>
          <w:color w:val="auto"/>
        </w:rPr>
        <w:t xml:space="preserve">. </w:t>
      </w:r>
      <w:r w:rsidR="002B0C00">
        <w:rPr>
          <w:color w:val="auto"/>
        </w:rPr>
        <w:t xml:space="preserve">The comments also noted the impact of ovarian cancer on patients’ ability to work. </w:t>
      </w:r>
      <w:r w:rsidR="00375F59">
        <w:rPr>
          <w:color w:val="auto"/>
        </w:rPr>
        <w:t>The comments noted that there have been few new treatments for ovarian cancer in the past 20</w:t>
      </w:r>
      <w:r w:rsidR="002B0C00">
        <w:rPr>
          <w:color w:val="auto"/>
        </w:rPr>
        <w:t>-30</w:t>
      </w:r>
      <w:r w:rsidR="00375F59">
        <w:rPr>
          <w:color w:val="auto"/>
        </w:rPr>
        <w:t xml:space="preserve"> years</w:t>
      </w:r>
      <w:r w:rsidR="00871D90">
        <w:rPr>
          <w:color w:val="auto"/>
        </w:rPr>
        <w:t>,</w:t>
      </w:r>
      <w:r w:rsidR="00375F59">
        <w:rPr>
          <w:color w:val="auto"/>
        </w:rPr>
        <w:t xml:space="preserve"> and that </w:t>
      </w:r>
      <w:proofErr w:type="spellStart"/>
      <w:r w:rsidR="00375F59">
        <w:rPr>
          <w:color w:val="auto"/>
        </w:rPr>
        <w:t>olaparib</w:t>
      </w:r>
      <w:proofErr w:type="spellEnd"/>
      <w:r w:rsidR="00375F59">
        <w:rPr>
          <w:color w:val="auto"/>
        </w:rPr>
        <w:t xml:space="preserve"> maintenance is an effective </w:t>
      </w:r>
      <w:r w:rsidR="009456B1">
        <w:rPr>
          <w:color w:val="auto"/>
        </w:rPr>
        <w:t xml:space="preserve">treatment </w:t>
      </w:r>
      <w:r w:rsidR="00375F59">
        <w:rPr>
          <w:color w:val="auto"/>
        </w:rPr>
        <w:t xml:space="preserve">and well-tolerated </w:t>
      </w:r>
      <w:r w:rsidR="009456B1">
        <w:rPr>
          <w:color w:val="auto"/>
        </w:rPr>
        <w:t>compared with chemotherapy</w:t>
      </w:r>
      <w:r w:rsidR="00375F59">
        <w:rPr>
          <w:color w:val="auto"/>
        </w:rPr>
        <w:t>.</w:t>
      </w:r>
    </w:p>
    <w:p w:rsidR="00FB3214" w:rsidRPr="00FB3214" w:rsidRDefault="002B0C00" w:rsidP="00FB3214">
      <w:pPr>
        <w:pStyle w:val="ListParagraph"/>
        <w:numPr>
          <w:ilvl w:val="4"/>
          <w:numId w:val="1"/>
        </w:numPr>
        <w:rPr>
          <w:color w:val="auto"/>
        </w:rPr>
      </w:pPr>
      <w:r>
        <w:rPr>
          <w:color w:val="auto"/>
        </w:rPr>
        <w:lastRenderedPageBreak/>
        <w:t xml:space="preserve">The PBAC noted and welcomed input from </w:t>
      </w:r>
      <w:r w:rsidR="00D71906">
        <w:rPr>
          <w:color w:val="auto"/>
        </w:rPr>
        <w:t>nine</w:t>
      </w:r>
      <w:r>
        <w:rPr>
          <w:color w:val="auto"/>
        </w:rPr>
        <w:t xml:space="preserve"> consumers</w:t>
      </w:r>
      <w:r w:rsidR="00D71906">
        <w:rPr>
          <w:color w:val="auto"/>
        </w:rPr>
        <w:t xml:space="preserve"> and one healthcare professional</w:t>
      </w:r>
      <w:r>
        <w:rPr>
          <w:color w:val="auto"/>
        </w:rPr>
        <w:t xml:space="preserve"> </w:t>
      </w:r>
      <w:r w:rsidRPr="00FB3214">
        <w:rPr>
          <w:color w:val="auto"/>
        </w:rPr>
        <w:t>via the Consumer Comments facility on the PBS website</w:t>
      </w:r>
      <w:r>
        <w:rPr>
          <w:color w:val="auto"/>
        </w:rPr>
        <w:t xml:space="preserve">. </w:t>
      </w:r>
      <w:r w:rsidR="00D71906">
        <w:rPr>
          <w:color w:val="auto"/>
        </w:rPr>
        <w:t xml:space="preserve">These comments noted their support for the </w:t>
      </w:r>
      <w:proofErr w:type="spellStart"/>
      <w:r w:rsidR="00D71906">
        <w:rPr>
          <w:color w:val="auto"/>
        </w:rPr>
        <w:t>olaparib</w:t>
      </w:r>
      <w:proofErr w:type="spellEnd"/>
      <w:r w:rsidR="00D71906">
        <w:rPr>
          <w:color w:val="auto"/>
        </w:rPr>
        <w:t xml:space="preserve"> submission, with several patients having </w:t>
      </w:r>
      <w:r w:rsidR="00A30EE4">
        <w:rPr>
          <w:color w:val="auto"/>
        </w:rPr>
        <w:t>participated</w:t>
      </w:r>
      <w:r w:rsidR="00D71906">
        <w:rPr>
          <w:color w:val="auto"/>
        </w:rPr>
        <w:t xml:space="preserve"> in clinical trials of </w:t>
      </w:r>
      <w:proofErr w:type="spellStart"/>
      <w:r w:rsidR="00D71906">
        <w:rPr>
          <w:color w:val="auto"/>
        </w:rPr>
        <w:t>olaparib</w:t>
      </w:r>
      <w:proofErr w:type="spellEnd"/>
      <w:r w:rsidR="00D71906">
        <w:rPr>
          <w:color w:val="auto"/>
        </w:rPr>
        <w:t>. Patients noted the severe impact of chemotherapy on their quality of life</w:t>
      </w:r>
      <w:r w:rsidR="00E53A02">
        <w:rPr>
          <w:color w:val="auto"/>
        </w:rPr>
        <w:t xml:space="preserve">. Patients noted that </w:t>
      </w:r>
      <w:proofErr w:type="spellStart"/>
      <w:r w:rsidR="00E53A02">
        <w:rPr>
          <w:color w:val="auto"/>
        </w:rPr>
        <w:t>olaparib</w:t>
      </w:r>
      <w:proofErr w:type="spellEnd"/>
      <w:r w:rsidR="00E53A02">
        <w:rPr>
          <w:color w:val="auto"/>
        </w:rPr>
        <w:t xml:space="preserve"> had allowed them to live longer than expected, with an improved quality of life compared with chemotherapy. Patients noted that</w:t>
      </w:r>
      <w:r w:rsidR="00D71906">
        <w:rPr>
          <w:color w:val="auto"/>
        </w:rPr>
        <w:t xml:space="preserve"> treatment in the first line setting may delay or prevent recurrence</w:t>
      </w:r>
      <w:r w:rsidR="00F56B12">
        <w:rPr>
          <w:color w:val="auto"/>
        </w:rPr>
        <w:t>,</w:t>
      </w:r>
      <w:r w:rsidR="00D71906">
        <w:rPr>
          <w:color w:val="auto"/>
        </w:rPr>
        <w:t xml:space="preserve"> and therefore </w:t>
      </w:r>
      <w:r w:rsidR="00E53A02">
        <w:rPr>
          <w:color w:val="auto"/>
        </w:rPr>
        <w:t xml:space="preserve">avoid </w:t>
      </w:r>
      <w:r w:rsidR="00D71906">
        <w:rPr>
          <w:color w:val="auto"/>
        </w:rPr>
        <w:t>subsequent chemotherapy regime</w:t>
      </w:r>
      <w:r w:rsidR="00E71EDC">
        <w:rPr>
          <w:color w:val="auto"/>
        </w:rPr>
        <w:t>n</w:t>
      </w:r>
      <w:r w:rsidR="00D71906">
        <w:rPr>
          <w:color w:val="auto"/>
        </w:rPr>
        <w:t>s</w:t>
      </w:r>
      <w:r w:rsidR="00E53A02">
        <w:rPr>
          <w:color w:val="auto"/>
        </w:rPr>
        <w:t xml:space="preserve"> and their toll on quality of life</w:t>
      </w:r>
      <w:r w:rsidR="00D71906">
        <w:rPr>
          <w:color w:val="auto"/>
        </w:rPr>
        <w:t xml:space="preserve">. </w:t>
      </w:r>
      <w:r w:rsidR="00E53A02">
        <w:rPr>
          <w:color w:val="auto"/>
        </w:rPr>
        <w:t xml:space="preserve">Two of the nine patients noted that they were </w:t>
      </w:r>
      <w:proofErr w:type="spellStart"/>
      <w:r w:rsidR="00E53A02" w:rsidRPr="009456B1">
        <w:rPr>
          <w:i/>
          <w:color w:val="auto"/>
        </w:rPr>
        <w:t>BRCA</w:t>
      </w:r>
      <w:r w:rsidR="00E53A02">
        <w:rPr>
          <w:color w:val="auto"/>
        </w:rPr>
        <w:t>m</w:t>
      </w:r>
      <w:proofErr w:type="spellEnd"/>
      <w:r w:rsidR="00E53A02">
        <w:rPr>
          <w:color w:val="auto"/>
        </w:rPr>
        <w:t xml:space="preserve"> negative and therefore had limited treatment options available. These patients suggested that </w:t>
      </w:r>
      <w:proofErr w:type="spellStart"/>
      <w:r w:rsidR="00E53A02">
        <w:rPr>
          <w:color w:val="auto"/>
        </w:rPr>
        <w:t>olap</w:t>
      </w:r>
      <w:r w:rsidR="007D14D6">
        <w:rPr>
          <w:color w:val="auto"/>
        </w:rPr>
        <w:t>a</w:t>
      </w:r>
      <w:r w:rsidR="00E53A02">
        <w:rPr>
          <w:color w:val="auto"/>
        </w:rPr>
        <w:t>rib</w:t>
      </w:r>
      <w:proofErr w:type="spellEnd"/>
      <w:r w:rsidR="00E53A02">
        <w:rPr>
          <w:color w:val="auto"/>
        </w:rPr>
        <w:t xml:space="preserve"> should be made available to patients regardless of </w:t>
      </w:r>
      <w:r w:rsidR="00E53A02" w:rsidRPr="009456B1">
        <w:rPr>
          <w:i/>
          <w:color w:val="auto"/>
        </w:rPr>
        <w:t>BRCA</w:t>
      </w:r>
      <w:r w:rsidR="00E53A02">
        <w:rPr>
          <w:color w:val="auto"/>
        </w:rPr>
        <w:t xml:space="preserve"> status</w:t>
      </w:r>
      <w:r w:rsidR="00B80B76">
        <w:rPr>
          <w:color w:val="auto"/>
        </w:rPr>
        <w:t>.</w:t>
      </w:r>
      <w:r w:rsidR="00FB3214" w:rsidRPr="00FB3214">
        <w:rPr>
          <w:color w:val="auto"/>
        </w:rPr>
        <w:t xml:space="preserve"> </w:t>
      </w:r>
    </w:p>
    <w:p w:rsidR="009319F8" w:rsidRPr="00525B39" w:rsidRDefault="009319F8" w:rsidP="009319F8">
      <w:pPr>
        <w:pStyle w:val="ListParagraph"/>
        <w:rPr>
          <w:snapToGrid w:val="0"/>
        </w:rPr>
      </w:pPr>
      <w:r w:rsidRPr="009319F8">
        <w:rPr>
          <w:snapToGrid w:val="0"/>
        </w:rPr>
        <w:t xml:space="preserve">The Medical Oncology Group of Australia (MOGA) also expressed its strong support for the </w:t>
      </w:r>
      <w:proofErr w:type="spellStart"/>
      <w:r>
        <w:rPr>
          <w:snapToGrid w:val="0"/>
        </w:rPr>
        <w:t>olaparib</w:t>
      </w:r>
      <w:proofErr w:type="spellEnd"/>
      <w:r w:rsidRPr="009319F8">
        <w:rPr>
          <w:snapToGrid w:val="0"/>
        </w:rPr>
        <w:t xml:space="preserve"> submission, categorising it as one of the therapies of “highest priority for PBS listing” on the basis of the </w:t>
      </w:r>
      <w:r>
        <w:rPr>
          <w:snapToGrid w:val="0"/>
        </w:rPr>
        <w:t>SOLO1</w:t>
      </w:r>
      <w:r w:rsidRPr="009319F8">
        <w:rPr>
          <w:snapToGrid w:val="0"/>
        </w:rPr>
        <w:t xml:space="preserve"> trial. The PBAC noted that the MOGA presented a European Society for Medical Oncology Magnitude of Clinical Benefit Scale (ESMO-MCBS) for </w:t>
      </w:r>
      <w:proofErr w:type="spellStart"/>
      <w:r>
        <w:rPr>
          <w:snapToGrid w:val="0"/>
        </w:rPr>
        <w:t>olaparib</w:t>
      </w:r>
      <w:proofErr w:type="spellEnd"/>
      <w:r w:rsidRPr="009319F8">
        <w:rPr>
          <w:snapToGrid w:val="0"/>
        </w:rPr>
        <w:t xml:space="preserve">, which was limited to </w:t>
      </w:r>
      <w:r>
        <w:rPr>
          <w:snapToGrid w:val="0"/>
        </w:rPr>
        <w:t>4</w:t>
      </w:r>
      <w:r w:rsidRPr="009319F8">
        <w:rPr>
          <w:snapToGrid w:val="0"/>
        </w:rPr>
        <w:t xml:space="preserve"> (out of a maximum of 5, where 5 and 4 represent the grades with substantial improvement)</w:t>
      </w:r>
      <w:r w:rsidRPr="009319F8">
        <w:rPr>
          <w:rStyle w:val="FootnoteReference"/>
        </w:rPr>
        <w:footnoteReference w:id="3"/>
      </w:r>
      <w:r w:rsidRPr="009319F8">
        <w:rPr>
          <w:snapToGrid w:val="0"/>
        </w:rPr>
        <w:t xml:space="preserve">, based on a comparison with </w:t>
      </w:r>
      <w:r>
        <w:rPr>
          <w:snapToGrid w:val="0"/>
        </w:rPr>
        <w:t>placebo</w:t>
      </w:r>
      <w:r w:rsidRPr="009319F8">
        <w:rPr>
          <w:snapToGrid w:val="0"/>
        </w:rPr>
        <w:t>.</w:t>
      </w:r>
      <w:r>
        <w:rPr>
          <w:snapToGrid w:val="0"/>
        </w:rPr>
        <w:t xml:space="preserve"> </w:t>
      </w:r>
      <w:r w:rsidR="00B14693">
        <w:rPr>
          <w:snapToGrid w:val="0"/>
        </w:rPr>
        <w:t>The PBAC did not agree that t</w:t>
      </w:r>
      <w:r>
        <w:rPr>
          <w:snapToGrid w:val="0"/>
        </w:rPr>
        <w:t xml:space="preserve">his score </w:t>
      </w:r>
      <w:r w:rsidR="00B14693">
        <w:rPr>
          <w:snapToGrid w:val="0"/>
        </w:rPr>
        <w:t xml:space="preserve">should be </w:t>
      </w:r>
      <w:r>
        <w:rPr>
          <w:snapToGrid w:val="0"/>
        </w:rPr>
        <w:t xml:space="preserve">updated </w:t>
      </w:r>
      <w:r w:rsidR="00133252">
        <w:rPr>
          <w:snapToGrid w:val="0"/>
        </w:rPr>
        <w:t xml:space="preserve">from 3 </w:t>
      </w:r>
      <w:r>
        <w:rPr>
          <w:snapToGrid w:val="0"/>
        </w:rPr>
        <w:t>to 4</w:t>
      </w:r>
      <w:r w:rsidR="00B14693">
        <w:rPr>
          <w:snapToGrid w:val="0"/>
        </w:rPr>
        <w:t>,</w:t>
      </w:r>
      <w:r>
        <w:rPr>
          <w:snapToGrid w:val="0"/>
        </w:rPr>
        <w:t xml:space="preserve"> as </w:t>
      </w:r>
      <w:r w:rsidR="009456B1">
        <w:rPr>
          <w:snapToGrid w:val="0"/>
        </w:rPr>
        <w:t xml:space="preserve">the </w:t>
      </w:r>
      <w:r>
        <w:rPr>
          <w:snapToGrid w:val="0"/>
        </w:rPr>
        <w:t>PFS difference at 2 years was &gt;10%</w:t>
      </w:r>
      <w:r w:rsidR="00D14B2E">
        <w:rPr>
          <w:snapToGrid w:val="0"/>
        </w:rPr>
        <w:t>,</w:t>
      </w:r>
      <w:r>
        <w:rPr>
          <w:snapToGrid w:val="0"/>
        </w:rPr>
        <w:t xml:space="preserve"> </w:t>
      </w:r>
      <w:r w:rsidR="00CF754F">
        <w:rPr>
          <w:snapToGrid w:val="0"/>
        </w:rPr>
        <w:t xml:space="preserve">but was not </w:t>
      </w:r>
      <w:r w:rsidR="00DD6F43">
        <w:rPr>
          <w:snapToGrid w:val="0"/>
        </w:rPr>
        <w:t>convincingly</w:t>
      </w:r>
      <w:r w:rsidR="00CF754F">
        <w:rPr>
          <w:snapToGrid w:val="0"/>
        </w:rPr>
        <w:t xml:space="preserve"> associated </w:t>
      </w:r>
      <w:r>
        <w:rPr>
          <w:snapToGrid w:val="0"/>
        </w:rPr>
        <w:t xml:space="preserve">with a plateau of the PFS curve in the </w:t>
      </w:r>
      <w:proofErr w:type="spellStart"/>
      <w:r>
        <w:rPr>
          <w:snapToGrid w:val="0"/>
        </w:rPr>
        <w:t>olaparib</w:t>
      </w:r>
      <w:proofErr w:type="spellEnd"/>
      <w:r>
        <w:rPr>
          <w:snapToGrid w:val="0"/>
        </w:rPr>
        <w:t xml:space="preserve"> arm.</w:t>
      </w:r>
      <w:r w:rsidRPr="009319F8">
        <w:rPr>
          <w:snapToGrid w:val="0"/>
        </w:rPr>
        <w:t xml:space="preserve">  </w:t>
      </w:r>
    </w:p>
    <w:p w:rsidR="00B12A8C" w:rsidRPr="009A0D5D" w:rsidRDefault="00B12A8C" w:rsidP="009456B1">
      <w:pPr>
        <w:pStyle w:val="PBACESHeading2"/>
        <w:keepNext w:val="0"/>
        <w:keepLines w:val="0"/>
        <w:widowControl w:val="0"/>
      </w:pPr>
      <w:r w:rsidRPr="009A0D5D">
        <w:t>Overview of the evidence base</w:t>
      </w:r>
      <w:bookmarkEnd w:id="13"/>
    </w:p>
    <w:p w:rsidR="00133252" w:rsidRPr="00C22335" w:rsidRDefault="00B12A8C" w:rsidP="009456B1">
      <w:pPr>
        <w:pStyle w:val="ListParagraph"/>
        <w:widowControl w:val="0"/>
        <w:numPr>
          <w:ilvl w:val="4"/>
          <w:numId w:val="1"/>
        </w:numPr>
        <w:rPr>
          <w:rStyle w:val="InstructionalTextChar"/>
          <w:rFonts w:eastAsiaTheme="majorEastAsia" w:cstheme="minorHAnsi"/>
          <w:b/>
          <w:i/>
          <w:snapToGrid w:val="0"/>
          <w:color w:val="auto"/>
          <w:szCs w:val="28"/>
        </w:rPr>
      </w:pPr>
      <w:r w:rsidRPr="00DC08B0">
        <w:rPr>
          <w:color w:val="auto"/>
        </w:rPr>
        <w:t xml:space="preserve">The approach taken in the submission </w:t>
      </w:r>
      <w:r w:rsidR="00583BDD">
        <w:rPr>
          <w:color w:val="auto"/>
        </w:rPr>
        <w:t>was</w:t>
      </w:r>
      <w:r w:rsidRPr="00DC08B0">
        <w:rPr>
          <w:color w:val="auto"/>
        </w:rPr>
        <w:t xml:space="preserve"> to present evidence that support</w:t>
      </w:r>
      <w:r w:rsidR="00DF7282">
        <w:rPr>
          <w:color w:val="auto"/>
        </w:rPr>
        <w:t>s</w:t>
      </w:r>
      <w:r w:rsidRPr="00DC08B0">
        <w:rPr>
          <w:color w:val="auto"/>
        </w:rPr>
        <w:t xml:space="preserve"> the contention that </w:t>
      </w:r>
      <w:r w:rsidRPr="00E20BB4">
        <w:rPr>
          <w:color w:val="auto"/>
        </w:rPr>
        <w:t xml:space="preserve">targeting </w:t>
      </w:r>
      <w:r w:rsidR="00E20BB4" w:rsidRPr="00E20BB4">
        <w:rPr>
          <w:color w:val="auto"/>
        </w:rPr>
        <w:t xml:space="preserve">of patients with </w:t>
      </w:r>
      <w:proofErr w:type="spellStart"/>
      <w:r w:rsidR="00E20BB4" w:rsidRPr="00E20BB4">
        <w:rPr>
          <w:i/>
          <w:iCs/>
          <w:color w:val="auto"/>
        </w:rPr>
        <w:t>BRCA</w:t>
      </w:r>
      <w:r w:rsidR="00E20BB4" w:rsidRPr="00E20BB4">
        <w:rPr>
          <w:color w:val="auto"/>
        </w:rPr>
        <w:t>m</w:t>
      </w:r>
      <w:proofErr w:type="spellEnd"/>
      <w:r w:rsidR="00E20BB4" w:rsidRPr="00E20BB4">
        <w:rPr>
          <w:color w:val="auto"/>
        </w:rPr>
        <w:t xml:space="preserve"> (either somatic or germline) with first-line </w:t>
      </w:r>
      <w:proofErr w:type="spellStart"/>
      <w:r w:rsidR="00E20BB4" w:rsidRPr="00E20BB4">
        <w:rPr>
          <w:color w:val="auto"/>
        </w:rPr>
        <w:t>olaparib</w:t>
      </w:r>
      <w:proofErr w:type="spellEnd"/>
      <w:r w:rsidR="00E20BB4" w:rsidRPr="00E20BB4">
        <w:rPr>
          <w:color w:val="auto"/>
        </w:rPr>
        <w:t xml:space="preserve"> will result in improved clinical outcomes compared with current germline </w:t>
      </w:r>
      <w:r w:rsidR="00E20BB4" w:rsidRPr="00E20BB4">
        <w:rPr>
          <w:i/>
          <w:iCs/>
          <w:color w:val="auto"/>
        </w:rPr>
        <w:t>BRCA</w:t>
      </w:r>
      <w:r w:rsidR="00E20BB4" w:rsidRPr="00E20BB4">
        <w:rPr>
          <w:color w:val="auto"/>
        </w:rPr>
        <w:t xml:space="preserve"> testing and the use of second-line </w:t>
      </w:r>
      <w:proofErr w:type="spellStart"/>
      <w:r w:rsidR="00E20BB4" w:rsidRPr="00E20BB4">
        <w:rPr>
          <w:color w:val="auto"/>
        </w:rPr>
        <w:t>olaparib</w:t>
      </w:r>
      <w:proofErr w:type="spellEnd"/>
      <w:r w:rsidR="00E20BB4" w:rsidRPr="00E20BB4">
        <w:rPr>
          <w:color w:val="auto"/>
        </w:rPr>
        <w:t xml:space="preserve"> in patients with </w:t>
      </w:r>
      <w:proofErr w:type="spellStart"/>
      <w:r w:rsidR="00E20BB4" w:rsidRPr="00E20BB4">
        <w:rPr>
          <w:color w:val="auto"/>
        </w:rPr>
        <w:t>g</w:t>
      </w:r>
      <w:r w:rsidR="00E20BB4" w:rsidRPr="00E20BB4">
        <w:rPr>
          <w:i/>
          <w:iCs/>
          <w:color w:val="auto"/>
        </w:rPr>
        <w:t>BRCA</w:t>
      </w:r>
      <w:r w:rsidR="00E20BB4" w:rsidRPr="00E20BB4">
        <w:rPr>
          <w:color w:val="auto"/>
        </w:rPr>
        <w:t>m</w:t>
      </w:r>
      <w:proofErr w:type="spellEnd"/>
      <w:r w:rsidR="00E20BB4" w:rsidRPr="00E20BB4">
        <w:rPr>
          <w:color w:val="auto"/>
        </w:rPr>
        <w:t>.</w:t>
      </w:r>
    </w:p>
    <w:p w:rsidR="00B12A8C" w:rsidRPr="00DC08B0" w:rsidRDefault="00563974" w:rsidP="009456B1">
      <w:pPr>
        <w:pStyle w:val="Caption"/>
        <w:keepLines/>
        <w:ind w:left="1418" w:hanging="1418"/>
      </w:pPr>
      <w:r>
        <w:lastRenderedPageBreak/>
        <w:t xml:space="preserve">Table </w:t>
      </w:r>
      <w:r w:rsidR="00A75368">
        <w:rPr>
          <w:noProof/>
        </w:rPr>
        <w:t>2</w:t>
      </w:r>
      <w:r>
        <w:rPr>
          <w:noProof/>
        </w:rPr>
        <w:t xml:space="preserve">: </w:t>
      </w:r>
      <w:r w:rsidR="00B12A8C" w:rsidRPr="00DC08B0">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4234"/>
        <w:gridCol w:w="2469"/>
      </w:tblGrid>
      <w:tr w:rsidR="00B12A8C" w:rsidRPr="00DC08B0" w:rsidTr="00B12A8C">
        <w:tc>
          <w:tcPr>
            <w:tcW w:w="1283" w:type="pct"/>
            <w:tcBorders>
              <w:top w:val="single" w:sz="4" w:space="0" w:color="auto"/>
              <w:left w:val="single" w:sz="4" w:space="0" w:color="auto"/>
              <w:bottom w:val="single" w:sz="4" w:space="0" w:color="auto"/>
              <w:right w:val="single" w:sz="4" w:space="0" w:color="auto"/>
            </w:tcBorders>
            <w:vAlign w:val="bottom"/>
          </w:tcPr>
          <w:p w:rsidR="00B12A8C" w:rsidRPr="00DC08B0" w:rsidRDefault="00B12A8C" w:rsidP="009456B1">
            <w:pPr>
              <w:pStyle w:val="TableText"/>
              <w:keepNext/>
              <w:keepLines/>
              <w:widowControl/>
              <w:rPr>
                <w:b/>
              </w:rPr>
            </w:pPr>
          </w:p>
        </w:tc>
        <w:tc>
          <w:tcPr>
            <w:tcW w:w="2348"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9456B1">
            <w:pPr>
              <w:pStyle w:val="TableText"/>
              <w:keepNext/>
              <w:keepLines/>
              <w:widowControl/>
              <w:rPr>
                <w:b/>
              </w:rPr>
            </w:pPr>
            <w:r w:rsidRPr="00DC08B0">
              <w:rPr>
                <w:b/>
              </w:rPr>
              <w:t>Type of evidence supplied</w:t>
            </w:r>
          </w:p>
        </w:tc>
        <w:tc>
          <w:tcPr>
            <w:tcW w:w="1369"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9456B1">
            <w:pPr>
              <w:pStyle w:val="TableText"/>
              <w:keepNext/>
              <w:keepLines/>
              <w:widowControl/>
              <w:rPr>
                <w:b/>
              </w:rPr>
            </w:pPr>
            <w:r w:rsidRPr="00DC08B0">
              <w:rPr>
                <w:b/>
              </w:rPr>
              <w:t>Extent of evidence supplied</w:t>
            </w:r>
          </w:p>
        </w:tc>
      </w:tr>
      <w:tr w:rsidR="00014DEB" w:rsidRPr="00DC08B0" w:rsidTr="00B12A8C">
        <w:tc>
          <w:tcPr>
            <w:tcW w:w="1283" w:type="pct"/>
            <w:tcBorders>
              <w:top w:val="single" w:sz="4" w:space="0" w:color="auto"/>
              <w:left w:val="single" w:sz="4" w:space="0" w:color="auto"/>
              <w:bottom w:val="single" w:sz="4" w:space="0" w:color="auto"/>
              <w:right w:val="single" w:sz="4" w:space="0" w:color="auto"/>
            </w:tcBorders>
            <w:hideMark/>
          </w:tcPr>
          <w:p w:rsidR="00014DEB" w:rsidRPr="00014DEB" w:rsidRDefault="00014DEB" w:rsidP="009456B1">
            <w:pPr>
              <w:pStyle w:val="TableText"/>
              <w:keepNext/>
              <w:keepLines/>
              <w:widowControl/>
            </w:pPr>
            <w:r w:rsidRPr="00014DEB">
              <w:t>Accuracy and performance of the test (analytical validity)</w:t>
            </w:r>
          </w:p>
        </w:tc>
        <w:tc>
          <w:tcPr>
            <w:tcW w:w="2348" w:type="pct"/>
            <w:tcBorders>
              <w:top w:val="single" w:sz="4" w:space="0" w:color="auto"/>
              <w:left w:val="single" w:sz="4" w:space="0" w:color="auto"/>
              <w:bottom w:val="single" w:sz="4" w:space="0" w:color="auto"/>
              <w:right w:val="single" w:sz="4" w:space="0" w:color="auto"/>
            </w:tcBorders>
            <w:hideMark/>
          </w:tcPr>
          <w:p w:rsidR="00014DEB" w:rsidRPr="00DC08B0" w:rsidRDefault="00014DEB" w:rsidP="009456B1">
            <w:pPr>
              <w:pStyle w:val="TableText"/>
              <w:keepNext/>
              <w:keepLines/>
              <w:widowControl/>
            </w:pPr>
            <w:r w:rsidRPr="00DC08B0">
              <w:t>Level III-2 diagnostic accuracy evidence: a comparison with reference standard that does not meet the criteria required for level II (blinded reference standard among consecutive patients) or level III-1 (blinded reference standard among non-consecutive patients)</w:t>
            </w:r>
          </w:p>
        </w:tc>
        <w:tc>
          <w:tcPr>
            <w:tcW w:w="1369" w:type="pct"/>
            <w:tcBorders>
              <w:top w:val="single" w:sz="4" w:space="0" w:color="auto"/>
              <w:left w:val="single" w:sz="4" w:space="0" w:color="auto"/>
              <w:bottom w:val="single" w:sz="4" w:space="0" w:color="auto"/>
              <w:right w:val="single" w:sz="4" w:space="0" w:color="auto"/>
            </w:tcBorders>
            <w:hideMark/>
          </w:tcPr>
          <w:p w:rsidR="00014DEB" w:rsidRPr="00DC08B0" w:rsidRDefault="00B0364C" w:rsidP="009456B1">
            <w:pPr>
              <w:pStyle w:val="TableText"/>
              <w:keepNext/>
              <w:keepLines/>
              <w:widowControl/>
              <w:tabs>
                <w:tab w:val="left" w:pos="428"/>
              </w:tabs>
            </w:pPr>
            <w:sdt>
              <w:sdtPr>
                <w:id w:val="1550183824"/>
                <w14:checkbox>
                  <w14:checked w14:val="1"/>
                  <w14:checkedState w14:val="2612" w14:font="MS Gothic"/>
                  <w14:uncheckedState w14:val="2610" w14:font="MS Gothic"/>
                </w14:checkbox>
              </w:sdtPr>
              <w:sdtEndPr/>
              <w:sdtContent>
                <w:r w:rsidR="00014DEB" w:rsidRPr="00DC08B0">
                  <w:rPr>
                    <w:rFonts w:ascii="MS Gothic" w:eastAsia="MS Gothic" w:hAnsi="MS Gothic"/>
                  </w:rPr>
                  <w:t>☒</w:t>
                </w:r>
              </w:sdtContent>
            </w:sdt>
            <w:r w:rsidR="00014DEB" w:rsidRPr="00DC08B0">
              <w:tab/>
            </w:r>
            <w:r w:rsidR="0058114C">
              <w:tab/>
            </w:r>
            <w:r w:rsidR="00014DEB" w:rsidRPr="00DC08B0">
              <w:t>k=11</w:t>
            </w:r>
            <w:r w:rsidR="00014DEB" w:rsidRPr="00DC08B0">
              <w:tab/>
            </w:r>
            <w:r w:rsidR="0058114C">
              <w:t xml:space="preserve">, </w:t>
            </w:r>
            <w:r w:rsidR="00014DEB" w:rsidRPr="00DC08B0">
              <w:t>n=2,151</w:t>
            </w:r>
          </w:p>
        </w:tc>
      </w:tr>
      <w:tr w:rsidR="00014DEB" w:rsidRPr="00DC08B0" w:rsidTr="00B12A8C">
        <w:tc>
          <w:tcPr>
            <w:tcW w:w="1283" w:type="pct"/>
            <w:tcBorders>
              <w:top w:val="single" w:sz="4" w:space="0" w:color="auto"/>
              <w:left w:val="single" w:sz="4" w:space="0" w:color="auto"/>
              <w:bottom w:val="single" w:sz="4" w:space="0" w:color="auto"/>
              <w:right w:val="single" w:sz="4" w:space="0" w:color="auto"/>
            </w:tcBorders>
            <w:hideMark/>
          </w:tcPr>
          <w:p w:rsidR="00014DEB" w:rsidRPr="00014DEB" w:rsidRDefault="00014DEB" w:rsidP="009456B1">
            <w:pPr>
              <w:pStyle w:val="TableText"/>
              <w:keepNext/>
              <w:keepLines/>
              <w:widowControl/>
            </w:pPr>
            <w:r w:rsidRPr="00014DEB">
              <w:t>Prognostic evidence</w:t>
            </w:r>
          </w:p>
        </w:tc>
        <w:tc>
          <w:tcPr>
            <w:tcW w:w="2348" w:type="pct"/>
            <w:tcBorders>
              <w:top w:val="single" w:sz="4" w:space="0" w:color="auto"/>
              <w:left w:val="single" w:sz="4" w:space="0" w:color="auto"/>
              <w:bottom w:val="single" w:sz="4" w:space="0" w:color="auto"/>
              <w:right w:val="single" w:sz="4" w:space="0" w:color="auto"/>
            </w:tcBorders>
            <w:hideMark/>
          </w:tcPr>
          <w:p w:rsidR="00014DEB" w:rsidRPr="00DC08B0" w:rsidRDefault="00014DEB" w:rsidP="009456B1">
            <w:pPr>
              <w:pStyle w:val="TableText"/>
              <w:keepNext/>
              <w:keepLines/>
              <w:widowControl/>
            </w:pPr>
            <w:r w:rsidRPr="00DC08B0">
              <w:t>Level I prognostic evidence: SR of level II evidence</w:t>
            </w:r>
          </w:p>
          <w:p w:rsidR="00014DEB" w:rsidRPr="00DC08B0" w:rsidRDefault="00014DEB" w:rsidP="009456B1">
            <w:pPr>
              <w:pStyle w:val="TableText"/>
              <w:keepNext/>
              <w:keepLines/>
              <w:widowControl/>
            </w:pPr>
            <w:r w:rsidRPr="00DC08B0">
              <w:t>Level II prospective cohort study</w:t>
            </w:r>
          </w:p>
        </w:tc>
        <w:tc>
          <w:tcPr>
            <w:tcW w:w="1369" w:type="pct"/>
            <w:tcBorders>
              <w:top w:val="single" w:sz="4" w:space="0" w:color="auto"/>
              <w:left w:val="single" w:sz="4" w:space="0" w:color="auto"/>
              <w:bottom w:val="single" w:sz="4" w:space="0" w:color="auto"/>
              <w:right w:val="single" w:sz="4" w:space="0" w:color="auto"/>
            </w:tcBorders>
            <w:hideMark/>
          </w:tcPr>
          <w:p w:rsidR="00014DEB" w:rsidRPr="00DC08B0" w:rsidRDefault="00B0364C" w:rsidP="009456B1">
            <w:pPr>
              <w:pStyle w:val="TableText"/>
              <w:keepNext/>
              <w:keepLines/>
              <w:widowControl/>
              <w:tabs>
                <w:tab w:val="left" w:pos="459"/>
              </w:tabs>
            </w:pPr>
            <w:sdt>
              <w:sdtPr>
                <w:id w:val="-955172914"/>
                <w14:checkbox>
                  <w14:checked w14:val="1"/>
                  <w14:checkedState w14:val="2612" w14:font="MS Gothic"/>
                  <w14:uncheckedState w14:val="2610" w14:font="MS Gothic"/>
                </w14:checkbox>
              </w:sdtPr>
              <w:sdtEndPr/>
              <w:sdtContent>
                <w:r w:rsidR="00014DEB" w:rsidRPr="00DC08B0">
                  <w:rPr>
                    <w:rFonts w:ascii="MS Gothic" w:eastAsia="MS Gothic" w:hAnsi="MS Gothic"/>
                  </w:rPr>
                  <w:t>☒</w:t>
                </w:r>
              </w:sdtContent>
            </w:sdt>
            <w:r w:rsidR="00014DEB" w:rsidRPr="00DC08B0">
              <w:tab/>
              <w:t>k=1 SR</w:t>
            </w:r>
            <w:r w:rsidR="00014DEB" w:rsidRPr="00DC08B0">
              <w:tab/>
            </w:r>
            <w:r w:rsidR="0058114C">
              <w:t xml:space="preserve">, </w:t>
            </w:r>
            <w:r w:rsidR="00014DEB" w:rsidRPr="00DC08B0">
              <w:t>n=18,396</w:t>
            </w:r>
          </w:p>
          <w:p w:rsidR="00014DEB" w:rsidRPr="00DC08B0" w:rsidRDefault="00014DEB" w:rsidP="009456B1">
            <w:pPr>
              <w:pStyle w:val="TableText"/>
              <w:keepNext/>
              <w:keepLines/>
              <w:widowControl/>
              <w:tabs>
                <w:tab w:val="left" w:pos="459"/>
              </w:tabs>
            </w:pPr>
            <w:r w:rsidRPr="00DC08B0">
              <w:tab/>
              <w:t>k=2 cohort</w:t>
            </w:r>
            <w:r w:rsidR="0058114C">
              <w:t xml:space="preserve">, </w:t>
            </w:r>
            <w:r w:rsidRPr="00DC08B0">
              <w:tab/>
              <w:t>n=702</w:t>
            </w:r>
          </w:p>
        </w:tc>
      </w:tr>
      <w:tr w:rsidR="00014DEB" w:rsidRPr="00DC08B0" w:rsidTr="00CC2ABC">
        <w:trPr>
          <w:cantSplit/>
        </w:trPr>
        <w:tc>
          <w:tcPr>
            <w:tcW w:w="1283" w:type="pct"/>
            <w:tcBorders>
              <w:top w:val="single" w:sz="4" w:space="0" w:color="auto"/>
              <w:left w:val="single" w:sz="4" w:space="0" w:color="auto"/>
              <w:bottom w:val="nil"/>
              <w:right w:val="single" w:sz="4" w:space="0" w:color="auto"/>
            </w:tcBorders>
            <w:hideMark/>
          </w:tcPr>
          <w:p w:rsidR="00014DEB" w:rsidRPr="00014DEB" w:rsidRDefault="00014DEB" w:rsidP="009456B1">
            <w:pPr>
              <w:pStyle w:val="TableText"/>
              <w:keepNext/>
              <w:keepLines/>
              <w:widowControl/>
              <w:spacing w:line="257" w:lineRule="auto"/>
            </w:pPr>
            <w:r w:rsidRPr="00DC08B0">
              <w:t xml:space="preserve">Clinical utility of the test </w:t>
            </w:r>
          </w:p>
        </w:tc>
        <w:tc>
          <w:tcPr>
            <w:tcW w:w="2348" w:type="pct"/>
            <w:tcBorders>
              <w:top w:val="single" w:sz="4" w:space="0" w:color="auto"/>
              <w:left w:val="single" w:sz="4" w:space="0" w:color="auto"/>
              <w:bottom w:val="nil"/>
              <w:right w:val="single" w:sz="4" w:space="0" w:color="auto"/>
            </w:tcBorders>
            <w:hideMark/>
          </w:tcPr>
          <w:p w:rsidR="00014DEB" w:rsidRPr="00014DEB" w:rsidRDefault="00014DEB" w:rsidP="009456B1">
            <w:pPr>
              <w:pStyle w:val="TableText"/>
              <w:keepNext/>
              <w:keepLines/>
              <w:widowControl/>
              <w:spacing w:line="257" w:lineRule="auto"/>
              <w:rPr>
                <w:color w:val="FFFFFF" w:themeColor="background1"/>
              </w:rPr>
            </w:pPr>
          </w:p>
        </w:tc>
        <w:tc>
          <w:tcPr>
            <w:tcW w:w="1369" w:type="pct"/>
            <w:tcBorders>
              <w:top w:val="single" w:sz="4" w:space="0" w:color="auto"/>
              <w:left w:val="single" w:sz="4" w:space="0" w:color="auto"/>
              <w:bottom w:val="nil"/>
              <w:right w:val="single" w:sz="4" w:space="0" w:color="auto"/>
            </w:tcBorders>
            <w:hideMark/>
          </w:tcPr>
          <w:p w:rsidR="00014DEB" w:rsidRPr="00014DEB" w:rsidRDefault="00014DEB" w:rsidP="009456B1">
            <w:pPr>
              <w:pStyle w:val="TableText"/>
              <w:keepNext/>
              <w:keepLines/>
              <w:widowControl/>
              <w:spacing w:line="257" w:lineRule="auto"/>
              <w:rPr>
                <w:color w:val="FFFFFF" w:themeColor="background1"/>
              </w:rPr>
            </w:pPr>
          </w:p>
        </w:tc>
      </w:tr>
      <w:tr w:rsidR="00014DEB" w:rsidRPr="00DC08B0" w:rsidTr="00CC2ABC">
        <w:trPr>
          <w:cantSplit/>
        </w:trPr>
        <w:tc>
          <w:tcPr>
            <w:tcW w:w="1283" w:type="pct"/>
            <w:tcBorders>
              <w:top w:val="nil"/>
              <w:left w:val="single" w:sz="4" w:space="0" w:color="auto"/>
              <w:bottom w:val="nil"/>
              <w:right w:val="single" w:sz="4" w:space="0" w:color="auto"/>
            </w:tcBorders>
          </w:tcPr>
          <w:p w:rsidR="00014DEB" w:rsidRPr="00DC08B0" w:rsidRDefault="00014DEB" w:rsidP="009456B1">
            <w:pPr>
              <w:pStyle w:val="TableText"/>
              <w:keepNext/>
              <w:keepLines/>
              <w:widowControl/>
              <w:spacing w:line="257" w:lineRule="auto"/>
            </w:pPr>
            <w:r w:rsidRPr="00DC08B0">
              <w:t>Predictive effect</w:t>
            </w:r>
          </w:p>
          <w:p w:rsidR="00014DEB" w:rsidRPr="00DC08B0" w:rsidRDefault="00014DEB" w:rsidP="009456B1">
            <w:pPr>
              <w:pStyle w:val="TableText"/>
              <w:keepNext/>
              <w:keepLines/>
              <w:widowControl/>
              <w:spacing w:line="257" w:lineRule="auto"/>
            </w:pPr>
            <w:r w:rsidRPr="00DC08B0">
              <w:t>(treatment effect variation)</w:t>
            </w:r>
          </w:p>
        </w:tc>
        <w:tc>
          <w:tcPr>
            <w:tcW w:w="2348" w:type="pct"/>
            <w:tcBorders>
              <w:top w:val="nil"/>
              <w:left w:val="single" w:sz="4" w:space="0" w:color="auto"/>
              <w:bottom w:val="nil"/>
              <w:right w:val="single" w:sz="4" w:space="0" w:color="auto"/>
            </w:tcBorders>
          </w:tcPr>
          <w:p w:rsidR="00014DEB" w:rsidRPr="00DC08B0" w:rsidRDefault="00014DEB" w:rsidP="009456B1">
            <w:pPr>
              <w:pStyle w:val="TableText"/>
              <w:keepNext/>
              <w:keepLines/>
              <w:widowControl/>
              <w:spacing w:line="257" w:lineRule="auto"/>
            </w:pPr>
            <w:r w:rsidRPr="00DC08B0">
              <w:t xml:space="preserve">Four randomised, controlled trials comparing PARP inhibitor maintenance therapy to placebo in the </w:t>
            </w:r>
            <w:r w:rsidR="0084088A">
              <w:t>second</w:t>
            </w:r>
            <w:r w:rsidRPr="00DC08B0">
              <w:t>-line setting</w:t>
            </w:r>
          </w:p>
        </w:tc>
        <w:tc>
          <w:tcPr>
            <w:tcW w:w="1369" w:type="pct"/>
            <w:tcBorders>
              <w:top w:val="nil"/>
              <w:left w:val="single" w:sz="4" w:space="0" w:color="auto"/>
              <w:bottom w:val="nil"/>
              <w:right w:val="single" w:sz="4" w:space="0" w:color="auto"/>
            </w:tcBorders>
          </w:tcPr>
          <w:p w:rsidR="00014DEB" w:rsidRPr="00DC08B0" w:rsidRDefault="00B0364C" w:rsidP="009456B1">
            <w:pPr>
              <w:pStyle w:val="TableText"/>
              <w:keepNext/>
              <w:keepLines/>
              <w:widowControl/>
              <w:tabs>
                <w:tab w:val="left" w:pos="428"/>
              </w:tabs>
              <w:spacing w:line="257" w:lineRule="auto"/>
            </w:pPr>
            <w:sdt>
              <w:sdtPr>
                <w:id w:val="-1794818044"/>
                <w14:checkbox>
                  <w14:checked w14:val="1"/>
                  <w14:checkedState w14:val="2612" w14:font="MS Gothic"/>
                  <w14:uncheckedState w14:val="2610" w14:font="MS Gothic"/>
                </w14:checkbox>
              </w:sdtPr>
              <w:sdtEndPr/>
              <w:sdtContent>
                <w:r w:rsidR="00014DEB" w:rsidRPr="00DC08B0">
                  <w:rPr>
                    <w:rFonts w:ascii="MS Gothic" w:eastAsia="MS Gothic" w:hAnsi="MS Gothic"/>
                  </w:rPr>
                  <w:t>☒</w:t>
                </w:r>
              </w:sdtContent>
            </w:sdt>
            <w:r w:rsidR="00014DEB" w:rsidRPr="00DC08B0">
              <w:tab/>
            </w:r>
            <w:r w:rsidR="0058114C">
              <w:tab/>
            </w:r>
            <w:r w:rsidR="00014DEB" w:rsidRPr="00DC08B0">
              <w:t>k=4</w:t>
            </w:r>
            <w:r w:rsidR="00014DEB" w:rsidRPr="00DC08B0">
              <w:tab/>
            </w:r>
            <w:r w:rsidR="0058114C">
              <w:t xml:space="preserve">, </w:t>
            </w:r>
            <w:r w:rsidR="00014DEB" w:rsidRPr="00DC08B0">
              <w:t>n=1,138</w:t>
            </w:r>
          </w:p>
        </w:tc>
      </w:tr>
      <w:tr w:rsidR="00014DEB" w:rsidRPr="00DC08B0" w:rsidTr="00CC2ABC">
        <w:trPr>
          <w:cantSplit/>
        </w:trPr>
        <w:tc>
          <w:tcPr>
            <w:tcW w:w="1283" w:type="pct"/>
            <w:tcBorders>
              <w:top w:val="nil"/>
              <w:left w:val="single" w:sz="4" w:space="0" w:color="auto"/>
              <w:bottom w:val="single" w:sz="4" w:space="0" w:color="auto"/>
              <w:right w:val="single" w:sz="4" w:space="0" w:color="auto"/>
            </w:tcBorders>
          </w:tcPr>
          <w:p w:rsidR="00014DEB" w:rsidRPr="00DC08B0" w:rsidRDefault="00014DEB" w:rsidP="009456B1">
            <w:pPr>
              <w:pStyle w:val="TableText"/>
              <w:keepNext/>
              <w:keepLines/>
              <w:widowControl/>
              <w:spacing w:line="257" w:lineRule="auto"/>
            </w:pPr>
            <w:r w:rsidRPr="00DC08B0">
              <w:t>Change in management</w:t>
            </w:r>
          </w:p>
        </w:tc>
        <w:tc>
          <w:tcPr>
            <w:tcW w:w="2348" w:type="pct"/>
            <w:tcBorders>
              <w:top w:val="nil"/>
              <w:left w:val="single" w:sz="4" w:space="0" w:color="auto"/>
              <w:bottom w:val="single" w:sz="4" w:space="0" w:color="auto"/>
              <w:right w:val="single" w:sz="4" w:space="0" w:color="auto"/>
            </w:tcBorders>
          </w:tcPr>
          <w:p w:rsidR="00014DEB" w:rsidRPr="00DC08B0" w:rsidRDefault="00014DEB" w:rsidP="009456B1">
            <w:pPr>
              <w:pStyle w:val="TableText"/>
              <w:keepNext/>
              <w:keepLines/>
              <w:widowControl/>
              <w:spacing w:line="257" w:lineRule="auto"/>
            </w:pPr>
            <w:r w:rsidRPr="00DC08B0">
              <w:t>Evidence to show that biomarker determination guides decisions about treatment with the medicine</w:t>
            </w:r>
          </w:p>
        </w:tc>
        <w:tc>
          <w:tcPr>
            <w:tcW w:w="1369" w:type="pct"/>
            <w:tcBorders>
              <w:top w:val="nil"/>
              <w:left w:val="single" w:sz="4" w:space="0" w:color="auto"/>
              <w:bottom w:val="single" w:sz="4" w:space="0" w:color="auto"/>
              <w:right w:val="single" w:sz="4" w:space="0" w:color="auto"/>
            </w:tcBorders>
          </w:tcPr>
          <w:p w:rsidR="00014DEB" w:rsidRPr="00DC08B0" w:rsidRDefault="00B0364C" w:rsidP="009456B1">
            <w:pPr>
              <w:pStyle w:val="TableText"/>
              <w:keepNext/>
              <w:keepLines/>
              <w:widowControl/>
              <w:tabs>
                <w:tab w:val="left" w:pos="428"/>
              </w:tabs>
              <w:spacing w:line="257" w:lineRule="auto"/>
              <w:ind w:left="3"/>
            </w:pPr>
            <w:sdt>
              <w:sdtPr>
                <w:id w:val="517356273"/>
                <w14:checkbox>
                  <w14:checked w14:val="0"/>
                  <w14:checkedState w14:val="2612" w14:font="MS Gothic"/>
                  <w14:uncheckedState w14:val="2610" w14:font="MS Gothic"/>
                </w14:checkbox>
              </w:sdtPr>
              <w:sdtEndPr/>
              <w:sdtContent>
                <w:r w:rsidR="00014DEB" w:rsidRPr="00DC08B0">
                  <w:rPr>
                    <w:rFonts w:ascii="MS Gothic" w:eastAsia="MS Gothic" w:hAnsi="MS Gothic"/>
                  </w:rPr>
                  <w:t>☐</w:t>
                </w:r>
              </w:sdtContent>
            </w:sdt>
            <w:r w:rsidR="00014DEB" w:rsidRPr="00DC08B0">
              <w:tab/>
            </w:r>
            <w:r w:rsidR="0058114C">
              <w:tab/>
            </w:r>
            <w:r w:rsidR="00014DEB" w:rsidRPr="00DC08B0">
              <w:t>k=0</w:t>
            </w:r>
            <w:r w:rsidR="00014DEB" w:rsidRPr="00DC08B0">
              <w:tab/>
            </w:r>
            <w:r w:rsidR="0058114C">
              <w:t xml:space="preserve">, </w:t>
            </w:r>
            <w:r w:rsidR="00014DEB" w:rsidRPr="00DC08B0">
              <w:t>n=0</w:t>
            </w:r>
          </w:p>
        </w:tc>
      </w:tr>
      <w:tr w:rsidR="00B12A8C" w:rsidRPr="00DC08B0" w:rsidTr="00B12A8C">
        <w:tc>
          <w:tcPr>
            <w:tcW w:w="1283" w:type="pct"/>
            <w:tcBorders>
              <w:top w:val="nil"/>
              <w:left w:val="single" w:sz="4" w:space="0" w:color="auto"/>
              <w:bottom w:val="single" w:sz="4" w:space="0" w:color="auto"/>
              <w:right w:val="single" w:sz="4" w:space="0" w:color="auto"/>
            </w:tcBorders>
          </w:tcPr>
          <w:p w:rsidR="00B12A8C" w:rsidRPr="00DC08B0" w:rsidRDefault="00B12A8C" w:rsidP="009456B1">
            <w:pPr>
              <w:pStyle w:val="TableText"/>
              <w:keepNext/>
              <w:keepLines/>
              <w:widowControl/>
            </w:pPr>
            <w:r w:rsidRPr="00DC08B0">
              <w:t>Treatment effect (enriched)</w:t>
            </w:r>
          </w:p>
        </w:tc>
        <w:tc>
          <w:tcPr>
            <w:tcW w:w="2348" w:type="pct"/>
            <w:tcBorders>
              <w:top w:val="nil"/>
              <w:left w:val="single" w:sz="4" w:space="0" w:color="auto"/>
              <w:bottom w:val="single" w:sz="4" w:space="0" w:color="auto"/>
              <w:right w:val="single" w:sz="4" w:space="0" w:color="auto"/>
            </w:tcBorders>
          </w:tcPr>
          <w:p w:rsidR="00B12A8C" w:rsidRPr="00DC08B0" w:rsidRDefault="00B12A8C" w:rsidP="009456B1">
            <w:pPr>
              <w:pStyle w:val="TableText"/>
              <w:keepNext/>
              <w:keepLines/>
              <w:widowControl/>
            </w:pPr>
            <w:r w:rsidRPr="00DC08B0">
              <w:t xml:space="preserve">Single randomised controlled trial of </w:t>
            </w:r>
            <w:proofErr w:type="spellStart"/>
            <w:r w:rsidRPr="00DC08B0">
              <w:t>olaparib</w:t>
            </w:r>
            <w:proofErr w:type="spellEnd"/>
            <w:r w:rsidRPr="00DC08B0">
              <w:t xml:space="preserve"> vs placebo in patients that are test positive in both arms</w:t>
            </w:r>
          </w:p>
        </w:tc>
        <w:tc>
          <w:tcPr>
            <w:tcW w:w="1369" w:type="pct"/>
            <w:tcBorders>
              <w:top w:val="nil"/>
              <w:left w:val="single" w:sz="4" w:space="0" w:color="auto"/>
              <w:bottom w:val="single" w:sz="4" w:space="0" w:color="auto"/>
              <w:right w:val="single" w:sz="4" w:space="0" w:color="auto"/>
            </w:tcBorders>
          </w:tcPr>
          <w:p w:rsidR="00B12A8C" w:rsidRPr="00DC08B0" w:rsidRDefault="00B0364C" w:rsidP="009456B1">
            <w:pPr>
              <w:pStyle w:val="TableText"/>
              <w:keepNext/>
              <w:keepLines/>
              <w:widowControl/>
              <w:tabs>
                <w:tab w:val="left" w:pos="428"/>
              </w:tabs>
            </w:pPr>
            <w:sdt>
              <w:sdtPr>
                <w:id w:val="272982153"/>
                <w14:checkbox>
                  <w14:checked w14:val="1"/>
                  <w14:checkedState w14:val="2612" w14:font="MS Gothic"/>
                  <w14:uncheckedState w14:val="2610" w14:font="MS Gothic"/>
                </w14:checkbox>
              </w:sdtPr>
              <w:sdtEndPr/>
              <w:sdtContent>
                <w:r w:rsidR="00B12A8C" w:rsidRPr="00DC08B0">
                  <w:rPr>
                    <w:rFonts w:ascii="MS Gothic" w:eastAsia="MS Gothic" w:hAnsi="MS Gothic"/>
                  </w:rPr>
                  <w:t>☒</w:t>
                </w:r>
              </w:sdtContent>
            </w:sdt>
            <w:r w:rsidR="00B12A8C" w:rsidRPr="00DC08B0">
              <w:tab/>
            </w:r>
            <w:r w:rsidR="0058114C">
              <w:tab/>
            </w:r>
            <w:r w:rsidR="00B12A8C" w:rsidRPr="00DC08B0">
              <w:t>k=1</w:t>
            </w:r>
            <w:r w:rsidR="00B12A8C" w:rsidRPr="00DC08B0">
              <w:tab/>
            </w:r>
            <w:r w:rsidR="0058114C">
              <w:t xml:space="preserve">, </w:t>
            </w:r>
            <w:r w:rsidR="00B12A8C" w:rsidRPr="00DC08B0">
              <w:t>n=391</w:t>
            </w:r>
          </w:p>
        </w:tc>
      </w:tr>
    </w:tbl>
    <w:p w:rsidR="00B12A8C" w:rsidRPr="00DC08B0" w:rsidRDefault="00B12A8C" w:rsidP="009456B1">
      <w:pPr>
        <w:pStyle w:val="TableFooter"/>
        <w:keepNext/>
        <w:keepLines/>
        <w:widowControl/>
      </w:pPr>
      <w:r w:rsidRPr="00DC08B0">
        <w:t>k=number of studies, n=number of patients.</w:t>
      </w:r>
    </w:p>
    <w:p w:rsidR="00B12A8C" w:rsidRPr="00DC08B0" w:rsidRDefault="00B12A8C" w:rsidP="009456B1">
      <w:pPr>
        <w:pStyle w:val="TableFooter"/>
        <w:keepNext/>
        <w:keepLines/>
        <w:widowControl/>
      </w:pPr>
      <w:r w:rsidRPr="00DC08B0">
        <w:t xml:space="preserve">Source: </w:t>
      </w:r>
      <w:r w:rsidR="006C4660">
        <w:t>Constructed during evaluation</w:t>
      </w:r>
    </w:p>
    <w:p w:rsidR="00E20BB4" w:rsidRPr="00E20BB4" w:rsidRDefault="00E20BB4" w:rsidP="00563974">
      <w:pPr>
        <w:pStyle w:val="ListParagraph"/>
        <w:rPr>
          <w:color w:val="auto"/>
        </w:rPr>
      </w:pPr>
      <w:r w:rsidRPr="00E20BB4">
        <w:rPr>
          <w:color w:val="auto"/>
        </w:rPr>
        <w:t xml:space="preserve">The submission included a single key trial of </w:t>
      </w:r>
      <w:proofErr w:type="spellStart"/>
      <w:r w:rsidRPr="00E20BB4">
        <w:rPr>
          <w:color w:val="auto"/>
        </w:rPr>
        <w:t>olaparib</w:t>
      </w:r>
      <w:proofErr w:type="spellEnd"/>
      <w:r w:rsidRPr="00E20BB4">
        <w:rPr>
          <w:color w:val="auto"/>
        </w:rPr>
        <w:t xml:space="preserve"> vs placebo in the proposed indication (first-line maintenance therapy of patients with </w:t>
      </w:r>
      <w:proofErr w:type="spellStart"/>
      <w:r w:rsidRPr="00E20BB4">
        <w:rPr>
          <w:i/>
          <w:iCs/>
          <w:color w:val="auto"/>
        </w:rPr>
        <w:t>BRCA</w:t>
      </w:r>
      <w:r w:rsidRPr="00E20BB4">
        <w:rPr>
          <w:color w:val="auto"/>
        </w:rPr>
        <w:t>m</w:t>
      </w:r>
      <w:proofErr w:type="spellEnd"/>
      <w:r w:rsidRPr="00E20BB4">
        <w:rPr>
          <w:color w:val="auto"/>
        </w:rPr>
        <w:t xml:space="preserve">). The evidence presented in the submission to inform the linked evidence approach is presented in </w:t>
      </w:r>
      <w:r w:rsidR="008D6ADE" w:rsidRPr="00DC08B0">
        <w:t>Table</w:t>
      </w:r>
      <w:r w:rsidR="008D6ADE">
        <w:t xml:space="preserve"> </w:t>
      </w:r>
      <w:r w:rsidR="008D6ADE">
        <w:rPr>
          <w:noProof/>
        </w:rPr>
        <w:t>3</w:t>
      </w:r>
      <w:r w:rsidRPr="00E20BB4">
        <w:rPr>
          <w:color w:val="auto"/>
        </w:rPr>
        <w:t>.</w:t>
      </w:r>
    </w:p>
    <w:p w:rsidR="00E20BB4" w:rsidRPr="00704999" w:rsidRDefault="00E20BB4" w:rsidP="00563974">
      <w:pPr>
        <w:pStyle w:val="ListParagraph"/>
        <w:rPr>
          <w:iCs/>
          <w:color w:val="auto"/>
        </w:rPr>
      </w:pPr>
      <w:r w:rsidRPr="006C4660">
        <w:rPr>
          <w:iCs/>
          <w:color w:val="auto"/>
        </w:rPr>
        <w:t>The submission d</w:t>
      </w:r>
      <w:r w:rsidR="007D14D6">
        <w:rPr>
          <w:iCs/>
          <w:color w:val="auto"/>
        </w:rPr>
        <w:t>id</w:t>
      </w:r>
      <w:r w:rsidRPr="006C4660">
        <w:rPr>
          <w:iCs/>
          <w:color w:val="auto"/>
        </w:rPr>
        <w:t xml:space="preserve"> not include any direct comparison of </w:t>
      </w:r>
      <w:proofErr w:type="spellStart"/>
      <w:r w:rsidRPr="006C4660">
        <w:rPr>
          <w:iCs/>
          <w:color w:val="auto"/>
        </w:rPr>
        <w:t>olaparib</w:t>
      </w:r>
      <w:proofErr w:type="spellEnd"/>
      <w:r w:rsidRPr="006C4660">
        <w:rPr>
          <w:iCs/>
          <w:color w:val="auto"/>
        </w:rPr>
        <w:t xml:space="preserve"> vs placebo in the first-line maintenance setting for patients with </w:t>
      </w:r>
      <w:proofErr w:type="spellStart"/>
      <w:r w:rsidRPr="006C4660">
        <w:rPr>
          <w:iCs/>
          <w:color w:val="auto"/>
        </w:rPr>
        <w:t>s</w:t>
      </w:r>
      <w:r w:rsidRPr="00E10DB0">
        <w:rPr>
          <w:i/>
          <w:iCs/>
          <w:color w:val="auto"/>
        </w:rPr>
        <w:t>BRCA</w:t>
      </w:r>
      <w:r w:rsidRPr="006C4660">
        <w:rPr>
          <w:iCs/>
          <w:color w:val="auto"/>
        </w:rPr>
        <w:t>m</w:t>
      </w:r>
      <w:proofErr w:type="spellEnd"/>
      <w:r w:rsidRPr="00704999">
        <w:rPr>
          <w:iCs/>
          <w:color w:val="auto"/>
        </w:rPr>
        <w:t xml:space="preserve">. </w:t>
      </w:r>
      <w:r w:rsidRPr="006C4660">
        <w:rPr>
          <w:iCs/>
          <w:color w:val="auto"/>
        </w:rPr>
        <w:t xml:space="preserve">The submission presented an indirect comparison of the treatment effect of other PARP inhibitors in the second-line setting for germline vs somatic </w:t>
      </w:r>
      <w:proofErr w:type="spellStart"/>
      <w:r w:rsidRPr="00E10DB0">
        <w:rPr>
          <w:i/>
          <w:iCs/>
          <w:color w:val="auto"/>
        </w:rPr>
        <w:t>BRCA</w:t>
      </w:r>
      <w:r w:rsidRPr="006C4660">
        <w:rPr>
          <w:iCs/>
          <w:color w:val="auto"/>
        </w:rPr>
        <w:t>m</w:t>
      </w:r>
      <w:proofErr w:type="spellEnd"/>
      <w:r w:rsidRPr="006C4660">
        <w:rPr>
          <w:iCs/>
          <w:color w:val="auto"/>
        </w:rPr>
        <w:t>, with placebo as a common reference arm</w:t>
      </w:r>
      <w:r w:rsidRPr="00704999">
        <w:rPr>
          <w:iCs/>
          <w:color w:val="auto"/>
        </w:rPr>
        <w:t xml:space="preserve">. </w:t>
      </w:r>
    </w:p>
    <w:p w:rsidR="00E20BB4" w:rsidRPr="008F5586" w:rsidRDefault="00E20BB4" w:rsidP="00563974">
      <w:pPr>
        <w:pStyle w:val="ListParagraph"/>
        <w:rPr>
          <w:iCs/>
          <w:color w:val="auto"/>
        </w:rPr>
      </w:pPr>
      <w:r w:rsidRPr="00704999">
        <w:rPr>
          <w:iCs/>
          <w:color w:val="auto"/>
        </w:rPr>
        <w:t xml:space="preserve">The key trial, SOLO1, does not contain sufficient overall survival data to inform the economic model, and data from the Australian Ovarian Cancer Study (AOCS) </w:t>
      </w:r>
      <w:r w:rsidR="00E47A31" w:rsidRPr="00704999">
        <w:rPr>
          <w:iCs/>
          <w:color w:val="auto"/>
        </w:rPr>
        <w:t>were</w:t>
      </w:r>
      <w:r w:rsidRPr="00704999">
        <w:rPr>
          <w:iCs/>
          <w:color w:val="auto"/>
        </w:rPr>
        <w:t xml:space="preserve"> applied to the model to estimate incremental OS</w:t>
      </w:r>
      <w:r w:rsidR="00F377F6" w:rsidRPr="00704999">
        <w:rPr>
          <w:iCs/>
          <w:color w:val="auto"/>
        </w:rPr>
        <w:t xml:space="preserve"> gains</w:t>
      </w:r>
      <w:r w:rsidRPr="00704999">
        <w:rPr>
          <w:iCs/>
          <w:color w:val="auto"/>
        </w:rPr>
        <w:t>.</w:t>
      </w:r>
    </w:p>
    <w:p w:rsidR="008F5586" w:rsidRPr="008F5586" w:rsidRDefault="008F5586" w:rsidP="008F5586">
      <w:pPr>
        <w:pStyle w:val="ListParagraph"/>
        <w:rPr>
          <w:iCs/>
          <w:color w:val="0070C0"/>
        </w:rPr>
      </w:pPr>
      <w:r w:rsidRPr="00DC08B0">
        <w:t xml:space="preserve">AOCS data </w:t>
      </w:r>
      <w:r>
        <w:t>were</w:t>
      </w:r>
      <w:r w:rsidRPr="00DC08B0">
        <w:t xml:space="preserve"> applied to the SOLO1 trial data to inform long term OS. The applicability of the AOCS cohort to that enrolled in the SOLO1 trial </w:t>
      </w:r>
      <w:r>
        <w:t>wa</w:t>
      </w:r>
      <w:r w:rsidRPr="00DC08B0">
        <w:t xml:space="preserve">s poorly addressed in the submission </w:t>
      </w:r>
      <w:r>
        <w:t>and was unclear. The evaluation considered the applicability and method of use</w:t>
      </w:r>
      <w:r w:rsidRPr="00DC08B0">
        <w:t xml:space="preserve"> of the mortality rate associated with second progression derived from the AOCS cohort to the SOLO1 PFS2 curve </w:t>
      </w:r>
      <w:r>
        <w:t>was</w:t>
      </w:r>
      <w:r w:rsidRPr="00DC08B0">
        <w:t xml:space="preserve"> not </w:t>
      </w:r>
      <w:r>
        <w:t xml:space="preserve">adequately </w:t>
      </w:r>
      <w:r w:rsidRPr="00DC08B0">
        <w:t>justified.</w:t>
      </w:r>
    </w:p>
    <w:p w:rsidR="00B12A8C" w:rsidRDefault="00B12A8C" w:rsidP="00563974">
      <w:pPr>
        <w:pStyle w:val="Caption"/>
        <w:keepLines/>
        <w:ind w:left="1418" w:hanging="1418"/>
      </w:pPr>
      <w:bookmarkStart w:id="14" w:name="_Ref16174560"/>
      <w:r w:rsidRPr="00DC08B0">
        <w:lastRenderedPageBreak/>
        <w:t>Table</w:t>
      </w:r>
      <w:r w:rsidR="00563974">
        <w:t xml:space="preserve"> </w:t>
      </w:r>
      <w:r w:rsidR="00A75368">
        <w:rPr>
          <w:noProof/>
        </w:rPr>
        <w:t>3</w:t>
      </w:r>
      <w:bookmarkEnd w:id="14"/>
      <w:r w:rsidR="00563974">
        <w:rPr>
          <w:noProof/>
        </w:rPr>
        <w:t xml:space="preserve">: </w:t>
      </w:r>
      <w:r w:rsidRPr="00DC08B0">
        <w:t>Key data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2694"/>
        <w:gridCol w:w="3493"/>
      </w:tblGrid>
      <w:tr w:rsidR="004D7B97" w:rsidRPr="00DC08B0" w:rsidTr="005A0238">
        <w:tc>
          <w:tcPr>
            <w:tcW w:w="1569"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spacing w:line="257" w:lineRule="auto"/>
              <w:rPr>
                <w:b/>
              </w:rPr>
            </w:pPr>
            <w:r w:rsidRPr="00DC08B0">
              <w:rPr>
                <w:b/>
              </w:rPr>
              <w:t>Proposed test vs no test</w:t>
            </w:r>
          </w:p>
        </w:tc>
        <w:tc>
          <w:tcPr>
            <w:tcW w:w="3431" w:type="pct"/>
            <w:gridSpan w:val="2"/>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spacing w:line="257" w:lineRule="auto"/>
            </w:pPr>
            <w:r w:rsidRPr="00DC08B0">
              <w:t>No evidence presented</w:t>
            </w:r>
          </w:p>
        </w:tc>
      </w:tr>
      <w:tr w:rsidR="004D7B97" w:rsidRPr="00DC08B0" w:rsidTr="005A0238">
        <w:tc>
          <w:tcPr>
            <w:tcW w:w="1569"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spacing w:line="257" w:lineRule="auto"/>
              <w:rPr>
                <w:b/>
              </w:rPr>
            </w:pPr>
            <w:r w:rsidRPr="00DC08B0">
              <w:rPr>
                <w:b/>
              </w:rPr>
              <w:t>Proposed test vs alternative test</w:t>
            </w:r>
          </w:p>
        </w:tc>
        <w:tc>
          <w:tcPr>
            <w:tcW w:w="3431" w:type="pct"/>
            <w:gridSpan w:val="2"/>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spacing w:line="257" w:lineRule="auto"/>
            </w:pPr>
            <w:r w:rsidRPr="00DC08B0">
              <w:t>11 diagnostic accuracy studies</w:t>
            </w:r>
          </w:p>
        </w:tc>
      </w:tr>
      <w:tr w:rsidR="004D7B97" w:rsidRPr="00DC08B0" w:rsidTr="005A0238">
        <w:tc>
          <w:tcPr>
            <w:tcW w:w="1569" w:type="pct"/>
            <w:tcBorders>
              <w:top w:val="single" w:sz="4" w:space="0" w:color="000000"/>
              <w:left w:val="single" w:sz="4" w:space="0" w:color="000000"/>
              <w:bottom w:val="single" w:sz="4" w:space="0" w:color="000000"/>
              <w:right w:val="single" w:sz="4" w:space="0" w:color="000000"/>
            </w:tcBorders>
          </w:tcPr>
          <w:p w:rsidR="004D7B97" w:rsidRPr="00DC08B0" w:rsidRDefault="004D7B97" w:rsidP="00563974">
            <w:pPr>
              <w:pStyle w:val="TableText"/>
              <w:keepNext/>
              <w:keepLines/>
              <w:widowControl/>
              <w:rPr>
                <w:b/>
              </w:rPr>
            </w:pPr>
          </w:p>
        </w:tc>
        <w:tc>
          <w:tcPr>
            <w:tcW w:w="1494"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rPr>
                <w:b/>
              </w:rPr>
            </w:pPr>
            <w:proofErr w:type="spellStart"/>
            <w:r w:rsidRPr="00DC08B0">
              <w:rPr>
                <w:b/>
              </w:rPr>
              <w:t>Olaparib</w:t>
            </w:r>
            <w:proofErr w:type="spellEnd"/>
            <w:r w:rsidRPr="00DC08B0">
              <w:rPr>
                <w:b/>
              </w:rPr>
              <w:t xml:space="preserve"> maintenance therapy</w:t>
            </w:r>
          </w:p>
        </w:tc>
        <w:tc>
          <w:tcPr>
            <w:tcW w:w="1937"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rPr>
                <w:b/>
              </w:rPr>
            </w:pPr>
            <w:r>
              <w:rPr>
                <w:b/>
              </w:rPr>
              <w:t>Placebo (watch and w</w:t>
            </w:r>
            <w:r w:rsidRPr="00DC08B0">
              <w:rPr>
                <w:b/>
              </w:rPr>
              <w:t>ait</w:t>
            </w:r>
            <w:r>
              <w:rPr>
                <w:b/>
              </w:rPr>
              <w:t>)</w:t>
            </w:r>
          </w:p>
        </w:tc>
      </w:tr>
      <w:tr w:rsidR="004D7B97" w:rsidRPr="00DC08B0" w:rsidTr="005A0238">
        <w:tc>
          <w:tcPr>
            <w:tcW w:w="1569"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rPr>
                <w:b/>
              </w:rPr>
            </w:pPr>
            <w:r w:rsidRPr="00DC08B0">
              <w:rPr>
                <w:b/>
              </w:rPr>
              <w:t>Biomarker test positive</w:t>
            </w:r>
          </w:p>
        </w:tc>
        <w:tc>
          <w:tcPr>
            <w:tcW w:w="1494"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pPr>
            <w:r w:rsidRPr="00DC08B0">
              <w:t>SOLO1</w:t>
            </w:r>
          </w:p>
        </w:tc>
        <w:tc>
          <w:tcPr>
            <w:tcW w:w="1937"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Next/>
              <w:keepLines/>
              <w:widowControl/>
            </w:pPr>
            <w:r w:rsidRPr="00DC08B0">
              <w:t>SOLO1</w:t>
            </w:r>
          </w:p>
        </w:tc>
      </w:tr>
      <w:tr w:rsidR="004D7B97" w:rsidRPr="00DC08B0" w:rsidTr="005A0238">
        <w:tc>
          <w:tcPr>
            <w:tcW w:w="1569"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Lines/>
              <w:widowControl/>
              <w:rPr>
                <w:b/>
              </w:rPr>
            </w:pPr>
            <w:r w:rsidRPr="00DC08B0">
              <w:rPr>
                <w:b/>
              </w:rPr>
              <w:t xml:space="preserve">Biomarker test negative </w:t>
            </w:r>
          </w:p>
        </w:tc>
        <w:tc>
          <w:tcPr>
            <w:tcW w:w="1494"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Lines/>
              <w:widowControl/>
            </w:pPr>
            <w:r w:rsidRPr="00DC08B0">
              <w:t>No evidence presented</w:t>
            </w:r>
          </w:p>
        </w:tc>
        <w:tc>
          <w:tcPr>
            <w:tcW w:w="1937" w:type="pct"/>
            <w:tcBorders>
              <w:top w:val="single" w:sz="4" w:space="0" w:color="000000"/>
              <w:left w:val="single" w:sz="4" w:space="0" w:color="000000"/>
              <w:bottom w:val="single" w:sz="4" w:space="0" w:color="000000"/>
              <w:right w:val="single" w:sz="4" w:space="0" w:color="000000"/>
            </w:tcBorders>
            <w:hideMark/>
          </w:tcPr>
          <w:p w:rsidR="004D7B97" w:rsidRPr="00DC08B0" w:rsidRDefault="004D7B97" w:rsidP="00563974">
            <w:pPr>
              <w:pStyle w:val="TableText"/>
              <w:keepLines/>
              <w:widowControl/>
            </w:pPr>
            <w:r w:rsidRPr="00DC08B0">
              <w:t>The Australian Ovarian Cancer Study Registry observational data</w:t>
            </w:r>
          </w:p>
        </w:tc>
      </w:tr>
    </w:tbl>
    <w:p w:rsidR="004D7B97" w:rsidRPr="00DC08B0" w:rsidRDefault="004D7B97" w:rsidP="00563974">
      <w:pPr>
        <w:pStyle w:val="TableFooter"/>
        <w:keepLines/>
        <w:widowControl/>
      </w:pPr>
      <w:r w:rsidRPr="00DC08B0">
        <w:t xml:space="preserve">Source: </w:t>
      </w:r>
      <w:r w:rsidR="00284F6C">
        <w:t>Constructed during evaluation</w:t>
      </w:r>
    </w:p>
    <w:p w:rsidR="003A2748" w:rsidRPr="00005E7E" w:rsidRDefault="00B12A8C" w:rsidP="00563974">
      <w:pPr>
        <w:pStyle w:val="ListParagraph"/>
        <w:numPr>
          <w:ilvl w:val="4"/>
          <w:numId w:val="1"/>
        </w:numPr>
        <w:rPr>
          <w:color w:val="auto"/>
        </w:rPr>
      </w:pPr>
      <w:r w:rsidRPr="00E20BB4">
        <w:rPr>
          <w:color w:val="auto"/>
        </w:rPr>
        <w:t xml:space="preserve">The key comparative study in patients with identified </w:t>
      </w:r>
      <w:proofErr w:type="spellStart"/>
      <w:r w:rsidR="00F556D7" w:rsidRPr="00005E7E">
        <w:rPr>
          <w:color w:val="auto"/>
        </w:rPr>
        <w:t>g</w:t>
      </w:r>
      <w:r w:rsidR="00F556D7">
        <w:rPr>
          <w:i/>
          <w:color w:val="auto"/>
        </w:rPr>
        <w:t>BRCA</w:t>
      </w:r>
      <w:r w:rsidR="00F556D7" w:rsidRPr="00005E7E">
        <w:rPr>
          <w:color w:val="auto"/>
        </w:rPr>
        <w:t>m</w:t>
      </w:r>
      <w:proofErr w:type="spellEnd"/>
      <w:r w:rsidR="00F556D7" w:rsidRPr="00E20BB4">
        <w:rPr>
          <w:color w:val="auto"/>
        </w:rPr>
        <w:t xml:space="preserve"> </w:t>
      </w:r>
      <w:r w:rsidRPr="00E20BB4">
        <w:rPr>
          <w:color w:val="auto"/>
        </w:rPr>
        <w:t xml:space="preserve">has a low risk of bias. While the safety profile of </w:t>
      </w:r>
      <w:proofErr w:type="spellStart"/>
      <w:r w:rsidRPr="00E20BB4">
        <w:rPr>
          <w:color w:val="auto"/>
        </w:rPr>
        <w:t>olaparib</w:t>
      </w:r>
      <w:proofErr w:type="spellEnd"/>
      <w:r w:rsidRPr="00E20BB4">
        <w:rPr>
          <w:color w:val="auto"/>
        </w:rPr>
        <w:t xml:space="preserve"> may have unmasked some investigators to the allocation of their patients (given the comparator arm was placebo), </w:t>
      </w:r>
      <w:r w:rsidR="003324C7">
        <w:rPr>
          <w:color w:val="auto"/>
        </w:rPr>
        <w:t>based on a comparison with blinded assessment of progression events, unmasking</w:t>
      </w:r>
      <w:r w:rsidRPr="00E20BB4">
        <w:rPr>
          <w:color w:val="auto"/>
        </w:rPr>
        <w:t xml:space="preserve"> does not appear to have affected the </w:t>
      </w:r>
      <w:r w:rsidR="003324C7">
        <w:rPr>
          <w:color w:val="auto"/>
        </w:rPr>
        <w:t xml:space="preserve">investigator </w:t>
      </w:r>
      <w:r w:rsidRPr="00E20BB4">
        <w:rPr>
          <w:color w:val="auto"/>
        </w:rPr>
        <w:t xml:space="preserve">assessment of PFS. </w:t>
      </w:r>
    </w:p>
    <w:p w:rsidR="00B12A8C" w:rsidRPr="00CC4DC5" w:rsidRDefault="006472C6" w:rsidP="00563974">
      <w:pPr>
        <w:pStyle w:val="ListParagraph"/>
        <w:numPr>
          <w:ilvl w:val="4"/>
          <w:numId w:val="1"/>
        </w:numPr>
        <w:rPr>
          <w:color w:val="auto"/>
        </w:rPr>
      </w:pPr>
      <w:r w:rsidRPr="00CC4DC5">
        <w:rPr>
          <w:color w:val="auto"/>
        </w:rPr>
        <w:t xml:space="preserve">The ESC considered that the </w:t>
      </w:r>
      <w:r w:rsidR="00266C3A" w:rsidRPr="00CC4DC5">
        <w:rPr>
          <w:color w:val="auto"/>
        </w:rPr>
        <w:t xml:space="preserve">data supporting the efficacy of </w:t>
      </w:r>
      <w:proofErr w:type="spellStart"/>
      <w:r w:rsidR="00563974" w:rsidRPr="00CC4DC5">
        <w:rPr>
          <w:color w:val="auto"/>
        </w:rPr>
        <w:t>olaparib</w:t>
      </w:r>
      <w:proofErr w:type="spellEnd"/>
      <w:r w:rsidR="00266C3A" w:rsidRPr="00CC4DC5">
        <w:rPr>
          <w:color w:val="auto"/>
        </w:rPr>
        <w:t xml:space="preserve"> for </w:t>
      </w:r>
      <w:r w:rsidR="00D66C42" w:rsidRPr="00CC4DC5">
        <w:rPr>
          <w:color w:val="auto"/>
        </w:rPr>
        <w:t xml:space="preserve">patients with </w:t>
      </w:r>
      <w:proofErr w:type="spellStart"/>
      <w:r w:rsidR="00266C3A" w:rsidRPr="00CC4DC5">
        <w:rPr>
          <w:color w:val="auto"/>
        </w:rPr>
        <w:t>s</w:t>
      </w:r>
      <w:r w:rsidR="00266C3A" w:rsidRPr="00CC4DC5">
        <w:rPr>
          <w:i/>
          <w:color w:val="auto"/>
        </w:rPr>
        <w:t>BRCA</w:t>
      </w:r>
      <w:r w:rsidR="00266C3A" w:rsidRPr="00CC4DC5">
        <w:rPr>
          <w:color w:val="auto"/>
        </w:rPr>
        <w:t>m</w:t>
      </w:r>
      <w:proofErr w:type="spellEnd"/>
      <w:r w:rsidR="00266C3A" w:rsidRPr="00CC4DC5">
        <w:rPr>
          <w:color w:val="auto"/>
        </w:rPr>
        <w:t xml:space="preserve"> </w:t>
      </w:r>
      <w:r w:rsidR="00D66C42" w:rsidRPr="00CC4DC5">
        <w:rPr>
          <w:color w:val="auto"/>
        </w:rPr>
        <w:t xml:space="preserve">in the absence of </w:t>
      </w:r>
      <w:proofErr w:type="spellStart"/>
      <w:r w:rsidR="00D66C42" w:rsidRPr="00CC4DC5">
        <w:rPr>
          <w:color w:val="auto"/>
        </w:rPr>
        <w:t>g</w:t>
      </w:r>
      <w:r w:rsidR="00D66C42" w:rsidRPr="00CC4DC5">
        <w:rPr>
          <w:i/>
          <w:color w:val="auto"/>
        </w:rPr>
        <w:t>BRCA</w:t>
      </w:r>
      <w:r w:rsidR="00D66C42" w:rsidRPr="00CC4DC5">
        <w:rPr>
          <w:color w:val="auto"/>
        </w:rPr>
        <w:t>m</w:t>
      </w:r>
      <w:proofErr w:type="spellEnd"/>
      <w:r w:rsidR="00D66C42" w:rsidRPr="00CC4DC5">
        <w:rPr>
          <w:color w:val="auto"/>
        </w:rPr>
        <w:t xml:space="preserve"> was </w:t>
      </w:r>
      <w:r w:rsidR="003805B1" w:rsidRPr="00CC4DC5">
        <w:rPr>
          <w:color w:val="auto"/>
        </w:rPr>
        <w:t>moderately</w:t>
      </w:r>
      <w:r w:rsidR="00D66C42" w:rsidRPr="00CC4DC5">
        <w:rPr>
          <w:color w:val="auto"/>
        </w:rPr>
        <w:t xml:space="preserve"> uncertain, given that </w:t>
      </w:r>
      <w:r w:rsidR="001E1C32" w:rsidRPr="00CC4DC5">
        <w:rPr>
          <w:color w:val="auto"/>
        </w:rPr>
        <w:t>this population was not included in the key comparative study.</w:t>
      </w:r>
    </w:p>
    <w:p w:rsidR="001B1C50" w:rsidRPr="00CC4DC5" w:rsidRDefault="001B1C50" w:rsidP="00563974">
      <w:pPr>
        <w:pStyle w:val="ListParagraph"/>
        <w:numPr>
          <w:ilvl w:val="4"/>
          <w:numId w:val="1"/>
        </w:numPr>
        <w:rPr>
          <w:color w:val="auto"/>
        </w:rPr>
      </w:pPr>
      <w:r w:rsidRPr="00CC4DC5">
        <w:rPr>
          <w:color w:val="auto"/>
        </w:rPr>
        <w:t xml:space="preserve">The ESC considered that the efficacy of maintenance PARP inhibitors in </w:t>
      </w:r>
      <w:r w:rsidR="00F22627" w:rsidRPr="00CC4DC5">
        <w:rPr>
          <w:color w:val="auto"/>
        </w:rPr>
        <w:t xml:space="preserve">a broader population of </w:t>
      </w:r>
      <w:r w:rsidRPr="00CC4DC5">
        <w:rPr>
          <w:color w:val="auto"/>
        </w:rPr>
        <w:t xml:space="preserve">first-line patients with </w:t>
      </w:r>
      <w:proofErr w:type="spellStart"/>
      <w:r w:rsidRPr="00CC4DC5">
        <w:rPr>
          <w:i/>
          <w:color w:val="auto"/>
        </w:rPr>
        <w:t>BRCA</w:t>
      </w:r>
      <w:r w:rsidRPr="00CC4DC5">
        <w:rPr>
          <w:color w:val="auto"/>
        </w:rPr>
        <w:t>wt</w:t>
      </w:r>
      <w:proofErr w:type="spellEnd"/>
      <w:r w:rsidRPr="00CC4DC5">
        <w:rPr>
          <w:color w:val="auto"/>
        </w:rPr>
        <w:t xml:space="preserve"> tumours remained uncertain, but that the field was evolving rapidly, with </w:t>
      </w:r>
      <w:r w:rsidR="005B7417" w:rsidRPr="00CC4DC5">
        <w:rPr>
          <w:color w:val="auto"/>
        </w:rPr>
        <w:t>relevant</w:t>
      </w:r>
      <w:r w:rsidRPr="00CC4DC5">
        <w:rPr>
          <w:color w:val="auto"/>
        </w:rPr>
        <w:t xml:space="preserve"> data from 3 studies</w:t>
      </w:r>
      <w:r w:rsidR="00A5041D" w:rsidRPr="00CC4DC5">
        <w:rPr>
          <w:color w:val="auto"/>
        </w:rPr>
        <w:t xml:space="preserve"> </w:t>
      </w:r>
      <w:r w:rsidR="00872F72" w:rsidRPr="00CC4DC5">
        <w:rPr>
          <w:color w:val="auto"/>
        </w:rPr>
        <w:t>–</w:t>
      </w:r>
      <w:r w:rsidR="002F5FB0" w:rsidRPr="00CC4DC5">
        <w:rPr>
          <w:color w:val="auto"/>
        </w:rPr>
        <w:t xml:space="preserve"> PAOL</w:t>
      </w:r>
      <w:r w:rsidR="004B2AA2" w:rsidRPr="00CC4DC5">
        <w:rPr>
          <w:color w:val="auto"/>
        </w:rPr>
        <w:t>A-1</w:t>
      </w:r>
      <w:r w:rsidR="00A361BD" w:rsidRPr="00CC4DC5">
        <w:rPr>
          <w:rStyle w:val="FootnoteReference"/>
          <w:color w:val="auto"/>
        </w:rPr>
        <w:footnoteReference w:id="4"/>
      </w:r>
      <w:r w:rsidR="004B2AA2" w:rsidRPr="00CC4DC5">
        <w:rPr>
          <w:color w:val="auto"/>
        </w:rPr>
        <w:t xml:space="preserve"> (</w:t>
      </w:r>
      <w:proofErr w:type="spellStart"/>
      <w:r w:rsidRPr="00CC4DC5">
        <w:rPr>
          <w:color w:val="auto"/>
        </w:rPr>
        <w:t>olaparib</w:t>
      </w:r>
      <w:proofErr w:type="spellEnd"/>
      <w:r w:rsidR="004B2AA2" w:rsidRPr="00CC4DC5">
        <w:rPr>
          <w:color w:val="auto"/>
        </w:rPr>
        <w:t xml:space="preserve"> + bevacizumab vs placebo + bevacizumab</w:t>
      </w:r>
      <w:r w:rsidRPr="00CC4DC5">
        <w:rPr>
          <w:color w:val="auto"/>
        </w:rPr>
        <w:t xml:space="preserve">, </w:t>
      </w:r>
      <w:r w:rsidR="00A5041D" w:rsidRPr="00CC4DC5">
        <w:rPr>
          <w:color w:val="auto"/>
        </w:rPr>
        <w:t>PRIMA</w:t>
      </w:r>
      <w:r w:rsidR="000C00C3" w:rsidRPr="00CC4DC5">
        <w:rPr>
          <w:rStyle w:val="FootnoteReference"/>
          <w:color w:val="auto"/>
        </w:rPr>
        <w:footnoteReference w:id="5"/>
      </w:r>
      <w:r w:rsidR="00A5041D" w:rsidRPr="00CC4DC5">
        <w:rPr>
          <w:color w:val="auto"/>
        </w:rPr>
        <w:t xml:space="preserve"> (</w:t>
      </w:r>
      <w:proofErr w:type="spellStart"/>
      <w:r w:rsidRPr="00CC4DC5">
        <w:rPr>
          <w:color w:val="auto"/>
        </w:rPr>
        <w:t>niraparib</w:t>
      </w:r>
      <w:proofErr w:type="spellEnd"/>
      <w:r w:rsidR="00A5041D" w:rsidRPr="00CC4DC5">
        <w:rPr>
          <w:color w:val="auto"/>
        </w:rPr>
        <w:t xml:space="preserve"> vs placebo)</w:t>
      </w:r>
      <w:r w:rsidRPr="00CC4DC5">
        <w:rPr>
          <w:color w:val="auto"/>
        </w:rPr>
        <w:t xml:space="preserve">, and </w:t>
      </w:r>
      <w:r w:rsidR="00B8154C" w:rsidRPr="00CC4DC5">
        <w:rPr>
          <w:color w:val="auto"/>
        </w:rPr>
        <w:t>VELIA</w:t>
      </w:r>
      <w:r w:rsidR="000C00C3" w:rsidRPr="00CC4DC5">
        <w:rPr>
          <w:rStyle w:val="FootnoteReference"/>
          <w:color w:val="auto"/>
        </w:rPr>
        <w:footnoteReference w:id="6"/>
      </w:r>
      <w:r w:rsidR="00B8154C" w:rsidRPr="00CC4DC5">
        <w:rPr>
          <w:color w:val="auto"/>
        </w:rPr>
        <w:t xml:space="preserve"> (</w:t>
      </w:r>
      <w:proofErr w:type="spellStart"/>
      <w:r w:rsidRPr="00CC4DC5">
        <w:rPr>
          <w:color w:val="auto"/>
        </w:rPr>
        <w:t>veliparib</w:t>
      </w:r>
      <w:proofErr w:type="spellEnd"/>
      <w:r w:rsidRPr="00CC4DC5">
        <w:rPr>
          <w:color w:val="auto"/>
        </w:rPr>
        <w:t xml:space="preserve"> </w:t>
      </w:r>
      <w:r w:rsidR="00B8154C" w:rsidRPr="00CC4DC5">
        <w:rPr>
          <w:color w:val="auto"/>
        </w:rPr>
        <w:t xml:space="preserve">vs placebo) </w:t>
      </w:r>
      <w:r w:rsidR="00872F72" w:rsidRPr="00CC4DC5">
        <w:rPr>
          <w:color w:val="auto"/>
        </w:rPr>
        <w:t>–</w:t>
      </w:r>
      <w:r w:rsidR="00B8154C" w:rsidRPr="00CC4DC5">
        <w:rPr>
          <w:color w:val="auto"/>
        </w:rPr>
        <w:t xml:space="preserve"> </w:t>
      </w:r>
      <w:r w:rsidR="000C1FFA" w:rsidRPr="00CC4DC5">
        <w:rPr>
          <w:color w:val="auto"/>
        </w:rPr>
        <w:t>recently publishe</w:t>
      </w:r>
      <w:r w:rsidR="001C61BE" w:rsidRPr="00CC4DC5">
        <w:rPr>
          <w:color w:val="auto"/>
        </w:rPr>
        <w:t xml:space="preserve">d or </w:t>
      </w:r>
      <w:r w:rsidRPr="00CC4DC5">
        <w:rPr>
          <w:color w:val="auto"/>
        </w:rPr>
        <w:t>presented at the European Society of Medical Oncology Congress</w:t>
      </w:r>
      <w:r w:rsidR="007D15AB" w:rsidRPr="00CC4DC5">
        <w:rPr>
          <w:color w:val="auto"/>
        </w:rPr>
        <w:t xml:space="preserve"> (</w:t>
      </w:r>
      <w:r w:rsidRPr="00CC4DC5">
        <w:rPr>
          <w:color w:val="auto"/>
        </w:rPr>
        <w:t>Barcelona</w:t>
      </w:r>
      <w:r w:rsidR="007D15AB" w:rsidRPr="00CC4DC5">
        <w:rPr>
          <w:color w:val="auto"/>
        </w:rPr>
        <w:t>,</w:t>
      </w:r>
      <w:r w:rsidRPr="00CC4DC5">
        <w:rPr>
          <w:color w:val="auto"/>
        </w:rPr>
        <w:t xml:space="preserve"> September 2019</w:t>
      </w:r>
      <w:r w:rsidR="007D15AB" w:rsidRPr="00CC4DC5">
        <w:rPr>
          <w:color w:val="auto"/>
        </w:rPr>
        <w:t>)</w:t>
      </w:r>
      <w:r w:rsidRPr="00CC4DC5">
        <w:rPr>
          <w:color w:val="auto"/>
        </w:rPr>
        <w:t xml:space="preserve">. </w:t>
      </w:r>
      <w:r w:rsidR="00363F0A" w:rsidRPr="00CC4DC5">
        <w:rPr>
          <w:color w:val="auto"/>
        </w:rPr>
        <w:t xml:space="preserve">The ESC </w:t>
      </w:r>
      <w:r w:rsidRPr="00CC4DC5">
        <w:rPr>
          <w:color w:val="auto"/>
        </w:rPr>
        <w:t xml:space="preserve">noted </w:t>
      </w:r>
      <w:r w:rsidR="00036101" w:rsidRPr="00CC4DC5">
        <w:rPr>
          <w:color w:val="auto"/>
        </w:rPr>
        <w:t xml:space="preserve">that </w:t>
      </w:r>
      <w:r w:rsidR="00872F72" w:rsidRPr="00CC4DC5">
        <w:rPr>
          <w:color w:val="auto"/>
        </w:rPr>
        <w:t xml:space="preserve">all three </w:t>
      </w:r>
      <w:r w:rsidRPr="00CC4DC5">
        <w:rPr>
          <w:color w:val="auto"/>
        </w:rPr>
        <w:t>clinical trial</w:t>
      </w:r>
      <w:r w:rsidR="00872F72" w:rsidRPr="00CC4DC5">
        <w:rPr>
          <w:color w:val="auto"/>
        </w:rPr>
        <w:t>s</w:t>
      </w:r>
      <w:r w:rsidRPr="00CC4DC5">
        <w:rPr>
          <w:color w:val="auto"/>
        </w:rPr>
        <w:t xml:space="preserve"> reported an improvement in progression-free survival for first-line patients regardless of tumour </w:t>
      </w:r>
      <w:r w:rsidRPr="00CC4DC5">
        <w:rPr>
          <w:i/>
          <w:color w:val="auto"/>
        </w:rPr>
        <w:t>BRCA</w:t>
      </w:r>
      <w:r w:rsidRPr="00CC4DC5">
        <w:rPr>
          <w:color w:val="auto"/>
        </w:rPr>
        <w:t xml:space="preserve"> status, however subgroup analysis </w:t>
      </w:r>
      <w:r w:rsidR="00F10772" w:rsidRPr="00CC4DC5">
        <w:rPr>
          <w:color w:val="auto"/>
        </w:rPr>
        <w:t xml:space="preserve">reported </w:t>
      </w:r>
      <w:r w:rsidRPr="00CC4DC5">
        <w:rPr>
          <w:color w:val="auto"/>
        </w:rPr>
        <w:t xml:space="preserve">that </w:t>
      </w:r>
      <w:proofErr w:type="spellStart"/>
      <w:r w:rsidR="00403C6A" w:rsidRPr="00CC4DC5">
        <w:rPr>
          <w:color w:val="auto"/>
        </w:rPr>
        <w:t>olaparib</w:t>
      </w:r>
      <w:proofErr w:type="spellEnd"/>
      <w:r w:rsidR="00403C6A" w:rsidRPr="00CC4DC5">
        <w:rPr>
          <w:color w:val="auto"/>
        </w:rPr>
        <w:t xml:space="preserve"> was more </w:t>
      </w:r>
      <w:r w:rsidR="00E029BA" w:rsidRPr="00CC4DC5">
        <w:rPr>
          <w:color w:val="auto"/>
        </w:rPr>
        <w:t xml:space="preserve">effective for </w:t>
      </w:r>
      <w:proofErr w:type="spellStart"/>
      <w:r w:rsidR="00E029BA" w:rsidRPr="00CC4DC5">
        <w:rPr>
          <w:i/>
          <w:color w:val="auto"/>
        </w:rPr>
        <w:t>BRCA</w:t>
      </w:r>
      <w:r w:rsidR="00E029BA" w:rsidRPr="00CC4DC5">
        <w:rPr>
          <w:color w:val="auto"/>
        </w:rPr>
        <w:t>m</w:t>
      </w:r>
      <w:proofErr w:type="spellEnd"/>
      <w:r w:rsidR="00E029BA" w:rsidRPr="00CC4DC5">
        <w:rPr>
          <w:color w:val="auto"/>
        </w:rPr>
        <w:t xml:space="preserve"> than </w:t>
      </w:r>
      <w:proofErr w:type="spellStart"/>
      <w:r w:rsidR="00E029BA" w:rsidRPr="00CC4DC5">
        <w:rPr>
          <w:i/>
          <w:color w:val="auto"/>
        </w:rPr>
        <w:t>BRCA</w:t>
      </w:r>
      <w:r w:rsidR="00E029BA" w:rsidRPr="00CC4DC5">
        <w:rPr>
          <w:color w:val="auto"/>
        </w:rPr>
        <w:t>wt</w:t>
      </w:r>
      <w:proofErr w:type="spellEnd"/>
      <w:r w:rsidR="00CB290A" w:rsidRPr="00CC4DC5">
        <w:rPr>
          <w:color w:val="auto"/>
        </w:rPr>
        <w:t xml:space="preserve"> patients, and </w:t>
      </w:r>
      <w:r w:rsidRPr="00CC4DC5">
        <w:rPr>
          <w:color w:val="auto"/>
        </w:rPr>
        <w:t xml:space="preserve">the benefit for </w:t>
      </w:r>
      <w:proofErr w:type="spellStart"/>
      <w:r w:rsidRPr="00CC4DC5">
        <w:rPr>
          <w:i/>
          <w:color w:val="auto"/>
        </w:rPr>
        <w:t>BRCA</w:t>
      </w:r>
      <w:r w:rsidRPr="00CC4DC5">
        <w:rPr>
          <w:color w:val="auto"/>
        </w:rPr>
        <w:t>wt</w:t>
      </w:r>
      <w:proofErr w:type="spellEnd"/>
      <w:r w:rsidRPr="00CC4DC5">
        <w:rPr>
          <w:color w:val="auto"/>
        </w:rPr>
        <w:t xml:space="preserve"> patients was </w:t>
      </w:r>
      <w:r w:rsidR="00872F72" w:rsidRPr="00CC4DC5">
        <w:rPr>
          <w:color w:val="auto"/>
        </w:rPr>
        <w:t xml:space="preserve">reported to be </w:t>
      </w:r>
      <w:r w:rsidRPr="00CC4DC5">
        <w:rPr>
          <w:color w:val="auto"/>
        </w:rPr>
        <w:t>confined to tumours with evidence of homologous repair defects.</w:t>
      </w:r>
      <w:r w:rsidR="00871428" w:rsidRPr="00CC4DC5">
        <w:rPr>
          <w:color w:val="auto"/>
        </w:rPr>
        <w:t xml:space="preserve"> The ESC </w:t>
      </w:r>
      <w:r w:rsidR="00D152C0" w:rsidRPr="00CC4DC5">
        <w:rPr>
          <w:color w:val="auto"/>
        </w:rPr>
        <w:t>therefore considered that a</w:t>
      </w:r>
      <w:r w:rsidR="00903A02" w:rsidRPr="00CC4DC5">
        <w:rPr>
          <w:color w:val="auto"/>
        </w:rPr>
        <w:t>ny future</w:t>
      </w:r>
      <w:r w:rsidR="00D152C0" w:rsidRPr="00CC4DC5">
        <w:rPr>
          <w:color w:val="auto"/>
        </w:rPr>
        <w:t xml:space="preserve"> </w:t>
      </w:r>
      <w:r w:rsidR="00B377D1" w:rsidRPr="00CC4DC5">
        <w:rPr>
          <w:color w:val="auto"/>
        </w:rPr>
        <w:t xml:space="preserve">broader </w:t>
      </w:r>
      <w:r w:rsidR="005850F2" w:rsidRPr="00CC4DC5">
        <w:rPr>
          <w:color w:val="auto"/>
        </w:rPr>
        <w:t>1</w:t>
      </w:r>
      <w:r w:rsidR="005850F2" w:rsidRPr="00CC4DC5">
        <w:rPr>
          <w:color w:val="auto"/>
          <w:vertAlign w:val="superscript"/>
        </w:rPr>
        <w:t>st</w:t>
      </w:r>
      <w:r w:rsidR="005850F2" w:rsidRPr="00CC4DC5">
        <w:rPr>
          <w:color w:val="auto"/>
        </w:rPr>
        <w:t xml:space="preserve"> line </w:t>
      </w:r>
      <w:r w:rsidR="005B1653" w:rsidRPr="00CC4DC5">
        <w:rPr>
          <w:color w:val="auto"/>
        </w:rPr>
        <w:t xml:space="preserve">TGA registration and </w:t>
      </w:r>
      <w:r w:rsidR="00C25800" w:rsidRPr="00CC4DC5">
        <w:rPr>
          <w:color w:val="auto"/>
        </w:rPr>
        <w:t xml:space="preserve">PBS listing </w:t>
      </w:r>
      <w:r w:rsidR="006034BD" w:rsidRPr="00CC4DC5">
        <w:rPr>
          <w:color w:val="auto"/>
        </w:rPr>
        <w:t xml:space="preserve">(regardless of </w:t>
      </w:r>
      <w:r w:rsidR="006034BD" w:rsidRPr="00CC4DC5">
        <w:rPr>
          <w:i/>
          <w:color w:val="auto"/>
        </w:rPr>
        <w:t>BRCA</w:t>
      </w:r>
      <w:r w:rsidR="006034BD" w:rsidRPr="00CC4DC5">
        <w:rPr>
          <w:color w:val="auto"/>
        </w:rPr>
        <w:t xml:space="preserve"> status</w:t>
      </w:r>
      <w:r w:rsidR="004F7ECF" w:rsidRPr="00CC4DC5">
        <w:rPr>
          <w:color w:val="auto"/>
        </w:rPr>
        <w:t xml:space="preserve">, compared to a </w:t>
      </w:r>
      <w:proofErr w:type="spellStart"/>
      <w:r w:rsidR="004F7ECF" w:rsidRPr="00CC4DC5">
        <w:rPr>
          <w:i/>
          <w:color w:val="auto"/>
        </w:rPr>
        <w:t>BRCA</w:t>
      </w:r>
      <w:r w:rsidR="004F7ECF" w:rsidRPr="00CC4DC5">
        <w:rPr>
          <w:color w:val="auto"/>
        </w:rPr>
        <w:t>m</w:t>
      </w:r>
      <w:proofErr w:type="spellEnd"/>
      <w:r w:rsidR="004F7ECF" w:rsidRPr="00CC4DC5">
        <w:rPr>
          <w:color w:val="auto"/>
        </w:rPr>
        <w:t xml:space="preserve"> population</w:t>
      </w:r>
      <w:r w:rsidR="006034BD" w:rsidRPr="00CC4DC5">
        <w:rPr>
          <w:color w:val="auto"/>
        </w:rPr>
        <w:t xml:space="preserve">) </w:t>
      </w:r>
      <w:r w:rsidR="00561396" w:rsidRPr="00CC4DC5">
        <w:rPr>
          <w:color w:val="auto"/>
        </w:rPr>
        <w:t xml:space="preserve">would reduce </w:t>
      </w:r>
      <w:r w:rsidR="00871428" w:rsidRPr="00CC4DC5">
        <w:rPr>
          <w:color w:val="auto"/>
        </w:rPr>
        <w:t xml:space="preserve">the incremental effectiveness </w:t>
      </w:r>
      <w:r w:rsidR="00B00C90" w:rsidRPr="00CC4DC5">
        <w:rPr>
          <w:color w:val="auto"/>
        </w:rPr>
        <w:t xml:space="preserve">of </w:t>
      </w:r>
      <w:proofErr w:type="spellStart"/>
      <w:r w:rsidR="00B00C90" w:rsidRPr="00CC4DC5">
        <w:rPr>
          <w:color w:val="auto"/>
        </w:rPr>
        <w:t>olaparib</w:t>
      </w:r>
      <w:proofErr w:type="spellEnd"/>
      <w:r w:rsidR="00091BDA" w:rsidRPr="00CC4DC5">
        <w:rPr>
          <w:color w:val="auto"/>
        </w:rPr>
        <w:t xml:space="preserve"> in the broader population</w:t>
      </w:r>
      <w:r w:rsidR="00B00C90" w:rsidRPr="00CC4DC5">
        <w:rPr>
          <w:color w:val="auto"/>
        </w:rPr>
        <w:t xml:space="preserve">, </w:t>
      </w:r>
      <w:r w:rsidR="00561396" w:rsidRPr="00CC4DC5">
        <w:rPr>
          <w:color w:val="auto"/>
        </w:rPr>
        <w:t xml:space="preserve">and increase </w:t>
      </w:r>
      <w:r w:rsidR="00871428" w:rsidRPr="00CC4DC5">
        <w:rPr>
          <w:color w:val="auto"/>
        </w:rPr>
        <w:t xml:space="preserve">the ICER/QALY </w:t>
      </w:r>
      <w:r w:rsidR="00555E44" w:rsidRPr="00CC4DC5">
        <w:rPr>
          <w:color w:val="auto"/>
        </w:rPr>
        <w:t xml:space="preserve">at a given </w:t>
      </w:r>
      <w:r w:rsidR="002672AE" w:rsidRPr="00CC4DC5">
        <w:rPr>
          <w:color w:val="auto"/>
        </w:rPr>
        <w:t>price.</w:t>
      </w:r>
      <w:r w:rsidR="00174099">
        <w:rPr>
          <w:color w:val="auto"/>
        </w:rPr>
        <w:t xml:space="preserve"> The Pre-PBAC response </w:t>
      </w:r>
      <w:r w:rsidR="00174099">
        <w:rPr>
          <w:color w:val="auto"/>
        </w:rPr>
        <w:lastRenderedPageBreak/>
        <w:t xml:space="preserve">indicated that the sponsor intends to submit data </w:t>
      </w:r>
      <w:r w:rsidR="0011390D">
        <w:rPr>
          <w:color w:val="auto"/>
        </w:rPr>
        <w:t>from the PAOLA-1 study to</w:t>
      </w:r>
      <w:r w:rsidR="009E094D">
        <w:rPr>
          <w:color w:val="auto"/>
        </w:rPr>
        <w:t xml:space="preserve"> the PBAC as</w:t>
      </w:r>
      <w:r w:rsidR="00174099">
        <w:rPr>
          <w:color w:val="auto"/>
        </w:rPr>
        <w:t xml:space="preserve"> </w:t>
      </w:r>
      <w:r w:rsidR="0011390D">
        <w:rPr>
          <w:color w:val="auto"/>
        </w:rPr>
        <w:t>first-line treatment of advanced ovarian cancer in combination with bevacizumab.</w:t>
      </w:r>
    </w:p>
    <w:p w:rsidR="00B12A8C" w:rsidRPr="009A0D5D" w:rsidRDefault="00B12A8C" w:rsidP="00563974">
      <w:pPr>
        <w:pStyle w:val="PBACESHeading2"/>
        <w:keepNext w:val="0"/>
      </w:pPr>
      <w:bookmarkStart w:id="15" w:name="_Toc18489977"/>
      <w:r w:rsidRPr="009A0D5D">
        <w:t>Comparative effectiveness (based on linked evidence)</w:t>
      </w:r>
      <w:bookmarkEnd w:id="15"/>
    </w:p>
    <w:p w:rsidR="00B12A8C" w:rsidRPr="000E37F0" w:rsidRDefault="00B12A8C" w:rsidP="00563974">
      <w:pPr>
        <w:pStyle w:val="ListParagraph"/>
        <w:numPr>
          <w:ilvl w:val="4"/>
          <w:numId w:val="1"/>
        </w:numPr>
      </w:pPr>
      <w:r w:rsidRPr="00DC08B0">
        <w:t xml:space="preserve">Details of the </w:t>
      </w:r>
      <w:proofErr w:type="spellStart"/>
      <w:r w:rsidR="00CC2ABC">
        <w:t>olaparib</w:t>
      </w:r>
      <w:proofErr w:type="spellEnd"/>
      <w:r w:rsidR="00CC2ABC" w:rsidRPr="00DC08B0">
        <w:t xml:space="preserve"> </w:t>
      </w:r>
      <w:r w:rsidRPr="00DC08B0">
        <w:t xml:space="preserve">trial presented in the submission are provided in the table </w:t>
      </w:r>
      <w:r w:rsidRPr="000E37F0">
        <w:t>below.</w:t>
      </w:r>
    </w:p>
    <w:p w:rsidR="00B12A8C" w:rsidRPr="00DC08B0" w:rsidRDefault="00563974" w:rsidP="00563974">
      <w:pPr>
        <w:pStyle w:val="Caption"/>
        <w:keepNext w:val="0"/>
        <w:ind w:left="1418" w:hanging="1418"/>
      </w:pPr>
      <w:r>
        <w:t xml:space="preserve">Table </w:t>
      </w:r>
      <w:r w:rsidR="00A75368">
        <w:rPr>
          <w:noProof/>
        </w:rPr>
        <w:t>4</w:t>
      </w:r>
      <w:r>
        <w:rPr>
          <w:noProof/>
        </w:rPr>
        <w:t xml:space="preserve">: </w:t>
      </w:r>
      <w:r w:rsidR="00B12A8C" w:rsidRPr="00DC08B0">
        <w:t>Trials and associated reports presented in the submission</w:t>
      </w:r>
    </w:p>
    <w:tbl>
      <w:tblPr>
        <w:tblStyle w:val="PBACTableStyle"/>
        <w:tblW w:w="5000" w:type="pct"/>
        <w:tblLook w:val="01E0" w:firstRow="1" w:lastRow="1" w:firstColumn="1" w:lastColumn="1" w:noHBand="0" w:noVBand="0"/>
        <w:tblCaption w:val="Table 4: Trials and associated reports presented in the submission"/>
      </w:tblPr>
      <w:tblGrid>
        <w:gridCol w:w="1711"/>
        <w:gridCol w:w="4914"/>
        <w:gridCol w:w="2391"/>
      </w:tblGrid>
      <w:tr w:rsidR="00B12A8C" w:rsidRPr="00F377F6" w:rsidTr="00F72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hideMark/>
          </w:tcPr>
          <w:p w:rsidR="00B12A8C" w:rsidRPr="00F377F6" w:rsidRDefault="00B12A8C" w:rsidP="00563974">
            <w:pPr>
              <w:pStyle w:val="TableText"/>
              <w:widowControl/>
            </w:pPr>
            <w:r w:rsidRPr="00F377F6">
              <w:t>Trial ID/First Author</w:t>
            </w:r>
          </w:p>
        </w:tc>
        <w:tc>
          <w:tcPr>
            <w:tcW w:w="2725" w:type="pct"/>
            <w:tcBorders>
              <w:top w:val="single" w:sz="4" w:space="0" w:color="auto"/>
              <w:left w:val="single" w:sz="4" w:space="0" w:color="auto"/>
              <w:bottom w:val="single" w:sz="4" w:space="0" w:color="auto"/>
              <w:right w:val="single" w:sz="4" w:space="0" w:color="auto"/>
            </w:tcBorders>
            <w:hideMark/>
          </w:tcPr>
          <w:p w:rsidR="00B12A8C" w:rsidRPr="00F377F6" w:rsidRDefault="00B12A8C" w:rsidP="00563974">
            <w:pPr>
              <w:pStyle w:val="TableText"/>
              <w:widowControl/>
              <w:cnfStyle w:val="100000000000" w:firstRow="1" w:lastRow="0" w:firstColumn="0" w:lastColumn="0" w:oddVBand="0" w:evenVBand="0" w:oddHBand="0" w:evenHBand="0" w:firstRowFirstColumn="0" w:firstRowLastColumn="0" w:lastRowFirstColumn="0" w:lastRowLastColumn="0"/>
            </w:pPr>
            <w:r w:rsidRPr="00F377F6">
              <w:t>Protocol title/ Publication title</w:t>
            </w:r>
          </w:p>
        </w:tc>
        <w:tc>
          <w:tcPr>
            <w:cnfStyle w:val="000100000000" w:firstRow="0" w:lastRow="0" w:firstColumn="0" w:lastColumn="1" w:oddVBand="0" w:evenVBand="0" w:oddHBand="0" w:evenHBand="0" w:firstRowFirstColumn="0" w:firstRowLastColumn="0" w:lastRowFirstColumn="0" w:lastRowLastColumn="0"/>
            <w:tcW w:w="1326" w:type="pct"/>
            <w:hideMark/>
          </w:tcPr>
          <w:p w:rsidR="00B12A8C" w:rsidRPr="00F377F6" w:rsidRDefault="00B12A8C" w:rsidP="00563974">
            <w:pPr>
              <w:pStyle w:val="TableText"/>
              <w:widowControl/>
              <w:rPr>
                <w:i w:val="0"/>
                <w:iCs w:val="0"/>
              </w:rPr>
            </w:pPr>
            <w:r w:rsidRPr="00F377F6">
              <w:rPr>
                <w:i w:val="0"/>
                <w:iCs w:val="0"/>
              </w:rPr>
              <w:t>Publication citation</w:t>
            </w:r>
          </w:p>
        </w:tc>
      </w:tr>
      <w:tr w:rsidR="00B12A8C" w:rsidRPr="00F377F6" w:rsidTr="00F72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tcBorders>
            <w:hideMark/>
          </w:tcPr>
          <w:p w:rsidR="00B12A8C" w:rsidRPr="00F72550" w:rsidRDefault="00B12A8C" w:rsidP="00563974">
            <w:pPr>
              <w:pStyle w:val="TableText"/>
              <w:widowControl/>
              <w:rPr>
                <w:b w:val="0"/>
                <w:bCs/>
              </w:rPr>
            </w:pPr>
            <w:r w:rsidRPr="00F72550">
              <w:rPr>
                <w:b w:val="0"/>
                <w:bCs/>
              </w:rPr>
              <w:t xml:space="preserve">Direct randomised trial of </w:t>
            </w:r>
            <w:proofErr w:type="spellStart"/>
            <w:r w:rsidRPr="00F72550">
              <w:rPr>
                <w:b w:val="0"/>
                <w:bCs/>
              </w:rPr>
              <w:t>olaparib</w:t>
            </w:r>
            <w:proofErr w:type="spellEnd"/>
            <w:r w:rsidRPr="00F72550">
              <w:rPr>
                <w:b w:val="0"/>
                <w:bCs/>
              </w:rPr>
              <w:t xml:space="preserve"> vs placebo</w:t>
            </w:r>
          </w:p>
        </w:tc>
      </w:tr>
      <w:tr w:rsidR="00B12A8C" w:rsidRPr="00F377F6" w:rsidTr="00F72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hideMark/>
          </w:tcPr>
          <w:p w:rsidR="00B12A8C" w:rsidRPr="00F72550" w:rsidRDefault="00B12A8C" w:rsidP="00563974">
            <w:pPr>
              <w:pStyle w:val="TableText"/>
              <w:widowControl/>
              <w:rPr>
                <w:b w:val="0"/>
                <w:bCs/>
              </w:rPr>
            </w:pPr>
            <w:r w:rsidRPr="00F72550">
              <w:rPr>
                <w:b w:val="0"/>
                <w:bCs/>
              </w:rPr>
              <w:t>SOLO1</w:t>
            </w:r>
          </w:p>
          <w:p w:rsidR="00B12A8C" w:rsidRPr="00F72550" w:rsidRDefault="00B12A8C" w:rsidP="00563974">
            <w:pPr>
              <w:pStyle w:val="TableText"/>
              <w:widowControl/>
              <w:rPr>
                <w:b w:val="0"/>
                <w:bCs/>
              </w:rPr>
            </w:pPr>
            <w:r w:rsidRPr="00F72550">
              <w:rPr>
                <w:b w:val="0"/>
                <w:bCs/>
              </w:rPr>
              <w:t>Moore et al 2018</w:t>
            </w:r>
          </w:p>
        </w:tc>
        <w:tc>
          <w:tcPr>
            <w:tcW w:w="2725" w:type="pct"/>
            <w:tcBorders>
              <w:top w:val="single" w:sz="4" w:space="0" w:color="auto"/>
              <w:left w:val="single" w:sz="4" w:space="0" w:color="auto"/>
              <w:bottom w:val="single" w:sz="4" w:space="0" w:color="auto"/>
              <w:right w:val="single" w:sz="4" w:space="0" w:color="auto"/>
            </w:tcBorders>
            <w:hideMark/>
          </w:tcPr>
          <w:p w:rsidR="00B12A8C" w:rsidRPr="00F72550" w:rsidRDefault="00B12A8C" w:rsidP="00563974">
            <w:pPr>
              <w:pStyle w:val="TableText"/>
              <w:widowControl/>
              <w:cnfStyle w:val="100000000000" w:firstRow="1" w:lastRow="0" w:firstColumn="0" w:lastColumn="0" w:oddVBand="0" w:evenVBand="0" w:oddHBand="0" w:evenHBand="0" w:firstRowFirstColumn="0" w:firstRowLastColumn="0" w:lastRowFirstColumn="0" w:lastRowLastColumn="0"/>
              <w:rPr>
                <w:b w:val="0"/>
                <w:bCs/>
              </w:rPr>
            </w:pPr>
            <w:r w:rsidRPr="00F72550">
              <w:rPr>
                <w:b w:val="0"/>
                <w:bCs/>
              </w:rPr>
              <w:t xml:space="preserve">A Phase III, Randomised, Double Blind, Placebo Controlled, Multicentre Study of </w:t>
            </w:r>
            <w:proofErr w:type="spellStart"/>
            <w:r w:rsidRPr="00F72550">
              <w:rPr>
                <w:b w:val="0"/>
                <w:bCs/>
              </w:rPr>
              <w:t>Olaparib</w:t>
            </w:r>
            <w:proofErr w:type="spellEnd"/>
            <w:r w:rsidRPr="00F72550">
              <w:rPr>
                <w:b w:val="0"/>
                <w:bCs/>
              </w:rPr>
              <w:t xml:space="preserve"> Maintenance Monotherapy in Patients with </w:t>
            </w:r>
            <w:r w:rsidRPr="00F72550">
              <w:rPr>
                <w:b w:val="0"/>
                <w:bCs/>
                <w:i/>
                <w:iCs/>
              </w:rPr>
              <w:t>BRCA</w:t>
            </w:r>
            <w:r w:rsidRPr="00F72550">
              <w:rPr>
                <w:b w:val="0"/>
                <w:bCs/>
              </w:rPr>
              <w:t xml:space="preserve"> Mutated Advanced (FIGO Stage III-IV) Ovarian Cancer following </w:t>
            </w:r>
            <w:r w:rsidR="006F7250" w:rsidRPr="00F72550">
              <w:rPr>
                <w:b w:val="0"/>
                <w:bCs/>
              </w:rPr>
              <w:t>First-line</w:t>
            </w:r>
            <w:r w:rsidRPr="00F72550">
              <w:rPr>
                <w:b w:val="0"/>
                <w:bCs/>
              </w:rPr>
              <w:t xml:space="preserve"> Platinum Based Chemotherapy. </w:t>
            </w:r>
          </w:p>
        </w:tc>
        <w:tc>
          <w:tcPr>
            <w:cnfStyle w:val="000100000000" w:firstRow="0" w:lastRow="0" w:firstColumn="0" w:lastColumn="1" w:oddVBand="0" w:evenVBand="0" w:oddHBand="0" w:evenHBand="0" w:firstRowFirstColumn="0" w:firstRowLastColumn="0" w:lastRowFirstColumn="0" w:lastRowLastColumn="0"/>
            <w:tcW w:w="1326" w:type="pct"/>
            <w:hideMark/>
          </w:tcPr>
          <w:p w:rsidR="00B12A8C" w:rsidRPr="00F72550" w:rsidRDefault="00B12A8C" w:rsidP="00563974">
            <w:pPr>
              <w:pStyle w:val="TableText"/>
              <w:widowControl/>
              <w:rPr>
                <w:b w:val="0"/>
                <w:bCs/>
                <w:i w:val="0"/>
                <w:iCs w:val="0"/>
              </w:rPr>
            </w:pPr>
            <w:r w:rsidRPr="00F72550">
              <w:rPr>
                <w:b w:val="0"/>
                <w:bCs/>
                <w:i w:val="0"/>
                <w:iCs w:val="0"/>
              </w:rPr>
              <w:t xml:space="preserve">23 August 2018. </w:t>
            </w:r>
          </w:p>
        </w:tc>
      </w:tr>
      <w:tr w:rsidR="00B12A8C" w:rsidRPr="00F377F6" w:rsidTr="00F72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right w:val="single" w:sz="4" w:space="0" w:color="auto"/>
            </w:tcBorders>
          </w:tcPr>
          <w:p w:rsidR="00B12A8C" w:rsidRPr="00F72550" w:rsidRDefault="00B12A8C" w:rsidP="00563974">
            <w:pPr>
              <w:pStyle w:val="TableText"/>
              <w:widowControl/>
              <w:rPr>
                <w:b w:val="0"/>
                <w:bCs/>
              </w:rPr>
            </w:pPr>
          </w:p>
        </w:tc>
        <w:tc>
          <w:tcPr>
            <w:tcW w:w="2725" w:type="pct"/>
            <w:tcBorders>
              <w:top w:val="single" w:sz="4" w:space="0" w:color="auto"/>
              <w:left w:val="single" w:sz="4" w:space="0" w:color="auto"/>
              <w:bottom w:val="single" w:sz="4" w:space="0" w:color="auto"/>
              <w:right w:val="single" w:sz="4" w:space="0" w:color="auto"/>
            </w:tcBorders>
            <w:hideMark/>
          </w:tcPr>
          <w:p w:rsidR="00B12A8C" w:rsidRPr="00F72550" w:rsidRDefault="00B12A8C" w:rsidP="00563974">
            <w:pPr>
              <w:pStyle w:val="TableText"/>
              <w:widowControl/>
              <w:cnfStyle w:val="100000000000" w:firstRow="1" w:lastRow="0" w:firstColumn="0" w:lastColumn="0" w:oddVBand="0" w:evenVBand="0" w:oddHBand="0" w:evenHBand="0" w:firstRowFirstColumn="0" w:firstRowLastColumn="0" w:lastRowFirstColumn="0" w:lastRowLastColumn="0"/>
              <w:rPr>
                <w:b w:val="0"/>
                <w:bCs/>
              </w:rPr>
            </w:pPr>
            <w:r w:rsidRPr="00F72550">
              <w:rPr>
                <w:b w:val="0"/>
                <w:bCs/>
              </w:rPr>
              <w:t xml:space="preserve">Moore K, Colombo N, </w:t>
            </w:r>
            <w:proofErr w:type="spellStart"/>
            <w:r w:rsidRPr="00F72550">
              <w:rPr>
                <w:b w:val="0"/>
                <w:bCs/>
              </w:rPr>
              <w:t>Scambia</w:t>
            </w:r>
            <w:proofErr w:type="spellEnd"/>
            <w:r w:rsidRPr="00F72550">
              <w:rPr>
                <w:b w:val="0"/>
                <w:bCs/>
              </w:rPr>
              <w:t xml:space="preserve"> G, Kim BG, </w:t>
            </w:r>
            <w:proofErr w:type="spellStart"/>
            <w:r w:rsidRPr="00F72550">
              <w:rPr>
                <w:b w:val="0"/>
                <w:bCs/>
              </w:rPr>
              <w:t>Oaknin</w:t>
            </w:r>
            <w:proofErr w:type="spellEnd"/>
            <w:r w:rsidRPr="00F72550">
              <w:rPr>
                <w:b w:val="0"/>
                <w:bCs/>
              </w:rPr>
              <w:t xml:space="preserve"> A, Friedlander M, </w:t>
            </w:r>
            <w:proofErr w:type="spellStart"/>
            <w:r w:rsidRPr="00F72550">
              <w:rPr>
                <w:b w:val="0"/>
                <w:bCs/>
              </w:rPr>
              <w:t>Lisyanskaya</w:t>
            </w:r>
            <w:proofErr w:type="spellEnd"/>
            <w:r w:rsidRPr="00F72550">
              <w:rPr>
                <w:b w:val="0"/>
                <w:bCs/>
              </w:rPr>
              <w:t xml:space="preserve"> A, </w:t>
            </w:r>
            <w:proofErr w:type="spellStart"/>
            <w:r w:rsidRPr="00F72550">
              <w:rPr>
                <w:b w:val="0"/>
                <w:bCs/>
              </w:rPr>
              <w:t>Floquet</w:t>
            </w:r>
            <w:proofErr w:type="spellEnd"/>
            <w:r w:rsidRPr="00F72550">
              <w:rPr>
                <w:b w:val="0"/>
                <w:bCs/>
              </w:rPr>
              <w:t xml:space="preserve"> A, Leary A, </w:t>
            </w:r>
            <w:proofErr w:type="spellStart"/>
            <w:r w:rsidRPr="00F72550">
              <w:rPr>
                <w:b w:val="0"/>
                <w:bCs/>
              </w:rPr>
              <w:t>Sonke</w:t>
            </w:r>
            <w:proofErr w:type="spellEnd"/>
            <w:r w:rsidRPr="00F72550">
              <w:rPr>
                <w:b w:val="0"/>
                <w:bCs/>
              </w:rPr>
              <w:t xml:space="preserve"> GS, </w:t>
            </w:r>
            <w:proofErr w:type="spellStart"/>
            <w:r w:rsidRPr="00F72550">
              <w:rPr>
                <w:b w:val="0"/>
                <w:bCs/>
              </w:rPr>
              <w:t>Gourley</w:t>
            </w:r>
            <w:proofErr w:type="spellEnd"/>
            <w:r w:rsidRPr="00F72550">
              <w:rPr>
                <w:b w:val="0"/>
                <w:bCs/>
              </w:rPr>
              <w:t xml:space="preserve"> C, Banerjee S, </w:t>
            </w:r>
            <w:proofErr w:type="spellStart"/>
            <w:r w:rsidRPr="00F72550">
              <w:rPr>
                <w:b w:val="0"/>
                <w:bCs/>
              </w:rPr>
              <w:t>Oza</w:t>
            </w:r>
            <w:proofErr w:type="spellEnd"/>
            <w:r w:rsidRPr="00F72550">
              <w:rPr>
                <w:b w:val="0"/>
                <w:bCs/>
              </w:rPr>
              <w:t xml:space="preserve"> A, González-Martín A, </w:t>
            </w:r>
            <w:proofErr w:type="spellStart"/>
            <w:r w:rsidRPr="00F72550">
              <w:rPr>
                <w:b w:val="0"/>
                <w:bCs/>
              </w:rPr>
              <w:t>Aghajanian</w:t>
            </w:r>
            <w:proofErr w:type="spellEnd"/>
            <w:r w:rsidRPr="00F72550">
              <w:rPr>
                <w:b w:val="0"/>
                <w:bCs/>
              </w:rPr>
              <w:t xml:space="preserve"> C, Bradley W, Mathews C, Liu J, Lowe ES, Bloomfield R, </w:t>
            </w:r>
            <w:proofErr w:type="spellStart"/>
            <w:r w:rsidRPr="00F72550">
              <w:rPr>
                <w:b w:val="0"/>
                <w:bCs/>
              </w:rPr>
              <w:t>DiSilvestro</w:t>
            </w:r>
            <w:proofErr w:type="spellEnd"/>
            <w:r w:rsidRPr="00F72550">
              <w:rPr>
                <w:b w:val="0"/>
                <w:bCs/>
              </w:rPr>
              <w:t xml:space="preserve"> P. Maintenance </w:t>
            </w:r>
            <w:proofErr w:type="spellStart"/>
            <w:r w:rsidRPr="00F72550">
              <w:rPr>
                <w:b w:val="0"/>
                <w:bCs/>
              </w:rPr>
              <w:t>Olaparib</w:t>
            </w:r>
            <w:proofErr w:type="spellEnd"/>
            <w:r w:rsidRPr="00F72550">
              <w:rPr>
                <w:b w:val="0"/>
                <w:bCs/>
              </w:rPr>
              <w:t xml:space="preserve"> in Patients with Newly Diagnosed Advanced Ovarian Cancer.</w:t>
            </w:r>
          </w:p>
        </w:tc>
        <w:tc>
          <w:tcPr>
            <w:cnfStyle w:val="000100000000" w:firstRow="0" w:lastRow="0" w:firstColumn="0" w:lastColumn="1" w:oddVBand="0" w:evenVBand="0" w:oddHBand="0" w:evenHBand="0" w:firstRowFirstColumn="0" w:firstRowLastColumn="0" w:lastRowFirstColumn="0" w:lastRowLastColumn="0"/>
            <w:tcW w:w="1326" w:type="pct"/>
            <w:hideMark/>
          </w:tcPr>
          <w:p w:rsidR="00B12A8C" w:rsidRPr="00F72550" w:rsidRDefault="00B12A8C" w:rsidP="00563974">
            <w:pPr>
              <w:pStyle w:val="TableText"/>
              <w:widowControl/>
              <w:rPr>
                <w:b w:val="0"/>
                <w:bCs/>
              </w:rPr>
            </w:pPr>
            <w:proofErr w:type="spellStart"/>
            <w:r w:rsidRPr="00F72550">
              <w:rPr>
                <w:b w:val="0"/>
                <w:bCs/>
                <w:i w:val="0"/>
                <w:iCs w:val="0"/>
              </w:rPr>
              <w:t>Epub</w:t>
            </w:r>
            <w:proofErr w:type="spellEnd"/>
            <w:r w:rsidRPr="00F72550">
              <w:rPr>
                <w:b w:val="0"/>
                <w:bCs/>
                <w:i w:val="0"/>
                <w:iCs w:val="0"/>
              </w:rPr>
              <w:t xml:space="preserve"> 2018 Oct 21.N </w:t>
            </w:r>
            <w:proofErr w:type="spellStart"/>
            <w:r w:rsidRPr="00F72550">
              <w:rPr>
                <w:b w:val="0"/>
                <w:bCs/>
                <w:i w:val="0"/>
                <w:iCs w:val="0"/>
              </w:rPr>
              <w:t>Engl</w:t>
            </w:r>
            <w:proofErr w:type="spellEnd"/>
            <w:r w:rsidRPr="00F72550">
              <w:rPr>
                <w:b w:val="0"/>
                <w:bCs/>
                <w:i w:val="0"/>
                <w:iCs w:val="0"/>
              </w:rPr>
              <w:t xml:space="preserve"> J Med. 2018 Dec 27</w:t>
            </w:r>
            <w:proofErr w:type="gramStart"/>
            <w:r w:rsidRPr="00F72550">
              <w:rPr>
                <w:b w:val="0"/>
                <w:bCs/>
                <w:i w:val="0"/>
                <w:iCs w:val="0"/>
              </w:rPr>
              <w:t>;379</w:t>
            </w:r>
            <w:proofErr w:type="gramEnd"/>
            <w:r w:rsidRPr="00F72550">
              <w:rPr>
                <w:b w:val="0"/>
                <w:bCs/>
                <w:i w:val="0"/>
                <w:iCs w:val="0"/>
              </w:rPr>
              <w:t>(26):2495-25</w:t>
            </w:r>
            <w:r w:rsidR="00957E82" w:rsidRPr="00F72550">
              <w:rPr>
                <w:b w:val="0"/>
                <w:bCs/>
                <w:i w:val="0"/>
                <w:iCs w:val="0"/>
              </w:rPr>
              <w:t xml:space="preserve">05. </w:t>
            </w:r>
            <w:proofErr w:type="spellStart"/>
            <w:proofErr w:type="gramStart"/>
            <w:r w:rsidR="00957E82" w:rsidRPr="00F72550">
              <w:rPr>
                <w:b w:val="0"/>
                <w:bCs/>
                <w:i w:val="0"/>
                <w:iCs w:val="0"/>
              </w:rPr>
              <w:t>doi</w:t>
            </w:r>
            <w:proofErr w:type="spellEnd"/>
            <w:proofErr w:type="gramEnd"/>
            <w:r w:rsidR="00957E82" w:rsidRPr="00F72550">
              <w:rPr>
                <w:b w:val="0"/>
                <w:bCs/>
                <w:i w:val="0"/>
                <w:iCs w:val="0"/>
              </w:rPr>
              <w:t>: 10.1056/NEJMoa1810858.</w:t>
            </w:r>
          </w:p>
        </w:tc>
      </w:tr>
      <w:tr w:rsidR="00B12A8C" w:rsidRPr="00F377F6" w:rsidTr="00F725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rsidR="00B12A8C" w:rsidRPr="00F72550" w:rsidRDefault="00B12A8C" w:rsidP="00563974">
            <w:pPr>
              <w:pStyle w:val="TableText"/>
              <w:widowControl/>
              <w:rPr>
                <w:b w:val="0"/>
                <w:bCs/>
                <w:i/>
                <w:iCs/>
              </w:rPr>
            </w:pPr>
          </w:p>
        </w:tc>
        <w:tc>
          <w:tcPr>
            <w:tcW w:w="2725" w:type="pct"/>
            <w:tcBorders>
              <w:top w:val="single" w:sz="4" w:space="0" w:color="auto"/>
              <w:left w:val="single" w:sz="4" w:space="0" w:color="auto"/>
              <w:bottom w:val="single" w:sz="4" w:space="0" w:color="auto"/>
              <w:right w:val="single" w:sz="4" w:space="0" w:color="auto"/>
            </w:tcBorders>
          </w:tcPr>
          <w:p w:rsidR="00B12A8C" w:rsidRPr="00F72550" w:rsidRDefault="00B12A8C" w:rsidP="00563974">
            <w:pPr>
              <w:pStyle w:val="TableText"/>
              <w:widowControl/>
              <w:cnfStyle w:val="100000000000" w:firstRow="1" w:lastRow="0" w:firstColumn="0" w:lastColumn="0" w:oddVBand="0" w:evenVBand="0" w:oddHBand="0" w:evenHBand="0" w:firstRowFirstColumn="0" w:firstRowLastColumn="0" w:lastRowFirstColumn="0" w:lastRowLastColumn="0"/>
              <w:rPr>
                <w:b w:val="0"/>
                <w:bCs/>
                <w:i/>
                <w:iCs/>
              </w:rPr>
            </w:pPr>
            <w:r w:rsidRPr="00F72550">
              <w:rPr>
                <w:b w:val="0"/>
                <w:bCs/>
                <w:i/>
                <w:iCs/>
              </w:rPr>
              <w:t xml:space="preserve">Report describing diagnostic </w:t>
            </w:r>
            <w:proofErr w:type="spellStart"/>
            <w:r w:rsidR="00122D91" w:rsidRPr="00F72550">
              <w:rPr>
                <w:b w:val="0"/>
                <w:bCs/>
              </w:rPr>
              <w:t>BRCA</w:t>
            </w:r>
            <w:r w:rsidR="00122D91" w:rsidRPr="00F72550">
              <w:rPr>
                <w:b w:val="0"/>
                <w:bCs/>
                <w:i/>
                <w:iCs/>
              </w:rPr>
              <w:t>m</w:t>
            </w:r>
            <w:proofErr w:type="spellEnd"/>
            <w:r w:rsidR="00122D91" w:rsidRPr="00F72550">
              <w:rPr>
                <w:b w:val="0"/>
                <w:bCs/>
                <w:i/>
                <w:iCs/>
              </w:rPr>
              <w:t xml:space="preserve"> </w:t>
            </w:r>
            <w:r w:rsidRPr="00F72550">
              <w:rPr>
                <w:b w:val="0"/>
                <w:bCs/>
                <w:i/>
                <w:iCs/>
              </w:rPr>
              <w:t xml:space="preserve">testing used in D0818C00001 (SOLO1) </w:t>
            </w:r>
          </w:p>
        </w:tc>
        <w:tc>
          <w:tcPr>
            <w:cnfStyle w:val="000100000000" w:firstRow="0" w:lastRow="0" w:firstColumn="0" w:lastColumn="1" w:oddVBand="0" w:evenVBand="0" w:oddHBand="0" w:evenHBand="0" w:firstRowFirstColumn="0" w:firstRowLastColumn="0" w:lastRowFirstColumn="0" w:lastRowLastColumn="0"/>
            <w:tcW w:w="1326" w:type="pct"/>
          </w:tcPr>
          <w:p w:rsidR="00B12A8C" w:rsidRPr="00F72550" w:rsidRDefault="00B12A8C" w:rsidP="00563974">
            <w:pPr>
              <w:pStyle w:val="TableText"/>
              <w:widowControl/>
              <w:rPr>
                <w:b w:val="0"/>
                <w:bCs/>
                <w:i w:val="0"/>
                <w:iCs w:val="0"/>
              </w:rPr>
            </w:pPr>
            <w:r w:rsidRPr="00F72550">
              <w:rPr>
                <w:b w:val="0"/>
                <w:bCs/>
                <w:i w:val="0"/>
                <w:iCs w:val="0"/>
              </w:rPr>
              <w:t>Undated</w:t>
            </w:r>
          </w:p>
        </w:tc>
      </w:tr>
    </w:tbl>
    <w:p w:rsidR="00B12A8C" w:rsidRPr="00DC08B0" w:rsidRDefault="00B12A8C" w:rsidP="00563974">
      <w:pPr>
        <w:pStyle w:val="TableFooter"/>
        <w:widowControl/>
      </w:pPr>
      <w:r w:rsidRPr="00DC08B0">
        <w:t>Source: Table 2-7, p78</w:t>
      </w:r>
      <w:r w:rsidR="00563974">
        <w:t xml:space="preserve"> of</w:t>
      </w:r>
      <w:r w:rsidR="00440D09">
        <w:t xml:space="preserve"> the submission</w:t>
      </w:r>
    </w:p>
    <w:p w:rsidR="00B12A8C" w:rsidRPr="00DC08B0" w:rsidRDefault="00563974" w:rsidP="00E71EDC">
      <w:pPr>
        <w:pStyle w:val="Caption"/>
        <w:keepLines/>
        <w:ind w:left="1418" w:hanging="1418"/>
      </w:pPr>
      <w:r>
        <w:t xml:space="preserve">Table </w:t>
      </w:r>
      <w:r w:rsidR="00A75368">
        <w:rPr>
          <w:noProof/>
        </w:rPr>
        <w:t>5</w:t>
      </w:r>
      <w:r>
        <w:rPr>
          <w:noProof/>
        </w:rPr>
        <w:t xml:space="preserve">: </w:t>
      </w:r>
      <w:r w:rsidR="00B12A8C" w:rsidRPr="00DC08B0">
        <w:t xml:space="preserve">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5"/>
        <w:gridCol w:w="748"/>
        <w:gridCol w:w="1444"/>
        <w:gridCol w:w="1560"/>
        <w:gridCol w:w="1700"/>
        <w:gridCol w:w="2359"/>
      </w:tblGrid>
      <w:tr w:rsidR="00B12A8C" w:rsidRPr="00DC08B0" w:rsidTr="003B3072">
        <w:tc>
          <w:tcPr>
            <w:tcW w:w="668"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Trial</w:t>
            </w:r>
          </w:p>
        </w:tc>
        <w:tc>
          <w:tcPr>
            <w:tcW w:w="415"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N</w:t>
            </w:r>
          </w:p>
        </w:tc>
        <w:tc>
          <w:tcPr>
            <w:tcW w:w="801"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Design/ duration</w:t>
            </w:r>
          </w:p>
        </w:tc>
        <w:tc>
          <w:tcPr>
            <w:tcW w:w="865"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Patient population</w:t>
            </w:r>
          </w:p>
        </w:tc>
        <w:tc>
          <w:tcPr>
            <w:tcW w:w="943"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Outcomes</w:t>
            </w:r>
          </w:p>
        </w:tc>
        <w:tc>
          <w:tcPr>
            <w:tcW w:w="1308" w:type="pct"/>
            <w:tcBorders>
              <w:top w:val="single" w:sz="4" w:space="0" w:color="auto"/>
              <w:left w:val="single" w:sz="4" w:space="0" w:color="auto"/>
              <w:bottom w:val="single" w:sz="4" w:space="0" w:color="auto"/>
              <w:right w:val="single" w:sz="4" w:space="0" w:color="auto"/>
            </w:tcBorders>
            <w:vAlign w:val="bottom"/>
            <w:hideMark/>
          </w:tcPr>
          <w:p w:rsidR="00B12A8C" w:rsidRPr="00DC08B0" w:rsidRDefault="00B12A8C" w:rsidP="00E71EDC">
            <w:pPr>
              <w:pStyle w:val="TableText"/>
              <w:keepNext/>
              <w:keepLines/>
              <w:widowControl/>
              <w:rPr>
                <w:b/>
              </w:rPr>
            </w:pPr>
            <w:r w:rsidRPr="00DC08B0">
              <w:rPr>
                <w:b/>
              </w:rPr>
              <w:t>Use in modelled evaluation</w:t>
            </w:r>
          </w:p>
        </w:tc>
      </w:tr>
      <w:tr w:rsidR="00B12A8C" w:rsidRPr="00DC08B0" w:rsidTr="00B12A8C">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E71EDC">
            <w:pPr>
              <w:pStyle w:val="TableText"/>
              <w:keepNext/>
              <w:keepLines/>
              <w:widowControl/>
            </w:pPr>
            <w:proofErr w:type="spellStart"/>
            <w:r w:rsidRPr="00DC08B0">
              <w:t>Olaparib</w:t>
            </w:r>
            <w:proofErr w:type="spellEnd"/>
            <w:r w:rsidRPr="00DC08B0">
              <w:t xml:space="preserve"> vs Placebo</w:t>
            </w:r>
          </w:p>
        </w:tc>
      </w:tr>
      <w:tr w:rsidR="00B12A8C" w:rsidRPr="00DC08B0" w:rsidTr="003B3072">
        <w:tc>
          <w:tcPr>
            <w:tcW w:w="668"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E71EDC">
            <w:pPr>
              <w:pStyle w:val="TableText"/>
              <w:keepNext/>
              <w:keepLines/>
              <w:widowControl/>
            </w:pPr>
            <w:r w:rsidRPr="00DC08B0">
              <w:t>SOLO1</w:t>
            </w:r>
          </w:p>
        </w:tc>
        <w:tc>
          <w:tcPr>
            <w:tcW w:w="415"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E71EDC">
            <w:pPr>
              <w:pStyle w:val="TableText"/>
              <w:keepNext/>
              <w:keepLines/>
              <w:widowControl/>
            </w:pPr>
            <w:r w:rsidRPr="00DC08B0">
              <w:t>391</w:t>
            </w:r>
          </w:p>
        </w:tc>
        <w:tc>
          <w:tcPr>
            <w:tcW w:w="801"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E71EDC">
            <w:pPr>
              <w:pStyle w:val="TableText"/>
              <w:keepNext/>
              <w:keepLines/>
              <w:widowControl/>
            </w:pPr>
            <w:r w:rsidRPr="00DC08B0">
              <w:t>R, DB, MC</w:t>
            </w:r>
          </w:p>
          <w:p w:rsidR="00B12A8C" w:rsidRPr="00DC08B0" w:rsidRDefault="00B12A8C" w:rsidP="00E71EDC">
            <w:pPr>
              <w:pStyle w:val="TableText"/>
              <w:keepNext/>
              <w:keepLines/>
              <w:widowControl/>
            </w:pPr>
            <w:r w:rsidRPr="00DC08B0">
              <w:t>Median 41 months follow up (DCO=17 May 2018)</w:t>
            </w:r>
          </w:p>
        </w:tc>
        <w:tc>
          <w:tcPr>
            <w:tcW w:w="865"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122D91" w:rsidP="00E71EDC">
            <w:pPr>
              <w:pStyle w:val="TableText"/>
              <w:keepNext/>
              <w:keepLines/>
              <w:widowControl/>
            </w:pPr>
            <w:r>
              <w:t xml:space="preserve">HGEOC, </w:t>
            </w:r>
            <w:proofErr w:type="spellStart"/>
            <w:r>
              <w:t>g</w:t>
            </w:r>
            <w:r w:rsidRPr="00122D91">
              <w:rPr>
                <w:i/>
              </w:rPr>
              <w:t>BRCA</w:t>
            </w:r>
            <w:r w:rsidR="00B12A8C" w:rsidRPr="00DC08B0">
              <w:t>m</w:t>
            </w:r>
            <w:proofErr w:type="spellEnd"/>
            <w:r>
              <w:t>-</w:t>
            </w:r>
            <w:r w:rsidR="00B12A8C" w:rsidRPr="00DC08B0">
              <w:t xml:space="preserve">positive, responders to </w:t>
            </w:r>
            <w:r w:rsidR="0047579B">
              <w:t>first-line</w:t>
            </w:r>
            <w:r w:rsidR="00B12A8C" w:rsidRPr="00DC08B0">
              <w:t xml:space="preserve"> platinum-based chemotherapy.</w:t>
            </w:r>
          </w:p>
        </w:tc>
        <w:tc>
          <w:tcPr>
            <w:tcW w:w="943"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E71EDC">
            <w:pPr>
              <w:pStyle w:val="TableText"/>
              <w:keepNext/>
              <w:keepLines/>
              <w:widowControl/>
            </w:pPr>
            <w:r w:rsidRPr="00DC08B0">
              <w:t xml:space="preserve">PFS, PFS2, OS, TFST, TSST, TDT, </w:t>
            </w:r>
            <w:proofErr w:type="spellStart"/>
            <w:r w:rsidRPr="00DC08B0">
              <w:t>BoR</w:t>
            </w:r>
            <w:proofErr w:type="spellEnd"/>
            <w:r w:rsidRPr="00DC08B0">
              <w:t xml:space="preserve">, </w:t>
            </w:r>
            <w:proofErr w:type="spellStart"/>
            <w:r w:rsidRPr="00DC08B0">
              <w:t>HRQoL</w:t>
            </w:r>
            <w:proofErr w:type="spellEnd"/>
            <w:r w:rsidRPr="00DC08B0">
              <w:t>, Safety</w:t>
            </w:r>
          </w:p>
        </w:tc>
        <w:tc>
          <w:tcPr>
            <w:tcW w:w="1308" w:type="pct"/>
            <w:tcBorders>
              <w:top w:val="single" w:sz="4" w:space="0" w:color="auto"/>
              <w:left w:val="single" w:sz="4" w:space="0" w:color="auto"/>
              <w:bottom w:val="single" w:sz="4" w:space="0" w:color="auto"/>
              <w:right w:val="single" w:sz="4" w:space="0" w:color="auto"/>
            </w:tcBorders>
            <w:vAlign w:val="center"/>
            <w:hideMark/>
          </w:tcPr>
          <w:p w:rsidR="00B12A8C" w:rsidRPr="00DC08B0" w:rsidRDefault="001A2E97" w:rsidP="00E71EDC">
            <w:pPr>
              <w:pStyle w:val="TableText"/>
              <w:keepNext/>
              <w:keepLines/>
              <w:widowControl/>
            </w:pPr>
            <w:r>
              <w:t>PFS (modelled and extrapolated), Time from 1</w:t>
            </w:r>
            <w:r w:rsidRPr="001A2E97">
              <w:rPr>
                <w:vertAlign w:val="superscript"/>
              </w:rPr>
              <w:t>st</w:t>
            </w:r>
            <w:r>
              <w:t xml:space="preserve"> progression to PFS2 (modelled and extrapolated), OS (within trial only), TDT, </w:t>
            </w:r>
            <w:proofErr w:type="spellStart"/>
            <w:r>
              <w:t>QoL</w:t>
            </w:r>
            <w:proofErr w:type="spellEnd"/>
            <w:r>
              <w:t xml:space="preserve"> while on treatment, subsequent therapies</w:t>
            </w:r>
          </w:p>
        </w:tc>
      </w:tr>
    </w:tbl>
    <w:p w:rsidR="00B12A8C" w:rsidRPr="00DC08B0" w:rsidRDefault="00B12A8C" w:rsidP="00E71EDC">
      <w:pPr>
        <w:pStyle w:val="TableFooter"/>
        <w:keepNext/>
        <w:keepLines/>
        <w:widowControl/>
        <w:rPr>
          <w:i/>
        </w:rPr>
      </w:pPr>
      <w:proofErr w:type="spellStart"/>
      <w:r w:rsidRPr="00DC08B0">
        <w:t>BoR</w:t>
      </w:r>
      <w:proofErr w:type="spellEnd"/>
      <w:r w:rsidRPr="00DC08B0">
        <w:t xml:space="preserve">=best overall response; DB=double blind; DCO=data cut-off; </w:t>
      </w:r>
      <w:proofErr w:type="spellStart"/>
      <w:r w:rsidRPr="00DC08B0">
        <w:t>HRQoL</w:t>
      </w:r>
      <w:proofErr w:type="spellEnd"/>
      <w:r w:rsidRPr="00DC08B0">
        <w:t>=health-related quality of life (on treatment); MC=multi-centre; OS=overall survival; PFS=progression-free survival; PFS2=second progression-free survival; R=randomised; TDT=time to treatment discontinuation; TFST=time to first subsequent therapy (or death); TSST=time to second subsequent therapy (or death).</w:t>
      </w:r>
      <w:r w:rsidRPr="00DC08B0">
        <w:rPr>
          <w:i/>
        </w:rPr>
        <w:t xml:space="preserve"> </w:t>
      </w:r>
    </w:p>
    <w:p w:rsidR="00B12A8C" w:rsidRPr="00DC08B0" w:rsidRDefault="00B12A8C" w:rsidP="00E71EDC">
      <w:pPr>
        <w:pStyle w:val="TableFooter"/>
        <w:keepNext/>
        <w:keepLines/>
        <w:widowControl/>
      </w:pPr>
      <w:r w:rsidRPr="00DC08B0">
        <w:t xml:space="preserve">Source: Table 2-12, pp98, </w:t>
      </w:r>
      <w:r w:rsidR="00F377F6">
        <w:t>of the submission.</w:t>
      </w:r>
    </w:p>
    <w:p w:rsidR="00B12A8C" w:rsidRPr="00DC08B0" w:rsidRDefault="00B12A8C" w:rsidP="00563974">
      <w:pPr>
        <w:pStyle w:val="ListParagraph"/>
        <w:numPr>
          <w:ilvl w:val="4"/>
          <w:numId w:val="1"/>
        </w:numPr>
      </w:pPr>
      <w:r w:rsidRPr="00DC08B0">
        <w:t xml:space="preserve">A summary of the trial results, conditional on biomarker status, is provided in the table </w:t>
      </w:r>
      <w:r w:rsidRPr="000A01F2">
        <w:t>below</w:t>
      </w:r>
      <w:r w:rsidRPr="00DC08B0">
        <w:t>.</w:t>
      </w:r>
      <w:r w:rsidR="003324C7">
        <w:t xml:space="preserve"> </w:t>
      </w:r>
    </w:p>
    <w:p w:rsidR="00B12A8C" w:rsidRPr="00DC08B0" w:rsidRDefault="00563974" w:rsidP="009E094D">
      <w:pPr>
        <w:pStyle w:val="Caption"/>
        <w:keepLines/>
        <w:ind w:left="0" w:firstLine="0"/>
      </w:pPr>
      <w:r>
        <w:lastRenderedPageBreak/>
        <w:t xml:space="preserve">Table </w:t>
      </w:r>
      <w:r w:rsidR="00A75368">
        <w:rPr>
          <w:noProof/>
        </w:rPr>
        <w:t>6</w:t>
      </w:r>
      <w:r>
        <w:rPr>
          <w:noProof/>
        </w:rPr>
        <w:t xml:space="preserve">: </w:t>
      </w:r>
      <w:r w:rsidR="00B12A8C" w:rsidRPr="00DC08B0">
        <w:t xml:space="preserve">SOLO1: PFS, PFS2 and OS results for </w:t>
      </w:r>
      <w:proofErr w:type="spellStart"/>
      <w:r w:rsidR="00B12A8C" w:rsidRPr="00DC08B0">
        <w:t>g</w:t>
      </w:r>
      <w:r w:rsidR="00B12A8C" w:rsidRPr="008E746A">
        <w:rPr>
          <w:i/>
        </w:rPr>
        <w:t>BRCA</w:t>
      </w:r>
      <w:r w:rsidR="00B12A8C" w:rsidRPr="00DC08B0">
        <w:t>m</w:t>
      </w:r>
      <w:r w:rsidR="00AD5B7E" w:rsidRPr="00AD5B7E">
        <w:rPr>
          <w:vertAlign w:val="superscript"/>
        </w:rPr>
        <w:t>f</w:t>
      </w:r>
      <w:proofErr w:type="spellEnd"/>
      <w:r w:rsidR="00B12A8C" w:rsidRPr="00DC08B0">
        <w:t xml:space="preserve"> positive patients (ITT) treated with either </w:t>
      </w:r>
      <w:proofErr w:type="spellStart"/>
      <w:r w:rsidR="00B12A8C" w:rsidRPr="00DC08B0">
        <w:t>olaparib</w:t>
      </w:r>
      <w:proofErr w:type="spellEnd"/>
      <w:r w:rsidR="00B12A8C" w:rsidRPr="00DC08B0">
        <w:t xml:space="preserve"> or placebo (DCO 17 May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24"/>
        <w:gridCol w:w="2103"/>
        <w:gridCol w:w="1508"/>
      </w:tblGrid>
      <w:tr w:rsidR="00B12A8C" w:rsidRPr="00DC08B0" w:rsidTr="00B12A8C">
        <w:tc>
          <w:tcPr>
            <w:tcW w:w="3681" w:type="dxa"/>
            <w:tcBorders>
              <w:top w:val="single" w:sz="4" w:space="0" w:color="auto"/>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spacing w:line="257" w:lineRule="auto"/>
              <w:rPr>
                <w:b/>
              </w:rPr>
            </w:pPr>
            <w:r w:rsidRPr="00DC08B0">
              <w:rPr>
                <w:b/>
              </w:rPr>
              <w:t>Endpoint</w:t>
            </w:r>
          </w:p>
        </w:tc>
        <w:tc>
          <w:tcPr>
            <w:tcW w:w="1724" w:type="dxa"/>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9E094D">
            <w:pPr>
              <w:pStyle w:val="TableText"/>
              <w:keepNext/>
              <w:keepLines/>
              <w:widowControl/>
              <w:spacing w:line="257" w:lineRule="auto"/>
              <w:jc w:val="center"/>
              <w:rPr>
                <w:b/>
              </w:rPr>
            </w:pPr>
            <w:proofErr w:type="spellStart"/>
            <w:r w:rsidRPr="00DC08B0">
              <w:rPr>
                <w:b/>
              </w:rPr>
              <w:t>Olaparib</w:t>
            </w:r>
            <w:proofErr w:type="spellEnd"/>
          </w:p>
        </w:tc>
        <w:tc>
          <w:tcPr>
            <w:tcW w:w="2103" w:type="dxa"/>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9E094D">
            <w:pPr>
              <w:pStyle w:val="TableText"/>
              <w:keepNext/>
              <w:keepLines/>
              <w:widowControl/>
              <w:spacing w:line="257" w:lineRule="auto"/>
              <w:jc w:val="center"/>
              <w:rPr>
                <w:b/>
              </w:rPr>
            </w:pPr>
            <w:r w:rsidRPr="00DC08B0">
              <w:rPr>
                <w:b/>
              </w:rPr>
              <w:t>Placebo</w:t>
            </w:r>
          </w:p>
        </w:tc>
        <w:tc>
          <w:tcPr>
            <w:tcW w:w="1508" w:type="dxa"/>
            <w:tcBorders>
              <w:top w:val="single" w:sz="4" w:space="0" w:color="auto"/>
              <w:left w:val="single" w:sz="4" w:space="0" w:color="auto"/>
              <w:bottom w:val="single" w:sz="4" w:space="0" w:color="auto"/>
              <w:right w:val="single" w:sz="4" w:space="0" w:color="auto"/>
            </w:tcBorders>
            <w:vAlign w:val="center"/>
            <w:hideMark/>
          </w:tcPr>
          <w:p w:rsidR="00B12A8C" w:rsidRPr="00DC08B0" w:rsidRDefault="00B12A8C" w:rsidP="009E094D">
            <w:pPr>
              <w:pStyle w:val="TableText"/>
              <w:keepNext/>
              <w:keepLines/>
              <w:widowControl/>
              <w:spacing w:line="257" w:lineRule="auto"/>
              <w:jc w:val="center"/>
              <w:rPr>
                <w:b/>
              </w:rPr>
            </w:pPr>
            <w:r w:rsidRPr="00DC08B0">
              <w:rPr>
                <w:b/>
              </w:rPr>
              <w:t>HR (95% CI)</w:t>
            </w:r>
            <w:r w:rsidRPr="00DC08B0">
              <w:rPr>
                <w:b/>
                <w:vertAlign w:val="superscript"/>
              </w:rPr>
              <w:t>a</w:t>
            </w:r>
          </w:p>
        </w:tc>
      </w:tr>
      <w:tr w:rsidR="00B12A8C" w:rsidRPr="00DC08B0" w:rsidTr="00B12A8C">
        <w:tc>
          <w:tcPr>
            <w:tcW w:w="3681" w:type="dxa"/>
            <w:tcBorders>
              <w:top w:val="single" w:sz="4" w:space="0" w:color="auto"/>
              <w:left w:val="single" w:sz="4" w:space="0" w:color="auto"/>
              <w:bottom w:val="nil"/>
              <w:right w:val="single" w:sz="4" w:space="0" w:color="auto"/>
            </w:tcBorders>
            <w:vAlign w:val="center"/>
          </w:tcPr>
          <w:p w:rsidR="00B12A8C" w:rsidRPr="00DC08B0" w:rsidRDefault="00B12A8C" w:rsidP="009E094D">
            <w:pPr>
              <w:pStyle w:val="TableText"/>
              <w:keepNext/>
              <w:keepLines/>
              <w:widowControl/>
              <w:spacing w:line="257" w:lineRule="auto"/>
              <w:rPr>
                <w:b/>
                <w:bCs/>
              </w:rPr>
            </w:pPr>
            <w:r w:rsidRPr="00DC08B0">
              <w:rPr>
                <w:b/>
                <w:bCs/>
              </w:rPr>
              <w:t>PFS</w:t>
            </w:r>
          </w:p>
        </w:tc>
        <w:tc>
          <w:tcPr>
            <w:tcW w:w="1724" w:type="dxa"/>
            <w:tcBorders>
              <w:top w:val="single" w:sz="4" w:space="0" w:color="auto"/>
              <w:left w:val="single" w:sz="4" w:space="0" w:color="auto"/>
              <w:bottom w:val="nil"/>
              <w:right w:val="single" w:sz="4" w:space="0" w:color="auto"/>
            </w:tcBorders>
            <w:vAlign w:val="center"/>
            <w:hideMark/>
          </w:tcPr>
          <w:p w:rsidR="00B12A8C" w:rsidRPr="00DC08B0" w:rsidRDefault="00B12A8C" w:rsidP="009E094D">
            <w:pPr>
              <w:pStyle w:val="TableText"/>
              <w:keepNext/>
              <w:keepLines/>
              <w:widowControl/>
              <w:spacing w:line="257" w:lineRule="auto"/>
              <w:jc w:val="center"/>
            </w:pPr>
          </w:p>
        </w:tc>
        <w:tc>
          <w:tcPr>
            <w:tcW w:w="2103" w:type="dxa"/>
            <w:tcBorders>
              <w:top w:val="single" w:sz="4" w:space="0" w:color="auto"/>
              <w:left w:val="single" w:sz="4" w:space="0" w:color="auto"/>
              <w:bottom w:val="nil"/>
              <w:right w:val="single" w:sz="4" w:space="0" w:color="auto"/>
            </w:tcBorders>
            <w:vAlign w:val="center"/>
            <w:hideMark/>
          </w:tcPr>
          <w:p w:rsidR="00B12A8C" w:rsidRPr="00DC08B0" w:rsidRDefault="00B12A8C" w:rsidP="009E094D">
            <w:pPr>
              <w:pStyle w:val="TableText"/>
              <w:keepNext/>
              <w:keepLines/>
              <w:widowControl/>
              <w:spacing w:line="257" w:lineRule="auto"/>
              <w:jc w:val="center"/>
            </w:pPr>
          </w:p>
        </w:tc>
        <w:tc>
          <w:tcPr>
            <w:tcW w:w="1508" w:type="dxa"/>
            <w:tcBorders>
              <w:top w:val="single" w:sz="4" w:space="0" w:color="auto"/>
              <w:left w:val="single" w:sz="4" w:space="0" w:color="auto"/>
              <w:bottom w:val="nil"/>
              <w:right w:val="single" w:sz="4" w:space="0" w:color="auto"/>
            </w:tcBorders>
            <w:vAlign w:val="center"/>
            <w:hideMark/>
          </w:tcPr>
          <w:p w:rsidR="00B12A8C" w:rsidRPr="00DC08B0" w:rsidRDefault="00B12A8C" w:rsidP="009E094D">
            <w:pPr>
              <w:pStyle w:val="TableText"/>
              <w:keepNext/>
              <w:keepLines/>
              <w:widowControl/>
              <w:spacing w:line="257" w:lineRule="auto"/>
              <w:jc w:val="center"/>
            </w:pP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Events (progression or death) / N (%)</w:t>
            </w:r>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102/260 (39.2%)</w:t>
            </w: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96/131 (73.3%)</w:t>
            </w:r>
          </w:p>
        </w:tc>
        <w:tc>
          <w:tcPr>
            <w:tcW w:w="1508" w:type="dxa"/>
            <w:vMerge w:val="restart"/>
            <w:tcBorders>
              <w:top w:val="nil"/>
              <w:left w:val="single" w:sz="4" w:space="0" w:color="auto"/>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0.30 (0.23, 0.41)</w:t>
            </w: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 xml:space="preserve">Median (95% CI), </w:t>
            </w:r>
            <w:proofErr w:type="spellStart"/>
            <w:r w:rsidRPr="00DC08B0">
              <w:t>months</w:t>
            </w:r>
            <w:r w:rsidRPr="00DC08B0">
              <w:rPr>
                <w:vertAlign w:val="superscript"/>
              </w:rPr>
              <w:t>b</w:t>
            </w:r>
            <w:proofErr w:type="spellEnd"/>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NR (-</w:t>
            </w:r>
            <w:r w:rsidRPr="00DC08B0">
              <w:rPr>
                <w:vertAlign w:val="superscript"/>
              </w:rPr>
              <w:t>d</w:t>
            </w:r>
            <w:r w:rsidRPr="00DC08B0">
              <w:t>, NR)</w:t>
            </w: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13.8 (11.1, 18.2)</w:t>
            </w:r>
          </w:p>
        </w:tc>
        <w:tc>
          <w:tcPr>
            <w:tcW w:w="1508" w:type="dxa"/>
            <w:vMerge/>
            <w:tcBorders>
              <w:top w:val="single" w:sz="4" w:space="0" w:color="auto"/>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 of patients event free by time point (95% CI)</w:t>
            </w:r>
            <w:r w:rsidRPr="00DC08B0">
              <w:rPr>
                <w:vertAlign w:val="superscript"/>
              </w:rPr>
              <w:t>b</w:t>
            </w:r>
          </w:p>
        </w:tc>
        <w:tc>
          <w:tcPr>
            <w:tcW w:w="1724"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c>
          <w:tcPr>
            <w:tcW w:w="2103"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c>
          <w:tcPr>
            <w:tcW w:w="1508"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r w:rsidRPr="00DC08B0">
              <w:t>p&lt;0.0001</w:t>
            </w:r>
            <w:r w:rsidRPr="00DC08B0">
              <w:rPr>
                <w:vertAlign w:val="superscript"/>
              </w:rPr>
              <w:t>e</w:t>
            </w:r>
          </w:p>
        </w:tc>
      </w:tr>
      <w:tr w:rsidR="00B12A8C" w:rsidRPr="00DC08B0" w:rsidTr="00B12A8C">
        <w:tc>
          <w:tcPr>
            <w:tcW w:w="3681"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pPr>
            <w:r w:rsidRPr="00DC08B0">
              <w:tab/>
              <w:t>12 months</w:t>
            </w:r>
          </w:p>
        </w:tc>
        <w:tc>
          <w:tcPr>
            <w:tcW w:w="1724"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87.7 (82.9, 91.3)</w:t>
            </w:r>
          </w:p>
        </w:tc>
        <w:tc>
          <w:tcPr>
            <w:tcW w:w="2103"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51.4 (42.4, 59.7)</w:t>
            </w:r>
          </w:p>
        </w:tc>
        <w:tc>
          <w:tcPr>
            <w:tcW w:w="1508"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B12A8C">
        <w:tc>
          <w:tcPr>
            <w:tcW w:w="3681"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pPr>
            <w:r w:rsidRPr="00DC08B0">
              <w:tab/>
              <w:t>24 months</w:t>
            </w:r>
          </w:p>
        </w:tc>
        <w:tc>
          <w:tcPr>
            <w:tcW w:w="1724"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r w:rsidRPr="00DC08B0">
              <w:t>73.6 (67.5, 78.7)</w:t>
            </w:r>
          </w:p>
        </w:tc>
        <w:tc>
          <w:tcPr>
            <w:tcW w:w="2103"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r w:rsidRPr="00DC08B0">
              <w:t>34.6 (46.4, 42.9)</w:t>
            </w:r>
          </w:p>
        </w:tc>
        <w:tc>
          <w:tcPr>
            <w:tcW w:w="1508"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B12A8C">
        <w:tc>
          <w:tcPr>
            <w:tcW w:w="3681" w:type="dxa"/>
            <w:tcBorders>
              <w:top w:val="single" w:sz="4" w:space="0" w:color="auto"/>
              <w:left w:val="single" w:sz="4" w:space="0" w:color="auto"/>
              <w:bottom w:val="nil"/>
              <w:right w:val="single" w:sz="4" w:space="0" w:color="auto"/>
            </w:tcBorders>
            <w:vAlign w:val="center"/>
          </w:tcPr>
          <w:p w:rsidR="00B12A8C" w:rsidRPr="00DC08B0" w:rsidRDefault="00B12A8C" w:rsidP="009E094D">
            <w:pPr>
              <w:pStyle w:val="TableText"/>
              <w:keepNext/>
              <w:keepLines/>
              <w:widowControl/>
              <w:rPr>
                <w:b/>
                <w:bCs/>
              </w:rPr>
            </w:pPr>
            <w:r w:rsidRPr="00DC08B0">
              <w:rPr>
                <w:b/>
                <w:bCs/>
              </w:rPr>
              <w:t>PFS2</w:t>
            </w:r>
            <w:r w:rsidRPr="00DC08B0">
              <w:rPr>
                <w:b/>
                <w:bCs/>
                <w:vertAlign w:val="superscript"/>
              </w:rPr>
              <w:t>c</w:t>
            </w:r>
          </w:p>
        </w:tc>
        <w:tc>
          <w:tcPr>
            <w:tcW w:w="1724" w:type="dxa"/>
            <w:tcBorders>
              <w:top w:val="single" w:sz="4" w:space="0" w:color="auto"/>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c>
          <w:tcPr>
            <w:tcW w:w="2103" w:type="dxa"/>
            <w:tcBorders>
              <w:top w:val="single" w:sz="4" w:space="0" w:color="auto"/>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c>
          <w:tcPr>
            <w:tcW w:w="1508" w:type="dxa"/>
            <w:tcBorders>
              <w:top w:val="single" w:sz="4" w:space="0" w:color="auto"/>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B12A8C">
        <w:tc>
          <w:tcPr>
            <w:tcW w:w="3681"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rPr>
                <w:b/>
                <w:bCs/>
              </w:rPr>
            </w:pPr>
            <w:r w:rsidRPr="00DC08B0">
              <w:t>Events (progression or death) / N (%)</w:t>
            </w:r>
          </w:p>
        </w:tc>
        <w:tc>
          <w:tcPr>
            <w:tcW w:w="1724"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69/260 (26.5%)</w:t>
            </w:r>
          </w:p>
        </w:tc>
        <w:tc>
          <w:tcPr>
            <w:tcW w:w="2103"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52/131 (39.7%)</w:t>
            </w:r>
          </w:p>
        </w:tc>
        <w:tc>
          <w:tcPr>
            <w:tcW w:w="1508" w:type="dxa"/>
            <w:vMerge w:val="restart"/>
            <w:tcBorders>
              <w:top w:val="nil"/>
              <w:left w:val="single" w:sz="4" w:space="0" w:color="auto"/>
              <w:right w:val="single" w:sz="4" w:space="0" w:color="auto"/>
            </w:tcBorders>
            <w:vAlign w:val="center"/>
          </w:tcPr>
          <w:p w:rsidR="00B12A8C" w:rsidRPr="00DC08B0" w:rsidRDefault="00B12A8C" w:rsidP="009E094D">
            <w:pPr>
              <w:pStyle w:val="TableText"/>
              <w:keepNext/>
              <w:keepLines/>
              <w:widowControl/>
              <w:jc w:val="center"/>
            </w:pPr>
            <w:r w:rsidRPr="00DC08B0">
              <w:t>0.50 (0.35, 0.72)</w:t>
            </w:r>
          </w:p>
        </w:tc>
      </w:tr>
      <w:tr w:rsidR="00B12A8C" w:rsidRPr="00DC08B0" w:rsidTr="00B12A8C">
        <w:tc>
          <w:tcPr>
            <w:tcW w:w="3681"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rPr>
                <w:b/>
                <w:bCs/>
              </w:rPr>
            </w:pPr>
            <w:r w:rsidRPr="00DC08B0">
              <w:t xml:space="preserve">Median (95% CI), </w:t>
            </w:r>
            <w:proofErr w:type="spellStart"/>
            <w:r w:rsidRPr="00DC08B0">
              <w:t>months</w:t>
            </w:r>
            <w:r w:rsidRPr="00DC08B0">
              <w:rPr>
                <w:vertAlign w:val="superscript"/>
              </w:rPr>
              <w:t>b</w:t>
            </w:r>
            <w:proofErr w:type="spellEnd"/>
          </w:p>
        </w:tc>
        <w:tc>
          <w:tcPr>
            <w:tcW w:w="1724"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NR (NR, NR)</w:t>
            </w:r>
          </w:p>
        </w:tc>
        <w:tc>
          <w:tcPr>
            <w:tcW w:w="2103"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41.9 (36.5, 47.9)</w:t>
            </w:r>
          </w:p>
        </w:tc>
        <w:tc>
          <w:tcPr>
            <w:tcW w:w="1508" w:type="dxa"/>
            <w:vMerge/>
            <w:tcBorders>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B12A8C">
        <w:tc>
          <w:tcPr>
            <w:tcW w:w="3681"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rPr>
                <w:b/>
                <w:bCs/>
              </w:rPr>
            </w:pPr>
            <w:r w:rsidRPr="00DC08B0">
              <w:t>% of patients event free by time point (95% CI)</w:t>
            </w:r>
            <w:r w:rsidRPr="00DC08B0">
              <w:rPr>
                <w:vertAlign w:val="superscript"/>
              </w:rPr>
              <w:t>b</w:t>
            </w:r>
          </w:p>
        </w:tc>
        <w:tc>
          <w:tcPr>
            <w:tcW w:w="1724"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c>
          <w:tcPr>
            <w:tcW w:w="2103"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c>
          <w:tcPr>
            <w:tcW w:w="1508"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p=0.0002</w:t>
            </w:r>
            <w:r w:rsidRPr="00DC08B0">
              <w:rPr>
                <w:vertAlign w:val="superscript"/>
              </w:rPr>
              <w:t>e</w:t>
            </w:r>
          </w:p>
        </w:tc>
      </w:tr>
      <w:tr w:rsidR="00B12A8C" w:rsidRPr="00DC08B0" w:rsidTr="00B12A8C">
        <w:tc>
          <w:tcPr>
            <w:tcW w:w="3681"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rPr>
                <w:b/>
                <w:bCs/>
              </w:rPr>
            </w:pPr>
            <w:r w:rsidRPr="00DC08B0">
              <w:tab/>
              <w:t>24 months</w:t>
            </w:r>
          </w:p>
        </w:tc>
        <w:tc>
          <w:tcPr>
            <w:tcW w:w="1724"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86.0 (80.8, 89.8)</w:t>
            </w:r>
          </w:p>
        </w:tc>
        <w:tc>
          <w:tcPr>
            <w:tcW w:w="2103"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r w:rsidRPr="00DC08B0">
              <w:t>77.3 (68.2, 84.1)</w:t>
            </w:r>
          </w:p>
        </w:tc>
        <w:tc>
          <w:tcPr>
            <w:tcW w:w="1508" w:type="dxa"/>
            <w:tcBorders>
              <w:top w:val="nil"/>
              <w:left w:val="single" w:sz="4" w:space="0" w:color="auto"/>
              <w:bottom w:val="nil"/>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B12A8C">
        <w:tc>
          <w:tcPr>
            <w:tcW w:w="3681"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rPr>
                <w:b/>
                <w:bCs/>
              </w:rPr>
            </w:pPr>
            <w:r w:rsidRPr="00DC08B0">
              <w:tab/>
              <w:t>36 months</w:t>
            </w:r>
          </w:p>
        </w:tc>
        <w:tc>
          <w:tcPr>
            <w:tcW w:w="1724"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r w:rsidRPr="00DC08B0">
              <w:t>75.1 (68.9, 80.3)</w:t>
            </w:r>
          </w:p>
        </w:tc>
        <w:tc>
          <w:tcPr>
            <w:tcW w:w="2103"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r w:rsidRPr="00DC08B0">
              <w:t>60.2 (50.1, 68.9)</w:t>
            </w:r>
          </w:p>
        </w:tc>
        <w:tc>
          <w:tcPr>
            <w:tcW w:w="1508" w:type="dxa"/>
            <w:tcBorders>
              <w:top w:val="nil"/>
              <w:left w:val="single" w:sz="4" w:space="0" w:color="auto"/>
              <w:bottom w:val="single" w:sz="4" w:space="0" w:color="auto"/>
              <w:right w:val="single" w:sz="4" w:space="0" w:color="auto"/>
            </w:tcBorders>
            <w:vAlign w:val="center"/>
          </w:tcPr>
          <w:p w:rsidR="00B12A8C" w:rsidRPr="00DC08B0" w:rsidRDefault="00B12A8C" w:rsidP="009E094D">
            <w:pPr>
              <w:pStyle w:val="TableText"/>
              <w:keepNext/>
              <w:keepLines/>
              <w:widowControl/>
              <w:jc w:val="center"/>
            </w:pPr>
          </w:p>
        </w:tc>
      </w:tr>
      <w:tr w:rsidR="00B12A8C" w:rsidRPr="00DC08B0" w:rsidTr="00E408CC">
        <w:tc>
          <w:tcPr>
            <w:tcW w:w="3681" w:type="dxa"/>
            <w:tcBorders>
              <w:top w:val="single" w:sz="4" w:space="0" w:color="auto"/>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rPr>
                <w:b/>
                <w:bCs/>
              </w:rPr>
            </w:pPr>
            <w:r w:rsidRPr="00DC08B0">
              <w:rPr>
                <w:b/>
                <w:bCs/>
              </w:rPr>
              <w:t>OS</w:t>
            </w:r>
          </w:p>
        </w:tc>
        <w:tc>
          <w:tcPr>
            <w:tcW w:w="1724" w:type="dxa"/>
            <w:tcBorders>
              <w:top w:val="single" w:sz="4" w:space="0" w:color="auto"/>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c>
          <w:tcPr>
            <w:tcW w:w="2103" w:type="dxa"/>
            <w:tcBorders>
              <w:top w:val="single" w:sz="4" w:space="0" w:color="auto"/>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c>
          <w:tcPr>
            <w:tcW w:w="1508" w:type="dxa"/>
            <w:tcBorders>
              <w:top w:val="single" w:sz="4" w:space="0" w:color="auto"/>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Events (death) / N (%)</w:t>
            </w:r>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55/260 (21.2%)</w:t>
            </w: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27/131 (20.6%)</w:t>
            </w:r>
          </w:p>
        </w:tc>
        <w:tc>
          <w:tcPr>
            <w:tcW w:w="1508" w:type="dxa"/>
            <w:vMerge w:val="restart"/>
            <w:tcBorders>
              <w:top w:val="nil"/>
              <w:left w:val="single" w:sz="4" w:space="0" w:color="auto"/>
              <w:right w:val="single" w:sz="4" w:space="0" w:color="auto"/>
            </w:tcBorders>
            <w:shd w:val="clear" w:color="auto" w:fill="auto"/>
            <w:vAlign w:val="center"/>
          </w:tcPr>
          <w:p w:rsidR="00B12A8C" w:rsidRPr="00DC08B0" w:rsidRDefault="00B12A8C" w:rsidP="009E094D">
            <w:pPr>
              <w:pStyle w:val="TableText"/>
              <w:keepNext/>
              <w:keepLines/>
              <w:widowControl/>
              <w:jc w:val="center"/>
            </w:pPr>
            <w:r w:rsidRPr="00DC08B0">
              <w:t>0.95 (0.60, 1.53)</w:t>
            </w: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 xml:space="preserve">Median (95% CI), </w:t>
            </w:r>
            <w:proofErr w:type="spellStart"/>
            <w:r w:rsidRPr="00DC08B0">
              <w:t>months</w:t>
            </w:r>
            <w:r w:rsidRPr="00DC08B0">
              <w:rPr>
                <w:vertAlign w:val="superscript"/>
              </w:rPr>
              <w:t>b</w:t>
            </w:r>
            <w:proofErr w:type="spellEnd"/>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NR (NR, NR)</w:t>
            </w: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NR (NR, NR)</w:t>
            </w:r>
          </w:p>
        </w:tc>
        <w:tc>
          <w:tcPr>
            <w:tcW w:w="1508" w:type="dxa"/>
            <w:vMerge/>
            <w:tcBorders>
              <w:top w:val="single" w:sz="4" w:space="0" w:color="auto"/>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 of patients event free by time point (95% CI)</w:t>
            </w:r>
            <w:r w:rsidRPr="00DC08B0">
              <w:rPr>
                <w:vertAlign w:val="superscript"/>
              </w:rPr>
              <w:t>b</w:t>
            </w:r>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p>
        </w:tc>
        <w:tc>
          <w:tcPr>
            <w:tcW w:w="1508"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Text"/>
              <w:keepNext/>
              <w:keepLines/>
              <w:widowControl/>
              <w:jc w:val="center"/>
            </w:pPr>
            <w:r w:rsidRPr="00DC08B0">
              <w:t>p=0.8903</w:t>
            </w:r>
            <w:r w:rsidRPr="00DC08B0">
              <w:rPr>
                <w:vertAlign w:val="superscript"/>
              </w:rPr>
              <w:t>e</w:t>
            </w:r>
          </w:p>
        </w:tc>
      </w:tr>
      <w:tr w:rsidR="00B12A8C" w:rsidRPr="00DC08B0" w:rsidTr="00E408CC">
        <w:tc>
          <w:tcPr>
            <w:tcW w:w="3681"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pPr>
            <w:r w:rsidRPr="00DC08B0">
              <w:tab/>
              <w:t>24 months</w:t>
            </w:r>
          </w:p>
        </w:tc>
        <w:tc>
          <w:tcPr>
            <w:tcW w:w="1724"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91.5 (87.3, 94.4)</w:t>
            </w:r>
          </w:p>
        </w:tc>
        <w:tc>
          <w:tcPr>
            <w:tcW w:w="2103" w:type="dxa"/>
            <w:tcBorders>
              <w:top w:val="nil"/>
              <w:left w:val="single" w:sz="4" w:space="0" w:color="auto"/>
              <w:bottom w:val="nil"/>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87.9 (80.8, 92.5)</w:t>
            </w:r>
          </w:p>
        </w:tc>
        <w:tc>
          <w:tcPr>
            <w:tcW w:w="1508" w:type="dxa"/>
            <w:tcBorders>
              <w:top w:val="nil"/>
              <w:left w:val="single" w:sz="4" w:space="0" w:color="auto"/>
              <w:bottom w:val="nil"/>
              <w:right w:val="single" w:sz="4" w:space="0" w:color="auto"/>
            </w:tcBorders>
            <w:shd w:val="clear" w:color="auto" w:fill="auto"/>
            <w:vAlign w:val="center"/>
          </w:tcPr>
          <w:p w:rsidR="00B12A8C" w:rsidRPr="00DC08B0" w:rsidRDefault="00B12A8C" w:rsidP="009E094D">
            <w:pPr>
              <w:pStyle w:val="TableText"/>
              <w:keepNext/>
              <w:keepLines/>
              <w:widowControl/>
              <w:jc w:val="center"/>
            </w:pPr>
          </w:p>
        </w:tc>
      </w:tr>
      <w:tr w:rsidR="00B12A8C" w:rsidRPr="00DC08B0" w:rsidTr="00E408CC">
        <w:tc>
          <w:tcPr>
            <w:tcW w:w="3681" w:type="dxa"/>
            <w:tcBorders>
              <w:top w:val="nil"/>
              <w:left w:val="single" w:sz="4" w:space="0" w:color="auto"/>
              <w:bottom w:val="single" w:sz="4" w:space="0" w:color="auto"/>
              <w:right w:val="single" w:sz="4" w:space="0" w:color="auto"/>
            </w:tcBorders>
            <w:shd w:val="clear" w:color="auto" w:fill="auto"/>
            <w:vAlign w:val="center"/>
          </w:tcPr>
          <w:p w:rsidR="00B12A8C" w:rsidRPr="00DC08B0" w:rsidRDefault="00B12A8C" w:rsidP="009E094D">
            <w:pPr>
              <w:pStyle w:val="TableText"/>
              <w:keepNext/>
              <w:keepLines/>
              <w:widowControl/>
            </w:pPr>
            <w:r w:rsidRPr="00DC08B0">
              <w:tab/>
              <w:t>36 months</w:t>
            </w:r>
          </w:p>
        </w:tc>
        <w:tc>
          <w:tcPr>
            <w:tcW w:w="1724" w:type="dxa"/>
            <w:tcBorders>
              <w:top w:val="nil"/>
              <w:left w:val="single" w:sz="4" w:space="0" w:color="auto"/>
              <w:bottom w:val="single" w:sz="4" w:space="0" w:color="auto"/>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84.0 (78.8, 88.1)</w:t>
            </w:r>
          </w:p>
        </w:tc>
        <w:tc>
          <w:tcPr>
            <w:tcW w:w="2103" w:type="dxa"/>
            <w:tcBorders>
              <w:top w:val="nil"/>
              <w:left w:val="single" w:sz="4" w:space="0" w:color="auto"/>
              <w:bottom w:val="single" w:sz="4" w:space="0" w:color="auto"/>
              <w:right w:val="single" w:sz="4" w:space="0" w:color="auto"/>
            </w:tcBorders>
            <w:shd w:val="clear" w:color="auto" w:fill="auto"/>
            <w:vAlign w:val="center"/>
            <w:hideMark/>
          </w:tcPr>
          <w:p w:rsidR="00B12A8C" w:rsidRPr="00DC08B0" w:rsidRDefault="00B12A8C" w:rsidP="009E094D">
            <w:pPr>
              <w:pStyle w:val="TableNumber"/>
              <w:keepNext/>
              <w:keepLines/>
              <w:widowControl/>
              <w:rPr>
                <w:rFonts w:ascii="Times" w:eastAsia="Times New Roman" w:hAnsi="Times" w:cs="Times New Roman"/>
              </w:rPr>
            </w:pPr>
            <w:r w:rsidRPr="00DC08B0">
              <w:t>80.5 (72.3, 86.5)</w:t>
            </w:r>
          </w:p>
        </w:tc>
        <w:tc>
          <w:tcPr>
            <w:tcW w:w="1508" w:type="dxa"/>
            <w:tcBorders>
              <w:top w:val="nil"/>
              <w:left w:val="single" w:sz="4" w:space="0" w:color="auto"/>
              <w:bottom w:val="single" w:sz="4" w:space="0" w:color="auto"/>
              <w:right w:val="single" w:sz="4" w:space="0" w:color="auto"/>
            </w:tcBorders>
            <w:shd w:val="clear" w:color="auto" w:fill="auto"/>
            <w:vAlign w:val="center"/>
          </w:tcPr>
          <w:p w:rsidR="00B12A8C" w:rsidRPr="00DC08B0" w:rsidRDefault="00B12A8C" w:rsidP="009E094D">
            <w:pPr>
              <w:pStyle w:val="TableText"/>
              <w:keepNext/>
              <w:keepLines/>
              <w:widowControl/>
              <w:jc w:val="center"/>
            </w:pPr>
          </w:p>
        </w:tc>
      </w:tr>
    </w:tbl>
    <w:p w:rsidR="00B12A8C" w:rsidRPr="00DC08B0" w:rsidRDefault="00B12A8C" w:rsidP="009E094D">
      <w:pPr>
        <w:pStyle w:val="TableFooter"/>
        <w:keepNext/>
        <w:keepLines/>
        <w:widowControl/>
      </w:pPr>
      <w:proofErr w:type="spellStart"/>
      <w:proofErr w:type="gramStart"/>
      <w:r w:rsidRPr="00F377F6">
        <w:rPr>
          <w:vertAlign w:val="superscript"/>
        </w:rPr>
        <w:t>a</w:t>
      </w:r>
      <w:r w:rsidRPr="00DC08B0">
        <w:t>Estimated</w:t>
      </w:r>
      <w:proofErr w:type="spellEnd"/>
      <w:proofErr w:type="gramEnd"/>
      <w:r w:rsidRPr="00DC08B0">
        <w:t xml:space="preserve"> from a Cox proportional hazards model including best response to prior chemotherapy (stratification factor) as a covariate</w:t>
      </w:r>
    </w:p>
    <w:p w:rsidR="00B12A8C" w:rsidRPr="00DC08B0" w:rsidRDefault="00B12A8C" w:rsidP="009E094D">
      <w:pPr>
        <w:pStyle w:val="TableFooter"/>
        <w:keepNext/>
        <w:keepLines/>
        <w:widowControl/>
      </w:pPr>
      <w:proofErr w:type="spellStart"/>
      <w:proofErr w:type="gramStart"/>
      <w:r w:rsidRPr="00F377F6">
        <w:rPr>
          <w:vertAlign w:val="superscript"/>
        </w:rPr>
        <w:t>b</w:t>
      </w:r>
      <w:r w:rsidRPr="00DC08B0">
        <w:t>Calculated</w:t>
      </w:r>
      <w:proofErr w:type="spellEnd"/>
      <w:proofErr w:type="gramEnd"/>
      <w:r w:rsidRPr="00DC08B0">
        <w:t xml:space="preserve"> using Kaplan-Meier techniques</w:t>
      </w:r>
    </w:p>
    <w:p w:rsidR="00B12A8C" w:rsidRPr="00DC08B0" w:rsidRDefault="00B12A8C" w:rsidP="009E094D">
      <w:pPr>
        <w:pStyle w:val="TableFooter"/>
        <w:keepNext/>
        <w:keepLines/>
        <w:widowControl/>
      </w:pPr>
      <w:proofErr w:type="spellStart"/>
      <w:proofErr w:type="gramStart"/>
      <w:r w:rsidRPr="00F377F6">
        <w:rPr>
          <w:vertAlign w:val="superscript"/>
        </w:rPr>
        <w:t>c</w:t>
      </w:r>
      <w:r w:rsidRPr="00DC08B0">
        <w:t>Second</w:t>
      </w:r>
      <w:proofErr w:type="spellEnd"/>
      <w:proofErr w:type="gramEnd"/>
      <w:r w:rsidRPr="00DC08B0">
        <w:t xml:space="preserve"> </w:t>
      </w:r>
      <w:r w:rsidR="006F7250">
        <w:t>progression-free</w:t>
      </w:r>
      <w:r w:rsidRPr="00DC08B0">
        <w:t xml:space="preserve"> survival is defined as time from randomisation until second progression</w:t>
      </w:r>
    </w:p>
    <w:p w:rsidR="00B12A8C" w:rsidRPr="00DC08B0" w:rsidRDefault="00B12A8C" w:rsidP="009E094D">
      <w:pPr>
        <w:pStyle w:val="TableFooter"/>
        <w:keepNext/>
        <w:keepLines/>
        <w:widowControl/>
      </w:pPr>
      <w:proofErr w:type="spellStart"/>
      <w:proofErr w:type="gramStart"/>
      <w:r w:rsidRPr="00F377F6">
        <w:rPr>
          <w:vertAlign w:val="superscript"/>
        </w:rPr>
        <w:t>d</w:t>
      </w:r>
      <w:r w:rsidRPr="00DC08B0">
        <w:t>The</w:t>
      </w:r>
      <w:proofErr w:type="spellEnd"/>
      <w:proofErr w:type="gramEnd"/>
      <w:r w:rsidRPr="00DC08B0">
        <w:t xml:space="preserve"> SOLO1 CSR does not report the lower 95% CI for </w:t>
      </w:r>
      <w:r w:rsidR="006F7250">
        <w:t>progression-free</w:t>
      </w:r>
      <w:r w:rsidRPr="00DC08B0">
        <w:t xml:space="preserve"> survival in the </w:t>
      </w:r>
      <w:proofErr w:type="spellStart"/>
      <w:r w:rsidRPr="00DC08B0">
        <w:t>olaparib</w:t>
      </w:r>
      <w:proofErr w:type="spellEnd"/>
      <w:r w:rsidRPr="00DC08B0">
        <w:t xml:space="preserve"> arm, however it is implausible that it has not been reached given that the 95% CI for the landmark analysis of PFS at 42 months is 46.5% - 60.8%.</w:t>
      </w:r>
    </w:p>
    <w:p w:rsidR="00B12A8C" w:rsidRDefault="00B12A8C" w:rsidP="009E094D">
      <w:pPr>
        <w:pStyle w:val="TableFooter"/>
        <w:keepNext/>
        <w:keepLines/>
        <w:widowControl/>
      </w:pPr>
      <w:proofErr w:type="spellStart"/>
      <w:proofErr w:type="gramStart"/>
      <w:r w:rsidRPr="00F377F6">
        <w:rPr>
          <w:vertAlign w:val="superscript"/>
        </w:rPr>
        <w:t>e</w:t>
      </w:r>
      <w:r w:rsidRPr="00DC08B0">
        <w:t>Determined</w:t>
      </w:r>
      <w:proofErr w:type="spellEnd"/>
      <w:proofErr w:type="gramEnd"/>
      <w:r w:rsidRPr="00DC08B0">
        <w:t xml:space="preserve"> using log-rank test (stratified by response to platinum based chemotherapy)</w:t>
      </w:r>
    </w:p>
    <w:p w:rsidR="00AD5B7E" w:rsidRPr="00AD5B7E" w:rsidRDefault="00AD5B7E" w:rsidP="009E094D">
      <w:pPr>
        <w:pStyle w:val="TableFooter"/>
        <w:keepNext/>
        <w:keepLines/>
        <w:widowControl/>
      </w:pPr>
      <w:proofErr w:type="gramStart"/>
      <w:r w:rsidRPr="00AD5B7E">
        <w:rPr>
          <w:vertAlign w:val="superscript"/>
        </w:rPr>
        <w:t>f</w:t>
      </w:r>
      <w:r w:rsidRPr="00AD5B7E">
        <w:t>SOLO1</w:t>
      </w:r>
      <w:proofErr w:type="gramEnd"/>
      <w:r w:rsidRPr="00AD5B7E">
        <w:t xml:space="preserve"> contained two patients with somatic BRCA mutations</w:t>
      </w:r>
    </w:p>
    <w:p w:rsidR="00B12A8C" w:rsidRPr="00DC08B0" w:rsidRDefault="00B12A8C" w:rsidP="009E094D">
      <w:pPr>
        <w:pStyle w:val="TableFooter"/>
        <w:keepNext/>
        <w:keepLines/>
        <w:widowControl/>
      </w:pPr>
      <w:r w:rsidRPr="00DC08B0">
        <w:t>CI=confidence interval: N=total participants in group; NR=not reached; OS=overall survival; PFS=</w:t>
      </w:r>
      <w:r w:rsidR="006F7250">
        <w:t>progression-free</w:t>
      </w:r>
      <w:r w:rsidRPr="00DC08B0">
        <w:t xml:space="preserve"> survival; PFS2=second </w:t>
      </w:r>
      <w:r w:rsidR="006F7250">
        <w:t>progression-free</w:t>
      </w:r>
      <w:r w:rsidRPr="00DC08B0">
        <w:t xml:space="preserve"> survival. </w:t>
      </w:r>
    </w:p>
    <w:p w:rsidR="00B12A8C" w:rsidRPr="00DC08B0" w:rsidRDefault="00B12A8C" w:rsidP="009E094D">
      <w:pPr>
        <w:pStyle w:val="TableFooter"/>
        <w:keepNext/>
        <w:keepLines/>
        <w:widowControl/>
      </w:pPr>
      <w:r w:rsidRPr="00DC08B0">
        <w:t>Source: Table 11.2.1.2, Table 11.2.2.2, Table 11.2.3.2 of the SOLO1 CSR.</w:t>
      </w:r>
    </w:p>
    <w:p w:rsidR="00B12A8C" w:rsidRPr="00DC08B0" w:rsidRDefault="00B12A8C" w:rsidP="00563974">
      <w:pPr>
        <w:pStyle w:val="ListParagraph"/>
        <w:numPr>
          <w:ilvl w:val="4"/>
          <w:numId w:val="1"/>
        </w:numPr>
        <w:rPr>
          <w:color w:val="auto"/>
        </w:rPr>
      </w:pPr>
      <w:r w:rsidRPr="00DC08B0">
        <w:rPr>
          <w:color w:val="auto"/>
        </w:rPr>
        <w:t xml:space="preserve">Time to progression was substantially longer in the </w:t>
      </w:r>
      <w:proofErr w:type="spellStart"/>
      <w:r w:rsidRPr="00DC08B0">
        <w:rPr>
          <w:color w:val="auto"/>
        </w:rPr>
        <w:t>olaparib</w:t>
      </w:r>
      <w:proofErr w:type="spellEnd"/>
      <w:r w:rsidRPr="00DC08B0">
        <w:rPr>
          <w:color w:val="auto"/>
        </w:rPr>
        <w:t xml:space="preserve"> arm compared with the placebo arm of the</w:t>
      </w:r>
      <w:r w:rsidR="00F377F6">
        <w:rPr>
          <w:color w:val="auto"/>
        </w:rPr>
        <w:t xml:space="preserve"> SOLO1 trial. The PFS benefit was</w:t>
      </w:r>
      <w:r w:rsidRPr="00DC08B0">
        <w:rPr>
          <w:color w:val="auto"/>
        </w:rPr>
        <w:t xml:space="preserve"> consistent across pre-specified subgroups.</w:t>
      </w:r>
    </w:p>
    <w:p w:rsidR="00F377F6" w:rsidRPr="004070CB" w:rsidRDefault="0065147A" w:rsidP="004070CB">
      <w:pPr>
        <w:spacing w:after="0"/>
        <w:rPr>
          <w:rFonts w:ascii="Arial Narrow" w:hAnsi="Arial Narrow"/>
          <w:sz w:val="18"/>
          <w:szCs w:val="18"/>
        </w:rPr>
      </w:pPr>
      <w:r w:rsidRPr="004070CB">
        <w:rPr>
          <w:rFonts w:ascii="Arial Narrow" w:hAnsi="Arial Narrow"/>
          <w:b/>
          <w:sz w:val="20"/>
        </w:rPr>
        <w:lastRenderedPageBreak/>
        <w:t xml:space="preserve">Figure </w:t>
      </w:r>
      <w:proofErr w:type="gramStart"/>
      <w:r w:rsidR="004070CB">
        <w:rPr>
          <w:rFonts w:ascii="Arial Narrow" w:hAnsi="Arial Narrow"/>
          <w:b/>
          <w:noProof/>
          <w:sz w:val="20"/>
        </w:rPr>
        <w:t>4</w:t>
      </w:r>
      <w:r w:rsidRPr="004070CB">
        <w:rPr>
          <w:rFonts w:ascii="Arial Narrow" w:hAnsi="Arial Narrow"/>
          <w:b/>
          <w:sz w:val="20"/>
        </w:rPr>
        <w:t xml:space="preserve"> </w:t>
      </w:r>
      <w:r w:rsidR="00563974" w:rsidRPr="004070CB">
        <w:rPr>
          <w:rFonts w:ascii="Arial Narrow" w:hAnsi="Arial Narrow"/>
          <w:b/>
          <w:noProof/>
          <w:sz w:val="20"/>
        </w:rPr>
        <w:t>:</w:t>
      </w:r>
      <w:proofErr w:type="gramEnd"/>
      <w:r w:rsidR="00563974" w:rsidRPr="004070CB">
        <w:rPr>
          <w:rFonts w:ascii="Arial Narrow" w:hAnsi="Arial Narrow"/>
          <w:b/>
          <w:noProof/>
          <w:sz w:val="20"/>
        </w:rPr>
        <w:t xml:space="preserve"> </w:t>
      </w:r>
      <w:r w:rsidR="00563974" w:rsidRPr="004070CB">
        <w:rPr>
          <w:rFonts w:ascii="Arial Narrow" w:hAnsi="Arial Narrow"/>
          <w:b/>
          <w:noProof/>
          <w:sz w:val="20"/>
        </w:rPr>
        <w:tab/>
      </w:r>
      <w:r w:rsidR="00563974" w:rsidRPr="004070CB">
        <w:rPr>
          <w:rFonts w:ascii="Arial Narrow" w:hAnsi="Arial Narrow"/>
          <w:b/>
          <w:sz w:val="20"/>
        </w:rPr>
        <w:t xml:space="preserve">Kaplan-Meier plot of PFS for </w:t>
      </w:r>
      <w:proofErr w:type="spellStart"/>
      <w:r w:rsidR="00563974" w:rsidRPr="004070CB">
        <w:rPr>
          <w:rFonts w:ascii="Arial Narrow" w:hAnsi="Arial Narrow"/>
          <w:b/>
          <w:sz w:val="20"/>
        </w:rPr>
        <w:t>olaparib</w:t>
      </w:r>
      <w:proofErr w:type="spellEnd"/>
      <w:r w:rsidR="00563974" w:rsidRPr="004070CB">
        <w:rPr>
          <w:rFonts w:ascii="Arial Narrow" w:hAnsi="Arial Narrow"/>
          <w:b/>
          <w:sz w:val="20"/>
        </w:rPr>
        <w:t xml:space="preserve"> vs placebo in the SOLO1 study – FAS (DCO 17 May 2018)</w:t>
      </w:r>
      <w:r w:rsidR="00563974" w:rsidRPr="004070CB">
        <w:rPr>
          <w:sz w:val="20"/>
        </w:rPr>
        <w:t xml:space="preserve"> </w:t>
      </w:r>
      <w:r w:rsidR="00B12A8C" w:rsidRPr="00DC08B0">
        <w:rPr>
          <w:noProof/>
          <w:lang w:eastAsia="en-AU"/>
        </w:rPr>
        <w:drawing>
          <wp:inline distT="0" distB="0" distL="0" distR="0" wp14:anchorId="7F27BD12" wp14:editId="10B80E50">
            <wp:extent cx="5731510" cy="2882265"/>
            <wp:effectExtent l="0" t="0" r="2540" b="0"/>
            <wp:docPr id="16" name="Picture 16" title="Figure 4 :  Kaplan-Meier plot of PFS for olaparib vs placebo in the SOLO1 study – FAS (DCO 17 May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882265"/>
                    </a:xfrm>
                    <a:prstGeom prst="rect">
                      <a:avLst/>
                    </a:prstGeom>
                  </pic:spPr>
                </pic:pic>
              </a:graphicData>
            </a:graphic>
          </wp:inline>
        </w:drawing>
      </w:r>
      <w:r w:rsidR="00F377F6" w:rsidRPr="004070CB">
        <w:rPr>
          <w:rFonts w:ascii="Arial Narrow" w:hAnsi="Arial Narrow"/>
          <w:sz w:val="18"/>
          <w:szCs w:val="18"/>
        </w:rPr>
        <w:t xml:space="preserve">DCO = data cut-off; FAS = full analysis set; PFS = </w:t>
      </w:r>
      <w:r w:rsidR="006F7250" w:rsidRPr="004070CB">
        <w:rPr>
          <w:rFonts w:ascii="Arial Narrow" w:hAnsi="Arial Narrow"/>
          <w:sz w:val="18"/>
          <w:szCs w:val="18"/>
        </w:rPr>
        <w:t>progression-free</w:t>
      </w:r>
      <w:r w:rsidR="00F377F6" w:rsidRPr="004070CB">
        <w:rPr>
          <w:rFonts w:ascii="Arial Narrow" w:hAnsi="Arial Narrow"/>
          <w:sz w:val="18"/>
          <w:szCs w:val="18"/>
        </w:rPr>
        <w:t xml:space="preserve"> survival.</w:t>
      </w:r>
    </w:p>
    <w:p w:rsidR="00B12A8C" w:rsidRPr="004070CB" w:rsidRDefault="00B12A8C" w:rsidP="004070CB">
      <w:pPr>
        <w:pStyle w:val="TableFooter"/>
        <w:widowControl/>
        <w:spacing w:after="0"/>
      </w:pPr>
      <w:r w:rsidRPr="004070CB">
        <w:t xml:space="preserve">Source: Figure 2-8, p101, </w:t>
      </w:r>
      <w:r w:rsidR="00F377F6" w:rsidRPr="004070CB">
        <w:t>of the submission.</w:t>
      </w:r>
    </w:p>
    <w:p w:rsidR="00B12A8C" w:rsidRPr="00DC08B0" w:rsidRDefault="00B12A8C" w:rsidP="00563974">
      <w:pPr>
        <w:pStyle w:val="ListParagraph"/>
        <w:numPr>
          <w:ilvl w:val="4"/>
          <w:numId w:val="1"/>
        </w:numPr>
        <w:rPr>
          <w:color w:val="auto"/>
        </w:rPr>
      </w:pPr>
      <w:r w:rsidRPr="00E408CC">
        <w:rPr>
          <w:color w:val="auto"/>
        </w:rPr>
        <w:t xml:space="preserve">Some of the gains in </w:t>
      </w:r>
      <w:r w:rsidR="006F7250" w:rsidRPr="00E408CC">
        <w:rPr>
          <w:color w:val="auto"/>
        </w:rPr>
        <w:t>progression-free</w:t>
      </w:r>
      <w:r w:rsidRPr="00E408CC">
        <w:rPr>
          <w:color w:val="auto"/>
        </w:rPr>
        <w:t xml:space="preserve"> survival in the </w:t>
      </w:r>
      <w:proofErr w:type="spellStart"/>
      <w:r w:rsidRPr="00E408CC">
        <w:rPr>
          <w:color w:val="auto"/>
        </w:rPr>
        <w:t>olaparib</w:t>
      </w:r>
      <w:proofErr w:type="spellEnd"/>
      <w:r w:rsidRPr="00E408CC">
        <w:rPr>
          <w:color w:val="auto"/>
        </w:rPr>
        <w:t xml:space="preserve"> arm were subsequently lost in the analysis of time to second progression (indicating a shorter duration of response to subsequent therapies in the </w:t>
      </w:r>
      <w:proofErr w:type="spellStart"/>
      <w:r w:rsidRPr="00E408CC">
        <w:rPr>
          <w:color w:val="auto"/>
        </w:rPr>
        <w:t>olaparib</w:t>
      </w:r>
      <w:proofErr w:type="spellEnd"/>
      <w:r w:rsidRPr="00E408CC">
        <w:rPr>
          <w:color w:val="auto"/>
        </w:rPr>
        <w:t xml:space="preserve"> arm</w:t>
      </w:r>
      <w:r w:rsidRPr="00DC08B0">
        <w:rPr>
          <w:color w:val="auto"/>
        </w:rPr>
        <w:t xml:space="preserve">). The proportion of patients who respond to subsequent lines of therapy is lower in the </w:t>
      </w:r>
      <w:proofErr w:type="spellStart"/>
      <w:r w:rsidRPr="00DC08B0">
        <w:rPr>
          <w:color w:val="auto"/>
        </w:rPr>
        <w:t>olaparib</w:t>
      </w:r>
      <w:proofErr w:type="spellEnd"/>
      <w:r w:rsidRPr="00DC08B0">
        <w:rPr>
          <w:color w:val="auto"/>
        </w:rPr>
        <w:t xml:space="preserve"> arm compared with the placebo arm. Despite this, time to second progression remained longer in the </w:t>
      </w:r>
      <w:proofErr w:type="spellStart"/>
      <w:r w:rsidRPr="00DC08B0">
        <w:rPr>
          <w:color w:val="auto"/>
        </w:rPr>
        <w:t>olaparib</w:t>
      </w:r>
      <w:proofErr w:type="spellEnd"/>
      <w:r w:rsidRPr="00DC08B0">
        <w:rPr>
          <w:color w:val="auto"/>
        </w:rPr>
        <w:t xml:space="preserve"> arm than in the placebo arm. </w:t>
      </w:r>
    </w:p>
    <w:p w:rsidR="00B12A8C" w:rsidRPr="00DC08B0" w:rsidRDefault="00B12A8C" w:rsidP="00563974">
      <w:pPr>
        <w:pStyle w:val="ListParagraph"/>
        <w:numPr>
          <w:ilvl w:val="4"/>
          <w:numId w:val="1"/>
        </w:numPr>
        <w:rPr>
          <w:color w:val="auto"/>
        </w:rPr>
      </w:pPr>
      <w:r w:rsidRPr="00E408CC">
        <w:rPr>
          <w:color w:val="auto"/>
        </w:rPr>
        <w:t>There was no difference in overall survival across the arms. Overall survival remained immature at the data cut-off (17 May 2018) with only 21% of patients having experienced an event</w:t>
      </w:r>
      <w:r w:rsidRPr="00DC08B0">
        <w:rPr>
          <w:color w:val="auto"/>
        </w:rPr>
        <w:t>. Despite a small early separation in the Kaplan-Meier survival curves, by about 42 months the curves had converged. Th</w:t>
      </w:r>
      <w:r w:rsidR="0097550F">
        <w:rPr>
          <w:color w:val="auto"/>
        </w:rPr>
        <w:t>e data are reasonably mature up to the convergence, and more mature data are unlikely to change the Kaplan-Meier curve prior to this point</w:t>
      </w:r>
      <w:r w:rsidRPr="00DC08B0">
        <w:rPr>
          <w:color w:val="auto"/>
        </w:rPr>
        <w:t>; however the shape of the Kaplan-Meier curves following 42 months remains uncertain.</w:t>
      </w:r>
      <w:r w:rsidR="006F4E82" w:rsidRPr="006F4E82">
        <w:rPr>
          <w:i/>
          <w:color w:val="auto"/>
        </w:rPr>
        <w:t xml:space="preserve"> </w:t>
      </w:r>
    </w:p>
    <w:p w:rsidR="00563974" w:rsidRDefault="004070CB" w:rsidP="004070CB">
      <w:pPr>
        <w:pStyle w:val="Caption"/>
      </w:pPr>
      <w:r>
        <w:lastRenderedPageBreak/>
        <w:t xml:space="preserve">Figure </w:t>
      </w:r>
      <w:r>
        <w:rPr>
          <w:noProof/>
        </w:rPr>
        <w:t>5</w:t>
      </w:r>
      <w:r w:rsidR="00563974">
        <w:rPr>
          <w:noProof/>
        </w:rPr>
        <w:t xml:space="preserve">: </w:t>
      </w:r>
      <w:r w:rsidR="00563974" w:rsidRPr="00E408CC">
        <w:t xml:space="preserve">Kaplan-Meier plot of OS for </w:t>
      </w:r>
      <w:proofErr w:type="spellStart"/>
      <w:r w:rsidR="00563974" w:rsidRPr="00E408CC">
        <w:t>olaparib</w:t>
      </w:r>
      <w:proofErr w:type="spellEnd"/>
      <w:r w:rsidR="00563974" w:rsidRPr="00E408CC">
        <w:t xml:space="preserve"> vs placebo in the SOLO1 study – FAS (DCO 17 May 2018)</w:t>
      </w:r>
      <w:r w:rsidR="00563974">
        <w:t xml:space="preserve"> </w:t>
      </w:r>
    </w:p>
    <w:p w:rsidR="00B12A8C" w:rsidRPr="00DC08B0" w:rsidRDefault="00B12A8C" w:rsidP="00563974">
      <w:r w:rsidRPr="00DC08B0">
        <w:rPr>
          <w:noProof/>
          <w:lang w:eastAsia="en-AU"/>
        </w:rPr>
        <mc:AlternateContent>
          <mc:Choice Requires="wpg">
            <w:drawing>
              <wp:inline distT="0" distB="0" distL="0" distR="0" wp14:anchorId="75E8440A" wp14:editId="2DC2E35C">
                <wp:extent cx="5731510" cy="3345017"/>
                <wp:effectExtent l="0" t="0" r="2540" b="8255"/>
                <wp:docPr id="1" name="Group 1" descr="Figure 5: Kaplan-Meier plot of OS for olaparib vs placebo in the SOLO1 study – FAS (DCO 17 May 2018) " title="Figure 5: Kaplan-Meier plot of OS for olaparib vs placebo in the SOLO1 study – FAS (DCO 17 May 2018) "/>
                <wp:cNvGraphicFramePr/>
                <a:graphic xmlns:a="http://schemas.openxmlformats.org/drawingml/2006/main">
                  <a:graphicData uri="http://schemas.microsoft.com/office/word/2010/wordprocessingGroup">
                    <wpg:wgp>
                      <wpg:cNvGrpSpPr/>
                      <wpg:grpSpPr>
                        <a:xfrm>
                          <a:off x="0" y="0"/>
                          <a:ext cx="5731510" cy="3345017"/>
                          <a:chOff x="0" y="0"/>
                          <a:chExt cx="5745158" cy="3353151"/>
                        </a:xfrm>
                      </wpg:grpSpPr>
                      <pic:pic xmlns:pic="http://schemas.openxmlformats.org/drawingml/2006/picture">
                        <pic:nvPicPr>
                          <pic:cNvPr id="9" name="Picture 9" title="Figure 5: Kaplan-Meier plot of OS for olaparib vs placebo in the SOLO1 study – FAS (DCO 17 May 2018) "/>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2647666"/>
                            <a:ext cx="5730875" cy="705485"/>
                          </a:xfrm>
                          <a:prstGeom prst="rect">
                            <a:avLst/>
                          </a:prstGeom>
                        </pic:spPr>
                      </pic:pic>
                      <pic:pic xmlns:pic="http://schemas.openxmlformats.org/drawingml/2006/picture">
                        <pic:nvPicPr>
                          <pic:cNvPr id="15" name="Picture 15" title="Figure 5: Kaplan-Meier plot of OS for olaparib vs placebo in the SOLO1 study – FAS (DCO 17 May 2018) "/>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648" y="0"/>
                            <a:ext cx="5731510" cy="2646045"/>
                          </a:xfrm>
                          <a:prstGeom prst="rect">
                            <a:avLst/>
                          </a:prstGeom>
                        </pic:spPr>
                      </pic:pic>
                    </wpg:wgp>
                  </a:graphicData>
                </a:graphic>
              </wp:inline>
            </w:drawing>
          </mc:Choice>
          <mc:Fallback>
            <w:pict>
              <v:group w14:anchorId="3E0C262D" id="Group 1" o:spid="_x0000_s1026" alt="Title: Figure 5: Kaplan-Meier plot of OS for olaparib vs placebo in the SOLO1 study – FAS (DCO 17 May 2018)  - Description: Figure 5: Kaplan-Meier plot of OS for olaparib vs placebo in the SOLO1 study – FAS (DCO 17 May 2018) " style="width:451.3pt;height:263.4pt;mso-position-horizontal-relative:char;mso-position-vertical-relative:line" coordsize="57451,33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26476;width:57308;height:7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">
                  <v:imagedata r:id="rId20" o:title=""/>
                  <v:path arrowok="t"/>
                </v:shape>
                <v:shape id="Picture 15" o:spid="_x0000_s1028" type="#_x0000_t75" style="position:absolute;left:136;width:57315;height:26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">
                  <v:imagedata r:id="rId21" o:title=""/>
                  <v:path arrowok="t"/>
                </v:shape>
                <w10:anchorlock/>
              </v:group>
            </w:pict>
          </mc:Fallback>
        </mc:AlternateContent>
      </w:r>
    </w:p>
    <w:p w:rsidR="00F377F6" w:rsidRPr="00DC08B0" w:rsidRDefault="00F377F6" w:rsidP="00563974">
      <w:pPr>
        <w:pStyle w:val="TableFooter"/>
        <w:widowControl/>
      </w:pPr>
      <w:r w:rsidRPr="00DC08B0">
        <w:t>DCO = data cut-</w:t>
      </w:r>
      <w:r>
        <w:t>off; FAS = full analysis set; O</w:t>
      </w:r>
      <w:r w:rsidRPr="00DC08B0">
        <w:t xml:space="preserve">S = </w:t>
      </w:r>
      <w:r>
        <w:t>overall survival</w:t>
      </w:r>
    </w:p>
    <w:p w:rsidR="00B12A8C" w:rsidRPr="00DC08B0" w:rsidRDefault="00B12A8C" w:rsidP="00563974">
      <w:pPr>
        <w:pStyle w:val="TableFooter"/>
        <w:widowControl/>
      </w:pPr>
      <w:r w:rsidRPr="00DC08B0">
        <w:t xml:space="preserve">Source: Figure 2-13, p108, </w:t>
      </w:r>
      <w:r w:rsidR="00F377F6">
        <w:t>of the submission.</w:t>
      </w:r>
    </w:p>
    <w:p w:rsidR="00B12A8C" w:rsidRPr="00DC08B0" w:rsidRDefault="00B12A8C" w:rsidP="00563974">
      <w:pPr>
        <w:pStyle w:val="ListParagraph"/>
        <w:numPr>
          <w:ilvl w:val="4"/>
          <w:numId w:val="1"/>
        </w:numPr>
        <w:rPr>
          <w:color w:val="auto"/>
        </w:rPr>
      </w:pPr>
      <w:r w:rsidRPr="00DC08B0">
        <w:rPr>
          <w:color w:val="auto"/>
        </w:rPr>
        <w:t>The overall survival data observed in the SOLO1 trial may not reflect the expected overall survival in the Australian setting because:</w:t>
      </w:r>
    </w:p>
    <w:p w:rsidR="00B12A8C" w:rsidRPr="00DC08B0" w:rsidRDefault="00B12A8C" w:rsidP="00563974">
      <w:pPr>
        <w:pStyle w:val="MainBodyBulletPoint"/>
        <w:jc w:val="both"/>
      </w:pPr>
      <w:r w:rsidRPr="00DC08B0">
        <w:t>The extent and circumstances of use of PARP inhibitors following progression in the placebo arm may not reflect Australian clinical practice. Approximately 50% of patients who had progressed in the placebo arm received a PARP inhibitor at some point following progression</w:t>
      </w:r>
      <w:r w:rsidR="0011390D">
        <w:t xml:space="preserve"> (37% of the </w:t>
      </w:r>
      <w:r w:rsidR="00A94448">
        <w:t xml:space="preserve">full </w:t>
      </w:r>
      <w:r w:rsidR="0011390D">
        <w:t>ITT placebo population)</w:t>
      </w:r>
      <w:r w:rsidR="008F5586">
        <w:t xml:space="preserve">. </w:t>
      </w:r>
      <w:r w:rsidR="009D1A11">
        <w:t xml:space="preserve">The submission </w:t>
      </w:r>
      <w:r w:rsidR="0011390D">
        <w:t>estimated that</w:t>
      </w:r>
      <w:r w:rsidR="009D1A11">
        <w:t xml:space="preserve"> </w:t>
      </w:r>
      <w:r w:rsidR="00CF0C1B">
        <w:t>40</w:t>
      </w:r>
      <w:r w:rsidR="009D1A11">
        <w:t>% of patients</w:t>
      </w:r>
      <w:r w:rsidR="00CF0C1B">
        <w:t xml:space="preserve"> would be </w:t>
      </w:r>
      <w:r w:rsidR="00240830">
        <w:t>likely to undergo</w:t>
      </w:r>
      <w:r w:rsidR="00CF0C1B">
        <w:t xml:space="preserve"> treatment with a PARP inhibitor as </w:t>
      </w:r>
      <w:r w:rsidR="00240830">
        <w:t>second-</w:t>
      </w:r>
      <w:r w:rsidR="00CF0C1B">
        <w:t xml:space="preserve">line maintenance in current clinical practice. </w:t>
      </w:r>
      <w:r w:rsidR="0011390D">
        <w:t>The pre-PBAC response claimed that this was consistent</w:t>
      </w:r>
      <w:r w:rsidR="00067D2A">
        <w:t xml:space="preserve"> with a recent analysis of second-line PARP inhibitor use (</w:t>
      </w:r>
      <w:proofErr w:type="spellStart"/>
      <w:r w:rsidR="00067D2A">
        <w:t>Poveda</w:t>
      </w:r>
      <w:proofErr w:type="spellEnd"/>
      <w:r w:rsidR="00067D2A">
        <w:t xml:space="preserve"> 2019, poster). </w:t>
      </w:r>
    </w:p>
    <w:p w:rsidR="00B12A8C" w:rsidRPr="00DC08B0" w:rsidRDefault="00B12A8C" w:rsidP="00563974">
      <w:pPr>
        <w:pStyle w:val="MainBodyBulletPoint"/>
        <w:jc w:val="both"/>
      </w:pPr>
      <w:r w:rsidRPr="00B20E20">
        <w:t xml:space="preserve">PARP inhibitors were used in 20% of patients who had progressed in the </w:t>
      </w:r>
      <w:proofErr w:type="spellStart"/>
      <w:r w:rsidRPr="00B20E20">
        <w:t>olaparib</w:t>
      </w:r>
      <w:proofErr w:type="spellEnd"/>
      <w:r w:rsidRPr="00B20E20">
        <w:t xml:space="preserve"> arm. Sequential use of PARP inhibitors would not be subsidised according to the PBS restriction for </w:t>
      </w:r>
      <w:r w:rsidR="0047579B" w:rsidRPr="00B20E20">
        <w:t>second-line</w:t>
      </w:r>
      <w:r w:rsidRPr="00B20E20">
        <w:t xml:space="preserve"> maintenance </w:t>
      </w:r>
      <w:proofErr w:type="spellStart"/>
      <w:r w:rsidRPr="00B20E20">
        <w:t>olaparib</w:t>
      </w:r>
      <w:proofErr w:type="spellEnd"/>
      <w:r w:rsidRPr="00B20E20">
        <w:t xml:space="preserve">. Should sequential use of PARP inhibitors confer some benefit, overall survival in the </w:t>
      </w:r>
      <w:proofErr w:type="spellStart"/>
      <w:r w:rsidRPr="00B20E20">
        <w:t>olaparib</w:t>
      </w:r>
      <w:proofErr w:type="spellEnd"/>
      <w:r w:rsidRPr="00B20E20">
        <w:t xml:space="preserve"> arm may be higher in SOLO1 than in clinical practice</w:t>
      </w:r>
      <w:r w:rsidRPr="00DC08B0">
        <w:t xml:space="preserve">. </w:t>
      </w:r>
    </w:p>
    <w:p w:rsidR="004A63DB" w:rsidRPr="00CC4DC5" w:rsidRDefault="003719B4" w:rsidP="00563974">
      <w:pPr>
        <w:pStyle w:val="ListParagraph"/>
        <w:numPr>
          <w:ilvl w:val="4"/>
          <w:numId w:val="1"/>
        </w:numPr>
        <w:rPr>
          <w:color w:val="auto"/>
        </w:rPr>
      </w:pPr>
      <w:r w:rsidRPr="00CC4DC5">
        <w:rPr>
          <w:color w:val="auto"/>
        </w:rPr>
        <w:t>The ESC noted that the proportion of patients who receive subsequent PARP inhibitors following progression on first-line treatments in the Australian setting is unknown</w:t>
      </w:r>
      <w:r w:rsidR="00A90AA0">
        <w:rPr>
          <w:color w:val="auto"/>
        </w:rPr>
        <w:t>,</w:t>
      </w:r>
      <w:r w:rsidR="000A01F2" w:rsidRPr="00CC4DC5">
        <w:rPr>
          <w:color w:val="auto"/>
        </w:rPr>
        <w:t xml:space="preserve"> and considered that post-progression use of PARP inhibitors following </w:t>
      </w:r>
      <w:proofErr w:type="spellStart"/>
      <w:r w:rsidR="000A01F2" w:rsidRPr="00CC4DC5">
        <w:rPr>
          <w:color w:val="auto"/>
        </w:rPr>
        <w:t>olaparib</w:t>
      </w:r>
      <w:proofErr w:type="spellEnd"/>
      <w:r w:rsidR="000A01F2" w:rsidRPr="00CC4DC5">
        <w:rPr>
          <w:color w:val="auto"/>
        </w:rPr>
        <w:t xml:space="preserve"> treatment is unlikely to reflect clinical practice</w:t>
      </w:r>
      <w:r w:rsidRPr="00CC4DC5">
        <w:rPr>
          <w:color w:val="auto"/>
        </w:rPr>
        <w:t xml:space="preserve">. </w:t>
      </w:r>
    </w:p>
    <w:p w:rsidR="00B12A8C" w:rsidRPr="005B305D" w:rsidRDefault="00B12A8C" w:rsidP="00563974">
      <w:pPr>
        <w:pStyle w:val="ListParagraph"/>
        <w:numPr>
          <w:ilvl w:val="4"/>
          <w:numId w:val="1"/>
        </w:numPr>
        <w:rPr>
          <w:color w:val="auto"/>
        </w:rPr>
      </w:pPr>
      <w:r w:rsidRPr="00B20E20">
        <w:rPr>
          <w:color w:val="auto"/>
        </w:rPr>
        <w:lastRenderedPageBreak/>
        <w:t xml:space="preserve">The SOLO1 study reported no </w:t>
      </w:r>
      <w:r w:rsidR="00F377F6" w:rsidRPr="00B20E20">
        <w:rPr>
          <w:color w:val="auto"/>
        </w:rPr>
        <w:t xml:space="preserve">clinically relevant </w:t>
      </w:r>
      <w:r w:rsidRPr="00B20E20">
        <w:rPr>
          <w:color w:val="auto"/>
        </w:rPr>
        <w:t>difference in health related quality of life, as measured by the Trial Outcome Index (TOI) score, which is derived from a subset of questions from the Functional Assessment of Cancer Therapy – Ovarian (FACT-O) questionnaire</w:t>
      </w:r>
      <w:r w:rsidRPr="00DC08B0">
        <w:rPr>
          <w:color w:val="auto"/>
        </w:rPr>
        <w:t xml:space="preserve">. </w:t>
      </w:r>
      <w:r w:rsidRPr="005B305D">
        <w:rPr>
          <w:iCs/>
          <w:color w:val="auto"/>
        </w:rPr>
        <w:t xml:space="preserve">No responder analysis has been presented and it is unclear whether any patients, in either arm, experienced a clinically important reduction in TOI score throughout the study. Compliance rates were generally high, but may have been lower in the </w:t>
      </w:r>
      <w:proofErr w:type="spellStart"/>
      <w:r w:rsidRPr="005B305D">
        <w:rPr>
          <w:iCs/>
          <w:color w:val="auto"/>
        </w:rPr>
        <w:t>olaparib</w:t>
      </w:r>
      <w:proofErr w:type="spellEnd"/>
      <w:r w:rsidRPr="005B305D">
        <w:rPr>
          <w:iCs/>
          <w:color w:val="auto"/>
        </w:rPr>
        <w:t xml:space="preserve"> arm. Reasons for non-response were not provided.</w:t>
      </w:r>
    </w:p>
    <w:p w:rsidR="00B12A8C" w:rsidRPr="00DC08B0" w:rsidRDefault="00B12A8C" w:rsidP="00563974">
      <w:pPr>
        <w:pStyle w:val="ListParagraph"/>
        <w:numPr>
          <w:ilvl w:val="4"/>
          <w:numId w:val="1"/>
        </w:numPr>
        <w:rPr>
          <w:color w:val="auto"/>
        </w:rPr>
      </w:pPr>
      <w:r w:rsidRPr="00B20E20">
        <w:rPr>
          <w:color w:val="auto"/>
        </w:rPr>
        <w:t xml:space="preserve">The SOLO1 study included only 2 patients with </w:t>
      </w:r>
      <w:proofErr w:type="spellStart"/>
      <w:r w:rsidRPr="00B20E20">
        <w:rPr>
          <w:color w:val="auto"/>
        </w:rPr>
        <w:t>s</w:t>
      </w:r>
      <w:r w:rsidRPr="00B20E20">
        <w:rPr>
          <w:i/>
          <w:color w:val="auto"/>
        </w:rPr>
        <w:t>BRCA</w:t>
      </w:r>
      <w:r w:rsidR="00122D91" w:rsidRPr="00B20E20">
        <w:rPr>
          <w:color w:val="auto"/>
        </w:rPr>
        <w:t>m</w:t>
      </w:r>
      <w:proofErr w:type="spellEnd"/>
      <w:r w:rsidRPr="00DC08B0">
        <w:rPr>
          <w:color w:val="auto"/>
        </w:rPr>
        <w:t xml:space="preserve">. </w:t>
      </w:r>
      <w:r w:rsidR="007415A6">
        <w:rPr>
          <w:color w:val="auto"/>
        </w:rPr>
        <w:t>As</w:t>
      </w:r>
      <w:r w:rsidR="007415A6" w:rsidRPr="00DC08B0">
        <w:rPr>
          <w:color w:val="auto"/>
        </w:rPr>
        <w:t xml:space="preserve"> </w:t>
      </w:r>
      <w:r w:rsidRPr="00DC08B0">
        <w:rPr>
          <w:color w:val="auto"/>
        </w:rPr>
        <w:t xml:space="preserve">the comparative treatment effect of </w:t>
      </w:r>
      <w:proofErr w:type="spellStart"/>
      <w:r w:rsidRPr="00DC08B0">
        <w:rPr>
          <w:color w:val="auto"/>
        </w:rPr>
        <w:t>olaparib</w:t>
      </w:r>
      <w:proofErr w:type="spellEnd"/>
      <w:r w:rsidRPr="00DC08B0">
        <w:rPr>
          <w:color w:val="auto"/>
        </w:rPr>
        <w:t xml:space="preserve"> vs placebo in patients with </w:t>
      </w:r>
      <w:proofErr w:type="spellStart"/>
      <w:r w:rsidRPr="00DC08B0">
        <w:rPr>
          <w:color w:val="auto"/>
        </w:rPr>
        <w:t>s</w:t>
      </w:r>
      <w:r w:rsidRPr="00122D91">
        <w:rPr>
          <w:i/>
          <w:color w:val="auto"/>
        </w:rPr>
        <w:t>BRCA</w:t>
      </w:r>
      <w:r w:rsidR="00122D91">
        <w:rPr>
          <w:color w:val="auto"/>
        </w:rPr>
        <w:t>m</w:t>
      </w:r>
      <w:proofErr w:type="spellEnd"/>
      <w:r w:rsidR="00122D91">
        <w:rPr>
          <w:color w:val="auto"/>
        </w:rPr>
        <w:t xml:space="preserve"> </w:t>
      </w:r>
      <w:r w:rsidRPr="00DC08B0">
        <w:rPr>
          <w:color w:val="auto"/>
        </w:rPr>
        <w:t xml:space="preserve">tumours cannot be determined from the SOLO1 study, the submission has presented the treatment effect of PARP inhibitors vs placebo in the </w:t>
      </w:r>
      <w:r w:rsidR="00122D91">
        <w:rPr>
          <w:color w:val="auto"/>
        </w:rPr>
        <w:t>second-line</w:t>
      </w:r>
      <w:r w:rsidRPr="00DC08B0">
        <w:rPr>
          <w:color w:val="auto"/>
        </w:rPr>
        <w:t xml:space="preserve"> maintenance setting for patients who </w:t>
      </w:r>
      <w:r w:rsidR="007415A6">
        <w:rPr>
          <w:color w:val="auto"/>
        </w:rPr>
        <w:t>have</w:t>
      </w:r>
      <w:r w:rsidR="007415A6" w:rsidRPr="00DC08B0">
        <w:rPr>
          <w:color w:val="auto"/>
        </w:rPr>
        <w:t xml:space="preserve"> </w:t>
      </w:r>
      <w:proofErr w:type="spellStart"/>
      <w:r w:rsidRPr="00DC08B0">
        <w:rPr>
          <w:color w:val="auto"/>
        </w:rPr>
        <w:t>g</w:t>
      </w:r>
      <w:r w:rsidRPr="00122D91">
        <w:rPr>
          <w:i/>
          <w:color w:val="auto"/>
        </w:rPr>
        <w:t>BRCA</w:t>
      </w:r>
      <w:r w:rsidR="00122D91">
        <w:rPr>
          <w:color w:val="auto"/>
        </w:rPr>
        <w:t>m</w:t>
      </w:r>
      <w:proofErr w:type="spellEnd"/>
      <w:r w:rsidRPr="00DC08B0">
        <w:rPr>
          <w:color w:val="auto"/>
        </w:rPr>
        <w:t xml:space="preserve"> and compared them with patients who </w:t>
      </w:r>
      <w:r w:rsidR="007415A6">
        <w:rPr>
          <w:color w:val="auto"/>
        </w:rPr>
        <w:t>have</w:t>
      </w:r>
      <w:r w:rsidR="007415A6" w:rsidRPr="00DC08B0">
        <w:rPr>
          <w:color w:val="auto"/>
        </w:rPr>
        <w:t xml:space="preserve"> </w:t>
      </w:r>
      <w:proofErr w:type="spellStart"/>
      <w:r w:rsidRPr="00DC08B0">
        <w:rPr>
          <w:color w:val="auto"/>
        </w:rPr>
        <w:t>s</w:t>
      </w:r>
      <w:r w:rsidRPr="00122D91">
        <w:rPr>
          <w:i/>
          <w:color w:val="auto"/>
        </w:rPr>
        <w:t>BRCA</w:t>
      </w:r>
      <w:r w:rsidRPr="00DC08B0">
        <w:rPr>
          <w:color w:val="auto"/>
        </w:rPr>
        <w:t>m</w:t>
      </w:r>
      <w:proofErr w:type="spellEnd"/>
      <w:r w:rsidRPr="00DC08B0">
        <w:rPr>
          <w:color w:val="auto"/>
        </w:rPr>
        <w:t>.</w:t>
      </w:r>
    </w:p>
    <w:p w:rsidR="00B12A8C" w:rsidRPr="00DC08B0" w:rsidRDefault="00B12A8C" w:rsidP="00563974">
      <w:pPr>
        <w:pStyle w:val="ListParagraph"/>
        <w:numPr>
          <w:ilvl w:val="4"/>
          <w:numId w:val="1"/>
        </w:numPr>
        <w:rPr>
          <w:color w:val="auto"/>
        </w:rPr>
      </w:pPr>
      <w:r w:rsidRPr="00B20E20">
        <w:rPr>
          <w:color w:val="auto"/>
        </w:rPr>
        <w:t xml:space="preserve">The pooled analysis of four studies (ARIEL3, NOVA, SOLO2 and Study 19) for PFS resulted in a hazard ratio of 0.27 (95% CI 0.22, 0.33) for PARP inhibitors versus placebo in patients with </w:t>
      </w:r>
      <w:proofErr w:type="spellStart"/>
      <w:r w:rsidRPr="00B20E20">
        <w:rPr>
          <w:bCs/>
          <w:color w:val="auto"/>
        </w:rPr>
        <w:t>g</w:t>
      </w:r>
      <w:r w:rsidRPr="00B20E20">
        <w:rPr>
          <w:bCs/>
          <w:i/>
          <w:color w:val="auto"/>
        </w:rPr>
        <w:t>BRCA</w:t>
      </w:r>
      <w:r w:rsidRPr="00B20E20">
        <w:rPr>
          <w:color w:val="auto"/>
        </w:rPr>
        <w:t>m</w:t>
      </w:r>
      <w:proofErr w:type="spellEnd"/>
      <w:r w:rsidRPr="00B20E20">
        <w:rPr>
          <w:color w:val="auto"/>
        </w:rPr>
        <w:t xml:space="preserve">. In a second pooled analysis </w:t>
      </w:r>
      <w:r w:rsidR="00B73294" w:rsidRPr="00B20E20">
        <w:rPr>
          <w:color w:val="auto"/>
        </w:rPr>
        <w:t xml:space="preserve">including </w:t>
      </w:r>
      <w:r w:rsidRPr="00B20E20">
        <w:rPr>
          <w:color w:val="auto"/>
        </w:rPr>
        <w:t xml:space="preserve">3 of the same studies (ARIEL3, NOVA and Study 19), the hazard ratio was 0.24 (95% CI 0.13, 0.46) for PARP inhibitors versus placebo in patients with </w:t>
      </w:r>
      <w:proofErr w:type="spellStart"/>
      <w:r w:rsidRPr="00B20E20">
        <w:rPr>
          <w:bCs/>
          <w:color w:val="auto"/>
        </w:rPr>
        <w:t>s</w:t>
      </w:r>
      <w:r w:rsidRPr="00B20E20">
        <w:rPr>
          <w:bCs/>
          <w:i/>
          <w:color w:val="auto"/>
        </w:rPr>
        <w:t>BRCA</w:t>
      </w:r>
      <w:r w:rsidRPr="00B20E20">
        <w:rPr>
          <w:color w:val="auto"/>
        </w:rPr>
        <w:t>m</w:t>
      </w:r>
      <w:proofErr w:type="spellEnd"/>
      <w:r w:rsidRPr="00DC08B0">
        <w:rPr>
          <w:color w:val="auto"/>
        </w:rPr>
        <w:t>.</w:t>
      </w:r>
    </w:p>
    <w:p w:rsidR="00B12A8C" w:rsidRPr="00DC08B0" w:rsidRDefault="00B12A8C" w:rsidP="00563974">
      <w:pPr>
        <w:pStyle w:val="ListParagraph"/>
        <w:numPr>
          <w:ilvl w:val="4"/>
          <w:numId w:val="1"/>
        </w:numPr>
        <w:rPr>
          <w:color w:val="auto"/>
        </w:rPr>
      </w:pPr>
      <w:r w:rsidRPr="00B20E20">
        <w:rPr>
          <w:color w:val="auto"/>
        </w:rPr>
        <w:t xml:space="preserve">Despite the key trial in the </w:t>
      </w:r>
      <w:r w:rsidR="00122D91" w:rsidRPr="00B20E20">
        <w:rPr>
          <w:color w:val="auto"/>
        </w:rPr>
        <w:t>first-</w:t>
      </w:r>
      <w:r w:rsidRPr="00B20E20">
        <w:rPr>
          <w:color w:val="auto"/>
        </w:rPr>
        <w:t xml:space="preserve">line maintenance setting (SOLO1) </w:t>
      </w:r>
      <w:r w:rsidR="00B73294" w:rsidRPr="00B20E20">
        <w:rPr>
          <w:color w:val="auto"/>
        </w:rPr>
        <w:t xml:space="preserve">including </w:t>
      </w:r>
      <w:r w:rsidR="00122D91" w:rsidRPr="00B20E20">
        <w:rPr>
          <w:color w:val="auto"/>
        </w:rPr>
        <w:t xml:space="preserve">only 2 patients with </w:t>
      </w:r>
      <w:proofErr w:type="spellStart"/>
      <w:r w:rsidR="00122D91" w:rsidRPr="00B20E20">
        <w:rPr>
          <w:color w:val="auto"/>
        </w:rPr>
        <w:t>s</w:t>
      </w:r>
      <w:r w:rsidRPr="00B20E20">
        <w:rPr>
          <w:i/>
          <w:color w:val="auto"/>
        </w:rPr>
        <w:t>BRCA</w:t>
      </w:r>
      <w:r w:rsidRPr="00B20E20">
        <w:rPr>
          <w:color w:val="auto"/>
        </w:rPr>
        <w:t>m</w:t>
      </w:r>
      <w:proofErr w:type="spellEnd"/>
      <w:r w:rsidRPr="00B20E20">
        <w:rPr>
          <w:color w:val="auto"/>
        </w:rPr>
        <w:t xml:space="preserve">, the TGA, FDA and EMA have approved registration of </w:t>
      </w:r>
      <w:proofErr w:type="spellStart"/>
      <w:r w:rsidRPr="00B20E20">
        <w:rPr>
          <w:color w:val="auto"/>
        </w:rPr>
        <w:t>olaparib</w:t>
      </w:r>
      <w:proofErr w:type="spellEnd"/>
      <w:r w:rsidRPr="00B20E20">
        <w:rPr>
          <w:color w:val="auto"/>
        </w:rPr>
        <w:t xml:space="preserve"> for the proposed indication for both germline and somatic </w:t>
      </w:r>
      <w:proofErr w:type="spellStart"/>
      <w:r w:rsidRPr="00B20E20">
        <w:rPr>
          <w:i/>
          <w:color w:val="auto"/>
        </w:rPr>
        <w:t>BRCA</w:t>
      </w:r>
      <w:r w:rsidRPr="00B20E20">
        <w:rPr>
          <w:color w:val="auto"/>
        </w:rPr>
        <w:t>m</w:t>
      </w:r>
      <w:proofErr w:type="spellEnd"/>
      <w:r w:rsidRPr="00DC08B0">
        <w:rPr>
          <w:color w:val="auto"/>
        </w:rPr>
        <w:t>. The TGA delegate’s summary noted the deficiency of patients with somatic mutations in SOLO1 and reasoned that:</w:t>
      </w:r>
    </w:p>
    <w:p w:rsidR="00B12A8C" w:rsidRDefault="00B12A8C" w:rsidP="00563974">
      <w:pPr>
        <w:pStyle w:val="ListParagraph"/>
        <w:numPr>
          <w:ilvl w:val="0"/>
          <w:numId w:val="0"/>
        </w:numPr>
        <w:ind w:left="720"/>
        <w:rPr>
          <w:color w:val="auto"/>
        </w:rPr>
      </w:pPr>
      <w:r w:rsidRPr="00DC08B0">
        <w:rPr>
          <w:color w:val="auto"/>
        </w:rPr>
        <w:t xml:space="preserve">“…based on the similar disease process in germline and somatic </w:t>
      </w:r>
      <w:r w:rsidRPr="0047579B">
        <w:rPr>
          <w:i/>
          <w:color w:val="auto"/>
        </w:rPr>
        <w:t>BRCA</w:t>
      </w:r>
      <w:r w:rsidRPr="00DC08B0">
        <w:rPr>
          <w:color w:val="auto"/>
        </w:rPr>
        <w:t xml:space="preserve">-mutated ovarian cancer, the scientific rationale for similar responsiveness to </w:t>
      </w:r>
      <w:proofErr w:type="spellStart"/>
      <w:r w:rsidRPr="00DC08B0">
        <w:rPr>
          <w:color w:val="auto"/>
        </w:rPr>
        <w:t>PARPi</w:t>
      </w:r>
      <w:proofErr w:type="spellEnd"/>
      <w:r w:rsidRPr="00DC08B0">
        <w:rPr>
          <w:color w:val="auto"/>
        </w:rPr>
        <w:t xml:space="preserve"> and evidence from clinical studies[…] showing similar responsiveness to </w:t>
      </w:r>
      <w:proofErr w:type="spellStart"/>
      <w:r w:rsidRPr="00DC08B0">
        <w:rPr>
          <w:color w:val="auto"/>
        </w:rPr>
        <w:t>PARPi</w:t>
      </w:r>
      <w:proofErr w:type="spellEnd"/>
      <w:r w:rsidRPr="00DC08B0">
        <w:rPr>
          <w:color w:val="auto"/>
        </w:rPr>
        <w:t xml:space="preserve"> in patients with germline and somatic mutations in other lines of therapy, it is considered acceptable for the indication to include patients with germline or somatic </w:t>
      </w:r>
      <w:r w:rsidRPr="0047579B">
        <w:rPr>
          <w:i/>
          <w:color w:val="auto"/>
        </w:rPr>
        <w:t>BRCA</w:t>
      </w:r>
      <w:r w:rsidRPr="00DC08B0">
        <w:rPr>
          <w:color w:val="auto"/>
        </w:rPr>
        <w:t xml:space="preserve"> mutations.”</w:t>
      </w:r>
    </w:p>
    <w:p w:rsidR="00514E74" w:rsidRPr="00CC4DC5" w:rsidRDefault="00996302" w:rsidP="00563974">
      <w:pPr>
        <w:pStyle w:val="ListParagraph"/>
        <w:numPr>
          <w:ilvl w:val="4"/>
          <w:numId w:val="1"/>
        </w:numPr>
        <w:rPr>
          <w:color w:val="auto"/>
        </w:rPr>
      </w:pPr>
      <w:r w:rsidRPr="00CC4DC5">
        <w:rPr>
          <w:color w:val="auto"/>
        </w:rPr>
        <w:t xml:space="preserve">The ESC agreed with the commentary that the </w:t>
      </w:r>
      <w:r w:rsidR="002B5376" w:rsidRPr="00CC4DC5">
        <w:rPr>
          <w:color w:val="auto"/>
        </w:rPr>
        <w:t xml:space="preserve">efficacy of </w:t>
      </w:r>
      <w:proofErr w:type="spellStart"/>
      <w:r w:rsidR="002B5376" w:rsidRPr="00CC4DC5">
        <w:rPr>
          <w:color w:val="auto"/>
        </w:rPr>
        <w:t>olaparib</w:t>
      </w:r>
      <w:proofErr w:type="spellEnd"/>
      <w:r w:rsidR="002B5376" w:rsidRPr="00CC4DC5">
        <w:rPr>
          <w:color w:val="auto"/>
        </w:rPr>
        <w:t xml:space="preserve"> for patients with </w:t>
      </w:r>
      <w:proofErr w:type="spellStart"/>
      <w:r w:rsidR="002B5376" w:rsidRPr="00CC4DC5">
        <w:rPr>
          <w:color w:val="auto"/>
        </w:rPr>
        <w:t>sBRCAm</w:t>
      </w:r>
      <w:proofErr w:type="spellEnd"/>
      <w:r w:rsidR="002B5376" w:rsidRPr="00CC4DC5">
        <w:rPr>
          <w:color w:val="auto"/>
        </w:rPr>
        <w:t xml:space="preserve"> in the absence of </w:t>
      </w:r>
      <w:proofErr w:type="spellStart"/>
      <w:r w:rsidR="002B5376" w:rsidRPr="00CC4DC5">
        <w:rPr>
          <w:color w:val="auto"/>
        </w:rPr>
        <w:t>gBRCAm</w:t>
      </w:r>
      <w:proofErr w:type="spellEnd"/>
      <w:r w:rsidR="002B5376" w:rsidRPr="00CC4DC5">
        <w:rPr>
          <w:color w:val="auto"/>
        </w:rPr>
        <w:t xml:space="preserve"> was moderately uncertain, given that this population was not included in the key comparative study.</w:t>
      </w:r>
      <w:r w:rsidRPr="00CC4DC5">
        <w:rPr>
          <w:color w:val="auto"/>
        </w:rPr>
        <w:t xml:space="preserve"> </w:t>
      </w:r>
    </w:p>
    <w:p w:rsidR="00B12A8C" w:rsidRPr="00CC4DC5" w:rsidRDefault="00B12A8C" w:rsidP="00563974">
      <w:pPr>
        <w:pStyle w:val="ListParagraph"/>
        <w:numPr>
          <w:ilvl w:val="4"/>
          <w:numId w:val="1"/>
        </w:numPr>
        <w:spacing w:after="0"/>
        <w:rPr>
          <w:color w:val="auto"/>
        </w:rPr>
      </w:pPr>
      <w:r w:rsidRPr="004F7915">
        <w:rPr>
          <w:color w:val="auto"/>
        </w:rPr>
        <w:t xml:space="preserve">The SOLO1 study does not contain </w:t>
      </w:r>
      <w:proofErr w:type="spellStart"/>
      <w:r w:rsidR="0047579B" w:rsidRPr="004F7915">
        <w:rPr>
          <w:i/>
          <w:color w:val="auto"/>
        </w:rPr>
        <w:t>BRCA</w:t>
      </w:r>
      <w:r w:rsidR="0047579B" w:rsidRPr="004F7915">
        <w:rPr>
          <w:color w:val="auto"/>
        </w:rPr>
        <w:t>wt</w:t>
      </w:r>
      <w:proofErr w:type="spellEnd"/>
      <w:r w:rsidR="0047579B" w:rsidRPr="004F7915">
        <w:rPr>
          <w:color w:val="auto"/>
        </w:rPr>
        <w:t xml:space="preserve"> </w:t>
      </w:r>
      <w:r w:rsidRPr="004F7915">
        <w:rPr>
          <w:color w:val="auto"/>
        </w:rPr>
        <w:t>patients</w:t>
      </w:r>
      <w:r w:rsidRPr="00DC08B0">
        <w:rPr>
          <w:color w:val="auto"/>
        </w:rPr>
        <w:t xml:space="preserve">. Therefore, a treatment effect variation (different treatment effects of </w:t>
      </w:r>
      <w:proofErr w:type="spellStart"/>
      <w:r w:rsidRPr="00DC08B0">
        <w:rPr>
          <w:color w:val="auto"/>
        </w:rPr>
        <w:t>olaparib</w:t>
      </w:r>
      <w:proofErr w:type="spellEnd"/>
      <w:r w:rsidRPr="00DC08B0">
        <w:rPr>
          <w:color w:val="auto"/>
        </w:rPr>
        <w:t xml:space="preserve"> by </w:t>
      </w:r>
      <w:proofErr w:type="spellStart"/>
      <w:r w:rsidRPr="0047579B">
        <w:rPr>
          <w:i/>
          <w:color w:val="auto"/>
        </w:rPr>
        <w:t>BRCA</w:t>
      </w:r>
      <w:r w:rsidRPr="00DC08B0">
        <w:rPr>
          <w:color w:val="auto"/>
        </w:rPr>
        <w:t>m</w:t>
      </w:r>
      <w:proofErr w:type="spellEnd"/>
      <w:r w:rsidRPr="00DC08B0">
        <w:rPr>
          <w:color w:val="auto"/>
        </w:rPr>
        <w:t xml:space="preserve"> status) cannot be derived from SOLO1. </w:t>
      </w:r>
      <w:r w:rsidRPr="005B305D">
        <w:rPr>
          <w:iCs/>
          <w:color w:val="auto"/>
        </w:rPr>
        <w:t xml:space="preserve">The clinical utility of either germline or tumour </w:t>
      </w:r>
      <w:proofErr w:type="spellStart"/>
      <w:r w:rsidRPr="005B305D">
        <w:rPr>
          <w:iCs/>
          <w:color w:val="auto"/>
        </w:rPr>
        <w:t>BRCA</w:t>
      </w:r>
      <w:r w:rsidR="0047579B" w:rsidRPr="005B305D">
        <w:rPr>
          <w:iCs/>
          <w:color w:val="auto"/>
        </w:rPr>
        <w:t>m</w:t>
      </w:r>
      <w:proofErr w:type="spellEnd"/>
      <w:r w:rsidRPr="005B305D">
        <w:rPr>
          <w:iCs/>
          <w:color w:val="auto"/>
        </w:rPr>
        <w:t xml:space="preserve"> testing in the first</w:t>
      </w:r>
      <w:r w:rsidR="0047579B" w:rsidRPr="005B305D">
        <w:rPr>
          <w:iCs/>
          <w:color w:val="auto"/>
        </w:rPr>
        <w:t>-</w:t>
      </w:r>
      <w:r w:rsidRPr="005B305D">
        <w:rPr>
          <w:iCs/>
          <w:color w:val="auto"/>
        </w:rPr>
        <w:t xml:space="preserve">line setting remains unknown, however, it may be reasonable to leverage evidence from the </w:t>
      </w:r>
      <w:r w:rsidR="0047579B" w:rsidRPr="005B305D">
        <w:rPr>
          <w:iCs/>
          <w:color w:val="auto"/>
        </w:rPr>
        <w:t>second-line</w:t>
      </w:r>
      <w:r w:rsidRPr="005B305D">
        <w:rPr>
          <w:iCs/>
          <w:color w:val="auto"/>
        </w:rPr>
        <w:t xml:space="preserve"> maintenance setting.</w:t>
      </w:r>
      <w:r w:rsidRPr="005B305D">
        <w:rPr>
          <w:color w:val="auto"/>
        </w:rPr>
        <w:t xml:space="preserve"> </w:t>
      </w:r>
      <w:r w:rsidRPr="005B305D">
        <w:rPr>
          <w:iCs/>
          <w:color w:val="auto"/>
        </w:rPr>
        <w:t xml:space="preserve">A statistical test for treatment effect variation </w:t>
      </w:r>
      <w:r w:rsidR="008F5586">
        <w:rPr>
          <w:iCs/>
          <w:color w:val="auto"/>
        </w:rPr>
        <w:t xml:space="preserve">by </w:t>
      </w:r>
      <w:proofErr w:type="spellStart"/>
      <w:r w:rsidR="008F5586" w:rsidRPr="008F5586">
        <w:rPr>
          <w:i/>
          <w:iCs/>
          <w:color w:val="auto"/>
        </w:rPr>
        <w:t>BRCA</w:t>
      </w:r>
      <w:r w:rsidR="008F5586">
        <w:rPr>
          <w:iCs/>
          <w:color w:val="auto"/>
        </w:rPr>
        <w:t>m</w:t>
      </w:r>
      <w:proofErr w:type="spellEnd"/>
      <w:r w:rsidR="008F5586">
        <w:rPr>
          <w:iCs/>
          <w:color w:val="auto"/>
        </w:rPr>
        <w:t xml:space="preserve"> status </w:t>
      </w:r>
      <w:r w:rsidRPr="005B305D">
        <w:rPr>
          <w:iCs/>
          <w:color w:val="auto"/>
        </w:rPr>
        <w:t xml:space="preserve">for PFS in the second-line setting was reported as significant (p=0.03) in the </w:t>
      </w:r>
      <w:proofErr w:type="spellStart"/>
      <w:r w:rsidRPr="005B305D">
        <w:rPr>
          <w:iCs/>
          <w:color w:val="auto"/>
        </w:rPr>
        <w:t>Olaparib</w:t>
      </w:r>
      <w:proofErr w:type="spellEnd"/>
      <w:r w:rsidRPr="005B305D">
        <w:rPr>
          <w:iCs/>
          <w:color w:val="auto"/>
        </w:rPr>
        <w:t xml:space="preserve"> PSD</w:t>
      </w:r>
      <w:r w:rsidR="007415A6">
        <w:rPr>
          <w:iCs/>
          <w:color w:val="auto"/>
        </w:rPr>
        <w:t>,</w:t>
      </w:r>
      <w:r w:rsidRPr="005B305D">
        <w:rPr>
          <w:iCs/>
          <w:color w:val="auto"/>
        </w:rPr>
        <w:t xml:space="preserve"> March 2016. </w:t>
      </w:r>
      <w:r w:rsidR="008F33C8" w:rsidRPr="00CC4DC5">
        <w:rPr>
          <w:iCs/>
          <w:color w:val="auto"/>
        </w:rPr>
        <w:t xml:space="preserve">The ESC </w:t>
      </w:r>
      <w:r w:rsidR="00E94EF2">
        <w:rPr>
          <w:iCs/>
          <w:color w:val="auto"/>
        </w:rPr>
        <w:t xml:space="preserve">also </w:t>
      </w:r>
      <w:r w:rsidR="008F33C8" w:rsidRPr="00CC4DC5">
        <w:rPr>
          <w:iCs/>
          <w:color w:val="auto"/>
        </w:rPr>
        <w:t xml:space="preserve">noted </w:t>
      </w:r>
      <w:r w:rsidR="00015193" w:rsidRPr="00CC4DC5">
        <w:rPr>
          <w:iCs/>
          <w:color w:val="auto"/>
        </w:rPr>
        <w:t xml:space="preserve">results of </w:t>
      </w:r>
      <w:r w:rsidR="00926194" w:rsidRPr="00CC4DC5">
        <w:rPr>
          <w:iCs/>
          <w:color w:val="auto"/>
        </w:rPr>
        <w:t xml:space="preserve">related clinical trials in the first-line setting suggest that PARP inhibitors are less </w:t>
      </w:r>
      <w:r w:rsidR="00926194" w:rsidRPr="00CC4DC5">
        <w:rPr>
          <w:iCs/>
          <w:color w:val="auto"/>
        </w:rPr>
        <w:lastRenderedPageBreak/>
        <w:t xml:space="preserve">effective for </w:t>
      </w:r>
      <w:proofErr w:type="spellStart"/>
      <w:r w:rsidR="00926194" w:rsidRPr="00CC4DC5">
        <w:rPr>
          <w:i/>
          <w:iCs/>
          <w:color w:val="auto"/>
        </w:rPr>
        <w:t>BRCA</w:t>
      </w:r>
      <w:r w:rsidR="00926194" w:rsidRPr="00CC4DC5">
        <w:rPr>
          <w:iCs/>
          <w:color w:val="auto"/>
        </w:rPr>
        <w:t>wt</w:t>
      </w:r>
      <w:proofErr w:type="spellEnd"/>
      <w:r w:rsidR="00926194" w:rsidRPr="00CC4DC5">
        <w:rPr>
          <w:iCs/>
          <w:color w:val="auto"/>
        </w:rPr>
        <w:t xml:space="preserve"> patients compared </w:t>
      </w:r>
      <w:r w:rsidR="00610B42">
        <w:rPr>
          <w:iCs/>
          <w:color w:val="auto"/>
        </w:rPr>
        <w:t xml:space="preserve">to </w:t>
      </w:r>
      <w:proofErr w:type="spellStart"/>
      <w:r w:rsidR="00610B42">
        <w:rPr>
          <w:iCs/>
          <w:color w:val="auto"/>
        </w:rPr>
        <w:t>BRCAm</w:t>
      </w:r>
      <w:proofErr w:type="spellEnd"/>
      <w:r w:rsidR="00610B42">
        <w:rPr>
          <w:iCs/>
          <w:color w:val="auto"/>
        </w:rPr>
        <w:t xml:space="preserve"> patients (refer paragraph</w:t>
      </w:r>
      <w:r w:rsidR="00926194" w:rsidRPr="00CC4DC5">
        <w:rPr>
          <w:iCs/>
          <w:color w:val="auto"/>
        </w:rPr>
        <w:t xml:space="preserve"> </w:t>
      </w:r>
      <w:r w:rsidR="00926194" w:rsidRPr="00A239E6">
        <w:rPr>
          <w:iCs/>
          <w:color w:val="auto"/>
        </w:rPr>
        <w:t>6.</w:t>
      </w:r>
      <w:r w:rsidR="00C26365" w:rsidRPr="00A239E6">
        <w:rPr>
          <w:iCs/>
          <w:color w:val="auto"/>
        </w:rPr>
        <w:t>13</w:t>
      </w:r>
      <w:r w:rsidR="00926194" w:rsidRPr="00CC4DC5">
        <w:rPr>
          <w:iCs/>
          <w:color w:val="auto"/>
        </w:rPr>
        <w:t xml:space="preserve"> above).</w:t>
      </w:r>
    </w:p>
    <w:p w:rsidR="00B12A8C" w:rsidRPr="009A0D5D" w:rsidRDefault="00B12A8C" w:rsidP="00563974">
      <w:pPr>
        <w:pStyle w:val="PBACESHeading2"/>
        <w:keepNext w:val="0"/>
      </w:pPr>
      <w:bookmarkStart w:id="16" w:name="_Toc18489978"/>
      <w:r w:rsidRPr="009A0D5D">
        <w:t>Comparative harms</w:t>
      </w:r>
      <w:bookmarkEnd w:id="16"/>
    </w:p>
    <w:p w:rsidR="00B12A8C" w:rsidRDefault="00B12A8C" w:rsidP="00563974">
      <w:pPr>
        <w:pStyle w:val="ListParagraph"/>
        <w:numPr>
          <w:ilvl w:val="4"/>
          <w:numId w:val="1"/>
        </w:numPr>
        <w:rPr>
          <w:color w:val="auto"/>
        </w:rPr>
      </w:pPr>
      <w:proofErr w:type="spellStart"/>
      <w:r w:rsidRPr="004F7915">
        <w:rPr>
          <w:color w:val="auto"/>
        </w:rPr>
        <w:t>Olaparib</w:t>
      </w:r>
      <w:proofErr w:type="spellEnd"/>
      <w:r w:rsidRPr="004F7915">
        <w:rPr>
          <w:color w:val="auto"/>
        </w:rPr>
        <w:t xml:space="preserve"> was associated with a greater number of gastrointestinal and blood related adverse events than placebo. Adverse events of grade 3 or greater severity were relatively uncommon, with the exception of anaemia, which occurred in 21.2% of patients receiving </w:t>
      </w:r>
      <w:proofErr w:type="spellStart"/>
      <w:r w:rsidRPr="004F7915">
        <w:rPr>
          <w:color w:val="auto"/>
        </w:rPr>
        <w:t>olaparib</w:t>
      </w:r>
      <w:proofErr w:type="spellEnd"/>
      <w:r w:rsidRPr="004F7915">
        <w:rPr>
          <w:color w:val="auto"/>
        </w:rPr>
        <w:t>, and 1.5% of patients receiving placebo</w:t>
      </w:r>
      <w:r w:rsidRPr="00DC08B0">
        <w:rPr>
          <w:color w:val="auto"/>
        </w:rPr>
        <w:t>.</w:t>
      </w:r>
      <w:r w:rsidR="00C42717">
        <w:rPr>
          <w:color w:val="auto"/>
        </w:rPr>
        <w:t xml:space="preserve"> </w:t>
      </w:r>
      <w:r w:rsidR="00C42717" w:rsidRPr="00CC4DC5">
        <w:rPr>
          <w:color w:val="auto"/>
        </w:rPr>
        <w:t>Anaemia uncommonly led to discontinuation, but was a common cause of dose interruption and dose reduction.</w:t>
      </w:r>
      <w:r w:rsidR="00315869" w:rsidRPr="00CC4DC5">
        <w:rPr>
          <w:color w:val="auto"/>
        </w:rPr>
        <w:t xml:space="preserve"> </w:t>
      </w:r>
    </w:p>
    <w:p w:rsidR="00AC547B" w:rsidRPr="00DC08B0" w:rsidRDefault="00563974" w:rsidP="00563974">
      <w:pPr>
        <w:pStyle w:val="Caption"/>
        <w:keepNext w:val="0"/>
        <w:ind w:left="1418" w:hanging="1418"/>
      </w:pPr>
      <w:r>
        <w:t xml:space="preserve">Table </w:t>
      </w:r>
      <w:r w:rsidR="00A75368">
        <w:rPr>
          <w:noProof/>
        </w:rPr>
        <w:t>7</w:t>
      </w:r>
      <w:r>
        <w:rPr>
          <w:noProof/>
        </w:rPr>
        <w:t xml:space="preserve">: </w:t>
      </w:r>
      <w:r w:rsidR="00AC547B" w:rsidRPr="00DC08B0">
        <w:t xml:space="preserve">Summary of </w:t>
      </w:r>
      <w:r w:rsidR="00AC547B">
        <w:t>adverse events</w:t>
      </w:r>
      <w:r w:rsidR="00AC547B" w:rsidRPr="00DC08B0">
        <w:t xml:space="preserve"> for </w:t>
      </w:r>
      <w:proofErr w:type="spellStart"/>
      <w:r w:rsidR="00AC547B" w:rsidRPr="00DC08B0">
        <w:t>olaparib</w:t>
      </w:r>
      <w:proofErr w:type="spellEnd"/>
      <w:r w:rsidR="00AC547B" w:rsidRPr="00DC08B0">
        <w:t xml:space="preserve"> and PBO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5"/>
        <w:gridCol w:w="1410"/>
        <w:gridCol w:w="1410"/>
        <w:gridCol w:w="1406"/>
        <w:gridCol w:w="1405"/>
      </w:tblGrid>
      <w:tr w:rsidR="00B12A8C" w:rsidRPr="00DC08B0" w:rsidTr="00005E7E">
        <w:trPr>
          <w:cantSplit/>
          <w:tblHeader/>
        </w:trPr>
        <w:tc>
          <w:tcPr>
            <w:tcW w:w="1877" w:type="pct"/>
            <w:vMerge w:val="restart"/>
            <w:shd w:val="clear" w:color="auto" w:fill="auto"/>
            <w:vAlign w:val="bottom"/>
          </w:tcPr>
          <w:p w:rsidR="00B12A8C" w:rsidRPr="00DC08B0" w:rsidRDefault="00B12A8C" w:rsidP="00563974">
            <w:pPr>
              <w:pStyle w:val="TableNumber"/>
              <w:widowControl/>
              <w:jc w:val="left"/>
              <w:rPr>
                <w:b/>
                <w:bCs/>
              </w:rPr>
            </w:pPr>
            <w:proofErr w:type="spellStart"/>
            <w:r w:rsidRPr="00DC08B0">
              <w:rPr>
                <w:b/>
                <w:bCs/>
              </w:rPr>
              <w:t>MedDRA</w:t>
            </w:r>
            <w:proofErr w:type="spellEnd"/>
            <w:r w:rsidRPr="00DC08B0">
              <w:rPr>
                <w:b/>
                <w:bCs/>
              </w:rPr>
              <w:t xml:space="preserve"> preferred term</w:t>
            </w:r>
          </w:p>
        </w:tc>
        <w:tc>
          <w:tcPr>
            <w:tcW w:w="1564" w:type="pct"/>
            <w:gridSpan w:val="2"/>
            <w:vAlign w:val="bottom"/>
          </w:tcPr>
          <w:p w:rsidR="00B12A8C" w:rsidRPr="00DC08B0" w:rsidRDefault="00B12A8C" w:rsidP="00563974">
            <w:pPr>
              <w:pStyle w:val="TableNumber"/>
              <w:widowControl/>
              <w:rPr>
                <w:b/>
                <w:bCs/>
              </w:rPr>
            </w:pPr>
            <w:proofErr w:type="spellStart"/>
            <w:r w:rsidRPr="00DC08B0">
              <w:rPr>
                <w:b/>
                <w:bCs/>
              </w:rPr>
              <w:t>Olaparib</w:t>
            </w:r>
            <w:proofErr w:type="spellEnd"/>
            <w:r w:rsidRPr="00DC08B0">
              <w:rPr>
                <w:b/>
                <w:bCs/>
              </w:rPr>
              <w:t xml:space="preserve"> 300 mg </w:t>
            </w:r>
            <w:proofErr w:type="spellStart"/>
            <w:r w:rsidRPr="00DC08B0">
              <w:rPr>
                <w:b/>
                <w:bCs/>
              </w:rPr>
              <w:t>bd</w:t>
            </w:r>
            <w:proofErr w:type="spellEnd"/>
          </w:p>
          <w:p w:rsidR="00B12A8C" w:rsidRPr="00DC08B0" w:rsidRDefault="00B12A8C" w:rsidP="00563974">
            <w:pPr>
              <w:pStyle w:val="TableNumber"/>
              <w:widowControl/>
              <w:rPr>
                <w:b/>
                <w:bCs/>
              </w:rPr>
            </w:pPr>
            <w:r w:rsidRPr="00DC08B0">
              <w:rPr>
                <w:b/>
                <w:bCs/>
              </w:rPr>
              <w:t>(N=260)</w:t>
            </w:r>
          </w:p>
        </w:tc>
        <w:tc>
          <w:tcPr>
            <w:tcW w:w="1559" w:type="pct"/>
            <w:gridSpan w:val="2"/>
            <w:vAlign w:val="bottom"/>
          </w:tcPr>
          <w:p w:rsidR="00B12A8C" w:rsidRPr="00DC08B0" w:rsidRDefault="00B12A8C" w:rsidP="00563974">
            <w:pPr>
              <w:pStyle w:val="TableNumber"/>
              <w:widowControl/>
              <w:rPr>
                <w:b/>
                <w:bCs/>
              </w:rPr>
            </w:pPr>
            <w:r w:rsidRPr="00DC08B0">
              <w:rPr>
                <w:b/>
                <w:bCs/>
              </w:rPr>
              <w:t>Placebo</w:t>
            </w:r>
          </w:p>
          <w:p w:rsidR="00B12A8C" w:rsidRPr="00DC08B0" w:rsidRDefault="00B12A8C" w:rsidP="00563974">
            <w:pPr>
              <w:pStyle w:val="TableNumber"/>
              <w:widowControl/>
              <w:rPr>
                <w:b/>
                <w:bCs/>
              </w:rPr>
            </w:pPr>
            <w:r w:rsidRPr="00DC08B0">
              <w:rPr>
                <w:b/>
                <w:bCs/>
              </w:rPr>
              <w:t>(N=130)</w:t>
            </w:r>
          </w:p>
        </w:tc>
      </w:tr>
      <w:tr w:rsidR="00ED1B04" w:rsidRPr="00DC08B0" w:rsidTr="00ED1B04">
        <w:trPr>
          <w:cantSplit/>
          <w:tblHeader/>
        </w:trPr>
        <w:tc>
          <w:tcPr>
            <w:tcW w:w="1877" w:type="pct"/>
            <w:vMerge/>
            <w:shd w:val="clear" w:color="auto" w:fill="auto"/>
            <w:vAlign w:val="bottom"/>
          </w:tcPr>
          <w:p w:rsidR="00ED1B04" w:rsidRPr="00DC08B0" w:rsidRDefault="00ED1B04" w:rsidP="00563974">
            <w:pPr>
              <w:pStyle w:val="TableNumber"/>
              <w:widowControl/>
              <w:jc w:val="left"/>
              <w:rPr>
                <w:b/>
                <w:bCs/>
              </w:rPr>
            </w:pPr>
          </w:p>
        </w:tc>
        <w:tc>
          <w:tcPr>
            <w:tcW w:w="1564" w:type="pct"/>
            <w:gridSpan w:val="2"/>
            <w:shd w:val="clear" w:color="auto" w:fill="auto"/>
            <w:vAlign w:val="bottom"/>
          </w:tcPr>
          <w:p w:rsidR="00ED1B04" w:rsidRPr="00DC08B0" w:rsidRDefault="00ED1B04" w:rsidP="00563974">
            <w:pPr>
              <w:pStyle w:val="TableNumber"/>
              <w:widowControl/>
              <w:rPr>
                <w:b/>
                <w:bCs/>
              </w:rPr>
            </w:pPr>
            <w:r w:rsidRPr="00DC08B0">
              <w:rPr>
                <w:b/>
                <w:bCs/>
              </w:rPr>
              <w:t>Number (%) of patients</w:t>
            </w:r>
          </w:p>
        </w:tc>
        <w:tc>
          <w:tcPr>
            <w:tcW w:w="1559" w:type="pct"/>
            <w:gridSpan w:val="2"/>
            <w:shd w:val="clear" w:color="auto" w:fill="auto"/>
            <w:vAlign w:val="bottom"/>
          </w:tcPr>
          <w:p w:rsidR="00ED1B04" w:rsidRPr="00DC08B0" w:rsidRDefault="00ED1B04" w:rsidP="00563974">
            <w:pPr>
              <w:pStyle w:val="TableNumber"/>
              <w:widowControl/>
              <w:rPr>
                <w:b/>
                <w:bCs/>
              </w:rPr>
            </w:pPr>
            <w:r w:rsidRPr="00DC08B0">
              <w:rPr>
                <w:b/>
                <w:bCs/>
              </w:rPr>
              <w:t>Number (%) of patient</w:t>
            </w:r>
            <w:r>
              <w:rPr>
                <w:b/>
                <w:bCs/>
              </w:rPr>
              <w:t>s</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Patients with any AE</w:t>
            </w:r>
          </w:p>
        </w:tc>
        <w:tc>
          <w:tcPr>
            <w:tcW w:w="1564" w:type="pct"/>
            <w:gridSpan w:val="2"/>
            <w:shd w:val="clear" w:color="auto" w:fill="auto"/>
          </w:tcPr>
          <w:p w:rsidR="00ED1B04" w:rsidRPr="00DC08B0" w:rsidRDefault="00ED1B04" w:rsidP="00563974">
            <w:pPr>
              <w:pStyle w:val="TableNumber"/>
              <w:widowControl/>
            </w:pPr>
            <w:r w:rsidRPr="00DC08B0">
              <w:t>256 (98.5)</w:t>
            </w:r>
          </w:p>
        </w:tc>
        <w:tc>
          <w:tcPr>
            <w:tcW w:w="1559" w:type="pct"/>
            <w:gridSpan w:val="2"/>
            <w:shd w:val="clear" w:color="auto" w:fill="auto"/>
          </w:tcPr>
          <w:p w:rsidR="00ED1B04" w:rsidRPr="00DC08B0" w:rsidRDefault="00ED1B04" w:rsidP="00563974">
            <w:pPr>
              <w:pStyle w:val="TableNumber"/>
              <w:widowControl/>
            </w:pPr>
            <w:r w:rsidRPr="00DC08B0">
              <w:t>120 (92.3)</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Any AE of CTCAE Grade 3 or higher</w:t>
            </w:r>
          </w:p>
        </w:tc>
        <w:tc>
          <w:tcPr>
            <w:tcW w:w="1564" w:type="pct"/>
            <w:gridSpan w:val="2"/>
            <w:shd w:val="clear" w:color="auto" w:fill="auto"/>
          </w:tcPr>
          <w:p w:rsidR="00ED1B04" w:rsidRPr="00DC08B0" w:rsidRDefault="00ED1B04" w:rsidP="00563974">
            <w:pPr>
              <w:pStyle w:val="TableNumber"/>
              <w:widowControl/>
            </w:pPr>
            <w:r w:rsidRPr="00DC08B0">
              <w:t>102 (39.2)</w:t>
            </w:r>
          </w:p>
        </w:tc>
        <w:tc>
          <w:tcPr>
            <w:tcW w:w="1559" w:type="pct"/>
            <w:gridSpan w:val="2"/>
            <w:shd w:val="clear" w:color="auto" w:fill="auto"/>
          </w:tcPr>
          <w:p w:rsidR="00ED1B04" w:rsidRPr="00DC08B0" w:rsidRDefault="00ED1B04" w:rsidP="00563974">
            <w:pPr>
              <w:pStyle w:val="TableNumber"/>
              <w:widowControl/>
            </w:pPr>
            <w:r w:rsidRPr="00DC08B0">
              <w:t>24 (18.5)</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Any SAE</w:t>
            </w:r>
          </w:p>
        </w:tc>
        <w:tc>
          <w:tcPr>
            <w:tcW w:w="1564" w:type="pct"/>
            <w:gridSpan w:val="2"/>
            <w:shd w:val="clear" w:color="auto" w:fill="auto"/>
          </w:tcPr>
          <w:p w:rsidR="00ED1B04" w:rsidRPr="00DC08B0" w:rsidRDefault="00ED1B04" w:rsidP="00563974">
            <w:pPr>
              <w:pStyle w:val="TableNumber"/>
              <w:widowControl/>
            </w:pPr>
            <w:r w:rsidRPr="00DC08B0">
              <w:t>54 (20.8)</w:t>
            </w:r>
          </w:p>
        </w:tc>
        <w:tc>
          <w:tcPr>
            <w:tcW w:w="1559" w:type="pct"/>
            <w:gridSpan w:val="2"/>
            <w:shd w:val="clear" w:color="auto" w:fill="auto"/>
          </w:tcPr>
          <w:p w:rsidR="00ED1B04" w:rsidRPr="00DC08B0" w:rsidRDefault="00ED1B04" w:rsidP="00563974">
            <w:pPr>
              <w:pStyle w:val="TableNumber"/>
              <w:widowControl/>
            </w:pPr>
            <w:r w:rsidRPr="00DC08B0">
              <w:t>16 (12.3)</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Any AE leading to discontinuation</w:t>
            </w:r>
          </w:p>
        </w:tc>
        <w:tc>
          <w:tcPr>
            <w:tcW w:w="1564" w:type="pct"/>
            <w:gridSpan w:val="2"/>
            <w:shd w:val="clear" w:color="auto" w:fill="auto"/>
          </w:tcPr>
          <w:p w:rsidR="00ED1B04" w:rsidRPr="00DC08B0" w:rsidRDefault="00ED1B04" w:rsidP="00563974">
            <w:pPr>
              <w:pStyle w:val="TableNumber"/>
              <w:widowControl/>
            </w:pPr>
            <w:r w:rsidRPr="00DC08B0">
              <w:t xml:space="preserve">30 (11.5) </w:t>
            </w:r>
          </w:p>
        </w:tc>
        <w:tc>
          <w:tcPr>
            <w:tcW w:w="1559" w:type="pct"/>
            <w:gridSpan w:val="2"/>
            <w:shd w:val="clear" w:color="auto" w:fill="auto"/>
          </w:tcPr>
          <w:p w:rsidR="00ED1B04" w:rsidRPr="00DC08B0" w:rsidRDefault="00ED1B04" w:rsidP="00563974">
            <w:pPr>
              <w:pStyle w:val="TableNumber"/>
              <w:widowControl/>
            </w:pPr>
            <w:r w:rsidRPr="00DC08B0">
              <w:t>3 (2.3)</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Any AE leading to dose interruption</w:t>
            </w:r>
          </w:p>
        </w:tc>
        <w:tc>
          <w:tcPr>
            <w:tcW w:w="1564" w:type="pct"/>
            <w:gridSpan w:val="2"/>
            <w:shd w:val="clear" w:color="auto" w:fill="auto"/>
          </w:tcPr>
          <w:p w:rsidR="00ED1B04" w:rsidRPr="00DC08B0" w:rsidRDefault="00ED1B04" w:rsidP="00563974">
            <w:pPr>
              <w:pStyle w:val="TableNumber"/>
              <w:widowControl/>
            </w:pPr>
            <w:r w:rsidRPr="00DC08B0">
              <w:t xml:space="preserve">135 (51.9) </w:t>
            </w:r>
          </w:p>
        </w:tc>
        <w:tc>
          <w:tcPr>
            <w:tcW w:w="1559" w:type="pct"/>
            <w:gridSpan w:val="2"/>
            <w:shd w:val="clear" w:color="auto" w:fill="auto"/>
          </w:tcPr>
          <w:p w:rsidR="00ED1B04" w:rsidRPr="00DC08B0" w:rsidRDefault="00ED1B04" w:rsidP="00563974">
            <w:pPr>
              <w:pStyle w:val="TableNumber"/>
              <w:widowControl/>
            </w:pPr>
            <w:r w:rsidRPr="00DC08B0">
              <w:t>22 (16.9)</w:t>
            </w:r>
          </w:p>
        </w:tc>
      </w:tr>
      <w:tr w:rsidR="00ED1B04" w:rsidRPr="00DC08B0" w:rsidTr="00ED1B04">
        <w:trPr>
          <w:cantSplit/>
        </w:trPr>
        <w:tc>
          <w:tcPr>
            <w:tcW w:w="1877" w:type="pct"/>
            <w:shd w:val="clear" w:color="auto" w:fill="auto"/>
          </w:tcPr>
          <w:p w:rsidR="00ED1B04" w:rsidRPr="00DC08B0" w:rsidRDefault="00ED1B04" w:rsidP="00563974">
            <w:pPr>
              <w:pStyle w:val="TableNumber"/>
              <w:widowControl/>
              <w:jc w:val="left"/>
            </w:pPr>
            <w:r w:rsidRPr="00DC08B0">
              <w:t>Any AE leading to dose reduction</w:t>
            </w:r>
          </w:p>
        </w:tc>
        <w:tc>
          <w:tcPr>
            <w:tcW w:w="1564" w:type="pct"/>
            <w:gridSpan w:val="2"/>
            <w:shd w:val="clear" w:color="auto" w:fill="auto"/>
          </w:tcPr>
          <w:p w:rsidR="00ED1B04" w:rsidRPr="00DC08B0" w:rsidRDefault="00ED1B04" w:rsidP="00563974">
            <w:pPr>
              <w:pStyle w:val="TableNumber"/>
              <w:widowControl/>
            </w:pPr>
            <w:r w:rsidRPr="00DC08B0">
              <w:t>74 (28.5)</w:t>
            </w:r>
          </w:p>
        </w:tc>
        <w:tc>
          <w:tcPr>
            <w:tcW w:w="1559" w:type="pct"/>
            <w:gridSpan w:val="2"/>
            <w:shd w:val="clear" w:color="auto" w:fill="auto"/>
          </w:tcPr>
          <w:p w:rsidR="00ED1B04" w:rsidRPr="00DC08B0" w:rsidRDefault="00ED1B04" w:rsidP="00563974">
            <w:pPr>
              <w:pStyle w:val="TableNumber"/>
              <w:widowControl/>
            </w:pPr>
            <w:r w:rsidRPr="00DC08B0">
              <w:t>4 (3.1)</w:t>
            </w:r>
          </w:p>
        </w:tc>
      </w:tr>
      <w:tr w:rsidR="00ED1B04" w:rsidRPr="00DC08B0" w:rsidTr="00005E7E">
        <w:trPr>
          <w:cantSplit/>
        </w:trPr>
        <w:tc>
          <w:tcPr>
            <w:tcW w:w="1877" w:type="pct"/>
            <w:shd w:val="clear" w:color="auto" w:fill="auto"/>
          </w:tcPr>
          <w:p w:rsidR="00ED1B04" w:rsidRPr="00DC08B0" w:rsidRDefault="00ED1B04" w:rsidP="00563974">
            <w:pPr>
              <w:pStyle w:val="TableNumber"/>
              <w:widowControl/>
              <w:jc w:val="left"/>
            </w:pPr>
          </w:p>
        </w:tc>
        <w:tc>
          <w:tcPr>
            <w:tcW w:w="782" w:type="pct"/>
            <w:shd w:val="clear" w:color="auto" w:fill="auto"/>
            <w:vAlign w:val="bottom"/>
          </w:tcPr>
          <w:p w:rsidR="00ED1B04" w:rsidRPr="00DC08B0" w:rsidRDefault="00ED1B04" w:rsidP="00563974">
            <w:pPr>
              <w:pStyle w:val="TableNumber"/>
              <w:widowControl/>
            </w:pPr>
            <w:r w:rsidRPr="00DC08B0">
              <w:rPr>
                <w:b/>
                <w:bCs/>
              </w:rPr>
              <w:t>Number (%) of patients</w:t>
            </w:r>
          </w:p>
        </w:tc>
        <w:tc>
          <w:tcPr>
            <w:tcW w:w="782" w:type="pct"/>
            <w:shd w:val="clear" w:color="auto" w:fill="auto"/>
          </w:tcPr>
          <w:p w:rsidR="00ED1B04" w:rsidRPr="00DC08B0" w:rsidRDefault="00ED1B04" w:rsidP="00563974">
            <w:pPr>
              <w:pStyle w:val="TableNumber"/>
              <w:widowControl/>
            </w:pPr>
            <w:r w:rsidRPr="00DC08B0">
              <w:rPr>
                <w:b/>
                <w:bCs/>
              </w:rPr>
              <w:t>Event rate (per 1000 </w:t>
            </w:r>
            <w:proofErr w:type="spellStart"/>
            <w:r w:rsidRPr="00DC08B0">
              <w:rPr>
                <w:b/>
                <w:bCs/>
              </w:rPr>
              <w:t>pt</w:t>
            </w:r>
            <w:proofErr w:type="spellEnd"/>
            <w:r w:rsidRPr="00DC08B0">
              <w:rPr>
                <w:b/>
                <w:bCs/>
              </w:rPr>
              <w:t xml:space="preserve"> years)</w:t>
            </w:r>
          </w:p>
        </w:tc>
        <w:tc>
          <w:tcPr>
            <w:tcW w:w="780" w:type="pct"/>
            <w:shd w:val="clear" w:color="auto" w:fill="auto"/>
            <w:vAlign w:val="bottom"/>
          </w:tcPr>
          <w:p w:rsidR="00ED1B04" w:rsidRPr="00DC08B0" w:rsidRDefault="00ED1B04" w:rsidP="00563974">
            <w:pPr>
              <w:pStyle w:val="TableNumber"/>
              <w:widowControl/>
            </w:pPr>
            <w:r w:rsidRPr="00DC08B0">
              <w:rPr>
                <w:b/>
                <w:bCs/>
              </w:rPr>
              <w:t>Number (%) of patients</w:t>
            </w:r>
          </w:p>
        </w:tc>
        <w:tc>
          <w:tcPr>
            <w:tcW w:w="779" w:type="pct"/>
            <w:shd w:val="clear" w:color="auto" w:fill="auto"/>
          </w:tcPr>
          <w:p w:rsidR="00ED1B04" w:rsidRPr="00DC08B0" w:rsidRDefault="00ED1B04" w:rsidP="00563974">
            <w:pPr>
              <w:pStyle w:val="TableNumber"/>
              <w:widowControl/>
            </w:pPr>
            <w:r w:rsidRPr="00DC08B0">
              <w:rPr>
                <w:b/>
                <w:bCs/>
              </w:rPr>
              <w:t>Event rate (per 1000 </w:t>
            </w:r>
            <w:proofErr w:type="spellStart"/>
            <w:r w:rsidRPr="00DC08B0">
              <w:rPr>
                <w:b/>
                <w:bCs/>
              </w:rPr>
              <w:t>pt</w:t>
            </w:r>
            <w:proofErr w:type="spellEnd"/>
            <w:r w:rsidRPr="00DC08B0">
              <w:rPr>
                <w:b/>
                <w:bCs/>
              </w:rPr>
              <w:t xml:space="preserve"> years)</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Nausea</w:t>
            </w:r>
          </w:p>
        </w:tc>
        <w:tc>
          <w:tcPr>
            <w:tcW w:w="782" w:type="pct"/>
            <w:shd w:val="clear" w:color="auto" w:fill="auto"/>
          </w:tcPr>
          <w:p w:rsidR="00B12A8C" w:rsidRPr="00DC08B0" w:rsidRDefault="00B12A8C" w:rsidP="00563974">
            <w:pPr>
              <w:pStyle w:val="TableNumber"/>
              <w:widowControl/>
            </w:pPr>
            <w:r w:rsidRPr="00DC08B0">
              <w:t>201 (77.3)</w:t>
            </w:r>
          </w:p>
        </w:tc>
        <w:tc>
          <w:tcPr>
            <w:tcW w:w="782" w:type="pct"/>
          </w:tcPr>
          <w:p w:rsidR="00B12A8C" w:rsidRPr="00DC08B0" w:rsidRDefault="00B12A8C" w:rsidP="00563974">
            <w:pPr>
              <w:pStyle w:val="TableNumber"/>
              <w:widowControl/>
            </w:pPr>
            <w:r w:rsidRPr="00DC08B0">
              <w:t>1747.27</w:t>
            </w:r>
          </w:p>
        </w:tc>
        <w:tc>
          <w:tcPr>
            <w:tcW w:w="780" w:type="pct"/>
            <w:shd w:val="clear" w:color="auto" w:fill="auto"/>
          </w:tcPr>
          <w:p w:rsidR="00B12A8C" w:rsidRPr="00DC08B0" w:rsidRDefault="00B12A8C" w:rsidP="00563974">
            <w:pPr>
              <w:pStyle w:val="TableNumber"/>
              <w:widowControl/>
            </w:pPr>
            <w:r w:rsidRPr="00DC08B0">
              <w:t>49 (37.7)</w:t>
            </w:r>
          </w:p>
        </w:tc>
        <w:tc>
          <w:tcPr>
            <w:tcW w:w="779" w:type="pct"/>
          </w:tcPr>
          <w:p w:rsidR="00B12A8C" w:rsidRPr="00DC08B0" w:rsidRDefault="00B12A8C" w:rsidP="00563974">
            <w:pPr>
              <w:pStyle w:val="TableNumber"/>
              <w:widowControl/>
            </w:pPr>
            <w:r w:rsidRPr="00DC08B0">
              <w:t>420.42</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Fatigue</w:t>
            </w:r>
          </w:p>
        </w:tc>
        <w:tc>
          <w:tcPr>
            <w:tcW w:w="782" w:type="pct"/>
            <w:shd w:val="clear" w:color="auto" w:fill="auto"/>
          </w:tcPr>
          <w:p w:rsidR="00B12A8C" w:rsidRPr="00DC08B0" w:rsidRDefault="00B12A8C" w:rsidP="00563974">
            <w:pPr>
              <w:pStyle w:val="TableNumber"/>
              <w:widowControl/>
            </w:pPr>
            <w:r w:rsidRPr="00DC08B0">
              <w:t>106 (40.8)</w:t>
            </w:r>
          </w:p>
        </w:tc>
        <w:tc>
          <w:tcPr>
            <w:tcW w:w="782" w:type="pct"/>
          </w:tcPr>
          <w:p w:rsidR="00B12A8C" w:rsidRPr="00DC08B0" w:rsidRDefault="00B12A8C" w:rsidP="00563974">
            <w:pPr>
              <w:pStyle w:val="TableNumber"/>
              <w:widowControl/>
            </w:pPr>
            <w:r w:rsidRPr="00DC08B0">
              <w:t>375.75</w:t>
            </w:r>
          </w:p>
        </w:tc>
        <w:tc>
          <w:tcPr>
            <w:tcW w:w="780" w:type="pct"/>
            <w:shd w:val="clear" w:color="auto" w:fill="auto"/>
          </w:tcPr>
          <w:p w:rsidR="00B12A8C" w:rsidRPr="00DC08B0" w:rsidRDefault="00B12A8C" w:rsidP="00563974">
            <w:pPr>
              <w:pStyle w:val="TableNumber"/>
              <w:widowControl/>
            </w:pPr>
            <w:r w:rsidRPr="00DC08B0">
              <w:t>39 (30.0)</w:t>
            </w:r>
          </w:p>
        </w:tc>
        <w:tc>
          <w:tcPr>
            <w:tcW w:w="779" w:type="pct"/>
          </w:tcPr>
          <w:p w:rsidR="00B12A8C" w:rsidRPr="00DC08B0" w:rsidRDefault="00B12A8C" w:rsidP="00563974">
            <w:pPr>
              <w:pStyle w:val="TableNumber"/>
              <w:widowControl/>
            </w:pPr>
            <w:r w:rsidRPr="00DC08B0">
              <w:t>306.10</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Vomiting</w:t>
            </w:r>
          </w:p>
        </w:tc>
        <w:tc>
          <w:tcPr>
            <w:tcW w:w="782" w:type="pct"/>
            <w:shd w:val="clear" w:color="auto" w:fill="auto"/>
          </w:tcPr>
          <w:p w:rsidR="00B12A8C" w:rsidRPr="00DC08B0" w:rsidRDefault="00B12A8C" w:rsidP="00563974">
            <w:pPr>
              <w:pStyle w:val="TableNumber"/>
              <w:widowControl/>
            </w:pPr>
            <w:r w:rsidRPr="00DC08B0">
              <w:t>104 (40.0)</w:t>
            </w:r>
          </w:p>
        </w:tc>
        <w:tc>
          <w:tcPr>
            <w:tcW w:w="782" w:type="pct"/>
          </w:tcPr>
          <w:p w:rsidR="00B12A8C" w:rsidRPr="00DC08B0" w:rsidRDefault="00B12A8C" w:rsidP="00563974">
            <w:pPr>
              <w:pStyle w:val="TableNumber"/>
              <w:widowControl/>
            </w:pPr>
            <w:r w:rsidRPr="00DC08B0">
              <w:t>346.03</w:t>
            </w:r>
          </w:p>
        </w:tc>
        <w:tc>
          <w:tcPr>
            <w:tcW w:w="780" w:type="pct"/>
            <w:shd w:val="clear" w:color="auto" w:fill="auto"/>
          </w:tcPr>
          <w:p w:rsidR="00B12A8C" w:rsidRPr="00DC08B0" w:rsidRDefault="00B12A8C" w:rsidP="00563974">
            <w:pPr>
              <w:pStyle w:val="TableNumber"/>
              <w:widowControl/>
            </w:pPr>
            <w:r w:rsidRPr="00DC08B0">
              <w:t>19 (14.6)</w:t>
            </w:r>
          </w:p>
        </w:tc>
        <w:tc>
          <w:tcPr>
            <w:tcW w:w="779" w:type="pct"/>
          </w:tcPr>
          <w:p w:rsidR="00B12A8C" w:rsidRPr="00DC08B0" w:rsidRDefault="00B12A8C" w:rsidP="00563974">
            <w:pPr>
              <w:pStyle w:val="TableNumber"/>
              <w:widowControl/>
            </w:pPr>
            <w:r w:rsidRPr="00DC08B0">
              <w:t>124.91</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Anaemia</w:t>
            </w:r>
          </w:p>
        </w:tc>
        <w:tc>
          <w:tcPr>
            <w:tcW w:w="782" w:type="pct"/>
            <w:shd w:val="clear" w:color="auto" w:fill="auto"/>
          </w:tcPr>
          <w:p w:rsidR="00B12A8C" w:rsidRPr="00DC08B0" w:rsidRDefault="00B12A8C" w:rsidP="00563974">
            <w:pPr>
              <w:pStyle w:val="TableNumber"/>
              <w:widowControl/>
            </w:pPr>
            <w:r w:rsidRPr="00DC08B0">
              <w:t>99 (38.1)</w:t>
            </w:r>
          </w:p>
        </w:tc>
        <w:tc>
          <w:tcPr>
            <w:tcW w:w="782" w:type="pct"/>
          </w:tcPr>
          <w:p w:rsidR="00B12A8C" w:rsidRPr="00DC08B0" w:rsidRDefault="00B12A8C" w:rsidP="00563974">
            <w:pPr>
              <w:pStyle w:val="TableNumber"/>
              <w:widowControl/>
            </w:pPr>
            <w:r w:rsidRPr="00DC08B0">
              <w:t>321.48</w:t>
            </w:r>
          </w:p>
        </w:tc>
        <w:tc>
          <w:tcPr>
            <w:tcW w:w="780" w:type="pct"/>
            <w:shd w:val="clear" w:color="auto" w:fill="auto"/>
          </w:tcPr>
          <w:p w:rsidR="00B12A8C" w:rsidRPr="00DC08B0" w:rsidRDefault="00B12A8C" w:rsidP="00563974">
            <w:pPr>
              <w:pStyle w:val="TableNumber"/>
              <w:widowControl/>
            </w:pPr>
            <w:r w:rsidRPr="00DC08B0">
              <w:t>12 (9.2)</w:t>
            </w:r>
          </w:p>
        </w:tc>
        <w:tc>
          <w:tcPr>
            <w:tcW w:w="779" w:type="pct"/>
          </w:tcPr>
          <w:p w:rsidR="00B12A8C" w:rsidRPr="00DC08B0" w:rsidRDefault="00B12A8C" w:rsidP="00563974">
            <w:pPr>
              <w:pStyle w:val="TableNumber"/>
              <w:widowControl/>
            </w:pPr>
            <w:r w:rsidRPr="00DC08B0">
              <w:t>72.78</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proofErr w:type="spellStart"/>
            <w:r w:rsidRPr="00DC08B0">
              <w:t>Dysgeusia</w:t>
            </w:r>
            <w:proofErr w:type="spellEnd"/>
            <w:r w:rsidRPr="00DC08B0">
              <w:t xml:space="preserve"> </w:t>
            </w:r>
          </w:p>
        </w:tc>
        <w:tc>
          <w:tcPr>
            <w:tcW w:w="782" w:type="pct"/>
            <w:shd w:val="clear" w:color="auto" w:fill="auto"/>
          </w:tcPr>
          <w:p w:rsidR="00B12A8C" w:rsidRPr="00DC08B0" w:rsidRDefault="00B12A8C" w:rsidP="00563974">
            <w:pPr>
              <w:pStyle w:val="TableNumber"/>
              <w:widowControl/>
            </w:pPr>
            <w:r w:rsidRPr="00DC08B0">
              <w:t>68 (26.2)</w:t>
            </w:r>
          </w:p>
        </w:tc>
        <w:tc>
          <w:tcPr>
            <w:tcW w:w="782" w:type="pct"/>
          </w:tcPr>
          <w:p w:rsidR="00B12A8C" w:rsidRPr="00DC08B0" w:rsidRDefault="00B12A8C" w:rsidP="00563974">
            <w:pPr>
              <w:pStyle w:val="TableNumber"/>
              <w:widowControl/>
            </w:pPr>
            <w:r w:rsidRPr="00DC08B0">
              <w:t>199.23</w:t>
            </w:r>
          </w:p>
        </w:tc>
        <w:tc>
          <w:tcPr>
            <w:tcW w:w="780" w:type="pct"/>
            <w:shd w:val="clear" w:color="auto" w:fill="auto"/>
          </w:tcPr>
          <w:p w:rsidR="00B12A8C" w:rsidRPr="00DC08B0" w:rsidRDefault="00B12A8C" w:rsidP="00563974">
            <w:pPr>
              <w:pStyle w:val="TableNumber"/>
              <w:widowControl/>
            </w:pPr>
            <w:r w:rsidRPr="00DC08B0">
              <w:t>5 (3.8)</w:t>
            </w:r>
          </w:p>
        </w:tc>
        <w:tc>
          <w:tcPr>
            <w:tcW w:w="779" w:type="pct"/>
          </w:tcPr>
          <w:p w:rsidR="00B12A8C" w:rsidRPr="00DC08B0" w:rsidRDefault="00B12A8C" w:rsidP="00563974">
            <w:pPr>
              <w:pStyle w:val="TableNumber"/>
              <w:widowControl/>
            </w:pPr>
            <w:r w:rsidRPr="00DC08B0">
              <w:t>30.55</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Asthenia</w:t>
            </w:r>
          </w:p>
        </w:tc>
        <w:tc>
          <w:tcPr>
            <w:tcW w:w="782" w:type="pct"/>
            <w:shd w:val="clear" w:color="auto" w:fill="auto"/>
          </w:tcPr>
          <w:p w:rsidR="00B12A8C" w:rsidRPr="00DC08B0" w:rsidRDefault="00B12A8C" w:rsidP="00563974">
            <w:pPr>
              <w:pStyle w:val="TableNumber"/>
              <w:widowControl/>
            </w:pPr>
            <w:r w:rsidRPr="00DC08B0">
              <w:t>63 (24.2)</w:t>
            </w:r>
          </w:p>
        </w:tc>
        <w:tc>
          <w:tcPr>
            <w:tcW w:w="782" w:type="pct"/>
          </w:tcPr>
          <w:p w:rsidR="00B12A8C" w:rsidRPr="00DC08B0" w:rsidRDefault="00B12A8C" w:rsidP="00563974">
            <w:pPr>
              <w:pStyle w:val="TableNumber"/>
              <w:widowControl/>
            </w:pPr>
            <w:r w:rsidRPr="00DC08B0">
              <w:t>176.10</w:t>
            </w:r>
          </w:p>
        </w:tc>
        <w:tc>
          <w:tcPr>
            <w:tcW w:w="780" w:type="pct"/>
            <w:shd w:val="clear" w:color="auto" w:fill="auto"/>
          </w:tcPr>
          <w:p w:rsidR="00B12A8C" w:rsidRPr="00DC08B0" w:rsidRDefault="00B12A8C" w:rsidP="00563974">
            <w:pPr>
              <w:pStyle w:val="TableNumber"/>
              <w:widowControl/>
            </w:pPr>
            <w:r w:rsidRPr="00DC08B0">
              <w:t>16 (12.3)</w:t>
            </w:r>
          </w:p>
        </w:tc>
        <w:tc>
          <w:tcPr>
            <w:tcW w:w="779" w:type="pct"/>
          </w:tcPr>
          <w:p w:rsidR="00B12A8C" w:rsidRPr="00DC08B0" w:rsidRDefault="00B12A8C" w:rsidP="00563974">
            <w:pPr>
              <w:pStyle w:val="TableNumber"/>
              <w:widowControl/>
            </w:pPr>
            <w:r w:rsidRPr="00DC08B0">
              <w:t>101.63</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Neutropenia</w:t>
            </w:r>
          </w:p>
        </w:tc>
        <w:tc>
          <w:tcPr>
            <w:tcW w:w="782" w:type="pct"/>
            <w:shd w:val="clear" w:color="auto" w:fill="auto"/>
          </w:tcPr>
          <w:p w:rsidR="00B12A8C" w:rsidRPr="00DC08B0" w:rsidRDefault="00B12A8C" w:rsidP="00563974">
            <w:pPr>
              <w:pStyle w:val="TableNumber"/>
              <w:widowControl/>
            </w:pPr>
            <w:r w:rsidRPr="00DC08B0">
              <w:t>41 (15.8)</w:t>
            </w:r>
          </w:p>
        </w:tc>
        <w:tc>
          <w:tcPr>
            <w:tcW w:w="782" w:type="pct"/>
          </w:tcPr>
          <w:p w:rsidR="00B12A8C" w:rsidRPr="00DC08B0" w:rsidRDefault="00B12A8C" w:rsidP="00563974">
            <w:pPr>
              <w:pStyle w:val="TableNumber"/>
              <w:widowControl/>
            </w:pPr>
            <w:r w:rsidRPr="00DC08B0">
              <w:t>104.13</w:t>
            </w:r>
          </w:p>
        </w:tc>
        <w:tc>
          <w:tcPr>
            <w:tcW w:w="780" w:type="pct"/>
            <w:shd w:val="clear" w:color="auto" w:fill="auto"/>
          </w:tcPr>
          <w:p w:rsidR="00B12A8C" w:rsidRPr="00DC08B0" w:rsidRDefault="00B12A8C" w:rsidP="00563974">
            <w:pPr>
              <w:pStyle w:val="TableNumber"/>
              <w:widowControl/>
            </w:pPr>
            <w:r w:rsidRPr="00DC08B0">
              <w:t>9 (6.9)</w:t>
            </w:r>
          </w:p>
        </w:tc>
        <w:tc>
          <w:tcPr>
            <w:tcW w:w="779" w:type="pct"/>
          </w:tcPr>
          <w:p w:rsidR="00B12A8C" w:rsidRPr="00DC08B0" w:rsidRDefault="00B12A8C" w:rsidP="00563974">
            <w:pPr>
              <w:pStyle w:val="TableNumber"/>
              <w:widowControl/>
            </w:pPr>
            <w:r w:rsidRPr="00DC08B0">
              <w:t>54.89</w:t>
            </w:r>
          </w:p>
        </w:tc>
      </w:tr>
      <w:tr w:rsidR="00B12A8C" w:rsidRPr="00DC08B0" w:rsidTr="00005E7E">
        <w:trPr>
          <w:cantSplit/>
        </w:trPr>
        <w:tc>
          <w:tcPr>
            <w:tcW w:w="1877" w:type="pct"/>
            <w:shd w:val="clear" w:color="auto" w:fill="auto"/>
          </w:tcPr>
          <w:p w:rsidR="00B12A8C" w:rsidRPr="00DC08B0" w:rsidRDefault="00B12A8C" w:rsidP="00563974">
            <w:pPr>
              <w:pStyle w:val="TableNumber"/>
              <w:widowControl/>
              <w:jc w:val="left"/>
            </w:pPr>
            <w:r w:rsidRPr="00DC08B0">
              <w:t>Dyspnoea</w:t>
            </w:r>
          </w:p>
        </w:tc>
        <w:tc>
          <w:tcPr>
            <w:tcW w:w="782" w:type="pct"/>
            <w:shd w:val="clear" w:color="auto" w:fill="auto"/>
          </w:tcPr>
          <w:p w:rsidR="00B12A8C" w:rsidRPr="00DC08B0" w:rsidRDefault="00B12A8C" w:rsidP="00563974">
            <w:pPr>
              <w:pStyle w:val="TableNumber"/>
              <w:widowControl/>
            </w:pPr>
            <w:r w:rsidRPr="00DC08B0">
              <w:t>39 (15.0)</w:t>
            </w:r>
          </w:p>
        </w:tc>
        <w:tc>
          <w:tcPr>
            <w:tcW w:w="782" w:type="pct"/>
          </w:tcPr>
          <w:p w:rsidR="00B12A8C" w:rsidRPr="00DC08B0" w:rsidRDefault="00B12A8C" w:rsidP="00563974">
            <w:pPr>
              <w:pStyle w:val="TableNumber"/>
              <w:widowControl/>
            </w:pPr>
            <w:r w:rsidRPr="00DC08B0">
              <w:t>95.57</w:t>
            </w:r>
          </w:p>
        </w:tc>
        <w:tc>
          <w:tcPr>
            <w:tcW w:w="780" w:type="pct"/>
            <w:shd w:val="clear" w:color="auto" w:fill="auto"/>
          </w:tcPr>
          <w:p w:rsidR="00B12A8C" w:rsidRPr="00DC08B0" w:rsidRDefault="00B12A8C" w:rsidP="00563974">
            <w:pPr>
              <w:pStyle w:val="TableNumber"/>
              <w:widowControl/>
            </w:pPr>
            <w:r w:rsidRPr="00DC08B0">
              <w:t>7 (5.4)</w:t>
            </w:r>
          </w:p>
        </w:tc>
        <w:tc>
          <w:tcPr>
            <w:tcW w:w="779" w:type="pct"/>
          </w:tcPr>
          <w:p w:rsidR="00B12A8C" w:rsidRPr="00DC08B0" w:rsidRDefault="00B12A8C" w:rsidP="00563974">
            <w:pPr>
              <w:pStyle w:val="TableNumber"/>
              <w:widowControl/>
            </w:pPr>
            <w:r w:rsidRPr="00DC08B0">
              <w:t>41.63</w:t>
            </w:r>
          </w:p>
        </w:tc>
      </w:tr>
    </w:tbl>
    <w:p w:rsidR="00B12A8C" w:rsidRPr="00DC08B0" w:rsidRDefault="00B12A8C" w:rsidP="00563974">
      <w:pPr>
        <w:pStyle w:val="TableFooter"/>
        <w:widowControl/>
      </w:pPr>
      <w:r w:rsidRPr="00DC08B0">
        <w:t>AE = adverse event, CTCAE = common terminology criteria for adverse events, SAE = serious adverse events</w:t>
      </w:r>
    </w:p>
    <w:p w:rsidR="00B12A8C" w:rsidRDefault="00B12A8C" w:rsidP="00563974">
      <w:pPr>
        <w:pStyle w:val="TableFooter"/>
        <w:widowControl/>
      </w:pPr>
      <w:r w:rsidRPr="00DC08B0">
        <w:t xml:space="preserve">Source: Table 39, p139, </w:t>
      </w:r>
      <w:proofErr w:type="spellStart"/>
      <w:r w:rsidRPr="00DC08B0">
        <w:t>Olaparib</w:t>
      </w:r>
      <w:proofErr w:type="spellEnd"/>
      <w:r w:rsidRPr="00DC08B0">
        <w:t xml:space="preserve"> CSR.</w:t>
      </w:r>
    </w:p>
    <w:p w:rsidR="00BB6B8E" w:rsidRPr="00DC08B0" w:rsidRDefault="00BB6B8E" w:rsidP="00563974">
      <w:pPr>
        <w:pStyle w:val="TableFooter"/>
        <w:widowControl/>
      </w:pPr>
    </w:p>
    <w:p w:rsidR="00B12A8C" w:rsidRDefault="00B12A8C" w:rsidP="00563974">
      <w:pPr>
        <w:pStyle w:val="ListParagraph"/>
        <w:numPr>
          <w:ilvl w:val="4"/>
          <w:numId w:val="1"/>
        </w:numPr>
        <w:rPr>
          <w:color w:val="auto"/>
        </w:rPr>
      </w:pPr>
      <w:r w:rsidRPr="00DC08B0">
        <w:rPr>
          <w:color w:val="auto"/>
        </w:rPr>
        <w:t xml:space="preserve">While </w:t>
      </w:r>
      <w:r w:rsidRPr="004F7915">
        <w:rPr>
          <w:color w:val="auto"/>
        </w:rPr>
        <w:t xml:space="preserve">dose interruptions were common (occurring in 51.9% of patients receiving </w:t>
      </w:r>
      <w:proofErr w:type="spellStart"/>
      <w:r w:rsidRPr="004F7915">
        <w:rPr>
          <w:color w:val="auto"/>
        </w:rPr>
        <w:t>olaparib</w:t>
      </w:r>
      <w:proofErr w:type="spellEnd"/>
      <w:r w:rsidRPr="004F7915">
        <w:rPr>
          <w:color w:val="auto"/>
        </w:rPr>
        <w:t xml:space="preserve"> compared with 16.9% of patients receiving placebo), interruptions were typically short</w:t>
      </w:r>
      <w:r w:rsidRPr="00DC08B0">
        <w:rPr>
          <w:color w:val="auto"/>
        </w:rPr>
        <w:t>.</w:t>
      </w:r>
    </w:p>
    <w:p w:rsidR="00B12A8C" w:rsidRPr="004F7915" w:rsidRDefault="007415A6" w:rsidP="00563974">
      <w:pPr>
        <w:pStyle w:val="ListParagraph"/>
        <w:numPr>
          <w:ilvl w:val="4"/>
          <w:numId w:val="1"/>
        </w:numPr>
        <w:rPr>
          <w:color w:val="auto"/>
        </w:rPr>
      </w:pPr>
      <w:r>
        <w:rPr>
          <w:iCs/>
          <w:color w:val="auto"/>
        </w:rPr>
        <w:t>T</w:t>
      </w:r>
      <w:r w:rsidR="00B12A8C" w:rsidRPr="004F7915">
        <w:rPr>
          <w:iCs/>
          <w:color w:val="auto"/>
        </w:rPr>
        <w:t>he safety in SOLO1 does not capture adverse events associated with later</w:t>
      </w:r>
      <w:r w:rsidR="0084088A" w:rsidRPr="004F7915">
        <w:rPr>
          <w:iCs/>
          <w:color w:val="auto"/>
        </w:rPr>
        <w:t>-</w:t>
      </w:r>
      <w:r w:rsidR="00B12A8C" w:rsidRPr="004F7915">
        <w:rPr>
          <w:iCs/>
          <w:color w:val="auto"/>
        </w:rPr>
        <w:t xml:space="preserve">line treatments, which may </w:t>
      </w:r>
      <w:r w:rsidR="004F7915" w:rsidRPr="004F7915">
        <w:rPr>
          <w:iCs/>
        </w:rPr>
        <w:t xml:space="preserve">be </w:t>
      </w:r>
      <w:r w:rsidR="00B12A8C" w:rsidRPr="004F7915">
        <w:rPr>
          <w:iCs/>
          <w:color w:val="auto"/>
        </w:rPr>
        <w:t>greater</w:t>
      </w:r>
      <w:r w:rsidR="004F7915" w:rsidRPr="004F7915">
        <w:rPr>
          <w:iCs/>
        </w:rPr>
        <w:t xml:space="preserve"> </w:t>
      </w:r>
      <w:r w:rsidR="00B12A8C" w:rsidRPr="004F7915">
        <w:rPr>
          <w:iCs/>
          <w:color w:val="auto"/>
        </w:rPr>
        <w:t>in the placebo arm. For instance</w:t>
      </w:r>
      <w:r w:rsidR="00F377F6" w:rsidRPr="004F7915">
        <w:rPr>
          <w:iCs/>
          <w:color w:val="auto"/>
        </w:rPr>
        <w:t>,</w:t>
      </w:r>
      <w:r w:rsidR="00B12A8C" w:rsidRPr="004F7915">
        <w:rPr>
          <w:iCs/>
          <w:color w:val="auto"/>
        </w:rPr>
        <w:t xml:space="preserve"> a proportion of </w:t>
      </w:r>
      <w:r w:rsidR="00B12A8C" w:rsidRPr="004F7915">
        <w:rPr>
          <w:iCs/>
          <w:color w:val="auto"/>
        </w:rPr>
        <w:lastRenderedPageBreak/>
        <w:t xml:space="preserve">patients who progress in the placebo arm will be exposed to </w:t>
      </w:r>
      <w:proofErr w:type="spellStart"/>
      <w:r w:rsidR="00B12A8C" w:rsidRPr="004F7915">
        <w:rPr>
          <w:iCs/>
          <w:color w:val="auto"/>
        </w:rPr>
        <w:t>olaparib</w:t>
      </w:r>
      <w:proofErr w:type="spellEnd"/>
      <w:r w:rsidR="00B12A8C" w:rsidRPr="004F7915">
        <w:rPr>
          <w:iCs/>
          <w:color w:val="auto"/>
        </w:rPr>
        <w:t xml:space="preserve"> in the later</w:t>
      </w:r>
      <w:r w:rsidR="0084088A" w:rsidRPr="004F7915">
        <w:rPr>
          <w:iCs/>
          <w:color w:val="auto"/>
        </w:rPr>
        <w:t>-</w:t>
      </w:r>
      <w:r w:rsidR="00B12A8C" w:rsidRPr="004F7915">
        <w:rPr>
          <w:iCs/>
          <w:color w:val="auto"/>
        </w:rPr>
        <w:t>line setting.</w:t>
      </w:r>
      <w:r w:rsidR="00B12A8C" w:rsidRPr="004F7915">
        <w:rPr>
          <w:color w:val="auto"/>
        </w:rPr>
        <w:t xml:space="preserve"> </w:t>
      </w:r>
    </w:p>
    <w:p w:rsidR="00B12A8C" w:rsidRPr="00CC4DC5" w:rsidRDefault="00B12A8C" w:rsidP="00563974">
      <w:pPr>
        <w:pStyle w:val="ListParagraph"/>
        <w:numPr>
          <w:ilvl w:val="4"/>
          <w:numId w:val="1"/>
        </w:numPr>
        <w:rPr>
          <w:color w:val="auto"/>
        </w:rPr>
      </w:pPr>
      <w:proofErr w:type="spellStart"/>
      <w:r w:rsidRPr="004F7915">
        <w:rPr>
          <w:color w:val="auto"/>
        </w:rPr>
        <w:t>Olaparib</w:t>
      </w:r>
      <w:proofErr w:type="spellEnd"/>
      <w:r w:rsidRPr="004F7915">
        <w:rPr>
          <w:color w:val="auto"/>
        </w:rPr>
        <w:t xml:space="preserve"> may be associated with myelodysplastic syndrome or acute myeloid leukaemia.</w:t>
      </w:r>
      <w:r w:rsidRPr="00DC08B0">
        <w:rPr>
          <w:color w:val="auto"/>
        </w:rPr>
        <w:t xml:space="preserve"> As presented in the periodic benefit-risk evaluation report (8 February 2019), the cumulative incidence of MDS/AML in patients known to have been treated with </w:t>
      </w:r>
      <w:proofErr w:type="spellStart"/>
      <w:r w:rsidRPr="00DC08B0">
        <w:rPr>
          <w:color w:val="auto"/>
        </w:rPr>
        <w:t>olaparib</w:t>
      </w:r>
      <w:proofErr w:type="spellEnd"/>
      <w:r w:rsidRPr="00DC08B0">
        <w:rPr>
          <w:color w:val="auto"/>
        </w:rPr>
        <w:t xml:space="preserve"> is approximately 0.59%.</w:t>
      </w:r>
      <w:r w:rsidR="001B3A96">
        <w:rPr>
          <w:color w:val="auto"/>
        </w:rPr>
        <w:t xml:space="preserve"> </w:t>
      </w:r>
      <w:r w:rsidR="003740F6" w:rsidRPr="00CC4DC5">
        <w:rPr>
          <w:color w:val="auto"/>
        </w:rPr>
        <w:t xml:space="preserve">The ESC noted that the PBAC previously </w:t>
      </w:r>
      <w:r w:rsidR="003B018B" w:rsidRPr="00CC4DC5">
        <w:rPr>
          <w:color w:val="auto"/>
        </w:rPr>
        <w:t xml:space="preserve">advised that concerns regarding the long-term safety of </w:t>
      </w:r>
      <w:proofErr w:type="spellStart"/>
      <w:r w:rsidR="003B018B" w:rsidRPr="00CC4DC5">
        <w:rPr>
          <w:color w:val="auto"/>
        </w:rPr>
        <w:t>olaparib</w:t>
      </w:r>
      <w:proofErr w:type="spellEnd"/>
      <w:r w:rsidR="003B018B" w:rsidRPr="00CC4DC5">
        <w:rPr>
          <w:color w:val="auto"/>
        </w:rPr>
        <w:t xml:space="preserve"> in the context of MDS and AML were not sufficient to impede support for subsidising </w:t>
      </w:r>
      <w:proofErr w:type="spellStart"/>
      <w:r w:rsidR="003B018B" w:rsidRPr="00CC4DC5">
        <w:rPr>
          <w:color w:val="auto"/>
        </w:rPr>
        <w:t>olaparib</w:t>
      </w:r>
      <w:proofErr w:type="spellEnd"/>
      <w:r w:rsidR="003B018B" w:rsidRPr="00CC4DC5">
        <w:rPr>
          <w:color w:val="auto"/>
        </w:rPr>
        <w:t xml:space="preserve"> in the 2</w:t>
      </w:r>
      <w:r w:rsidR="003B018B" w:rsidRPr="00CC4DC5">
        <w:rPr>
          <w:color w:val="auto"/>
          <w:vertAlign w:val="superscript"/>
        </w:rPr>
        <w:t>nd</w:t>
      </w:r>
      <w:r w:rsidR="003B018B" w:rsidRPr="00CC4DC5">
        <w:rPr>
          <w:color w:val="auto"/>
        </w:rPr>
        <w:t xml:space="preserve"> line setting</w:t>
      </w:r>
      <w:r w:rsidR="00E919EE" w:rsidRPr="00CC4DC5">
        <w:rPr>
          <w:color w:val="auto"/>
        </w:rPr>
        <w:t>, particularly given that MDS and AML are also recognised side effects of conventional chemotherapy</w:t>
      </w:r>
      <w:r w:rsidR="00321AB9" w:rsidRPr="00CC4DC5">
        <w:rPr>
          <w:color w:val="auto"/>
        </w:rPr>
        <w:t xml:space="preserve"> (</w:t>
      </w:r>
      <w:r w:rsidR="007415A6">
        <w:rPr>
          <w:color w:val="auto"/>
        </w:rPr>
        <w:t xml:space="preserve">paragraph 7.4, </w:t>
      </w:r>
      <w:proofErr w:type="spellStart"/>
      <w:r w:rsidR="007415A6">
        <w:rPr>
          <w:color w:val="auto"/>
        </w:rPr>
        <w:t>o</w:t>
      </w:r>
      <w:r w:rsidR="00564A06" w:rsidRPr="00CC4DC5">
        <w:rPr>
          <w:color w:val="auto"/>
        </w:rPr>
        <w:t>laparib</w:t>
      </w:r>
      <w:proofErr w:type="spellEnd"/>
      <w:r w:rsidR="00564A06" w:rsidRPr="00CC4DC5">
        <w:rPr>
          <w:color w:val="auto"/>
        </w:rPr>
        <w:t xml:space="preserve"> </w:t>
      </w:r>
      <w:r w:rsidR="00763D79" w:rsidRPr="00CC4DC5">
        <w:rPr>
          <w:color w:val="auto"/>
        </w:rPr>
        <w:t>PSD</w:t>
      </w:r>
      <w:r w:rsidR="00564A06" w:rsidRPr="00CC4DC5">
        <w:rPr>
          <w:color w:val="auto"/>
        </w:rPr>
        <w:t>,</w:t>
      </w:r>
      <w:r w:rsidR="00763D79" w:rsidRPr="00CC4DC5">
        <w:rPr>
          <w:color w:val="auto"/>
        </w:rPr>
        <w:t xml:space="preserve"> </w:t>
      </w:r>
      <w:r w:rsidR="00321AB9" w:rsidRPr="00CC4DC5">
        <w:rPr>
          <w:color w:val="auto"/>
        </w:rPr>
        <w:t>March 2016)</w:t>
      </w:r>
      <w:r w:rsidR="00E919EE" w:rsidRPr="00CC4DC5">
        <w:rPr>
          <w:color w:val="auto"/>
        </w:rPr>
        <w:t>.</w:t>
      </w:r>
    </w:p>
    <w:p w:rsidR="00B12A8C" w:rsidRPr="009A0D5D" w:rsidRDefault="00B12A8C" w:rsidP="00563974">
      <w:pPr>
        <w:pStyle w:val="PBACESHeading2"/>
        <w:keepNext w:val="0"/>
      </w:pPr>
      <w:bookmarkStart w:id="17" w:name="_Toc18489979"/>
      <w:r w:rsidRPr="009A0D5D">
        <w:t>Benefits and harms</w:t>
      </w:r>
      <w:bookmarkEnd w:id="17"/>
    </w:p>
    <w:p w:rsidR="00B12A8C" w:rsidRPr="00DC08B0" w:rsidRDefault="00B12A8C" w:rsidP="00563974">
      <w:pPr>
        <w:pStyle w:val="ListParagraph"/>
        <w:numPr>
          <w:ilvl w:val="4"/>
          <w:numId w:val="1"/>
        </w:numPr>
      </w:pPr>
      <w:r w:rsidRPr="00DC08B0">
        <w:rPr>
          <w:color w:val="auto"/>
        </w:rPr>
        <w:t xml:space="preserve">A summary of the comparative benefits and harms for </w:t>
      </w:r>
      <w:proofErr w:type="spellStart"/>
      <w:r w:rsidRPr="00DC08B0">
        <w:rPr>
          <w:color w:val="auto"/>
        </w:rPr>
        <w:t>olaparib</w:t>
      </w:r>
      <w:proofErr w:type="spellEnd"/>
      <w:r w:rsidRPr="00DC08B0">
        <w:rPr>
          <w:color w:val="auto"/>
        </w:rPr>
        <w:t xml:space="preserve"> versus placebo is presented in the table </w:t>
      </w:r>
      <w:r w:rsidRPr="003C4810">
        <w:rPr>
          <w:color w:val="auto"/>
        </w:rPr>
        <w:t>below</w:t>
      </w:r>
      <w:r w:rsidRPr="00DC08B0">
        <w:rPr>
          <w:color w:val="auto"/>
        </w:rPr>
        <w:t>.</w:t>
      </w:r>
      <w:r w:rsidRPr="00DC08B0">
        <w:t xml:space="preserve"> </w:t>
      </w:r>
    </w:p>
    <w:p w:rsidR="00B12A8C" w:rsidRPr="00DC08B0" w:rsidRDefault="00563974" w:rsidP="00563974">
      <w:pPr>
        <w:pStyle w:val="Caption"/>
        <w:keepNext w:val="0"/>
        <w:ind w:left="1418" w:hanging="1418"/>
      </w:pPr>
      <w:r>
        <w:t xml:space="preserve">Table </w:t>
      </w:r>
      <w:r w:rsidR="00A75368">
        <w:rPr>
          <w:noProof/>
        </w:rPr>
        <w:t>8</w:t>
      </w:r>
      <w:r>
        <w:rPr>
          <w:noProof/>
        </w:rPr>
        <w:t xml:space="preserve">: </w:t>
      </w:r>
      <w:r w:rsidR="00B12A8C" w:rsidRPr="00DC08B0">
        <w:t xml:space="preserve">Summary of comparative benefits and harms for </w:t>
      </w:r>
      <w:proofErr w:type="spellStart"/>
      <w:r w:rsidR="00B12A8C" w:rsidRPr="00DC08B0">
        <w:t>olaparib</w:t>
      </w:r>
      <w:proofErr w:type="spellEnd"/>
      <w:r w:rsidR="00B12A8C" w:rsidRPr="00DC08B0">
        <w:t xml:space="preserve"> and PBO</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ummary of comparative benefits and harms for olaparib and PBO"/>
      </w:tblPr>
      <w:tblGrid>
        <w:gridCol w:w="986"/>
        <w:gridCol w:w="1702"/>
        <w:gridCol w:w="992"/>
        <w:gridCol w:w="709"/>
        <w:gridCol w:w="417"/>
        <w:gridCol w:w="1001"/>
        <w:gridCol w:w="400"/>
        <w:gridCol w:w="1073"/>
        <w:gridCol w:w="330"/>
        <w:gridCol w:w="1406"/>
      </w:tblGrid>
      <w:tr w:rsidR="00B12A8C" w:rsidRPr="00F72550" w:rsidTr="00F72550">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0"/>
            <w:shd w:val="clear" w:color="auto" w:fill="auto"/>
            <w:vAlign w:val="center"/>
          </w:tcPr>
          <w:p w:rsidR="00B12A8C" w:rsidRPr="00F72550" w:rsidRDefault="00B12A8C" w:rsidP="00563974">
            <w:pPr>
              <w:pStyle w:val="TableText"/>
              <w:widowControl/>
              <w:rPr>
                <w:lang w:val="en-AU"/>
              </w:rPr>
            </w:pPr>
            <w:r w:rsidRPr="00F72550">
              <w:rPr>
                <w:lang w:val="en-AU"/>
              </w:rPr>
              <w:t>Benefits</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47" w:type="pct"/>
            <w:shd w:val="clear" w:color="auto" w:fill="auto"/>
            <w:vAlign w:val="center"/>
          </w:tcPr>
          <w:p w:rsidR="00B12A8C" w:rsidRPr="00F72550" w:rsidRDefault="00B12A8C" w:rsidP="00563974">
            <w:pPr>
              <w:pStyle w:val="TableText"/>
              <w:widowControl/>
              <w:rPr>
                <w:lang w:val="en-AU"/>
              </w:rPr>
            </w:pPr>
            <w:r w:rsidRPr="00F72550">
              <w:rPr>
                <w:lang w:val="en-AU"/>
              </w:rPr>
              <w:t>Trial</w:t>
            </w:r>
          </w:p>
        </w:tc>
        <w:tc>
          <w:tcPr>
            <w:tcW w:w="944" w:type="pct"/>
            <w:shd w:val="clear" w:color="auto" w:fill="auto"/>
            <w:vAlign w:val="center"/>
          </w:tcPr>
          <w:p w:rsidR="00B12A8C" w:rsidRPr="00F72550" w:rsidRDefault="00B12A8C" w:rsidP="00563974">
            <w:pPr>
              <w:pStyle w:val="TableText"/>
              <w:widowControl/>
              <w:jc w:val="center"/>
              <w:rPr>
                <w:lang w:val="en-AU"/>
              </w:rPr>
            </w:pPr>
            <w:r w:rsidRPr="00F72550">
              <w:rPr>
                <w:lang w:val="en-AU"/>
              </w:rPr>
              <w:t>Median duration of follow up</w:t>
            </w:r>
          </w:p>
        </w:tc>
        <w:tc>
          <w:tcPr>
            <w:tcW w:w="550" w:type="pct"/>
            <w:shd w:val="clear" w:color="auto" w:fill="auto"/>
            <w:vAlign w:val="center"/>
          </w:tcPr>
          <w:p w:rsidR="00B12A8C" w:rsidRPr="00F72550" w:rsidRDefault="00B12A8C" w:rsidP="00563974">
            <w:pPr>
              <w:pStyle w:val="TableText"/>
              <w:widowControl/>
              <w:jc w:val="center"/>
              <w:rPr>
                <w:lang w:val="en-AU"/>
              </w:rPr>
            </w:pPr>
            <w:r w:rsidRPr="00F72550">
              <w:rPr>
                <w:lang w:val="en-AU"/>
              </w:rPr>
              <w:t>Event</w:t>
            </w:r>
          </w:p>
        </w:tc>
        <w:tc>
          <w:tcPr>
            <w:tcW w:w="624" w:type="pct"/>
            <w:gridSpan w:val="2"/>
            <w:shd w:val="clear" w:color="auto" w:fill="auto"/>
            <w:vAlign w:val="center"/>
          </w:tcPr>
          <w:p w:rsidR="00B12A8C" w:rsidRPr="00F72550" w:rsidRDefault="00B12A8C" w:rsidP="00563974">
            <w:pPr>
              <w:pStyle w:val="TableText"/>
              <w:widowControl/>
              <w:jc w:val="center"/>
              <w:rPr>
                <w:lang w:val="en-AU"/>
              </w:rPr>
            </w:pPr>
            <w:proofErr w:type="spellStart"/>
            <w:r w:rsidRPr="00F72550">
              <w:rPr>
                <w:lang w:val="en-AU"/>
              </w:rPr>
              <w:t>Olaparib</w:t>
            </w:r>
            <w:proofErr w:type="spellEnd"/>
          </w:p>
          <w:p w:rsidR="00B12A8C" w:rsidRPr="00F72550" w:rsidRDefault="00B12A8C" w:rsidP="00563974">
            <w:pPr>
              <w:pStyle w:val="TableText"/>
              <w:widowControl/>
              <w:jc w:val="center"/>
              <w:rPr>
                <w:lang w:val="en-AU"/>
              </w:rPr>
            </w:pPr>
            <w:proofErr w:type="gramStart"/>
            <w:r w:rsidRPr="00F72550">
              <w:rPr>
                <w:lang w:val="en-AU"/>
              </w:rPr>
              <w:t>n/N</w:t>
            </w:r>
            <w:proofErr w:type="gramEnd"/>
            <w:r w:rsidRPr="00F72550">
              <w:rPr>
                <w:lang w:val="en-AU"/>
              </w:rPr>
              <w:t xml:space="preserve"> (%)</w:t>
            </w:r>
          </w:p>
        </w:tc>
        <w:tc>
          <w:tcPr>
            <w:tcW w:w="777" w:type="pct"/>
            <w:gridSpan w:val="2"/>
            <w:shd w:val="clear" w:color="auto" w:fill="auto"/>
            <w:vAlign w:val="center"/>
          </w:tcPr>
          <w:p w:rsidR="00B12A8C" w:rsidRPr="00F72550" w:rsidRDefault="00B12A8C" w:rsidP="00563974">
            <w:pPr>
              <w:pStyle w:val="TableText"/>
              <w:widowControl/>
              <w:jc w:val="center"/>
              <w:rPr>
                <w:lang w:val="en-AU"/>
              </w:rPr>
            </w:pPr>
            <w:r w:rsidRPr="00F72550">
              <w:rPr>
                <w:lang w:val="en-AU"/>
              </w:rPr>
              <w:t>PBO</w:t>
            </w:r>
          </w:p>
          <w:p w:rsidR="00B12A8C" w:rsidRPr="00F72550" w:rsidRDefault="00B12A8C" w:rsidP="00563974">
            <w:pPr>
              <w:pStyle w:val="TableText"/>
              <w:widowControl/>
              <w:jc w:val="center"/>
              <w:rPr>
                <w:lang w:val="en-AU"/>
              </w:rPr>
            </w:pPr>
            <w:proofErr w:type="gramStart"/>
            <w:r w:rsidRPr="00F72550">
              <w:rPr>
                <w:lang w:val="en-AU"/>
              </w:rPr>
              <w:t>n/N</w:t>
            </w:r>
            <w:proofErr w:type="gramEnd"/>
            <w:r w:rsidRPr="00F72550">
              <w:rPr>
                <w:lang w:val="en-AU"/>
              </w:rPr>
              <w:t xml:space="preserve"> (%)</w:t>
            </w:r>
          </w:p>
        </w:tc>
        <w:tc>
          <w:tcPr>
            <w:tcW w:w="778" w:type="pct"/>
            <w:gridSpan w:val="2"/>
            <w:shd w:val="clear" w:color="auto" w:fill="auto"/>
            <w:vAlign w:val="center"/>
          </w:tcPr>
          <w:p w:rsidR="00B12A8C" w:rsidRPr="00F72550" w:rsidRDefault="00B12A8C" w:rsidP="00563974">
            <w:pPr>
              <w:pStyle w:val="TableText"/>
              <w:widowControl/>
              <w:jc w:val="center"/>
              <w:rPr>
                <w:rFonts w:asciiTheme="minorHAnsi" w:hAnsiTheme="minorHAnsi"/>
                <w:lang w:val="en-AU"/>
              </w:rPr>
            </w:pPr>
            <w:r w:rsidRPr="00F72550">
              <w:rPr>
                <w:lang w:val="en-AU"/>
              </w:rPr>
              <w:t>Absolute difference (%)</w:t>
            </w:r>
          </w:p>
        </w:tc>
        <w:tc>
          <w:tcPr>
            <w:tcW w:w="780" w:type="pct"/>
            <w:shd w:val="clear" w:color="auto" w:fill="auto"/>
            <w:vAlign w:val="center"/>
          </w:tcPr>
          <w:p w:rsidR="00B12A8C" w:rsidRPr="00F72550" w:rsidRDefault="00B12A8C" w:rsidP="00563974">
            <w:pPr>
              <w:pStyle w:val="TableText"/>
              <w:widowControl/>
              <w:jc w:val="center"/>
              <w:rPr>
                <w:lang w:val="en-AU"/>
              </w:rPr>
            </w:pPr>
            <w:r w:rsidRPr="00F72550">
              <w:rPr>
                <w:lang w:val="en-AU"/>
              </w:rPr>
              <w:t>HR (95% CI)</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47" w:type="pct"/>
            <w:vMerge w:val="restart"/>
            <w:shd w:val="clear" w:color="auto" w:fill="auto"/>
            <w:vAlign w:val="center"/>
          </w:tcPr>
          <w:p w:rsidR="00B12A8C" w:rsidRPr="00F72550" w:rsidRDefault="00B12A8C" w:rsidP="00563974">
            <w:pPr>
              <w:pStyle w:val="TableText"/>
              <w:widowControl/>
              <w:rPr>
                <w:b w:val="0"/>
                <w:bCs/>
                <w:lang w:val="en-AU"/>
              </w:rPr>
            </w:pPr>
            <w:r w:rsidRPr="00F72550">
              <w:rPr>
                <w:b w:val="0"/>
                <w:bCs/>
                <w:lang w:val="en-AU"/>
              </w:rPr>
              <w:t>SOLO1</w:t>
            </w:r>
          </w:p>
          <w:p w:rsidR="00B12A8C" w:rsidRPr="00F72550" w:rsidRDefault="00B12A8C" w:rsidP="00563974">
            <w:pPr>
              <w:pStyle w:val="TableText"/>
              <w:widowControl/>
              <w:rPr>
                <w:b w:val="0"/>
                <w:bCs/>
                <w:lang w:val="en-AU"/>
              </w:rPr>
            </w:pPr>
          </w:p>
        </w:tc>
        <w:tc>
          <w:tcPr>
            <w:tcW w:w="944" w:type="pct"/>
            <w:vMerge w:val="restart"/>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 xml:space="preserve">41 </w:t>
            </w:r>
            <w:proofErr w:type="spellStart"/>
            <w:r w:rsidRPr="00F72550">
              <w:rPr>
                <w:b w:val="0"/>
                <w:bCs/>
                <w:lang w:val="en-AU"/>
              </w:rPr>
              <w:t>mo</w:t>
            </w:r>
            <w:proofErr w:type="spellEnd"/>
          </w:p>
        </w:tc>
        <w:tc>
          <w:tcPr>
            <w:tcW w:w="550" w:type="pct"/>
            <w:tcBorders>
              <w:bottom w:val="double" w:sz="4" w:space="0" w:color="auto"/>
            </w:tcBorders>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Progressed</w:t>
            </w:r>
          </w:p>
        </w:tc>
        <w:tc>
          <w:tcPr>
            <w:tcW w:w="624" w:type="pct"/>
            <w:gridSpan w:val="2"/>
            <w:tcBorders>
              <w:bottom w:val="double" w:sz="4" w:space="0" w:color="auto"/>
            </w:tcBorders>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102/260 (39.2)</w:t>
            </w:r>
          </w:p>
        </w:tc>
        <w:tc>
          <w:tcPr>
            <w:tcW w:w="777" w:type="pct"/>
            <w:gridSpan w:val="2"/>
            <w:tcBorders>
              <w:bottom w:val="double" w:sz="4" w:space="0" w:color="auto"/>
            </w:tcBorders>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96/131 (73.3)</w:t>
            </w:r>
          </w:p>
        </w:tc>
        <w:tc>
          <w:tcPr>
            <w:tcW w:w="778" w:type="pct"/>
            <w:gridSpan w:val="2"/>
            <w:tcBorders>
              <w:bottom w:val="double" w:sz="4" w:space="0" w:color="auto"/>
            </w:tcBorders>
            <w:shd w:val="clear" w:color="auto" w:fill="auto"/>
            <w:vAlign w:val="center"/>
          </w:tcPr>
          <w:p w:rsidR="00B12A8C" w:rsidRPr="00F72550" w:rsidRDefault="00A63076" w:rsidP="00563974">
            <w:pPr>
              <w:pStyle w:val="TableText"/>
              <w:widowControl/>
              <w:jc w:val="center"/>
              <w:rPr>
                <w:b w:val="0"/>
                <w:bCs/>
                <w:lang w:val="en-AU"/>
              </w:rPr>
            </w:pPr>
            <w:r w:rsidRPr="00F72550">
              <w:rPr>
                <w:b w:val="0"/>
                <w:bCs/>
                <w:lang w:val="en-AU"/>
              </w:rPr>
              <w:t xml:space="preserve">24 months: </w:t>
            </w:r>
            <w:r w:rsidR="00B12A8C" w:rsidRPr="00F72550">
              <w:rPr>
                <w:b w:val="0"/>
                <w:bCs/>
                <w:lang w:val="en-AU"/>
              </w:rPr>
              <w:t>3</w:t>
            </w:r>
            <w:r w:rsidRPr="00F72550">
              <w:rPr>
                <w:b w:val="0"/>
                <w:bCs/>
                <w:lang w:val="en-AU"/>
              </w:rPr>
              <w:t>9</w:t>
            </w:r>
          </w:p>
        </w:tc>
        <w:tc>
          <w:tcPr>
            <w:tcW w:w="780" w:type="pct"/>
            <w:tcBorders>
              <w:bottom w:val="double" w:sz="4" w:space="0" w:color="auto"/>
            </w:tcBorders>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0.30 (0.23, 0.41)</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47" w:type="pct"/>
            <w:vMerge/>
            <w:shd w:val="clear" w:color="auto" w:fill="auto"/>
            <w:vAlign w:val="center"/>
          </w:tcPr>
          <w:p w:rsidR="00B12A8C" w:rsidRPr="00F72550" w:rsidRDefault="00B12A8C" w:rsidP="00563974">
            <w:pPr>
              <w:pStyle w:val="TableText"/>
              <w:widowControl/>
              <w:rPr>
                <w:b w:val="0"/>
                <w:bCs/>
                <w:lang w:val="en-AU"/>
              </w:rPr>
            </w:pPr>
          </w:p>
        </w:tc>
        <w:tc>
          <w:tcPr>
            <w:tcW w:w="944" w:type="pct"/>
            <w:vMerge/>
            <w:shd w:val="clear" w:color="auto" w:fill="auto"/>
            <w:vAlign w:val="center"/>
          </w:tcPr>
          <w:p w:rsidR="00B12A8C" w:rsidRPr="00F72550" w:rsidRDefault="00B12A8C" w:rsidP="00563974">
            <w:pPr>
              <w:pStyle w:val="TableText"/>
              <w:widowControl/>
              <w:jc w:val="center"/>
              <w:rPr>
                <w:b w:val="0"/>
                <w:bCs/>
                <w:lang w:val="en-AU"/>
              </w:rPr>
            </w:pPr>
          </w:p>
        </w:tc>
        <w:tc>
          <w:tcPr>
            <w:tcW w:w="550" w:type="pct"/>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Dead</w:t>
            </w:r>
          </w:p>
        </w:tc>
        <w:tc>
          <w:tcPr>
            <w:tcW w:w="624"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55/260 (21.2)</w:t>
            </w:r>
          </w:p>
        </w:tc>
        <w:tc>
          <w:tcPr>
            <w:tcW w:w="777"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27/131 (20.6)</w:t>
            </w:r>
          </w:p>
        </w:tc>
        <w:tc>
          <w:tcPr>
            <w:tcW w:w="778" w:type="pct"/>
            <w:gridSpan w:val="2"/>
            <w:shd w:val="clear" w:color="auto" w:fill="auto"/>
            <w:vAlign w:val="center"/>
          </w:tcPr>
          <w:p w:rsidR="00B12A8C" w:rsidRPr="00F72550" w:rsidRDefault="00A63076" w:rsidP="00563974">
            <w:pPr>
              <w:pStyle w:val="TableText"/>
              <w:widowControl/>
              <w:jc w:val="center"/>
              <w:rPr>
                <w:rFonts w:asciiTheme="minorHAnsi" w:hAnsiTheme="minorHAnsi"/>
                <w:b w:val="0"/>
                <w:bCs/>
                <w:lang w:val="en-AU"/>
              </w:rPr>
            </w:pPr>
            <w:r w:rsidRPr="00F72550">
              <w:rPr>
                <w:b w:val="0"/>
                <w:bCs/>
                <w:lang w:val="en-AU"/>
              </w:rPr>
              <w:t>36 months: 3.5</w:t>
            </w:r>
          </w:p>
        </w:tc>
        <w:tc>
          <w:tcPr>
            <w:tcW w:w="780" w:type="pct"/>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0.95 (0.60, 1.53)</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000" w:type="pct"/>
            <w:gridSpan w:val="10"/>
            <w:tcBorders>
              <w:top w:val="double" w:sz="4" w:space="0" w:color="auto"/>
            </w:tcBorders>
            <w:shd w:val="clear" w:color="auto" w:fill="auto"/>
            <w:vAlign w:val="center"/>
          </w:tcPr>
          <w:p w:rsidR="00B12A8C" w:rsidRPr="00F72550" w:rsidRDefault="00B12A8C" w:rsidP="00563974">
            <w:pPr>
              <w:pStyle w:val="TableText"/>
              <w:widowControl/>
              <w:rPr>
                <w:lang w:val="en-AU"/>
              </w:rPr>
            </w:pPr>
            <w:r w:rsidRPr="00F72550">
              <w:rPr>
                <w:lang w:val="en-AU"/>
              </w:rPr>
              <w:t>Harms</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rHeight w:val="285"/>
          <w:tblHeader/>
        </w:trPr>
        <w:tc>
          <w:tcPr>
            <w:tcW w:w="547" w:type="pct"/>
            <w:vMerge w:val="restart"/>
            <w:shd w:val="clear" w:color="auto" w:fill="auto"/>
            <w:vAlign w:val="center"/>
          </w:tcPr>
          <w:p w:rsidR="00B12A8C" w:rsidRPr="00F72550" w:rsidRDefault="00B12A8C" w:rsidP="00563974">
            <w:pPr>
              <w:pStyle w:val="TableText"/>
              <w:widowControl/>
              <w:rPr>
                <w:lang w:val="en-AU"/>
              </w:rPr>
            </w:pPr>
            <w:r w:rsidRPr="00F72550">
              <w:rPr>
                <w:lang w:val="en-AU"/>
              </w:rPr>
              <w:t>Trial</w:t>
            </w:r>
          </w:p>
        </w:tc>
        <w:tc>
          <w:tcPr>
            <w:tcW w:w="944" w:type="pct"/>
            <w:vMerge w:val="restart"/>
            <w:shd w:val="clear" w:color="auto" w:fill="auto"/>
            <w:vAlign w:val="center"/>
          </w:tcPr>
          <w:p w:rsidR="00B12A8C" w:rsidRPr="00F72550" w:rsidRDefault="00B12A8C" w:rsidP="00563974">
            <w:pPr>
              <w:pStyle w:val="TableText"/>
              <w:widowControl/>
              <w:jc w:val="center"/>
              <w:rPr>
                <w:lang w:val="en-AU"/>
              </w:rPr>
            </w:pPr>
            <w:r w:rsidRPr="00F72550">
              <w:rPr>
                <w:lang w:val="en-AU"/>
              </w:rPr>
              <w:t xml:space="preserve">Average duration of </w:t>
            </w:r>
            <w:proofErr w:type="spellStart"/>
            <w:r w:rsidRPr="00F72550">
              <w:rPr>
                <w:lang w:val="en-AU"/>
              </w:rPr>
              <w:t>treatment</w:t>
            </w:r>
            <w:r w:rsidRPr="00F72550">
              <w:rPr>
                <w:vertAlign w:val="superscript"/>
                <w:lang w:val="en-AU"/>
              </w:rPr>
              <w:t>b</w:t>
            </w:r>
            <w:proofErr w:type="spellEnd"/>
          </w:p>
        </w:tc>
        <w:tc>
          <w:tcPr>
            <w:tcW w:w="943" w:type="pct"/>
            <w:gridSpan w:val="2"/>
            <w:vMerge w:val="restart"/>
            <w:shd w:val="clear" w:color="auto" w:fill="auto"/>
            <w:vAlign w:val="center"/>
          </w:tcPr>
          <w:p w:rsidR="00B12A8C" w:rsidRPr="00F72550" w:rsidRDefault="00B12A8C" w:rsidP="00563974">
            <w:pPr>
              <w:pStyle w:val="TableText"/>
              <w:widowControl/>
              <w:jc w:val="center"/>
              <w:rPr>
                <w:lang w:val="en-AU"/>
              </w:rPr>
            </w:pPr>
            <w:proofErr w:type="spellStart"/>
            <w:r w:rsidRPr="00F72550">
              <w:rPr>
                <w:lang w:val="en-AU"/>
              </w:rPr>
              <w:t>Olaparib</w:t>
            </w:r>
            <w:proofErr w:type="spellEnd"/>
            <w:r w:rsidRPr="00F72550">
              <w:rPr>
                <w:lang w:val="en-AU"/>
              </w:rPr>
              <w:t xml:space="preserve"> n/N (%)</w:t>
            </w:r>
          </w:p>
        </w:tc>
        <w:tc>
          <w:tcPr>
            <w:tcW w:w="786" w:type="pct"/>
            <w:gridSpan w:val="2"/>
            <w:vMerge w:val="restart"/>
            <w:shd w:val="clear" w:color="auto" w:fill="auto"/>
            <w:vAlign w:val="center"/>
          </w:tcPr>
          <w:p w:rsidR="00B12A8C" w:rsidRPr="00F72550" w:rsidRDefault="00B12A8C" w:rsidP="00563974">
            <w:pPr>
              <w:pStyle w:val="TableText"/>
              <w:widowControl/>
              <w:jc w:val="center"/>
              <w:rPr>
                <w:lang w:val="en-AU"/>
              </w:rPr>
            </w:pPr>
            <w:r w:rsidRPr="00F72550">
              <w:rPr>
                <w:lang w:val="en-AU"/>
              </w:rPr>
              <w:t>PBO</w:t>
            </w:r>
            <w:r w:rsidR="003C4810" w:rsidRPr="00F72550">
              <w:rPr>
                <w:lang w:val="en-AU"/>
              </w:rPr>
              <w:t xml:space="preserve"> </w:t>
            </w:r>
            <w:r w:rsidRPr="00F72550">
              <w:rPr>
                <w:lang w:val="en-AU"/>
              </w:rPr>
              <w:t>n/N (%)</w:t>
            </w:r>
          </w:p>
        </w:tc>
        <w:tc>
          <w:tcPr>
            <w:tcW w:w="817" w:type="pct"/>
            <w:gridSpan w:val="2"/>
            <w:vMerge w:val="restart"/>
            <w:shd w:val="clear" w:color="auto" w:fill="auto"/>
            <w:vAlign w:val="center"/>
          </w:tcPr>
          <w:p w:rsidR="00B12A8C" w:rsidRPr="00F72550" w:rsidRDefault="00B12A8C" w:rsidP="00563974">
            <w:pPr>
              <w:pStyle w:val="TableText"/>
              <w:widowControl/>
              <w:jc w:val="center"/>
              <w:rPr>
                <w:lang w:val="en-AU"/>
              </w:rPr>
            </w:pPr>
            <w:proofErr w:type="spellStart"/>
            <w:r w:rsidRPr="00F72550">
              <w:rPr>
                <w:lang w:val="en-AU"/>
              </w:rPr>
              <w:t>RR</w:t>
            </w:r>
            <w:r w:rsidRPr="00F72550">
              <w:rPr>
                <w:vertAlign w:val="superscript"/>
                <w:lang w:val="en-AU"/>
              </w:rPr>
              <w:t>a</w:t>
            </w:r>
            <w:proofErr w:type="spellEnd"/>
            <w:r w:rsidR="003C4810" w:rsidRPr="00F72550">
              <w:rPr>
                <w:lang w:val="en-AU"/>
              </w:rPr>
              <w:t xml:space="preserve"> </w:t>
            </w:r>
            <w:r w:rsidRPr="00F72550">
              <w:rPr>
                <w:lang w:val="en-AU"/>
              </w:rPr>
              <w:t>(95% CI)</w:t>
            </w:r>
          </w:p>
        </w:tc>
        <w:tc>
          <w:tcPr>
            <w:tcW w:w="963" w:type="pct"/>
            <w:gridSpan w:val="2"/>
            <w:vMerge w:val="restart"/>
            <w:shd w:val="clear" w:color="auto" w:fill="auto"/>
            <w:vAlign w:val="center"/>
          </w:tcPr>
          <w:p w:rsidR="00B12A8C" w:rsidRPr="00F72550" w:rsidRDefault="00B12A8C" w:rsidP="00563974">
            <w:pPr>
              <w:pStyle w:val="TableText"/>
              <w:widowControl/>
              <w:jc w:val="center"/>
              <w:rPr>
                <w:lang w:val="en-AU"/>
              </w:rPr>
            </w:pPr>
            <w:proofErr w:type="spellStart"/>
            <w:r w:rsidRPr="00F72550">
              <w:rPr>
                <w:lang w:val="en-AU"/>
              </w:rPr>
              <w:t>RD</w:t>
            </w:r>
            <w:r w:rsidRPr="00F72550">
              <w:rPr>
                <w:vertAlign w:val="superscript"/>
                <w:lang w:val="en-AU"/>
              </w:rPr>
              <w:t>a</w:t>
            </w:r>
            <w:proofErr w:type="spellEnd"/>
            <w:r w:rsidR="003C4810" w:rsidRPr="00F72550">
              <w:rPr>
                <w:lang w:val="en-AU"/>
              </w:rPr>
              <w:t xml:space="preserve"> </w:t>
            </w:r>
            <w:r w:rsidRPr="00F72550">
              <w:rPr>
                <w:lang w:val="en-AU"/>
              </w:rPr>
              <w:t>(95% CI)</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rHeight w:val="390"/>
          <w:tblHeader/>
        </w:trPr>
        <w:tc>
          <w:tcPr>
            <w:tcW w:w="547" w:type="pct"/>
            <w:vMerge/>
            <w:shd w:val="clear" w:color="auto" w:fill="auto"/>
            <w:vAlign w:val="center"/>
          </w:tcPr>
          <w:p w:rsidR="00B12A8C" w:rsidRPr="00F72550" w:rsidRDefault="00B12A8C" w:rsidP="00563974">
            <w:pPr>
              <w:pStyle w:val="TableText"/>
              <w:widowControl/>
              <w:rPr>
                <w:lang w:val="en-AU"/>
              </w:rPr>
            </w:pPr>
          </w:p>
        </w:tc>
        <w:tc>
          <w:tcPr>
            <w:tcW w:w="944" w:type="pct"/>
            <w:vMerge/>
            <w:shd w:val="clear" w:color="auto" w:fill="auto"/>
            <w:vAlign w:val="center"/>
          </w:tcPr>
          <w:p w:rsidR="00B12A8C" w:rsidRPr="00F72550" w:rsidRDefault="00B12A8C" w:rsidP="00563974">
            <w:pPr>
              <w:pStyle w:val="TableText"/>
              <w:widowControl/>
              <w:rPr>
                <w:lang w:val="en-AU"/>
              </w:rPr>
            </w:pPr>
          </w:p>
        </w:tc>
        <w:tc>
          <w:tcPr>
            <w:tcW w:w="943" w:type="pct"/>
            <w:gridSpan w:val="2"/>
            <w:vMerge/>
            <w:shd w:val="clear" w:color="auto" w:fill="auto"/>
            <w:vAlign w:val="center"/>
          </w:tcPr>
          <w:p w:rsidR="00B12A8C" w:rsidRPr="00F72550" w:rsidRDefault="00B12A8C" w:rsidP="00563974">
            <w:pPr>
              <w:pStyle w:val="TableText"/>
              <w:widowControl/>
              <w:rPr>
                <w:lang w:val="en-AU"/>
              </w:rPr>
            </w:pPr>
          </w:p>
        </w:tc>
        <w:tc>
          <w:tcPr>
            <w:tcW w:w="786" w:type="pct"/>
            <w:gridSpan w:val="2"/>
            <w:vMerge/>
            <w:shd w:val="clear" w:color="auto" w:fill="auto"/>
            <w:vAlign w:val="center"/>
          </w:tcPr>
          <w:p w:rsidR="00B12A8C" w:rsidRPr="00F72550" w:rsidRDefault="00B12A8C" w:rsidP="00563974">
            <w:pPr>
              <w:pStyle w:val="TableText"/>
              <w:widowControl/>
              <w:rPr>
                <w:lang w:val="en-AU"/>
              </w:rPr>
            </w:pPr>
          </w:p>
        </w:tc>
        <w:tc>
          <w:tcPr>
            <w:tcW w:w="817" w:type="pct"/>
            <w:gridSpan w:val="2"/>
            <w:vMerge/>
            <w:shd w:val="clear" w:color="auto" w:fill="auto"/>
            <w:vAlign w:val="center"/>
          </w:tcPr>
          <w:p w:rsidR="00B12A8C" w:rsidRPr="00F72550" w:rsidRDefault="00B12A8C" w:rsidP="00563974">
            <w:pPr>
              <w:pStyle w:val="TableText"/>
              <w:widowControl/>
              <w:rPr>
                <w:lang w:val="en-AU"/>
              </w:rPr>
            </w:pPr>
          </w:p>
        </w:tc>
        <w:tc>
          <w:tcPr>
            <w:tcW w:w="963" w:type="pct"/>
            <w:gridSpan w:val="2"/>
            <w:vMerge/>
            <w:shd w:val="clear" w:color="auto" w:fill="auto"/>
            <w:vAlign w:val="center"/>
          </w:tcPr>
          <w:p w:rsidR="00B12A8C" w:rsidRPr="00F72550" w:rsidRDefault="00B12A8C" w:rsidP="00563974">
            <w:pPr>
              <w:pStyle w:val="TableText"/>
              <w:widowControl/>
              <w:rPr>
                <w:lang w:val="en-AU"/>
              </w:rPr>
            </w:pP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000" w:type="pct"/>
            <w:gridSpan w:val="10"/>
            <w:shd w:val="clear" w:color="auto" w:fill="auto"/>
            <w:vAlign w:val="center"/>
          </w:tcPr>
          <w:p w:rsidR="00B12A8C" w:rsidRPr="00F72550" w:rsidRDefault="00B12A8C" w:rsidP="00563974">
            <w:pPr>
              <w:pStyle w:val="TableText"/>
              <w:widowControl/>
              <w:rPr>
                <w:lang w:val="en-AU"/>
              </w:rPr>
            </w:pPr>
            <w:r w:rsidRPr="00F72550">
              <w:rPr>
                <w:lang w:val="en-AU"/>
              </w:rPr>
              <w:t>Anaemia: CTCAE Grade 3 or greater</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47" w:type="pct"/>
            <w:shd w:val="clear" w:color="auto" w:fill="auto"/>
            <w:vAlign w:val="center"/>
          </w:tcPr>
          <w:p w:rsidR="00B12A8C" w:rsidRPr="00F72550" w:rsidRDefault="00B12A8C" w:rsidP="00563974">
            <w:pPr>
              <w:pStyle w:val="TableText"/>
              <w:widowControl/>
              <w:rPr>
                <w:b w:val="0"/>
                <w:bCs/>
                <w:lang w:val="en-AU"/>
              </w:rPr>
            </w:pPr>
            <w:r w:rsidRPr="00F72550">
              <w:rPr>
                <w:b w:val="0"/>
                <w:bCs/>
                <w:lang w:val="en-AU"/>
              </w:rPr>
              <w:t>SOLO1</w:t>
            </w:r>
          </w:p>
          <w:p w:rsidR="00B12A8C" w:rsidRPr="00F72550" w:rsidRDefault="00B12A8C" w:rsidP="00563974">
            <w:pPr>
              <w:pStyle w:val="TableText"/>
              <w:widowControl/>
              <w:rPr>
                <w:b w:val="0"/>
                <w:bCs/>
                <w:lang w:val="en-AU"/>
              </w:rPr>
            </w:pPr>
          </w:p>
        </w:tc>
        <w:tc>
          <w:tcPr>
            <w:tcW w:w="944" w:type="pct"/>
            <w:shd w:val="clear" w:color="auto" w:fill="auto"/>
            <w:vAlign w:val="center"/>
          </w:tcPr>
          <w:p w:rsidR="00B12A8C" w:rsidRPr="00F72550" w:rsidRDefault="00B12A8C" w:rsidP="00563974">
            <w:pPr>
              <w:pStyle w:val="TableText"/>
              <w:widowControl/>
              <w:jc w:val="center"/>
              <w:rPr>
                <w:b w:val="0"/>
                <w:bCs/>
                <w:lang w:val="en-AU"/>
              </w:rPr>
            </w:pPr>
            <w:proofErr w:type="spellStart"/>
            <w:r w:rsidRPr="00F72550">
              <w:rPr>
                <w:b w:val="0"/>
                <w:bCs/>
                <w:lang w:val="en-AU"/>
              </w:rPr>
              <w:t>Olaparib</w:t>
            </w:r>
            <w:proofErr w:type="spellEnd"/>
            <w:r w:rsidRPr="00F72550">
              <w:rPr>
                <w:b w:val="0"/>
                <w:bCs/>
                <w:lang w:val="en-AU"/>
              </w:rPr>
              <w:t>: 87 weeks</w:t>
            </w:r>
          </w:p>
          <w:p w:rsidR="00B12A8C" w:rsidRPr="00F72550" w:rsidRDefault="00B12A8C" w:rsidP="00563974">
            <w:pPr>
              <w:pStyle w:val="TableText"/>
              <w:widowControl/>
              <w:jc w:val="center"/>
              <w:rPr>
                <w:b w:val="0"/>
                <w:bCs/>
                <w:lang w:val="en-AU"/>
              </w:rPr>
            </w:pPr>
            <w:r w:rsidRPr="00F72550">
              <w:rPr>
                <w:b w:val="0"/>
                <w:bCs/>
                <w:lang w:val="en-AU"/>
              </w:rPr>
              <w:t>Placebo: 65.3 weeks</w:t>
            </w:r>
          </w:p>
        </w:tc>
        <w:tc>
          <w:tcPr>
            <w:tcW w:w="943"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55/260 (21.2)</w:t>
            </w:r>
          </w:p>
        </w:tc>
        <w:tc>
          <w:tcPr>
            <w:tcW w:w="786"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2/130 (1.5)</w:t>
            </w:r>
          </w:p>
        </w:tc>
        <w:tc>
          <w:tcPr>
            <w:tcW w:w="817"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13.8 (3.4, 55.5)</w:t>
            </w:r>
          </w:p>
        </w:tc>
        <w:tc>
          <w:tcPr>
            <w:tcW w:w="963"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19.6 (14.2, 25.0)</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000" w:type="pct"/>
            <w:gridSpan w:val="10"/>
            <w:shd w:val="clear" w:color="auto" w:fill="auto"/>
            <w:vAlign w:val="center"/>
          </w:tcPr>
          <w:p w:rsidR="00B12A8C" w:rsidRPr="00F72550" w:rsidRDefault="00B12A8C" w:rsidP="00563974">
            <w:pPr>
              <w:pStyle w:val="TableText"/>
              <w:widowControl/>
              <w:rPr>
                <w:lang w:val="en-AU"/>
              </w:rPr>
            </w:pPr>
            <w:r w:rsidRPr="00F72550">
              <w:rPr>
                <w:color w:val="000000" w:themeColor="text1"/>
                <w:lang w:val="en-AU"/>
              </w:rPr>
              <w:t>Gastrointestinal disorders (SOC): CTCAE Grade 3 or greater</w:t>
            </w:r>
          </w:p>
        </w:tc>
      </w:tr>
      <w:tr w:rsidR="00B12A8C" w:rsidRPr="00F72550" w:rsidTr="00F72550">
        <w:trPr>
          <w:cnfStyle w:val="100000000000" w:firstRow="1" w:lastRow="0" w:firstColumn="0" w:lastColumn="0" w:oddVBand="0" w:evenVBand="0" w:oddHBand="0" w:evenHBand="0" w:firstRowFirstColumn="0" w:firstRowLastColumn="0" w:lastRowFirstColumn="0" w:lastRowLastColumn="0"/>
          <w:tblHeader/>
        </w:trPr>
        <w:tc>
          <w:tcPr>
            <w:tcW w:w="547" w:type="pct"/>
            <w:shd w:val="clear" w:color="auto" w:fill="auto"/>
            <w:vAlign w:val="center"/>
          </w:tcPr>
          <w:p w:rsidR="00B12A8C" w:rsidRPr="00F72550" w:rsidRDefault="00B12A8C" w:rsidP="00563974">
            <w:pPr>
              <w:pStyle w:val="TableText"/>
              <w:widowControl/>
              <w:rPr>
                <w:b w:val="0"/>
                <w:bCs/>
                <w:lang w:val="en-AU"/>
              </w:rPr>
            </w:pPr>
            <w:r w:rsidRPr="00F72550">
              <w:rPr>
                <w:b w:val="0"/>
                <w:bCs/>
                <w:lang w:val="en-AU"/>
              </w:rPr>
              <w:t>SOLO1</w:t>
            </w:r>
          </w:p>
          <w:p w:rsidR="00B12A8C" w:rsidRPr="00F72550" w:rsidRDefault="00B12A8C" w:rsidP="00563974">
            <w:pPr>
              <w:pStyle w:val="TableText"/>
              <w:widowControl/>
              <w:rPr>
                <w:b w:val="0"/>
                <w:bCs/>
                <w:lang w:val="en-AU"/>
              </w:rPr>
            </w:pPr>
          </w:p>
        </w:tc>
        <w:tc>
          <w:tcPr>
            <w:tcW w:w="944" w:type="pct"/>
            <w:shd w:val="clear" w:color="auto" w:fill="auto"/>
            <w:vAlign w:val="center"/>
          </w:tcPr>
          <w:p w:rsidR="00B12A8C" w:rsidRPr="00F72550" w:rsidRDefault="00B12A8C" w:rsidP="00563974">
            <w:pPr>
              <w:pStyle w:val="TableText"/>
              <w:widowControl/>
              <w:jc w:val="center"/>
              <w:rPr>
                <w:b w:val="0"/>
                <w:bCs/>
                <w:lang w:val="en-AU"/>
              </w:rPr>
            </w:pPr>
            <w:proofErr w:type="spellStart"/>
            <w:r w:rsidRPr="00F72550">
              <w:rPr>
                <w:b w:val="0"/>
                <w:bCs/>
                <w:lang w:val="en-AU"/>
              </w:rPr>
              <w:t>Olaparib</w:t>
            </w:r>
            <w:proofErr w:type="spellEnd"/>
            <w:r w:rsidRPr="00F72550">
              <w:rPr>
                <w:b w:val="0"/>
                <w:bCs/>
                <w:lang w:val="en-AU"/>
              </w:rPr>
              <w:t>: 87 weeks</w:t>
            </w:r>
          </w:p>
          <w:p w:rsidR="00B12A8C" w:rsidRPr="00F72550" w:rsidRDefault="00B12A8C" w:rsidP="00563974">
            <w:pPr>
              <w:pStyle w:val="TableText"/>
              <w:widowControl/>
              <w:jc w:val="center"/>
              <w:rPr>
                <w:b w:val="0"/>
                <w:bCs/>
                <w:lang w:val="en-AU"/>
              </w:rPr>
            </w:pPr>
            <w:r w:rsidRPr="00F72550">
              <w:rPr>
                <w:b w:val="0"/>
                <w:bCs/>
                <w:lang w:val="en-AU"/>
              </w:rPr>
              <w:t>Placebo: 65.3 weeks</w:t>
            </w:r>
          </w:p>
        </w:tc>
        <w:tc>
          <w:tcPr>
            <w:tcW w:w="943"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17/260</w:t>
            </w:r>
            <w:r w:rsidR="003C4810" w:rsidRPr="00F72550">
              <w:rPr>
                <w:b w:val="0"/>
                <w:bCs/>
                <w:lang w:val="en-AU"/>
              </w:rPr>
              <w:t xml:space="preserve"> </w:t>
            </w:r>
            <w:r w:rsidRPr="00F72550">
              <w:rPr>
                <w:b w:val="0"/>
                <w:bCs/>
                <w:lang w:val="en-AU"/>
              </w:rPr>
              <w:t>(6.5)</w:t>
            </w:r>
          </w:p>
        </w:tc>
        <w:tc>
          <w:tcPr>
            <w:tcW w:w="786"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3/130</w:t>
            </w:r>
            <w:r w:rsidR="003C4810" w:rsidRPr="00F72550">
              <w:rPr>
                <w:b w:val="0"/>
                <w:bCs/>
                <w:lang w:val="en-AU"/>
              </w:rPr>
              <w:t xml:space="preserve"> </w:t>
            </w:r>
            <w:r w:rsidRPr="00F72550">
              <w:rPr>
                <w:b w:val="0"/>
                <w:bCs/>
                <w:lang w:val="en-AU"/>
              </w:rPr>
              <w:t>(2.3)</w:t>
            </w:r>
          </w:p>
        </w:tc>
        <w:tc>
          <w:tcPr>
            <w:tcW w:w="817"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2.8 (0.85, 9.49)</w:t>
            </w:r>
          </w:p>
        </w:tc>
        <w:tc>
          <w:tcPr>
            <w:tcW w:w="963" w:type="pct"/>
            <w:gridSpan w:val="2"/>
            <w:shd w:val="clear" w:color="auto" w:fill="auto"/>
            <w:vAlign w:val="center"/>
          </w:tcPr>
          <w:p w:rsidR="00B12A8C" w:rsidRPr="00F72550" w:rsidRDefault="00B12A8C" w:rsidP="00563974">
            <w:pPr>
              <w:pStyle w:val="TableText"/>
              <w:widowControl/>
              <w:jc w:val="center"/>
              <w:rPr>
                <w:b w:val="0"/>
                <w:bCs/>
                <w:lang w:val="en-AU"/>
              </w:rPr>
            </w:pPr>
            <w:r w:rsidRPr="00F72550">
              <w:rPr>
                <w:b w:val="0"/>
                <w:bCs/>
                <w:lang w:val="en-AU"/>
              </w:rPr>
              <w:t>4.2 (0.27, 8.19)</w:t>
            </w:r>
          </w:p>
        </w:tc>
      </w:tr>
    </w:tbl>
    <w:p w:rsidR="00B12A8C" w:rsidRPr="00DC08B0" w:rsidRDefault="00B12A8C" w:rsidP="00563974">
      <w:pPr>
        <w:pStyle w:val="TableFooter"/>
        <w:widowControl/>
      </w:pPr>
      <w:proofErr w:type="gramStart"/>
      <w:r w:rsidRPr="00DC08B0">
        <w:rPr>
          <w:vertAlign w:val="superscript"/>
        </w:rPr>
        <w:t>a</w:t>
      </w:r>
      <w:proofErr w:type="gramEnd"/>
      <w:r w:rsidR="00563974">
        <w:rPr>
          <w:vertAlign w:val="superscript"/>
        </w:rPr>
        <w:t xml:space="preserve"> </w:t>
      </w:r>
      <w:r w:rsidRPr="00DC08B0">
        <w:t>RR, RD and confidence intervals calculated during the evaluation.</w:t>
      </w:r>
    </w:p>
    <w:p w:rsidR="00B12A8C" w:rsidRPr="00DC08B0" w:rsidRDefault="00B12A8C" w:rsidP="00563974">
      <w:pPr>
        <w:pStyle w:val="TableFooter"/>
        <w:widowControl/>
      </w:pPr>
      <w:proofErr w:type="spellStart"/>
      <w:proofErr w:type="gramStart"/>
      <w:r w:rsidRPr="00DC08B0">
        <w:rPr>
          <w:vertAlign w:val="superscript"/>
        </w:rPr>
        <w:t>b</w:t>
      </w:r>
      <w:r w:rsidRPr="00DC08B0">
        <w:t>Total</w:t>
      </w:r>
      <w:proofErr w:type="spellEnd"/>
      <w:proofErr w:type="gramEnd"/>
      <w:r w:rsidRPr="00DC08B0">
        <w:t xml:space="preserve"> treatment duration (includes dose interruptions).</w:t>
      </w:r>
    </w:p>
    <w:p w:rsidR="00B12A8C" w:rsidRPr="00DC08B0" w:rsidRDefault="00B12A8C" w:rsidP="00563974">
      <w:pPr>
        <w:pStyle w:val="TableFooter"/>
        <w:widowControl/>
      </w:pPr>
      <w:r w:rsidRPr="00DC08B0">
        <w:t>Abbreviations: HR = hazard ratio; PBO = placebo; RD = risk difference; RR = risk ratio; NR = Not Reported</w:t>
      </w:r>
      <w:r w:rsidR="00440D09">
        <w:t>; SOC = system organ class.</w:t>
      </w:r>
    </w:p>
    <w:p w:rsidR="00B12A8C" w:rsidRPr="00DC08B0" w:rsidRDefault="00B12A8C" w:rsidP="00563974">
      <w:pPr>
        <w:pStyle w:val="TableFooter"/>
        <w:widowControl/>
      </w:pPr>
      <w:r w:rsidRPr="00DC08B0">
        <w:t>Source: Compiled during the evaluation from Table 2-14, p100, Section 2.2.D.6.1.2.1, pp107-108 and Table 2-23, pp127-128 of the submission.</w:t>
      </w:r>
    </w:p>
    <w:p w:rsidR="00B12A8C" w:rsidRPr="00DC08B0" w:rsidRDefault="00B12A8C" w:rsidP="00563974">
      <w:pPr>
        <w:pStyle w:val="ListParagraph"/>
        <w:numPr>
          <w:ilvl w:val="4"/>
          <w:numId w:val="1"/>
        </w:numPr>
        <w:rPr>
          <w:color w:val="0070C0"/>
        </w:rPr>
      </w:pPr>
      <w:r w:rsidRPr="00DC08B0">
        <w:t xml:space="preserve">On the basis of direct evidence presented by the submission, for every 100 patients treated with </w:t>
      </w:r>
      <w:proofErr w:type="spellStart"/>
      <w:r w:rsidRPr="00DC08B0">
        <w:t>olaparib</w:t>
      </w:r>
      <w:proofErr w:type="spellEnd"/>
      <w:r w:rsidRPr="00DC08B0">
        <w:t xml:space="preserve"> in comparison with PBO:</w:t>
      </w:r>
    </w:p>
    <w:p w:rsidR="00B12A8C" w:rsidRPr="004F7915" w:rsidRDefault="00B12A8C" w:rsidP="00563974">
      <w:pPr>
        <w:pStyle w:val="PBACESParagraphBulletPoint"/>
      </w:pPr>
      <w:r w:rsidRPr="004F7915">
        <w:t xml:space="preserve">Approximately 39 more patients would remain progression-free at 24 months, however, there would be no difference in overall survival. </w:t>
      </w:r>
    </w:p>
    <w:p w:rsidR="00B12A8C" w:rsidRPr="00DC08B0" w:rsidRDefault="00B12A8C" w:rsidP="00563974">
      <w:pPr>
        <w:pStyle w:val="ListParagraph"/>
        <w:numPr>
          <w:ilvl w:val="0"/>
          <w:numId w:val="0"/>
        </w:numPr>
        <w:ind w:left="720"/>
      </w:pPr>
      <w:r w:rsidRPr="00DC08B0">
        <w:lastRenderedPageBreak/>
        <w:t xml:space="preserve">For every 100 patients treated with </w:t>
      </w:r>
      <w:proofErr w:type="spellStart"/>
      <w:r w:rsidRPr="00DC08B0">
        <w:t>olaparib</w:t>
      </w:r>
      <w:proofErr w:type="spellEnd"/>
      <w:r w:rsidRPr="00DC08B0">
        <w:t xml:space="preserve"> for 87 weeks in comparison to PBO for 65.3 weeks and followed until 30 days after treatment discontinuation:</w:t>
      </w:r>
    </w:p>
    <w:p w:rsidR="00B12A8C" w:rsidRPr="004F7915" w:rsidRDefault="00B12A8C" w:rsidP="00563974">
      <w:pPr>
        <w:pStyle w:val="PBACESParagraphBulletPoint"/>
      </w:pPr>
      <w:r w:rsidRPr="004F7915">
        <w:t xml:space="preserve">Approximately 20 additional patients would experience Grade 3 or greater </w:t>
      </w:r>
      <w:r w:rsidR="006B4194" w:rsidRPr="004F7915">
        <w:t>a</w:t>
      </w:r>
      <w:r w:rsidRPr="004F7915">
        <w:t>naemia</w:t>
      </w:r>
      <w:r w:rsidR="00581407">
        <w:t>; and</w:t>
      </w:r>
    </w:p>
    <w:p w:rsidR="00B12A8C" w:rsidRPr="004F7915" w:rsidRDefault="00B12A8C" w:rsidP="00563974">
      <w:pPr>
        <w:pStyle w:val="PBACESParagraphBulletPoint"/>
      </w:pPr>
      <w:r w:rsidRPr="004F7915">
        <w:t>Approximately 4 additional patients would experience Grade 3 or greater gastrointestinal disorders (diarrhoea, abdominal pain, nausea)</w:t>
      </w:r>
      <w:r w:rsidR="00581407">
        <w:t>.</w:t>
      </w:r>
      <w:r w:rsidRPr="004F7915">
        <w:t xml:space="preserve"> </w:t>
      </w:r>
    </w:p>
    <w:p w:rsidR="0047579B" w:rsidRPr="005B305D" w:rsidRDefault="00B12A8C" w:rsidP="00563974">
      <w:pPr>
        <w:pStyle w:val="ListParagraph"/>
        <w:numPr>
          <w:ilvl w:val="4"/>
          <w:numId w:val="1"/>
        </w:numPr>
        <w:rPr>
          <w:color w:val="auto"/>
        </w:rPr>
      </w:pPr>
      <w:r w:rsidRPr="003C4810">
        <w:rPr>
          <w:color w:val="auto"/>
        </w:rPr>
        <w:t xml:space="preserve">The diagnostic accuracy of tumour </w:t>
      </w:r>
      <w:proofErr w:type="spellStart"/>
      <w:r w:rsidR="0047579B" w:rsidRPr="003C4810">
        <w:rPr>
          <w:i/>
          <w:color w:val="auto"/>
        </w:rPr>
        <w:t>BRCA</w:t>
      </w:r>
      <w:r w:rsidR="0047579B" w:rsidRPr="003C4810">
        <w:rPr>
          <w:color w:val="auto"/>
        </w:rPr>
        <w:t>m</w:t>
      </w:r>
      <w:proofErr w:type="spellEnd"/>
      <w:r w:rsidR="0047579B" w:rsidRPr="003C4810">
        <w:rPr>
          <w:color w:val="auto"/>
        </w:rPr>
        <w:t xml:space="preserve"> </w:t>
      </w:r>
      <w:r w:rsidRPr="003C4810">
        <w:rPr>
          <w:color w:val="auto"/>
        </w:rPr>
        <w:t xml:space="preserve">testing is very high and the proportion of patients who would be wrongly classified is likely to be negligible. </w:t>
      </w:r>
      <w:r w:rsidRPr="003C4810">
        <w:rPr>
          <w:iCs/>
          <w:color w:val="auto"/>
        </w:rPr>
        <w:t xml:space="preserve">However, if </w:t>
      </w:r>
      <w:proofErr w:type="spellStart"/>
      <w:r w:rsidR="0047579B" w:rsidRPr="003C4810">
        <w:rPr>
          <w:iCs/>
          <w:color w:val="auto"/>
        </w:rPr>
        <w:t>BRCAwt</w:t>
      </w:r>
      <w:proofErr w:type="spellEnd"/>
      <w:r w:rsidR="0047579B" w:rsidRPr="003C4810">
        <w:rPr>
          <w:iCs/>
          <w:color w:val="auto"/>
        </w:rPr>
        <w:t xml:space="preserve"> </w:t>
      </w:r>
      <w:r w:rsidRPr="003C4810">
        <w:rPr>
          <w:iCs/>
          <w:color w:val="auto"/>
        </w:rPr>
        <w:t xml:space="preserve">patients were treated with </w:t>
      </w:r>
      <w:proofErr w:type="spellStart"/>
      <w:r w:rsidRPr="003C4810">
        <w:rPr>
          <w:iCs/>
          <w:color w:val="auto"/>
        </w:rPr>
        <w:t>olaparib</w:t>
      </w:r>
      <w:proofErr w:type="spellEnd"/>
      <w:r w:rsidRPr="003C4810">
        <w:rPr>
          <w:iCs/>
          <w:color w:val="auto"/>
        </w:rPr>
        <w:t xml:space="preserve">, the benefit remains unknown (benefits were less than observed in patients with </w:t>
      </w:r>
      <w:proofErr w:type="spellStart"/>
      <w:r w:rsidRPr="003C4810">
        <w:rPr>
          <w:iCs/>
          <w:color w:val="auto"/>
        </w:rPr>
        <w:t>BRCAm</w:t>
      </w:r>
      <w:proofErr w:type="spellEnd"/>
      <w:r w:rsidRPr="003C4810">
        <w:rPr>
          <w:iCs/>
          <w:color w:val="auto"/>
        </w:rPr>
        <w:t xml:space="preserve"> in the second-line setting). Additionally, patients would be exposed to the adverse events associated with </w:t>
      </w:r>
      <w:proofErr w:type="spellStart"/>
      <w:r w:rsidRPr="003C4810">
        <w:rPr>
          <w:iCs/>
          <w:color w:val="auto"/>
        </w:rPr>
        <w:t>olaparib</w:t>
      </w:r>
      <w:proofErr w:type="spellEnd"/>
      <w:r w:rsidR="0047579B" w:rsidRPr="005B305D">
        <w:rPr>
          <w:iCs/>
          <w:color w:val="auto"/>
        </w:rPr>
        <w:t>.</w:t>
      </w:r>
    </w:p>
    <w:p w:rsidR="00B12A8C" w:rsidRPr="009A0D5D" w:rsidRDefault="00B12A8C" w:rsidP="00563974">
      <w:pPr>
        <w:pStyle w:val="PBACESHeading2"/>
        <w:keepNext w:val="0"/>
      </w:pPr>
      <w:bookmarkStart w:id="18" w:name="_Toc18489980"/>
      <w:r w:rsidRPr="009A0D5D">
        <w:t>Interpretation of clinical evidence</w:t>
      </w:r>
      <w:bookmarkEnd w:id="18"/>
    </w:p>
    <w:p w:rsidR="00B12A8C" w:rsidRPr="008D757F" w:rsidRDefault="00B12A8C" w:rsidP="00563974">
      <w:pPr>
        <w:pStyle w:val="ListParagraph"/>
        <w:numPr>
          <w:ilvl w:val="4"/>
          <w:numId w:val="1"/>
        </w:numPr>
        <w:rPr>
          <w:color w:val="auto"/>
        </w:rPr>
      </w:pPr>
      <w:r w:rsidRPr="008D757F">
        <w:rPr>
          <w:color w:val="auto"/>
        </w:rPr>
        <w:t>The clinical cla</w:t>
      </w:r>
      <w:r w:rsidR="00C26365">
        <w:rPr>
          <w:color w:val="auto"/>
        </w:rPr>
        <w:t>im presented in the submission wa</w:t>
      </w:r>
      <w:r w:rsidRPr="008D757F">
        <w:rPr>
          <w:color w:val="auto"/>
        </w:rPr>
        <w:t xml:space="preserve">s that </w:t>
      </w:r>
      <w:proofErr w:type="spellStart"/>
      <w:r w:rsidRPr="008D757F">
        <w:rPr>
          <w:color w:val="auto"/>
        </w:rPr>
        <w:t>olaparib</w:t>
      </w:r>
      <w:proofErr w:type="spellEnd"/>
      <w:r w:rsidRPr="008D757F">
        <w:rPr>
          <w:color w:val="auto"/>
        </w:rPr>
        <w:t xml:space="preserve"> maintenance treatment following a response to platinum-based chemotherapy in a patient who tests positive for a </w:t>
      </w:r>
      <w:proofErr w:type="spellStart"/>
      <w:r w:rsidRPr="008D757F">
        <w:rPr>
          <w:i/>
          <w:color w:val="auto"/>
        </w:rPr>
        <w:t>BRCA</w:t>
      </w:r>
      <w:r w:rsidRPr="008D757F">
        <w:rPr>
          <w:color w:val="auto"/>
        </w:rPr>
        <w:t>m</w:t>
      </w:r>
      <w:proofErr w:type="spellEnd"/>
      <w:r w:rsidRPr="008D757F">
        <w:rPr>
          <w:color w:val="auto"/>
        </w:rPr>
        <w:t xml:space="preserve"> (germline or somatic) is superior in terms of efficacy, with a manageable safety and tolerability profile compared to placebo.</w:t>
      </w:r>
    </w:p>
    <w:p w:rsidR="00B12A8C" w:rsidRPr="00CC4DC5" w:rsidRDefault="00B12A8C" w:rsidP="00563974">
      <w:pPr>
        <w:pStyle w:val="ListParagraph"/>
        <w:numPr>
          <w:ilvl w:val="4"/>
          <w:numId w:val="1"/>
        </w:numPr>
        <w:rPr>
          <w:color w:val="auto"/>
        </w:rPr>
      </w:pPr>
      <w:r w:rsidRPr="007F10AE">
        <w:rPr>
          <w:color w:val="auto"/>
        </w:rPr>
        <w:t>The clinical claim for superior effectiveness remains uncertain, but may be reasonable, based on time</w:t>
      </w:r>
      <w:r w:rsidRPr="003C4810">
        <w:rPr>
          <w:color w:val="auto"/>
        </w:rPr>
        <w:t xml:space="preserve"> to progression. </w:t>
      </w:r>
      <w:r w:rsidRPr="003C4810">
        <w:rPr>
          <w:iCs/>
          <w:color w:val="auto"/>
        </w:rPr>
        <w:t xml:space="preserve">The </w:t>
      </w:r>
      <w:r w:rsidR="00B2569C" w:rsidRPr="00CC4DC5">
        <w:rPr>
          <w:iCs/>
          <w:color w:val="auto"/>
        </w:rPr>
        <w:t xml:space="preserve">ESC agreed with the commentary that the </w:t>
      </w:r>
      <w:r w:rsidRPr="003C4810">
        <w:rPr>
          <w:iCs/>
          <w:color w:val="auto"/>
        </w:rPr>
        <w:t xml:space="preserve">submission </w:t>
      </w:r>
      <w:r w:rsidR="002F5DC8">
        <w:rPr>
          <w:iCs/>
          <w:color w:val="auto"/>
        </w:rPr>
        <w:t>did</w:t>
      </w:r>
      <w:r w:rsidR="002F5DC8" w:rsidRPr="003C4810">
        <w:rPr>
          <w:iCs/>
          <w:color w:val="auto"/>
        </w:rPr>
        <w:t xml:space="preserve"> </w:t>
      </w:r>
      <w:r w:rsidRPr="003C4810">
        <w:rPr>
          <w:iCs/>
          <w:color w:val="auto"/>
        </w:rPr>
        <w:t>not adequately address the patient relevance of this endpoint</w:t>
      </w:r>
      <w:r w:rsidRPr="005B305D">
        <w:rPr>
          <w:iCs/>
          <w:color w:val="auto"/>
        </w:rPr>
        <w:t xml:space="preserve">. Patients who progressed in SOLO1 did so radiologically rather than clinically, and therefore patients were likely to be </w:t>
      </w:r>
      <w:r w:rsidR="00564A06">
        <w:rPr>
          <w:iCs/>
          <w:color w:val="auto"/>
        </w:rPr>
        <w:t xml:space="preserve">without symptoms </w:t>
      </w:r>
      <w:r w:rsidRPr="005B305D">
        <w:rPr>
          <w:iCs/>
          <w:color w:val="auto"/>
        </w:rPr>
        <w:t>at the time of progression in SOLO1.</w:t>
      </w:r>
      <w:r w:rsidRPr="005B305D">
        <w:rPr>
          <w:color w:val="auto"/>
        </w:rPr>
        <w:t xml:space="preserve"> </w:t>
      </w:r>
      <w:r w:rsidR="003C4810" w:rsidRPr="00CC4DC5">
        <w:rPr>
          <w:color w:val="auto"/>
        </w:rPr>
        <w:t>The ESC considered that, at a median follow-up of 41 months, the increment in progression-free survival (HR 0.30</w:t>
      </w:r>
      <w:r w:rsidR="00B2569C" w:rsidRPr="00CC4DC5">
        <w:rPr>
          <w:color w:val="auto"/>
        </w:rPr>
        <w:t xml:space="preserve"> 95%CI: 0.23, 0.41, p&lt;0.0001</w:t>
      </w:r>
      <w:r w:rsidR="003C4810" w:rsidRPr="00CC4DC5">
        <w:rPr>
          <w:color w:val="auto"/>
        </w:rPr>
        <w:t xml:space="preserve">, 39% </w:t>
      </w:r>
      <w:r w:rsidR="00564A06" w:rsidRPr="00CC4DC5">
        <w:rPr>
          <w:color w:val="auto"/>
        </w:rPr>
        <w:t>difference</w:t>
      </w:r>
      <w:r w:rsidR="003C4810" w:rsidRPr="00CC4DC5">
        <w:rPr>
          <w:color w:val="auto"/>
        </w:rPr>
        <w:t xml:space="preserve"> in progression at 24 months) was statistically significant but of uncertain clinical importance, noting patients were likely to be </w:t>
      </w:r>
      <w:r w:rsidR="00564A06" w:rsidRPr="00CC4DC5">
        <w:rPr>
          <w:color w:val="auto"/>
        </w:rPr>
        <w:t xml:space="preserve">without symptoms </w:t>
      </w:r>
      <w:r w:rsidR="003C4810" w:rsidRPr="00CC4DC5">
        <w:rPr>
          <w:color w:val="auto"/>
        </w:rPr>
        <w:t xml:space="preserve">at the time of progression, and noting that </w:t>
      </w:r>
      <w:r w:rsidR="00564A06" w:rsidRPr="00CC4DC5">
        <w:rPr>
          <w:color w:val="auto"/>
        </w:rPr>
        <w:t xml:space="preserve">this would be rated as </w:t>
      </w:r>
      <w:r w:rsidR="003C4810" w:rsidRPr="00CC4DC5">
        <w:rPr>
          <w:color w:val="auto"/>
        </w:rPr>
        <w:t>grade of 3 on the ESMO-Magnitude of Clinical Benefit Scale version 1.1, where grades 4 and 5 represent the grades with substantial improvement.</w:t>
      </w:r>
      <w:r w:rsidR="00086C6E" w:rsidRPr="00CC4DC5">
        <w:rPr>
          <w:color w:val="auto"/>
        </w:rPr>
        <w:t xml:space="preserve"> The ESC</w:t>
      </w:r>
      <w:r w:rsidR="00763D79" w:rsidRPr="00CC4DC5">
        <w:rPr>
          <w:color w:val="auto"/>
        </w:rPr>
        <w:t xml:space="preserve"> also</w:t>
      </w:r>
      <w:r w:rsidR="00086C6E" w:rsidRPr="00CC4DC5">
        <w:rPr>
          <w:color w:val="auto"/>
        </w:rPr>
        <w:t xml:space="preserve"> noted that there was no clinically important difference in health-related quality of life</w:t>
      </w:r>
      <w:r w:rsidR="00564A06" w:rsidRPr="00CC4DC5">
        <w:rPr>
          <w:color w:val="auto"/>
        </w:rPr>
        <w:t xml:space="preserve"> between treatment arms</w:t>
      </w:r>
      <w:r w:rsidR="00086C6E" w:rsidRPr="00CC4DC5">
        <w:rPr>
          <w:color w:val="auto"/>
        </w:rPr>
        <w:t>.</w:t>
      </w:r>
      <w:r w:rsidR="007F10AE">
        <w:rPr>
          <w:color w:val="auto"/>
        </w:rPr>
        <w:t xml:space="preserve"> </w:t>
      </w:r>
    </w:p>
    <w:p w:rsidR="0085741A" w:rsidRPr="00CC4DC5" w:rsidRDefault="00CD71DE" w:rsidP="00563974">
      <w:pPr>
        <w:pStyle w:val="ListParagraph"/>
        <w:numPr>
          <w:ilvl w:val="4"/>
          <w:numId w:val="1"/>
        </w:numPr>
        <w:rPr>
          <w:color w:val="auto"/>
        </w:rPr>
      </w:pPr>
      <w:r w:rsidRPr="00CC4DC5">
        <w:rPr>
          <w:color w:val="auto"/>
        </w:rPr>
        <w:t>Regarding</w:t>
      </w:r>
      <w:r w:rsidR="0085741A" w:rsidRPr="00CC4DC5">
        <w:rPr>
          <w:color w:val="auto"/>
        </w:rPr>
        <w:t xml:space="preserve"> the </w:t>
      </w:r>
      <w:r w:rsidR="00EB4BAA" w:rsidRPr="00CC4DC5">
        <w:rPr>
          <w:color w:val="auto"/>
        </w:rPr>
        <w:t>relevance to patients</w:t>
      </w:r>
      <w:r w:rsidR="0085741A" w:rsidRPr="00CC4DC5">
        <w:rPr>
          <w:color w:val="auto"/>
        </w:rPr>
        <w:t xml:space="preserve"> of progression-free survival, the ESC noted that the PSCR provided a supporting statement from the European Medical Agency, expert clinician </w:t>
      </w:r>
      <w:r w:rsidR="00377DFC" w:rsidRPr="00CC4DC5">
        <w:rPr>
          <w:color w:val="auto"/>
        </w:rPr>
        <w:t>advice</w:t>
      </w:r>
      <w:r w:rsidR="0085741A" w:rsidRPr="00CC4DC5">
        <w:rPr>
          <w:color w:val="auto"/>
        </w:rPr>
        <w:t xml:space="preserve"> and patient survey</w:t>
      </w:r>
      <w:r w:rsidR="00BA2863" w:rsidRPr="00CC4DC5">
        <w:rPr>
          <w:color w:val="auto"/>
        </w:rPr>
        <w:t>s</w:t>
      </w:r>
      <w:r w:rsidR="0085741A" w:rsidRPr="00CC4DC5">
        <w:rPr>
          <w:color w:val="auto"/>
        </w:rPr>
        <w:t xml:space="preserve"> arguing that PFS is considered to be of benefit to patients</w:t>
      </w:r>
      <w:r w:rsidR="00377DFC" w:rsidRPr="00CC4DC5">
        <w:rPr>
          <w:color w:val="auto"/>
        </w:rPr>
        <w:t>. The</w:t>
      </w:r>
      <w:r w:rsidR="0085741A" w:rsidRPr="00CC4DC5">
        <w:rPr>
          <w:color w:val="auto"/>
        </w:rPr>
        <w:t xml:space="preserve"> PSCR stated that on average the time to subsequent chemotherapy was extended from 13.8 months to 4 years. The PSCR </w:t>
      </w:r>
      <w:r w:rsidR="00377DFC" w:rsidRPr="00CC4DC5">
        <w:rPr>
          <w:color w:val="auto"/>
        </w:rPr>
        <w:t xml:space="preserve">also </w:t>
      </w:r>
      <w:r w:rsidR="0085741A" w:rsidRPr="00CC4DC5">
        <w:rPr>
          <w:color w:val="auto"/>
        </w:rPr>
        <w:t>referenced unevaluated data reporting improvements in Quality Adjusted PFS, and time without symptoms of disease progression or toxicity (</w:t>
      </w:r>
      <w:proofErr w:type="spellStart"/>
      <w:r w:rsidR="0085741A" w:rsidRPr="00CC4DC5">
        <w:rPr>
          <w:color w:val="auto"/>
        </w:rPr>
        <w:t>TWiST</w:t>
      </w:r>
      <w:proofErr w:type="spellEnd"/>
      <w:r w:rsidR="0085741A" w:rsidRPr="00CC4DC5">
        <w:rPr>
          <w:color w:val="auto"/>
        </w:rPr>
        <w:t xml:space="preserve">). The </w:t>
      </w:r>
      <w:r w:rsidR="007F10AE">
        <w:rPr>
          <w:color w:val="auto"/>
        </w:rPr>
        <w:t xml:space="preserve">PBAC agreed with the </w:t>
      </w:r>
      <w:r w:rsidR="0085741A" w:rsidRPr="00CC4DC5">
        <w:rPr>
          <w:color w:val="auto"/>
        </w:rPr>
        <w:t xml:space="preserve">ESC that these </w:t>
      </w:r>
      <w:r w:rsidR="00564A06" w:rsidRPr="00CC4DC5">
        <w:rPr>
          <w:color w:val="auto"/>
        </w:rPr>
        <w:t>outcomes</w:t>
      </w:r>
      <w:r w:rsidR="0085741A" w:rsidRPr="00CC4DC5">
        <w:rPr>
          <w:color w:val="auto"/>
        </w:rPr>
        <w:t xml:space="preserve"> were of clinical importance.</w:t>
      </w:r>
      <w:r w:rsidR="007F10AE">
        <w:rPr>
          <w:color w:val="auto"/>
        </w:rPr>
        <w:t xml:space="preserve"> </w:t>
      </w:r>
    </w:p>
    <w:p w:rsidR="00B12A8C" w:rsidRPr="00CC4DC5" w:rsidRDefault="00B12A8C" w:rsidP="00563974">
      <w:pPr>
        <w:pStyle w:val="ListParagraph"/>
        <w:numPr>
          <w:ilvl w:val="4"/>
          <w:numId w:val="1"/>
        </w:numPr>
        <w:rPr>
          <w:iCs/>
          <w:color w:val="auto"/>
        </w:rPr>
      </w:pPr>
      <w:r w:rsidRPr="00CC4DC5">
        <w:rPr>
          <w:iCs/>
          <w:color w:val="auto"/>
        </w:rPr>
        <w:lastRenderedPageBreak/>
        <w:t xml:space="preserve">The </w:t>
      </w:r>
      <w:r w:rsidR="003C4810" w:rsidRPr="00CC4DC5">
        <w:rPr>
          <w:iCs/>
          <w:color w:val="auto"/>
        </w:rPr>
        <w:t xml:space="preserve">ESC agreed with the </w:t>
      </w:r>
      <w:r w:rsidR="00763D79" w:rsidRPr="00CC4DC5">
        <w:rPr>
          <w:iCs/>
          <w:color w:val="auto"/>
        </w:rPr>
        <w:t>commentary</w:t>
      </w:r>
      <w:r w:rsidR="003C4810" w:rsidRPr="00CC4DC5">
        <w:rPr>
          <w:iCs/>
          <w:color w:val="auto"/>
        </w:rPr>
        <w:t xml:space="preserve"> that the </w:t>
      </w:r>
      <w:r w:rsidRPr="00CC4DC5">
        <w:rPr>
          <w:iCs/>
          <w:color w:val="auto"/>
        </w:rPr>
        <w:t xml:space="preserve">clinical claim for superior effectiveness </w:t>
      </w:r>
      <w:r w:rsidR="003D16DD">
        <w:rPr>
          <w:iCs/>
          <w:color w:val="auto"/>
        </w:rPr>
        <w:t>wa</w:t>
      </w:r>
      <w:r w:rsidRPr="00CC4DC5">
        <w:rPr>
          <w:iCs/>
          <w:color w:val="auto"/>
        </w:rPr>
        <w:t xml:space="preserve">s not supported </w:t>
      </w:r>
      <w:r w:rsidR="002F5DC8">
        <w:rPr>
          <w:iCs/>
          <w:color w:val="auto"/>
        </w:rPr>
        <w:t>for</w:t>
      </w:r>
      <w:r w:rsidR="002F5DC8" w:rsidRPr="00CC4DC5">
        <w:rPr>
          <w:iCs/>
          <w:color w:val="auto"/>
        </w:rPr>
        <w:t xml:space="preserve"> </w:t>
      </w:r>
      <w:r w:rsidR="001E71FC" w:rsidRPr="00CC4DC5">
        <w:rPr>
          <w:iCs/>
          <w:color w:val="auto"/>
        </w:rPr>
        <w:t>overall survival</w:t>
      </w:r>
      <w:r w:rsidRPr="00CC4DC5">
        <w:rPr>
          <w:iCs/>
          <w:color w:val="auto"/>
        </w:rPr>
        <w:t xml:space="preserve">, which </w:t>
      </w:r>
      <w:r w:rsidR="001E71FC" w:rsidRPr="00CC4DC5">
        <w:rPr>
          <w:iCs/>
          <w:color w:val="auto"/>
        </w:rPr>
        <w:t>appear</w:t>
      </w:r>
      <w:r w:rsidR="003D16DD">
        <w:rPr>
          <w:iCs/>
          <w:color w:val="auto"/>
        </w:rPr>
        <w:t>ed</w:t>
      </w:r>
      <w:r w:rsidR="001E71FC" w:rsidRPr="00CC4DC5">
        <w:rPr>
          <w:iCs/>
          <w:color w:val="auto"/>
        </w:rPr>
        <w:t xml:space="preserve"> </w:t>
      </w:r>
      <w:r w:rsidRPr="00CC4DC5">
        <w:rPr>
          <w:iCs/>
          <w:color w:val="auto"/>
        </w:rPr>
        <w:t>similar across the arms</w:t>
      </w:r>
      <w:r w:rsidR="001E71FC" w:rsidRPr="00CC4DC5">
        <w:rPr>
          <w:iCs/>
          <w:color w:val="auto"/>
        </w:rPr>
        <w:t xml:space="preserve"> and </w:t>
      </w:r>
      <w:r w:rsidR="003D16DD">
        <w:rPr>
          <w:iCs/>
          <w:color w:val="auto"/>
        </w:rPr>
        <w:t>wa</w:t>
      </w:r>
      <w:r w:rsidR="001E71FC" w:rsidRPr="00CC4DC5">
        <w:rPr>
          <w:iCs/>
          <w:color w:val="auto"/>
        </w:rPr>
        <w:t>s not mature</w:t>
      </w:r>
      <w:r w:rsidRPr="00CC4DC5">
        <w:rPr>
          <w:iCs/>
          <w:color w:val="auto"/>
        </w:rPr>
        <w:t xml:space="preserve">. </w:t>
      </w:r>
      <w:r w:rsidR="00763D79" w:rsidRPr="00CC4DC5">
        <w:rPr>
          <w:color w:val="auto"/>
        </w:rPr>
        <w:t>The ESC considered that the increment in overall survival was n</w:t>
      </w:r>
      <w:r w:rsidR="00A04641" w:rsidRPr="00CC4DC5">
        <w:rPr>
          <w:color w:val="auto"/>
        </w:rPr>
        <w:t>ot</w:t>
      </w:r>
      <w:r w:rsidR="00763D79" w:rsidRPr="00CC4DC5">
        <w:rPr>
          <w:color w:val="auto"/>
        </w:rPr>
        <w:t xml:space="preserve"> statistically significant</w:t>
      </w:r>
      <w:r w:rsidR="003E614F">
        <w:rPr>
          <w:color w:val="auto"/>
        </w:rPr>
        <w:t>,</w:t>
      </w:r>
      <w:r w:rsidR="00763D79" w:rsidRPr="00CC4DC5">
        <w:rPr>
          <w:color w:val="auto"/>
        </w:rPr>
        <w:t xml:space="preserve"> </w:t>
      </w:r>
      <w:r w:rsidR="00A04641" w:rsidRPr="00CC4DC5">
        <w:rPr>
          <w:color w:val="auto"/>
        </w:rPr>
        <w:t xml:space="preserve">and the presence of any benefit in overall survival was questionable </w:t>
      </w:r>
      <w:r w:rsidR="00763D79" w:rsidRPr="00CC4DC5">
        <w:rPr>
          <w:color w:val="auto"/>
        </w:rPr>
        <w:t>(HR 0.95,</w:t>
      </w:r>
      <w:r w:rsidR="00B2569C" w:rsidRPr="00CC4DC5">
        <w:rPr>
          <w:color w:val="auto"/>
        </w:rPr>
        <w:t xml:space="preserve"> 95%CI: 0.60, 1.53, p=0.89,</w:t>
      </w:r>
      <w:r w:rsidR="00763D79" w:rsidRPr="00CC4DC5">
        <w:rPr>
          <w:color w:val="auto"/>
        </w:rPr>
        <w:t xml:space="preserve"> 3.5% </w:t>
      </w:r>
      <w:r w:rsidR="00564A06" w:rsidRPr="00CC4DC5">
        <w:rPr>
          <w:color w:val="auto"/>
        </w:rPr>
        <w:t>differe</w:t>
      </w:r>
      <w:r w:rsidR="00866644" w:rsidRPr="00CC4DC5">
        <w:rPr>
          <w:color w:val="auto"/>
        </w:rPr>
        <w:t>n</w:t>
      </w:r>
      <w:r w:rsidR="00564A06" w:rsidRPr="00CC4DC5">
        <w:rPr>
          <w:color w:val="auto"/>
        </w:rPr>
        <w:t>ce</w:t>
      </w:r>
      <w:r w:rsidR="00763D79" w:rsidRPr="00CC4DC5">
        <w:rPr>
          <w:color w:val="auto"/>
        </w:rPr>
        <w:t xml:space="preserve"> in deaths at 36 months).</w:t>
      </w:r>
      <w:r w:rsidR="007F10AE">
        <w:rPr>
          <w:color w:val="auto"/>
        </w:rPr>
        <w:t xml:space="preserve"> </w:t>
      </w:r>
    </w:p>
    <w:p w:rsidR="0085741A" w:rsidRPr="00CC4DC5" w:rsidRDefault="0085741A" w:rsidP="00563974">
      <w:pPr>
        <w:pStyle w:val="ListParagraph"/>
        <w:numPr>
          <w:ilvl w:val="4"/>
          <w:numId w:val="1"/>
        </w:numPr>
        <w:rPr>
          <w:color w:val="auto"/>
        </w:rPr>
      </w:pPr>
      <w:r w:rsidRPr="00CC4DC5">
        <w:rPr>
          <w:color w:val="auto"/>
        </w:rPr>
        <w:t>In regard to lack of overall survival benefit</w:t>
      </w:r>
      <w:r w:rsidR="002D32D5">
        <w:rPr>
          <w:color w:val="auto"/>
        </w:rPr>
        <w:t>,</w:t>
      </w:r>
      <w:r w:rsidRPr="00CC4DC5">
        <w:rPr>
          <w:color w:val="auto"/>
        </w:rPr>
        <w:t xml:space="preserve"> the ESC noted that the PSCR stated that it is unlikely final OS analyses will be</w:t>
      </w:r>
      <w:r w:rsidR="002D3ED8">
        <w:rPr>
          <w:color w:val="auto"/>
        </w:rPr>
        <w:t>come available before late 2023</w:t>
      </w:r>
      <w:r w:rsidRPr="00CC4DC5">
        <w:rPr>
          <w:color w:val="auto"/>
        </w:rPr>
        <w:t>, but that the demonstrated improvement in time to second progression or death (PFS2) and second subsequent therapy or death (TSST) support a future demonstrated survival benefit. The ESC considered that the presence and magnitude of any survival benefit remained highly uncertain.</w:t>
      </w:r>
      <w:r w:rsidR="002D3ED8">
        <w:rPr>
          <w:color w:val="auto"/>
        </w:rPr>
        <w:t xml:space="preserve"> The Pre-PBAC response argued </w:t>
      </w:r>
      <w:r w:rsidR="007F10AE">
        <w:rPr>
          <w:color w:val="auto"/>
        </w:rPr>
        <w:t>that advice from medical oncologists indicates that improvement in PFS will extend survival and potentially increase the rate of cure.</w:t>
      </w:r>
      <w:r w:rsidR="005B4081">
        <w:rPr>
          <w:color w:val="auto"/>
        </w:rPr>
        <w:t xml:space="preserve"> </w:t>
      </w:r>
    </w:p>
    <w:p w:rsidR="00373C5D" w:rsidRPr="00DE7812" w:rsidRDefault="004300A2" w:rsidP="00563974">
      <w:pPr>
        <w:pStyle w:val="ListParagraph"/>
        <w:numPr>
          <w:ilvl w:val="4"/>
          <w:numId w:val="1"/>
        </w:numPr>
        <w:rPr>
          <w:color w:val="auto"/>
        </w:rPr>
      </w:pPr>
      <w:r w:rsidRPr="00DE7812">
        <w:rPr>
          <w:color w:val="auto"/>
        </w:rPr>
        <w:t xml:space="preserve">The ESC agreed with the commentary that safety was inferior for </w:t>
      </w:r>
      <w:proofErr w:type="spellStart"/>
      <w:r w:rsidRPr="00DE7812">
        <w:rPr>
          <w:color w:val="auto"/>
        </w:rPr>
        <w:t>olaparib</w:t>
      </w:r>
      <w:proofErr w:type="spellEnd"/>
      <w:r w:rsidRPr="00DE7812">
        <w:rPr>
          <w:color w:val="auto"/>
        </w:rPr>
        <w:t xml:space="preserve"> compared to placebo, and considered that increases in grade 3/4 gastrointestinal disorders, and increases in grade 3/4 anaemia (associated with increase in proportion of patients requiring blood transfusions from 2% to 23%) were both clinically important.</w:t>
      </w:r>
    </w:p>
    <w:p w:rsidR="00D05418" w:rsidRDefault="00D82287" w:rsidP="00563974">
      <w:pPr>
        <w:pStyle w:val="ListParagraph"/>
        <w:numPr>
          <w:ilvl w:val="4"/>
          <w:numId w:val="1"/>
        </w:numPr>
        <w:rPr>
          <w:color w:val="auto"/>
        </w:rPr>
      </w:pPr>
      <w:r w:rsidRPr="00DE7812">
        <w:rPr>
          <w:color w:val="auto"/>
        </w:rPr>
        <w:t xml:space="preserve">The ESC noted that </w:t>
      </w:r>
      <w:r w:rsidR="004B5313" w:rsidRPr="00DE7812">
        <w:rPr>
          <w:color w:val="auto"/>
        </w:rPr>
        <w:t xml:space="preserve">the PBAC’s recommendation for </w:t>
      </w:r>
      <w:proofErr w:type="spellStart"/>
      <w:r w:rsidR="004B5313" w:rsidRPr="00DE7812">
        <w:rPr>
          <w:color w:val="auto"/>
        </w:rPr>
        <w:t>olaparib</w:t>
      </w:r>
      <w:proofErr w:type="spellEnd"/>
      <w:r w:rsidR="004B5313" w:rsidRPr="00DE7812">
        <w:rPr>
          <w:color w:val="auto"/>
        </w:rPr>
        <w:t xml:space="preserve"> in the </w:t>
      </w:r>
      <w:r w:rsidR="003719B4" w:rsidRPr="00DE7812">
        <w:rPr>
          <w:color w:val="auto"/>
        </w:rPr>
        <w:t>second-</w:t>
      </w:r>
      <w:r w:rsidR="004B5313" w:rsidRPr="00DE7812">
        <w:rPr>
          <w:color w:val="auto"/>
        </w:rPr>
        <w:t xml:space="preserve">line setting </w:t>
      </w:r>
      <w:r w:rsidR="00A04641" w:rsidRPr="00DE7812">
        <w:rPr>
          <w:color w:val="auto"/>
        </w:rPr>
        <w:t>was based on outcomes from</w:t>
      </w:r>
      <w:r w:rsidR="00F058B7" w:rsidRPr="00DE7812">
        <w:rPr>
          <w:color w:val="auto"/>
        </w:rPr>
        <w:t xml:space="preserve"> </w:t>
      </w:r>
      <w:r w:rsidR="00A901D3" w:rsidRPr="00DE7812">
        <w:rPr>
          <w:color w:val="auto"/>
        </w:rPr>
        <w:t>Study 19</w:t>
      </w:r>
      <w:r w:rsidR="00A04641" w:rsidRPr="00DE7812">
        <w:rPr>
          <w:color w:val="auto"/>
        </w:rPr>
        <w:t xml:space="preserve">. </w:t>
      </w:r>
      <w:r w:rsidR="00A901D3" w:rsidRPr="00DE7812">
        <w:rPr>
          <w:color w:val="auto"/>
        </w:rPr>
        <w:t xml:space="preserve"> </w:t>
      </w:r>
      <w:r w:rsidR="00A04641" w:rsidRPr="00DE7812">
        <w:rPr>
          <w:color w:val="auto"/>
        </w:rPr>
        <w:t>W</w:t>
      </w:r>
      <w:r w:rsidR="00D131B4" w:rsidRPr="00DE7812">
        <w:rPr>
          <w:color w:val="auto"/>
        </w:rPr>
        <w:t xml:space="preserve">hen </w:t>
      </w:r>
      <w:r w:rsidR="00AB30F7" w:rsidRPr="00DE7812">
        <w:rPr>
          <w:color w:val="auto"/>
        </w:rPr>
        <w:t xml:space="preserve">compared to SOLO1 </w:t>
      </w:r>
      <w:r w:rsidR="00AB63DB" w:rsidRPr="00DE7812">
        <w:rPr>
          <w:color w:val="auto"/>
        </w:rPr>
        <w:t xml:space="preserve">in the </w:t>
      </w:r>
      <w:proofErr w:type="spellStart"/>
      <w:r w:rsidR="00AB63DB" w:rsidRPr="00DE7812">
        <w:rPr>
          <w:i/>
          <w:color w:val="auto"/>
        </w:rPr>
        <w:t>BRCA</w:t>
      </w:r>
      <w:r w:rsidR="00AB63DB" w:rsidRPr="00DE7812">
        <w:rPr>
          <w:color w:val="auto"/>
        </w:rPr>
        <w:t>m</w:t>
      </w:r>
      <w:proofErr w:type="spellEnd"/>
      <w:r w:rsidR="00AB63DB" w:rsidRPr="00DE7812">
        <w:rPr>
          <w:color w:val="auto"/>
        </w:rPr>
        <w:t xml:space="preserve"> subgroup</w:t>
      </w:r>
      <w:r w:rsidR="001A488D" w:rsidRPr="00DE7812">
        <w:rPr>
          <w:color w:val="auto"/>
        </w:rPr>
        <w:t>,</w:t>
      </w:r>
      <w:r w:rsidR="00AB63DB" w:rsidRPr="00DE7812">
        <w:rPr>
          <w:color w:val="auto"/>
        </w:rPr>
        <w:t xml:space="preserve"> </w:t>
      </w:r>
      <w:r w:rsidR="00A04641" w:rsidRPr="00DE7812">
        <w:rPr>
          <w:color w:val="auto"/>
        </w:rPr>
        <w:t xml:space="preserve">Study 19 demonstrated </w:t>
      </w:r>
      <w:r w:rsidR="00A901D3" w:rsidRPr="00DE7812">
        <w:rPr>
          <w:color w:val="auto"/>
        </w:rPr>
        <w:t xml:space="preserve">a more substantial </w:t>
      </w:r>
      <w:r w:rsidR="00A04641" w:rsidRPr="00DE7812">
        <w:rPr>
          <w:color w:val="auto"/>
        </w:rPr>
        <w:t>improvement in</w:t>
      </w:r>
      <w:r w:rsidR="00E128FB" w:rsidRPr="00DE7812">
        <w:rPr>
          <w:color w:val="auto"/>
        </w:rPr>
        <w:t xml:space="preserve"> </w:t>
      </w:r>
      <w:r w:rsidR="00A901D3" w:rsidRPr="00DE7812">
        <w:rPr>
          <w:color w:val="auto"/>
        </w:rPr>
        <w:t>progre</w:t>
      </w:r>
      <w:r w:rsidR="00DD4C44" w:rsidRPr="00DE7812">
        <w:rPr>
          <w:color w:val="auto"/>
        </w:rPr>
        <w:t xml:space="preserve">ssion-free survival (HR </w:t>
      </w:r>
      <w:r w:rsidR="000D3B38" w:rsidRPr="00DE7812">
        <w:rPr>
          <w:color w:val="auto"/>
        </w:rPr>
        <w:t>0.18</w:t>
      </w:r>
      <w:r w:rsidR="00190793" w:rsidRPr="00DE7812">
        <w:rPr>
          <w:color w:val="auto"/>
        </w:rPr>
        <w:t xml:space="preserve"> 95%CI: 0.11, 0.31</w:t>
      </w:r>
      <w:r w:rsidR="00B0448F" w:rsidRPr="00DE7812">
        <w:rPr>
          <w:color w:val="auto"/>
        </w:rPr>
        <w:t>)</w:t>
      </w:r>
      <w:r w:rsidR="00824E58" w:rsidRPr="00DE7812">
        <w:rPr>
          <w:color w:val="auto"/>
        </w:rPr>
        <w:t>,</w:t>
      </w:r>
      <w:r w:rsidR="00827CA7" w:rsidRPr="00DE7812">
        <w:rPr>
          <w:color w:val="auto"/>
        </w:rPr>
        <w:t xml:space="preserve"> </w:t>
      </w:r>
      <w:r w:rsidR="00190793" w:rsidRPr="00DE7812">
        <w:rPr>
          <w:color w:val="auto"/>
        </w:rPr>
        <w:t xml:space="preserve">a </w:t>
      </w:r>
      <w:r w:rsidR="008A45E5" w:rsidRPr="00DE7812">
        <w:rPr>
          <w:color w:val="auto"/>
        </w:rPr>
        <w:t xml:space="preserve">more substantial but </w:t>
      </w:r>
      <w:r w:rsidR="00921F8C" w:rsidRPr="00DE7812">
        <w:rPr>
          <w:color w:val="auto"/>
        </w:rPr>
        <w:t xml:space="preserve">non-significant </w:t>
      </w:r>
      <w:r w:rsidR="003719B4" w:rsidRPr="00DE7812">
        <w:rPr>
          <w:color w:val="auto"/>
        </w:rPr>
        <w:t>improvement in</w:t>
      </w:r>
      <w:r w:rsidR="00E128FB" w:rsidRPr="00DE7812">
        <w:rPr>
          <w:color w:val="auto"/>
        </w:rPr>
        <w:t xml:space="preserve"> overall survival </w:t>
      </w:r>
      <w:r w:rsidR="005209D4" w:rsidRPr="00DE7812">
        <w:rPr>
          <w:color w:val="auto"/>
        </w:rPr>
        <w:t>(</w:t>
      </w:r>
      <w:r w:rsidR="003719B4" w:rsidRPr="00DE7812">
        <w:rPr>
          <w:color w:val="auto"/>
        </w:rPr>
        <w:t xml:space="preserve">unadjusted </w:t>
      </w:r>
      <w:r w:rsidR="005209D4" w:rsidRPr="00DE7812">
        <w:rPr>
          <w:color w:val="auto"/>
        </w:rPr>
        <w:t>HR 0.</w:t>
      </w:r>
      <w:r w:rsidR="008A45E5" w:rsidRPr="00DE7812">
        <w:rPr>
          <w:color w:val="auto"/>
        </w:rPr>
        <w:t>73</w:t>
      </w:r>
      <w:r w:rsidR="00190793" w:rsidRPr="00DE7812">
        <w:rPr>
          <w:color w:val="auto"/>
        </w:rPr>
        <w:t xml:space="preserve"> 95%CI: 0.45, 1.17</w:t>
      </w:r>
      <w:r w:rsidR="005209D4" w:rsidRPr="00DE7812">
        <w:rPr>
          <w:color w:val="auto"/>
        </w:rPr>
        <w:t xml:space="preserve">), </w:t>
      </w:r>
      <w:r w:rsidR="00AB63DB" w:rsidRPr="00DE7812">
        <w:rPr>
          <w:color w:val="auto"/>
        </w:rPr>
        <w:t xml:space="preserve">and </w:t>
      </w:r>
      <w:r w:rsidR="00190793" w:rsidRPr="00DE7812">
        <w:rPr>
          <w:color w:val="auto"/>
        </w:rPr>
        <w:t>a</w:t>
      </w:r>
      <w:r w:rsidR="00AB63DB" w:rsidRPr="00DE7812">
        <w:rPr>
          <w:color w:val="auto"/>
        </w:rPr>
        <w:t xml:space="preserve"> more substantial</w:t>
      </w:r>
      <w:r w:rsidR="00824E58" w:rsidRPr="00DE7812">
        <w:rPr>
          <w:color w:val="auto"/>
        </w:rPr>
        <w:t xml:space="preserve"> </w:t>
      </w:r>
      <w:r w:rsidR="00AB63DB" w:rsidRPr="00DE7812">
        <w:rPr>
          <w:color w:val="auto"/>
        </w:rPr>
        <w:t>and</w:t>
      </w:r>
      <w:r w:rsidR="00190793" w:rsidRPr="00DE7812">
        <w:rPr>
          <w:color w:val="auto"/>
        </w:rPr>
        <w:t xml:space="preserve"> statistically</w:t>
      </w:r>
      <w:r w:rsidR="00AB63DB" w:rsidRPr="00DE7812">
        <w:rPr>
          <w:color w:val="auto"/>
        </w:rPr>
        <w:t xml:space="preserve"> </w:t>
      </w:r>
      <w:r w:rsidR="00824E58" w:rsidRPr="00DE7812">
        <w:rPr>
          <w:color w:val="auto"/>
        </w:rPr>
        <w:t xml:space="preserve">significant </w:t>
      </w:r>
      <w:r w:rsidR="003719B4" w:rsidRPr="00DE7812">
        <w:rPr>
          <w:color w:val="auto"/>
        </w:rPr>
        <w:t>improvement in</w:t>
      </w:r>
      <w:r w:rsidR="00866945" w:rsidRPr="00DE7812">
        <w:rPr>
          <w:color w:val="auto"/>
        </w:rPr>
        <w:t xml:space="preserve"> overall survival after taking into account </w:t>
      </w:r>
      <w:r w:rsidR="00257CB0">
        <w:rPr>
          <w:color w:val="auto"/>
        </w:rPr>
        <w:t xml:space="preserve">cross-over in the placebo arm to </w:t>
      </w:r>
      <w:proofErr w:type="spellStart"/>
      <w:r w:rsidR="00257CB0">
        <w:rPr>
          <w:color w:val="auto"/>
        </w:rPr>
        <w:t>olaparib</w:t>
      </w:r>
      <w:proofErr w:type="spellEnd"/>
      <w:r w:rsidR="00257CB0">
        <w:rPr>
          <w:color w:val="auto"/>
        </w:rPr>
        <w:t xml:space="preserve"> as </w:t>
      </w:r>
      <w:r w:rsidR="004E7486" w:rsidRPr="00DE7812">
        <w:rPr>
          <w:color w:val="auto"/>
        </w:rPr>
        <w:t>post-progression therapy</w:t>
      </w:r>
      <w:r w:rsidR="00190793" w:rsidRPr="00DE7812">
        <w:rPr>
          <w:color w:val="auto"/>
        </w:rPr>
        <w:t xml:space="preserve"> (</w:t>
      </w:r>
      <w:r w:rsidR="003719B4" w:rsidRPr="00DE7812">
        <w:rPr>
          <w:color w:val="auto"/>
        </w:rPr>
        <w:t xml:space="preserve">adjusted </w:t>
      </w:r>
      <w:r w:rsidR="00190793" w:rsidRPr="00DE7812">
        <w:rPr>
          <w:color w:val="auto"/>
        </w:rPr>
        <w:t xml:space="preserve">HR 0.52 95%CI: 0.28, 0.97) (PSD </w:t>
      </w:r>
      <w:proofErr w:type="spellStart"/>
      <w:r w:rsidR="00190793" w:rsidRPr="00DE7812">
        <w:rPr>
          <w:color w:val="auto"/>
        </w:rPr>
        <w:t>Olaparib</w:t>
      </w:r>
      <w:proofErr w:type="spellEnd"/>
      <w:r w:rsidR="00190793" w:rsidRPr="00DE7812">
        <w:rPr>
          <w:color w:val="auto"/>
        </w:rPr>
        <w:t xml:space="preserve"> </w:t>
      </w:r>
      <w:r w:rsidR="00001C3A" w:rsidRPr="00DE7812">
        <w:rPr>
          <w:color w:val="auto"/>
        </w:rPr>
        <w:t>March 2016 PBAC Meeting)</w:t>
      </w:r>
      <w:r w:rsidR="00827CA7" w:rsidRPr="00DE7812">
        <w:rPr>
          <w:color w:val="auto"/>
        </w:rPr>
        <w:t>.</w:t>
      </w:r>
    </w:p>
    <w:p w:rsidR="003F12E7" w:rsidRPr="004523B0" w:rsidRDefault="003F12E7" w:rsidP="003F12E7">
      <w:pPr>
        <w:pStyle w:val="ListParagraph"/>
        <w:rPr>
          <w:snapToGrid w:val="0"/>
        </w:rPr>
      </w:pPr>
      <w:r w:rsidRPr="004523B0">
        <w:rPr>
          <w:snapToGrid w:val="0"/>
        </w:rPr>
        <w:t xml:space="preserve">The PBAC considered that </w:t>
      </w:r>
      <w:r w:rsidR="003D16DD" w:rsidRPr="00DC08B0">
        <w:rPr>
          <w:color w:val="auto"/>
        </w:rPr>
        <w:t xml:space="preserve">in patients with </w:t>
      </w:r>
      <w:proofErr w:type="spellStart"/>
      <w:r w:rsidR="003D16DD" w:rsidRPr="00DC08B0">
        <w:rPr>
          <w:color w:val="auto"/>
        </w:rPr>
        <w:t>g</w:t>
      </w:r>
      <w:r w:rsidR="003D16DD" w:rsidRPr="003B527C">
        <w:rPr>
          <w:i/>
          <w:color w:val="auto"/>
        </w:rPr>
        <w:t>BRCA</w:t>
      </w:r>
      <w:r w:rsidR="003D16DD" w:rsidRPr="00DC08B0">
        <w:rPr>
          <w:color w:val="auto"/>
        </w:rPr>
        <w:t>m</w:t>
      </w:r>
      <w:proofErr w:type="spellEnd"/>
      <w:r w:rsidR="00D94540">
        <w:rPr>
          <w:color w:val="auto"/>
        </w:rPr>
        <w:t>,</w:t>
      </w:r>
      <w:r w:rsidR="003D16DD" w:rsidRPr="004523B0">
        <w:rPr>
          <w:snapToGrid w:val="0"/>
        </w:rPr>
        <w:t xml:space="preserve"> </w:t>
      </w:r>
      <w:r w:rsidRPr="004523B0">
        <w:rPr>
          <w:snapToGrid w:val="0"/>
        </w:rPr>
        <w:t xml:space="preserve">the claim of superior comparative effectiveness </w:t>
      </w:r>
      <w:r w:rsidR="004523B0">
        <w:rPr>
          <w:snapToGrid w:val="0"/>
        </w:rPr>
        <w:t xml:space="preserve">for </w:t>
      </w:r>
      <w:proofErr w:type="spellStart"/>
      <w:r w:rsidR="004523B0">
        <w:rPr>
          <w:snapToGrid w:val="0"/>
        </w:rPr>
        <w:t>olap</w:t>
      </w:r>
      <w:r w:rsidR="00A30EE4">
        <w:rPr>
          <w:snapToGrid w:val="0"/>
        </w:rPr>
        <w:t>ar</w:t>
      </w:r>
      <w:r w:rsidR="004523B0">
        <w:rPr>
          <w:snapToGrid w:val="0"/>
        </w:rPr>
        <w:t>ib</w:t>
      </w:r>
      <w:proofErr w:type="spellEnd"/>
      <w:r w:rsidR="004523B0">
        <w:rPr>
          <w:snapToGrid w:val="0"/>
        </w:rPr>
        <w:t xml:space="preserve"> </w:t>
      </w:r>
      <w:r w:rsidR="003D16DD">
        <w:rPr>
          <w:snapToGrid w:val="0"/>
        </w:rPr>
        <w:t xml:space="preserve">maintenance </w:t>
      </w:r>
      <w:r w:rsidR="004523B0">
        <w:rPr>
          <w:snapToGrid w:val="0"/>
        </w:rPr>
        <w:t xml:space="preserve">compared with placebo followed by </w:t>
      </w:r>
      <w:r w:rsidR="004523B0" w:rsidRPr="00DC08B0">
        <w:rPr>
          <w:color w:val="auto"/>
        </w:rPr>
        <w:t xml:space="preserve">second-line platinum-based chemotherapy with </w:t>
      </w:r>
      <w:proofErr w:type="spellStart"/>
      <w:r w:rsidR="004523B0" w:rsidRPr="00DC08B0">
        <w:rPr>
          <w:color w:val="auto"/>
        </w:rPr>
        <w:t>olaparib</w:t>
      </w:r>
      <w:proofErr w:type="spellEnd"/>
      <w:r w:rsidR="004523B0" w:rsidRPr="00DC08B0">
        <w:rPr>
          <w:color w:val="auto"/>
        </w:rPr>
        <w:t xml:space="preserve"> maintenance </w:t>
      </w:r>
      <w:r w:rsidR="00066D9D">
        <w:rPr>
          <w:color w:val="auto"/>
        </w:rPr>
        <w:t xml:space="preserve">treatment </w:t>
      </w:r>
      <w:r w:rsidRPr="004523B0">
        <w:rPr>
          <w:snapToGrid w:val="0"/>
        </w:rPr>
        <w:t>was reasonable</w:t>
      </w:r>
      <w:r w:rsidR="00141CCE" w:rsidRPr="004523B0">
        <w:rPr>
          <w:snapToGrid w:val="0"/>
        </w:rPr>
        <w:t xml:space="preserve"> for PFS benefit</w:t>
      </w:r>
      <w:r w:rsidR="00F452E7">
        <w:rPr>
          <w:snapToGrid w:val="0"/>
        </w:rPr>
        <w:t>,</w:t>
      </w:r>
      <w:r w:rsidR="00141CCE" w:rsidRPr="004523B0">
        <w:rPr>
          <w:snapToGrid w:val="0"/>
        </w:rPr>
        <w:t xml:space="preserve"> but </w:t>
      </w:r>
      <w:r w:rsidRPr="004523B0">
        <w:rPr>
          <w:snapToGrid w:val="0"/>
        </w:rPr>
        <w:t>was not adequately supported by the data</w:t>
      </w:r>
      <w:r w:rsidR="00141CCE" w:rsidRPr="004523B0">
        <w:rPr>
          <w:snapToGrid w:val="0"/>
        </w:rPr>
        <w:t xml:space="preserve"> for OS benefit</w:t>
      </w:r>
      <w:r w:rsidRPr="004523B0">
        <w:rPr>
          <w:snapToGrid w:val="0"/>
        </w:rPr>
        <w:t>.</w:t>
      </w:r>
      <w:r w:rsidR="004523B0">
        <w:rPr>
          <w:snapToGrid w:val="0"/>
        </w:rPr>
        <w:t xml:space="preserve"> The PBAC considered the claim of superior comparative effectiveness for first-line </w:t>
      </w:r>
      <w:proofErr w:type="spellStart"/>
      <w:r w:rsidR="004523B0" w:rsidRPr="008D757F">
        <w:rPr>
          <w:color w:val="auto"/>
        </w:rPr>
        <w:t>olaparib</w:t>
      </w:r>
      <w:proofErr w:type="spellEnd"/>
      <w:r w:rsidR="004523B0" w:rsidRPr="008D757F">
        <w:rPr>
          <w:color w:val="auto"/>
        </w:rPr>
        <w:t xml:space="preserve"> maintenance </w:t>
      </w:r>
      <w:r w:rsidR="00066D9D">
        <w:rPr>
          <w:color w:val="auto"/>
        </w:rPr>
        <w:t xml:space="preserve">treatment </w:t>
      </w:r>
      <w:r w:rsidR="004523B0">
        <w:rPr>
          <w:color w:val="auto"/>
        </w:rPr>
        <w:t>in</w:t>
      </w:r>
      <w:r w:rsidR="004523B0" w:rsidRPr="008D757F">
        <w:rPr>
          <w:color w:val="auto"/>
        </w:rPr>
        <w:t xml:space="preserve"> patient</w:t>
      </w:r>
      <w:r w:rsidR="004523B0">
        <w:rPr>
          <w:color w:val="auto"/>
        </w:rPr>
        <w:t>s</w:t>
      </w:r>
      <w:r w:rsidR="004523B0" w:rsidRPr="008D757F">
        <w:rPr>
          <w:color w:val="auto"/>
        </w:rPr>
        <w:t xml:space="preserve"> </w:t>
      </w:r>
      <w:r w:rsidR="00066D9D">
        <w:rPr>
          <w:color w:val="auto"/>
        </w:rPr>
        <w:t xml:space="preserve">who </w:t>
      </w:r>
      <w:r w:rsidR="004523B0" w:rsidRPr="008D757F">
        <w:rPr>
          <w:color w:val="auto"/>
        </w:rPr>
        <w:t xml:space="preserve">test positive for a </w:t>
      </w:r>
      <w:proofErr w:type="spellStart"/>
      <w:r w:rsidR="004523B0">
        <w:rPr>
          <w:color w:val="auto"/>
        </w:rPr>
        <w:t>s</w:t>
      </w:r>
      <w:r w:rsidR="004523B0" w:rsidRPr="008D757F">
        <w:rPr>
          <w:i/>
          <w:color w:val="auto"/>
        </w:rPr>
        <w:t>BRCA</w:t>
      </w:r>
      <w:r w:rsidR="004523B0" w:rsidRPr="008D757F">
        <w:rPr>
          <w:color w:val="auto"/>
        </w:rPr>
        <w:t>m</w:t>
      </w:r>
      <w:proofErr w:type="spellEnd"/>
      <w:r w:rsidR="004523B0" w:rsidRPr="008D757F">
        <w:rPr>
          <w:color w:val="auto"/>
        </w:rPr>
        <w:t xml:space="preserve"> </w:t>
      </w:r>
      <w:r w:rsidR="004523B0">
        <w:rPr>
          <w:color w:val="auto"/>
        </w:rPr>
        <w:t xml:space="preserve">was not supported by the </w:t>
      </w:r>
      <w:r w:rsidR="00F452E7">
        <w:rPr>
          <w:color w:val="auto"/>
        </w:rPr>
        <w:t xml:space="preserve">direct trial </w:t>
      </w:r>
      <w:r w:rsidR="004523B0">
        <w:rPr>
          <w:color w:val="auto"/>
        </w:rPr>
        <w:t>data</w:t>
      </w:r>
      <w:r w:rsidR="00F452E7">
        <w:rPr>
          <w:color w:val="auto"/>
        </w:rPr>
        <w:t>,</w:t>
      </w:r>
      <w:r w:rsidR="004523B0">
        <w:rPr>
          <w:color w:val="auto"/>
        </w:rPr>
        <w:t xml:space="preserve"> and was </w:t>
      </w:r>
      <w:r w:rsidR="00A931FF">
        <w:rPr>
          <w:color w:val="auto"/>
        </w:rPr>
        <w:t xml:space="preserve">somewhat </w:t>
      </w:r>
      <w:r w:rsidR="004523B0">
        <w:rPr>
          <w:color w:val="auto"/>
        </w:rPr>
        <w:t>uncertain.</w:t>
      </w:r>
    </w:p>
    <w:p w:rsidR="003F12E7" w:rsidRPr="004523B0" w:rsidRDefault="003F12E7" w:rsidP="003F12E7">
      <w:pPr>
        <w:pStyle w:val="ListParagraph"/>
        <w:rPr>
          <w:snapToGrid w:val="0"/>
        </w:rPr>
      </w:pPr>
      <w:r w:rsidRPr="004523B0">
        <w:rPr>
          <w:snapToGrid w:val="0"/>
        </w:rPr>
        <w:t>The PBAC considered that the claim of inferior comparative safety was reasonable.</w:t>
      </w:r>
    </w:p>
    <w:p w:rsidR="00B12A8C" w:rsidRPr="009A0D5D" w:rsidRDefault="00B12A8C" w:rsidP="00563974">
      <w:pPr>
        <w:pStyle w:val="PBACESHeading2"/>
        <w:keepNext w:val="0"/>
      </w:pPr>
      <w:bookmarkStart w:id="19" w:name="_Toc18489981"/>
      <w:r w:rsidRPr="009A0D5D">
        <w:t xml:space="preserve">Claim of </w:t>
      </w:r>
      <w:proofErr w:type="spellStart"/>
      <w:r w:rsidRPr="009A0D5D">
        <w:t>codependence</w:t>
      </w:r>
      <w:bookmarkEnd w:id="19"/>
      <w:proofErr w:type="spellEnd"/>
    </w:p>
    <w:p w:rsidR="00BE3296" w:rsidRPr="00DE7812" w:rsidRDefault="00BE3296" w:rsidP="00563974">
      <w:pPr>
        <w:pStyle w:val="ListParagraph"/>
        <w:numPr>
          <w:ilvl w:val="4"/>
          <w:numId w:val="1"/>
        </w:numPr>
      </w:pPr>
      <w:r w:rsidRPr="00BE3296">
        <w:rPr>
          <w:snapToGrid w:val="0"/>
        </w:rPr>
        <w:t xml:space="preserve">A </w:t>
      </w:r>
      <w:r w:rsidRPr="00BE3296">
        <w:rPr>
          <w:color w:val="auto"/>
        </w:rPr>
        <w:t>treatment</w:t>
      </w:r>
      <w:r w:rsidRPr="00BE3296">
        <w:rPr>
          <w:snapToGrid w:val="0"/>
        </w:rPr>
        <w:t xml:space="preserve"> effect modification by </w:t>
      </w:r>
      <w:r w:rsidRPr="00DE7812">
        <w:rPr>
          <w:i/>
          <w:snapToGrid w:val="0"/>
        </w:rPr>
        <w:t>BRCA</w:t>
      </w:r>
      <w:r w:rsidRPr="00BE3296">
        <w:rPr>
          <w:snapToGrid w:val="0"/>
        </w:rPr>
        <w:t xml:space="preserve"> status (pathological variant vs wild-type) for the use of </w:t>
      </w:r>
      <w:proofErr w:type="spellStart"/>
      <w:r w:rsidRPr="00BE3296">
        <w:rPr>
          <w:snapToGrid w:val="0"/>
        </w:rPr>
        <w:t>olaparib</w:t>
      </w:r>
      <w:proofErr w:type="spellEnd"/>
      <w:r w:rsidRPr="00BE3296">
        <w:rPr>
          <w:snapToGrid w:val="0"/>
        </w:rPr>
        <w:t xml:space="preserve"> in the second-line setting has been established. However, the clinical utility of</w:t>
      </w:r>
      <w:r w:rsidRPr="00BE3296">
        <w:t xml:space="preserve"> the test (either </w:t>
      </w:r>
      <w:proofErr w:type="spellStart"/>
      <w:r w:rsidRPr="00BE3296">
        <w:t>g</w:t>
      </w:r>
      <w:r w:rsidRPr="00BE3296">
        <w:rPr>
          <w:i/>
          <w:iCs/>
        </w:rPr>
        <w:t>BRCA</w:t>
      </w:r>
      <w:r w:rsidRPr="00BE3296">
        <w:t>m</w:t>
      </w:r>
      <w:proofErr w:type="spellEnd"/>
      <w:r w:rsidRPr="00BE3296">
        <w:t xml:space="preserve"> or </w:t>
      </w:r>
      <w:proofErr w:type="spellStart"/>
      <w:r w:rsidRPr="00BE3296">
        <w:t>s</w:t>
      </w:r>
      <w:r w:rsidRPr="00BE3296">
        <w:rPr>
          <w:i/>
          <w:iCs/>
        </w:rPr>
        <w:t>BRCA</w:t>
      </w:r>
      <w:r w:rsidRPr="00BE3296">
        <w:t>m</w:t>
      </w:r>
      <w:proofErr w:type="spellEnd"/>
      <w:r w:rsidRPr="00BE3296">
        <w:t xml:space="preserve"> testing) remains uncertain. There is evidence of benefit of </w:t>
      </w:r>
      <w:proofErr w:type="spellStart"/>
      <w:r w:rsidRPr="00BE3296">
        <w:t>olaparib</w:t>
      </w:r>
      <w:proofErr w:type="spellEnd"/>
      <w:r w:rsidRPr="0073344C">
        <w:t xml:space="preserve"> (vs placebo) in </w:t>
      </w:r>
      <w:proofErr w:type="spellStart"/>
      <w:r w:rsidRPr="0073344C">
        <w:rPr>
          <w:i/>
          <w:iCs/>
        </w:rPr>
        <w:t>BRCA</w:t>
      </w:r>
      <w:r w:rsidRPr="0073344C">
        <w:t>wt</w:t>
      </w:r>
      <w:proofErr w:type="spellEnd"/>
      <w:r w:rsidRPr="0073344C">
        <w:t xml:space="preserve"> in the second-line setting. </w:t>
      </w:r>
      <w:r w:rsidRPr="0073344C">
        <w:lastRenderedPageBreak/>
        <w:t xml:space="preserve">There is currently no evidence for the use of </w:t>
      </w:r>
      <w:proofErr w:type="spellStart"/>
      <w:r w:rsidRPr="0073344C">
        <w:t>olaparib</w:t>
      </w:r>
      <w:proofErr w:type="spellEnd"/>
      <w:r w:rsidRPr="0073344C">
        <w:t xml:space="preserve"> in </w:t>
      </w:r>
      <w:proofErr w:type="spellStart"/>
      <w:r w:rsidRPr="0073344C">
        <w:rPr>
          <w:i/>
          <w:iCs/>
        </w:rPr>
        <w:t>BRCA</w:t>
      </w:r>
      <w:r w:rsidRPr="0073344C">
        <w:t>wt</w:t>
      </w:r>
      <w:proofErr w:type="spellEnd"/>
      <w:r w:rsidRPr="0073344C">
        <w:t xml:space="preserve"> in the first-line setting. </w:t>
      </w:r>
      <w:r w:rsidR="007F1E72" w:rsidRPr="00DE7812">
        <w:t xml:space="preserve">The ESC noted that the lack of evidence in </w:t>
      </w:r>
      <w:proofErr w:type="spellStart"/>
      <w:r w:rsidR="007F1E72" w:rsidRPr="00DE7812">
        <w:rPr>
          <w:i/>
        </w:rPr>
        <w:t>BRCA</w:t>
      </w:r>
      <w:r w:rsidR="007F1E72" w:rsidRPr="00DE7812">
        <w:t>wt</w:t>
      </w:r>
      <w:proofErr w:type="spellEnd"/>
      <w:r w:rsidR="007F1E72" w:rsidRPr="00DE7812">
        <w:t xml:space="preserve"> patients in the first-line setting was a key omission in the claim of co-dependence.</w:t>
      </w:r>
      <w:r w:rsidR="008D1334" w:rsidRPr="00DE7812">
        <w:t xml:space="preserve"> The ESC noted that if </w:t>
      </w:r>
      <w:proofErr w:type="spellStart"/>
      <w:r w:rsidR="008D1334" w:rsidRPr="00DE7812">
        <w:t>olaparib</w:t>
      </w:r>
      <w:proofErr w:type="spellEnd"/>
      <w:r w:rsidR="008D1334" w:rsidRPr="00DE7812">
        <w:t xml:space="preserve"> were PBS listed in </w:t>
      </w:r>
      <w:proofErr w:type="spellStart"/>
      <w:r w:rsidR="008D1334" w:rsidRPr="00DE7812">
        <w:rPr>
          <w:i/>
        </w:rPr>
        <w:t>BRCA</w:t>
      </w:r>
      <w:r w:rsidR="008D1334" w:rsidRPr="00DE7812">
        <w:t>m</w:t>
      </w:r>
      <w:proofErr w:type="spellEnd"/>
      <w:r w:rsidR="008D1334" w:rsidRPr="00DE7812">
        <w:t xml:space="preserve"> and </w:t>
      </w:r>
      <w:proofErr w:type="spellStart"/>
      <w:r w:rsidR="008D1334" w:rsidRPr="00DE7812">
        <w:rPr>
          <w:i/>
        </w:rPr>
        <w:t>BRCA</w:t>
      </w:r>
      <w:r w:rsidR="008D1334" w:rsidRPr="00DE7812">
        <w:t>wt</w:t>
      </w:r>
      <w:proofErr w:type="spellEnd"/>
      <w:r w:rsidR="008D1334" w:rsidRPr="00DE7812">
        <w:t xml:space="preserve"> patients the claim of co-dependence would not be required.</w:t>
      </w:r>
    </w:p>
    <w:p w:rsidR="00C857FA" w:rsidRPr="009A0D5D" w:rsidRDefault="00C857FA" w:rsidP="00563974">
      <w:pPr>
        <w:pStyle w:val="PBACESHeading2"/>
        <w:keepNext w:val="0"/>
      </w:pPr>
      <w:bookmarkStart w:id="20" w:name="_Toc18489982"/>
      <w:bookmarkStart w:id="21" w:name="_Toc413139284"/>
      <w:bookmarkStart w:id="22" w:name="_Toc413139286"/>
      <w:bookmarkEnd w:id="1"/>
      <w:r w:rsidRPr="009A0D5D">
        <w:t>Economic analysis</w:t>
      </w:r>
      <w:bookmarkEnd w:id="20"/>
    </w:p>
    <w:p w:rsidR="00C857FA" w:rsidRPr="0044380D" w:rsidRDefault="00C857FA" w:rsidP="00563974">
      <w:pPr>
        <w:pStyle w:val="ListParagraph"/>
        <w:numPr>
          <w:ilvl w:val="4"/>
          <w:numId w:val="1"/>
        </w:numPr>
      </w:pPr>
      <w:r w:rsidRPr="00B42C58">
        <w:t>The submission presented a modelled cost-utility analysis, using the randomised trial (</w:t>
      </w:r>
      <w:r>
        <w:t>SOLO1</w:t>
      </w:r>
      <w:r w:rsidRPr="00B42C58">
        <w:t xml:space="preserve">, which compared </w:t>
      </w:r>
      <w:proofErr w:type="spellStart"/>
      <w:r w:rsidRPr="002838FF">
        <w:t>olaparib</w:t>
      </w:r>
      <w:proofErr w:type="spellEnd"/>
      <w:r>
        <w:t xml:space="preserve"> versus </w:t>
      </w:r>
      <w:r w:rsidRPr="002838FF">
        <w:t>placebo (watch and wait)</w:t>
      </w:r>
      <w:r>
        <w:t>,</w:t>
      </w:r>
      <w:r w:rsidRPr="002838FF">
        <w:t xml:space="preserve"> in a population of patients with newly diagnosed </w:t>
      </w:r>
      <w:r w:rsidRPr="00B42C58">
        <w:rPr>
          <w:i/>
        </w:rPr>
        <w:t>BRCA</w:t>
      </w:r>
      <w:r>
        <w:rPr>
          <w:i/>
        </w:rPr>
        <w:t>1/2</w:t>
      </w:r>
      <w:r w:rsidRPr="002838FF">
        <w:t>-mutated advanced ovarian cancer who are in response (complete or partial) after first-line platinum-based chemotherapy</w:t>
      </w:r>
      <w:r w:rsidR="00047F1E">
        <w:t>)</w:t>
      </w:r>
      <w:r w:rsidRPr="002838FF">
        <w:t>.</w:t>
      </w:r>
      <w:r>
        <w:t xml:space="preserve"> </w:t>
      </w:r>
      <w:r w:rsidRPr="00B42C58">
        <w:t>A summary of the structure and rationale for the economic model is presented in</w:t>
      </w:r>
      <w:r>
        <w:t xml:space="preserve"> the table </w:t>
      </w:r>
      <w:r w:rsidRPr="00CE128D">
        <w:t>below</w:t>
      </w:r>
      <w:r w:rsidRPr="00A72B14">
        <w:rPr>
          <w:i/>
        </w:rPr>
        <w:t>.</w:t>
      </w:r>
    </w:p>
    <w:p w:rsidR="00983141" w:rsidRPr="005602AB" w:rsidRDefault="00983141" w:rsidP="00563974">
      <w:pPr>
        <w:pStyle w:val="ListParagraph"/>
        <w:numPr>
          <w:ilvl w:val="4"/>
          <w:numId w:val="1"/>
        </w:numPr>
      </w:pPr>
      <w:r>
        <w:t>T</w:t>
      </w:r>
      <w:r w:rsidR="00FB2D4B">
        <w:t>he PBAC</w:t>
      </w:r>
      <w:r>
        <w:t xml:space="preserve"> noted the unnecessary complexity of the model’s structure, and suggested that a more usual </w:t>
      </w:r>
      <w:r w:rsidR="00A30EE4">
        <w:t>partitioned</w:t>
      </w:r>
      <w:r>
        <w:t xml:space="preserve"> survival analysis may have been a more transparent modelling approach.  </w:t>
      </w:r>
    </w:p>
    <w:p w:rsidR="00C857FA" w:rsidRPr="00DC08B0" w:rsidRDefault="00563974" w:rsidP="00563974">
      <w:pPr>
        <w:pStyle w:val="Caption"/>
        <w:keepNext w:val="0"/>
        <w:ind w:left="1418" w:hanging="1418"/>
      </w:pPr>
      <w:r>
        <w:t xml:space="preserve">Table </w:t>
      </w:r>
      <w:r w:rsidR="00A75368">
        <w:rPr>
          <w:noProof/>
        </w:rPr>
        <w:t>9</w:t>
      </w:r>
      <w:r>
        <w:rPr>
          <w:noProof/>
        </w:rPr>
        <w:t xml:space="preserve">: </w:t>
      </w:r>
      <w:r w:rsidR="00C857FA" w:rsidRPr="00DC08B0">
        <w:t>Summary of model structure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685"/>
      </w:tblGrid>
      <w:tr w:rsidR="00C857FA" w:rsidRPr="00DE7812" w:rsidTr="00563974">
        <w:trPr>
          <w:cantSplit/>
          <w:tblHeader/>
        </w:trPr>
        <w:tc>
          <w:tcPr>
            <w:tcW w:w="1980" w:type="dxa"/>
            <w:shd w:val="clear" w:color="auto" w:fill="auto"/>
          </w:tcPr>
          <w:p w:rsidR="00C857FA" w:rsidRPr="00DE7812" w:rsidRDefault="00C857FA" w:rsidP="00563974">
            <w:pPr>
              <w:pStyle w:val="TableText"/>
              <w:widowControl/>
              <w:rPr>
                <w:b/>
              </w:rPr>
            </w:pPr>
            <w:r w:rsidRPr="00DE7812">
              <w:rPr>
                <w:b/>
              </w:rPr>
              <w:t xml:space="preserve">Component </w:t>
            </w:r>
          </w:p>
        </w:tc>
        <w:tc>
          <w:tcPr>
            <w:tcW w:w="3402" w:type="dxa"/>
            <w:shd w:val="clear" w:color="auto" w:fill="auto"/>
          </w:tcPr>
          <w:p w:rsidR="00C857FA" w:rsidRPr="00DE7812" w:rsidRDefault="00C857FA" w:rsidP="00563974">
            <w:pPr>
              <w:pStyle w:val="TableText"/>
              <w:widowControl/>
              <w:rPr>
                <w:b/>
              </w:rPr>
            </w:pPr>
            <w:r w:rsidRPr="00DE7812">
              <w:rPr>
                <w:b/>
              </w:rPr>
              <w:t>Description</w:t>
            </w:r>
          </w:p>
        </w:tc>
        <w:tc>
          <w:tcPr>
            <w:tcW w:w="3685" w:type="dxa"/>
          </w:tcPr>
          <w:p w:rsidR="00C857FA" w:rsidRPr="00DE7812" w:rsidRDefault="00C857FA" w:rsidP="00563974">
            <w:pPr>
              <w:pStyle w:val="TableText"/>
              <w:widowControl/>
              <w:rPr>
                <w:b/>
              </w:rPr>
            </w:pPr>
            <w:r w:rsidRPr="00DE7812">
              <w:rPr>
                <w:b/>
              </w:rPr>
              <w:t>Justification/comments</w:t>
            </w:r>
          </w:p>
        </w:tc>
      </w:tr>
      <w:tr w:rsidR="00C857FA" w:rsidRPr="00DE7812" w:rsidTr="00563974">
        <w:trPr>
          <w:cantSplit/>
        </w:trPr>
        <w:tc>
          <w:tcPr>
            <w:tcW w:w="1980" w:type="dxa"/>
            <w:shd w:val="clear" w:color="auto" w:fill="auto"/>
          </w:tcPr>
          <w:p w:rsidR="00C857FA" w:rsidRPr="00DE7812" w:rsidRDefault="00C857FA" w:rsidP="00563974">
            <w:pPr>
              <w:pStyle w:val="TableText"/>
              <w:widowControl/>
            </w:pPr>
            <w:r w:rsidRPr="00DE7812">
              <w:t xml:space="preserve">Type of analysis </w:t>
            </w:r>
          </w:p>
        </w:tc>
        <w:tc>
          <w:tcPr>
            <w:tcW w:w="3402" w:type="dxa"/>
            <w:shd w:val="clear" w:color="auto" w:fill="auto"/>
          </w:tcPr>
          <w:p w:rsidR="00C857FA" w:rsidRPr="00DE7812" w:rsidRDefault="00C857FA" w:rsidP="00563974">
            <w:pPr>
              <w:pStyle w:val="TableText"/>
              <w:widowControl/>
            </w:pPr>
            <w:r w:rsidRPr="00DE7812">
              <w:t>Cost-utility analysis (base case)</w:t>
            </w:r>
          </w:p>
          <w:p w:rsidR="00C857FA" w:rsidRPr="00DE7812" w:rsidRDefault="00C857FA" w:rsidP="00563974">
            <w:pPr>
              <w:pStyle w:val="TableText"/>
              <w:widowControl/>
              <w:rPr>
                <w:rFonts w:ascii="Times" w:eastAsia="Times New Roman" w:hAnsi="Times" w:cs="Times New Roman"/>
                <w:szCs w:val="20"/>
              </w:rPr>
            </w:pPr>
            <w:r w:rsidRPr="00DE7812">
              <w:t xml:space="preserve">Cost-effectiveness analysis </w:t>
            </w:r>
          </w:p>
        </w:tc>
        <w:tc>
          <w:tcPr>
            <w:tcW w:w="3685" w:type="dxa"/>
          </w:tcPr>
          <w:p w:rsidR="00C857FA" w:rsidRPr="00DE7812" w:rsidRDefault="00C857FA" w:rsidP="00563974">
            <w:pPr>
              <w:pStyle w:val="TableText"/>
              <w:widowControl/>
            </w:pPr>
            <w:r w:rsidRPr="00DE7812">
              <w:t>This is appropriate.</w:t>
            </w:r>
          </w:p>
        </w:tc>
      </w:tr>
      <w:tr w:rsidR="00C857FA" w:rsidRPr="00DE7812" w:rsidTr="00563974">
        <w:trPr>
          <w:cantSplit/>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Outcomes</w:t>
            </w:r>
          </w:p>
        </w:tc>
        <w:tc>
          <w:tcPr>
            <w:tcW w:w="3402" w:type="dxa"/>
            <w:shd w:val="clear" w:color="auto" w:fill="auto"/>
          </w:tcPr>
          <w:p w:rsidR="00C857FA" w:rsidRPr="00DE7812" w:rsidRDefault="00C857FA" w:rsidP="00563974">
            <w:pPr>
              <w:pStyle w:val="TableText"/>
              <w:widowControl/>
            </w:pPr>
            <w:r w:rsidRPr="00DE7812">
              <w:t xml:space="preserve">Progression-free years gained, </w:t>
            </w:r>
          </w:p>
          <w:p w:rsidR="00C857FA" w:rsidRPr="00DE7812" w:rsidRDefault="00C857FA" w:rsidP="00563974">
            <w:pPr>
              <w:pStyle w:val="TableText"/>
              <w:widowControl/>
            </w:pPr>
            <w:r w:rsidRPr="00DE7812">
              <w:t xml:space="preserve">life-years gained, </w:t>
            </w:r>
          </w:p>
          <w:p w:rsidR="00C857FA" w:rsidRPr="00DE7812" w:rsidRDefault="00C857FA" w:rsidP="00563974">
            <w:pPr>
              <w:pStyle w:val="TableText"/>
              <w:widowControl/>
              <w:rPr>
                <w:rFonts w:ascii="Times" w:eastAsia="Times New Roman" w:hAnsi="Times" w:cs="Times New Roman"/>
                <w:szCs w:val="20"/>
              </w:rPr>
            </w:pPr>
            <w:r w:rsidRPr="00DE7812">
              <w:t>quality-adjusted life years gained</w:t>
            </w:r>
          </w:p>
        </w:tc>
        <w:tc>
          <w:tcPr>
            <w:tcW w:w="3685" w:type="dxa"/>
          </w:tcPr>
          <w:p w:rsidR="00C857FA" w:rsidRPr="00DE7812" w:rsidRDefault="00C857FA" w:rsidP="00563974">
            <w:pPr>
              <w:pStyle w:val="TableText"/>
              <w:widowControl/>
            </w:pPr>
            <w:r w:rsidRPr="00DE7812">
              <w:t>These are appropriate health outcomes for cost-effectiveness and cost-utility analyses.</w:t>
            </w:r>
          </w:p>
        </w:tc>
      </w:tr>
      <w:tr w:rsidR="00C857FA" w:rsidRPr="00DE7812" w:rsidTr="00563974">
        <w:trPr>
          <w:cantSplit/>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Time horizon</w:t>
            </w:r>
          </w:p>
        </w:tc>
        <w:tc>
          <w:tcPr>
            <w:tcW w:w="3402" w:type="dxa"/>
            <w:shd w:val="clear" w:color="auto" w:fill="auto"/>
          </w:tcPr>
          <w:p w:rsidR="00C857FA" w:rsidRPr="00DE7812" w:rsidRDefault="00C857FA" w:rsidP="00563974">
            <w:pPr>
              <w:pStyle w:val="TableText"/>
              <w:widowControl/>
            </w:pPr>
            <w:r w:rsidRPr="00DE7812">
              <w:t xml:space="preserve">25 years in the model base case </w:t>
            </w:r>
          </w:p>
          <w:p w:rsidR="00C857FA" w:rsidRPr="00DE7812" w:rsidRDefault="00C857FA" w:rsidP="00563974">
            <w:pPr>
              <w:pStyle w:val="TableText"/>
              <w:widowControl/>
              <w:rPr>
                <w:rFonts w:ascii="Times" w:eastAsia="Times New Roman" w:hAnsi="Times" w:cs="Times New Roman"/>
                <w:szCs w:val="20"/>
              </w:rPr>
            </w:pPr>
            <w:r w:rsidRPr="00DE7812">
              <w:t>(vs 41 months median follow-up in the SOLO1 trial)</w:t>
            </w:r>
          </w:p>
        </w:tc>
        <w:tc>
          <w:tcPr>
            <w:tcW w:w="3685" w:type="dxa"/>
          </w:tcPr>
          <w:p w:rsidR="00C857FA" w:rsidRPr="00DE7812" w:rsidRDefault="00C857FA" w:rsidP="00563974">
            <w:pPr>
              <w:pStyle w:val="TableText"/>
              <w:widowControl/>
            </w:pPr>
            <w:r w:rsidRPr="00DE7812">
              <w:t xml:space="preserve">25 years in the model base-case. </w:t>
            </w:r>
          </w:p>
          <w:p w:rsidR="00C857FA" w:rsidRPr="00DE7812" w:rsidRDefault="00C857FA" w:rsidP="00563974">
            <w:pPr>
              <w:pStyle w:val="TableText"/>
              <w:widowControl/>
            </w:pPr>
            <w:r w:rsidRPr="00DE7812">
              <w:t xml:space="preserve">The modelled difference in overall survival over the long time horizon is a key driver of the model, but this is unsupported by the trial evidence. The </w:t>
            </w:r>
            <w:r w:rsidR="00963817" w:rsidRPr="00DE7812">
              <w:t xml:space="preserve">ESC agreed with the commentary that the </w:t>
            </w:r>
            <w:r w:rsidRPr="00DE7812">
              <w:t xml:space="preserve">modelled long-term difference in survival between arms is highly uncertain. </w:t>
            </w:r>
          </w:p>
        </w:tc>
      </w:tr>
      <w:tr w:rsidR="00C857FA" w:rsidRPr="00DE7812" w:rsidTr="00563974">
        <w:trPr>
          <w:cantSplit/>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Methods used to generate results</w:t>
            </w:r>
          </w:p>
        </w:tc>
        <w:tc>
          <w:tcPr>
            <w:tcW w:w="3402" w:type="dxa"/>
            <w:shd w:val="clear" w:color="auto" w:fill="auto"/>
          </w:tcPr>
          <w:p w:rsidR="00C857FA" w:rsidRPr="00DE7812" w:rsidRDefault="00C857FA" w:rsidP="00563974">
            <w:pPr>
              <w:pStyle w:val="TableText"/>
              <w:widowControl/>
            </w:pPr>
            <w:r w:rsidRPr="00DE7812">
              <w:t>Modified Markov</w:t>
            </w:r>
          </w:p>
          <w:p w:rsidR="00C857FA" w:rsidRPr="00DE7812" w:rsidRDefault="00C857FA" w:rsidP="00563974">
            <w:pPr>
              <w:pStyle w:val="TableText"/>
              <w:widowControl/>
              <w:rPr>
                <w:rFonts w:ascii="Times" w:eastAsia="Times New Roman" w:hAnsi="Times" w:cs="Times New Roman"/>
                <w:szCs w:val="20"/>
              </w:rPr>
            </w:pPr>
            <w:r w:rsidRPr="00DE7812">
              <w:t>A cohort analysis of partitioned survival (i.e. area under the curve) is also used to generate the results</w:t>
            </w:r>
          </w:p>
        </w:tc>
        <w:tc>
          <w:tcPr>
            <w:tcW w:w="3685" w:type="dxa"/>
          </w:tcPr>
          <w:p w:rsidR="00C857FA" w:rsidRPr="00DE7812" w:rsidRDefault="00C857FA" w:rsidP="00A9286F">
            <w:pPr>
              <w:pStyle w:val="TableText"/>
              <w:widowControl/>
            </w:pPr>
            <w:r w:rsidRPr="00DE7812">
              <w:t xml:space="preserve">The approach used is reasonable, but </w:t>
            </w:r>
            <w:r w:rsidR="003F164E" w:rsidRPr="00DE7812">
              <w:t xml:space="preserve">the ESC agreed with the commentary that this approach was </w:t>
            </w:r>
            <w:r w:rsidRPr="00DE7812">
              <w:t>unnecessarily complex compared to a routine partitioned survival analysis.</w:t>
            </w:r>
            <w:r w:rsidR="006076D4">
              <w:t xml:space="preserve"> </w:t>
            </w:r>
          </w:p>
        </w:tc>
      </w:tr>
      <w:tr w:rsidR="00C857FA" w:rsidRPr="00DE7812" w:rsidTr="00563974">
        <w:trPr>
          <w:cantSplit/>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Health states</w:t>
            </w:r>
          </w:p>
        </w:tc>
        <w:tc>
          <w:tcPr>
            <w:tcW w:w="3402" w:type="dxa"/>
            <w:shd w:val="clear" w:color="auto" w:fill="auto"/>
          </w:tcPr>
          <w:p w:rsidR="00C857FA" w:rsidRPr="00DE7812" w:rsidRDefault="00C857FA" w:rsidP="00563974">
            <w:pPr>
              <w:pStyle w:val="TableText"/>
              <w:widowControl/>
            </w:pPr>
            <w:r w:rsidRPr="00DE7812">
              <w:t>4 health states are modelled:</w:t>
            </w:r>
          </w:p>
          <w:p w:rsidR="00C857FA" w:rsidRPr="00DE7812" w:rsidRDefault="00C857FA" w:rsidP="00563974">
            <w:pPr>
              <w:pStyle w:val="TableText"/>
              <w:widowControl/>
            </w:pPr>
            <w:r w:rsidRPr="00DE7812">
              <w:t xml:space="preserve">Progression-free following 1st line platinum regimen (PFS1), </w:t>
            </w:r>
          </w:p>
          <w:p w:rsidR="00C857FA" w:rsidRPr="00DE7812" w:rsidRDefault="00C857FA" w:rsidP="00563974">
            <w:pPr>
              <w:pStyle w:val="TableText"/>
              <w:widowControl/>
            </w:pPr>
            <w:r w:rsidRPr="00DE7812">
              <w:t xml:space="preserve">Progression-free following 2nd line platinum regimen (PFS2), </w:t>
            </w:r>
          </w:p>
          <w:p w:rsidR="00C857FA" w:rsidRPr="00DE7812" w:rsidRDefault="00C857FA" w:rsidP="00563974">
            <w:pPr>
              <w:pStyle w:val="TableText"/>
              <w:widowControl/>
            </w:pPr>
            <w:r w:rsidRPr="00DE7812">
              <w:t xml:space="preserve">Progressive disease, and </w:t>
            </w:r>
          </w:p>
          <w:p w:rsidR="00C857FA" w:rsidRPr="00DE7812" w:rsidRDefault="00C857FA" w:rsidP="00563974">
            <w:pPr>
              <w:pStyle w:val="TableText"/>
              <w:widowControl/>
              <w:rPr>
                <w:rFonts w:ascii="Times" w:eastAsia="Times New Roman" w:hAnsi="Times" w:cs="Times New Roman"/>
                <w:szCs w:val="20"/>
              </w:rPr>
            </w:pPr>
            <w:r w:rsidRPr="00DE7812">
              <w:t>Death</w:t>
            </w:r>
          </w:p>
        </w:tc>
        <w:tc>
          <w:tcPr>
            <w:tcW w:w="3685" w:type="dxa"/>
          </w:tcPr>
          <w:p w:rsidR="00C857FA" w:rsidRPr="00DE7812" w:rsidRDefault="00963817" w:rsidP="00563974">
            <w:pPr>
              <w:pStyle w:val="TableText"/>
              <w:widowControl/>
            </w:pPr>
            <w:r w:rsidRPr="00DE7812">
              <w:t>The ESC agreed with the commentary that the health states modelled were</w:t>
            </w:r>
            <w:r w:rsidR="00C857FA" w:rsidRPr="00DE7812">
              <w:t xml:space="preserve"> reasonable. In this model, the two progression free states accommodate use of </w:t>
            </w:r>
            <w:proofErr w:type="spellStart"/>
            <w:r w:rsidR="00C857FA" w:rsidRPr="00DE7812">
              <w:t>olaparib</w:t>
            </w:r>
            <w:proofErr w:type="spellEnd"/>
            <w:r w:rsidR="00C857FA" w:rsidRPr="00DE7812">
              <w:t xml:space="preserve"> maintenance treatment either after 1</w:t>
            </w:r>
            <w:r w:rsidR="00C857FA" w:rsidRPr="00DE7812">
              <w:rPr>
                <w:vertAlign w:val="superscript"/>
              </w:rPr>
              <w:t>st</w:t>
            </w:r>
            <w:r w:rsidR="00C857FA" w:rsidRPr="00DE7812">
              <w:t xml:space="preserve"> or 2</w:t>
            </w:r>
            <w:r w:rsidR="00C857FA" w:rsidRPr="00DE7812">
              <w:rPr>
                <w:vertAlign w:val="superscript"/>
              </w:rPr>
              <w:t>nd</w:t>
            </w:r>
            <w:r w:rsidR="00C857FA" w:rsidRPr="00DE7812">
              <w:t xml:space="preserve"> line platinum therapy, in the intervention and comparator arms, respectively. </w:t>
            </w:r>
          </w:p>
        </w:tc>
      </w:tr>
      <w:tr w:rsidR="00C857FA" w:rsidRPr="00DE7812" w:rsidTr="00563974">
        <w:trPr>
          <w:cantSplit/>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lastRenderedPageBreak/>
              <w:t>Cycle length</w:t>
            </w:r>
          </w:p>
        </w:tc>
        <w:tc>
          <w:tcPr>
            <w:tcW w:w="3402"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 xml:space="preserve">30.4 days </w:t>
            </w:r>
          </w:p>
        </w:tc>
        <w:tc>
          <w:tcPr>
            <w:tcW w:w="3685" w:type="dxa"/>
          </w:tcPr>
          <w:p w:rsidR="00C857FA" w:rsidRPr="00DE7812" w:rsidRDefault="00C857FA" w:rsidP="00563974">
            <w:pPr>
              <w:pStyle w:val="TableText"/>
              <w:widowControl/>
            </w:pPr>
            <w:r w:rsidRPr="00DE7812">
              <w:t>This is appropriate.</w:t>
            </w:r>
          </w:p>
        </w:tc>
      </w:tr>
      <w:tr w:rsidR="00C857FA" w:rsidRPr="00DE7812" w:rsidTr="00563974">
        <w:trPr>
          <w:cantSplit/>
        </w:trPr>
        <w:tc>
          <w:tcPr>
            <w:tcW w:w="1980" w:type="dxa"/>
            <w:shd w:val="clear" w:color="auto" w:fill="auto"/>
          </w:tcPr>
          <w:p w:rsidR="00C857FA" w:rsidRPr="00DE7812" w:rsidRDefault="00C857FA" w:rsidP="00563974">
            <w:pPr>
              <w:pStyle w:val="TableText"/>
              <w:widowControl/>
            </w:pPr>
            <w:r w:rsidRPr="00DE7812">
              <w:t xml:space="preserve">Transition probabilities </w:t>
            </w:r>
          </w:p>
        </w:tc>
        <w:tc>
          <w:tcPr>
            <w:tcW w:w="3402" w:type="dxa"/>
            <w:shd w:val="clear" w:color="auto" w:fill="auto"/>
          </w:tcPr>
          <w:p w:rsidR="00C857FA" w:rsidRPr="00DE7812" w:rsidRDefault="00C857FA" w:rsidP="00563974">
            <w:pPr>
              <w:pStyle w:val="TableText"/>
              <w:widowControl/>
            </w:pPr>
            <w:r w:rsidRPr="00DE7812">
              <w:t>Health state allocation over time is determined using area under the PFS1, PFS2 and OS curves in a partitioned survival model.</w:t>
            </w:r>
          </w:p>
          <w:p w:rsidR="00C857FA" w:rsidRPr="00DE7812" w:rsidRDefault="00C857FA" w:rsidP="00563974">
            <w:pPr>
              <w:pStyle w:val="TableText"/>
              <w:widowControl/>
            </w:pPr>
            <w:r w:rsidRPr="00DE7812">
              <w:t xml:space="preserve">PFS1 and “time from first progression to second-progression” curves are extrapolated from the Kaplan-Meier curves from SOLO1 in the </w:t>
            </w:r>
            <w:proofErr w:type="spellStart"/>
            <w:r w:rsidRPr="00DE7812">
              <w:t>BRCAm</w:t>
            </w:r>
            <w:proofErr w:type="spellEnd"/>
            <w:r w:rsidRPr="00DE7812">
              <w:t xml:space="preserve"> patients, and AOCS data in the </w:t>
            </w:r>
            <w:proofErr w:type="spellStart"/>
            <w:r w:rsidRPr="00DE7812">
              <w:t>BRCAwt</w:t>
            </w:r>
            <w:proofErr w:type="spellEnd"/>
            <w:r w:rsidRPr="00DE7812">
              <w:t xml:space="preserve"> patients. OS curves are taken directly from the Kaplan-Meier curves from SOLO1 up to 41 months followed by a monthly probability of death derived from AOCS registry data for </w:t>
            </w:r>
            <w:proofErr w:type="spellStart"/>
            <w:r w:rsidRPr="00DE7812">
              <w:t>BRCAm</w:t>
            </w:r>
            <w:proofErr w:type="spellEnd"/>
            <w:r w:rsidRPr="00DE7812">
              <w:t xml:space="preserve"> patients. </w:t>
            </w:r>
          </w:p>
          <w:p w:rsidR="00C857FA" w:rsidRPr="00DE7812" w:rsidRDefault="00C857FA" w:rsidP="00563974">
            <w:pPr>
              <w:pStyle w:val="TableText"/>
              <w:widowControl/>
            </w:pPr>
            <w:r w:rsidRPr="00DE7812">
              <w:t>PFS1, “time from first progression to second-</w:t>
            </w:r>
            <w:r w:rsidR="00563974" w:rsidRPr="00DE7812">
              <w:t>progression” and</w:t>
            </w:r>
            <w:r w:rsidRPr="00DE7812">
              <w:t xml:space="preserve"> “OS after second progression” for </w:t>
            </w:r>
            <w:proofErr w:type="spellStart"/>
            <w:r w:rsidRPr="00DE7812">
              <w:t>BRCAwt</w:t>
            </w:r>
            <w:proofErr w:type="spellEnd"/>
            <w:r w:rsidRPr="00DE7812">
              <w:t xml:space="preserve"> arms are derived from AOCS Kaplan-Meier curves. </w:t>
            </w:r>
          </w:p>
          <w:p w:rsidR="00C857FA" w:rsidRPr="00DE7812" w:rsidRDefault="00C857FA" w:rsidP="00563974">
            <w:pPr>
              <w:pStyle w:val="TableText"/>
              <w:widowControl/>
            </w:pPr>
            <w:r w:rsidRPr="00DE7812">
              <w:t>All curves are extrapolated using log-logistic or log-normal parametric survival functions.</w:t>
            </w:r>
          </w:p>
        </w:tc>
        <w:tc>
          <w:tcPr>
            <w:tcW w:w="3685" w:type="dxa"/>
          </w:tcPr>
          <w:p w:rsidR="00C857FA" w:rsidRPr="00DE7812" w:rsidRDefault="00C857FA" w:rsidP="00563974">
            <w:pPr>
              <w:pStyle w:val="TableText"/>
              <w:widowControl/>
            </w:pPr>
            <w:r w:rsidRPr="00DE7812">
              <w:t xml:space="preserve">The limitations in the available clinical trial evidence – particularly with respect to the immaturity of the data result in a highly uncertain model that relies heavily on extrapolation. </w:t>
            </w:r>
          </w:p>
          <w:p w:rsidR="00C857FA" w:rsidRPr="00DE7812" w:rsidRDefault="00C857FA" w:rsidP="00563974">
            <w:pPr>
              <w:pStyle w:val="TableText"/>
              <w:widowControl/>
            </w:pPr>
            <w:r w:rsidRPr="00DE7812">
              <w:t xml:space="preserve">In the case of overall survival beyond the immature trial data, rather than extrapolate from the OS data, the model uses the (predominantly extrapolated) PFS2 as a direct predictor of survival. The observed difference in PFS2 between the treatment arms therefore generates diverging OS curves between the treatment arms. This is highly favourable to </w:t>
            </w:r>
            <w:proofErr w:type="spellStart"/>
            <w:r w:rsidRPr="00DE7812">
              <w:t>olaparib</w:t>
            </w:r>
            <w:proofErr w:type="spellEnd"/>
            <w:r w:rsidRPr="00DE7812">
              <w:t xml:space="preserve"> and does not appear consistent with the limited clinical trial data on OS that is available but does not show divergence.</w:t>
            </w:r>
          </w:p>
          <w:p w:rsidR="00C857FA" w:rsidRPr="00DE7812" w:rsidRDefault="00C857FA" w:rsidP="00563974">
            <w:pPr>
              <w:pStyle w:val="TableText"/>
              <w:widowControl/>
            </w:pPr>
            <w:r w:rsidRPr="00DE7812">
              <w:t xml:space="preserve">Overall, there is substantial uncertainty around the partitioned survival estimates generated in the model. </w:t>
            </w:r>
          </w:p>
        </w:tc>
      </w:tr>
      <w:tr w:rsidR="00C857FA" w:rsidRPr="00DE7812" w:rsidTr="00563974">
        <w:trPr>
          <w:cantSplit/>
        </w:trPr>
        <w:tc>
          <w:tcPr>
            <w:tcW w:w="1980" w:type="dxa"/>
            <w:shd w:val="clear" w:color="auto" w:fill="auto"/>
          </w:tcPr>
          <w:p w:rsidR="00C857FA" w:rsidRPr="00DE7812" w:rsidRDefault="00C857FA" w:rsidP="00563974">
            <w:pPr>
              <w:pStyle w:val="TableText"/>
              <w:widowControl/>
            </w:pPr>
            <w:r w:rsidRPr="00DE7812">
              <w:t>Discounting</w:t>
            </w:r>
          </w:p>
        </w:tc>
        <w:tc>
          <w:tcPr>
            <w:tcW w:w="3402" w:type="dxa"/>
            <w:shd w:val="clear" w:color="auto" w:fill="auto"/>
          </w:tcPr>
          <w:p w:rsidR="00C857FA" w:rsidRPr="00DE7812" w:rsidRDefault="00C857FA" w:rsidP="00563974">
            <w:pPr>
              <w:pStyle w:val="TableText"/>
              <w:widowControl/>
            </w:pPr>
            <w:r w:rsidRPr="00DE7812">
              <w:t>5% per annum for outcomes and costs</w:t>
            </w:r>
          </w:p>
        </w:tc>
        <w:tc>
          <w:tcPr>
            <w:tcW w:w="3685" w:type="dxa"/>
          </w:tcPr>
          <w:p w:rsidR="00C857FA" w:rsidRPr="00DE7812" w:rsidRDefault="00C857FA" w:rsidP="00563974">
            <w:pPr>
              <w:pStyle w:val="TableText"/>
              <w:widowControl/>
            </w:pPr>
            <w:r w:rsidRPr="00DE7812">
              <w:t>This is appropriate.</w:t>
            </w:r>
          </w:p>
        </w:tc>
      </w:tr>
      <w:tr w:rsidR="00C857FA" w:rsidRPr="00DE7812" w:rsidTr="00563974">
        <w:trPr>
          <w:cantSplit/>
          <w:trHeight w:val="70"/>
        </w:trPr>
        <w:tc>
          <w:tcPr>
            <w:tcW w:w="1980"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Software package</w:t>
            </w:r>
          </w:p>
        </w:tc>
        <w:tc>
          <w:tcPr>
            <w:tcW w:w="3402" w:type="dxa"/>
            <w:shd w:val="clear" w:color="auto" w:fill="auto"/>
          </w:tcPr>
          <w:p w:rsidR="00C857FA" w:rsidRPr="00DE7812" w:rsidRDefault="00C857FA" w:rsidP="00563974">
            <w:pPr>
              <w:pStyle w:val="TableText"/>
              <w:widowControl/>
              <w:rPr>
                <w:rFonts w:ascii="Times" w:eastAsia="Times New Roman" w:hAnsi="Times" w:cs="Times New Roman"/>
                <w:szCs w:val="20"/>
              </w:rPr>
            </w:pPr>
            <w:r w:rsidRPr="00DE7812">
              <w:t>Microsoft Excel 2016</w:t>
            </w:r>
          </w:p>
        </w:tc>
        <w:tc>
          <w:tcPr>
            <w:tcW w:w="3685" w:type="dxa"/>
          </w:tcPr>
          <w:p w:rsidR="00C857FA" w:rsidRPr="00DE7812" w:rsidRDefault="00C857FA" w:rsidP="00563974">
            <w:pPr>
              <w:pStyle w:val="TableText"/>
              <w:widowControl/>
            </w:pPr>
            <w:r w:rsidRPr="00DE7812">
              <w:t>This is appropriate.</w:t>
            </w:r>
          </w:p>
        </w:tc>
      </w:tr>
    </w:tbl>
    <w:p w:rsidR="00C857FA" w:rsidRDefault="00C857FA" w:rsidP="00563974">
      <w:pPr>
        <w:pStyle w:val="TableFooter"/>
        <w:widowControl/>
      </w:pPr>
      <w:r w:rsidRPr="00245AE8">
        <w:t xml:space="preserve">Source: </w:t>
      </w:r>
      <w:r>
        <w:t>Table 3–1, p217</w:t>
      </w:r>
      <w:r w:rsidRPr="00245AE8">
        <w:t xml:space="preserve"> </w:t>
      </w:r>
      <w:r>
        <w:t>of the submission.</w:t>
      </w:r>
    </w:p>
    <w:p w:rsidR="00C857FA" w:rsidRPr="00962538" w:rsidRDefault="00C857FA" w:rsidP="00563974">
      <w:pPr>
        <w:pStyle w:val="TableFooter"/>
        <w:widowControl/>
      </w:pPr>
      <w:r>
        <w:t xml:space="preserve">AOCS = Australian Ovarian Cancer Study; </w:t>
      </w:r>
      <w:proofErr w:type="spellStart"/>
      <w:r>
        <w:rPr>
          <w:i/>
        </w:rPr>
        <w:t>BRCA</w:t>
      </w:r>
      <w:r w:rsidRPr="00C857FA">
        <w:t>m</w:t>
      </w:r>
      <w:proofErr w:type="spellEnd"/>
      <w:r>
        <w:t xml:space="preserve"> = </w:t>
      </w:r>
      <w:r w:rsidRPr="00245AE8">
        <w:rPr>
          <w:i/>
        </w:rPr>
        <w:t>BRCA1/2</w:t>
      </w:r>
      <w:r>
        <w:t xml:space="preserve"> mutation positives; </w:t>
      </w:r>
      <w:proofErr w:type="spellStart"/>
      <w:r w:rsidRPr="00245AE8">
        <w:rPr>
          <w:i/>
        </w:rPr>
        <w:t>BRCA</w:t>
      </w:r>
      <w:r w:rsidRPr="00C857FA">
        <w:t>wt</w:t>
      </w:r>
      <w:proofErr w:type="spellEnd"/>
      <w:r>
        <w:t xml:space="preserve"> = </w:t>
      </w:r>
      <w:r w:rsidRPr="00245AE8">
        <w:rPr>
          <w:i/>
        </w:rPr>
        <w:t xml:space="preserve">BRCA </w:t>
      </w:r>
      <w:r>
        <w:rPr>
          <w:i/>
        </w:rPr>
        <w:t>1/2</w:t>
      </w:r>
      <w:r>
        <w:t xml:space="preserve"> </w:t>
      </w:r>
      <w:proofErr w:type="spellStart"/>
      <w:r>
        <w:t>wildtype</w:t>
      </w:r>
      <w:proofErr w:type="spellEnd"/>
      <w:r>
        <w:t xml:space="preserve">; </w:t>
      </w:r>
      <w:r w:rsidRPr="0060497A">
        <w:t xml:space="preserve">OS = overall survival; </w:t>
      </w:r>
      <w:r>
        <w:t>PFS = progression-free survival</w:t>
      </w:r>
    </w:p>
    <w:p w:rsidR="00C857FA" w:rsidRPr="00DC08B0" w:rsidRDefault="00C857FA" w:rsidP="00563974">
      <w:pPr>
        <w:pStyle w:val="ListParagraph"/>
        <w:numPr>
          <w:ilvl w:val="4"/>
          <w:numId w:val="1"/>
        </w:numPr>
      </w:pPr>
      <w:r>
        <w:t xml:space="preserve">The structure of the economic evaluation </w:t>
      </w:r>
      <w:r w:rsidR="005A706B">
        <w:t>wa</w:t>
      </w:r>
      <w:r>
        <w:t xml:space="preserve">s adequate to convey and assess </w:t>
      </w:r>
      <w:r w:rsidRPr="00DC08B0">
        <w:t xml:space="preserve">the claim of </w:t>
      </w:r>
      <w:proofErr w:type="spellStart"/>
      <w:r w:rsidRPr="00DC08B0">
        <w:t>codependence</w:t>
      </w:r>
      <w:proofErr w:type="spellEnd"/>
      <w:r w:rsidRPr="00DC08B0">
        <w:t xml:space="preserve">, </w:t>
      </w:r>
      <w:r>
        <w:t xml:space="preserve">however there </w:t>
      </w:r>
      <w:r w:rsidR="005A706B">
        <w:t>wa</w:t>
      </w:r>
      <w:r>
        <w:t xml:space="preserve">s inadequate clinical data in the appropriate setting to run an economic evaluation on an untested population. </w:t>
      </w:r>
    </w:p>
    <w:p w:rsidR="00C857FA" w:rsidRPr="00DC08B0" w:rsidRDefault="00C857FA" w:rsidP="00563974">
      <w:pPr>
        <w:pStyle w:val="ListParagraph"/>
        <w:numPr>
          <w:ilvl w:val="4"/>
          <w:numId w:val="1"/>
        </w:numPr>
      </w:pPr>
      <w:r>
        <w:t>T</w:t>
      </w:r>
      <w:r w:rsidRPr="00DC08B0">
        <w:t xml:space="preserve">he key drivers of the model </w:t>
      </w:r>
      <w:r w:rsidR="00FB2D4B">
        <w:t>were</w:t>
      </w:r>
      <w:r>
        <w:t xml:space="preserve"> the extrapolated difference in OS and the utility value of PFS2, </w:t>
      </w:r>
      <w:r w:rsidRPr="00DC08B0">
        <w:t xml:space="preserve">as per the table </w:t>
      </w:r>
      <w:r w:rsidRPr="00CE128D">
        <w:t>below</w:t>
      </w:r>
      <w:r w:rsidRPr="00DC08B0">
        <w:t xml:space="preserve">. </w:t>
      </w:r>
      <w:r w:rsidR="00963817" w:rsidRPr="00DE7812">
        <w:t>The ESC noted that the time horizon was also a key driver of the model.</w:t>
      </w:r>
    </w:p>
    <w:p w:rsidR="00C857FA" w:rsidRPr="00DC08B0" w:rsidRDefault="00563974" w:rsidP="00563974">
      <w:pPr>
        <w:pStyle w:val="Caption"/>
        <w:ind w:left="1418" w:hanging="1418"/>
      </w:pPr>
      <w:r>
        <w:lastRenderedPageBreak/>
        <w:t xml:space="preserve">Table </w:t>
      </w:r>
      <w:r w:rsidR="00A75368">
        <w:rPr>
          <w:noProof/>
        </w:rPr>
        <w:t>10</w:t>
      </w:r>
      <w:r>
        <w:rPr>
          <w:noProof/>
        </w:rPr>
        <w:t xml:space="preserve">: </w:t>
      </w:r>
      <w:r w:rsidR="00C857FA" w:rsidRPr="00DC08B0">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5172"/>
        <w:gridCol w:w="2431"/>
      </w:tblGrid>
      <w:tr w:rsidR="00C857FA" w:rsidRPr="00C857FA" w:rsidTr="00473EBF">
        <w:trPr>
          <w:tblHeader/>
        </w:trPr>
        <w:tc>
          <w:tcPr>
            <w:tcW w:w="784" w:type="pct"/>
            <w:shd w:val="clear" w:color="auto" w:fill="auto"/>
            <w:vAlign w:val="bottom"/>
          </w:tcPr>
          <w:p w:rsidR="00C857FA" w:rsidRPr="005B305D" w:rsidRDefault="00C857FA" w:rsidP="00563974">
            <w:pPr>
              <w:pStyle w:val="TableText"/>
              <w:keepNext/>
              <w:widowControl/>
              <w:rPr>
                <w:b/>
              </w:rPr>
            </w:pPr>
            <w:r w:rsidRPr="005B305D">
              <w:rPr>
                <w:b/>
              </w:rPr>
              <w:t>Description</w:t>
            </w:r>
          </w:p>
        </w:tc>
        <w:tc>
          <w:tcPr>
            <w:tcW w:w="2868" w:type="pct"/>
            <w:shd w:val="clear" w:color="auto" w:fill="auto"/>
            <w:vAlign w:val="bottom"/>
          </w:tcPr>
          <w:p w:rsidR="00C857FA" w:rsidRPr="005B305D" w:rsidRDefault="00C857FA" w:rsidP="00563974">
            <w:pPr>
              <w:pStyle w:val="TableText"/>
              <w:keepNext/>
              <w:widowControl/>
              <w:rPr>
                <w:b/>
              </w:rPr>
            </w:pPr>
            <w:r w:rsidRPr="005B305D">
              <w:rPr>
                <w:b/>
              </w:rPr>
              <w:t>Method/Value</w:t>
            </w:r>
          </w:p>
        </w:tc>
        <w:tc>
          <w:tcPr>
            <w:tcW w:w="1348" w:type="pct"/>
            <w:shd w:val="clear" w:color="auto" w:fill="auto"/>
            <w:vAlign w:val="bottom"/>
          </w:tcPr>
          <w:p w:rsidR="00C857FA" w:rsidRPr="005B305D" w:rsidRDefault="00C857FA" w:rsidP="00563974">
            <w:pPr>
              <w:pStyle w:val="TableText"/>
              <w:keepNext/>
              <w:widowControl/>
              <w:rPr>
                <w:b/>
              </w:rPr>
            </w:pPr>
            <w:r w:rsidRPr="005B305D">
              <w:rPr>
                <w:b/>
              </w:rPr>
              <w:t>Impact</w:t>
            </w:r>
          </w:p>
        </w:tc>
      </w:tr>
      <w:tr w:rsidR="00C857FA" w:rsidRPr="005602AB" w:rsidTr="00473EBF">
        <w:tc>
          <w:tcPr>
            <w:tcW w:w="784" w:type="pct"/>
            <w:shd w:val="clear" w:color="auto" w:fill="auto"/>
            <w:vAlign w:val="center"/>
          </w:tcPr>
          <w:p w:rsidR="00C857FA" w:rsidRPr="005B305D" w:rsidRDefault="00C857FA" w:rsidP="00563974">
            <w:pPr>
              <w:pStyle w:val="TableText"/>
              <w:keepNext/>
              <w:widowControl/>
            </w:pPr>
            <w:r w:rsidRPr="002F2FD4">
              <w:t>Extrapolation</w:t>
            </w:r>
          </w:p>
        </w:tc>
        <w:tc>
          <w:tcPr>
            <w:tcW w:w="2868" w:type="pct"/>
            <w:shd w:val="clear" w:color="auto" w:fill="auto"/>
            <w:vAlign w:val="center"/>
          </w:tcPr>
          <w:p w:rsidR="00C857FA" w:rsidRPr="005B305D" w:rsidRDefault="00540C15" w:rsidP="00563974">
            <w:pPr>
              <w:pStyle w:val="TableText"/>
              <w:keepNext/>
              <w:widowControl/>
            </w:pPr>
            <w:r w:rsidRPr="005B305D">
              <w:t>OS curves are co</w:t>
            </w:r>
            <w:r w:rsidR="00A44C2A" w:rsidRPr="005B305D">
              <w:t xml:space="preserve">nstructed from a combination of </w:t>
            </w:r>
            <w:r w:rsidRPr="005B305D">
              <w:t>Kaplan Mei</w:t>
            </w:r>
            <w:r w:rsidR="00963817">
              <w:t>e</w:t>
            </w:r>
            <w:r w:rsidRPr="005B305D">
              <w:t>r data from the SOLO1 trial for the first 41 months,</w:t>
            </w:r>
            <w:r w:rsidR="00A44C2A" w:rsidRPr="005B305D">
              <w:t xml:space="preserve"> </w:t>
            </w:r>
            <w:r w:rsidRPr="005B305D">
              <w:t xml:space="preserve">and monthly death rate (estimated from OS stratified by </w:t>
            </w:r>
            <w:proofErr w:type="spellStart"/>
            <w:r w:rsidRPr="005B305D">
              <w:t>BRCAm</w:t>
            </w:r>
            <w:proofErr w:type="spellEnd"/>
            <w:r w:rsidRPr="005B305D">
              <w:t xml:space="preserve"> status in AOCS</w:t>
            </w:r>
            <w:r w:rsidR="00B65800" w:rsidRPr="005B305D">
              <w:t>)</w:t>
            </w:r>
            <w:r w:rsidR="00C857FA" w:rsidRPr="005B305D">
              <w:t xml:space="preserve"> added equivalently to each arm of the PFS2 curve</w:t>
            </w:r>
            <w:r w:rsidR="00F927E9" w:rsidRPr="005B305D">
              <w:t xml:space="preserve"> (after 41 months trial period)</w:t>
            </w:r>
            <w:r w:rsidR="00C857FA" w:rsidRPr="005B305D">
              <w:t>, rather than an estimate or extrapolation of overall survival time from the randomisation (or the start of the model)</w:t>
            </w:r>
            <w:r w:rsidR="00005E7E">
              <w:t>.</w:t>
            </w:r>
          </w:p>
        </w:tc>
        <w:tc>
          <w:tcPr>
            <w:tcW w:w="1348" w:type="pct"/>
            <w:shd w:val="clear" w:color="auto" w:fill="auto"/>
            <w:vAlign w:val="center"/>
          </w:tcPr>
          <w:p w:rsidR="00C857FA" w:rsidRPr="005B305D" w:rsidRDefault="00C857FA" w:rsidP="00563974">
            <w:pPr>
              <w:pStyle w:val="TableText"/>
              <w:keepNext/>
              <w:widowControl/>
            </w:pPr>
            <w:r w:rsidRPr="005B305D">
              <w:t xml:space="preserve">High, favours </w:t>
            </w:r>
            <w:proofErr w:type="spellStart"/>
            <w:r w:rsidR="00963817">
              <w:t>olaparib</w:t>
            </w:r>
            <w:proofErr w:type="spellEnd"/>
          </w:p>
        </w:tc>
      </w:tr>
      <w:tr w:rsidR="00C857FA" w:rsidRPr="005602AB" w:rsidTr="00473EBF">
        <w:tc>
          <w:tcPr>
            <w:tcW w:w="784" w:type="pct"/>
            <w:shd w:val="clear" w:color="auto" w:fill="auto"/>
            <w:vAlign w:val="center"/>
          </w:tcPr>
          <w:p w:rsidR="00C857FA" w:rsidRPr="005B305D" w:rsidRDefault="00C857FA" w:rsidP="00563974">
            <w:pPr>
              <w:pStyle w:val="TableText"/>
              <w:keepNext/>
              <w:widowControl/>
            </w:pPr>
            <w:r w:rsidRPr="002F2FD4">
              <w:t>Utilities</w:t>
            </w:r>
          </w:p>
        </w:tc>
        <w:tc>
          <w:tcPr>
            <w:tcW w:w="2868" w:type="pct"/>
            <w:shd w:val="clear" w:color="auto" w:fill="auto"/>
            <w:vAlign w:val="center"/>
          </w:tcPr>
          <w:p w:rsidR="00C857FA" w:rsidRPr="005B305D" w:rsidRDefault="00C857FA" w:rsidP="00563974">
            <w:pPr>
              <w:pStyle w:val="TableText"/>
              <w:keepNext/>
              <w:widowControl/>
            </w:pPr>
            <w:r w:rsidRPr="005B305D">
              <w:t xml:space="preserve">Relatively low values for PFS and PD modelled health states are used from </w:t>
            </w:r>
            <w:proofErr w:type="spellStart"/>
            <w:r w:rsidR="00DA7AC6" w:rsidRPr="005B305D">
              <w:t>Havrilesky</w:t>
            </w:r>
            <w:proofErr w:type="spellEnd"/>
            <w:r w:rsidR="00DA7AC6" w:rsidRPr="005B305D">
              <w:t xml:space="preserve"> et al (2009)</w:t>
            </w:r>
            <w:r w:rsidR="00DA7AC6" w:rsidRPr="005B305D">
              <w:rPr>
                <w:rStyle w:val="FootnoteReference"/>
              </w:rPr>
              <w:footnoteReference w:id="7"/>
            </w:r>
            <w:r w:rsidR="00DA7AC6" w:rsidRPr="005B305D">
              <w:t xml:space="preserve"> </w:t>
            </w:r>
            <w:r w:rsidR="00EF6B4A" w:rsidRPr="005B305D">
              <w:t xml:space="preserve"> </w:t>
            </w:r>
            <w:r w:rsidRPr="005B305D">
              <w:t>rather than more recent, applicable sources.</w:t>
            </w:r>
          </w:p>
        </w:tc>
        <w:tc>
          <w:tcPr>
            <w:tcW w:w="1348" w:type="pct"/>
            <w:shd w:val="clear" w:color="auto" w:fill="auto"/>
            <w:vAlign w:val="center"/>
          </w:tcPr>
          <w:p w:rsidR="00C857FA" w:rsidRPr="005B305D" w:rsidRDefault="00C857FA" w:rsidP="00563974">
            <w:pPr>
              <w:pStyle w:val="TableText"/>
              <w:keepNext/>
              <w:widowControl/>
            </w:pPr>
            <w:r w:rsidRPr="005B305D">
              <w:t xml:space="preserve">High, favours </w:t>
            </w:r>
            <w:proofErr w:type="spellStart"/>
            <w:r w:rsidR="00963817">
              <w:t>olaparib</w:t>
            </w:r>
            <w:proofErr w:type="spellEnd"/>
          </w:p>
        </w:tc>
      </w:tr>
      <w:tr w:rsidR="00963817" w:rsidRPr="00DE7812" w:rsidTr="00473EBF">
        <w:tc>
          <w:tcPr>
            <w:tcW w:w="784" w:type="pct"/>
            <w:shd w:val="clear" w:color="auto" w:fill="auto"/>
            <w:vAlign w:val="center"/>
          </w:tcPr>
          <w:p w:rsidR="00963817" w:rsidRPr="00DE7812" w:rsidRDefault="00963817" w:rsidP="00563974">
            <w:pPr>
              <w:pStyle w:val="TableText"/>
              <w:widowControl/>
            </w:pPr>
            <w:r w:rsidRPr="00DE7812">
              <w:t>Time horizon</w:t>
            </w:r>
          </w:p>
        </w:tc>
        <w:tc>
          <w:tcPr>
            <w:tcW w:w="2868" w:type="pct"/>
            <w:shd w:val="clear" w:color="auto" w:fill="auto"/>
            <w:vAlign w:val="center"/>
          </w:tcPr>
          <w:p w:rsidR="00963817" w:rsidRPr="00DE7812" w:rsidRDefault="008C0BC9" w:rsidP="00563974">
            <w:pPr>
              <w:pStyle w:val="TableText"/>
              <w:widowControl/>
            </w:pPr>
            <w:r w:rsidRPr="00DE7812">
              <w:t>25 years, long relative to other submissions in advanced ovarian cancer and relative to trial follow-up.</w:t>
            </w:r>
          </w:p>
        </w:tc>
        <w:tc>
          <w:tcPr>
            <w:tcW w:w="1348" w:type="pct"/>
            <w:shd w:val="clear" w:color="auto" w:fill="auto"/>
            <w:vAlign w:val="center"/>
          </w:tcPr>
          <w:p w:rsidR="00963817" w:rsidRPr="00DE7812" w:rsidRDefault="00963817" w:rsidP="00563974">
            <w:pPr>
              <w:pStyle w:val="TableText"/>
              <w:widowControl/>
            </w:pPr>
            <w:r w:rsidRPr="00DE7812">
              <w:t xml:space="preserve">High, favours </w:t>
            </w:r>
            <w:proofErr w:type="spellStart"/>
            <w:r w:rsidRPr="00DE7812">
              <w:t>olaparib</w:t>
            </w:r>
            <w:proofErr w:type="spellEnd"/>
          </w:p>
        </w:tc>
      </w:tr>
    </w:tbl>
    <w:p w:rsidR="00C857FA" w:rsidRDefault="00C857FA" w:rsidP="00563974">
      <w:pPr>
        <w:pStyle w:val="TableFooter"/>
        <w:widowControl/>
      </w:pPr>
      <w:r w:rsidRPr="008C0BC9">
        <w:rPr>
          <w:i/>
        </w:rPr>
        <w:t>OS = overall survival; PFS2</w:t>
      </w:r>
      <w:r>
        <w:t xml:space="preserve"> = progression</w:t>
      </w:r>
      <w:r w:rsidR="00EF6B4A">
        <w:t>-</w:t>
      </w:r>
      <w:r>
        <w:t xml:space="preserve">free survival after </w:t>
      </w:r>
      <w:r w:rsidR="008B011B">
        <w:t>second-line</w:t>
      </w:r>
      <w:r>
        <w:t xml:space="preserve"> therapy</w:t>
      </w:r>
    </w:p>
    <w:p w:rsidR="00C857FA" w:rsidRPr="00DC08B0" w:rsidRDefault="00C857FA" w:rsidP="00563974">
      <w:pPr>
        <w:pStyle w:val="TableFooter"/>
        <w:widowControl/>
      </w:pPr>
      <w:r>
        <w:t>Source: C</w:t>
      </w:r>
      <w:r w:rsidRPr="00DC08B0">
        <w:t>ompiled during the evaluation</w:t>
      </w:r>
      <w:r>
        <w:t xml:space="preserve"> based on Section 3.9 of the submission</w:t>
      </w:r>
    </w:p>
    <w:p w:rsidR="00C857FA" w:rsidRPr="005B305D" w:rsidRDefault="00C857FA" w:rsidP="00563974">
      <w:pPr>
        <w:pStyle w:val="ListParagraph"/>
        <w:numPr>
          <w:ilvl w:val="4"/>
          <w:numId w:val="1"/>
        </w:numPr>
      </w:pPr>
      <w:r w:rsidRPr="007108A1">
        <w:t xml:space="preserve">The results of the stepped analysis </w:t>
      </w:r>
      <w:r w:rsidR="004E3237" w:rsidRPr="00DE7812">
        <w:t>of the base case presented in the submission</w:t>
      </w:r>
      <w:r w:rsidR="004E3237">
        <w:t xml:space="preserve"> </w:t>
      </w:r>
      <w:r w:rsidRPr="007108A1">
        <w:t xml:space="preserve">are presented in </w:t>
      </w:r>
      <w:r>
        <w:t xml:space="preserve">the table </w:t>
      </w:r>
      <w:r w:rsidRPr="002F2FD4">
        <w:t>below</w:t>
      </w:r>
      <w:r w:rsidR="004E3237">
        <w:t>.</w:t>
      </w:r>
    </w:p>
    <w:p w:rsidR="00C857FA" w:rsidRPr="00DC08B0" w:rsidRDefault="00563974" w:rsidP="00563974">
      <w:pPr>
        <w:pStyle w:val="Caption"/>
        <w:ind w:left="1418" w:hanging="1418"/>
      </w:pPr>
      <w:r>
        <w:lastRenderedPageBreak/>
        <w:t xml:space="preserve">Table </w:t>
      </w:r>
      <w:r w:rsidR="00A75368">
        <w:rPr>
          <w:noProof/>
        </w:rPr>
        <w:t>11</w:t>
      </w:r>
      <w:r>
        <w:rPr>
          <w:noProof/>
        </w:rPr>
        <w:t xml:space="preserve">: </w:t>
      </w:r>
      <w:r w:rsidR="006852E4" w:rsidRPr="00DC08B0">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2259"/>
        <w:gridCol w:w="968"/>
        <w:gridCol w:w="970"/>
        <w:gridCol w:w="970"/>
        <w:gridCol w:w="968"/>
        <w:gridCol w:w="970"/>
        <w:gridCol w:w="970"/>
        <w:gridCol w:w="941"/>
      </w:tblGrid>
      <w:tr w:rsidR="00C857FA" w:rsidRPr="007108A1" w:rsidTr="004E3237">
        <w:trPr>
          <w:cantSplit/>
          <w:tblHeader/>
        </w:trPr>
        <w:tc>
          <w:tcPr>
            <w:tcW w:w="1252" w:type="pct"/>
            <w:vMerge w:val="restart"/>
            <w:shd w:val="clear" w:color="auto" w:fill="FFFFFF" w:themeFill="background1"/>
          </w:tcPr>
          <w:p w:rsidR="00C857FA" w:rsidRPr="007108A1" w:rsidRDefault="00C857FA" w:rsidP="00563974">
            <w:pPr>
              <w:pStyle w:val="TableText"/>
              <w:keepNext/>
              <w:widowControl/>
              <w:spacing w:before="0" w:after="0" w:line="240" w:lineRule="auto"/>
              <w:rPr>
                <w:b/>
              </w:rPr>
            </w:pPr>
            <w:r w:rsidRPr="007108A1">
              <w:rPr>
                <w:b/>
              </w:rPr>
              <w:t>Data</w:t>
            </w:r>
          </w:p>
        </w:tc>
        <w:tc>
          <w:tcPr>
            <w:tcW w:w="1613" w:type="pct"/>
            <w:gridSpan w:val="3"/>
            <w:shd w:val="clear" w:color="auto" w:fill="FFFFFF" w:themeFill="background1"/>
          </w:tcPr>
          <w:p w:rsidR="00C857FA" w:rsidRPr="007108A1" w:rsidRDefault="00C857FA" w:rsidP="00563974">
            <w:pPr>
              <w:pStyle w:val="TableText"/>
              <w:keepNext/>
              <w:widowControl/>
              <w:spacing w:before="0" w:after="0" w:line="240" w:lineRule="auto"/>
              <w:jc w:val="center"/>
              <w:rPr>
                <w:b/>
              </w:rPr>
            </w:pPr>
            <w:r w:rsidRPr="007108A1">
              <w:rPr>
                <w:b/>
              </w:rPr>
              <w:t>Costs</w:t>
            </w:r>
            <w:r>
              <w:rPr>
                <w:b/>
              </w:rPr>
              <w:t xml:space="preserve"> (discounted)</w:t>
            </w:r>
          </w:p>
        </w:tc>
        <w:tc>
          <w:tcPr>
            <w:tcW w:w="1613" w:type="pct"/>
            <w:gridSpan w:val="3"/>
            <w:shd w:val="clear" w:color="auto" w:fill="FFFFFF" w:themeFill="background1"/>
          </w:tcPr>
          <w:p w:rsidR="00C857FA" w:rsidRPr="007108A1" w:rsidRDefault="00C857FA" w:rsidP="00563974">
            <w:pPr>
              <w:pStyle w:val="TableText"/>
              <w:keepNext/>
              <w:widowControl/>
              <w:spacing w:before="0" w:after="0" w:line="240" w:lineRule="auto"/>
              <w:jc w:val="center"/>
              <w:rPr>
                <w:b/>
              </w:rPr>
            </w:pPr>
            <w:r w:rsidRPr="007108A1">
              <w:rPr>
                <w:b/>
              </w:rPr>
              <w:t>Health outcomes</w:t>
            </w:r>
            <w:r>
              <w:rPr>
                <w:b/>
              </w:rPr>
              <w:t xml:space="preserve"> (discounted)</w:t>
            </w:r>
          </w:p>
        </w:tc>
        <w:tc>
          <w:tcPr>
            <w:tcW w:w="522" w:type="pct"/>
            <w:vMerge w:val="restart"/>
            <w:shd w:val="clear" w:color="auto" w:fill="FFFFFF" w:themeFill="background1"/>
          </w:tcPr>
          <w:p w:rsidR="00C857FA" w:rsidRPr="007108A1" w:rsidRDefault="00C857FA" w:rsidP="00563974">
            <w:pPr>
              <w:pStyle w:val="TableText"/>
              <w:keepNext/>
              <w:widowControl/>
              <w:spacing w:before="0" w:after="0" w:line="240" w:lineRule="auto"/>
              <w:rPr>
                <w:b/>
              </w:rPr>
            </w:pPr>
            <w:r w:rsidRPr="007108A1">
              <w:rPr>
                <w:b/>
              </w:rPr>
              <w:t>ICER</w:t>
            </w:r>
          </w:p>
        </w:tc>
      </w:tr>
      <w:tr w:rsidR="004E3237" w:rsidRPr="007108A1" w:rsidTr="004E3237">
        <w:trPr>
          <w:cantSplit/>
          <w:tblHeader/>
        </w:trPr>
        <w:tc>
          <w:tcPr>
            <w:tcW w:w="1252" w:type="pct"/>
            <w:vMerge/>
            <w:shd w:val="clear" w:color="auto" w:fill="FFFFFF" w:themeFill="background1"/>
          </w:tcPr>
          <w:p w:rsidR="00C857FA" w:rsidRPr="007108A1" w:rsidRDefault="00C857FA" w:rsidP="00563974">
            <w:pPr>
              <w:pStyle w:val="TableText"/>
              <w:keepNext/>
              <w:widowControl/>
              <w:spacing w:before="0" w:after="0" w:line="240" w:lineRule="auto"/>
            </w:pPr>
          </w:p>
        </w:tc>
        <w:tc>
          <w:tcPr>
            <w:tcW w:w="537" w:type="pct"/>
            <w:shd w:val="clear" w:color="auto" w:fill="FFFFFF" w:themeFill="background1"/>
          </w:tcPr>
          <w:p w:rsidR="00C857FA" w:rsidRPr="007108A1" w:rsidRDefault="00C857FA" w:rsidP="00563974">
            <w:pPr>
              <w:pStyle w:val="TableText"/>
              <w:keepNext/>
              <w:widowControl/>
              <w:spacing w:before="0" w:after="0" w:line="240" w:lineRule="auto"/>
              <w:jc w:val="center"/>
              <w:rPr>
                <w:rFonts w:ascii="Times" w:eastAsia="Times New Roman" w:hAnsi="Times" w:cs="Times New Roman"/>
                <w:b/>
              </w:rPr>
            </w:pPr>
            <w:r>
              <w:rPr>
                <w:b/>
                <w:i/>
              </w:rPr>
              <w:t>Proposed scenario</w:t>
            </w:r>
          </w:p>
        </w:tc>
        <w:tc>
          <w:tcPr>
            <w:tcW w:w="538" w:type="pct"/>
            <w:shd w:val="clear" w:color="auto" w:fill="FFFFFF" w:themeFill="background1"/>
          </w:tcPr>
          <w:p w:rsidR="00C857FA" w:rsidRPr="007108A1" w:rsidRDefault="00C857FA" w:rsidP="00563974">
            <w:pPr>
              <w:pStyle w:val="TableText"/>
              <w:keepNext/>
              <w:widowControl/>
              <w:spacing w:before="0" w:after="0" w:line="240" w:lineRule="auto"/>
              <w:jc w:val="center"/>
              <w:rPr>
                <w:rFonts w:ascii="Times" w:eastAsia="Times New Roman" w:hAnsi="Times" w:cs="Times New Roman"/>
                <w:b/>
              </w:rPr>
            </w:pPr>
            <w:r>
              <w:rPr>
                <w:b/>
                <w:i/>
              </w:rPr>
              <w:t>Current scenario</w:t>
            </w:r>
          </w:p>
        </w:tc>
        <w:tc>
          <w:tcPr>
            <w:tcW w:w="538" w:type="pct"/>
            <w:shd w:val="clear" w:color="auto" w:fill="FFFFFF" w:themeFill="background1"/>
          </w:tcPr>
          <w:p w:rsidR="00C857FA" w:rsidRPr="007108A1" w:rsidRDefault="00C857FA" w:rsidP="00563974">
            <w:pPr>
              <w:pStyle w:val="TableText"/>
              <w:keepNext/>
              <w:widowControl/>
              <w:spacing w:before="0" w:after="0" w:line="240" w:lineRule="auto"/>
              <w:jc w:val="center"/>
              <w:rPr>
                <w:rFonts w:ascii="Times" w:eastAsia="Times New Roman" w:hAnsi="Times" w:cs="Times New Roman"/>
                <w:b/>
              </w:rPr>
            </w:pPr>
            <w:r w:rsidRPr="007108A1">
              <w:rPr>
                <w:b/>
              </w:rPr>
              <w:t>Increment</w:t>
            </w:r>
          </w:p>
        </w:tc>
        <w:tc>
          <w:tcPr>
            <w:tcW w:w="537" w:type="pct"/>
            <w:shd w:val="clear" w:color="auto" w:fill="FFFFFF" w:themeFill="background1"/>
          </w:tcPr>
          <w:p w:rsidR="00C857FA" w:rsidRPr="007108A1" w:rsidRDefault="00C857FA" w:rsidP="00563974">
            <w:pPr>
              <w:pStyle w:val="TableText"/>
              <w:keepNext/>
              <w:widowControl/>
              <w:spacing w:before="0" w:after="0" w:line="240" w:lineRule="auto"/>
              <w:jc w:val="center"/>
              <w:rPr>
                <w:rFonts w:ascii="Times" w:eastAsia="Times New Roman" w:hAnsi="Times" w:cs="Times New Roman"/>
                <w:b/>
              </w:rPr>
            </w:pPr>
            <w:r>
              <w:rPr>
                <w:b/>
                <w:i/>
              </w:rPr>
              <w:t>Proposed scenario</w:t>
            </w:r>
          </w:p>
        </w:tc>
        <w:tc>
          <w:tcPr>
            <w:tcW w:w="538" w:type="pct"/>
            <w:shd w:val="clear" w:color="auto" w:fill="FFFFFF" w:themeFill="background1"/>
          </w:tcPr>
          <w:p w:rsidR="00C857FA" w:rsidRPr="007108A1" w:rsidRDefault="00C857FA" w:rsidP="00563974">
            <w:pPr>
              <w:pStyle w:val="TableText"/>
              <w:keepNext/>
              <w:widowControl/>
              <w:spacing w:before="0" w:after="0" w:line="240" w:lineRule="auto"/>
              <w:jc w:val="center"/>
              <w:rPr>
                <w:b/>
              </w:rPr>
            </w:pPr>
            <w:r>
              <w:rPr>
                <w:b/>
                <w:i/>
              </w:rPr>
              <w:t>Current scenario</w:t>
            </w:r>
          </w:p>
        </w:tc>
        <w:tc>
          <w:tcPr>
            <w:tcW w:w="538" w:type="pct"/>
            <w:shd w:val="clear" w:color="auto" w:fill="FFFFFF" w:themeFill="background1"/>
          </w:tcPr>
          <w:p w:rsidR="00C857FA" w:rsidRPr="007108A1" w:rsidRDefault="00C857FA" w:rsidP="00563974">
            <w:pPr>
              <w:pStyle w:val="TableText"/>
              <w:keepNext/>
              <w:widowControl/>
              <w:spacing w:before="0" w:after="0" w:line="240" w:lineRule="auto"/>
              <w:jc w:val="center"/>
              <w:rPr>
                <w:b/>
              </w:rPr>
            </w:pPr>
            <w:r w:rsidRPr="007108A1">
              <w:rPr>
                <w:b/>
              </w:rPr>
              <w:t>Increment</w:t>
            </w:r>
          </w:p>
        </w:tc>
        <w:tc>
          <w:tcPr>
            <w:tcW w:w="522" w:type="pct"/>
            <w:vMerge/>
            <w:shd w:val="clear" w:color="auto" w:fill="FFFFFF" w:themeFill="background1"/>
          </w:tcPr>
          <w:p w:rsidR="00C857FA" w:rsidRPr="007108A1" w:rsidRDefault="00C857FA" w:rsidP="00563974">
            <w:pPr>
              <w:pStyle w:val="TableText"/>
              <w:keepNext/>
              <w:widowControl/>
              <w:spacing w:before="0" w:after="0" w:line="240" w:lineRule="auto"/>
            </w:pPr>
          </w:p>
        </w:tc>
      </w:tr>
      <w:tr w:rsidR="004E3237" w:rsidRPr="007108A1" w:rsidTr="004E3237">
        <w:trPr>
          <w:cantSplit/>
        </w:trPr>
        <w:tc>
          <w:tcPr>
            <w:tcW w:w="1252" w:type="pct"/>
            <w:tcBorders>
              <w:bottom w:val="single" w:sz="4" w:space="0" w:color="auto"/>
            </w:tcBorders>
            <w:shd w:val="clear" w:color="auto" w:fill="FFFFFF" w:themeFill="background1"/>
          </w:tcPr>
          <w:p w:rsidR="00C857FA" w:rsidRPr="007108A1" w:rsidRDefault="00C857FA" w:rsidP="00563974">
            <w:pPr>
              <w:pStyle w:val="TableText"/>
              <w:keepNext/>
              <w:widowControl/>
              <w:spacing w:before="0" w:after="0" w:line="240" w:lineRule="auto"/>
            </w:pPr>
            <w:r w:rsidRPr="007108A1">
              <w:t>Step 1</w:t>
            </w:r>
          </w:p>
          <w:p w:rsidR="00C857FA" w:rsidRPr="007108A1" w:rsidRDefault="00C857FA" w:rsidP="00563974">
            <w:pPr>
              <w:pStyle w:val="TableText"/>
              <w:keepNext/>
              <w:widowControl/>
              <w:spacing w:before="0" w:after="0" w:line="240" w:lineRule="auto"/>
            </w:pPr>
            <w:r w:rsidRPr="007108A1">
              <w:t>Setting: Trial setting (</w:t>
            </w:r>
            <w:proofErr w:type="spellStart"/>
            <w:r w:rsidRPr="003B3072">
              <w:rPr>
                <w:b/>
                <w:i/>
              </w:rPr>
              <w:t>BRCA</w:t>
            </w:r>
            <w:r w:rsidRPr="003B3072">
              <w:rPr>
                <w:b/>
              </w:rPr>
              <w:t>m</w:t>
            </w:r>
            <w:proofErr w:type="spellEnd"/>
            <w:r w:rsidRPr="003B3072">
              <w:rPr>
                <w:b/>
              </w:rPr>
              <w:t>+ only</w:t>
            </w:r>
            <w:r w:rsidRPr="007108A1">
              <w:t>)</w:t>
            </w:r>
          </w:p>
          <w:p w:rsidR="00C857FA" w:rsidRPr="007108A1" w:rsidRDefault="00C857FA" w:rsidP="00563974">
            <w:pPr>
              <w:pStyle w:val="TableText"/>
              <w:keepNext/>
              <w:widowControl/>
              <w:spacing w:before="0" w:after="0" w:line="240" w:lineRule="auto"/>
            </w:pPr>
            <w:r>
              <w:t>Time horizon: 49</w:t>
            </w:r>
            <w:r w:rsidRPr="007108A1">
              <w:t xml:space="preserve"> months </w:t>
            </w:r>
            <w:r w:rsidRPr="007108A1">
              <w:rPr>
                <w:vertAlign w:val="superscript"/>
              </w:rPr>
              <w:t>a</w:t>
            </w:r>
            <w:r w:rsidRPr="007108A1">
              <w:t xml:space="preserve"> </w:t>
            </w:r>
          </w:p>
        </w:tc>
        <w:tc>
          <w:tcPr>
            <w:tcW w:w="537" w:type="pct"/>
            <w:tcBorders>
              <w:bottom w:val="single" w:sz="4" w:space="0" w:color="auto"/>
            </w:tcBorders>
            <w:shd w:val="clear" w:color="auto" w:fill="FFFFFF" w:themeFill="background1"/>
            <w:vAlign w:val="center"/>
          </w:tcPr>
          <w:p w:rsidR="00C857FA" w:rsidRPr="0086186F" w:rsidRDefault="00C857FA" w:rsidP="00563974">
            <w:pPr>
              <w:pStyle w:val="TableText"/>
              <w:keepNext/>
              <w:widowControl/>
              <w:spacing w:before="0" w:after="0" w:line="240" w:lineRule="auto"/>
              <w:jc w:val="center"/>
            </w:pPr>
            <w:r w:rsidRPr="0086186F">
              <w:t>$</w:t>
            </w:r>
            <w:r w:rsidR="005C3678">
              <w:rPr>
                <w:noProof/>
                <w:color w:val="000000"/>
                <w:highlight w:val="black"/>
              </w:rPr>
              <w:t>''''''''''''''''''</w:t>
            </w:r>
          </w:p>
        </w:tc>
        <w:tc>
          <w:tcPr>
            <w:tcW w:w="538" w:type="pct"/>
            <w:tcBorders>
              <w:bottom w:val="single" w:sz="4" w:space="0" w:color="auto"/>
            </w:tcBorders>
            <w:shd w:val="clear" w:color="auto" w:fill="FFFFFF" w:themeFill="background1"/>
            <w:vAlign w:val="center"/>
          </w:tcPr>
          <w:p w:rsidR="00C857FA" w:rsidRPr="0086186F" w:rsidRDefault="00C857FA" w:rsidP="00563974">
            <w:pPr>
              <w:pStyle w:val="TableText"/>
              <w:keepNext/>
              <w:widowControl/>
              <w:spacing w:before="0" w:after="0" w:line="240" w:lineRule="auto"/>
              <w:jc w:val="center"/>
            </w:pPr>
            <w:r w:rsidRPr="0086186F">
              <w:t>$</w:t>
            </w:r>
            <w:r w:rsidR="005C3678">
              <w:rPr>
                <w:noProof/>
                <w:color w:val="000000"/>
                <w:highlight w:val="black"/>
              </w:rPr>
              <w:t>''''''''''</w:t>
            </w:r>
          </w:p>
        </w:tc>
        <w:tc>
          <w:tcPr>
            <w:tcW w:w="538" w:type="pct"/>
            <w:tcBorders>
              <w:bottom w:val="single" w:sz="4" w:space="0" w:color="auto"/>
            </w:tcBorders>
            <w:shd w:val="clear" w:color="auto" w:fill="FFFFFF" w:themeFill="background1"/>
            <w:vAlign w:val="center"/>
          </w:tcPr>
          <w:p w:rsidR="00C857FA" w:rsidRPr="0086186F" w:rsidRDefault="00C857FA" w:rsidP="00563974">
            <w:pPr>
              <w:pStyle w:val="TableText"/>
              <w:keepNext/>
              <w:widowControl/>
              <w:spacing w:before="0" w:after="0" w:line="240" w:lineRule="auto"/>
              <w:jc w:val="center"/>
            </w:pPr>
            <w:r w:rsidRPr="0086186F">
              <w:t>$</w:t>
            </w:r>
            <w:r w:rsidR="005C3678">
              <w:rPr>
                <w:noProof/>
                <w:color w:val="000000"/>
                <w:highlight w:val="black"/>
              </w:rPr>
              <w:t>''''''''''''''''</w:t>
            </w:r>
          </w:p>
        </w:tc>
        <w:tc>
          <w:tcPr>
            <w:tcW w:w="537"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noProof/>
                <w:color w:val="000000"/>
                <w:highlight w:val="black"/>
              </w:rPr>
              <w:t>''''''''''</w:t>
            </w:r>
          </w:p>
        </w:tc>
        <w:tc>
          <w:tcPr>
            <w:tcW w:w="538"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noProof/>
                <w:color w:val="000000"/>
                <w:highlight w:val="black"/>
              </w:rPr>
              <w:t>'''''''''''</w:t>
            </w:r>
          </w:p>
        </w:tc>
        <w:tc>
          <w:tcPr>
            <w:tcW w:w="538"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noProof/>
                <w:color w:val="000000"/>
                <w:highlight w:val="black"/>
              </w:rPr>
              <w:t>'''''''''''</w:t>
            </w:r>
          </w:p>
        </w:tc>
        <w:tc>
          <w:tcPr>
            <w:tcW w:w="522" w:type="pct"/>
            <w:tcBorders>
              <w:bottom w:val="single" w:sz="4" w:space="0" w:color="auto"/>
            </w:tcBorders>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6186F">
              <w:rPr>
                <w:b/>
              </w:rPr>
              <w:t>$</w:t>
            </w:r>
            <w:r w:rsidR="005C3678">
              <w:rPr>
                <w:b/>
                <w:noProof/>
                <w:color w:val="000000"/>
                <w:highlight w:val="black"/>
              </w:rPr>
              <w:t>''''''''''''''</w:t>
            </w:r>
            <w:r>
              <w:rPr>
                <w:b/>
              </w:rPr>
              <w:t xml:space="preserve"> </w:t>
            </w:r>
            <w:r w:rsidRPr="008E35E9">
              <w:rPr>
                <w:b/>
              </w:rPr>
              <w:t>per PFY gained</w:t>
            </w:r>
          </w:p>
        </w:tc>
      </w:tr>
      <w:tr w:rsidR="00C857FA" w:rsidRPr="007108A1" w:rsidTr="004E3237">
        <w:trPr>
          <w:cantSplit/>
        </w:trPr>
        <w:tc>
          <w:tcPr>
            <w:tcW w:w="5000" w:type="pct"/>
            <w:gridSpan w:val="8"/>
            <w:shd w:val="clear" w:color="auto" w:fill="FFFFFF" w:themeFill="background1"/>
            <w:vAlign w:val="center"/>
          </w:tcPr>
          <w:p w:rsidR="00C857FA" w:rsidRPr="00CD37A6" w:rsidRDefault="00C857FA" w:rsidP="00563974">
            <w:pPr>
              <w:pStyle w:val="TableText"/>
              <w:keepNext/>
              <w:widowControl/>
              <w:spacing w:before="0" w:after="0" w:line="240" w:lineRule="auto"/>
            </w:pPr>
            <w:r w:rsidRPr="00731526">
              <w:rPr>
                <w:rFonts w:cs="Times New Roman"/>
                <w:b/>
                <w:szCs w:val="20"/>
              </w:rPr>
              <w:t xml:space="preserve">Proposed scenario 1 (available to first-line </w:t>
            </w:r>
            <w:proofErr w:type="spellStart"/>
            <w:r w:rsidRPr="00DC4E1E">
              <w:rPr>
                <w:rFonts w:cs="Times New Roman"/>
                <w:b/>
                <w:i/>
                <w:szCs w:val="20"/>
              </w:rPr>
              <w:t>gBRCAm</w:t>
            </w:r>
            <w:proofErr w:type="spellEnd"/>
            <w:r w:rsidRPr="00731526">
              <w:rPr>
                <w:rFonts w:cs="Times New Roman"/>
                <w:b/>
                <w:szCs w:val="20"/>
              </w:rPr>
              <w:t xml:space="preserve"> patients only</w:t>
            </w:r>
            <w:r w:rsidR="006573C9">
              <w:rPr>
                <w:rFonts w:cs="Times New Roman"/>
                <w:b/>
                <w:szCs w:val="20"/>
              </w:rPr>
              <w:t xml:space="preserve"> – 17% </w:t>
            </w:r>
            <w:proofErr w:type="spellStart"/>
            <w:r w:rsidR="006573C9">
              <w:rPr>
                <w:rFonts w:cs="Times New Roman"/>
                <w:b/>
                <w:i/>
                <w:szCs w:val="20"/>
              </w:rPr>
              <w:t>BRCA</w:t>
            </w:r>
            <w:r w:rsidR="006573C9" w:rsidRPr="006573C9">
              <w:rPr>
                <w:rFonts w:cs="Times New Roman"/>
                <w:b/>
                <w:szCs w:val="20"/>
              </w:rPr>
              <w:t>m</w:t>
            </w:r>
            <w:proofErr w:type="spellEnd"/>
            <w:r w:rsidR="006573C9" w:rsidRPr="006573C9">
              <w:rPr>
                <w:rFonts w:cs="Times New Roman"/>
                <w:b/>
                <w:szCs w:val="20"/>
              </w:rPr>
              <w:t xml:space="preserve"> positives</w:t>
            </w:r>
            <w:r w:rsidRPr="00731526">
              <w:rPr>
                <w:rFonts w:cs="Times New Roman"/>
                <w:b/>
                <w:szCs w:val="20"/>
              </w:rPr>
              <w:t>)</w:t>
            </w:r>
          </w:p>
        </w:tc>
      </w:tr>
      <w:tr w:rsidR="004E3237" w:rsidRPr="007108A1" w:rsidTr="004E3237">
        <w:trPr>
          <w:cantSplit/>
        </w:trPr>
        <w:tc>
          <w:tcPr>
            <w:tcW w:w="1252" w:type="pct"/>
            <w:shd w:val="clear" w:color="auto" w:fill="FFFFFF" w:themeFill="background1"/>
          </w:tcPr>
          <w:p w:rsidR="00C857FA" w:rsidRPr="007108A1" w:rsidRDefault="00C857FA" w:rsidP="00563974">
            <w:pPr>
              <w:pStyle w:val="TableText"/>
              <w:keepNext/>
              <w:widowControl/>
              <w:spacing w:before="0" w:after="0" w:line="240" w:lineRule="auto"/>
            </w:pPr>
            <w:r w:rsidRPr="007108A1">
              <w:t>Step 2</w:t>
            </w:r>
          </w:p>
          <w:p w:rsidR="00C857FA" w:rsidRPr="007108A1" w:rsidRDefault="00C857FA" w:rsidP="00563974">
            <w:pPr>
              <w:pStyle w:val="TableText"/>
              <w:keepNext/>
              <w:widowControl/>
              <w:spacing w:before="0" w:after="0" w:line="240" w:lineRule="auto"/>
            </w:pPr>
            <w:r w:rsidRPr="007108A1">
              <w:t>Setting: Proposed MBS and PBS populations</w:t>
            </w:r>
          </w:p>
          <w:p w:rsidR="00C857FA" w:rsidRPr="00D61282" w:rsidRDefault="00C857FA" w:rsidP="00563974">
            <w:pPr>
              <w:pStyle w:val="TableText"/>
              <w:keepNext/>
              <w:widowControl/>
              <w:spacing w:before="0" w:after="0" w:line="240" w:lineRule="auto"/>
              <w:rPr>
                <w:vertAlign w:val="superscript"/>
              </w:rPr>
            </w:pPr>
            <w:r w:rsidRPr="007108A1">
              <w:t xml:space="preserve">Time horizon: </w:t>
            </w:r>
            <w:r>
              <w:t xml:space="preserve">25 </w:t>
            </w:r>
            <w:r w:rsidRPr="007108A1">
              <w:t>years</w:t>
            </w:r>
            <w:r>
              <w:t xml:space="preserve"> </w:t>
            </w:r>
            <w:r>
              <w:rPr>
                <w:vertAlign w:val="superscript"/>
              </w:rPr>
              <w:t>b</w:t>
            </w:r>
          </w:p>
        </w:tc>
        <w:tc>
          <w:tcPr>
            <w:tcW w:w="537" w:type="pct"/>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7" w:type="pct"/>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22" w:type="pct"/>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E35E9">
              <w:rPr>
                <w:rFonts w:eastAsia="Times New Roman" w:cs="Times New Roman"/>
                <w:b/>
                <w:szCs w:val="20"/>
                <w:lang w:eastAsia="en-AU"/>
              </w:rPr>
              <w:t>$</w:t>
            </w:r>
            <w:r w:rsidR="005C3678">
              <w:rPr>
                <w:rFonts w:eastAsia="Times New Roman" w:cs="Times New Roman"/>
                <w:b/>
                <w:noProof/>
                <w:color w:val="000000"/>
                <w:szCs w:val="20"/>
                <w:highlight w:val="black"/>
                <w:lang w:eastAsia="en-AU"/>
              </w:rPr>
              <w:t>'''''''''''''''</w:t>
            </w:r>
            <w:r>
              <w:rPr>
                <w:rFonts w:eastAsia="Times New Roman" w:cs="Times New Roman"/>
                <w:b/>
                <w:szCs w:val="20"/>
                <w:lang w:eastAsia="en-AU"/>
              </w:rPr>
              <w:t xml:space="preserve"> per LY gained</w:t>
            </w:r>
          </w:p>
        </w:tc>
      </w:tr>
      <w:tr w:rsidR="004E3237" w:rsidRPr="007108A1" w:rsidTr="004E3237">
        <w:trPr>
          <w:cantSplit/>
        </w:trPr>
        <w:tc>
          <w:tcPr>
            <w:tcW w:w="1252" w:type="pct"/>
            <w:tcBorders>
              <w:bottom w:val="single" w:sz="4" w:space="0" w:color="auto"/>
            </w:tcBorders>
            <w:shd w:val="clear" w:color="auto" w:fill="FFFFFF" w:themeFill="background1"/>
          </w:tcPr>
          <w:p w:rsidR="00C857FA" w:rsidRPr="007108A1" w:rsidRDefault="00C857FA" w:rsidP="00563974">
            <w:pPr>
              <w:pStyle w:val="TableText"/>
              <w:keepNext/>
              <w:widowControl/>
              <w:spacing w:before="0" w:after="0" w:line="240" w:lineRule="auto"/>
            </w:pPr>
            <w:r w:rsidRPr="007108A1">
              <w:t>Step 3</w:t>
            </w:r>
          </w:p>
          <w:p w:rsidR="00C857FA" w:rsidRPr="007108A1" w:rsidRDefault="00C857FA" w:rsidP="00563974">
            <w:pPr>
              <w:pStyle w:val="TableText"/>
              <w:keepNext/>
              <w:widowControl/>
              <w:spacing w:before="0" w:after="0" w:line="240" w:lineRule="auto"/>
            </w:pPr>
            <w:r w:rsidRPr="007108A1">
              <w:t>Study evidence transformed from LY to QALY</w:t>
            </w:r>
          </w:p>
        </w:tc>
        <w:tc>
          <w:tcPr>
            <w:tcW w:w="537" w:type="pct"/>
            <w:tcBorders>
              <w:bottom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bottom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bottom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7"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bottom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22" w:type="pct"/>
            <w:tcBorders>
              <w:bottom w:val="single" w:sz="4" w:space="0" w:color="auto"/>
            </w:tcBorders>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E35E9">
              <w:rPr>
                <w:rFonts w:eastAsia="Times New Roman" w:cs="Times New Roman"/>
                <w:b/>
                <w:szCs w:val="20"/>
                <w:lang w:eastAsia="en-AU"/>
              </w:rPr>
              <w:t>$</w:t>
            </w:r>
            <w:r w:rsidR="005C3678">
              <w:rPr>
                <w:rFonts w:eastAsia="Times New Roman" w:cs="Times New Roman"/>
                <w:b/>
                <w:noProof/>
                <w:color w:val="000000"/>
                <w:szCs w:val="20"/>
                <w:highlight w:val="black"/>
                <w:lang w:eastAsia="en-AU"/>
              </w:rPr>
              <w:t>''''''''''''</w:t>
            </w:r>
            <w:r>
              <w:rPr>
                <w:rFonts w:eastAsia="Times New Roman" w:cs="Times New Roman"/>
                <w:b/>
                <w:szCs w:val="20"/>
                <w:lang w:eastAsia="en-AU"/>
              </w:rPr>
              <w:t xml:space="preserve"> per QALY gained</w:t>
            </w:r>
          </w:p>
        </w:tc>
      </w:tr>
      <w:tr w:rsidR="00C857FA" w:rsidRPr="007108A1" w:rsidTr="004E3237">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E35E9">
              <w:rPr>
                <w:rFonts w:cs="Times New Roman"/>
                <w:b/>
                <w:szCs w:val="20"/>
              </w:rPr>
              <w:t xml:space="preserve">Proposed scenario 2 (available to all first-line </w:t>
            </w:r>
            <w:proofErr w:type="spellStart"/>
            <w:r w:rsidRPr="008E35E9">
              <w:rPr>
                <w:rFonts w:cs="Times New Roman"/>
                <w:b/>
                <w:i/>
                <w:szCs w:val="20"/>
              </w:rPr>
              <w:t>BRCAm</w:t>
            </w:r>
            <w:proofErr w:type="spellEnd"/>
            <w:r w:rsidRPr="008E35E9">
              <w:rPr>
                <w:rFonts w:cs="Times New Roman"/>
                <w:b/>
                <w:szCs w:val="20"/>
              </w:rPr>
              <w:t xml:space="preserve"> patients (</w:t>
            </w:r>
            <w:proofErr w:type="spellStart"/>
            <w:r w:rsidRPr="008E35E9">
              <w:rPr>
                <w:rFonts w:cs="Times New Roman"/>
                <w:b/>
                <w:szCs w:val="20"/>
              </w:rPr>
              <w:t>g+s</w:t>
            </w:r>
            <w:proofErr w:type="spellEnd"/>
            <w:r w:rsidRPr="008E35E9">
              <w:rPr>
                <w:rFonts w:cs="Times New Roman"/>
                <w:b/>
                <w:szCs w:val="20"/>
              </w:rPr>
              <w:t>)</w:t>
            </w:r>
            <w:r w:rsidR="006573C9">
              <w:rPr>
                <w:rFonts w:cs="Times New Roman"/>
                <w:b/>
                <w:szCs w:val="20"/>
              </w:rPr>
              <w:t xml:space="preserve"> – 23% </w:t>
            </w:r>
            <w:proofErr w:type="spellStart"/>
            <w:r w:rsidR="006573C9">
              <w:rPr>
                <w:rFonts w:cs="Times New Roman"/>
                <w:b/>
                <w:i/>
                <w:szCs w:val="20"/>
              </w:rPr>
              <w:t>BRCA</w:t>
            </w:r>
            <w:r w:rsidR="006573C9" w:rsidRPr="006573C9">
              <w:rPr>
                <w:rFonts w:cs="Times New Roman"/>
                <w:b/>
                <w:szCs w:val="20"/>
              </w:rPr>
              <w:t>m</w:t>
            </w:r>
            <w:proofErr w:type="spellEnd"/>
            <w:r w:rsidR="006573C9" w:rsidRPr="006573C9">
              <w:rPr>
                <w:rFonts w:cs="Times New Roman"/>
                <w:b/>
                <w:szCs w:val="20"/>
              </w:rPr>
              <w:t xml:space="preserve"> positiv</w:t>
            </w:r>
            <w:r w:rsidR="006573C9">
              <w:rPr>
                <w:rFonts w:cs="Times New Roman"/>
                <w:b/>
                <w:szCs w:val="20"/>
              </w:rPr>
              <w:t>es</w:t>
            </w:r>
            <w:r>
              <w:rPr>
                <w:rFonts w:cs="Times New Roman"/>
                <w:b/>
                <w:szCs w:val="20"/>
              </w:rPr>
              <w:t>) – submission base case</w:t>
            </w:r>
          </w:p>
        </w:tc>
      </w:tr>
      <w:tr w:rsidR="004E3237" w:rsidRPr="007108A1" w:rsidTr="004E3237">
        <w:trPr>
          <w:cantSplit/>
        </w:trPr>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Pr>
          <w:p w:rsidR="00C857FA" w:rsidRPr="007108A1" w:rsidRDefault="00C857FA" w:rsidP="00563974">
            <w:pPr>
              <w:pStyle w:val="TableText"/>
              <w:keepNext/>
              <w:widowControl/>
              <w:spacing w:before="0" w:after="0" w:line="240" w:lineRule="auto"/>
            </w:pPr>
            <w:r w:rsidRPr="007108A1">
              <w:t>Step 2</w:t>
            </w:r>
          </w:p>
          <w:p w:rsidR="00C857FA" w:rsidRPr="007108A1" w:rsidRDefault="00C857FA" w:rsidP="00563974">
            <w:pPr>
              <w:pStyle w:val="TableText"/>
              <w:keepNext/>
              <w:widowControl/>
              <w:spacing w:before="0" w:after="0" w:line="240" w:lineRule="auto"/>
            </w:pPr>
            <w:r w:rsidRPr="007108A1">
              <w:t>Setting: Proposed MBS and PBS populations</w:t>
            </w:r>
          </w:p>
          <w:p w:rsidR="00C857FA" w:rsidRPr="007108A1" w:rsidRDefault="00C857FA" w:rsidP="00563974">
            <w:pPr>
              <w:pStyle w:val="TableText"/>
              <w:keepNext/>
              <w:widowControl/>
              <w:spacing w:before="0" w:after="0" w:line="240" w:lineRule="auto"/>
            </w:pPr>
            <w:r w:rsidRPr="007108A1">
              <w:t xml:space="preserve">Time horizon: </w:t>
            </w:r>
            <w:r>
              <w:t xml:space="preserve">25 </w:t>
            </w:r>
            <w:r w:rsidRPr="007108A1">
              <w:t>years</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E35E9">
              <w:rPr>
                <w:rFonts w:eastAsia="Times New Roman" w:cs="Times New Roman"/>
                <w:b/>
                <w:szCs w:val="20"/>
                <w:lang w:eastAsia="en-AU"/>
              </w:rPr>
              <w:t>$</w:t>
            </w:r>
            <w:r w:rsidR="005C3678">
              <w:rPr>
                <w:rFonts w:eastAsia="Times New Roman" w:cs="Times New Roman"/>
                <w:b/>
                <w:noProof/>
                <w:color w:val="000000"/>
                <w:szCs w:val="20"/>
                <w:highlight w:val="black"/>
                <w:lang w:eastAsia="en-AU"/>
              </w:rPr>
              <w:t>''''''''''''''</w:t>
            </w:r>
            <w:r>
              <w:rPr>
                <w:rFonts w:eastAsia="Times New Roman" w:cs="Times New Roman"/>
                <w:b/>
                <w:szCs w:val="20"/>
                <w:lang w:eastAsia="en-AU"/>
              </w:rPr>
              <w:t xml:space="preserve"> per LY gained</w:t>
            </w:r>
          </w:p>
        </w:tc>
      </w:tr>
      <w:tr w:rsidR="004E3237" w:rsidRPr="007108A1" w:rsidTr="004E3237">
        <w:trPr>
          <w:cantSplit/>
        </w:trPr>
        <w:tc>
          <w:tcPr>
            <w:tcW w:w="1252" w:type="pct"/>
            <w:tcBorders>
              <w:top w:val="single" w:sz="4" w:space="0" w:color="auto"/>
              <w:left w:val="single" w:sz="4" w:space="0" w:color="auto"/>
              <w:bottom w:val="single" w:sz="4" w:space="0" w:color="auto"/>
              <w:right w:val="single" w:sz="4" w:space="0" w:color="auto"/>
            </w:tcBorders>
            <w:shd w:val="clear" w:color="auto" w:fill="FFFFFF" w:themeFill="background1"/>
          </w:tcPr>
          <w:p w:rsidR="00C857FA" w:rsidRPr="007108A1" w:rsidRDefault="00C857FA" w:rsidP="00563974">
            <w:pPr>
              <w:pStyle w:val="TableText"/>
              <w:keepNext/>
              <w:widowControl/>
              <w:spacing w:before="0" w:after="0" w:line="240" w:lineRule="auto"/>
            </w:pPr>
            <w:r w:rsidRPr="007108A1">
              <w:t>Step 3</w:t>
            </w:r>
          </w:p>
          <w:p w:rsidR="00C857FA" w:rsidRPr="007108A1" w:rsidRDefault="00C857FA" w:rsidP="00563974">
            <w:pPr>
              <w:pStyle w:val="TableText"/>
              <w:keepNext/>
              <w:widowControl/>
              <w:spacing w:before="0" w:after="0" w:line="240" w:lineRule="auto"/>
            </w:pPr>
            <w:r w:rsidRPr="007108A1">
              <w:t>Study evidence transformed from LY to QALY</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CD37A6" w:rsidRDefault="00C857FA" w:rsidP="00563974">
            <w:pPr>
              <w:pStyle w:val="TableText"/>
              <w:keepNext/>
              <w:widowControl/>
              <w:spacing w:before="0" w:after="0" w:line="240" w:lineRule="auto"/>
              <w:jc w:val="center"/>
            </w:pPr>
            <w:r w:rsidRPr="007A7796">
              <w:rPr>
                <w:rFonts w:eastAsia="Times New Roman" w:cs="Times New Roman"/>
                <w:szCs w:val="20"/>
                <w:lang w:eastAsia="en-AU"/>
              </w:rPr>
              <w:t>$</w:t>
            </w:r>
            <w:r w:rsidR="005C3678">
              <w:rPr>
                <w:rFonts w:eastAsia="Times New Roman" w:cs="Times New Roman"/>
                <w:noProof/>
                <w:color w:val="000000"/>
                <w:szCs w:val="20"/>
                <w:highlight w:val="black"/>
                <w:lang w:eastAsia="en-AU"/>
              </w:rPr>
              <w:t>''''''''''''''''</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5C3678" w:rsidRDefault="005C3678" w:rsidP="00563974">
            <w:pPr>
              <w:pStyle w:val="TableText"/>
              <w:keepNext/>
              <w:widowControl/>
              <w:spacing w:before="0" w:after="0" w:line="240" w:lineRule="auto"/>
              <w:jc w:val="center"/>
              <w:rPr>
                <w:highlight w:val="black"/>
              </w:rPr>
            </w:pPr>
            <w:r>
              <w:rPr>
                <w:rFonts w:eastAsia="Times New Roman" w:cs="Times New Roman"/>
                <w:noProof/>
                <w:color w:val="000000"/>
                <w:szCs w:val="20"/>
                <w:highlight w:val="black"/>
                <w:lang w:eastAsia="en-AU"/>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57FA" w:rsidRPr="008E35E9" w:rsidRDefault="00C857FA" w:rsidP="00563974">
            <w:pPr>
              <w:pStyle w:val="TableText"/>
              <w:keepNext/>
              <w:widowControl/>
              <w:spacing w:before="0" w:after="0" w:line="240" w:lineRule="auto"/>
              <w:rPr>
                <w:b/>
              </w:rPr>
            </w:pPr>
            <w:r w:rsidRPr="008E35E9">
              <w:rPr>
                <w:rFonts w:eastAsia="Times New Roman" w:cs="Times New Roman"/>
                <w:b/>
                <w:szCs w:val="20"/>
                <w:lang w:eastAsia="en-AU"/>
              </w:rPr>
              <w:t>$</w:t>
            </w:r>
            <w:r w:rsidR="005C3678">
              <w:rPr>
                <w:rFonts w:eastAsia="Times New Roman" w:cs="Times New Roman"/>
                <w:b/>
                <w:noProof/>
                <w:color w:val="000000"/>
                <w:szCs w:val="20"/>
                <w:highlight w:val="black"/>
                <w:lang w:eastAsia="en-AU"/>
              </w:rPr>
              <w:t>''''''''''''</w:t>
            </w:r>
            <w:r>
              <w:rPr>
                <w:rFonts w:eastAsia="Times New Roman" w:cs="Times New Roman"/>
                <w:b/>
                <w:szCs w:val="20"/>
                <w:lang w:eastAsia="en-AU"/>
              </w:rPr>
              <w:t xml:space="preserve"> per QALY gained</w:t>
            </w:r>
          </w:p>
        </w:tc>
      </w:tr>
    </w:tbl>
    <w:p w:rsidR="00C857FA" w:rsidRDefault="00C857FA" w:rsidP="00563974">
      <w:pPr>
        <w:pStyle w:val="TableFooter"/>
        <w:keepNext/>
        <w:widowControl/>
      </w:pPr>
      <w:proofErr w:type="gramStart"/>
      <w:r w:rsidRPr="007108A1">
        <w:rPr>
          <w:vertAlign w:val="superscript"/>
        </w:rPr>
        <w:t>a</w:t>
      </w:r>
      <w:proofErr w:type="gramEnd"/>
      <w:r w:rsidRPr="007108A1">
        <w:t xml:space="preserve"> </w:t>
      </w:r>
      <w:r>
        <w:t xml:space="preserve">Costs included are those associated with </w:t>
      </w:r>
      <w:r w:rsidRPr="00DC4E1E">
        <w:rPr>
          <w:i/>
        </w:rPr>
        <w:t>BRCA</w:t>
      </w:r>
      <w:r>
        <w:t xml:space="preserve"> testing, </w:t>
      </w:r>
      <w:proofErr w:type="spellStart"/>
      <w:r>
        <w:t>olaparib</w:t>
      </w:r>
      <w:proofErr w:type="spellEnd"/>
      <w:r>
        <w:t xml:space="preserve"> treatment in first-line for intervention and treatment associated adverse events. Costs and health outcomes presented are for true positives only.</w:t>
      </w:r>
    </w:p>
    <w:p w:rsidR="00C857FA" w:rsidRPr="007108A1" w:rsidRDefault="00C857FA" w:rsidP="00563974">
      <w:pPr>
        <w:pStyle w:val="TableFooter"/>
        <w:keepNext/>
        <w:widowControl/>
      </w:pPr>
      <w:r w:rsidRPr="00D61282">
        <w:rPr>
          <w:vertAlign w:val="superscript"/>
        </w:rPr>
        <w:t>b</w:t>
      </w:r>
      <w:r>
        <w:t xml:space="preserve"> Costs and health outcomes in Step 2 and 3 are modelled for the patients entering the model and are aggregated across both modelled arms over the time horizon of 25 years. Costs included in the modelled analysis are those associated with </w:t>
      </w:r>
      <w:r w:rsidRPr="00DC4E1E">
        <w:rPr>
          <w:i/>
        </w:rPr>
        <w:t>BRCA</w:t>
      </w:r>
      <w:r>
        <w:t xml:space="preserve"> testing, </w:t>
      </w:r>
      <w:proofErr w:type="spellStart"/>
      <w:r>
        <w:t>olaparib</w:t>
      </w:r>
      <w:proofErr w:type="spellEnd"/>
      <w:r>
        <w:t xml:space="preserve"> treatment, treatment associated adverse events, disease monitoring, disease progression, second-line platinum based chemotherapy and cost of palliative </w:t>
      </w:r>
      <w:proofErr w:type="spellStart"/>
      <w:r>
        <w:t>care.</w:t>
      </w:r>
      <w:r w:rsidRPr="00C857FA">
        <w:t>g</w:t>
      </w:r>
      <w:r w:rsidRPr="00E807C3">
        <w:rPr>
          <w:i/>
        </w:rPr>
        <w:t>BRCA</w:t>
      </w:r>
      <w:r w:rsidRPr="00C857FA">
        <w:t>m</w:t>
      </w:r>
      <w:proofErr w:type="spellEnd"/>
      <w:r w:rsidRPr="00C857FA">
        <w:t xml:space="preserve"> </w:t>
      </w:r>
      <w:r>
        <w:t xml:space="preserve">= germline </w:t>
      </w:r>
      <w:r w:rsidRPr="00C857FA">
        <w:rPr>
          <w:i/>
        </w:rPr>
        <w:t>BRCA1/2</w:t>
      </w:r>
      <w:r>
        <w:t xml:space="preserve"> mutation positive; </w:t>
      </w:r>
      <w:proofErr w:type="spellStart"/>
      <w:r>
        <w:t>g+s</w:t>
      </w:r>
      <w:proofErr w:type="spellEnd"/>
      <w:r>
        <w:t xml:space="preserve"> = germline and somatic; </w:t>
      </w:r>
      <w:r w:rsidRPr="007108A1">
        <w:t xml:space="preserve">LY = life year; </w:t>
      </w:r>
      <w:r>
        <w:t xml:space="preserve">PFY = Progression-free years; </w:t>
      </w:r>
      <w:r w:rsidRPr="007108A1">
        <w:t>QALY = quality-adjusted life year.</w:t>
      </w:r>
    </w:p>
    <w:p w:rsidR="00C857FA" w:rsidRDefault="00C857FA" w:rsidP="00563974">
      <w:pPr>
        <w:pStyle w:val="TableFooter"/>
        <w:widowControl/>
      </w:pPr>
      <w:r w:rsidRPr="007108A1">
        <w:t>Source: Table 3-3</w:t>
      </w:r>
      <w:r>
        <w:t xml:space="preserve">8, p301 of the submission; Table 3-40, </w:t>
      </w:r>
      <w:r w:rsidRPr="007108A1">
        <w:t>Table 3-</w:t>
      </w:r>
      <w:r>
        <w:t>41 and Table 3-42</w:t>
      </w:r>
      <w:r w:rsidRPr="007108A1">
        <w:t>, p</w:t>
      </w:r>
      <w:r>
        <w:t>303</w:t>
      </w:r>
      <w:r w:rsidRPr="007108A1">
        <w:t xml:space="preserve"> of the submission; Table 3-</w:t>
      </w:r>
      <w:r>
        <w:t>43 and Table 3-44</w:t>
      </w:r>
      <w:r w:rsidRPr="007108A1">
        <w:t>, p</w:t>
      </w:r>
      <w:r>
        <w:t>304</w:t>
      </w:r>
      <w:r w:rsidRPr="007108A1">
        <w:t xml:space="preserve"> of the submission.</w:t>
      </w:r>
    </w:p>
    <w:p w:rsidR="00C857FA" w:rsidRPr="005B305D" w:rsidRDefault="00C857FA" w:rsidP="00563974">
      <w:pPr>
        <w:pStyle w:val="ListParagraph"/>
        <w:numPr>
          <w:ilvl w:val="4"/>
          <w:numId w:val="1"/>
        </w:numPr>
      </w:pPr>
      <w:r w:rsidRPr="005B305D">
        <w:t>The results presented as Step 1 in the submission (</w:t>
      </w:r>
      <w:r w:rsidRPr="004E3237">
        <w:t>see table above</w:t>
      </w:r>
      <w:r w:rsidRPr="005B305D">
        <w:t xml:space="preserve">) are not strictly trial-based. These are modelled analysis results over the trial time horizon of 49 months for true </w:t>
      </w:r>
      <w:proofErr w:type="spellStart"/>
      <w:r w:rsidRPr="005B305D">
        <w:t>BRCAm</w:t>
      </w:r>
      <w:proofErr w:type="spellEnd"/>
      <w:r w:rsidRPr="005B305D">
        <w:t xml:space="preserve"> positive patients only. Only the OS KM is taken from the trial data, the PFS1 and PFS2 curves are based on modelled functions, not empirical data. Costs included are those associated with BRCA testing, </w:t>
      </w:r>
      <w:proofErr w:type="spellStart"/>
      <w:r w:rsidRPr="005B305D">
        <w:t>olaparib</w:t>
      </w:r>
      <w:proofErr w:type="spellEnd"/>
      <w:r w:rsidRPr="005B305D">
        <w:t xml:space="preserve"> treatment in first-line for intervention and treatment associated adverse events. </w:t>
      </w:r>
    </w:p>
    <w:p w:rsidR="001170FC" w:rsidRDefault="00C857FA" w:rsidP="00563974">
      <w:pPr>
        <w:pStyle w:val="ListParagraph"/>
        <w:numPr>
          <w:ilvl w:val="4"/>
          <w:numId w:val="1"/>
        </w:numPr>
      </w:pPr>
      <w:r>
        <w:t>T</w:t>
      </w:r>
      <w:r w:rsidRPr="003578CC">
        <w:t>he modelled health outcomes</w:t>
      </w:r>
      <w:r>
        <w:t xml:space="preserve"> (including extrapolations)</w:t>
      </w:r>
      <w:r w:rsidRPr="003578CC">
        <w:t xml:space="preserve"> </w:t>
      </w:r>
      <w:r>
        <w:t xml:space="preserve">versus trial data </w:t>
      </w:r>
      <w:r w:rsidRPr="007108A1">
        <w:t>over the model time horizon</w:t>
      </w:r>
      <w:r w:rsidRPr="003578CC">
        <w:t xml:space="preserve"> </w:t>
      </w:r>
      <w:r>
        <w:t xml:space="preserve">for </w:t>
      </w:r>
      <w:proofErr w:type="spellStart"/>
      <w:r w:rsidRPr="00325BD5">
        <w:rPr>
          <w:i/>
        </w:rPr>
        <w:t>BRCA</w:t>
      </w:r>
      <w:r w:rsidRPr="00C857FA">
        <w:t>m</w:t>
      </w:r>
      <w:proofErr w:type="spellEnd"/>
      <w:r w:rsidRPr="003578CC">
        <w:t xml:space="preserve"> </w:t>
      </w:r>
      <w:r>
        <w:t xml:space="preserve">are presented </w:t>
      </w:r>
      <w:r w:rsidRPr="003578CC">
        <w:t>in</w:t>
      </w:r>
      <w:r w:rsidR="00D25773">
        <w:t xml:space="preserve"> </w:t>
      </w:r>
      <w:r w:rsidR="004070CB">
        <w:t xml:space="preserve">Figure </w:t>
      </w:r>
      <w:r w:rsidR="004070CB">
        <w:rPr>
          <w:noProof/>
        </w:rPr>
        <w:t>6</w:t>
      </w:r>
      <w:r>
        <w:t xml:space="preserve">. </w:t>
      </w:r>
    </w:p>
    <w:p w:rsidR="00E157B5" w:rsidRDefault="00E157B5" w:rsidP="00E157B5">
      <w:pPr>
        <w:pStyle w:val="Caption"/>
      </w:pPr>
      <w:bookmarkStart w:id="23" w:name="_Ref22647217"/>
      <w:r>
        <w:lastRenderedPageBreak/>
        <w:t xml:space="preserve">Figure </w:t>
      </w:r>
      <w:r>
        <w:rPr>
          <w:noProof/>
        </w:rPr>
        <w:t>6</w:t>
      </w:r>
      <w:bookmarkEnd w:id="23"/>
      <w:r>
        <w:rPr>
          <w:noProof/>
        </w:rPr>
        <w:t xml:space="preserve">: </w:t>
      </w:r>
      <w:r>
        <w:t xml:space="preserve">Kaplan-Meier and modelled curves for PFS1, PFS2 and OS for </w:t>
      </w:r>
      <w:proofErr w:type="spellStart"/>
      <w:r w:rsidRPr="00C857FA">
        <w:rPr>
          <w:i/>
        </w:rPr>
        <w:t>BRCA</w:t>
      </w:r>
      <w:r>
        <w:t>m</w:t>
      </w:r>
      <w:proofErr w:type="spellEnd"/>
    </w:p>
    <w:p w:rsidR="00C857FA" w:rsidRDefault="005C3678" w:rsidP="00563974">
      <w:pPr>
        <w:pStyle w:val="ListParagraph"/>
        <w:numPr>
          <w:ilvl w:val="0"/>
          <w:numId w:val="0"/>
        </w:numPr>
      </w:pPr>
      <w:r>
        <w:rPr>
          <w:noProof/>
          <w:lang w:eastAsia="en-AU"/>
        </w:rPr>
        <w:drawing>
          <wp:inline distT="0" distB="0" distL="0" distR="0">
            <wp:extent cx="5611495" cy="3657600"/>
            <wp:effectExtent l="0" t="0" r="8255" b="0"/>
            <wp:docPr id="3" name="Picture 3" title="Figure 6: Kaplan-Meier and modelled curves for PFS1, PFS2 and OS for BRCAm"/>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2"/>
                    <a:stretch>
                      <a:fillRect/>
                    </a:stretch>
                  </pic:blipFill>
                  <pic:spPr>
                    <a:xfrm>
                      <a:off x="0" y="0"/>
                      <a:ext cx="5611495" cy="3657600"/>
                    </a:xfrm>
                    <a:prstGeom prst="rect">
                      <a:avLst/>
                    </a:prstGeom>
                  </pic:spPr>
                </pic:pic>
              </a:graphicData>
            </a:graphic>
          </wp:inline>
        </w:drawing>
      </w:r>
    </w:p>
    <w:p w:rsidR="00C857FA" w:rsidRDefault="00C857FA" w:rsidP="00563974">
      <w:pPr>
        <w:pStyle w:val="TableFooter"/>
        <w:widowControl/>
      </w:pPr>
      <w:proofErr w:type="spellStart"/>
      <w:r w:rsidRPr="00C857FA">
        <w:rPr>
          <w:i/>
        </w:rPr>
        <w:t>BRCA</w:t>
      </w:r>
      <w:r>
        <w:t>m</w:t>
      </w:r>
      <w:proofErr w:type="spellEnd"/>
      <w:r>
        <w:t xml:space="preserve"> = </w:t>
      </w:r>
      <w:r w:rsidRPr="00C857FA">
        <w:rPr>
          <w:i/>
        </w:rPr>
        <w:t>BRCA1/2</w:t>
      </w:r>
      <w:r>
        <w:t xml:space="preserve"> mutation positive; KM = </w:t>
      </w:r>
      <w:r w:rsidR="00465690">
        <w:t>Kaplan-Meier</w:t>
      </w:r>
      <w:r>
        <w:t xml:space="preserve">; MT = Modelled traces; OS = overall survival; </w:t>
      </w:r>
      <w:proofErr w:type="spellStart"/>
      <w:r>
        <w:t>Olap</w:t>
      </w:r>
      <w:proofErr w:type="spellEnd"/>
      <w:r>
        <w:t xml:space="preserve"> = </w:t>
      </w:r>
      <w:proofErr w:type="spellStart"/>
      <w:r>
        <w:t>olaparib</w:t>
      </w:r>
      <w:proofErr w:type="spellEnd"/>
      <w:r>
        <w:t>;</w:t>
      </w:r>
      <w:r w:rsidRPr="005B7FC4">
        <w:t xml:space="preserve"> </w:t>
      </w:r>
      <w:r>
        <w:t xml:space="preserve">PFS1 = </w:t>
      </w:r>
      <w:r w:rsidR="006F7250">
        <w:t>progression-free</w:t>
      </w:r>
      <w:r>
        <w:t xml:space="preserve"> survival after </w:t>
      </w:r>
      <w:r w:rsidR="006F7250">
        <w:t>first-line</w:t>
      </w:r>
      <w:r>
        <w:t xml:space="preserve">; PFS2 = </w:t>
      </w:r>
      <w:r w:rsidR="006F7250">
        <w:t>progression-free</w:t>
      </w:r>
      <w:r>
        <w:t xml:space="preserve"> survival after </w:t>
      </w:r>
      <w:r w:rsidR="008B011B">
        <w:t>second-line</w:t>
      </w:r>
    </w:p>
    <w:p w:rsidR="00C857FA" w:rsidRPr="005B7FC4" w:rsidRDefault="00C857FA" w:rsidP="00563974">
      <w:pPr>
        <w:pStyle w:val="TableFooter"/>
        <w:widowControl/>
      </w:pPr>
      <w:r>
        <w:t>Source: Constructed during the evaluation using Economic Evaluation.xlsx, Attachment 7.1</w:t>
      </w:r>
    </w:p>
    <w:p w:rsidR="001170FC" w:rsidRDefault="001170FC" w:rsidP="001170FC">
      <w:pPr>
        <w:pStyle w:val="ListParagraph"/>
      </w:pPr>
      <w:r w:rsidRPr="00DE7812">
        <w:t xml:space="preserve">The ESC considered that it was inappropriate to use PFS2 as a surrogate for OS as no clinical evidence was presented to support the translation of second progression to OS and the approach was highly favourable to </w:t>
      </w:r>
      <w:proofErr w:type="spellStart"/>
      <w:r w:rsidRPr="00DE7812">
        <w:t>olaparib</w:t>
      </w:r>
      <w:proofErr w:type="spellEnd"/>
      <w:r w:rsidRPr="00DE7812">
        <w:t xml:space="preserve">. The ESC noted that the OS curves between the two arms diverge further after the trial median follow-up and do not converge within the modelled period, which was not supported by SOLO1 outcomes. </w:t>
      </w:r>
      <w:r w:rsidRPr="00DE7812">
        <w:rPr>
          <w:color w:val="auto"/>
        </w:rPr>
        <w:t xml:space="preserve">The ESC noted that the model </w:t>
      </w:r>
      <w:r w:rsidRPr="00DE7812">
        <w:t>manufactured substantial survival gain (0.22 life years in scenario 1 and 0.36 life years in scenario 2) despite no survival benefit demonstrated in SOLO1</w:t>
      </w:r>
      <w:r>
        <w:t xml:space="preserve">. </w:t>
      </w:r>
      <w:r w:rsidR="0001340E">
        <w:t>A survival benefit wa</w:t>
      </w:r>
      <w:r w:rsidRPr="00930104">
        <w:t xml:space="preserve">s not supported by the clinical data currently available </w:t>
      </w:r>
      <w:r w:rsidR="00066D9D">
        <w:t xml:space="preserve">due to its immaturity </w:t>
      </w:r>
      <w:r w:rsidRPr="00930104">
        <w:t>and the ESC agreed with the commentary that the extrapolation lacks plausibility</w:t>
      </w:r>
      <w:r>
        <w:t xml:space="preserve">. The pre-PBAC response argued that data from ovarian cancer patient registries show a very strong association between remaining disease-free for 5 years and long-term survival outcomes. The PBAC considered that it </w:t>
      </w:r>
      <w:r w:rsidR="006D0FDB">
        <w:t>may</w:t>
      </w:r>
      <w:r>
        <w:t xml:space="preserve"> be </w:t>
      </w:r>
      <w:r w:rsidR="006D0FDB">
        <w:t xml:space="preserve">reasonable to </w:t>
      </w:r>
      <w:r>
        <w:t>expect</w:t>
      </w:r>
      <w:r w:rsidR="00257CB0">
        <w:t xml:space="preserve"> </w:t>
      </w:r>
      <w:r w:rsidR="00904251">
        <w:t xml:space="preserve">that </w:t>
      </w:r>
      <w:r w:rsidR="006D0FDB">
        <w:t>a</w:t>
      </w:r>
      <w:r w:rsidR="00904251">
        <w:t>n</w:t>
      </w:r>
      <w:r w:rsidR="006D0FDB">
        <w:t xml:space="preserve"> </w:t>
      </w:r>
      <w:r>
        <w:t>OS</w:t>
      </w:r>
      <w:r w:rsidR="00066D9D">
        <w:t xml:space="preserve"> benefit would be achieved </w:t>
      </w:r>
      <w:r>
        <w:t xml:space="preserve">with </w:t>
      </w:r>
      <w:proofErr w:type="spellStart"/>
      <w:r>
        <w:t>olaparib</w:t>
      </w:r>
      <w:proofErr w:type="spellEnd"/>
      <w:r>
        <w:t xml:space="preserve"> as first</w:t>
      </w:r>
      <w:r w:rsidR="00CC1DEF">
        <w:t>-</w:t>
      </w:r>
      <w:r>
        <w:t>line maintenance</w:t>
      </w:r>
      <w:r w:rsidR="00A30EE4">
        <w:t xml:space="preserve"> compared with no </w:t>
      </w:r>
      <w:proofErr w:type="spellStart"/>
      <w:r w:rsidR="00A30EE4">
        <w:t>olapar</w:t>
      </w:r>
      <w:r w:rsidR="007A5676">
        <w:t>ib</w:t>
      </w:r>
      <w:proofErr w:type="spellEnd"/>
      <w:r w:rsidR="007A5676">
        <w:t xml:space="preserve"> at any stage</w:t>
      </w:r>
      <w:r w:rsidR="00AD21FF">
        <w:t xml:space="preserve">, given the OS benefit </w:t>
      </w:r>
      <w:r w:rsidR="007A5676">
        <w:t>for</w:t>
      </w:r>
      <w:r>
        <w:t xml:space="preserve"> second-line </w:t>
      </w:r>
      <w:r w:rsidR="00D9060E">
        <w:t xml:space="preserve">maintenance </w:t>
      </w:r>
      <w:r>
        <w:t>(as demonstrated in Study 19). The pre-PBAC response noted that th</w:t>
      </w:r>
      <w:r w:rsidR="005A706B">
        <w:t xml:space="preserve">is </w:t>
      </w:r>
      <w:r w:rsidR="009F720D">
        <w:t xml:space="preserve">population </w:t>
      </w:r>
      <w:r w:rsidR="00DC0562">
        <w:t>(patients not</w:t>
      </w:r>
      <w:r w:rsidR="008D3ECB">
        <w:t xml:space="preserve"> treated with second-</w:t>
      </w:r>
      <w:r w:rsidR="00A357A2">
        <w:t>li</w:t>
      </w:r>
      <w:r w:rsidR="008D3ECB">
        <w:t xml:space="preserve">ne </w:t>
      </w:r>
      <w:proofErr w:type="spellStart"/>
      <w:r w:rsidR="008D3ECB">
        <w:t>olaparib</w:t>
      </w:r>
      <w:proofErr w:type="spellEnd"/>
      <w:r w:rsidR="005A706B">
        <w:t xml:space="preserve"> as they are not well enough or do not respond to second-line platinum-based chemotherapy)</w:t>
      </w:r>
      <w:r w:rsidR="008D3ECB">
        <w:t xml:space="preserve"> </w:t>
      </w:r>
      <w:r w:rsidR="009F720D">
        <w:t>would account for 60</w:t>
      </w:r>
      <w:r>
        <w:t>% of the proposed population</w:t>
      </w:r>
      <w:r w:rsidR="007A5676">
        <w:t>,</w:t>
      </w:r>
      <w:r w:rsidR="009F720D">
        <w:t xml:space="preserve"> or 66% </w:t>
      </w:r>
      <w:r w:rsidR="00A30EE4">
        <w:t>including</w:t>
      </w:r>
      <w:r w:rsidR="009F720D">
        <w:t xml:space="preserve"> patients with </w:t>
      </w:r>
      <w:proofErr w:type="spellStart"/>
      <w:r w:rsidR="009F720D">
        <w:t>s</w:t>
      </w:r>
      <w:r w:rsidR="009F720D" w:rsidRPr="009F720D">
        <w:rPr>
          <w:i/>
        </w:rPr>
        <w:t>BRCA</w:t>
      </w:r>
      <w:r w:rsidR="009F720D">
        <w:t>m</w:t>
      </w:r>
      <w:proofErr w:type="spellEnd"/>
      <w:r w:rsidR="005A706B">
        <w:t xml:space="preserve"> who are not currently eligible for second-line treatment</w:t>
      </w:r>
      <w:r w:rsidR="009F720D">
        <w:t xml:space="preserve">. </w:t>
      </w:r>
      <w:r>
        <w:t xml:space="preserve">The </w:t>
      </w:r>
      <w:r w:rsidR="009F720D">
        <w:t xml:space="preserve">pre-PBAC </w:t>
      </w:r>
      <w:r w:rsidR="009F720D" w:rsidRPr="009F720D">
        <w:lastRenderedPageBreak/>
        <w:t>response maintained that</w:t>
      </w:r>
      <w:r w:rsidR="009F720D" w:rsidRPr="004523B0">
        <w:t xml:space="preserve"> </w:t>
      </w:r>
      <w:r w:rsidR="009F720D" w:rsidRPr="00066D9D">
        <w:t>all</w:t>
      </w:r>
      <w:r w:rsidR="009F720D" w:rsidRPr="009F720D">
        <w:t xml:space="preserve"> patients treated with </w:t>
      </w:r>
      <w:r w:rsidR="007A5676">
        <w:t>first</w:t>
      </w:r>
      <w:r w:rsidR="00257CB0">
        <w:t>-</w:t>
      </w:r>
      <w:r w:rsidR="007A5676">
        <w:t>line</w:t>
      </w:r>
      <w:r w:rsidR="009F720D" w:rsidRPr="009F720D">
        <w:t xml:space="preserve"> </w:t>
      </w:r>
      <w:proofErr w:type="spellStart"/>
      <w:r w:rsidR="009F720D" w:rsidRPr="009F720D">
        <w:t>olaparib</w:t>
      </w:r>
      <w:proofErr w:type="spellEnd"/>
      <w:r w:rsidR="009F720D" w:rsidRPr="009F720D">
        <w:t xml:space="preserve"> maintenance will achieve a survival gain</w:t>
      </w:r>
      <w:r w:rsidR="00521000">
        <w:t>,</w:t>
      </w:r>
      <w:r w:rsidR="009F720D" w:rsidRPr="009F720D">
        <w:t xml:space="preserve"> compared to the current treatment pathway in which it is only available to </w:t>
      </w:r>
      <w:proofErr w:type="spellStart"/>
      <w:r w:rsidR="009F720D" w:rsidRPr="009F720D">
        <w:t>g</w:t>
      </w:r>
      <w:r w:rsidR="009F720D" w:rsidRPr="00257CB0">
        <w:rPr>
          <w:i/>
        </w:rPr>
        <w:t>BRCA</w:t>
      </w:r>
      <w:proofErr w:type="spellEnd"/>
      <w:r w:rsidR="009F720D" w:rsidRPr="00257CB0">
        <w:rPr>
          <w:i/>
        </w:rPr>
        <w:t xml:space="preserve"> </w:t>
      </w:r>
      <w:r w:rsidR="009F720D" w:rsidRPr="009F720D">
        <w:t xml:space="preserve">patients in the </w:t>
      </w:r>
      <w:r w:rsidR="007A5676">
        <w:t>second</w:t>
      </w:r>
      <w:r w:rsidR="00257CB0">
        <w:t>-</w:t>
      </w:r>
      <w:r w:rsidR="007A5676">
        <w:t>line</w:t>
      </w:r>
      <w:r w:rsidR="009F720D" w:rsidRPr="009F720D">
        <w:t xml:space="preserve"> setting.</w:t>
      </w:r>
      <w:r w:rsidR="009F720D">
        <w:t xml:space="preserve"> However, the </w:t>
      </w:r>
      <w:r>
        <w:t xml:space="preserve">PBAC considered that the </w:t>
      </w:r>
      <w:r w:rsidR="00BD644C">
        <w:t xml:space="preserve">data available for </w:t>
      </w:r>
      <w:r>
        <w:t>SOLO1 study did not support a</w:t>
      </w:r>
      <w:r w:rsidR="00E8429F">
        <w:t xml:space="preserve"> </w:t>
      </w:r>
      <w:r w:rsidR="00ED1FC2">
        <w:t xml:space="preserve">greater </w:t>
      </w:r>
      <w:r w:rsidR="00636DB6">
        <w:t>improvement</w:t>
      </w:r>
      <w:r>
        <w:t xml:space="preserve"> </w:t>
      </w:r>
      <w:r w:rsidR="00D9060E">
        <w:t>in survival for first-line versus second-</w:t>
      </w:r>
      <w:r>
        <w:t xml:space="preserve">line </w:t>
      </w:r>
      <w:proofErr w:type="spellStart"/>
      <w:r>
        <w:t>olaparib</w:t>
      </w:r>
      <w:proofErr w:type="spellEnd"/>
      <w:r>
        <w:t xml:space="preserve"> maintenance. </w:t>
      </w:r>
    </w:p>
    <w:p w:rsidR="001170FC" w:rsidRDefault="001170FC" w:rsidP="00C263A5">
      <w:pPr>
        <w:pStyle w:val="ListParagraph"/>
      </w:pPr>
      <w:r w:rsidRPr="00DE7812">
        <w:t xml:space="preserve">The ESC noted that the model </w:t>
      </w:r>
      <w:r w:rsidR="006A239D">
        <w:t xml:space="preserve">applied a </w:t>
      </w:r>
      <w:r w:rsidRPr="00DE7812">
        <w:t>25 year time horizon based on 41 months of median follow-up.</w:t>
      </w:r>
      <w:r>
        <w:t xml:space="preserve"> </w:t>
      </w:r>
      <w:r w:rsidR="006A239D">
        <w:t>The ESC considered that the 25-</w:t>
      </w:r>
      <w:r w:rsidR="006A239D" w:rsidRPr="006A239D">
        <w:t>year time horizon used in the model introduced additional uncertainty</w:t>
      </w:r>
      <w:r w:rsidR="00A357A2">
        <w:t>,</w:t>
      </w:r>
      <w:r w:rsidR="006A239D" w:rsidRPr="006A239D">
        <w:t xml:space="preserve"> as the model relied heavily on extrapolated outcomes. </w:t>
      </w:r>
      <w:r w:rsidR="006A239D" w:rsidRPr="00DE7812">
        <w:t>The ESC recalled that the PBAC previously accepted a 10 year time horizon for first line treatment of advanced ovarian cancer (</w:t>
      </w:r>
      <w:r w:rsidR="00E11AC5">
        <w:t>page 8, b</w:t>
      </w:r>
      <w:r w:rsidR="006A239D" w:rsidRPr="00DE7812">
        <w:t>evacizumab</w:t>
      </w:r>
      <w:r w:rsidR="00E11AC5">
        <w:t xml:space="preserve"> PSD</w:t>
      </w:r>
      <w:r w:rsidR="006A239D" w:rsidRPr="00DE7812">
        <w:t>, November 2013), where trial follow-up was 49 months.</w:t>
      </w:r>
      <w:r w:rsidR="00C263A5">
        <w:t xml:space="preserve"> The pre-PBAC response noted that AOCS data demonstrates that approximately 2% of </w:t>
      </w:r>
      <w:proofErr w:type="spellStart"/>
      <w:r w:rsidR="00C263A5" w:rsidRPr="00C263A5">
        <w:rPr>
          <w:i/>
        </w:rPr>
        <w:t>BRCA</w:t>
      </w:r>
      <w:r w:rsidR="00C263A5">
        <w:t>m</w:t>
      </w:r>
      <w:proofErr w:type="spellEnd"/>
      <w:r w:rsidR="00C263A5">
        <w:t xml:space="preserve"> patients remain progression-free 15 years after diagnosis</w:t>
      </w:r>
      <w:r w:rsidR="00CC6510">
        <w:t>,</w:t>
      </w:r>
      <w:r w:rsidR="00C263A5">
        <w:t xml:space="preserve"> and 1-2% of </w:t>
      </w:r>
      <w:proofErr w:type="spellStart"/>
      <w:r w:rsidR="00C263A5" w:rsidRPr="00C263A5">
        <w:rPr>
          <w:i/>
        </w:rPr>
        <w:t>BRCA</w:t>
      </w:r>
      <w:r w:rsidR="00C263A5">
        <w:t>m</w:t>
      </w:r>
      <w:proofErr w:type="spellEnd"/>
      <w:r w:rsidR="00C263A5">
        <w:t xml:space="preserve"> patients remain alive 23 years after diagnosis.</w:t>
      </w:r>
      <w:r w:rsidR="006A239D" w:rsidRPr="00DE7812">
        <w:t xml:space="preserve"> </w:t>
      </w:r>
      <w:r w:rsidR="006A239D">
        <w:t>The PBAC considered that patients eligible for treatment with bevacizumab are likely to have a poorer prognosis than the proposed population</w:t>
      </w:r>
      <w:r w:rsidR="00CC6510">
        <w:t>,</w:t>
      </w:r>
      <w:r w:rsidR="006A239D">
        <w:t xml:space="preserve"> and considered that a time horizon of up to 15 years would be appropriate.</w:t>
      </w:r>
    </w:p>
    <w:p w:rsidR="00E10DB0" w:rsidRPr="00DE7812" w:rsidRDefault="00577D56" w:rsidP="001E0D30">
      <w:pPr>
        <w:pStyle w:val="ListParagraph"/>
      </w:pPr>
      <w:r w:rsidRPr="00DE7812">
        <w:t xml:space="preserve">The commentary noted that relatively low </w:t>
      </w:r>
      <w:r w:rsidR="00325984">
        <w:t xml:space="preserve">utility </w:t>
      </w:r>
      <w:r w:rsidRPr="00DE7812">
        <w:t>values for PFS and PD modelled health states from the literature (</w:t>
      </w:r>
      <w:proofErr w:type="spellStart"/>
      <w:r w:rsidR="003E26FC" w:rsidRPr="00DE7812">
        <w:t>Havrilessky</w:t>
      </w:r>
      <w:proofErr w:type="spellEnd"/>
      <w:r w:rsidR="003E26FC" w:rsidRPr="00DE7812">
        <w:t xml:space="preserve"> et al 2009</w:t>
      </w:r>
      <w:r w:rsidRPr="00DE7812">
        <w:t xml:space="preserve">) </w:t>
      </w:r>
      <w:r w:rsidR="00A2056E" w:rsidRPr="00DE7812">
        <w:t>are used</w:t>
      </w:r>
      <w:r w:rsidR="00A2056E">
        <w:t>,</w:t>
      </w:r>
      <w:r w:rsidR="00A2056E" w:rsidRPr="00DE7812">
        <w:t xml:space="preserve"> </w:t>
      </w:r>
      <w:r w:rsidRPr="00DE7812">
        <w:t xml:space="preserve">rather than more recent, applicable sources. </w:t>
      </w:r>
      <w:r w:rsidR="00E10DB0" w:rsidRPr="00DE7812">
        <w:t xml:space="preserve">The ESC noted that the utility values used for PFS2 and PD in the submission </w:t>
      </w:r>
      <w:r w:rsidR="003F78E4">
        <w:t>were</w:t>
      </w:r>
      <w:r w:rsidR="003F78E4" w:rsidRPr="00DE7812">
        <w:t xml:space="preserve"> </w:t>
      </w:r>
      <w:r w:rsidR="00E10DB0" w:rsidRPr="00DE7812">
        <w:t>low relative to PFS1, which favour</w:t>
      </w:r>
      <w:r w:rsidR="003F78E4">
        <w:t>ed</w:t>
      </w:r>
      <w:r w:rsidR="00E10DB0" w:rsidRPr="00DE7812">
        <w:t xml:space="preserve"> </w:t>
      </w:r>
      <w:proofErr w:type="spellStart"/>
      <w:r w:rsidR="00E10DB0" w:rsidRPr="00DE7812">
        <w:t>olaparib</w:t>
      </w:r>
      <w:proofErr w:type="spellEnd"/>
      <w:r w:rsidR="00E10DB0" w:rsidRPr="00DE7812">
        <w:t xml:space="preserve">. </w:t>
      </w:r>
      <w:r w:rsidR="003825BB" w:rsidRPr="00DE7812">
        <w:t>The commentary noted that</w:t>
      </w:r>
      <w:r w:rsidR="003825BB">
        <w:t xml:space="preserve"> f</w:t>
      </w:r>
      <w:r w:rsidR="00E10DB0" w:rsidRPr="00677637">
        <w:t>irst progression is determined by radiological criteria</w:t>
      </w:r>
      <w:r w:rsidR="00A07AD3">
        <w:t>,</w:t>
      </w:r>
      <w:r w:rsidR="00E10DB0" w:rsidRPr="00677637">
        <w:t xml:space="preserve"> and is not likely to be associated with clinical change or disease symptoms. It is plausible that utility after first progression (but before second progression) is almost the same as utility prior to first progression, as identified by other literature sources.</w:t>
      </w:r>
      <w:r w:rsidR="00677637">
        <w:t xml:space="preserve"> </w:t>
      </w:r>
      <w:r w:rsidR="00677637" w:rsidRPr="00DE7812">
        <w:t>The PSCR argued that it is not appropriate to use utility scores observed in Study 19</w:t>
      </w:r>
      <w:r w:rsidR="003B1948">
        <w:t>,</w:t>
      </w:r>
      <w:r w:rsidR="00677637" w:rsidRPr="00DE7812">
        <w:t xml:space="preserve"> as the</w:t>
      </w:r>
      <w:r w:rsidR="003825BB" w:rsidRPr="00DE7812">
        <w:t>se patients</w:t>
      </w:r>
      <w:r w:rsidR="00677637" w:rsidRPr="00DE7812">
        <w:t xml:space="preserve"> are a healthier subgroup of the second-line population </w:t>
      </w:r>
      <w:r w:rsidR="003F78E4">
        <w:t xml:space="preserve">than </w:t>
      </w:r>
      <w:r w:rsidR="00677637" w:rsidRPr="00DE7812">
        <w:t>in the</w:t>
      </w:r>
      <w:r w:rsidR="003825BB" w:rsidRPr="00DE7812">
        <w:t xml:space="preserve"> current</w:t>
      </w:r>
      <w:r w:rsidR="00677637" w:rsidRPr="00DE7812">
        <w:t xml:space="preserve"> model. The ESC noted that </w:t>
      </w:r>
      <w:r w:rsidR="003825BB" w:rsidRPr="00DE7812">
        <w:t xml:space="preserve">98% of patients who progressed in the placebo arm of SOLO1 received subsequent therapy, therefore they are fit for treatment and would likely have similar utility to those in Study 19. The ESC </w:t>
      </w:r>
      <w:r w:rsidR="00677637" w:rsidRPr="00DE7812">
        <w:t xml:space="preserve">considered that </w:t>
      </w:r>
      <w:r w:rsidR="003825BB" w:rsidRPr="00DE7812">
        <w:t>the selection of utility values from the literature was not adequately justified and considered that the use of utility values from Study 19 would be appropriate.</w:t>
      </w:r>
      <w:r w:rsidR="00C263A5">
        <w:t xml:space="preserve"> The pre-PBAC response disagreed with the ESC that use of Study 19 utilities would be appropriate but acknowledged that utilities from </w:t>
      </w:r>
      <w:proofErr w:type="spellStart"/>
      <w:r w:rsidR="00C263A5">
        <w:t>Havrilesky</w:t>
      </w:r>
      <w:proofErr w:type="spellEnd"/>
      <w:r w:rsidR="00C263A5">
        <w:t xml:space="preserve"> et al (2009) may </w:t>
      </w:r>
      <w:r w:rsidR="00C263A5" w:rsidRPr="004523B0">
        <w:rPr>
          <w:szCs w:val="24"/>
        </w:rPr>
        <w:t xml:space="preserve">underestimate utilities for PFS2 and PD. The sponsor proposed using </w:t>
      </w:r>
      <w:r w:rsidR="00C263A5" w:rsidRPr="00D9060E">
        <w:rPr>
          <w:bCs/>
          <w:color w:val="auto"/>
          <w:szCs w:val="24"/>
        </w:rPr>
        <w:t>utilities that were elicited using TTO from women undergoing second-line or subsequent treatment for advanced ovarian cancer rather than restricting to those who remain platinum sensitive from NICE review TA91 (</w:t>
      </w:r>
      <w:r w:rsidR="00A576AF" w:rsidRPr="00D9060E">
        <w:rPr>
          <w:color w:val="auto"/>
          <w:szCs w:val="24"/>
        </w:rPr>
        <w:t>PFS2: 0.63; PD: 0.34</w:t>
      </w:r>
      <w:r w:rsidR="00C263A5" w:rsidRPr="00D9060E">
        <w:rPr>
          <w:color w:val="auto"/>
          <w:szCs w:val="24"/>
        </w:rPr>
        <w:t>).</w:t>
      </w:r>
    </w:p>
    <w:p w:rsidR="0039404B" w:rsidRPr="005B305D" w:rsidRDefault="003825BB" w:rsidP="00563974">
      <w:pPr>
        <w:pStyle w:val="ListParagraph"/>
      </w:pPr>
      <w:r>
        <w:t>A</w:t>
      </w:r>
      <w:r w:rsidR="000D57C9" w:rsidRPr="005B305D">
        <w:t xml:space="preserve"> stepped analysis was performed during the evaluation to address </w:t>
      </w:r>
      <w:r>
        <w:t>concerns regarding the inputs used in the base case</w:t>
      </w:r>
      <w:r w:rsidR="003026DC">
        <w:t>,</w:t>
      </w:r>
      <w:r>
        <w:t xml:space="preserve"> </w:t>
      </w:r>
      <w:r w:rsidR="000D57C9" w:rsidRPr="005B305D">
        <w:t>where possible</w:t>
      </w:r>
      <w:r w:rsidR="003026DC">
        <w:t>,</w:t>
      </w:r>
      <w:r w:rsidR="000D57C9" w:rsidRPr="005B305D">
        <w:t xml:space="preserve"> and respecify the base-case</w:t>
      </w:r>
      <w:r w:rsidR="00D57FF8" w:rsidRPr="005B305D">
        <w:t>; (</w:t>
      </w:r>
      <w:proofErr w:type="spellStart"/>
      <w:r w:rsidR="00D57FF8" w:rsidRPr="005B305D">
        <w:t>i</w:t>
      </w:r>
      <w:proofErr w:type="spellEnd"/>
      <w:r w:rsidR="00D57FF8" w:rsidRPr="005B305D">
        <w:t xml:space="preserve">) </w:t>
      </w:r>
      <w:r w:rsidR="0039404B" w:rsidRPr="005B305D">
        <w:t xml:space="preserve">assuming OS in </w:t>
      </w:r>
      <w:proofErr w:type="spellStart"/>
      <w:r w:rsidR="0039404B" w:rsidRPr="002D68B8">
        <w:rPr>
          <w:i/>
        </w:rPr>
        <w:t>BRCA</w:t>
      </w:r>
      <w:r w:rsidR="0039404B" w:rsidRPr="005B305D">
        <w:t>m</w:t>
      </w:r>
      <w:proofErr w:type="spellEnd"/>
      <w:r w:rsidR="0039404B" w:rsidRPr="005B305D">
        <w:t xml:space="preserve"> positive patients is </w:t>
      </w:r>
      <w:r w:rsidR="004E3237">
        <w:t xml:space="preserve">the </w:t>
      </w:r>
      <w:r w:rsidR="0039404B" w:rsidRPr="005B305D">
        <w:t xml:space="preserve">same across both </w:t>
      </w:r>
      <w:proofErr w:type="spellStart"/>
      <w:r w:rsidR="0039404B" w:rsidRPr="005B305D">
        <w:t>olaparib</w:t>
      </w:r>
      <w:proofErr w:type="spellEnd"/>
      <w:r w:rsidR="0039404B" w:rsidRPr="005B305D">
        <w:t xml:space="preserve"> and placebo arms in the model;</w:t>
      </w:r>
      <w:r w:rsidR="00D57FF8" w:rsidRPr="005B305D">
        <w:t xml:space="preserve"> (ii) </w:t>
      </w:r>
      <w:r w:rsidR="0039404B" w:rsidRPr="005B305D">
        <w:t>using utility values for PFS2 and PD as reported in Study 19;</w:t>
      </w:r>
      <w:r w:rsidR="00D57FF8" w:rsidRPr="005B305D">
        <w:t xml:space="preserve"> (iii) </w:t>
      </w:r>
      <w:r w:rsidR="0039404B" w:rsidRPr="005B305D">
        <w:t xml:space="preserve">correcting the modelled cost of </w:t>
      </w:r>
      <w:proofErr w:type="spellStart"/>
      <w:r w:rsidR="0039404B" w:rsidRPr="005B305D">
        <w:t>olaparib</w:t>
      </w:r>
      <w:proofErr w:type="spellEnd"/>
      <w:r w:rsidR="0039404B" w:rsidRPr="005B305D">
        <w:t>;</w:t>
      </w:r>
      <w:r w:rsidR="00D57FF8" w:rsidRPr="005B305D">
        <w:t xml:space="preserve"> (iv) </w:t>
      </w:r>
      <w:r w:rsidR="0039404B" w:rsidRPr="005B305D">
        <w:t xml:space="preserve">including downstream germline </w:t>
      </w:r>
      <w:r w:rsidR="0039404B" w:rsidRPr="005B305D">
        <w:lastRenderedPageBreak/>
        <w:t>testing costs in tumour positive patients and private/hospital funded test costs; and</w:t>
      </w:r>
      <w:r w:rsidR="00D57FF8" w:rsidRPr="005B305D">
        <w:t xml:space="preserve"> (v) </w:t>
      </w:r>
      <w:r w:rsidR="0039404B" w:rsidRPr="009126A0">
        <w:rPr>
          <w:rFonts w:eastAsia="Times New Roman" w:cs="Times New Roman"/>
        </w:rPr>
        <w:t xml:space="preserve">using a prevalence for </w:t>
      </w:r>
      <w:proofErr w:type="spellStart"/>
      <w:r w:rsidR="0039404B" w:rsidRPr="009126A0">
        <w:rPr>
          <w:rFonts w:eastAsia="Times New Roman" w:cs="Times New Roman"/>
        </w:rPr>
        <w:t>g</w:t>
      </w:r>
      <w:r w:rsidR="0039404B" w:rsidRPr="009126A0">
        <w:rPr>
          <w:rFonts w:eastAsia="Times New Roman" w:cs="Times New Roman"/>
          <w:i/>
        </w:rPr>
        <w:t>BRCA</w:t>
      </w:r>
      <w:r w:rsidR="0039404B" w:rsidRPr="009126A0">
        <w:rPr>
          <w:rFonts w:eastAsia="Times New Roman" w:cs="Times New Roman"/>
        </w:rPr>
        <w:t>m</w:t>
      </w:r>
      <w:proofErr w:type="spellEnd"/>
      <w:r w:rsidR="0039404B" w:rsidRPr="009126A0">
        <w:rPr>
          <w:rFonts w:eastAsia="Times New Roman" w:cs="Times New Roman"/>
        </w:rPr>
        <w:t xml:space="preserve"> of 20.3%.</w:t>
      </w:r>
    </w:p>
    <w:p w:rsidR="000D57C9" w:rsidRDefault="000D57C9" w:rsidP="00162818">
      <w:pPr>
        <w:pStyle w:val="ListParagraph"/>
      </w:pPr>
      <w:r>
        <w:t>The re-specified analysis conducted during the evaluation result</w:t>
      </w:r>
      <w:r w:rsidR="00C62CBC">
        <w:t>ed</w:t>
      </w:r>
      <w:r>
        <w:t xml:space="preserve"> in a substantially higher ICER and highlight</w:t>
      </w:r>
      <w:r w:rsidR="00C62CBC">
        <w:t>ed</w:t>
      </w:r>
      <w:r>
        <w:t xml:space="preserve"> that overall survival gains and PFS2 and PD utility weights </w:t>
      </w:r>
      <w:r w:rsidR="00C62CBC">
        <w:t xml:space="preserve">were </w:t>
      </w:r>
      <w:r>
        <w:t>key drivers of the model.</w:t>
      </w:r>
      <w:r w:rsidR="00964C8E" w:rsidRPr="002F486D">
        <w:rPr>
          <w:i/>
        </w:rPr>
        <w:t xml:space="preserve"> </w:t>
      </w:r>
      <w:r w:rsidR="00964C8E" w:rsidRPr="00DE7812">
        <w:t xml:space="preserve">The ESC considered that the respecified base case was a more appropriate basis for assessment of the cost-effectiveness of </w:t>
      </w:r>
      <w:proofErr w:type="spellStart"/>
      <w:r w:rsidR="00964C8E" w:rsidRPr="00DE7812">
        <w:t>olaparib</w:t>
      </w:r>
      <w:proofErr w:type="spellEnd"/>
      <w:r w:rsidR="00964C8E" w:rsidRPr="00DE7812">
        <w:t xml:space="preserve"> in both scenarios presented.</w:t>
      </w:r>
    </w:p>
    <w:p w:rsidR="000D57C9" w:rsidRDefault="000D57C9" w:rsidP="00563974">
      <w:pPr>
        <w:pStyle w:val="Caption"/>
        <w:keepNext w:val="0"/>
        <w:ind w:left="1418" w:hanging="1418"/>
      </w:pPr>
      <w:r>
        <w:t xml:space="preserve">Table </w:t>
      </w:r>
      <w:r w:rsidR="00A75368">
        <w:rPr>
          <w:noProof/>
        </w:rPr>
        <w:t>12</w:t>
      </w:r>
      <w:r w:rsidR="00563974">
        <w:rPr>
          <w:noProof/>
        </w:rPr>
        <w:t xml:space="preserve">: </w:t>
      </w:r>
      <w:r w:rsidR="00C3084A" w:rsidRPr="00816324">
        <w:t>Results of re-specification of base-case performed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
        <w:gridCol w:w="3540"/>
        <w:gridCol w:w="813"/>
        <w:gridCol w:w="732"/>
        <w:gridCol w:w="813"/>
        <w:gridCol w:w="739"/>
        <w:gridCol w:w="714"/>
        <w:gridCol w:w="640"/>
        <w:gridCol w:w="810"/>
      </w:tblGrid>
      <w:tr w:rsidR="000D57C9" w:rsidRPr="00DE7812" w:rsidTr="00AE33FB">
        <w:trPr>
          <w:tblHeader/>
        </w:trPr>
        <w:tc>
          <w:tcPr>
            <w:tcW w:w="129"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rPr>
              <w:t>Variable or assumption</w:t>
            </w:r>
          </w:p>
        </w:tc>
        <w:tc>
          <w:tcPr>
            <w:tcW w:w="877" w:type="pct"/>
            <w:gridSpan w:val="2"/>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rPr>
              <w:t>Costs (discounted)</w:t>
            </w:r>
          </w:p>
        </w:tc>
        <w:tc>
          <w:tcPr>
            <w:tcW w:w="871" w:type="pct"/>
            <w:gridSpan w:val="2"/>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vertAlign w:val="subscript"/>
              </w:rPr>
            </w:pPr>
            <w:r w:rsidRPr="00DE7812">
              <w:rPr>
                <w:b/>
              </w:rPr>
              <w:t>QALYs (discounted)</w:t>
            </w:r>
          </w:p>
        </w:tc>
        <w:tc>
          <w:tcPr>
            <w:tcW w:w="375" w:type="pct"/>
            <w:vMerge w:val="restart"/>
            <w:tcBorders>
              <w:top w:val="single" w:sz="4" w:space="0" w:color="auto"/>
              <w:left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rPr>
              <w:t>∆costs</w:t>
            </w:r>
          </w:p>
        </w:tc>
        <w:tc>
          <w:tcPr>
            <w:tcW w:w="365" w:type="pct"/>
            <w:vMerge w:val="restart"/>
            <w:tcBorders>
              <w:top w:val="single" w:sz="4" w:space="0" w:color="auto"/>
              <w:left w:val="single" w:sz="4" w:space="0" w:color="auto"/>
              <w:right w:val="single" w:sz="4" w:space="0" w:color="auto"/>
            </w:tcBorders>
            <w:vAlign w:val="center"/>
          </w:tcPr>
          <w:p w:rsidR="000D57C9" w:rsidRPr="00DE7812" w:rsidRDefault="000D57C9" w:rsidP="00563974">
            <w:pPr>
              <w:pStyle w:val="TableText"/>
              <w:widowControl/>
              <w:jc w:val="center"/>
              <w:rPr>
                <w:b/>
                <w:sz w:val="18"/>
                <w:szCs w:val="18"/>
              </w:rPr>
            </w:pPr>
            <w:r w:rsidRPr="00DE7812">
              <w:rPr>
                <w:b/>
                <w:sz w:val="18"/>
                <w:szCs w:val="18"/>
              </w:rPr>
              <w:t>∆</w:t>
            </w:r>
            <w:r w:rsidRPr="00DE7812">
              <w:rPr>
                <w:b/>
                <w:szCs w:val="20"/>
              </w:rPr>
              <w:t>QALY</w:t>
            </w:r>
          </w:p>
        </w:tc>
        <w:tc>
          <w:tcPr>
            <w:tcW w:w="411" w:type="pct"/>
            <w:vMerge w:val="restart"/>
            <w:tcBorders>
              <w:top w:val="single" w:sz="4" w:space="0" w:color="auto"/>
              <w:left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rPr>
              <w:t>ICER</w:t>
            </w:r>
          </w:p>
        </w:tc>
      </w:tr>
      <w:tr w:rsidR="000D57C9" w:rsidRPr="00DE7812" w:rsidTr="00AE33FB">
        <w:trPr>
          <w:tblHeader/>
        </w:trPr>
        <w:tc>
          <w:tcPr>
            <w:tcW w:w="129"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r w:rsidRPr="00DE7812">
              <w:rPr>
                <w:b/>
              </w:rPr>
              <w:t>Stepped analyses to respecify the base-case</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r w:rsidRPr="00DE7812">
              <w:rPr>
                <w:b/>
              </w:rPr>
              <w:t>Proposed</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r w:rsidRPr="00DE7812">
              <w:rPr>
                <w:b/>
              </w:rPr>
              <w:t>Current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r w:rsidRPr="00DE7812">
              <w:rPr>
                <w:b/>
              </w:rPr>
              <w:t>Proposed</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r w:rsidRPr="00DE7812">
              <w:rPr>
                <w:b/>
              </w:rPr>
              <w:t>Current</w:t>
            </w:r>
          </w:p>
        </w:tc>
        <w:tc>
          <w:tcPr>
            <w:tcW w:w="375" w:type="pct"/>
            <w:vMerge/>
            <w:tcBorders>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p>
        </w:tc>
        <w:tc>
          <w:tcPr>
            <w:tcW w:w="365" w:type="pct"/>
            <w:vMerge/>
            <w:tcBorders>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p>
        </w:tc>
        <w:tc>
          <w:tcPr>
            <w:tcW w:w="411" w:type="pct"/>
            <w:vMerge/>
            <w:tcBorders>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b/>
              </w:rPr>
            </w:pPr>
          </w:p>
        </w:tc>
      </w:tr>
      <w:tr w:rsidR="000D57C9" w:rsidRPr="00DE7812" w:rsidTr="00AE33FB">
        <w:tc>
          <w:tcPr>
            <w:tcW w:w="129" w:type="pct"/>
            <w:tcBorders>
              <w:top w:val="single" w:sz="4" w:space="0" w:color="auto"/>
              <w:left w:val="single" w:sz="4" w:space="0" w:color="auto"/>
              <w:bottom w:val="single" w:sz="4" w:space="0" w:color="auto"/>
              <w:right w:val="single" w:sz="4" w:space="0" w:color="auto"/>
            </w:tcBorders>
          </w:tcPr>
          <w:p w:rsidR="000D57C9" w:rsidRPr="00DE7812" w:rsidRDefault="000D57C9" w:rsidP="00563974">
            <w:pPr>
              <w:pStyle w:val="TableText"/>
              <w:widowControl/>
            </w:pPr>
            <w:r w:rsidRPr="00DE7812">
              <w:t>1</w:t>
            </w: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pPr>
            <w:r w:rsidRPr="00DE7812">
              <w:t xml:space="preserve">Same OS curve in </w:t>
            </w:r>
            <w:proofErr w:type="spellStart"/>
            <w:r w:rsidRPr="00DE7812">
              <w:t>BRCAm</w:t>
            </w:r>
            <w:proofErr w:type="spellEnd"/>
            <w:r w:rsidRPr="00DE7812">
              <w:t xml:space="preserve"> positives (after 41 months)</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0.3083</w:t>
            </w:r>
          </w:p>
        </w:tc>
        <w:tc>
          <w:tcPr>
            <w:tcW w:w="41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r>
      <w:tr w:rsidR="000D57C9" w:rsidRPr="00DE7812" w:rsidTr="00AE33FB">
        <w:tc>
          <w:tcPr>
            <w:tcW w:w="129" w:type="pct"/>
            <w:tcBorders>
              <w:top w:val="single" w:sz="4" w:space="0" w:color="auto"/>
              <w:left w:val="single" w:sz="4" w:space="0" w:color="auto"/>
              <w:bottom w:val="single" w:sz="4" w:space="0" w:color="auto"/>
              <w:right w:val="single" w:sz="4" w:space="0" w:color="auto"/>
            </w:tcBorders>
          </w:tcPr>
          <w:p w:rsidR="000D57C9" w:rsidRPr="00DE7812" w:rsidRDefault="000D57C9" w:rsidP="00563974">
            <w:pPr>
              <w:pStyle w:val="TableText"/>
              <w:widowControl/>
              <w:rPr>
                <w:rFonts w:eastAsia="Times New Roman" w:cs="Times New Roman"/>
              </w:rPr>
            </w:pPr>
            <w:r w:rsidRPr="00DE7812">
              <w:rPr>
                <w:rFonts w:eastAsia="Times New Roman" w:cs="Times New Roman"/>
              </w:rPr>
              <w:t>2</w:t>
            </w: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rFonts w:eastAsia="Times New Roman" w:cs="Times New Roman"/>
              </w:rPr>
            </w:pPr>
            <w:r w:rsidRPr="00DE7812">
              <w:rPr>
                <w:rFonts w:eastAsia="Times New Roman" w:cs="Times New Roman"/>
              </w:rPr>
              <w:t>(1) and u</w:t>
            </w:r>
            <w:r w:rsidRPr="00DE7812">
              <w:t>tility values for PFS2 (0.768) and PD (0.708) reported in Study 19</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0.1563</w:t>
            </w:r>
          </w:p>
        </w:tc>
        <w:tc>
          <w:tcPr>
            <w:tcW w:w="41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r>
      <w:tr w:rsidR="000D57C9" w:rsidRPr="00DE7812" w:rsidTr="00AE33FB">
        <w:tc>
          <w:tcPr>
            <w:tcW w:w="129" w:type="pct"/>
            <w:tcBorders>
              <w:top w:val="single" w:sz="4" w:space="0" w:color="auto"/>
              <w:left w:val="single" w:sz="4" w:space="0" w:color="auto"/>
              <w:bottom w:val="single" w:sz="4" w:space="0" w:color="auto"/>
              <w:right w:val="single" w:sz="4" w:space="0" w:color="auto"/>
            </w:tcBorders>
          </w:tcPr>
          <w:p w:rsidR="000D57C9" w:rsidRPr="00DE7812" w:rsidRDefault="000D57C9" w:rsidP="00563974">
            <w:pPr>
              <w:pStyle w:val="TableText"/>
              <w:widowControl/>
              <w:rPr>
                <w:rFonts w:eastAsia="Times New Roman" w:cs="Times New Roman"/>
              </w:rPr>
            </w:pPr>
            <w:r w:rsidRPr="00DE7812">
              <w:rPr>
                <w:rFonts w:eastAsia="Times New Roman" w:cs="Times New Roman"/>
              </w:rPr>
              <w:t>3</w:t>
            </w: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rFonts w:eastAsia="Times New Roman" w:cs="Times New Roman"/>
              </w:rPr>
            </w:pPr>
            <w:r w:rsidRPr="00DE7812">
              <w:rPr>
                <w:rFonts w:eastAsia="Times New Roman" w:cs="Times New Roman"/>
              </w:rPr>
              <w:t xml:space="preserve">(2) and corrected modelled cost of </w:t>
            </w:r>
            <w:proofErr w:type="spellStart"/>
            <w:r w:rsidRPr="00DE7812">
              <w:rPr>
                <w:rFonts w:eastAsia="Times New Roman" w:cs="Times New Roman"/>
              </w:rPr>
              <w:t>olaparib</w:t>
            </w:r>
            <w:proofErr w:type="spellEnd"/>
            <w:r w:rsidRPr="00DE7812">
              <w:rPr>
                <w:rFonts w:eastAsia="Times New Roman" w:cs="Times New Roman"/>
              </w:rPr>
              <w:t xml:space="preserve"> ($5,514.28 per monthly cycle)</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iCs/>
                <w:color w:val="000000"/>
                <w:szCs w:val="20"/>
              </w:rPr>
            </w:pPr>
            <w:r w:rsidRPr="00DE7812">
              <w:t>$</w:t>
            </w:r>
            <w:r w:rsidR="005C3678">
              <w:rPr>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iCs/>
                <w:color w:val="000000"/>
                <w:szCs w:val="20"/>
                <w:highlight w:val="black"/>
              </w:rPr>
            </w:pPr>
            <w:r>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0.1563</w:t>
            </w:r>
          </w:p>
        </w:tc>
        <w:tc>
          <w:tcPr>
            <w:tcW w:w="41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rPr>
                <w:iCs/>
                <w:color w:val="000000"/>
                <w:szCs w:val="20"/>
              </w:rPr>
              <w:t>$</w:t>
            </w:r>
            <w:r w:rsidR="005C3678">
              <w:rPr>
                <w:iCs/>
                <w:noProof/>
                <w:color w:val="000000"/>
                <w:szCs w:val="20"/>
                <w:highlight w:val="black"/>
              </w:rPr>
              <w:t>''''''''''''''''''</w:t>
            </w:r>
          </w:p>
        </w:tc>
      </w:tr>
      <w:tr w:rsidR="000D57C9" w:rsidRPr="00DE7812" w:rsidTr="00AE33FB">
        <w:tc>
          <w:tcPr>
            <w:tcW w:w="129" w:type="pct"/>
            <w:tcBorders>
              <w:top w:val="single" w:sz="4" w:space="0" w:color="auto"/>
              <w:left w:val="single" w:sz="4" w:space="0" w:color="auto"/>
              <w:bottom w:val="single" w:sz="4" w:space="0" w:color="auto"/>
              <w:right w:val="single" w:sz="4" w:space="0" w:color="auto"/>
            </w:tcBorders>
          </w:tcPr>
          <w:p w:rsidR="000D57C9" w:rsidRPr="00DE7812" w:rsidRDefault="000D57C9" w:rsidP="00563974">
            <w:pPr>
              <w:pStyle w:val="TableText"/>
              <w:widowControl/>
              <w:rPr>
                <w:rFonts w:eastAsia="Times New Roman" w:cs="Times New Roman"/>
              </w:rPr>
            </w:pPr>
            <w:r w:rsidRPr="00DE7812">
              <w:rPr>
                <w:rFonts w:eastAsia="Times New Roman" w:cs="Times New Roman"/>
              </w:rPr>
              <w:t>4</w:t>
            </w: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rFonts w:eastAsia="Times New Roman" w:cs="Times New Roman"/>
              </w:rPr>
            </w:pPr>
            <w:r w:rsidRPr="00DE7812">
              <w:rPr>
                <w:rFonts w:eastAsia="Times New Roman" w:cs="Times New Roman"/>
              </w:rPr>
              <w:t xml:space="preserve">(3) and including germline testing costs in tumour positive </w:t>
            </w:r>
            <w:proofErr w:type="spellStart"/>
            <w:r w:rsidRPr="00DE7812">
              <w:rPr>
                <w:rFonts w:eastAsia="Times New Roman" w:cs="Times New Roman"/>
              </w:rPr>
              <w:t>patients</w:t>
            </w:r>
            <w:r w:rsidRPr="00DE7812">
              <w:rPr>
                <w:rFonts w:eastAsia="Times New Roman" w:cs="Times New Roman"/>
                <w:sz w:val="22"/>
                <w:vertAlign w:val="superscript"/>
              </w:rPr>
              <w:t>a</w:t>
            </w:r>
            <w:proofErr w:type="spellEnd"/>
            <w:r w:rsidRPr="00DE7812">
              <w:rPr>
                <w:rFonts w:eastAsia="Times New Roman" w:cs="Times New Roman"/>
              </w:rPr>
              <w:t xml:space="preserve"> and costs for hospital/private funded test ($1,200)</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t>$</w:t>
            </w:r>
            <w:r w:rsidR="005C3678">
              <w:rPr>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t>$</w:t>
            </w:r>
            <w:r w:rsidR="005C3678">
              <w:rPr>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highlight w:val="black"/>
              </w:rPr>
            </w:pPr>
            <w:r>
              <w:rPr>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highlight w:val="black"/>
              </w:rPr>
            </w:pPr>
            <w:r>
              <w:rPr>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t>$</w:t>
            </w:r>
            <w:r w:rsidR="005C3678">
              <w:rPr>
                <w:noProof/>
                <w:color w:val="00000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t>0.1563</w:t>
            </w:r>
          </w:p>
        </w:tc>
        <w:tc>
          <w:tcPr>
            <w:tcW w:w="41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pPr>
            <w:r w:rsidRPr="00DE7812">
              <w:t>$</w:t>
            </w:r>
            <w:r w:rsidR="005C3678">
              <w:rPr>
                <w:noProof/>
                <w:color w:val="000000"/>
                <w:highlight w:val="black"/>
              </w:rPr>
              <w:t>''''''''''''''''''</w:t>
            </w:r>
          </w:p>
        </w:tc>
      </w:tr>
      <w:tr w:rsidR="000D57C9" w:rsidRPr="00DE7812" w:rsidTr="00AE33FB">
        <w:tc>
          <w:tcPr>
            <w:tcW w:w="129" w:type="pct"/>
            <w:tcBorders>
              <w:top w:val="single" w:sz="4" w:space="0" w:color="auto"/>
              <w:left w:val="single" w:sz="4" w:space="0" w:color="auto"/>
              <w:bottom w:val="single" w:sz="4" w:space="0" w:color="auto"/>
              <w:right w:val="single" w:sz="4" w:space="0" w:color="auto"/>
            </w:tcBorders>
          </w:tcPr>
          <w:p w:rsidR="000D57C9" w:rsidRPr="00DE7812" w:rsidRDefault="000D57C9" w:rsidP="00563974">
            <w:pPr>
              <w:pStyle w:val="TableText"/>
              <w:widowControl/>
              <w:rPr>
                <w:rFonts w:eastAsia="Times New Roman" w:cs="Times New Roman"/>
                <w:b/>
              </w:rPr>
            </w:pPr>
            <w:r w:rsidRPr="00DE7812">
              <w:rPr>
                <w:rFonts w:eastAsia="Times New Roman" w:cs="Times New Roman"/>
                <w:b/>
              </w:rPr>
              <w:t>5</w:t>
            </w:r>
          </w:p>
        </w:tc>
        <w:tc>
          <w:tcPr>
            <w:tcW w:w="1973"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rPr>
                <w:rFonts w:eastAsia="Times New Roman" w:cs="Times New Roman"/>
                <w:b/>
              </w:rPr>
            </w:pPr>
            <w:r w:rsidRPr="00DE7812">
              <w:rPr>
                <w:rFonts w:eastAsia="Times New Roman" w:cs="Times New Roman"/>
                <w:b/>
              </w:rPr>
              <w:t xml:space="preserve">(4) and prevalence of </w:t>
            </w:r>
            <w:proofErr w:type="spellStart"/>
            <w:r w:rsidRPr="00DE7812">
              <w:rPr>
                <w:rFonts w:eastAsia="Times New Roman" w:cs="Times New Roman"/>
                <w:b/>
              </w:rPr>
              <w:t>gBRCAm</w:t>
            </w:r>
            <w:proofErr w:type="spellEnd"/>
            <w:r w:rsidRPr="00DE7812">
              <w:rPr>
                <w:rFonts w:eastAsia="Times New Roman" w:cs="Times New Roman"/>
                <w:b/>
              </w:rPr>
              <w:t xml:space="preserve"> increased to 20.3% </w:t>
            </w:r>
          </w:p>
        </w:tc>
        <w:tc>
          <w:tcPr>
            <w:tcW w:w="46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iCs/>
                <w:color w:val="000000"/>
                <w:szCs w:val="20"/>
              </w:rPr>
            </w:pPr>
            <w:r w:rsidRPr="00DE7812">
              <w:rPr>
                <w:b/>
              </w:rPr>
              <w:t>$</w:t>
            </w:r>
            <w:r w:rsidR="005C3678">
              <w:rPr>
                <w:b/>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iCs/>
                <w:color w:val="000000"/>
                <w:szCs w:val="20"/>
              </w:rPr>
            </w:pPr>
            <w:r w:rsidRPr="00DE7812">
              <w:rPr>
                <w:b/>
              </w:rPr>
              <w:t>$</w:t>
            </w:r>
            <w:r w:rsidR="005C3678">
              <w:rPr>
                <w:b/>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b/>
                <w:iCs/>
                <w:color w:val="000000"/>
                <w:szCs w:val="20"/>
                <w:highlight w:val="black"/>
              </w:rPr>
            </w:pPr>
            <w:r>
              <w:rPr>
                <w:b/>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0D57C9" w:rsidRPr="005C3678" w:rsidRDefault="005C3678" w:rsidP="00563974">
            <w:pPr>
              <w:pStyle w:val="TableText"/>
              <w:widowControl/>
              <w:jc w:val="center"/>
              <w:rPr>
                <w:b/>
                <w:iCs/>
                <w:color w:val="000000"/>
                <w:szCs w:val="20"/>
                <w:highlight w:val="black"/>
              </w:rPr>
            </w:pPr>
            <w:r>
              <w:rPr>
                <w:b/>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iCs/>
                <w:color w:val="000000"/>
                <w:szCs w:val="20"/>
              </w:rPr>
              <w:t>$</w:t>
            </w:r>
            <w:r w:rsidR="005C3678">
              <w:rPr>
                <w:b/>
                <w:iCs/>
                <w:noProof/>
                <w:color w:val="000000"/>
                <w:szCs w:val="2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iCs/>
                <w:color w:val="000000"/>
                <w:szCs w:val="20"/>
              </w:rPr>
              <w:t>0.1647</w:t>
            </w:r>
          </w:p>
        </w:tc>
        <w:tc>
          <w:tcPr>
            <w:tcW w:w="411" w:type="pct"/>
            <w:tcBorders>
              <w:top w:val="single" w:sz="4" w:space="0" w:color="auto"/>
              <w:left w:val="single" w:sz="4" w:space="0" w:color="auto"/>
              <w:bottom w:val="single" w:sz="4" w:space="0" w:color="auto"/>
              <w:right w:val="single" w:sz="4" w:space="0" w:color="auto"/>
            </w:tcBorders>
            <w:vAlign w:val="center"/>
          </w:tcPr>
          <w:p w:rsidR="000D57C9" w:rsidRPr="00DE7812" w:rsidRDefault="000D57C9" w:rsidP="00563974">
            <w:pPr>
              <w:pStyle w:val="TableText"/>
              <w:widowControl/>
              <w:jc w:val="center"/>
              <w:rPr>
                <w:b/>
              </w:rPr>
            </w:pPr>
            <w:r w:rsidRPr="00DE7812">
              <w:rPr>
                <w:b/>
                <w:iCs/>
                <w:color w:val="000000"/>
                <w:szCs w:val="20"/>
              </w:rPr>
              <w:t>$</w:t>
            </w:r>
            <w:r w:rsidR="005C3678">
              <w:rPr>
                <w:b/>
                <w:iCs/>
                <w:noProof/>
                <w:color w:val="000000"/>
                <w:szCs w:val="20"/>
                <w:highlight w:val="black"/>
              </w:rPr>
              <w:t>'''''''''''''''''</w:t>
            </w:r>
          </w:p>
        </w:tc>
      </w:tr>
      <w:tr w:rsidR="00A667FB" w:rsidRPr="00DE7812" w:rsidTr="00AE33FB">
        <w:tc>
          <w:tcPr>
            <w:tcW w:w="129" w:type="pct"/>
            <w:tcBorders>
              <w:top w:val="single" w:sz="4" w:space="0" w:color="auto"/>
              <w:left w:val="single" w:sz="4" w:space="0" w:color="auto"/>
              <w:bottom w:val="single" w:sz="4" w:space="0" w:color="auto"/>
              <w:right w:val="single" w:sz="4" w:space="0" w:color="auto"/>
            </w:tcBorders>
          </w:tcPr>
          <w:p w:rsidR="00A667FB" w:rsidRPr="00DE7812" w:rsidRDefault="00A667FB" w:rsidP="00563974">
            <w:pPr>
              <w:pStyle w:val="TableText"/>
              <w:widowControl/>
              <w:rPr>
                <w:rFonts w:eastAsia="Times New Roman" w:cs="Times New Roman"/>
                <w:b/>
              </w:rPr>
            </w:pPr>
            <w:r w:rsidRPr="00DE7812">
              <w:rPr>
                <w:rFonts w:eastAsia="Times New Roman" w:cs="Times New Roman"/>
                <w:b/>
              </w:rPr>
              <w:t>6</w:t>
            </w:r>
          </w:p>
        </w:tc>
        <w:tc>
          <w:tcPr>
            <w:tcW w:w="1973"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rPr>
                <w:rFonts w:eastAsia="Times New Roman" w:cs="Times New Roman"/>
                <w:b/>
              </w:rPr>
            </w:pPr>
            <w:r w:rsidRPr="00DE7812">
              <w:rPr>
                <w:b/>
                <w:bCs/>
                <w:iCs/>
              </w:rPr>
              <w:t xml:space="preserve">(5) only for </w:t>
            </w:r>
            <w:proofErr w:type="spellStart"/>
            <w:r w:rsidRPr="00DE7812">
              <w:rPr>
                <w:b/>
                <w:bCs/>
                <w:iCs/>
              </w:rPr>
              <w:t>g</w:t>
            </w:r>
            <w:r w:rsidRPr="00DE7812">
              <w:rPr>
                <w:b/>
                <w:bCs/>
              </w:rPr>
              <w:t>BRCA</w:t>
            </w:r>
            <w:r w:rsidRPr="00DE7812">
              <w:rPr>
                <w:b/>
                <w:bCs/>
                <w:iCs/>
              </w:rPr>
              <w:t>m</w:t>
            </w:r>
            <w:proofErr w:type="spellEnd"/>
            <w:r w:rsidRPr="00DE7812">
              <w:rPr>
                <w:b/>
                <w:bCs/>
                <w:iCs/>
              </w:rPr>
              <w:t xml:space="preserve"> testing (scenario 1)</w:t>
            </w:r>
          </w:p>
        </w:tc>
        <w:tc>
          <w:tcPr>
            <w:tcW w:w="461"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jc w:val="center"/>
              <w:rPr>
                <w:b/>
              </w:rPr>
            </w:pPr>
            <w:r w:rsidRPr="00DE7812">
              <w:rPr>
                <w:b/>
                <w:bCs/>
                <w:iCs/>
              </w:rPr>
              <w:t>$</w:t>
            </w:r>
            <w:r w:rsidR="005C3678">
              <w:rPr>
                <w:b/>
                <w:bCs/>
                <w:iCs/>
                <w:noProof/>
                <w:color w:val="000000"/>
                <w:highlight w:val="black"/>
              </w:rPr>
              <w:t>'''''''''''''</w:t>
            </w:r>
          </w:p>
        </w:tc>
        <w:tc>
          <w:tcPr>
            <w:tcW w:w="416"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jc w:val="center"/>
              <w:rPr>
                <w:b/>
              </w:rPr>
            </w:pPr>
            <w:r w:rsidRPr="00DE7812">
              <w:rPr>
                <w:b/>
                <w:bCs/>
                <w:iCs/>
              </w:rPr>
              <w:t>$</w:t>
            </w:r>
            <w:r w:rsidR="005C3678">
              <w:rPr>
                <w:b/>
                <w:bCs/>
                <w:iCs/>
                <w:noProof/>
                <w:color w:val="000000"/>
                <w:highlight w:val="black"/>
              </w:rPr>
              <w:t>''''''''''''</w:t>
            </w:r>
          </w:p>
        </w:tc>
        <w:tc>
          <w:tcPr>
            <w:tcW w:w="451" w:type="pct"/>
            <w:tcBorders>
              <w:top w:val="single" w:sz="4" w:space="0" w:color="auto"/>
              <w:left w:val="single" w:sz="4" w:space="0" w:color="auto"/>
              <w:bottom w:val="single" w:sz="4" w:space="0" w:color="auto"/>
              <w:right w:val="single" w:sz="4" w:space="0" w:color="auto"/>
            </w:tcBorders>
            <w:vAlign w:val="center"/>
          </w:tcPr>
          <w:p w:rsidR="00A667FB" w:rsidRPr="005C3678" w:rsidRDefault="005C3678" w:rsidP="00563974">
            <w:pPr>
              <w:pStyle w:val="TableText"/>
              <w:widowControl/>
              <w:jc w:val="center"/>
              <w:rPr>
                <w:b/>
                <w:highlight w:val="black"/>
              </w:rPr>
            </w:pPr>
            <w:r>
              <w:rPr>
                <w:b/>
                <w:bCs/>
                <w:iCs/>
                <w:noProof/>
                <w:color w:val="000000"/>
                <w:highlight w:val="black"/>
              </w:rPr>
              <w:t>'''''''''</w:t>
            </w:r>
          </w:p>
        </w:tc>
        <w:tc>
          <w:tcPr>
            <w:tcW w:w="420" w:type="pct"/>
            <w:tcBorders>
              <w:top w:val="single" w:sz="4" w:space="0" w:color="auto"/>
              <w:left w:val="single" w:sz="4" w:space="0" w:color="auto"/>
              <w:bottom w:val="single" w:sz="4" w:space="0" w:color="auto"/>
              <w:right w:val="single" w:sz="4" w:space="0" w:color="auto"/>
            </w:tcBorders>
            <w:vAlign w:val="center"/>
          </w:tcPr>
          <w:p w:rsidR="00A667FB" w:rsidRPr="005C3678" w:rsidRDefault="005C3678" w:rsidP="00563974">
            <w:pPr>
              <w:pStyle w:val="TableText"/>
              <w:widowControl/>
              <w:jc w:val="center"/>
              <w:rPr>
                <w:b/>
                <w:highlight w:val="black"/>
              </w:rPr>
            </w:pPr>
            <w:r>
              <w:rPr>
                <w:b/>
                <w:bCs/>
                <w:iCs/>
                <w:noProof/>
                <w:color w:val="000000"/>
                <w:highlight w:val="black"/>
              </w:rPr>
              <w:t>''''''''</w:t>
            </w:r>
          </w:p>
        </w:tc>
        <w:tc>
          <w:tcPr>
            <w:tcW w:w="375"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jc w:val="center"/>
              <w:rPr>
                <w:b/>
                <w:iCs/>
                <w:szCs w:val="20"/>
              </w:rPr>
            </w:pPr>
            <w:r w:rsidRPr="00DE7812">
              <w:rPr>
                <w:b/>
                <w:bCs/>
                <w:iCs/>
              </w:rPr>
              <w:t>$</w:t>
            </w:r>
            <w:r w:rsidR="005C3678">
              <w:rPr>
                <w:b/>
                <w:bCs/>
                <w:iCs/>
                <w:noProof/>
                <w:color w:val="000000"/>
                <w:highlight w:val="black"/>
              </w:rPr>
              <w:t>'''''''''''''</w:t>
            </w:r>
          </w:p>
        </w:tc>
        <w:tc>
          <w:tcPr>
            <w:tcW w:w="365"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jc w:val="center"/>
              <w:rPr>
                <w:b/>
                <w:iCs/>
                <w:szCs w:val="20"/>
              </w:rPr>
            </w:pPr>
            <w:r w:rsidRPr="00DE7812">
              <w:rPr>
                <w:b/>
                <w:bCs/>
                <w:iCs/>
              </w:rPr>
              <w:t>0.0512</w:t>
            </w:r>
          </w:p>
        </w:tc>
        <w:tc>
          <w:tcPr>
            <w:tcW w:w="411" w:type="pct"/>
            <w:tcBorders>
              <w:top w:val="single" w:sz="4" w:space="0" w:color="auto"/>
              <w:left w:val="single" w:sz="4" w:space="0" w:color="auto"/>
              <w:bottom w:val="single" w:sz="4" w:space="0" w:color="auto"/>
              <w:right w:val="single" w:sz="4" w:space="0" w:color="auto"/>
            </w:tcBorders>
            <w:vAlign w:val="center"/>
          </w:tcPr>
          <w:p w:rsidR="00A667FB" w:rsidRPr="00DE7812" w:rsidRDefault="00A667FB" w:rsidP="00563974">
            <w:pPr>
              <w:pStyle w:val="TableText"/>
              <w:widowControl/>
              <w:jc w:val="center"/>
              <w:rPr>
                <w:b/>
                <w:iCs/>
                <w:szCs w:val="20"/>
              </w:rPr>
            </w:pPr>
            <w:r w:rsidRPr="00DE7812">
              <w:rPr>
                <w:b/>
                <w:bCs/>
                <w:iCs/>
              </w:rPr>
              <w:t>$</w:t>
            </w:r>
            <w:r w:rsidR="005C3678">
              <w:rPr>
                <w:b/>
                <w:bCs/>
                <w:iCs/>
                <w:noProof/>
                <w:color w:val="000000"/>
                <w:highlight w:val="black"/>
              </w:rPr>
              <w:t>''''''''''''''''</w:t>
            </w:r>
          </w:p>
        </w:tc>
      </w:tr>
    </w:tbl>
    <w:p w:rsidR="000D57C9" w:rsidRDefault="000D57C9" w:rsidP="00563974">
      <w:pPr>
        <w:pStyle w:val="TableFooter"/>
        <w:widowControl/>
      </w:pPr>
      <w:proofErr w:type="spellStart"/>
      <w:r w:rsidRPr="0039404B">
        <w:rPr>
          <w:sz w:val="20"/>
          <w:vertAlign w:val="superscript"/>
        </w:rPr>
        <w:t>a</w:t>
      </w:r>
      <w:r w:rsidRPr="00816324">
        <w:t>Additional</w:t>
      </w:r>
      <w:proofErr w:type="spellEnd"/>
      <w:r w:rsidRPr="00816324">
        <w:t xml:space="preserve"> germline testing costs included for t</w:t>
      </w:r>
      <w:r w:rsidR="00264755">
        <w:t xml:space="preserve">umour </w:t>
      </w:r>
      <w:proofErr w:type="spellStart"/>
      <w:r w:rsidRPr="008C1EE0">
        <w:t>BRCA</w:t>
      </w:r>
      <w:r w:rsidRPr="00816324">
        <w:t>m</w:t>
      </w:r>
      <w:proofErr w:type="spellEnd"/>
      <w:r w:rsidRPr="00816324">
        <w:t xml:space="preserve"> </w:t>
      </w:r>
      <w:r w:rsidR="00264755">
        <w:t xml:space="preserve">test-positives </w:t>
      </w:r>
      <w:r w:rsidRPr="00816324">
        <w:t xml:space="preserve">only; calculated as $1400 × prevalence of </w:t>
      </w:r>
      <w:proofErr w:type="spellStart"/>
      <w:r w:rsidRPr="008C1EE0">
        <w:t>BRCA</w:t>
      </w:r>
      <w:r w:rsidRPr="00816324">
        <w:t>m</w:t>
      </w:r>
      <w:proofErr w:type="spellEnd"/>
      <w:r w:rsidR="00A64435">
        <w:t>×</w:t>
      </w:r>
      <w:r w:rsidRPr="00816324">
        <w:t>$400 which equates to $1,492 for prevalence 23% or $</w:t>
      </w:r>
      <w:r>
        <w:t>1,505 when prevalence is 26.3%.</w:t>
      </w:r>
    </w:p>
    <w:p w:rsidR="000D57C9" w:rsidRPr="000D57C9" w:rsidRDefault="000D57C9" w:rsidP="00563974">
      <w:pPr>
        <w:pStyle w:val="TableFooter"/>
        <w:widowControl/>
      </w:pPr>
      <w:r w:rsidRPr="00816324">
        <w:t xml:space="preserve">∆ = incremental; </w:t>
      </w:r>
      <w:proofErr w:type="spellStart"/>
      <w:r w:rsidRPr="00816324">
        <w:t>g</w:t>
      </w:r>
      <w:r w:rsidRPr="008C1EE0">
        <w:t>BRCA</w:t>
      </w:r>
      <w:r w:rsidRPr="00816324">
        <w:t>m</w:t>
      </w:r>
      <w:proofErr w:type="spellEnd"/>
      <w:r w:rsidRPr="00816324">
        <w:t xml:space="preserve"> = germline </w:t>
      </w:r>
      <w:r w:rsidRPr="008C1EE0">
        <w:t>BRCA</w:t>
      </w:r>
      <w:r w:rsidRPr="00816324">
        <w:t xml:space="preserve"> mutation; ICER = incremental cost-effectiveness ratio; OS = overall survival; PFS = progression-free survival; PD = progressive disease; QA</w:t>
      </w:r>
      <w:r>
        <w:t>LY = quality adjusted life year</w:t>
      </w:r>
    </w:p>
    <w:p w:rsidR="000D57C9" w:rsidRPr="00A64435" w:rsidRDefault="000D57C9" w:rsidP="00563974">
      <w:pPr>
        <w:pStyle w:val="TableFooter"/>
        <w:widowControl/>
      </w:pPr>
      <w:r w:rsidRPr="00816324">
        <w:t>Source: Constructed during the evaluation using Economic Evaluation.xlsx, Attachment 7.1</w:t>
      </w:r>
    </w:p>
    <w:p w:rsidR="004366FF" w:rsidRDefault="00C857FA" w:rsidP="00563974">
      <w:pPr>
        <w:pStyle w:val="ListParagraph"/>
        <w:numPr>
          <w:ilvl w:val="4"/>
          <w:numId w:val="1"/>
        </w:numPr>
      </w:pPr>
      <w:r w:rsidRPr="00962538">
        <w:t>A summary of the ICERs (where calculable from the data provided) and other issues relevant to test/</w:t>
      </w:r>
      <w:r>
        <w:t>medicine</w:t>
      </w:r>
      <w:r w:rsidRPr="00962538">
        <w:t xml:space="preserve"> accessibility is shown in the table </w:t>
      </w:r>
      <w:r w:rsidRPr="00930C7F">
        <w:t>below</w:t>
      </w:r>
      <w:r>
        <w:t>.</w:t>
      </w:r>
      <w:r w:rsidR="004366FF">
        <w:br w:type="page"/>
      </w:r>
    </w:p>
    <w:p w:rsidR="00C857FA" w:rsidRPr="005B305D" w:rsidRDefault="00563974" w:rsidP="00563974">
      <w:pPr>
        <w:pStyle w:val="Caption"/>
        <w:ind w:left="1418" w:hanging="1418"/>
      </w:pPr>
      <w:r>
        <w:lastRenderedPageBreak/>
        <w:t xml:space="preserve">Table </w:t>
      </w:r>
      <w:r w:rsidR="00A75368">
        <w:rPr>
          <w:noProof/>
        </w:rPr>
        <w:t>13</w:t>
      </w:r>
      <w:r>
        <w:rPr>
          <w:noProof/>
        </w:rPr>
        <w:t xml:space="preserve">: </w:t>
      </w:r>
      <w:r w:rsidR="00C857FA" w:rsidRPr="005B305D">
        <w:t xml:space="preserve">ICERs and considerations of various </w:t>
      </w:r>
      <w:r w:rsidR="006731D1" w:rsidRPr="005B305D">
        <w:rPr>
          <w:bCs/>
        </w:rPr>
        <w:t xml:space="preserve">BRCA1/2 testing and </w:t>
      </w:r>
      <w:proofErr w:type="spellStart"/>
      <w:r w:rsidR="006731D1" w:rsidRPr="005B305D">
        <w:rPr>
          <w:bCs/>
        </w:rPr>
        <w:t>olaparib</w:t>
      </w:r>
      <w:proofErr w:type="spellEnd"/>
      <w:r w:rsidR="00C857FA" w:rsidRPr="005B305D">
        <w:t xml:space="preserve"> funding scenarios</w:t>
      </w:r>
    </w:p>
    <w:tbl>
      <w:tblPr>
        <w:tblStyle w:val="PBACTableStyle"/>
        <w:tblW w:w="5000" w:type="pct"/>
        <w:tblLook w:val="04A0" w:firstRow="1" w:lastRow="0" w:firstColumn="1" w:lastColumn="0" w:noHBand="0" w:noVBand="1"/>
        <w:tblCaption w:val="Table 13: ICERs and considerations of various BRCA1/2 testing and olaparib funding scenarios"/>
      </w:tblPr>
      <w:tblGrid>
        <w:gridCol w:w="3540"/>
        <w:gridCol w:w="5476"/>
      </w:tblGrid>
      <w:tr w:rsidR="00C857FA" w:rsidRPr="005B305D" w:rsidTr="006731D1">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63" w:type="pct"/>
            <w:vAlign w:val="bottom"/>
          </w:tcPr>
          <w:p w:rsidR="00C857FA" w:rsidRPr="005B305D" w:rsidRDefault="00C857FA" w:rsidP="00563974">
            <w:pPr>
              <w:pStyle w:val="TableText"/>
              <w:keepNext/>
              <w:widowControl/>
            </w:pPr>
          </w:p>
        </w:tc>
        <w:tc>
          <w:tcPr>
            <w:tcW w:w="3037" w:type="pct"/>
            <w:vAlign w:val="bottom"/>
          </w:tcPr>
          <w:p w:rsidR="00C857FA" w:rsidRPr="005B305D" w:rsidRDefault="00C857FA" w:rsidP="00563974">
            <w:pPr>
              <w:pStyle w:val="TableText"/>
              <w:keepNext/>
              <w:widowControl/>
              <w:cnfStyle w:val="100000000000" w:firstRow="1" w:lastRow="0" w:firstColumn="0" w:lastColumn="0" w:oddVBand="0" w:evenVBand="0" w:oddHBand="0" w:evenHBand="0" w:firstRowFirstColumn="0" w:firstRowLastColumn="0" w:lastRowFirstColumn="0" w:lastRowLastColumn="0"/>
            </w:pPr>
            <w:r w:rsidRPr="005B305D">
              <w:t xml:space="preserve">Proposed PBAC funded first-line maintenance </w:t>
            </w:r>
            <w:proofErr w:type="spellStart"/>
            <w:r w:rsidRPr="005B305D">
              <w:t>olaparib</w:t>
            </w:r>
            <w:proofErr w:type="spellEnd"/>
          </w:p>
        </w:tc>
      </w:tr>
      <w:tr w:rsidR="00C857FA" w:rsidRPr="005B305D" w:rsidTr="00473EBF">
        <w:trPr>
          <w:trHeight w:val="648"/>
        </w:trPr>
        <w:tc>
          <w:tcPr>
            <w:cnfStyle w:val="001000000000" w:firstRow="0" w:lastRow="0" w:firstColumn="1" w:lastColumn="0" w:oddVBand="0" w:evenVBand="0" w:oddHBand="0" w:evenHBand="0" w:firstRowFirstColumn="0" w:firstRowLastColumn="0" w:lastRowFirstColumn="0" w:lastRowLastColumn="0"/>
            <w:tcW w:w="1963" w:type="pct"/>
          </w:tcPr>
          <w:p w:rsidR="00C857FA" w:rsidRPr="005B305D" w:rsidRDefault="00C857FA" w:rsidP="00563974">
            <w:pPr>
              <w:pStyle w:val="TableText"/>
              <w:keepNext/>
              <w:widowControl/>
              <w:rPr>
                <w:color w:val="0070C0"/>
              </w:rPr>
            </w:pPr>
            <w:r w:rsidRPr="005B305D">
              <w:t>No MSAC funded test</w:t>
            </w:r>
          </w:p>
        </w:tc>
        <w:tc>
          <w:tcPr>
            <w:tcW w:w="3037" w:type="pct"/>
          </w:tcPr>
          <w:p w:rsidR="00C857FA" w:rsidRPr="005B305D" w:rsidRDefault="00C857FA" w:rsidP="00563974">
            <w:pPr>
              <w:pStyle w:val="TableText"/>
              <w:keepNext/>
              <w:widowControl/>
              <w:cnfStyle w:val="000000000000" w:firstRow="0" w:lastRow="0" w:firstColumn="0" w:lastColumn="0" w:oddVBand="0" w:evenVBand="0" w:oddHBand="0" w:evenHBand="0" w:firstRowFirstColumn="0" w:firstRowLastColumn="0" w:lastRowFirstColumn="0" w:lastRowLastColumn="0"/>
            </w:pPr>
            <w:r w:rsidRPr="005B305D">
              <w:t xml:space="preserve">Not modelled and inadequate clinical evidence available to estimate </w:t>
            </w:r>
          </w:p>
        </w:tc>
      </w:tr>
      <w:tr w:rsidR="00C857FA" w:rsidRPr="005B305D" w:rsidTr="00473EBF">
        <w:trPr>
          <w:trHeight w:val="648"/>
        </w:trPr>
        <w:tc>
          <w:tcPr>
            <w:cnfStyle w:val="001000000000" w:firstRow="0" w:lastRow="0" w:firstColumn="1" w:lastColumn="0" w:oddVBand="0" w:evenVBand="0" w:oddHBand="0" w:evenHBand="0" w:firstRowFirstColumn="0" w:firstRowLastColumn="0" w:lastRowFirstColumn="0" w:lastRowLastColumn="0"/>
            <w:tcW w:w="1963" w:type="pct"/>
          </w:tcPr>
          <w:p w:rsidR="00C857FA" w:rsidRPr="005B305D" w:rsidRDefault="00C857FA" w:rsidP="00563974">
            <w:pPr>
              <w:pStyle w:val="TableText"/>
              <w:widowControl/>
              <w:rPr>
                <w:color w:val="0070C0"/>
              </w:rPr>
            </w:pPr>
            <w:r w:rsidRPr="005B305D">
              <w:t>MSAC funded test: Restricted to germline mutation testing only</w:t>
            </w:r>
          </w:p>
        </w:tc>
        <w:tc>
          <w:tcPr>
            <w:tcW w:w="3037" w:type="pct"/>
          </w:tcPr>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r w:rsidRPr="005B305D">
              <w:t>Sponsor estimated ICER: $</w:t>
            </w:r>
            <w:r w:rsidR="005C3678">
              <w:rPr>
                <w:noProof/>
                <w:color w:val="000000"/>
                <w:highlight w:val="black"/>
              </w:rPr>
              <w:t>'''''''''''''''''</w:t>
            </w:r>
            <w:r w:rsidRPr="005B305D">
              <w:t>/QALY.</w:t>
            </w: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r w:rsidRPr="005B305D">
              <w:t>(or $</w:t>
            </w:r>
            <w:r w:rsidR="005C3678">
              <w:rPr>
                <w:noProof/>
                <w:color w:val="000000"/>
                <w:highlight w:val="black"/>
              </w:rPr>
              <w:t>''''''''''''''''''</w:t>
            </w:r>
            <w:r w:rsidRPr="005B305D">
              <w:t>LY)</w:t>
            </w: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r w:rsidRPr="005B305D">
              <w:t xml:space="preserve">Evaluation re-specified model: </w:t>
            </w:r>
            <w:r w:rsidRPr="005B305D">
              <w:rPr>
                <w:iCs/>
                <w:color w:val="000000"/>
              </w:rPr>
              <w:t>$</w:t>
            </w:r>
            <w:r w:rsidR="005C3678">
              <w:rPr>
                <w:iCs/>
                <w:noProof/>
                <w:color w:val="000000"/>
                <w:highlight w:val="black"/>
              </w:rPr>
              <w:t>''''''''''''''''''''''</w:t>
            </w:r>
            <w:r w:rsidRPr="005B305D">
              <w:rPr>
                <w:iCs/>
                <w:color w:val="000000"/>
              </w:rPr>
              <w:t>/QALY (or $</w:t>
            </w:r>
            <w:r w:rsidR="005C3678">
              <w:rPr>
                <w:iCs/>
                <w:noProof/>
                <w:color w:val="000000"/>
                <w:highlight w:val="black"/>
              </w:rPr>
              <w:t>''''''''''''''''''''</w:t>
            </w:r>
            <w:r w:rsidRPr="005B305D">
              <w:rPr>
                <w:iCs/>
                <w:color w:val="000000"/>
              </w:rPr>
              <w:t>/LY)</w:t>
            </w:r>
          </w:p>
        </w:tc>
      </w:tr>
      <w:tr w:rsidR="00C857FA" w:rsidRPr="005B305D" w:rsidTr="00473EBF">
        <w:trPr>
          <w:trHeight w:val="616"/>
        </w:trPr>
        <w:tc>
          <w:tcPr>
            <w:cnfStyle w:val="001000000000" w:firstRow="0" w:lastRow="0" w:firstColumn="1" w:lastColumn="0" w:oddVBand="0" w:evenVBand="0" w:oddHBand="0" w:evenHBand="0" w:firstRowFirstColumn="0" w:firstRowLastColumn="0" w:lastRowFirstColumn="0" w:lastRowLastColumn="0"/>
            <w:tcW w:w="1963" w:type="pct"/>
          </w:tcPr>
          <w:p w:rsidR="00C857FA" w:rsidRPr="005B305D" w:rsidRDefault="00C857FA" w:rsidP="00563974">
            <w:pPr>
              <w:pStyle w:val="TableText"/>
              <w:widowControl/>
              <w:rPr>
                <w:color w:val="0070C0"/>
              </w:rPr>
            </w:pPr>
            <w:r w:rsidRPr="005B305D">
              <w:t>MSAC funded test: Proposed tumour testing (identifying germline and somatic mutations)</w:t>
            </w:r>
          </w:p>
        </w:tc>
        <w:tc>
          <w:tcPr>
            <w:tcW w:w="3037" w:type="pct"/>
          </w:tcPr>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r w:rsidRPr="005B305D">
              <w:t>Sponsor estimated ICER: $</w:t>
            </w:r>
            <w:r w:rsidR="005C3678">
              <w:rPr>
                <w:noProof/>
                <w:color w:val="000000"/>
                <w:highlight w:val="black"/>
              </w:rPr>
              <w:t>'''''''''''''''''</w:t>
            </w:r>
            <w:r w:rsidRPr="005B305D">
              <w:t>/QALY.</w:t>
            </w: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r w:rsidRPr="005B305D">
              <w:t>(or $</w:t>
            </w:r>
            <w:r w:rsidR="005C3678">
              <w:rPr>
                <w:noProof/>
                <w:color w:val="000000"/>
                <w:highlight w:val="black"/>
              </w:rPr>
              <w:t>'''''''''''''''</w:t>
            </w:r>
            <w:r w:rsidRPr="005B305D">
              <w:t>/LY)</w:t>
            </w: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pPr>
          </w:p>
          <w:p w:rsidR="00C857FA" w:rsidRPr="005B305D" w:rsidRDefault="00C857FA" w:rsidP="00563974">
            <w:pPr>
              <w:pStyle w:val="TableText"/>
              <w:widowControl/>
              <w:cnfStyle w:val="000000000000" w:firstRow="0" w:lastRow="0" w:firstColumn="0" w:lastColumn="0" w:oddVBand="0" w:evenVBand="0" w:oddHBand="0" w:evenHBand="0" w:firstRowFirstColumn="0" w:firstRowLastColumn="0" w:lastRowFirstColumn="0" w:lastRowLastColumn="0"/>
              <w:rPr>
                <w:color w:val="0070C0"/>
              </w:rPr>
            </w:pPr>
            <w:r w:rsidRPr="005B305D">
              <w:t>Evaluation re-specified model: $</w:t>
            </w:r>
            <w:r w:rsidR="005C3678">
              <w:rPr>
                <w:noProof/>
                <w:color w:val="000000"/>
                <w:highlight w:val="black"/>
              </w:rPr>
              <w:t>'''''''''''''''''''</w:t>
            </w:r>
            <w:r w:rsidRPr="005B305D">
              <w:t>/QALY (or $</w:t>
            </w:r>
            <w:r w:rsidR="005C3678">
              <w:rPr>
                <w:noProof/>
                <w:color w:val="000000"/>
                <w:highlight w:val="black"/>
              </w:rPr>
              <w:t>'''''''''''''''''''''</w:t>
            </w:r>
            <w:r w:rsidRPr="005B305D">
              <w:t xml:space="preserve">/LY) </w:t>
            </w:r>
          </w:p>
        </w:tc>
      </w:tr>
    </w:tbl>
    <w:p w:rsidR="00C857FA" w:rsidRDefault="00C857FA" w:rsidP="00563974">
      <w:pPr>
        <w:pStyle w:val="TableFooter"/>
        <w:widowControl/>
      </w:pPr>
      <w:proofErr w:type="spellStart"/>
      <w:r w:rsidRPr="000E4517">
        <w:rPr>
          <w:i/>
        </w:rPr>
        <w:t>BRCA</w:t>
      </w:r>
      <w:r w:rsidRPr="006731D1">
        <w:t>m</w:t>
      </w:r>
      <w:proofErr w:type="spellEnd"/>
      <w:r>
        <w:t xml:space="preserve"> = </w:t>
      </w:r>
      <w:r w:rsidRPr="000E4517">
        <w:rPr>
          <w:i/>
        </w:rPr>
        <w:t xml:space="preserve">BRCA1/2 </w:t>
      </w:r>
      <w:r>
        <w:t>mutation; ICER= incremental cost-effectiveness ratio; LY = life year; MSAC =</w:t>
      </w:r>
      <w:r w:rsidRPr="000E4517">
        <w:t xml:space="preserve"> Medi</w:t>
      </w:r>
      <w:r>
        <w:t xml:space="preserve">cal Services Advisory Committee; PBAC = </w:t>
      </w:r>
      <w:r w:rsidRPr="005F3D96">
        <w:t>Pharmaceutical Benefits Advisory Committee</w:t>
      </w:r>
      <w:r>
        <w:t>; QALY = quality adjusted life year</w:t>
      </w:r>
    </w:p>
    <w:p w:rsidR="00C857FA" w:rsidRDefault="00C857FA" w:rsidP="00563974">
      <w:pPr>
        <w:pStyle w:val="TableFooter"/>
        <w:widowControl/>
      </w:pPr>
      <w:r>
        <w:t>Source: Constructed during the evaluation based on results presented in Section 3A.8 of the submission</w:t>
      </w:r>
    </w:p>
    <w:p w:rsidR="00060E0F" w:rsidRPr="00DE7812" w:rsidRDefault="00956C03" w:rsidP="00563974">
      <w:pPr>
        <w:pStyle w:val="ListParagraph"/>
        <w:numPr>
          <w:ilvl w:val="4"/>
          <w:numId w:val="1"/>
        </w:numPr>
      </w:pPr>
      <w:r w:rsidRPr="005B305D">
        <w:t xml:space="preserve">When the base-case in the economic analysis presented in the submission </w:t>
      </w:r>
      <w:r w:rsidR="00983141">
        <w:t>wa</w:t>
      </w:r>
      <w:r w:rsidRPr="005B305D">
        <w:t>s re-specified such that survival is no different across the arms, and more reasonabl</w:t>
      </w:r>
      <w:r w:rsidR="00F75903" w:rsidRPr="005B305D">
        <w:t>e</w:t>
      </w:r>
      <w:r w:rsidRPr="005B305D">
        <w:t xml:space="preserve"> estimates of utility (quality of life) for patients following progression or second progression </w:t>
      </w:r>
      <w:r w:rsidR="00983141">
        <w:t>were</w:t>
      </w:r>
      <w:r w:rsidR="00983141" w:rsidRPr="005B305D">
        <w:t xml:space="preserve"> </w:t>
      </w:r>
      <w:r w:rsidRPr="005B305D">
        <w:t xml:space="preserve">applied, there </w:t>
      </w:r>
      <w:r w:rsidR="00983141">
        <w:t>wa</w:t>
      </w:r>
      <w:r w:rsidRPr="005B305D">
        <w:t xml:space="preserve">s </w:t>
      </w:r>
      <w:r w:rsidR="003026DC">
        <w:t>reduced</w:t>
      </w:r>
      <w:r w:rsidR="00772613" w:rsidRPr="005B305D">
        <w:t xml:space="preserve"> </w:t>
      </w:r>
      <w:r w:rsidRPr="005B305D">
        <w:t xml:space="preserve">benefit related to early (first-line) use of </w:t>
      </w:r>
      <w:proofErr w:type="spellStart"/>
      <w:r w:rsidRPr="005B305D">
        <w:t>olaparib</w:t>
      </w:r>
      <w:proofErr w:type="spellEnd"/>
      <w:r w:rsidRPr="005B305D">
        <w:t xml:space="preserve"> compared</w:t>
      </w:r>
      <w:r w:rsidR="001278E5" w:rsidRPr="005B305D">
        <w:t xml:space="preserve"> with</w:t>
      </w:r>
      <w:r w:rsidRPr="005B305D">
        <w:t xml:space="preserve"> the second-line use of </w:t>
      </w:r>
      <w:proofErr w:type="spellStart"/>
      <w:r w:rsidRPr="005B305D">
        <w:t>olaparib</w:t>
      </w:r>
      <w:proofErr w:type="spellEnd"/>
      <w:r w:rsidR="00964C8E">
        <w:t xml:space="preserve"> (scenario 1)</w:t>
      </w:r>
      <w:r w:rsidRPr="005B305D">
        <w:t>.</w:t>
      </w:r>
      <w:r w:rsidR="00140656" w:rsidRPr="005B305D">
        <w:t xml:space="preserve"> </w:t>
      </w:r>
      <w:r w:rsidR="002D1086" w:rsidRPr="005B305D">
        <w:t>The move from second-line to first-line use is associated with small QALY gains</w:t>
      </w:r>
      <w:r w:rsidR="002D1086" w:rsidRPr="00DE7812">
        <w:t xml:space="preserve"> </w:t>
      </w:r>
      <w:r w:rsidR="003026DC" w:rsidRPr="00DE7812">
        <w:t xml:space="preserve">from reduced time in PFS2 </w:t>
      </w:r>
      <w:r w:rsidR="002D1086" w:rsidRPr="00DE7812">
        <w:t>(0.</w:t>
      </w:r>
      <w:r w:rsidR="00964C8E" w:rsidRPr="00DE7812">
        <w:t>0512</w:t>
      </w:r>
      <w:r w:rsidR="00036FAA" w:rsidRPr="00DE7812">
        <w:t xml:space="preserve"> QALYs</w:t>
      </w:r>
      <w:r w:rsidR="002D1086" w:rsidRPr="00DE7812">
        <w:t>)</w:t>
      </w:r>
      <w:r w:rsidR="00CA2784" w:rsidRPr="00DE7812">
        <w:t>. This move also is associated with</w:t>
      </w:r>
      <w:r w:rsidR="002D1086" w:rsidRPr="00DE7812">
        <w:t xml:space="preserve"> </w:t>
      </w:r>
      <w:r w:rsidR="002D1086" w:rsidRPr="005B305D">
        <w:t>significant additional cost ($</w:t>
      </w:r>
      <w:r w:rsidR="005C3678">
        <w:rPr>
          <w:noProof/>
          <w:color w:val="000000"/>
          <w:highlight w:val="black"/>
        </w:rPr>
        <w:t>'''''''''''''</w:t>
      </w:r>
      <w:r w:rsidR="002D1086" w:rsidRPr="005B305D">
        <w:t xml:space="preserve">) due to an increase in the </w:t>
      </w:r>
      <w:r w:rsidR="009126A0">
        <w:t>proportion</w:t>
      </w:r>
      <w:r w:rsidR="009126A0" w:rsidRPr="005B305D">
        <w:t xml:space="preserve"> </w:t>
      </w:r>
      <w:r w:rsidR="002D1086" w:rsidRPr="005B305D">
        <w:t xml:space="preserve">of patients receiving </w:t>
      </w:r>
      <w:proofErr w:type="spellStart"/>
      <w:r w:rsidR="002D1086" w:rsidRPr="005B305D">
        <w:t>olaparib</w:t>
      </w:r>
      <w:proofErr w:type="spellEnd"/>
      <w:r w:rsidR="002D1086" w:rsidRPr="005B305D">
        <w:t xml:space="preserve">, resulting in a </w:t>
      </w:r>
      <w:r w:rsidR="00CA2784">
        <w:t>high</w:t>
      </w:r>
      <w:r w:rsidR="002D1086" w:rsidRPr="005B305D">
        <w:t xml:space="preserve"> ICER. </w:t>
      </w:r>
      <w:r w:rsidR="00036FAA" w:rsidRPr="00DE7812">
        <w:t xml:space="preserve">The ESC noted that </w:t>
      </w:r>
      <w:r w:rsidR="008E3EAF" w:rsidRPr="00DE7812">
        <w:t xml:space="preserve">the submission </w:t>
      </w:r>
      <w:r w:rsidR="00CA2784" w:rsidRPr="00DE7812">
        <w:t xml:space="preserve">model </w:t>
      </w:r>
      <w:r w:rsidR="005A3080" w:rsidRPr="00DE7812">
        <w:t xml:space="preserve">assumed </w:t>
      </w:r>
      <w:r w:rsidR="00EE266B" w:rsidRPr="00DE7812">
        <w:t>that</w:t>
      </w:r>
      <w:r w:rsidR="00CA2784" w:rsidRPr="00DE7812">
        <w:t>,</w:t>
      </w:r>
      <w:r w:rsidR="00EE266B" w:rsidRPr="00DE7812">
        <w:t xml:space="preserve"> of patients not treated with </w:t>
      </w:r>
      <w:proofErr w:type="spellStart"/>
      <w:r w:rsidR="00EE266B" w:rsidRPr="00DE7812">
        <w:t>olaparib</w:t>
      </w:r>
      <w:proofErr w:type="spellEnd"/>
      <w:r w:rsidR="00EE266B" w:rsidRPr="00DE7812">
        <w:t xml:space="preserve"> in the first-line setting, 51% of patients who progressed (</w:t>
      </w:r>
      <w:r w:rsidR="00CA2784" w:rsidRPr="00DE7812">
        <w:t>37.4</w:t>
      </w:r>
      <w:r w:rsidR="005A3080" w:rsidRPr="00DE7812">
        <w:t xml:space="preserve">% </w:t>
      </w:r>
      <w:r w:rsidR="00EE266B" w:rsidRPr="00DE7812">
        <w:t xml:space="preserve">of patients overall) </w:t>
      </w:r>
      <w:r w:rsidR="008E3EAF" w:rsidRPr="00DE7812">
        <w:t xml:space="preserve">would receive </w:t>
      </w:r>
      <w:proofErr w:type="spellStart"/>
      <w:r w:rsidR="008E3EAF" w:rsidRPr="00DE7812">
        <w:t>olaparib</w:t>
      </w:r>
      <w:proofErr w:type="spellEnd"/>
      <w:r w:rsidR="008E3EAF" w:rsidRPr="00DE7812">
        <w:t xml:space="preserve"> in the second-line treatment setting.</w:t>
      </w:r>
      <w:r w:rsidR="000357D1" w:rsidRPr="00DE7812">
        <w:t xml:space="preserve"> The ESC noted that the respecified base case used the same monthly costs for first-line and second-line </w:t>
      </w:r>
      <w:proofErr w:type="spellStart"/>
      <w:r w:rsidR="000357D1" w:rsidRPr="00DE7812">
        <w:t>olaparib</w:t>
      </w:r>
      <w:proofErr w:type="spellEnd"/>
      <w:r w:rsidR="000357D1" w:rsidRPr="00DE7812">
        <w:t>. The ESC also noted that in the proposed listing for the first-line setting</w:t>
      </w:r>
      <w:r w:rsidR="00831AD3">
        <w:t>,</w:t>
      </w:r>
      <w:r w:rsidR="000357D1" w:rsidRPr="00DE7812">
        <w:t xml:space="preserve"> patients with complete response stop </w:t>
      </w:r>
      <w:proofErr w:type="spellStart"/>
      <w:r w:rsidR="000357D1" w:rsidRPr="00DE7812">
        <w:t>olaparib</w:t>
      </w:r>
      <w:proofErr w:type="spellEnd"/>
      <w:r w:rsidR="000357D1" w:rsidRPr="00DE7812">
        <w:t xml:space="preserve"> treatment after 24 months, whereas patients receiving second</w:t>
      </w:r>
      <w:r w:rsidR="00CC1DEF">
        <w:t>-</w:t>
      </w:r>
      <w:r w:rsidR="000357D1" w:rsidRPr="00DE7812">
        <w:t xml:space="preserve">line </w:t>
      </w:r>
      <w:proofErr w:type="spellStart"/>
      <w:r w:rsidR="000357D1" w:rsidRPr="00DE7812">
        <w:t>olaparib</w:t>
      </w:r>
      <w:proofErr w:type="spellEnd"/>
      <w:r w:rsidR="000357D1" w:rsidRPr="00DE7812">
        <w:t xml:space="preserve"> maintenance remain on treatment until disease progression. In the model, the proportion of patients on treatment was based on TTD data from SOLO1 for first-line use and TTD data from Study 19 for second-line use.</w:t>
      </w:r>
      <w:r w:rsidR="00E0240C" w:rsidRPr="00DE7812">
        <w:t xml:space="preserve"> As such, the incremental cost for the </w:t>
      </w:r>
      <w:proofErr w:type="spellStart"/>
      <w:r w:rsidR="00E0240C" w:rsidRPr="00DE7812">
        <w:t>olaparib</w:t>
      </w:r>
      <w:proofErr w:type="spellEnd"/>
      <w:r w:rsidR="00E0240C" w:rsidRPr="00DE7812">
        <w:t xml:space="preserve"> arm appears to be due to the additional patients treated with first-line </w:t>
      </w:r>
      <w:proofErr w:type="spellStart"/>
      <w:r w:rsidR="00E0240C" w:rsidRPr="00DE7812">
        <w:t>olaparib</w:t>
      </w:r>
      <w:proofErr w:type="spellEnd"/>
      <w:r w:rsidR="00E0240C" w:rsidRPr="00DE7812">
        <w:t xml:space="preserve"> rather than a higher cost per patient. </w:t>
      </w:r>
    </w:p>
    <w:p w:rsidR="00181840" w:rsidRPr="00DE7812" w:rsidRDefault="00CA2784" w:rsidP="00563974">
      <w:pPr>
        <w:pStyle w:val="ListParagraph"/>
      </w:pPr>
      <w:r w:rsidRPr="00DE7812">
        <w:t>The PSCR argued</w:t>
      </w:r>
      <w:r w:rsidR="00A06274" w:rsidRPr="00DE7812">
        <w:t xml:space="preserve"> that </w:t>
      </w:r>
      <w:r w:rsidRPr="00DE7812">
        <w:t xml:space="preserve">the remaining patients </w:t>
      </w:r>
      <w:r w:rsidR="00444C24" w:rsidRPr="00DE7812">
        <w:t xml:space="preserve">in the </w:t>
      </w:r>
      <w:r w:rsidRPr="00DE7812">
        <w:t>comparator arm</w:t>
      </w:r>
      <w:r w:rsidR="00444C24" w:rsidRPr="00DE7812">
        <w:t>,</w:t>
      </w:r>
      <w:r w:rsidRPr="00DE7812">
        <w:t xml:space="preserve"> who</w:t>
      </w:r>
      <w:r w:rsidR="00444C24" w:rsidRPr="00DE7812">
        <w:t xml:space="preserve"> do not receive a second-line PARP inhibitor</w:t>
      </w:r>
      <w:r w:rsidR="00CE397C" w:rsidRPr="00DE7812">
        <w:t xml:space="preserve"> (for example patients who are not well enough or do not respond to second-line platinum-based chemotherapy)</w:t>
      </w:r>
      <w:r w:rsidR="00444C24" w:rsidRPr="00DE7812">
        <w:t xml:space="preserve"> </w:t>
      </w:r>
      <w:r w:rsidR="00CE397C" w:rsidRPr="00DE7812">
        <w:t xml:space="preserve">would be expected to have outcomes consistent with </w:t>
      </w:r>
      <w:r w:rsidR="00060E0F" w:rsidRPr="00DE7812">
        <w:t>the AOC</w:t>
      </w:r>
      <w:r w:rsidR="00983141">
        <w:t>S</w:t>
      </w:r>
      <w:r w:rsidR="00060E0F" w:rsidRPr="00DE7812">
        <w:t xml:space="preserve"> cohort</w:t>
      </w:r>
      <w:r w:rsidR="00444C24" w:rsidRPr="00DE7812">
        <w:t>. The ESC</w:t>
      </w:r>
      <w:r w:rsidR="000357D1" w:rsidRPr="00DE7812">
        <w:t xml:space="preserve"> </w:t>
      </w:r>
      <w:r w:rsidR="00E0240C" w:rsidRPr="00DE7812">
        <w:t>considered</w:t>
      </w:r>
      <w:r w:rsidR="00444C24" w:rsidRPr="00DE7812">
        <w:t xml:space="preserve"> </w:t>
      </w:r>
      <w:r w:rsidR="00060E0F" w:rsidRPr="00DE7812">
        <w:t xml:space="preserve">that there </w:t>
      </w:r>
      <w:r w:rsidR="00E0240C" w:rsidRPr="00DE7812">
        <w:t>are</w:t>
      </w:r>
      <w:r w:rsidR="000357D1" w:rsidRPr="00DE7812">
        <w:t xml:space="preserve"> likely to</w:t>
      </w:r>
      <w:r w:rsidR="00060E0F" w:rsidRPr="00DE7812">
        <w:t xml:space="preserve"> be patients who receive </w:t>
      </w:r>
      <w:proofErr w:type="spellStart"/>
      <w:r w:rsidR="00060E0F" w:rsidRPr="00DE7812">
        <w:t>olaparib</w:t>
      </w:r>
      <w:proofErr w:type="spellEnd"/>
      <w:r w:rsidR="00060E0F" w:rsidRPr="00DE7812">
        <w:t xml:space="preserve"> first-line who would otherwise not be eligible for second-line</w:t>
      </w:r>
      <w:r w:rsidR="00E0240C" w:rsidRPr="00DE7812">
        <w:t xml:space="preserve"> </w:t>
      </w:r>
      <w:proofErr w:type="spellStart"/>
      <w:r w:rsidR="00E0240C" w:rsidRPr="00DE7812">
        <w:t>olaparib</w:t>
      </w:r>
      <w:proofErr w:type="spellEnd"/>
      <w:r w:rsidR="00060E0F" w:rsidRPr="00DE7812">
        <w:t xml:space="preserve"> treatment</w:t>
      </w:r>
      <w:r w:rsidR="00363E5F">
        <w:t>,</w:t>
      </w:r>
      <w:r w:rsidR="00060E0F" w:rsidRPr="00DE7812">
        <w:t xml:space="preserve"> and it may be reasonable to assume </w:t>
      </w:r>
      <w:r w:rsidR="000357D1" w:rsidRPr="00DE7812">
        <w:t xml:space="preserve">that access to first-line </w:t>
      </w:r>
      <w:proofErr w:type="spellStart"/>
      <w:r w:rsidR="000357D1" w:rsidRPr="00DE7812">
        <w:t>olaparib</w:t>
      </w:r>
      <w:proofErr w:type="spellEnd"/>
      <w:r w:rsidR="000357D1" w:rsidRPr="00DE7812">
        <w:t xml:space="preserve"> would result in a</w:t>
      </w:r>
      <w:r w:rsidR="00060E0F" w:rsidRPr="00DE7812">
        <w:t xml:space="preserve"> survival benefit for these patients. However</w:t>
      </w:r>
      <w:r w:rsidR="000357D1" w:rsidRPr="00DE7812">
        <w:t>,</w:t>
      </w:r>
      <w:r w:rsidR="00060E0F" w:rsidRPr="00DE7812">
        <w:t xml:space="preserve"> the ESC </w:t>
      </w:r>
      <w:r w:rsidR="00444C24" w:rsidRPr="00DE7812">
        <w:t xml:space="preserve">considered </w:t>
      </w:r>
      <w:r w:rsidR="00E0240C" w:rsidRPr="00DE7812">
        <w:t>that</w:t>
      </w:r>
      <w:r w:rsidR="000357D1" w:rsidRPr="00DE7812">
        <w:t xml:space="preserve"> the modelled difference in</w:t>
      </w:r>
      <w:r w:rsidR="00A06274" w:rsidRPr="00DE7812">
        <w:t xml:space="preserve"> OS was not supported </w:t>
      </w:r>
      <w:r w:rsidR="00A06274" w:rsidRPr="00DE7812">
        <w:lastRenderedPageBreak/>
        <w:t>by the observed data from SOLO1</w:t>
      </w:r>
      <w:r w:rsidR="00060E0F" w:rsidRPr="00DE7812">
        <w:t xml:space="preserve"> and the approach </w:t>
      </w:r>
      <w:r w:rsidR="00E0240C" w:rsidRPr="00DE7812">
        <w:t xml:space="preserve">to modelling OS in the submission </w:t>
      </w:r>
      <w:r w:rsidR="00060E0F" w:rsidRPr="00DE7812">
        <w:t>relied on assumptions that may not be reasonable.</w:t>
      </w:r>
    </w:p>
    <w:p w:rsidR="00C857FA" w:rsidRPr="00DE7812" w:rsidRDefault="009126A0" w:rsidP="00563974">
      <w:pPr>
        <w:pStyle w:val="ListParagraph"/>
        <w:numPr>
          <w:ilvl w:val="4"/>
          <w:numId w:val="1"/>
        </w:numPr>
      </w:pPr>
      <w:r w:rsidRPr="0066449A">
        <w:rPr>
          <w:color w:val="auto"/>
        </w:rPr>
        <w:t>T</w:t>
      </w:r>
      <w:r w:rsidR="00956C03" w:rsidRPr="0066449A">
        <w:rPr>
          <w:color w:val="auto"/>
        </w:rPr>
        <w:t xml:space="preserve">he model predicts </w:t>
      </w:r>
      <w:r w:rsidR="007B3D16" w:rsidRPr="0066449A">
        <w:rPr>
          <w:color w:val="auto"/>
        </w:rPr>
        <w:t xml:space="preserve">moving a patient with </w:t>
      </w:r>
      <w:proofErr w:type="spellStart"/>
      <w:r w:rsidR="007B3D16" w:rsidRPr="0066449A">
        <w:rPr>
          <w:color w:val="auto"/>
        </w:rPr>
        <w:t>s</w:t>
      </w:r>
      <w:r w:rsidR="007B3D16" w:rsidRPr="00181840">
        <w:rPr>
          <w:i/>
          <w:color w:val="auto"/>
        </w:rPr>
        <w:t>BRCA</w:t>
      </w:r>
      <w:r w:rsidR="007B3D16" w:rsidRPr="0066449A">
        <w:rPr>
          <w:color w:val="auto"/>
        </w:rPr>
        <w:t>m</w:t>
      </w:r>
      <w:proofErr w:type="spellEnd"/>
      <w:r w:rsidR="007B3D16" w:rsidRPr="0066449A">
        <w:rPr>
          <w:color w:val="auto"/>
        </w:rPr>
        <w:t xml:space="preserve"> from not receiving </w:t>
      </w:r>
      <w:proofErr w:type="spellStart"/>
      <w:r w:rsidR="007B3D16" w:rsidRPr="0066449A">
        <w:rPr>
          <w:color w:val="auto"/>
        </w:rPr>
        <w:t>olaparib</w:t>
      </w:r>
      <w:proofErr w:type="spellEnd"/>
      <w:r w:rsidR="007B3D16" w:rsidRPr="0066449A">
        <w:rPr>
          <w:color w:val="auto"/>
        </w:rPr>
        <w:t xml:space="preserve"> to receiving </w:t>
      </w:r>
      <w:proofErr w:type="spellStart"/>
      <w:r w:rsidR="007B3D16" w:rsidRPr="0066449A">
        <w:rPr>
          <w:color w:val="auto"/>
        </w:rPr>
        <w:t>olaparib</w:t>
      </w:r>
      <w:proofErr w:type="spellEnd"/>
      <w:r w:rsidR="007B3D16" w:rsidRPr="0066449A">
        <w:rPr>
          <w:color w:val="auto"/>
        </w:rPr>
        <w:t xml:space="preserve"> in the first-line setting</w:t>
      </w:r>
      <w:r w:rsidR="007B3D16">
        <w:rPr>
          <w:color w:val="auto"/>
        </w:rPr>
        <w:t xml:space="preserve"> would be associated with </w:t>
      </w:r>
      <w:r w:rsidR="00956C03" w:rsidRPr="0066449A">
        <w:rPr>
          <w:color w:val="auto"/>
        </w:rPr>
        <w:t xml:space="preserve">an </w:t>
      </w:r>
      <w:r w:rsidR="00E40D63" w:rsidRPr="0066449A">
        <w:rPr>
          <w:color w:val="auto"/>
        </w:rPr>
        <w:t xml:space="preserve">average </w:t>
      </w:r>
      <w:r w:rsidR="00956C03" w:rsidRPr="0066449A">
        <w:rPr>
          <w:color w:val="auto"/>
        </w:rPr>
        <w:t>increase of more than</w:t>
      </w:r>
      <w:r w:rsidR="00140656" w:rsidRPr="00963817">
        <w:rPr>
          <w:color w:val="auto"/>
        </w:rPr>
        <w:t xml:space="preserve"> </w:t>
      </w:r>
      <w:r w:rsidR="00F75903" w:rsidRPr="00963817">
        <w:rPr>
          <w:color w:val="auto"/>
        </w:rPr>
        <w:t>two</w:t>
      </w:r>
      <w:r w:rsidR="00956C03" w:rsidRPr="00963817">
        <w:rPr>
          <w:color w:val="auto"/>
        </w:rPr>
        <w:t xml:space="preserve"> additional life years</w:t>
      </w:r>
      <w:r w:rsidR="00CE5ED9" w:rsidRPr="0066449A">
        <w:rPr>
          <w:color w:val="auto"/>
        </w:rPr>
        <w:t xml:space="preserve"> (2.33 life years gained; or 2.82 progression free life years</w:t>
      </w:r>
      <w:r w:rsidR="00A7549D" w:rsidRPr="0066449A">
        <w:rPr>
          <w:color w:val="auto"/>
        </w:rPr>
        <w:t xml:space="preserve"> gained</w:t>
      </w:r>
      <w:r w:rsidR="00CE5ED9" w:rsidRPr="00DE7812">
        <w:rPr>
          <w:color w:val="auto"/>
        </w:rPr>
        <w:t>)</w:t>
      </w:r>
      <w:r w:rsidR="007B3D16">
        <w:rPr>
          <w:color w:val="auto"/>
        </w:rPr>
        <w:t>,</w:t>
      </w:r>
      <w:r w:rsidR="00956C03" w:rsidRPr="00DE7812">
        <w:rPr>
          <w:color w:val="auto"/>
        </w:rPr>
        <w:t xml:space="preserve"> </w:t>
      </w:r>
      <w:r w:rsidR="00181840" w:rsidRPr="00DE7812">
        <w:rPr>
          <w:color w:val="auto"/>
        </w:rPr>
        <w:t>1.91 additional QALYs</w:t>
      </w:r>
      <w:r w:rsidR="007B3D16">
        <w:rPr>
          <w:color w:val="auto"/>
        </w:rPr>
        <w:t>,</w:t>
      </w:r>
      <w:r w:rsidR="00181840">
        <w:rPr>
          <w:color w:val="auto"/>
        </w:rPr>
        <w:t xml:space="preserve"> </w:t>
      </w:r>
      <w:r w:rsidR="00CD63B5" w:rsidRPr="00DE7812">
        <w:rPr>
          <w:color w:val="auto"/>
        </w:rPr>
        <w:t>and an ICER of $</w:t>
      </w:r>
      <w:r w:rsidR="009F1730">
        <w:rPr>
          <w:color w:val="auto"/>
        </w:rPr>
        <w:t>45,000 - $75,000</w:t>
      </w:r>
      <w:r w:rsidR="00CD63B5" w:rsidRPr="00DE7812">
        <w:rPr>
          <w:color w:val="auto"/>
        </w:rPr>
        <w:t xml:space="preserve"> per QALY</w:t>
      </w:r>
      <w:r w:rsidR="00956C03" w:rsidRPr="00DE7812">
        <w:rPr>
          <w:color w:val="auto"/>
        </w:rPr>
        <w:t>.</w:t>
      </w:r>
      <w:r w:rsidR="00F75903" w:rsidRPr="00DE7812">
        <w:rPr>
          <w:color w:val="auto"/>
        </w:rPr>
        <w:t xml:space="preserve"> </w:t>
      </w:r>
      <w:r w:rsidR="00036FAA" w:rsidRPr="00DE7812">
        <w:rPr>
          <w:b/>
          <w:color w:val="auto"/>
        </w:rPr>
        <w:t xml:space="preserve"> </w:t>
      </w:r>
      <w:r w:rsidR="00036FAA" w:rsidRPr="00DE7812">
        <w:rPr>
          <w:color w:val="auto"/>
        </w:rPr>
        <w:t xml:space="preserve">The ESC noted that in the </w:t>
      </w:r>
      <w:proofErr w:type="spellStart"/>
      <w:r w:rsidR="00036FAA" w:rsidRPr="00DE7812">
        <w:rPr>
          <w:color w:val="auto"/>
        </w:rPr>
        <w:t>s</w:t>
      </w:r>
      <w:r w:rsidR="00036FAA" w:rsidRPr="00754232">
        <w:rPr>
          <w:i/>
          <w:iCs/>
          <w:color w:val="auto"/>
        </w:rPr>
        <w:t>BRCA</w:t>
      </w:r>
      <w:r w:rsidR="00036FAA" w:rsidRPr="00DE7812">
        <w:rPr>
          <w:color w:val="auto"/>
        </w:rPr>
        <w:t>m</w:t>
      </w:r>
      <w:proofErr w:type="spellEnd"/>
      <w:r w:rsidR="00036FAA" w:rsidRPr="00DE7812">
        <w:rPr>
          <w:color w:val="auto"/>
        </w:rPr>
        <w:t xml:space="preserve"> patients, who would move from no treatment with </w:t>
      </w:r>
      <w:proofErr w:type="spellStart"/>
      <w:r w:rsidR="00036FAA" w:rsidRPr="00DE7812">
        <w:rPr>
          <w:color w:val="auto"/>
        </w:rPr>
        <w:t>olaparib</w:t>
      </w:r>
      <w:proofErr w:type="spellEnd"/>
      <w:r w:rsidR="00036FAA" w:rsidRPr="00DE7812">
        <w:rPr>
          <w:color w:val="auto"/>
        </w:rPr>
        <w:t xml:space="preserve"> to first-line treatment with </w:t>
      </w:r>
      <w:proofErr w:type="spellStart"/>
      <w:r w:rsidR="00036FAA" w:rsidRPr="00DE7812">
        <w:rPr>
          <w:color w:val="auto"/>
        </w:rPr>
        <w:t>olaparib</w:t>
      </w:r>
      <w:proofErr w:type="spellEnd"/>
      <w:r w:rsidR="00036FAA" w:rsidRPr="00DE7812">
        <w:rPr>
          <w:color w:val="auto"/>
        </w:rPr>
        <w:t>, it may be reasonable to assume an OS benefit in line with that shown in Study 19.</w:t>
      </w:r>
      <w:r w:rsidR="00036FAA" w:rsidRPr="00DE7812">
        <w:rPr>
          <w:b/>
          <w:color w:val="auto"/>
        </w:rPr>
        <w:t xml:space="preserve"> </w:t>
      </w:r>
      <w:r w:rsidR="0000433A" w:rsidRPr="00DE7812">
        <w:t xml:space="preserve">The ESC noted that the overall ICER in scenario 2 is substantially reduced by the introduction of </w:t>
      </w:r>
      <w:proofErr w:type="spellStart"/>
      <w:r w:rsidR="0000433A" w:rsidRPr="00DE7812">
        <w:t>olaparib</w:t>
      </w:r>
      <w:proofErr w:type="spellEnd"/>
      <w:r w:rsidR="0000433A" w:rsidRPr="00DE7812">
        <w:t xml:space="preserve"> maintenance therapy to </w:t>
      </w:r>
      <w:proofErr w:type="spellStart"/>
      <w:r w:rsidR="00BF2D78" w:rsidRPr="00DE7812">
        <w:t>s</w:t>
      </w:r>
      <w:r w:rsidR="00BF2D78" w:rsidRPr="00754232">
        <w:rPr>
          <w:i/>
        </w:rPr>
        <w:t>BRCA</w:t>
      </w:r>
      <w:r w:rsidR="00BF2D78" w:rsidRPr="00DE7812">
        <w:t>m</w:t>
      </w:r>
      <w:proofErr w:type="spellEnd"/>
      <w:r w:rsidR="0000433A" w:rsidRPr="00DE7812">
        <w:t xml:space="preserve"> patients, who previously had no access to </w:t>
      </w:r>
      <w:proofErr w:type="spellStart"/>
      <w:r w:rsidR="0000433A" w:rsidRPr="00DE7812">
        <w:t>olaparib</w:t>
      </w:r>
      <w:proofErr w:type="spellEnd"/>
      <w:r w:rsidR="0000433A" w:rsidRPr="00DE7812">
        <w:t xml:space="preserve"> first or second line. </w:t>
      </w:r>
      <w:r w:rsidR="00BF2D78" w:rsidRPr="00DE7812">
        <w:t xml:space="preserve">The ESC noted that the benefits associated with </w:t>
      </w:r>
      <w:proofErr w:type="spellStart"/>
      <w:r w:rsidR="00BF2D78" w:rsidRPr="00DE7812">
        <w:t>olaparib</w:t>
      </w:r>
      <w:proofErr w:type="spellEnd"/>
      <w:r w:rsidR="00BF2D78" w:rsidRPr="00DE7812">
        <w:t xml:space="preserve"> treatment for patients with </w:t>
      </w:r>
      <w:proofErr w:type="spellStart"/>
      <w:r w:rsidR="00BF2D78" w:rsidRPr="00DE7812">
        <w:t>s</w:t>
      </w:r>
      <w:r w:rsidR="00BF2D78" w:rsidRPr="00754232">
        <w:rPr>
          <w:i/>
        </w:rPr>
        <w:t>BRCA</w:t>
      </w:r>
      <w:r w:rsidR="00BF2D78" w:rsidRPr="00DE7812">
        <w:t>m</w:t>
      </w:r>
      <w:proofErr w:type="spellEnd"/>
      <w:r w:rsidR="00BF2D78" w:rsidRPr="00DE7812">
        <w:t xml:space="preserve"> were consistent with those presented </w:t>
      </w:r>
      <w:r w:rsidR="00181840" w:rsidRPr="00DE7812">
        <w:t xml:space="preserve">for </w:t>
      </w:r>
      <w:proofErr w:type="spellStart"/>
      <w:r w:rsidR="00181840" w:rsidRPr="00DE7812">
        <w:t>g</w:t>
      </w:r>
      <w:r w:rsidR="00181840" w:rsidRPr="00754232">
        <w:rPr>
          <w:i/>
        </w:rPr>
        <w:t>BRCA</w:t>
      </w:r>
      <w:r w:rsidR="00181840" w:rsidRPr="00DE7812">
        <w:t>m</w:t>
      </w:r>
      <w:proofErr w:type="spellEnd"/>
      <w:r w:rsidR="00181840" w:rsidRPr="00DE7812">
        <w:t xml:space="preserve"> patients </w:t>
      </w:r>
      <w:r w:rsidR="00BF2D78" w:rsidRPr="00DE7812">
        <w:t xml:space="preserve">in the </w:t>
      </w:r>
      <w:r w:rsidR="009545E6" w:rsidRPr="00DE7812">
        <w:t xml:space="preserve">March 2016 </w:t>
      </w:r>
      <w:r w:rsidR="00181840" w:rsidRPr="00DE7812">
        <w:t xml:space="preserve">PBAC </w:t>
      </w:r>
      <w:r w:rsidR="00BF2D78" w:rsidRPr="00DE7812">
        <w:t>submission for the second-line setting</w:t>
      </w:r>
      <w:r w:rsidR="00181840" w:rsidRPr="00DE7812">
        <w:t xml:space="preserve"> (1.73 QALYs)</w:t>
      </w:r>
      <w:r w:rsidR="00BF2D78" w:rsidRPr="00DE7812">
        <w:t xml:space="preserve">. </w:t>
      </w:r>
    </w:p>
    <w:p w:rsidR="00C857FA" w:rsidRPr="00DE7812" w:rsidRDefault="003A3A04" w:rsidP="00563974">
      <w:pPr>
        <w:pStyle w:val="ListParagraph"/>
        <w:numPr>
          <w:ilvl w:val="4"/>
          <w:numId w:val="1"/>
        </w:numPr>
      </w:pPr>
      <w:r>
        <w:t>Results of u</w:t>
      </w:r>
      <w:r w:rsidR="00C857FA">
        <w:t>nivariate sensitivity analyses around the respecified base case conducted during the evaluation</w:t>
      </w:r>
      <w:r>
        <w:t xml:space="preserve"> are presented in the table </w:t>
      </w:r>
      <w:r w:rsidRPr="002D68B8">
        <w:t>below</w:t>
      </w:r>
      <w:r w:rsidR="00C857FA">
        <w:t>.</w:t>
      </w:r>
      <w:r w:rsidR="00D87BE1">
        <w:t xml:space="preserve"> </w:t>
      </w:r>
      <w:r w:rsidR="006A239D">
        <w:t xml:space="preserve"> </w:t>
      </w:r>
    </w:p>
    <w:p w:rsidR="003A3A04" w:rsidRDefault="00563974" w:rsidP="00563974">
      <w:pPr>
        <w:pStyle w:val="Caption"/>
        <w:keepNext w:val="0"/>
        <w:ind w:left="1418" w:hanging="1418"/>
      </w:pPr>
      <w:r>
        <w:t xml:space="preserve">Table </w:t>
      </w:r>
      <w:r w:rsidR="00A75368">
        <w:rPr>
          <w:noProof/>
        </w:rPr>
        <w:t>14</w:t>
      </w:r>
      <w:r>
        <w:rPr>
          <w:noProof/>
        </w:rPr>
        <w:t xml:space="preserve">: </w:t>
      </w:r>
      <w:r w:rsidR="003A3A04" w:rsidRPr="007279FA">
        <w:t>Results of sensitivity analyses around re-specified base case</w:t>
      </w:r>
      <w:r w:rsidR="0000433A">
        <w:t xml:space="preserve"> </w:t>
      </w:r>
      <w:r w:rsidR="008F152E">
        <w:t>(scenario 2)</w:t>
      </w:r>
      <w:r w:rsidR="003A3A04" w:rsidRPr="007279FA">
        <w:t xml:space="preserve"> performed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93"/>
        <w:gridCol w:w="1040"/>
        <w:gridCol w:w="1042"/>
        <w:gridCol w:w="1241"/>
      </w:tblGrid>
      <w:tr w:rsidR="001278E5" w:rsidRPr="004E3237" w:rsidTr="003825BB">
        <w:trPr>
          <w:tblHeader/>
        </w:trPr>
        <w:tc>
          <w:tcPr>
            <w:tcW w:w="3157"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rPr>
                <w:b/>
              </w:rPr>
            </w:pPr>
            <w:r w:rsidRPr="009126A0">
              <w:rPr>
                <w:b/>
              </w:rPr>
              <w:t>Variable or assumption</w:t>
            </w:r>
          </w:p>
        </w:tc>
        <w:tc>
          <w:tcPr>
            <w:tcW w:w="577"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rPr>
                <w:b/>
              </w:rPr>
            </w:pPr>
            <w:r w:rsidRPr="009126A0">
              <w:rPr>
                <w:b/>
              </w:rPr>
              <w:t>∆ costs</w:t>
            </w:r>
          </w:p>
        </w:tc>
        <w:tc>
          <w:tcPr>
            <w:tcW w:w="578"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rPr>
                <w:b/>
              </w:rPr>
            </w:pPr>
            <w:r w:rsidRPr="009126A0">
              <w:rPr>
                <w:b/>
              </w:rPr>
              <w:t xml:space="preserve">∆ </w:t>
            </w:r>
            <w:r w:rsidR="00574EEC" w:rsidRPr="009126A0">
              <w:rPr>
                <w:b/>
              </w:rPr>
              <w:t>QALY</w:t>
            </w:r>
          </w:p>
        </w:tc>
        <w:tc>
          <w:tcPr>
            <w:tcW w:w="689"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rPr>
                <w:b/>
              </w:rPr>
            </w:pPr>
            <w:r w:rsidRPr="009126A0">
              <w:rPr>
                <w:b/>
              </w:rPr>
              <w:t>ICER</w:t>
            </w:r>
          </w:p>
        </w:tc>
      </w:tr>
      <w:tr w:rsidR="001278E5" w:rsidRPr="004E3237" w:rsidTr="003825BB">
        <w:trPr>
          <w:tblHeader/>
        </w:trPr>
        <w:tc>
          <w:tcPr>
            <w:tcW w:w="3157" w:type="pct"/>
            <w:tcBorders>
              <w:top w:val="single" w:sz="4" w:space="0" w:color="auto"/>
              <w:left w:val="single" w:sz="4" w:space="0" w:color="auto"/>
              <w:bottom w:val="single" w:sz="4" w:space="0" w:color="auto"/>
              <w:right w:val="nil"/>
            </w:tcBorders>
            <w:vAlign w:val="bottom"/>
          </w:tcPr>
          <w:p w:rsidR="001278E5" w:rsidRPr="009126A0" w:rsidRDefault="001278E5" w:rsidP="00563974">
            <w:pPr>
              <w:pStyle w:val="TableText"/>
              <w:widowControl/>
              <w:spacing w:line="257" w:lineRule="auto"/>
              <w:rPr>
                <w:b/>
              </w:rPr>
            </w:pPr>
            <w:proofErr w:type="spellStart"/>
            <w:r w:rsidRPr="009126A0">
              <w:rPr>
                <w:b/>
              </w:rPr>
              <w:t>Respecifed</w:t>
            </w:r>
            <w:proofErr w:type="spellEnd"/>
            <w:r w:rsidRPr="009126A0">
              <w:rPr>
                <w:b/>
              </w:rPr>
              <w:t xml:space="preserve"> base-case</w:t>
            </w:r>
            <w:r w:rsidR="008F1582">
              <w:rPr>
                <w:b/>
              </w:rPr>
              <w:t xml:space="preserve"> Scenario 2</w:t>
            </w:r>
          </w:p>
        </w:tc>
        <w:tc>
          <w:tcPr>
            <w:tcW w:w="57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rPr>
                <w:b/>
              </w:rPr>
            </w:pPr>
            <w:r w:rsidRPr="009126A0">
              <w:rPr>
                <w:b/>
                <w:iCs/>
                <w:color w:val="000000"/>
                <w:szCs w:val="20"/>
              </w:rPr>
              <w:t>$</w:t>
            </w:r>
            <w:r w:rsidR="005C3678">
              <w:rPr>
                <w:b/>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center"/>
          </w:tcPr>
          <w:p w:rsidR="001278E5" w:rsidRPr="005C3678" w:rsidRDefault="005C3678" w:rsidP="00563974">
            <w:pPr>
              <w:pStyle w:val="TableText"/>
              <w:widowControl/>
              <w:spacing w:line="257" w:lineRule="auto"/>
              <w:jc w:val="center"/>
              <w:rPr>
                <w:b/>
                <w:highlight w:val="black"/>
              </w:rPr>
            </w:pPr>
            <w:r>
              <w:rPr>
                <w:b/>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rPr>
                <w:b/>
              </w:rPr>
            </w:pPr>
            <w:r w:rsidRPr="009126A0">
              <w:rPr>
                <w:b/>
                <w:iCs/>
                <w:color w:val="000000"/>
                <w:szCs w:val="20"/>
              </w:rPr>
              <w:t>$</w:t>
            </w:r>
            <w:r w:rsidR="005C3678">
              <w:rPr>
                <w:b/>
                <w:iCs/>
                <w:noProof/>
                <w:color w:val="000000"/>
                <w:szCs w:val="20"/>
                <w:highlight w:val="black"/>
              </w:rPr>
              <w:t>'''''''''''''''</w:t>
            </w:r>
          </w:p>
        </w:tc>
      </w:tr>
      <w:tr w:rsidR="008F1582" w:rsidRPr="001259B8" w:rsidTr="003825BB">
        <w:tc>
          <w:tcPr>
            <w:tcW w:w="3157" w:type="pct"/>
            <w:tcBorders>
              <w:top w:val="single" w:sz="4" w:space="0" w:color="auto"/>
              <w:left w:val="single" w:sz="4" w:space="0" w:color="auto"/>
              <w:bottom w:val="single" w:sz="4" w:space="0" w:color="auto"/>
              <w:right w:val="single" w:sz="4" w:space="0" w:color="auto"/>
            </w:tcBorders>
            <w:vAlign w:val="bottom"/>
          </w:tcPr>
          <w:p w:rsidR="008F1582" w:rsidRPr="001259B8" w:rsidRDefault="008F1582" w:rsidP="00563974">
            <w:pPr>
              <w:pStyle w:val="TableText"/>
              <w:widowControl/>
              <w:spacing w:line="257" w:lineRule="auto"/>
              <w:rPr>
                <w:rFonts w:eastAsia="Times New Roman" w:cs="Times New Roman"/>
                <w:color w:val="000000" w:themeColor="text1"/>
              </w:rPr>
            </w:pPr>
            <w:r w:rsidRPr="001259B8">
              <w:rPr>
                <w:iCs/>
                <w:color w:val="000000" w:themeColor="text1"/>
              </w:rPr>
              <w:t>Time horizon 10 years; base-case 25 years</w:t>
            </w:r>
          </w:p>
        </w:tc>
        <w:tc>
          <w:tcPr>
            <w:tcW w:w="577" w:type="pct"/>
            <w:tcBorders>
              <w:top w:val="single" w:sz="4" w:space="0" w:color="auto"/>
              <w:left w:val="single" w:sz="4" w:space="0" w:color="auto"/>
              <w:bottom w:val="single" w:sz="4" w:space="0" w:color="auto"/>
              <w:right w:val="single" w:sz="4" w:space="0" w:color="auto"/>
            </w:tcBorders>
            <w:vAlign w:val="center"/>
          </w:tcPr>
          <w:p w:rsidR="008F1582" w:rsidRPr="001259B8" w:rsidRDefault="008F1582" w:rsidP="00563974">
            <w:pPr>
              <w:pStyle w:val="TableText"/>
              <w:widowControl/>
              <w:spacing w:line="257" w:lineRule="auto"/>
              <w:jc w:val="center"/>
              <w:rPr>
                <w:iCs/>
                <w:color w:val="000000" w:themeColor="text1"/>
                <w:szCs w:val="20"/>
              </w:rPr>
            </w:pPr>
            <w:r w:rsidRPr="001259B8">
              <w:rPr>
                <w:iCs/>
                <w:color w:val="000000" w:themeColor="text1"/>
              </w:rPr>
              <w:t>$</w:t>
            </w:r>
            <w:r w:rsidR="005C3678">
              <w:rPr>
                <w:iCs/>
                <w:noProof/>
                <w:color w:val="000000"/>
                <w:highlight w:val="black"/>
              </w:rPr>
              <w:t>''''''''''''''''</w:t>
            </w:r>
          </w:p>
        </w:tc>
        <w:tc>
          <w:tcPr>
            <w:tcW w:w="578" w:type="pct"/>
            <w:tcBorders>
              <w:top w:val="single" w:sz="4" w:space="0" w:color="auto"/>
              <w:left w:val="single" w:sz="4" w:space="0" w:color="auto"/>
              <w:bottom w:val="single" w:sz="4" w:space="0" w:color="auto"/>
              <w:right w:val="single" w:sz="4" w:space="0" w:color="auto"/>
            </w:tcBorders>
            <w:vAlign w:val="center"/>
          </w:tcPr>
          <w:p w:rsidR="008F1582" w:rsidRPr="005C3678" w:rsidRDefault="005C3678" w:rsidP="00563974">
            <w:pPr>
              <w:pStyle w:val="TableText"/>
              <w:widowControl/>
              <w:spacing w:line="257" w:lineRule="auto"/>
              <w:jc w:val="center"/>
              <w:rPr>
                <w:iCs/>
                <w:color w:val="000000" w:themeColor="text1"/>
                <w:szCs w:val="20"/>
                <w:highlight w:val="black"/>
              </w:rPr>
            </w:pPr>
            <w:r>
              <w:rPr>
                <w:iCs/>
                <w:noProof/>
                <w:color w:val="00000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8F1582" w:rsidRPr="001259B8" w:rsidRDefault="008F1582" w:rsidP="00563974">
            <w:pPr>
              <w:pStyle w:val="TableText"/>
              <w:widowControl/>
              <w:spacing w:line="257" w:lineRule="auto"/>
              <w:jc w:val="center"/>
              <w:rPr>
                <w:iCs/>
                <w:color w:val="000000" w:themeColor="text1"/>
                <w:szCs w:val="20"/>
              </w:rPr>
            </w:pPr>
            <w:r w:rsidRPr="001259B8">
              <w:rPr>
                <w:iCs/>
                <w:color w:val="000000" w:themeColor="text1"/>
              </w:rPr>
              <w:t>$</w:t>
            </w:r>
            <w:r w:rsidR="005C3678">
              <w:rPr>
                <w:iCs/>
                <w:noProof/>
                <w:color w:val="000000"/>
                <w:highlight w:val="black"/>
              </w:rPr>
              <w:t>'''''''''''''''''''</w:t>
            </w:r>
          </w:p>
        </w:tc>
      </w:tr>
      <w:tr w:rsidR="001278E5" w:rsidRPr="004E3237" w:rsidTr="003825BB">
        <w:tc>
          <w:tcPr>
            <w:tcW w:w="315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rPr>
                <w:rFonts w:eastAsia="Times New Roman" w:cs="Times New Roman"/>
              </w:rPr>
            </w:pPr>
            <w:r w:rsidRPr="009126A0">
              <w:rPr>
                <w:rFonts w:eastAsia="Times New Roman" w:cs="Times New Roman"/>
              </w:rPr>
              <w:t>Time horizon 15 years; base-case 25 years</w:t>
            </w:r>
          </w:p>
        </w:tc>
        <w:tc>
          <w:tcPr>
            <w:tcW w:w="57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center"/>
          </w:tcPr>
          <w:p w:rsidR="001278E5" w:rsidRPr="005C3678" w:rsidRDefault="005C3678" w:rsidP="00563974">
            <w:pPr>
              <w:pStyle w:val="TableText"/>
              <w:widowControl/>
              <w:spacing w:line="257" w:lineRule="auto"/>
              <w:jc w:val="center"/>
              <w:rPr>
                <w:highlight w:val="black"/>
              </w:rPr>
            </w:pPr>
            <w:r>
              <w:rPr>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r>
      <w:tr w:rsidR="001278E5" w:rsidRPr="004E3237" w:rsidTr="003825BB">
        <w:tc>
          <w:tcPr>
            <w:tcW w:w="315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rPr>
                <w:rFonts w:eastAsia="Times New Roman" w:cs="Times New Roman"/>
              </w:rPr>
            </w:pPr>
            <w:r w:rsidRPr="009126A0">
              <w:rPr>
                <w:rFonts w:eastAsia="Times New Roman" w:cs="Times New Roman"/>
              </w:rPr>
              <w:t>Time horizon 20 years; base-case 25 years</w:t>
            </w:r>
          </w:p>
        </w:tc>
        <w:tc>
          <w:tcPr>
            <w:tcW w:w="57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center"/>
          </w:tcPr>
          <w:p w:rsidR="001278E5" w:rsidRPr="005C3678" w:rsidRDefault="005C3678" w:rsidP="00563974">
            <w:pPr>
              <w:pStyle w:val="TableText"/>
              <w:widowControl/>
              <w:spacing w:line="257" w:lineRule="auto"/>
              <w:jc w:val="center"/>
              <w:rPr>
                <w:highlight w:val="black"/>
              </w:rPr>
            </w:pPr>
            <w:r>
              <w:rPr>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r>
      <w:tr w:rsidR="001278E5" w:rsidRPr="004E3237" w:rsidTr="003825BB">
        <w:tc>
          <w:tcPr>
            <w:tcW w:w="315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rPr>
                <w:rFonts w:eastAsia="Times New Roman" w:cs="Times New Roman"/>
              </w:rPr>
            </w:pPr>
            <w:r w:rsidRPr="009126A0">
              <w:rPr>
                <w:rFonts w:eastAsia="Times New Roman" w:cs="Times New Roman"/>
              </w:rPr>
              <w:t>Diagnostic accuracy of tumour test 100%, base-case 99%</w:t>
            </w:r>
          </w:p>
        </w:tc>
        <w:tc>
          <w:tcPr>
            <w:tcW w:w="57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center"/>
          </w:tcPr>
          <w:p w:rsidR="001278E5" w:rsidRPr="005C3678" w:rsidRDefault="005C3678" w:rsidP="00563974">
            <w:pPr>
              <w:pStyle w:val="TableText"/>
              <w:widowControl/>
              <w:spacing w:line="257" w:lineRule="auto"/>
              <w:jc w:val="center"/>
              <w:rPr>
                <w:highlight w:val="black"/>
              </w:rPr>
            </w:pPr>
            <w:r>
              <w:rPr>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r>
      <w:tr w:rsidR="001278E5" w:rsidRPr="004E3237" w:rsidTr="003825BB">
        <w:tc>
          <w:tcPr>
            <w:tcW w:w="315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rPr>
                <w:rFonts w:eastAsia="Times New Roman" w:cs="Times New Roman"/>
              </w:rPr>
            </w:pPr>
            <w:r w:rsidRPr="009126A0">
              <w:rPr>
                <w:rFonts w:eastAsia="Times New Roman" w:cs="Times New Roman"/>
              </w:rPr>
              <w:t>Utility score for PFS2 (0.803) and PD (0.739) reported in SOLO2 trial</w:t>
            </w:r>
          </w:p>
        </w:tc>
        <w:tc>
          <w:tcPr>
            <w:tcW w:w="577"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bottom"/>
          </w:tcPr>
          <w:p w:rsidR="001278E5" w:rsidRPr="005C3678" w:rsidRDefault="005C3678" w:rsidP="00563974">
            <w:pPr>
              <w:pStyle w:val="TableText"/>
              <w:widowControl/>
              <w:spacing w:line="257" w:lineRule="auto"/>
              <w:jc w:val="center"/>
              <w:rPr>
                <w:highlight w:val="black"/>
              </w:rPr>
            </w:pPr>
            <w:r>
              <w:rPr>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pPr>
            <w:r w:rsidRPr="009126A0">
              <w:rPr>
                <w:iCs/>
                <w:color w:val="000000"/>
                <w:szCs w:val="20"/>
              </w:rPr>
              <w:t>$</w:t>
            </w:r>
            <w:r w:rsidR="005C3678">
              <w:rPr>
                <w:iCs/>
                <w:noProof/>
                <w:color w:val="000000"/>
                <w:szCs w:val="20"/>
                <w:highlight w:val="black"/>
              </w:rPr>
              <w:t>''''''''''''''''''''''</w:t>
            </w:r>
          </w:p>
        </w:tc>
      </w:tr>
      <w:tr w:rsidR="001278E5" w:rsidRPr="004E3237" w:rsidTr="003825BB">
        <w:tc>
          <w:tcPr>
            <w:tcW w:w="3157" w:type="pct"/>
            <w:tcBorders>
              <w:top w:val="single" w:sz="4" w:space="0" w:color="auto"/>
              <w:left w:val="single" w:sz="4" w:space="0" w:color="auto"/>
              <w:bottom w:val="single" w:sz="4" w:space="0" w:color="auto"/>
              <w:right w:val="single" w:sz="4" w:space="0" w:color="auto"/>
            </w:tcBorders>
            <w:vAlign w:val="center"/>
          </w:tcPr>
          <w:p w:rsidR="001278E5" w:rsidRPr="009126A0" w:rsidRDefault="001278E5" w:rsidP="00563974">
            <w:pPr>
              <w:pStyle w:val="TableText"/>
              <w:widowControl/>
              <w:spacing w:line="257" w:lineRule="auto"/>
              <w:rPr>
                <w:rFonts w:eastAsia="Times New Roman" w:cs="Times New Roman"/>
              </w:rPr>
            </w:pPr>
            <w:r w:rsidRPr="009126A0">
              <w:rPr>
                <w:rFonts w:eastAsia="Times New Roman" w:cs="Times New Roman"/>
              </w:rPr>
              <w:t xml:space="preserve">Adverse event costs not accrued for </w:t>
            </w:r>
            <w:proofErr w:type="spellStart"/>
            <w:r w:rsidRPr="009126A0">
              <w:rPr>
                <w:rFonts w:eastAsia="Times New Roman" w:cs="Times New Roman"/>
              </w:rPr>
              <w:t>olaparib</w:t>
            </w:r>
            <w:proofErr w:type="spellEnd"/>
            <w:r w:rsidRPr="009126A0">
              <w:rPr>
                <w:rFonts w:eastAsia="Times New Roman" w:cs="Times New Roman"/>
              </w:rPr>
              <w:t xml:space="preserve"> maintenance in 2L</w:t>
            </w:r>
          </w:p>
        </w:tc>
        <w:tc>
          <w:tcPr>
            <w:tcW w:w="577"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rPr>
                <w:iCs/>
                <w:color w:val="000000"/>
                <w:szCs w:val="20"/>
              </w:rPr>
            </w:pPr>
            <w:r w:rsidRPr="009126A0">
              <w:rPr>
                <w:iCs/>
                <w:color w:val="000000"/>
                <w:szCs w:val="20"/>
              </w:rPr>
              <w:t>$</w:t>
            </w:r>
            <w:r w:rsidR="005C3678">
              <w:rPr>
                <w:iCs/>
                <w:noProof/>
                <w:color w:val="000000"/>
                <w:szCs w:val="20"/>
                <w:highlight w:val="black"/>
              </w:rPr>
              <w:t>''''''''''''''''</w:t>
            </w:r>
          </w:p>
        </w:tc>
        <w:tc>
          <w:tcPr>
            <w:tcW w:w="578" w:type="pct"/>
            <w:tcBorders>
              <w:top w:val="single" w:sz="4" w:space="0" w:color="auto"/>
              <w:left w:val="single" w:sz="4" w:space="0" w:color="auto"/>
              <w:bottom w:val="single" w:sz="4" w:space="0" w:color="auto"/>
              <w:right w:val="single" w:sz="4" w:space="0" w:color="auto"/>
            </w:tcBorders>
            <w:vAlign w:val="bottom"/>
          </w:tcPr>
          <w:p w:rsidR="001278E5" w:rsidRPr="005C3678" w:rsidRDefault="005C3678" w:rsidP="00563974">
            <w:pPr>
              <w:pStyle w:val="TableText"/>
              <w:widowControl/>
              <w:spacing w:line="257" w:lineRule="auto"/>
              <w:jc w:val="center"/>
              <w:rPr>
                <w:iCs/>
                <w:color w:val="000000"/>
                <w:szCs w:val="20"/>
                <w:highlight w:val="black"/>
              </w:rPr>
            </w:pPr>
            <w:r>
              <w:rPr>
                <w:iCs/>
                <w:noProof/>
                <w:color w:val="000000"/>
                <w:szCs w:val="20"/>
                <w:highlight w:val="black"/>
              </w:rPr>
              <w:t>'''''''''''''''</w:t>
            </w:r>
          </w:p>
        </w:tc>
        <w:tc>
          <w:tcPr>
            <w:tcW w:w="689" w:type="pct"/>
            <w:tcBorders>
              <w:top w:val="single" w:sz="4" w:space="0" w:color="auto"/>
              <w:left w:val="single" w:sz="4" w:space="0" w:color="auto"/>
              <w:bottom w:val="single" w:sz="4" w:space="0" w:color="auto"/>
              <w:right w:val="single" w:sz="4" w:space="0" w:color="auto"/>
            </w:tcBorders>
            <w:vAlign w:val="bottom"/>
          </w:tcPr>
          <w:p w:rsidR="001278E5" w:rsidRPr="009126A0" w:rsidRDefault="001278E5" w:rsidP="00563974">
            <w:pPr>
              <w:pStyle w:val="TableText"/>
              <w:widowControl/>
              <w:spacing w:line="257" w:lineRule="auto"/>
              <w:jc w:val="center"/>
              <w:rPr>
                <w:iCs/>
                <w:color w:val="000000"/>
                <w:szCs w:val="20"/>
              </w:rPr>
            </w:pPr>
            <w:r w:rsidRPr="009126A0">
              <w:rPr>
                <w:iCs/>
                <w:color w:val="000000"/>
                <w:szCs w:val="20"/>
              </w:rPr>
              <w:t>$</w:t>
            </w:r>
            <w:r w:rsidR="005C3678">
              <w:rPr>
                <w:iCs/>
                <w:noProof/>
                <w:color w:val="000000"/>
                <w:szCs w:val="20"/>
                <w:highlight w:val="black"/>
              </w:rPr>
              <w:t>'''''''''''''''''''</w:t>
            </w:r>
          </w:p>
        </w:tc>
      </w:tr>
    </w:tbl>
    <w:p w:rsidR="001278E5" w:rsidRDefault="001278E5" w:rsidP="00563974">
      <w:pPr>
        <w:pStyle w:val="TableFooter"/>
        <w:widowControl/>
      </w:pPr>
      <w:r>
        <w:t xml:space="preserve">∆ = incremental; 1L= in response to first-line platinum regimen; 2L = in response to second-line platinum regimen; </w:t>
      </w:r>
      <w:proofErr w:type="spellStart"/>
      <w:r>
        <w:rPr>
          <w:rFonts w:cs="Times New Roman"/>
          <w:i/>
        </w:rPr>
        <w:t>gBRCAm</w:t>
      </w:r>
      <w:proofErr w:type="spellEnd"/>
      <w:r w:rsidRPr="006D2EAC">
        <w:t xml:space="preserve"> </w:t>
      </w:r>
      <w:r>
        <w:t xml:space="preserve">= germline </w:t>
      </w:r>
      <w:r w:rsidRPr="00601469">
        <w:rPr>
          <w:i/>
        </w:rPr>
        <w:t>BRCA</w:t>
      </w:r>
      <w:r>
        <w:t xml:space="preserve"> mutation; </w:t>
      </w:r>
      <w:r w:rsidRPr="006D2EAC">
        <w:t>ICER = incremental cost-effectiveness ratio; OS = overall survival; PFS = progression-free survival; PD = progressive disease</w:t>
      </w:r>
      <w:r>
        <w:t>; QALY = quality adjusted life year;</w:t>
      </w:r>
    </w:p>
    <w:p w:rsidR="001278E5" w:rsidRDefault="001278E5" w:rsidP="00563974">
      <w:pPr>
        <w:pStyle w:val="TableFooter"/>
        <w:widowControl/>
      </w:pPr>
      <w:r w:rsidRPr="00962538">
        <w:t xml:space="preserve">Source: </w:t>
      </w:r>
      <w:r>
        <w:t>Constructed during the evaluation using Economic Evaluation.xlsx, Attachment 7.1</w:t>
      </w:r>
    </w:p>
    <w:p w:rsidR="00F61141" w:rsidRDefault="00F61141" w:rsidP="00563974">
      <w:pPr>
        <w:pStyle w:val="TableFooter"/>
        <w:widowControl/>
      </w:pPr>
    </w:p>
    <w:p w:rsidR="00F61141" w:rsidRPr="00F61141" w:rsidRDefault="00835898" w:rsidP="00563974">
      <w:pPr>
        <w:pStyle w:val="TableFooter"/>
        <w:widowControl/>
        <w:rPr>
          <w:rFonts w:asciiTheme="minorHAnsi" w:hAnsiTheme="minorHAnsi" w:cstheme="minorHAnsi"/>
          <w:sz w:val="24"/>
        </w:rPr>
      </w:pPr>
      <w:r>
        <w:rPr>
          <w:rFonts w:asciiTheme="minorHAnsi" w:hAnsiTheme="minorHAnsi" w:cstheme="minorHAnsi"/>
          <w:sz w:val="24"/>
        </w:rPr>
        <w:t xml:space="preserve">The redacted table shows ICERs in the range of $105,000/QALY - $200,000/QALY. </w:t>
      </w:r>
    </w:p>
    <w:p w:rsidR="00C857FA" w:rsidRPr="009A0D5D" w:rsidRDefault="00C857FA" w:rsidP="00563974">
      <w:pPr>
        <w:pStyle w:val="PBACESHeading2"/>
        <w:keepNext w:val="0"/>
      </w:pPr>
      <w:bookmarkStart w:id="24" w:name="_Toc413139283"/>
      <w:bookmarkStart w:id="25" w:name="_Toc18489983"/>
      <w:r w:rsidRPr="009A0D5D">
        <w:t>Drug cost/patient/course: $</w:t>
      </w:r>
      <w:bookmarkEnd w:id="24"/>
      <w:bookmarkEnd w:id="25"/>
      <w:r w:rsidR="005C3678">
        <w:rPr>
          <w:noProof/>
          <w:color w:val="000000"/>
          <w:highlight w:val="black"/>
        </w:rPr>
        <w:t>'''''''''''''</w:t>
      </w:r>
    </w:p>
    <w:p w:rsidR="00C857FA" w:rsidRPr="005602AB" w:rsidRDefault="00C857FA" w:rsidP="00563974">
      <w:pPr>
        <w:pStyle w:val="ListParagraph"/>
        <w:numPr>
          <w:ilvl w:val="4"/>
          <w:numId w:val="1"/>
        </w:numPr>
        <w:rPr>
          <w:i/>
          <w:snapToGrid w:val="0"/>
        </w:rPr>
      </w:pPr>
      <w:r w:rsidRPr="00227DDB">
        <w:rPr>
          <w:snapToGrid w:val="0"/>
        </w:rPr>
        <w:t xml:space="preserve">The drug cost (undiscounted) for </w:t>
      </w:r>
      <w:r w:rsidR="006F7250">
        <w:rPr>
          <w:snapToGrid w:val="0"/>
        </w:rPr>
        <w:t>first-line</w:t>
      </w:r>
      <w:r w:rsidRPr="00227DDB">
        <w:rPr>
          <w:snapToGrid w:val="0"/>
        </w:rPr>
        <w:t xml:space="preserve"> </w:t>
      </w:r>
      <w:proofErr w:type="spellStart"/>
      <w:r w:rsidRPr="00227DDB">
        <w:rPr>
          <w:snapToGrid w:val="0"/>
        </w:rPr>
        <w:t>olaparib</w:t>
      </w:r>
      <w:proofErr w:type="spellEnd"/>
      <w:r w:rsidRPr="00227DDB">
        <w:rPr>
          <w:snapToGrid w:val="0"/>
        </w:rPr>
        <w:t xml:space="preserve"> in </w:t>
      </w:r>
      <w:r w:rsidRPr="00227DDB">
        <w:rPr>
          <w:i/>
          <w:snapToGrid w:val="0"/>
        </w:rPr>
        <w:t>t</w:t>
      </w:r>
      <w:r w:rsidR="00264755">
        <w:rPr>
          <w:i/>
          <w:snapToGrid w:val="0"/>
        </w:rPr>
        <w:t xml:space="preserve">umour </w:t>
      </w:r>
      <w:proofErr w:type="spellStart"/>
      <w:r w:rsidRPr="00227DDB">
        <w:rPr>
          <w:i/>
          <w:snapToGrid w:val="0"/>
        </w:rPr>
        <w:t>BRCAm</w:t>
      </w:r>
      <w:proofErr w:type="spellEnd"/>
      <w:r w:rsidRPr="00227DDB">
        <w:rPr>
          <w:snapToGrid w:val="0"/>
        </w:rPr>
        <w:t xml:space="preserve"> </w:t>
      </w:r>
      <w:r w:rsidR="00264755">
        <w:rPr>
          <w:snapToGrid w:val="0"/>
        </w:rPr>
        <w:t xml:space="preserve">test </w:t>
      </w:r>
      <w:r w:rsidRPr="00227DDB">
        <w:rPr>
          <w:snapToGrid w:val="0"/>
        </w:rPr>
        <w:t>true positives was estimated to be $</w:t>
      </w:r>
      <w:r w:rsidR="005C3678">
        <w:rPr>
          <w:noProof/>
          <w:snapToGrid w:val="0"/>
          <w:color w:val="000000"/>
          <w:highlight w:val="black"/>
        </w:rPr>
        <w:t>'''''''''''''''</w:t>
      </w:r>
      <w:r w:rsidRPr="00227DDB">
        <w:rPr>
          <w:snapToGrid w:val="0"/>
        </w:rPr>
        <w:t>, using the proposed effective DPMQ (28 days treatment length adjusted for monthly cycle by applying mean daily dosage) and the modelled SOLO1 TTD curve</w:t>
      </w:r>
      <w:r>
        <w:rPr>
          <w:snapToGrid w:val="0"/>
        </w:rPr>
        <w:t xml:space="preserve">. </w:t>
      </w:r>
      <w:r w:rsidRPr="005B305D">
        <w:rPr>
          <w:snapToGrid w:val="0"/>
        </w:rPr>
        <w:t xml:space="preserve">The submission underestimated the cost per course of </w:t>
      </w:r>
      <w:proofErr w:type="spellStart"/>
      <w:r w:rsidRPr="005B305D">
        <w:rPr>
          <w:snapToGrid w:val="0"/>
        </w:rPr>
        <w:t>olaparib</w:t>
      </w:r>
      <w:proofErr w:type="spellEnd"/>
      <w:r w:rsidRPr="005B305D">
        <w:rPr>
          <w:snapToGrid w:val="0"/>
        </w:rPr>
        <w:t xml:space="preserve"> in the first</w:t>
      </w:r>
      <w:r w:rsidR="00C94EEE">
        <w:rPr>
          <w:snapToGrid w:val="0"/>
        </w:rPr>
        <w:t>-line</w:t>
      </w:r>
      <w:r w:rsidRPr="005B305D">
        <w:rPr>
          <w:snapToGrid w:val="0"/>
        </w:rPr>
        <w:t xml:space="preserve"> arm by applying mean daily dose to calculate monthly drug costs. The undiscounted drug cost per course for first-line </w:t>
      </w:r>
      <w:proofErr w:type="spellStart"/>
      <w:r w:rsidRPr="005B305D">
        <w:rPr>
          <w:snapToGrid w:val="0"/>
        </w:rPr>
        <w:t>olaparib</w:t>
      </w:r>
      <w:proofErr w:type="spellEnd"/>
      <w:r w:rsidRPr="005B305D">
        <w:rPr>
          <w:snapToGrid w:val="0"/>
        </w:rPr>
        <w:t xml:space="preserve"> (scenario 2) for true positives would be $</w:t>
      </w:r>
      <w:r w:rsidR="005C3678">
        <w:rPr>
          <w:noProof/>
          <w:snapToGrid w:val="0"/>
          <w:color w:val="000000"/>
          <w:highlight w:val="black"/>
        </w:rPr>
        <w:t>''''''''''''''''</w:t>
      </w:r>
      <w:r w:rsidRPr="005B305D">
        <w:rPr>
          <w:snapToGrid w:val="0"/>
        </w:rPr>
        <w:t>.</w:t>
      </w:r>
    </w:p>
    <w:p w:rsidR="00460B6A" w:rsidRPr="009A0D5D" w:rsidRDefault="00460B6A" w:rsidP="00563974">
      <w:pPr>
        <w:pStyle w:val="PBACESHeading2"/>
        <w:keepNext w:val="0"/>
      </w:pPr>
      <w:bookmarkStart w:id="26" w:name="_Toc18489984"/>
      <w:r w:rsidRPr="009A0D5D">
        <w:lastRenderedPageBreak/>
        <w:t xml:space="preserve">Estimated PBS </w:t>
      </w:r>
      <w:r w:rsidR="003C54D2" w:rsidRPr="009A0D5D">
        <w:t xml:space="preserve">&amp; </w:t>
      </w:r>
      <w:r w:rsidRPr="009A0D5D">
        <w:t>financial implications</w:t>
      </w:r>
      <w:bookmarkEnd w:id="21"/>
      <w:bookmarkEnd w:id="26"/>
    </w:p>
    <w:p w:rsidR="00EB2E80" w:rsidRPr="0073344C" w:rsidRDefault="009C5BE8" w:rsidP="00563974">
      <w:pPr>
        <w:pStyle w:val="ListParagraph"/>
      </w:pPr>
      <w:r w:rsidRPr="00EF663A">
        <w:t>This submission wa</w:t>
      </w:r>
      <w:r w:rsidR="00460B6A" w:rsidRPr="00EF663A">
        <w:t xml:space="preserve">s </w:t>
      </w:r>
      <w:r w:rsidR="00860836" w:rsidRPr="00EF663A">
        <w:t>not</w:t>
      </w:r>
      <w:r w:rsidRPr="00EF663A">
        <w:t xml:space="preserve"> </w:t>
      </w:r>
      <w:r w:rsidR="00460B6A" w:rsidRPr="00EF663A">
        <w:t>considered by DUSC</w:t>
      </w:r>
      <w:r w:rsidR="00781EC7" w:rsidRPr="0073344C">
        <w:t>.</w:t>
      </w:r>
    </w:p>
    <w:p w:rsidR="00956C03" w:rsidRPr="000A320D" w:rsidRDefault="00EB2E80" w:rsidP="00563974">
      <w:pPr>
        <w:pStyle w:val="ListParagraph"/>
        <w:rPr>
          <w:color w:val="auto"/>
        </w:rPr>
      </w:pPr>
      <w:r>
        <w:t xml:space="preserve">The submission used an epidemiological approach to estimate the number of patients diagnosed with FIGO Stage III/IV ovarian, fallopian tube and primary peritoneal cancer. </w:t>
      </w:r>
      <w:r w:rsidRPr="00EF663A">
        <w:t xml:space="preserve">The </w:t>
      </w:r>
      <w:r w:rsidR="009B4364" w:rsidRPr="00EF663A">
        <w:t xml:space="preserve">assumed prevalence of </w:t>
      </w:r>
      <w:r w:rsidR="009B4364" w:rsidRPr="00EF663A">
        <w:rPr>
          <w:i/>
          <w:iCs/>
        </w:rPr>
        <w:t>BRCA</w:t>
      </w:r>
      <w:r w:rsidR="009B4364" w:rsidRPr="00EF663A">
        <w:t xml:space="preserve"> mutations is</w:t>
      </w:r>
      <w:r w:rsidRPr="00EF663A">
        <w:t xml:space="preserve"> </w:t>
      </w:r>
      <w:r w:rsidR="00F25FEB" w:rsidRPr="00EF663A">
        <w:t>23%</w:t>
      </w:r>
      <w:r w:rsidRPr="00EF663A">
        <w:t>.</w:t>
      </w:r>
      <w:r w:rsidR="00184FC6">
        <w:t xml:space="preserve"> </w:t>
      </w:r>
      <w:r w:rsidR="00184FC6" w:rsidRPr="005B305D">
        <w:rPr>
          <w:iCs/>
        </w:rPr>
        <w:t>The prevalence of BRCA mutations used in the submission may be an underestimate.</w:t>
      </w:r>
      <w:r w:rsidRPr="005B305D">
        <w:t xml:space="preserve"> </w:t>
      </w:r>
      <w:r w:rsidR="00956C03" w:rsidRPr="005B305D">
        <w:rPr>
          <w:color w:val="auto"/>
        </w:rPr>
        <w:t xml:space="preserve"> The submission proposed the listing of </w:t>
      </w:r>
      <w:proofErr w:type="spellStart"/>
      <w:r w:rsidR="00956C03" w:rsidRPr="005B305D">
        <w:rPr>
          <w:color w:val="auto"/>
        </w:rPr>
        <w:t>olaparib</w:t>
      </w:r>
      <w:proofErr w:type="spellEnd"/>
      <w:r w:rsidR="00956C03" w:rsidRPr="005B305D">
        <w:rPr>
          <w:color w:val="auto"/>
        </w:rPr>
        <w:t xml:space="preserve"> in the first-line maintenance setting in patients with </w:t>
      </w:r>
      <w:proofErr w:type="spellStart"/>
      <w:r w:rsidR="00956C03" w:rsidRPr="009F720D">
        <w:rPr>
          <w:i/>
          <w:color w:val="auto"/>
        </w:rPr>
        <w:t>BRCA</w:t>
      </w:r>
      <w:r w:rsidR="00956C03" w:rsidRPr="005B305D">
        <w:rPr>
          <w:color w:val="auto"/>
        </w:rPr>
        <w:t>m</w:t>
      </w:r>
      <w:proofErr w:type="spellEnd"/>
      <w:r w:rsidR="00956C03" w:rsidRPr="005B305D">
        <w:rPr>
          <w:color w:val="auto"/>
        </w:rPr>
        <w:t xml:space="preserve"> </w:t>
      </w:r>
      <w:r w:rsidR="00956C03" w:rsidRPr="00EF663A">
        <w:rPr>
          <w:color w:val="auto"/>
        </w:rPr>
        <w:t>according to tumour testing (and germline testing if tumour testing is not feasible</w:t>
      </w:r>
      <w:r w:rsidR="00956C03" w:rsidRPr="005B305D">
        <w:rPr>
          <w:color w:val="auto"/>
        </w:rPr>
        <w:t xml:space="preserve">). </w:t>
      </w:r>
      <w:r w:rsidR="00956C03" w:rsidRPr="00EF663A">
        <w:rPr>
          <w:iCs/>
          <w:color w:val="auto"/>
        </w:rPr>
        <w:t xml:space="preserve">Tumour testing is estimated to identify a further 3% - 9% of patients with a </w:t>
      </w:r>
      <w:r w:rsidR="00956C03" w:rsidRPr="009F720D">
        <w:rPr>
          <w:i/>
          <w:iCs/>
          <w:color w:val="auto"/>
        </w:rPr>
        <w:t>BRCA</w:t>
      </w:r>
      <w:r w:rsidR="00956C03" w:rsidRPr="00EF663A">
        <w:rPr>
          <w:iCs/>
          <w:color w:val="auto"/>
        </w:rPr>
        <w:t xml:space="preserve"> mutation, in addition to the 20% to 23% of patients who would be identified using a germline </w:t>
      </w:r>
      <w:r w:rsidR="00956C03" w:rsidRPr="009F720D">
        <w:rPr>
          <w:i/>
          <w:iCs/>
          <w:color w:val="auto"/>
        </w:rPr>
        <w:t>BRCA</w:t>
      </w:r>
      <w:r w:rsidR="00956C03" w:rsidRPr="00EF663A">
        <w:rPr>
          <w:iCs/>
          <w:color w:val="auto"/>
        </w:rPr>
        <w:t xml:space="preserve"> test</w:t>
      </w:r>
      <w:r w:rsidR="00956C03" w:rsidRPr="005B305D">
        <w:rPr>
          <w:iCs/>
          <w:color w:val="auto"/>
        </w:rPr>
        <w:t>.</w:t>
      </w:r>
      <w:r w:rsidR="00956C03" w:rsidRPr="000A320D">
        <w:rPr>
          <w:color w:val="auto"/>
        </w:rPr>
        <w:t xml:space="preserve"> </w:t>
      </w:r>
    </w:p>
    <w:p w:rsidR="009B4364" w:rsidRDefault="009B70A1" w:rsidP="00563974">
      <w:pPr>
        <w:pStyle w:val="ListParagraph"/>
      </w:pPr>
      <w:r w:rsidRPr="00DE7812">
        <w:rPr>
          <w:color w:val="auto"/>
        </w:rPr>
        <w:t xml:space="preserve">The duration of therapy of first-line maintenance with </w:t>
      </w:r>
      <w:proofErr w:type="spellStart"/>
      <w:r w:rsidRPr="00DE7812">
        <w:rPr>
          <w:color w:val="auto"/>
        </w:rPr>
        <w:t>olaparib</w:t>
      </w:r>
      <w:proofErr w:type="spellEnd"/>
      <w:r w:rsidRPr="00DE7812">
        <w:rPr>
          <w:color w:val="auto"/>
        </w:rPr>
        <w:t xml:space="preserve"> applied in the analysis is modelled from the SOLO1 data for patients on </w:t>
      </w:r>
      <w:proofErr w:type="spellStart"/>
      <w:r w:rsidRPr="00DE7812">
        <w:rPr>
          <w:color w:val="auto"/>
        </w:rPr>
        <w:t>olaparib</w:t>
      </w:r>
      <w:proofErr w:type="spellEnd"/>
      <w:r w:rsidRPr="00DE7812">
        <w:rPr>
          <w:color w:val="auto"/>
        </w:rPr>
        <w:t>. Patients in SOLO1 with a partial response were able to continue beyond the trial duration of 24 months</w:t>
      </w:r>
      <w:r w:rsidR="003D633E">
        <w:rPr>
          <w:color w:val="auto"/>
        </w:rPr>
        <w:t>,</w:t>
      </w:r>
      <w:r w:rsidRPr="00DE7812">
        <w:rPr>
          <w:color w:val="auto"/>
        </w:rPr>
        <w:t xml:space="preserve"> and approximately 10% of patients continued treatment. The submission adjusted </w:t>
      </w:r>
      <w:r w:rsidR="009F720D">
        <w:rPr>
          <w:color w:val="auto"/>
        </w:rPr>
        <w:t>the</w:t>
      </w:r>
      <w:r w:rsidR="009F720D" w:rsidRPr="00DE7812">
        <w:rPr>
          <w:color w:val="auto"/>
        </w:rPr>
        <w:t xml:space="preserve"> </w:t>
      </w:r>
      <w:r w:rsidRPr="00DE7812">
        <w:rPr>
          <w:color w:val="auto"/>
        </w:rPr>
        <w:t>estimates for treatment duration from 25 months onwards</w:t>
      </w:r>
      <w:r w:rsidR="00865C36">
        <w:rPr>
          <w:color w:val="auto"/>
        </w:rPr>
        <w:t>,</w:t>
      </w:r>
      <w:r w:rsidRPr="00DE7812">
        <w:rPr>
          <w:color w:val="auto"/>
        </w:rPr>
        <w:t xml:space="preserve"> noting that a higher proportion of partial responders (33%) was reported in the AOCS (AZ AOCS2) data report compared to SOLO1 (18%).</w:t>
      </w:r>
      <w:r>
        <w:rPr>
          <w:color w:val="FF0000"/>
        </w:rPr>
        <w:t xml:space="preserve"> </w:t>
      </w:r>
      <w:r w:rsidR="009B4364">
        <w:t xml:space="preserve">The impact on the use of </w:t>
      </w:r>
      <w:proofErr w:type="spellStart"/>
      <w:r w:rsidR="009B4364">
        <w:t>olaparib</w:t>
      </w:r>
      <w:proofErr w:type="spellEnd"/>
      <w:r w:rsidR="009B4364">
        <w:t xml:space="preserve"> in the second-line maintenance setting is determined using an estimate of the rate at which </w:t>
      </w:r>
      <w:proofErr w:type="gramStart"/>
      <w:r w:rsidR="009B4364">
        <w:t>patients</w:t>
      </w:r>
      <w:proofErr w:type="gramEnd"/>
      <w:r w:rsidR="009B4364">
        <w:t xml:space="preserve"> progress in the placebo arm of SOLO1 trial, and applying 51% of progressed patients to receive second-line </w:t>
      </w:r>
      <w:proofErr w:type="spellStart"/>
      <w:r w:rsidR="009B4364">
        <w:t>olaparib</w:t>
      </w:r>
      <w:proofErr w:type="spellEnd"/>
      <w:r w:rsidR="00184FC6">
        <w:t xml:space="preserve"> (reflecting second-line PARP inhibitor use in the SOLO1 trial)</w:t>
      </w:r>
      <w:r w:rsidR="009B4364">
        <w:t>.</w:t>
      </w:r>
      <w:r w:rsidR="003B4F19">
        <w:t xml:space="preserve"> </w:t>
      </w:r>
      <w:r w:rsidR="003B4F19" w:rsidRPr="00DE7812">
        <w:t>The duration of therapy in second-line maintenance is captured by the number of patients in each year, which is based on TTD from Study 19.</w:t>
      </w:r>
      <w:r w:rsidR="003B4F19" w:rsidRPr="003B4F19">
        <w:rPr>
          <w:i/>
        </w:rPr>
        <w:t xml:space="preserve"> </w:t>
      </w:r>
    </w:p>
    <w:p w:rsidR="00334EDA" w:rsidRDefault="00334EDA" w:rsidP="00563974">
      <w:pPr>
        <w:pStyle w:val="ListParagraph"/>
      </w:pPr>
      <w:r w:rsidRPr="00076B7E">
        <w:t xml:space="preserve">Approximately 75% of patients </w:t>
      </w:r>
      <w:r w:rsidR="00754232">
        <w:t>were</w:t>
      </w:r>
      <w:r w:rsidRPr="00076B7E">
        <w:t xml:space="preserve"> assumed to be tested using tumour </w:t>
      </w:r>
      <w:proofErr w:type="spellStart"/>
      <w:r w:rsidRPr="00076B7E">
        <w:rPr>
          <w:i/>
          <w:iCs/>
        </w:rPr>
        <w:t>BRCA</w:t>
      </w:r>
      <w:r w:rsidRPr="00076B7E">
        <w:t>m</w:t>
      </w:r>
      <w:proofErr w:type="spellEnd"/>
      <w:r w:rsidRPr="00076B7E">
        <w:t xml:space="preserve"> testing, with the remainder accessing germline </w:t>
      </w:r>
      <w:proofErr w:type="spellStart"/>
      <w:r w:rsidRPr="00076B7E">
        <w:rPr>
          <w:i/>
          <w:iCs/>
        </w:rPr>
        <w:t>BRCA</w:t>
      </w:r>
      <w:r w:rsidRPr="00076B7E">
        <w:t>m</w:t>
      </w:r>
      <w:proofErr w:type="spellEnd"/>
      <w:r w:rsidRPr="00076B7E">
        <w:t xml:space="preserve"> testing</w:t>
      </w:r>
      <w:r>
        <w:t>.</w:t>
      </w:r>
    </w:p>
    <w:p w:rsidR="00C04D13" w:rsidRDefault="00C04D13" w:rsidP="00563974">
      <w:pPr>
        <w:pStyle w:val="ListParagraph"/>
      </w:pPr>
      <w:r>
        <w:t xml:space="preserve">The estimated financial implications of listing </w:t>
      </w:r>
      <w:proofErr w:type="spellStart"/>
      <w:r>
        <w:t>olaparib</w:t>
      </w:r>
      <w:proofErr w:type="spellEnd"/>
      <w:r>
        <w:t xml:space="preserve"> </w:t>
      </w:r>
      <w:r w:rsidR="00754232">
        <w:t>were</w:t>
      </w:r>
      <w:r>
        <w:t xml:space="preserve"> based on the proposed effective price of </w:t>
      </w:r>
      <w:proofErr w:type="spellStart"/>
      <w:r>
        <w:t>olaparib</w:t>
      </w:r>
      <w:proofErr w:type="spellEnd"/>
      <w:r>
        <w:t xml:space="preserve"> (DPMQ = $</w:t>
      </w:r>
      <w:r w:rsidR="005C3678">
        <w:rPr>
          <w:noProof/>
          <w:color w:val="000000"/>
          <w:highlight w:val="black"/>
        </w:rPr>
        <w:t>''''''''''''''</w:t>
      </w:r>
      <w:r>
        <w:t>) and a proposed MBS fee for tumour testing of $1400.</w:t>
      </w:r>
    </w:p>
    <w:p w:rsidR="00170127" w:rsidRDefault="00BB4C76" w:rsidP="00563974">
      <w:pPr>
        <w:pStyle w:val="ListParagraph"/>
      </w:pPr>
      <w:r>
        <w:t>In</w:t>
      </w:r>
      <w:r w:rsidR="00170127">
        <w:t xml:space="preserve"> year 6 the estimated number of patients</w:t>
      </w:r>
      <w:r w:rsidR="00CE08E7">
        <w:t xml:space="preserve"> treated with </w:t>
      </w:r>
      <w:proofErr w:type="spellStart"/>
      <w:r w:rsidR="00CE08E7">
        <w:t>olaparib</w:t>
      </w:r>
      <w:proofErr w:type="spellEnd"/>
      <w:r w:rsidR="00CE08E7">
        <w:t xml:space="preserve"> was </w:t>
      </w:r>
      <w:r w:rsidR="009F1730">
        <w:t xml:space="preserve">less than 10,000 </w:t>
      </w:r>
      <w:r w:rsidR="00CE08E7">
        <w:t>and the net cost to the PBS based on the effective price would be $</w:t>
      </w:r>
      <w:r w:rsidR="009F1730">
        <w:t>10 - $20</w:t>
      </w:r>
      <w:r w:rsidR="00CE08E7">
        <w:t xml:space="preserve"> million. </w:t>
      </w:r>
    </w:p>
    <w:p w:rsidR="00C164A4" w:rsidRPr="00DC08B0" w:rsidRDefault="0074610D" w:rsidP="0074610D">
      <w:pPr>
        <w:pStyle w:val="Caption"/>
        <w:ind w:left="0" w:firstLine="0"/>
      </w:pPr>
      <w:r>
        <w:lastRenderedPageBreak/>
        <w:t xml:space="preserve">Table </w:t>
      </w:r>
      <w:r w:rsidR="00A75368">
        <w:rPr>
          <w:noProof/>
        </w:rPr>
        <w:t>15</w:t>
      </w:r>
      <w:r>
        <w:rPr>
          <w:noProof/>
        </w:rPr>
        <w:t xml:space="preserve">: </w:t>
      </w:r>
      <w:r w:rsidR="00C164A4" w:rsidRPr="00DC08B0">
        <w:t>Estimated use and financial implications</w:t>
      </w:r>
      <w:r w:rsidR="00C04D13">
        <w:t xml:space="preserve"> of listing </w:t>
      </w:r>
      <w:proofErr w:type="spellStart"/>
      <w:r w:rsidR="00C04D13">
        <w:t>olaparib</w:t>
      </w:r>
      <w:proofErr w:type="spellEnd"/>
      <w:r w:rsidR="00C04D13">
        <w:t xml:space="preserve"> for first-line maintenance setting in patients with </w:t>
      </w:r>
      <w:proofErr w:type="spellStart"/>
      <w:r w:rsidR="00C04D13">
        <w:t>BRCAm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5"/>
        <w:gridCol w:w="1028"/>
        <w:gridCol w:w="1060"/>
        <w:gridCol w:w="1060"/>
        <w:gridCol w:w="997"/>
        <w:gridCol w:w="1028"/>
        <w:gridCol w:w="1028"/>
      </w:tblGrid>
      <w:tr w:rsidR="00C04D13" w:rsidRPr="00DC08B0" w:rsidTr="00076B7E">
        <w:trPr>
          <w:tblHeader/>
        </w:trPr>
        <w:tc>
          <w:tcPr>
            <w:tcW w:w="1714" w:type="pct"/>
            <w:shd w:val="clear" w:color="auto" w:fill="auto"/>
            <w:vAlign w:val="center"/>
          </w:tcPr>
          <w:p w:rsidR="00317E18" w:rsidRPr="00DC08B0" w:rsidRDefault="00317E18" w:rsidP="0074610D">
            <w:pPr>
              <w:pStyle w:val="TableText"/>
              <w:keepNext/>
              <w:widowControl/>
              <w:jc w:val="center"/>
              <w:rPr>
                <w:b/>
              </w:rPr>
            </w:pPr>
          </w:p>
        </w:tc>
        <w:tc>
          <w:tcPr>
            <w:tcW w:w="547" w:type="pct"/>
            <w:shd w:val="clear" w:color="auto" w:fill="auto"/>
            <w:vAlign w:val="center"/>
          </w:tcPr>
          <w:p w:rsidR="00317E18" w:rsidRPr="00DC08B0" w:rsidRDefault="00317E18" w:rsidP="0074610D">
            <w:pPr>
              <w:pStyle w:val="TableText"/>
              <w:keepNext/>
              <w:widowControl/>
              <w:jc w:val="center"/>
              <w:rPr>
                <w:b/>
              </w:rPr>
            </w:pPr>
            <w:r w:rsidRPr="00DC08B0">
              <w:rPr>
                <w:b/>
              </w:rPr>
              <w:t>Year 1</w:t>
            </w:r>
          </w:p>
        </w:tc>
        <w:tc>
          <w:tcPr>
            <w:tcW w:w="548" w:type="pct"/>
            <w:shd w:val="clear" w:color="auto" w:fill="auto"/>
            <w:vAlign w:val="center"/>
          </w:tcPr>
          <w:p w:rsidR="00317E18" w:rsidRPr="00DC08B0" w:rsidRDefault="00317E18" w:rsidP="0074610D">
            <w:pPr>
              <w:pStyle w:val="TableText"/>
              <w:keepNext/>
              <w:widowControl/>
              <w:jc w:val="center"/>
              <w:rPr>
                <w:b/>
              </w:rPr>
            </w:pPr>
            <w:r w:rsidRPr="00DC08B0">
              <w:rPr>
                <w:b/>
              </w:rPr>
              <w:t>Year 2</w:t>
            </w:r>
          </w:p>
        </w:tc>
        <w:tc>
          <w:tcPr>
            <w:tcW w:w="547" w:type="pct"/>
            <w:shd w:val="clear" w:color="auto" w:fill="auto"/>
            <w:vAlign w:val="center"/>
          </w:tcPr>
          <w:p w:rsidR="00317E18" w:rsidRPr="00DC08B0" w:rsidRDefault="00317E18" w:rsidP="0074610D">
            <w:pPr>
              <w:pStyle w:val="TableText"/>
              <w:keepNext/>
              <w:widowControl/>
              <w:jc w:val="center"/>
              <w:rPr>
                <w:b/>
              </w:rPr>
            </w:pPr>
            <w:r w:rsidRPr="00DC08B0">
              <w:rPr>
                <w:b/>
              </w:rPr>
              <w:t>Year 3</w:t>
            </w:r>
          </w:p>
        </w:tc>
        <w:tc>
          <w:tcPr>
            <w:tcW w:w="548" w:type="pct"/>
            <w:shd w:val="clear" w:color="auto" w:fill="auto"/>
            <w:vAlign w:val="center"/>
          </w:tcPr>
          <w:p w:rsidR="00317E18" w:rsidRPr="00DC08B0" w:rsidRDefault="00317E18" w:rsidP="0074610D">
            <w:pPr>
              <w:pStyle w:val="TableText"/>
              <w:keepNext/>
              <w:widowControl/>
              <w:jc w:val="center"/>
              <w:rPr>
                <w:b/>
              </w:rPr>
            </w:pPr>
            <w:r w:rsidRPr="00DC08B0">
              <w:rPr>
                <w:b/>
              </w:rPr>
              <w:t>Year 4</w:t>
            </w:r>
          </w:p>
        </w:tc>
        <w:tc>
          <w:tcPr>
            <w:tcW w:w="547" w:type="pct"/>
            <w:shd w:val="clear" w:color="auto" w:fill="auto"/>
            <w:vAlign w:val="center"/>
          </w:tcPr>
          <w:p w:rsidR="00317E18" w:rsidRPr="00DC08B0" w:rsidRDefault="00317E18" w:rsidP="0074610D">
            <w:pPr>
              <w:pStyle w:val="TableText"/>
              <w:keepNext/>
              <w:widowControl/>
              <w:jc w:val="center"/>
              <w:rPr>
                <w:b/>
              </w:rPr>
            </w:pPr>
            <w:r w:rsidRPr="00DC08B0">
              <w:rPr>
                <w:b/>
              </w:rPr>
              <w:t>Year 5</w:t>
            </w:r>
          </w:p>
        </w:tc>
        <w:tc>
          <w:tcPr>
            <w:tcW w:w="548" w:type="pct"/>
            <w:shd w:val="clear" w:color="auto" w:fill="auto"/>
            <w:vAlign w:val="center"/>
          </w:tcPr>
          <w:p w:rsidR="00317E18" w:rsidRPr="00DC08B0" w:rsidRDefault="00317E18" w:rsidP="0074610D">
            <w:pPr>
              <w:pStyle w:val="TableText"/>
              <w:keepNext/>
              <w:widowControl/>
              <w:jc w:val="center"/>
              <w:rPr>
                <w:b/>
              </w:rPr>
            </w:pPr>
            <w:r w:rsidRPr="00DC08B0">
              <w:rPr>
                <w:b/>
              </w:rPr>
              <w:t>Year 6</w:t>
            </w:r>
          </w:p>
        </w:tc>
      </w:tr>
      <w:tr w:rsidR="00317E18" w:rsidRPr="00DC08B0" w:rsidTr="00076B7E">
        <w:tc>
          <w:tcPr>
            <w:tcW w:w="5000" w:type="pct"/>
            <w:gridSpan w:val="7"/>
            <w:shd w:val="clear" w:color="auto" w:fill="auto"/>
            <w:vAlign w:val="center"/>
          </w:tcPr>
          <w:p w:rsidR="00317E18" w:rsidRPr="00DC08B0" w:rsidRDefault="00317E18" w:rsidP="0074610D">
            <w:pPr>
              <w:pStyle w:val="TableText"/>
              <w:keepNext/>
              <w:widowControl/>
              <w:rPr>
                <w:b/>
              </w:rPr>
            </w:pPr>
            <w:r w:rsidRPr="00DC08B0">
              <w:rPr>
                <w:b/>
              </w:rPr>
              <w:t>Estimated extent of use</w:t>
            </w:r>
            <w:r w:rsidR="0006287B" w:rsidRPr="00DC08B0">
              <w:rPr>
                <w:b/>
              </w:rPr>
              <w:t xml:space="preserve"> of </w:t>
            </w:r>
            <w:r w:rsidR="00D12058">
              <w:rPr>
                <w:b/>
              </w:rPr>
              <w:t xml:space="preserve">tumour </w:t>
            </w:r>
            <w:proofErr w:type="spellStart"/>
            <w:r w:rsidR="00D12058">
              <w:rPr>
                <w:b/>
              </w:rPr>
              <w:t>BRCAm</w:t>
            </w:r>
            <w:proofErr w:type="spellEnd"/>
            <w:r w:rsidR="00D12058">
              <w:rPr>
                <w:b/>
              </w:rPr>
              <w:t xml:space="preserve"> testing and financial implications</w:t>
            </w:r>
          </w:p>
        </w:tc>
      </w:tr>
      <w:tr w:rsidR="00C04D13" w:rsidRPr="00DC08B0" w:rsidTr="00076B7E">
        <w:tc>
          <w:tcPr>
            <w:tcW w:w="1714" w:type="pct"/>
            <w:shd w:val="clear" w:color="auto" w:fill="auto"/>
            <w:vAlign w:val="center"/>
          </w:tcPr>
          <w:p w:rsidR="00334EDA" w:rsidRPr="00DC08B0" w:rsidRDefault="00334EDA" w:rsidP="0074610D">
            <w:pPr>
              <w:pStyle w:val="TableText"/>
              <w:keepNext/>
              <w:widowControl/>
            </w:pPr>
            <w:r w:rsidRPr="00DC08B0">
              <w:t>Number of patients tested</w:t>
            </w:r>
            <w:r>
              <w:t xml:space="preserve"> with tumour or germline </w:t>
            </w:r>
            <w:proofErr w:type="spellStart"/>
            <w:r w:rsidRPr="00334EDA">
              <w:rPr>
                <w:i/>
                <w:iCs/>
              </w:rPr>
              <w:t>BRCA</w:t>
            </w:r>
            <w:r>
              <w:t>m</w:t>
            </w:r>
            <w:proofErr w:type="spellEnd"/>
            <w:r>
              <w:t xml:space="preserve"> testing</w:t>
            </w:r>
          </w:p>
        </w:tc>
        <w:tc>
          <w:tcPr>
            <w:tcW w:w="547" w:type="pct"/>
            <w:shd w:val="clear" w:color="auto" w:fill="auto"/>
            <w:vAlign w:val="center"/>
          </w:tcPr>
          <w:p w:rsidR="00334EDA" w:rsidRPr="005C3678" w:rsidRDefault="005C3678" w:rsidP="0074610D">
            <w:pPr>
              <w:pStyle w:val="TableNumber"/>
              <w:keepNext/>
              <w:widowControl/>
              <w:rPr>
                <w:highlight w:val="black"/>
              </w:rPr>
            </w:pPr>
            <w:r>
              <w:rPr>
                <w:noProof/>
                <w:color w:val="000000"/>
                <w:highlight w:val="black"/>
              </w:rPr>
              <w:t>'''''''''''''''</w:t>
            </w:r>
          </w:p>
        </w:tc>
        <w:tc>
          <w:tcPr>
            <w:tcW w:w="548" w:type="pct"/>
            <w:shd w:val="clear" w:color="auto" w:fill="auto"/>
            <w:vAlign w:val="center"/>
          </w:tcPr>
          <w:p w:rsidR="00334EDA"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7" w:type="pct"/>
            <w:shd w:val="clear" w:color="auto" w:fill="auto"/>
            <w:vAlign w:val="center"/>
          </w:tcPr>
          <w:p w:rsidR="00334EDA"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8" w:type="pct"/>
            <w:shd w:val="clear" w:color="auto" w:fill="auto"/>
            <w:vAlign w:val="center"/>
          </w:tcPr>
          <w:p w:rsidR="00334EDA"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7" w:type="pct"/>
            <w:shd w:val="clear" w:color="auto" w:fill="auto"/>
            <w:vAlign w:val="center"/>
          </w:tcPr>
          <w:p w:rsidR="00334EDA"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8" w:type="pct"/>
            <w:shd w:val="clear" w:color="auto" w:fill="auto"/>
            <w:vAlign w:val="center"/>
          </w:tcPr>
          <w:p w:rsidR="00334EDA" w:rsidRPr="005C3678" w:rsidRDefault="005C3678" w:rsidP="0074610D">
            <w:pPr>
              <w:pStyle w:val="TableText"/>
              <w:keepNext/>
              <w:widowControl/>
              <w:tabs>
                <w:tab w:val="decimal" w:pos="396"/>
              </w:tabs>
              <w:jc w:val="center"/>
              <w:rPr>
                <w:highlight w:val="black"/>
              </w:rPr>
            </w:pPr>
            <w:r>
              <w:rPr>
                <w:noProof/>
                <w:color w:val="000000"/>
                <w:highlight w:val="black"/>
              </w:rPr>
              <w:t>''''''''''''''</w:t>
            </w:r>
          </w:p>
        </w:tc>
      </w:tr>
      <w:tr w:rsidR="00C04D13" w:rsidRPr="00DC08B0" w:rsidTr="00076B7E">
        <w:tc>
          <w:tcPr>
            <w:tcW w:w="1714" w:type="pct"/>
            <w:shd w:val="clear" w:color="auto" w:fill="auto"/>
            <w:vAlign w:val="center"/>
          </w:tcPr>
          <w:p w:rsidR="00D12058" w:rsidRDefault="00440D09" w:rsidP="0074610D">
            <w:pPr>
              <w:pStyle w:val="TableText"/>
              <w:keepNext/>
              <w:widowControl/>
            </w:pPr>
            <w:r>
              <w:t>Cost to the MBS</w:t>
            </w:r>
          </w:p>
        </w:tc>
        <w:tc>
          <w:tcPr>
            <w:tcW w:w="547" w:type="pct"/>
            <w:shd w:val="clear" w:color="auto" w:fill="auto"/>
            <w:vAlign w:val="center"/>
          </w:tcPr>
          <w:p w:rsidR="00D12058" w:rsidRPr="00653A17" w:rsidRDefault="00D12058" w:rsidP="0074610D">
            <w:pPr>
              <w:pStyle w:val="TableNumber"/>
              <w:keepNext/>
              <w:widowControl/>
            </w:pPr>
            <w:r w:rsidRPr="001B7E32">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1B7E32">
              <w:t>$</w:t>
            </w:r>
            <w:r w:rsidR="005C3678">
              <w:rPr>
                <w:noProof/>
                <w:color w:val="000000"/>
                <w:highlight w:val="black"/>
              </w:rPr>
              <w:t>'''''''''''''''''''''''''</w:t>
            </w:r>
          </w:p>
        </w:tc>
        <w:tc>
          <w:tcPr>
            <w:tcW w:w="547" w:type="pct"/>
            <w:shd w:val="clear" w:color="auto" w:fill="auto"/>
            <w:vAlign w:val="center"/>
          </w:tcPr>
          <w:p w:rsidR="00D12058" w:rsidRPr="00653A17" w:rsidRDefault="00D12058" w:rsidP="0074610D">
            <w:pPr>
              <w:pStyle w:val="TableText"/>
              <w:keepNext/>
              <w:widowControl/>
              <w:tabs>
                <w:tab w:val="decimal" w:pos="396"/>
              </w:tabs>
              <w:jc w:val="center"/>
            </w:pPr>
            <w:r w:rsidRPr="001B7E32">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1B7E32">
              <w:t>$</w:t>
            </w:r>
            <w:r w:rsidR="005C3678">
              <w:rPr>
                <w:noProof/>
                <w:color w:val="000000"/>
                <w:highlight w:val="black"/>
              </w:rPr>
              <w:t>'''''''''''''''''''''''''</w:t>
            </w:r>
          </w:p>
        </w:tc>
        <w:tc>
          <w:tcPr>
            <w:tcW w:w="547" w:type="pct"/>
            <w:shd w:val="clear" w:color="auto" w:fill="auto"/>
            <w:vAlign w:val="center"/>
          </w:tcPr>
          <w:p w:rsidR="00D12058" w:rsidRPr="00653A17" w:rsidRDefault="00D12058" w:rsidP="0074610D">
            <w:pPr>
              <w:pStyle w:val="TableText"/>
              <w:keepNext/>
              <w:widowControl/>
              <w:tabs>
                <w:tab w:val="decimal" w:pos="396"/>
              </w:tabs>
              <w:jc w:val="center"/>
            </w:pPr>
            <w:r w:rsidRPr="001B7E32">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1B7E32">
              <w:t>$</w:t>
            </w:r>
            <w:r w:rsidR="005C3678">
              <w:rPr>
                <w:noProof/>
                <w:color w:val="000000"/>
                <w:highlight w:val="black"/>
              </w:rPr>
              <w:t>''''''''''''''''''''''</w:t>
            </w:r>
          </w:p>
        </w:tc>
      </w:tr>
      <w:tr w:rsidR="00C04D13" w:rsidRPr="00DC08B0" w:rsidTr="00076B7E">
        <w:tc>
          <w:tcPr>
            <w:tcW w:w="1714" w:type="pct"/>
            <w:shd w:val="clear" w:color="auto" w:fill="auto"/>
            <w:vAlign w:val="center"/>
          </w:tcPr>
          <w:p w:rsidR="00D12058" w:rsidRPr="00DC08B0" w:rsidRDefault="00D12058" w:rsidP="0074610D">
            <w:pPr>
              <w:pStyle w:val="TableText"/>
              <w:keepNext/>
              <w:widowControl/>
            </w:pPr>
            <w:r>
              <w:t xml:space="preserve">Number of patients no longer tested with germline </w:t>
            </w:r>
            <w:proofErr w:type="spellStart"/>
            <w:r w:rsidRPr="00334EDA">
              <w:rPr>
                <w:i/>
                <w:iCs/>
              </w:rPr>
              <w:t>BRCA</w:t>
            </w:r>
            <w:r>
              <w:t>m</w:t>
            </w:r>
            <w:proofErr w:type="spellEnd"/>
            <w:r>
              <w:t xml:space="preserve"> test</w:t>
            </w:r>
          </w:p>
        </w:tc>
        <w:tc>
          <w:tcPr>
            <w:tcW w:w="547" w:type="pct"/>
            <w:shd w:val="clear" w:color="auto" w:fill="auto"/>
            <w:vAlign w:val="center"/>
          </w:tcPr>
          <w:p w:rsidR="00D12058" w:rsidRPr="005C3678" w:rsidRDefault="005C3678" w:rsidP="0074610D">
            <w:pPr>
              <w:pStyle w:val="TableNumber"/>
              <w:keepNext/>
              <w:widowControl/>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tabs>
                <w:tab w:val="decimal" w:pos="396"/>
              </w:tabs>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tabs>
                <w:tab w:val="decimal" w:pos="396"/>
              </w:tabs>
              <w:jc w:val="center"/>
              <w:rPr>
                <w:highlight w:val="black"/>
              </w:rPr>
            </w:pPr>
            <w:r>
              <w:rPr>
                <w:noProof/>
                <w:color w:val="000000"/>
                <w:highlight w:val="black"/>
              </w:rPr>
              <w:t>'''''''''''''</w:t>
            </w:r>
          </w:p>
        </w:tc>
      </w:tr>
      <w:tr w:rsidR="00C04D13" w:rsidRPr="00DC08B0" w:rsidTr="00076B7E">
        <w:tc>
          <w:tcPr>
            <w:tcW w:w="1714" w:type="pct"/>
            <w:shd w:val="clear" w:color="auto" w:fill="auto"/>
            <w:vAlign w:val="center"/>
          </w:tcPr>
          <w:p w:rsidR="00D12058" w:rsidRDefault="00D12058" w:rsidP="0074610D">
            <w:pPr>
              <w:pStyle w:val="TableText"/>
              <w:keepNext/>
              <w:widowControl/>
            </w:pPr>
            <w:r>
              <w:t>Saving</w:t>
            </w:r>
            <w:r w:rsidRPr="00DC08B0">
              <w:t xml:space="preserve"> to </w:t>
            </w:r>
            <w:proofErr w:type="spellStart"/>
            <w:r w:rsidR="00440D09">
              <w:t>MBS</w:t>
            </w:r>
            <w:r w:rsidR="000E6580">
              <w:rPr>
                <w:vertAlign w:val="superscript"/>
              </w:rPr>
              <w:t>a</w:t>
            </w:r>
            <w:proofErr w:type="spellEnd"/>
          </w:p>
        </w:tc>
        <w:tc>
          <w:tcPr>
            <w:tcW w:w="547" w:type="pct"/>
            <w:shd w:val="clear" w:color="auto" w:fill="auto"/>
            <w:vAlign w:val="center"/>
          </w:tcPr>
          <w:p w:rsidR="00D12058" w:rsidRPr="00653A17" w:rsidRDefault="00D12058" w:rsidP="0074610D">
            <w:pPr>
              <w:pStyle w:val="TableNumber"/>
              <w:keepNext/>
              <w:widowControl/>
            </w:pPr>
            <w:r w:rsidRPr="007A273D">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7A273D">
              <w:t>$</w:t>
            </w:r>
            <w:r w:rsidR="005C3678">
              <w:rPr>
                <w:noProof/>
                <w:color w:val="000000"/>
                <w:highlight w:val="black"/>
              </w:rPr>
              <w:t>''''''''''''''''''''''''''</w:t>
            </w:r>
          </w:p>
        </w:tc>
        <w:tc>
          <w:tcPr>
            <w:tcW w:w="547" w:type="pct"/>
            <w:shd w:val="clear" w:color="auto" w:fill="auto"/>
            <w:vAlign w:val="center"/>
          </w:tcPr>
          <w:p w:rsidR="00D12058" w:rsidRPr="00653A17" w:rsidRDefault="00D12058" w:rsidP="0074610D">
            <w:pPr>
              <w:pStyle w:val="TableText"/>
              <w:keepNext/>
              <w:widowControl/>
              <w:tabs>
                <w:tab w:val="decimal" w:pos="396"/>
              </w:tabs>
              <w:jc w:val="center"/>
            </w:pPr>
            <w:r w:rsidRPr="007A273D">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7A273D">
              <w:t>$</w:t>
            </w:r>
            <w:r w:rsidR="005C3678">
              <w:rPr>
                <w:noProof/>
                <w:color w:val="000000"/>
                <w:highlight w:val="black"/>
              </w:rPr>
              <w:t>''''''''''''''''''''''</w:t>
            </w:r>
          </w:p>
        </w:tc>
        <w:tc>
          <w:tcPr>
            <w:tcW w:w="547" w:type="pct"/>
            <w:shd w:val="clear" w:color="auto" w:fill="auto"/>
            <w:vAlign w:val="center"/>
          </w:tcPr>
          <w:p w:rsidR="00D12058" w:rsidRPr="00653A17" w:rsidRDefault="00D12058" w:rsidP="0074610D">
            <w:pPr>
              <w:pStyle w:val="TableText"/>
              <w:keepNext/>
              <w:widowControl/>
              <w:tabs>
                <w:tab w:val="decimal" w:pos="396"/>
              </w:tabs>
              <w:jc w:val="center"/>
            </w:pPr>
            <w:r w:rsidRPr="007A273D">
              <w:t>$</w:t>
            </w:r>
            <w:r w:rsidR="005C3678">
              <w:rPr>
                <w:noProof/>
                <w:color w:val="000000"/>
                <w:highlight w:val="black"/>
              </w:rPr>
              <w:t>'''''''''''''''''''''''''</w:t>
            </w:r>
          </w:p>
        </w:tc>
        <w:tc>
          <w:tcPr>
            <w:tcW w:w="548" w:type="pct"/>
            <w:shd w:val="clear" w:color="auto" w:fill="auto"/>
            <w:vAlign w:val="center"/>
          </w:tcPr>
          <w:p w:rsidR="00D12058" w:rsidRPr="00653A17" w:rsidRDefault="00D12058" w:rsidP="0074610D">
            <w:pPr>
              <w:pStyle w:val="TableText"/>
              <w:keepNext/>
              <w:widowControl/>
              <w:tabs>
                <w:tab w:val="decimal" w:pos="396"/>
              </w:tabs>
              <w:jc w:val="center"/>
            </w:pPr>
            <w:r w:rsidRPr="007A273D">
              <w:t>$</w:t>
            </w:r>
            <w:r w:rsidR="005C3678">
              <w:rPr>
                <w:noProof/>
                <w:color w:val="000000"/>
                <w:highlight w:val="black"/>
              </w:rPr>
              <w:t>'''''''''''''''''''''''''</w:t>
            </w:r>
          </w:p>
        </w:tc>
      </w:tr>
      <w:tr w:rsidR="00C04D13" w:rsidRPr="00DC08B0" w:rsidTr="00076B7E">
        <w:tc>
          <w:tcPr>
            <w:tcW w:w="1714" w:type="pct"/>
            <w:shd w:val="clear" w:color="auto" w:fill="auto"/>
            <w:vAlign w:val="center"/>
          </w:tcPr>
          <w:p w:rsidR="00D12058" w:rsidRDefault="00D12058" w:rsidP="0074610D">
            <w:pPr>
              <w:pStyle w:val="TableText"/>
              <w:keepNext/>
              <w:widowControl/>
            </w:pPr>
            <w:r>
              <w:t>Net cost to the MBS</w:t>
            </w:r>
          </w:p>
        </w:tc>
        <w:tc>
          <w:tcPr>
            <w:tcW w:w="547" w:type="pct"/>
            <w:shd w:val="clear" w:color="auto" w:fill="auto"/>
            <w:vAlign w:val="center"/>
          </w:tcPr>
          <w:p w:rsidR="00D12058" w:rsidRPr="007A273D" w:rsidRDefault="00D12058" w:rsidP="0074610D">
            <w:pPr>
              <w:pStyle w:val="TableNumber"/>
              <w:keepNext/>
              <w:widowControl/>
            </w:pPr>
            <w:r w:rsidRPr="007E7797">
              <w:t>$</w:t>
            </w:r>
            <w:r w:rsidR="005C3678">
              <w:rPr>
                <w:noProof/>
                <w:color w:val="000000"/>
                <w:highlight w:val="black"/>
              </w:rPr>
              <w:t>''''''''''''''''''''</w:t>
            </w:r>
          </w:p>
        </w:tc>
        <w:tc>
          <w:tcPr>
            <w:tcW w:w="548" w:type="pct"/>
            <w:shd w:val="clear" w:color="auto" w:fill="auto"/>
            <w:vAlign w:val="center"/>
          </w:tcPr>
          <w:p w:rsidR="00D12058" w:rsidRPr="007A273D" w:rsidRDefault="00D12058" w:rsidP="0074610D">
            <w:pPr>
              <w:pStyle w:val="TableText"/>
              <w:keepNext/>
              <w:widowControl/>
              <w:tabs>
                <w:tab w:val="decimal" w:pos="396"/>
              </w:tabs>
              <w:jc w:val="center"/>
            </w:pPr>
            <w:r w:rsidRPr="007E7797">
              <w:t>$</w:t>
            </w:r>
            <w:r w:rsidR="005C3678">
              <w:rPr>
                <w:noProof/>
                <w:color w:val="000000"/>
                <w:highlight w:val="black"/>
              </w:rPr>
              <w:t>''''''''''''''''''''</w:t>
            </w:r>
          </w:p>
        </w:tc>
        <w:tc>
          <w:tcPr>
            <w:tcW w:w="547" w:type="pct"/>
            <w:shd w:val="clear" w:color="auto" w:fill="auto"/>
            <w:vAlign w:val="center"/>
          </w:tcPr>
          <w:p w:rsidR="00D12058" w:rsidRPr="007A273D" w:rsidRDefault="00D12058" w:rsidP="0074610D">
            <w:pPr>
              <w:pStyle w:val="TableText"/>
              <w:keepNext/>
              <w:widowControl/>
              <w:tabs>
                <w:tab w:val="decimal" w:pos="396"/>
              </w:tabs>
              <w:jc w:val="center"/>
            </w:pPr>
            <w:r w:rsidRPr="007E7797">
              <w:t>$</w:t>
            </w:r>
            <w:r w:rsidR="005C3678">
              <w:rPr>
                <w:noProof/>
                <w:color w:val="000000"/>
                <w:highlight w:val="black"/>
              </w:rPr>
              <w:t>''''''''''''''''''''</w:t>
            </w:r>
          </w:p>
        </w:tc>
        <w:tc>
          <w:tcPr>
            <w:tcW w:w="548" w:type="pct"/>
            <w:shd w:val="clear" w:color="auto" w:fill="auto"/>
            <w:vAlign w:val="center"/>
          </w:tcPr>
          <w:p w:rsidR="00D12058" w:rsidRPr="007A273D" w:rsidRDefault="00D12058" w:rsidP="0074610D">
            <w:pPr>
              <w:pStyle w:val="TableText"/>
              <w:keepNext/>
              <w:widowControl/>
              <w:tabs>
                <w:tab w:val="decimal" w:pos="396"/>
              </w:tabs>
              <w:jc w:val="center"/>
            </w:pPr>
            <w:r w:rsidRPr="007E7797">
              <w:t>$</w:t>
            </w:r>
            <w:r w:rsidR="005C3678">
              <w:rPr>
                <w:noProof/>
                <w:color w:val="000000"/>
                <w:highlight w:val="black"/>
              </w:rPr>
              <w:t>''''''''''''''''''</w:t>
            </w:r>
          </w:p>
        </w:tc>
        <w:tc>
          <w:tcPr>
            <w:tcW w:w="547" w:type="pct"/>
            <w:shd w:val="clear" w:color="auto" w:fill="auto"/>
            <w:vAlign w:val="center"/>
          </w:tcPr>
          <w:p w:rsidR="00D12058" w:rsidRPr="007A273D" w:rsidRDefault="00D12058" w:rsidP="0074610D">
            <w:pPr>
              <w:pStyle w:val="TableText"/>
              <w:keepNext/>
              <w:widowControl/>
              <w:tabs>
                <w:tab w:val="decimal" w:pos="396"/>
              </w:tabs>
              <w:jc w:val="center"/>
            </w:pPr>
            <w:r w:rsidRPr="007E7797">
              <w:t>$</w:t>
            </w:r>
            <w:r w:rsidR="005C3678">
              <w:rPr>
                <w:noProof/>
                <w:color w:val="000000"/>
                <w:highlight w:val="black"/>
              </w:rPr>
              <w:t>'''''''''''''''''''''</w:t>
            </w:r>
          </w:p>
        </w:tc>
        <w:tc>
          <w:tcPr>
            <w:tcW w:w="548" w:type="pct"/>
            <w:shd w:val="clear" w:color="auto" w:fill="auto"/>
            <w:vAlign w:val="center"/>
          </w:tcPr>
          <w:p w:rsidR="00D12058" w:rsidRPr="007A273D" w:rsidRDefault="00D12058" w:rsidP="0074610D">
            <w:pPr>
              <w:pStyle w:val="TableText"/>
              <w:keepNext/>
              <w:widowControl/>
              <w:tabs>
                <w:tab w:val="decimal" w:pos="396"/>
              </w:tabs>
              <w:jc w:val="center"/>
            </w:pPr>
            <w:r w:rsidRPr="007E7797">
              <w:t>$</w:t>
            </w:r>
            <w:r w:rsidR="005C3678">
              <w:rPr>
                <w:noProof/>
                <w:color w:val="000000"/>
                <w:highlight w:val="black"/>
              </w:rPr>
              <w:t>'''''''''''''''''''''</w:t>
            </w:r>
          </w:p>
        </w:tc>
      </w:tr>
      <w:tr w:rsidR="00D12058" w:rsidRPr="00DC08B0" w:rsidTr="00076B7E">
        <w:tc>
          <w:tcPr>
            <w:tcW w:w="5000" w:type="pct"/>
            <w:gridSpan w:val="7"/>
            <w:shd w:val="clear" w:color="auto" w:fill="auto"/>
            <w:vAlign w:val="center"/>
          </w:tcPr>
          <w:p w:rsidR="00D12058" w:rsidRPr="00DC08B0" w:rsidRDefault="00D12058" w:rsidP="0074610D">
            <w:pPr>
              <w:pStyle w:val="TableText"/>
              <w:keepNext/>
              <w:widowControl/>
              <w:rPr>
                <w:b/>
              </w:rPr>
            </w:pPr>
            <w:r w:rsidRPr="00DC08B0">
              <w:rPr>
                <w:b/>
              </w:rPr>
              <w:t xml:space="preserve">Estimated extent of use of </w:t>
            </w:r>
            <w:proofErr w:type="spellStart"/>
            <w:r>
              <w:rPr>
                <w:b/>
              </w:rPr>
              <w:t>olaparib</w:t>
            </w:r>
            <w:proofErr w:type="spellEnd"/>
            <w:r>
              <w:rPr>
                <w:b/>
              </w:rPr>
              <w:t xml:space="preserve"> for </w:t>
            </w:r>
            <w:proofErr w:type="spellStart"/>
            <w:r w:rsidRPr="00D12058">
              <w:rPr>
                <w:b/>
                <w:i/>
                <w:iCs/>
              </w:rPr>
              <w:t>BRCA</w:t>
            </w:r>
            <w:r>
              <w:rPr>
                <w:b/>
              </w:rPr>
              <w:t>m</w:t>
            </w:r>
            <w:proofErr w:type="spellEnd"/>
            <w:r>
              <w:rPr>
                <w:b/>
              </w:rPr>
              <w:t xml:space="preserve"> patients in the first-line maintenance setting</w:t>
            </w:r>
          </w:p>
        </w:tc>
      </w:tr>
      <w:tr w:rsidR="00C04D13" w:rsidRPr="00DC08B0" w:rsidTr="00076B7E">
        <w:tc>
          <w:tcPr>
            <w:tcW w:w="1714" w:type="pct"/>
            <w:shd w:val="clear" w:color="auto" w:fill="auto"/>
            <w:vAlign w:val="center"/>
          </w:tcPr>
          <w:p w:rsidR="00D12058" w:rsidRPr="00DC08B0" w:rsidRDefault="00D12058" w:rsidP="0074610D">
            <w:pPr>
              <w:pStyle w:val="TableText"/>
              <w:keepNext/>
              <w:widowControl/>
            </w:pPr>
            <w:r w:rsidRPr="00DC08B0">
              <w:t xml:space="preserve">Number of patients likely to receive a positive test </w:t>
            </w:r>
            <w:proofErr w:type="spellStart"/>
            <w:r w:rsidRPr="00DC08B0">
              <w:t>result</w:t>
            </w:r>
            <w:r>
              <w:rPr>
                <w:vertAlign w:val="superscript"/>
              </w:rPr>
              <w:t>b</w:t>
            </w:r>
            <w:proofErr w:type="spellEnd"/>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r>
      <w:tr w:rsidR="00C04D13" w:rsidRPr="00DC08B0" w:rsidTr="00076B7E">
        <w:tc>
          <w:tcPr>
            <w:tcW w:w="1714" w:type="pct"/>
            <w:shd w:val="clear" w:color="auto" w:fill="auto"/>
            <w:vAlign w:val="center"/>
          </w:tcPr>
          <w:p w:rsidR="00D12058" w:rsidRPr="00DC08B0" w:rsidRDefault="00D12058" w:rsidP="0074610D">
            <w:pPr>
              <w:pStyle w:val="TableText"/>
              <w:keepNext/>
              <w:widowControl/>
              <w:rPr>
                <w:rFonts w:ascii="Times" w:eastAsia="Times New Roman" w:hAnsi="Times" w:cs="Times New Roman"/>
              </w:rPr>
            </w:pPr>
            <w:r w:rsidRPr="00DC08B0">
              <w:t xml:space="preserve">Number of patients likely to be treated with proposed </w:t>
            </w:r>
            <w:proofErr w:type="spellStart"/>
            <w:r w:rsidRPr="00DC08B0">
              <w:t>medicine</w:t>
            </w:r>
            <w:r w:rsidR="000E6580">
              <w:rPr>
                <w:vertAlign w:val="superscript"/>
              </w:rPr>
              <w:t>b</w:t>
            </w:r>
            <w:r w:rsidR="00CE2613" w:rsidRPr="00CE2613">
              <w:rPr>
                <w:vertAlign w:val="superscript"/>
              </w:rPr>
              <w:t>,</w:t>
            </w:r>
            <w:r w:rsidRPr="00D12058">
              <w:rPr>
                <w:vertAlign w:val="superscript"/>
              </w:rPr>
              <w:t>c</w:t>
            </w:r>
            <w:proofErr w:type="spellEnd"/>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r>
      <w:tr w:rsidR="00C04D13" w:rsidRPr="00DC08B0" w:rsidTr="00076B7E">
        <w:tc>
          <w:tcPr>
            <w:tcW w:w="1714" w:type="pct"/>
            <w:shd w:val="clear" w:color="auto" w:fill="auto"/>
            <w:vAlign w:val="center"/>
          </w:tcPr>
          <w:p w:rsidR="00D12058" w:rsidRPr="00DC08B0" w:rsidRDefault="00D12058" w:rsidP="0074610D">
            <w:pPr>
              <w:pStyle w:val="TableText"/>
              <w:keepNext/>
              <w:widowControl/>
              <w:rPr>
                <w:rFonts w:ascii="Times" w:eastAsia="Times New Roman" w:hAnsi="Times" w:cs="Times New Roman"/>
              </w:rPr>
            </w:pPr>
            <w:r w:rsidRPr="00DC08B0">
              <w:t xml:space="preserve">Number of scripts </w:t>
            </w:r>
            <w:proofErr w:type="spellStart"/>
            <w:r w:rsidRPr="00DC08B0">
              <w:t>dispensed</w:t>
            </w:r>
            <w:r>
              <w:rPr>
                <w:vertAlign w:val="superscript"/>
              </w:rPr>
              <w:t>d</w:t>
            </w:r>
            <w:proofErr w:type="spellEnd"/>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7"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c>
          <w:tcPr>
            <w:tcW w:w="548" w:type="pct"/>
            <w:shd w:val="clear" w:color="auto" w:fill="auto"/>
            <w:vAlign w:val="center"/>
          </w:tcPr>
          <w:p w:rsidR="00D12058" w:rsidRPr="005C3678" w:rsidRDefault="005C3678" w:rsidP="0074610D">
            <w:pPr>
              <w:pStyle w:val="TableText"/>
              <w:keepNext/>
              <w:widowControl/>
              <w:jc w:val="center"/>
              <w:rPr>
                <w:highlight w:val="black"/>
              </w:rPr>
            </w:pPr>
            <w:r>
              <w:rPr>
                <w:noProof/>
                <w:color w:val="000000"/>
                <w:highlight w:val="black"/>
              </w:rPr>
              <w:t>''''''''''''''</w:t>
            </w:r>
          </w:p>
        </w:tc>
      </w:tr>
      <w:tr w:rsidR="00D12058" w:rsidRPr="00DC08B0" w:rsidTr="00076B7E">
        <w:tc>
          <w:tcPr>
            <w:tcW w:w="5000" w:type="pct"/>
            <w:gridSpan w:val="7"/>
            <w:shd w:val="clear" w:color="auto" w:fill="auto"/>
            <w:vAlign w:val="center"/>
          </w:tcPr>
          <w:p w:rsidR="00D12058" w:rsidRPr="00DC08B0" w:rsidRDefault="00D12058" w:rsidP="0074610D">
            <w:pPr>
              <w:pStyle w:val="TableText"/>
              <w:keepNext/>
              <w:widowControl/>
              <w:rPr>
                <w:b/>
              </w:rPr>
            </w:pPr>
            <w:r w:rsidRPr="00DC08B0">
              <w:rPr>
                <w:b/>
              </w:rPr>
              <w:t>Estim</w:t>
            </w:r>
            <w:r w:rsidR="00594EF5">
              <w:rPr>
                <w:b/>
              </w:rPr>
              <w:t xml:space="preserve">ated financial implications of </w:t>
            </w:r>
            <w:proofErr w:type="spellStart"/>
            <w:r w:rsidR="00594EF5">
              <w:rPr>
                <w:b/>
              </w:rPr>
              <w:t>olaparib</w:t>
            </w:r>
            <w:proofErr w:type="spellEnd"/>
            <w:r w:rsidR="00594EF5">
              <w:rPr>
                <w:b/>
              </w:rPr>
              <w:t xml:space="preserve"> used in the first-line maintenance setting</w:t>
            </w:r>
          </w:p>
        </w:tc>
      </w:tr>
      <w:tr w:rsidR="00C04D13" w:rsidRPr="00DC08B0" w:rsidTr="00076B7E">
        <w:tc>
          <w:tcPr>
            <w:tcW w:w="1714" w:type="pct"/>
            <w:shd w:val="clear" w:color="auto" w:fill="auto"/>
            <w:vAlign w:val="center"/>
          </w:tcPr>
          <w:p w:rsidR="00594EF5" w:rsidRPr="00DC08B0" w:rsidRDefault="00594EF5" w:rsidP="0074610D">
            <w:pPr>
              <w:pStyle w:val="TableText"/>
              <w:keepNext/>
              <w:widowControl/>
              <w:rPr>
                <w:rFonts w:ascii="Times" w:eastAsia="Times New Roman" w:hAnsi="Times" w:cs="Times New Roman"/>
              </w:rPr>
            </w:pPr>
            <w:r w:rsidRPr="00DC08B0">
              <w:t>Cost to PBS/RPBS</w:t>
            </w:r>
          </w:p>
        </w:tc>
        <w:tc>
          <w:tcPr>
            <w:tcW w:w="547"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486D95">
              <w:t>$</w:t>
            </w:r>
            <w:r w:rsidR="005C3678">
              <w:rPr>
                <w:noProof/>
                <w:color w:val="000000"/>
                <w:highlight w:val="black"/>
              </w:rPr>
              <w:t>'''''''''''''''''''''''''</w:t>
            </w:r>
          </w:p>
        </w:tc>
      </w:tr>
      <w:tr w:rsidR="00C04D13" w:rsidRPr="00DC08B0" w:rsidTr="00076B7E">
        <w:tc>
          <w:tcPr>
            <w:tcW w:w="1714" w:type="pct"/>
            <w:shd w:val="clear" w:color="auto" w:fill="auto"/>
            <w:vAlign w:val="center"/>
          </w:tcPr>
          <w:p w:rsidR="00594EF5" w:rsidRPr="00DC08B0" w:rsidRDefault="00594EF5" w:rsidP="0074610D">
            <w:pPr>
              <w:pStyle w:val="TableText"/>
              <w:keepNext/>
              <w:widowControl/>
            </w:pPr>
            <w:proofErr w:type="spellStart"/>
            <w:r w:rsidRPr="00DC08B0">
              <w:t>Copayments</w:t>
            </w:r>
            <w:proofErr w:type="spellEnd"/>
          </w:p>
        </w:tc>
        <w:tc>
          <w:tcPr>
            <w:tcW w:w="547"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D47B56">
              <w:t>$</w:t>
            </w:r>
            <w:r w:rsidR="005C3678">
              <w:rPr>
                <w:noProof/>
                <w:color w:val="000000"/>
                <w:highlight w:val="black"/>
              </w:rPr>
              <w:t>''''''''''''''''''</w:t>
            </w:r>
          </w:p>
        </w:tc>
      </w:tr>
      <w:tr w:rsidR="00C04D13" w:rsidRPr="00DC08B0" w:rsidTr="00076B7E">
        <w:tc>
          <w:tcPr>
            <w:tcW w:w="1714" w:type="pct"/>
            <w:shd w:val="clear" w:color="auto" w:fill="auto"/>
            <w:vAlign w:val="center"/>
          </w:tcPr>
          <w:p w:rsidR="00594EF5" w:rsidRPr="00DC08B0" w:rsidRDefault="00594EF5" w:rsidP="0074610D">
            <w:pPr>
              <w:pStyle w:val="TableText"/>
              <w:keepNext/>
              <w:widowControl/>
            </w:pPr>
            <w:r w:rsidRPr="00DC08B0">
              <w:t xml:space="preserve">Cost to PBS/RPBS less </w:t>
            </w:r>
            <w:proofErr w:type="spellStart"/>
            <w:r w:rsidRPr="00DC08B0">
              <w:t>copayments</w:t>
            </w:r>
            <w:proofErr w:type="spellEnd"/>
          </w:p>
        </w:tc>
        <w:tc>
          <w:tcPr>
            <w:tcW w:w="547"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c>
          <w:tcPr>
            <w:tcW w:w="547"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c>
          <w:tcPr>
            <w:tcW w:w="548" w:type="pct"/>
            <w:shd w:val="clear" w:color="auto" w:fill="auto"/>
            <w:vAlign w:val="center"/>
          </w:tcPr>
          <w:p w:rsidR="00594EF5" w:rsidRPr="00DC08B0" w:rsidRDefault="00594EF5" w:rsidP="0074610D">
            <w:pPr>
              <w:pStyle w:val="TableText"/>
              <w:keepNext/>
              <w:widowControl/>
              <w:jc w:val="center"/>
            </w:pPr>
            <w:r w:rsidRPr="0093670F">
              <w:t>$</w:t>
            </w:r>
            <w:r w:rsidR="005C3678">
              <w:rPr>
                <w:noProof/>
                <w:color w:val="000000"/>
                <w:highlight w:val="black"/>
              </w:rPr>
              <w:t>''''''''''''''''''''''''''</w:t>
            </w:r>
          </w:p>
        </w:tc>
      </w:tr>
      <w:tr w:rsidR="00D12058" w:rsidRPr="00DC08B0" w:rsidTr="00076B7E">
        <w:tc>
          <w:tcPr>
            <w:tcW w:w="5000" w:type="pct"/>
            <w:gridSpan w:val="7"/>
            <w:shd w:val="clear" w:color="auto" w:fill="auto"/>
            <w:vAlign w:val="center"/>
          </w:tcPr>
          <w:p w:rsidR="00D12058" w:rsidRPr="00DC08B0" w:rsidRDefault="00D12058" w:rsidP="0074610D">
            <w:pPr>
              <w:pStyle w:val="TableText"/>
              <w:keepNext/>
              <w:widowControl/>
              <w:rPr>
                <w:b/>
              </w:rPr>
            </w:pPr>
            <w:r w:rsidRPr="00DC08B0">
              <w:rPr>
                <w:b/>
              </w:rPr>
              <w:t>Estimated financial implication</w:t>
            </w:r>
            <w:r w:rsidR="00594EF5">
              <w:rPr>
                <w:b/>
              </w:rPr>
              <w:t xml:space="preserve">s for the reduction of </w:t>
            </w:r>
            <w:proofErr w:type="spellStart"/>
            <w:r w:rsidR="00594EF5">
              <w:rPr>
                <w:b/>
              </w:rPr>
              <w:t>olaparib</w:t>
            </w:r>
            <w:proofErr w:type="spellEnd"/>
            <w:r w:rsidR="00594EF5">
              <w:rPr>
                <w:b/>
              </w:rPr>
              <w:t xml:space="preserve"> used in the second-line maintenance setting</w:t>
            </w:r>
          </w:p>
        </w:tc>
      </w:tr>
      <w:tr w:rsidR="00C04D13" w:rsidRPr="00DC08B0" w:rsidTr="00076B7E">
        <w:tc>
          <w:tcPr>
            <w:tcW w:w="1714" w:type="pct"/>
            <w:shd w:val="clear" w:color="auto" w:fill="auto"/>
            <w:vAlign w:val="center"/>
          </w:tcPr>
          <w:p w:rsidR="00C04D13" w:rsidRPr="00DC08B0" w:rsidRDefault="00C04D13" w:rsidP="0074610D">
            <w:pPr>
              <w:pStyle w:val="TableText"/>
              <w:keepNext/>
              <w:widowControl/>
            </w:pPr>
            <w:r w:rsidRPr="00DC08B0">
              <w:t>Cost to PBS/RPBS</w:t>
            </w:r>
          </w:p>
        </w:tc>
        <w:tc>
          <w:tcPr>
            <w:tcW w:w="547"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1F3798">
              <w:t>$</w:t>
            </w:r>
            <w:r w:rsidR="005C3678">
              <w:rPr>
                <w:noProof/>
                <w:color w:val="000000"/>
                <w:highlight w:val="black"/>
              </w:rPr>
              <w:t>'''''''''''''''''''''</w:t>
            </w:r>
          </w:p>
        </w:tc>
      </w:tr>
      <w:tr w:rsidR="00C04D13" w:rsidRPr="00DC08B0" w:rsidTr="00076B7E">
        <w:tc>
          <w:tcPr>
            <w:tcW w:w="1714" w:type="pct"/>
            <w:shd w:val="clear" w:color="auto" w:fill="auto"/>
            <w:vAlign w:val="center"/>
          </w:tcPr>
          <w:p w:rsidR="00C04D13" w:rsidRPr="00DC08B0" w:rsidRDefault="00C04D13" w:rsidP="0074610D">
            <w:pPr>
              <w:pStyle w:val="TableText"/>
              <w:keepNext/>
              <w:widowControl/>
            </w:pPr>
            <w:proofErr w:type="spellStart"/>
            <w:r w:rsidRPr="00DC08B0">
              <w:t>Copayments</w:t>
            </w:r>
            <w:proofErr w:type="spellEnd"/>
          </w:p>
        </w:tc>
        <w:tc>
          <w:tcPr>
            <w:tcW w:w="547"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8D0B4F">
              <w:t>$</w:t>
            </w:r>
            <w:r w:rsidR="005C3678">
              <w:rPr>
                <w:noProof/>
                <w:color w:val="000000"/>
                <w:highlight w:val="black"/>
              </w:rPr>
              <w:t>'''''''''''''''''</w:t>
            </w:r>
          </w:p>
        </w:tc>
      </w:tr>
      <w:tr w:rsidR="00C04D13" w:rsidRPr="00DC08B0" w:rsidTr="00076B7E">
        <w:tc>
          <w:tcPr>
            <w:tcW w:w="1714" w:type="pct"/>
            <w:shd w:val="clear" w:color="auto" w:fill="auto"/>
            <w:vAlign w:val="center"/>
          </w:tcPr>
          <w:p w:rsidR="00C04D13" w:rsidRPr="00DC08B0" w:rsidRDefault="00C04D13" w:rsidP="0074610D">
            <w:pPr>
              <w:pStyle w:val="TableText"/>
              <w:keepNext/>
              <w:widowControl/>
            </w:pPr>
            <w:r w:rsidRPr="00DC08B0">
              <w:t xml:space="preserve">Cost to PBS/RPBS less </w:t>
            </w:r>
            <w:proofErr w:type="spellStart"/>
            <w:r w:rsidRPr="00DC08B0">
              <w:t>copayments</w:t>
            </w:r>
            <w:proofErr w:type="spellEnd"/>
          </w:p>
        </w:tc>
        <w:tc>
          <w:tcPr>
            <w:tcW w:w="547"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C5168">
              <w:t>$</w:t>
            </w:r>
            <w:r w:rsidR="005C3678">
              <w:rPr>
                <w:noProof/>
                <w:color w:val="000000"/>
                <w:highlight w:val="black"/>
              </w:rPr>
              <w:t>'''''''''''''''''''''''</w:t>
            </w:r>
          </w:p>
        </w:tc>
      </w:tr>
      <w:tr w:rsidR="00D12058" w:rsidRPr="00DC08B0" w:rsidTr="00076B7E">
        <w:tc>
          <w:tcPr>
            <w:tcW w:w="5000" w:type="pct"/>
            <w:gridSpan w:val="7"/>
            <w:shd w:val="clear" w:color="auto" w:fill="auto"/>
            <w:vAlign w:val="center"/>
          </w:tcPr>
          <w:p w:rsidR="00D12058" w:rsidRPr="00DC08B0" w:rsidRDefault="00D12058" w:rsidP="0074610D">
            <w:pPr>
              <w:pStyle w:val="TableText"/>
              <w:keepNext/>
              <w:widowControl/>
              <w:rPr>
                <w:b/>
              </w:rPr>
            </w:pPr>
            <w:r w:rsidRPr="00DC08B0">
              <w:rPr>
                <w:b/>
              </w:rPr>
              <w:t>Net financial implications</w:t>
            </w:r>
            <w:r w:rsidR="00C04D13" w:rsidRPr="00C04D13">
              <w:rPr>
                <w:b/>
              </w:rPr>
              <w:t xml:space="preserve"> to the PBS</w:t>
            </w:r>
          </w:p>
        </w:tc>
      </w:tr>
      <w:tr w:rsidR="00C04D13" w:rsidRPr="00DC08B0" w:rsidTr="00076B7E">
        <w:tc>
          <w:tcPr>
            <w:tcW w:w="1714" w:type="pct"/>
            <w:shd w:val="clear" w:color="auto" w:fill="auto"/>
            <w:vAlign w:val="center"/>
          </w:tcPr>
          <w:p w:rsidR="00C04D13" w:rsidRPr="00DC08B0" w:rsidRDefault="00C04D13" w:rsidP="0074610D">
            <w:pPr>
              <w:pStyle w:val="TableText"/>
              <w:keepNext/>
              <w:widowControl/>
            </w:pPr>
            <w:r w:rsidRPr="00DC08B0">
              <w:t>Net cost to PBS/RPBS</w:t>
            </w:r>
          </w:p>
        </w:tc>
        <w:tc>
          <w:tcPr>
            <w:tcW w:w="547"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c>
          <w:tcPr>
            <w:tcW w:w="547"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c>
          <w:tcPr>
            <w:tcW w:w="548" w:type="pct"/>
            <w:shd w:val="clear" w:color="auto" w:fill="auto"/>
            <w:vAlign w:val="center"/>
          </w:tcPr>
          <w:p w:rsidR="00C04D13" w:rsidRPr="00DC08B0" w:rsidRDefault="00C04D13" w:rsidP="0074610D">
            <w:pPr>
              <w:pStyle w:val="TableText"/>
              <w:keepNext/>
              <w:widowControl/>
              <w:jc w:val="center"/>
            </w:pPr>
            <w:r w:rsidRPr="000579CC">
              <w:t>$</w:t>
            </w:r>
            <w:r w:rsidR="005C3678">
              <w:rPr>
                <w:noProof/>
                <w:color w:val="000000"/>
                <w:highlight w:val="black"/>
              </w:rPr>
              <w:t>''''''''''''''''''''''''''''</w:t>
            </w:r>
          </w:p>
        </w:tc>
      </w:tr>
    </w:tbl>
    <w:p w:rsidR="000E6580" w:rsidRDefault="000E6580" w:rsidP="0074610D">
      <w:pPr>
        <w:pStyle w:val="TableFooter"/>
        <w:keepNext/>
        <w:widowControl/>
      </w:pPr>
      <w:proofErr w:type="spellStart"/>
      <w:proofErr w:type="gramStart"/>
      <w:r>
        <w:rPr>
          <w:vertAlign w:val="superscript"/>
        </w:rPr>
        <w:t>a</w:t>
      </w:r>
      <w:r>
        <w:t>The</w:t>
      </w:r>
      <w:proofErr w:type="spellEnd"/>
      <w:proofErr w:type="gramEnd"/>
      <w:r>
        <w:t xml:space="preserve"> estimate of the number of patients receiving a positive </w:t>
      </w:r>
      <w:proofErr w:type="spellStart"/>
      <w:r w:rsidRPr="00C04D13">
        <w:rPr>
          <w:i/>
          <w:iCs/>
        </w:rPr>
        <w:t>BRCA</w:t>
      </w:r>
      <w:r>
        <w:t>m</w:t>
      </w:r>
      <w:proofErr w:type="spellEnd"/>
      <w:r>
        <w:t xml:space="preserve"> test has been adjusted to include those patients who would receive a germline test if tissue testing is not feasible.</w:t>
      </w:r>
    </w:p>
    <w:p w:rsidR="00D12058" w:rsidRDefault="000E6580" w:rsidP="00563974">
      <w:pPr>
        <w:pStyle w:val="TableFooter"/>
        <w:widowControl/>
      </w:pPr>
      <w:proofErr w:type="spellStart"/>
      <w:proofErr w:type="gramStart"/>
      <w:r>
        <w:rPr>
          <w:vertAlign w:val="superscript"/>
        </w:rPr>
        <w:t>b</w:t>
      </w:r>
      <w:r w:rsidR="00D12058">
        <w:t>Re</w:t>
      </w:r>
      <w:proofErr w:type="spellEnd"/>
      <w:r w:rsidR="00D12058">
        <w:t>-calculated</w:t>
      </w:r>
      <w:proofErr w:type="gramEnd"/>
      <w:r w:rsidR="00D12058">
        <w:t xml:space="preserve"> during the evaluation to account for a higher proportion of patients receiving a germline test at baseline.</w:t>
      </w:r>
    </w:p>
    <w:p w:rsidR="00D12058" w:rsidRDefault="00D12058" w:rsidP="00563974">
      <w:pPr>
        <w:pStyle w:val="TableFooter"/>
        <w:widowControl/>
      </w:pPr>
      <w:proofErr w:type="spellStart"/>
      <w:proofErr w:type="gramStart"/>
      <w:r w:rsidRPr="00D12058">
        <w:rPr>
          <w:vertAlign w:val="superscript"/>
        </w:rPr>
        <w:t>c</w:t>
      </w:r>
      <w:r>
        <w:t>Includes</w:t>
      </w:r>
      <w:proofErr w:type="spellEnd"/>
      <w:proofErr w:type="gramEnd"/>
      <w:r>
        <w:t xml:space="preserve"> an estimated </w:t>
      </w:r>
      <w:r w:rsidR="005C3678">
        <w:rPr>
          <w:noProof/>
          <w:color w:val="000000"/>
          <w:highlight w:val="black"/>
        </w:rPr>
        <w:t xml:space="preserve">''''''''' </w:t>
      </w:r>
      <w:r>
        <w:t>grandfathered patients</w:t>
      </w:r>
      <w:r w:rsidR="00C04D13">
        <w:t xml:space="preserve"> (in year 1) and an increase in the number of patients treated (approximately </w:t>
      </w:r>
      <w:r w:rsidR="00520927">
        <w:t>8</w:t>
      </w:r>
      <w:r w:rsidR="00C04D13">
        <w:t xml:space="preserve"> per year) based on the use of a germline </w:t>
      </w:r>
      <w:proofErr w:type="spellStart"/>
      <w:r w:rsidR="00C04D13" w:rsidRPr="00C04D13">
        <w:rPr>
          <w:i/>
          <w:iCs/>
        </w:rPr>
        <w:t>BRCA</w:t>
      </w:r>
      <w:r w:rsidR="00C04D13">
        <w:t>m</w:t>
      </w:r>
      <w:proofErr w:type="spellEnd"/>
      <w:r w:rsidR="00C04D13">
        <w:t xml:space="preserve"> test when tissue testing is not feasible.</w:t>
      </w:r>
    </w:p>
    <w:p w:rsidR="00D12058" w:rsidRPr="00DA26BE" w:rsidRDefault="00D12058" w:rsidP="00563974">
      <w:pPr>
        <w:pStyle w:val="TableFooter"/>
        <w:widowControl/>
      </w:pPr>
      <w:proofErr w:type="spellStart"/>
      <w:proofErr w:type="gramStart"/>
      <w:r w:rsidRPr="00DA26BE">
        <w:rPr>
          <w:vertAlign w:val="superscript"/>
        </w:rPr>
        <w:t>d</w:t>
      </w:r>
      <w:r w:rsidRPr="00DA26BE">
        <w:t>The</w:t>
      </w:r>
      <w:proofErr w:type="spellEnd"/>
      <w:proofErr w:type="gramEnd"/>
      <w:r w:rsidRPr="00DA26BE">
        <w:t xml:space="preserve"> submission has not </w:t>
      </w:r>
      <w:r w:rsidR="00594EF5" w:rsidRPr="00DA26BE">
        <w:t xml:space="preserve">applied a calculation of average number of scripts per year per patient. The method for calculating scripts is based on the number of patients receiving </w:t>
      </w:r>
      <w:proofErr w:type="spellStart"/>
      <w:r w:rsidR="00594EF5" w:rsidRPr="00DA26BE">
        <w:t>olaparib</w:t>
      </w:r>
      <w:proofErr w:type="spellEnd"/>
      <w:r w:rsidR="00594EF5" w:rsidRPr="00DA26BE">
        <w:t xml:space="preserve"> each month based on a time to treatment discontinuation curve. On average, patients who begin treatment in month 1 of year 1 are calculated to receive approximately 22 scripts over six years. A small number of patients are estimated to still be receiving </w:t>
      </w:r>
      <w:proofErr w:type="spellStart"/>
      <w:r w:rsidR="00594EF5" w:rsidRPr="00DA26BE">
        <w:t>olaparib</w:t>
      </w:r>
      <w:proofErr w:type="spellEnd"/>
      <w:r w:rsidR="00594EF5" w:rsidRPr="00DA26BE">
        <w:t xml:space="preserve"> after 4 years of treatment.</w:t>
      </w:r>
    </w:p>
    <w:p w:rsidR="00317E18" w:rsidRPr="00DA26BE" w:rsidRDefault="00317E18" w:rsidP="00563974">
      <w:pPr>
        <w:pStyle w:val="TableFooter"/>
        <w:widowControl/>
      </w:pPr>
      <w:r w:rsidRPr="00DA26BE">
        <w:t xml:space="preserve">Source: </w:t>
      </w:r>
      <w:r w:rsidR="00520927" w:rsidRPr="00DA26BE">
        <w:t xml:space="preserve">Table 4-9, Table 4-10, Table 4-11, Table 4-12, Table 4-14, Table 4-15, Table 4-17, Table </w:t>
      </w:r>
      <w:r w:rsidR="005A64A8" w:rsidRPr="00DA26BE">
        <w:t xml:space="preserve">4-21, Table 4-22, Table 4-23, Table 4-24, Table 4-25, Table 4-28, Table 4-29, </w:t>
      </w:r>
      <w:r w:rsidR="00520927" w:rsidRPr="00DA26BE">
        <w:t>pp321</w:t>
      </w:r>
      <w:r w:rsidR="005A64A8" w:rsidRPr="00DA26BE">
        <w:t>-34.</w:t>
      </w:r>
    </w:p>
    <w:p w:rsidR="00DA26BE" w:rsidRPr="00DE7812" w:rsidRDefault="00520927" w:rsidP="00563974">
      <w:pPr>
        <w:pStyle w:val="ListParagraph"/>
        <w:rPr>
          <w:color w:val="auto"/>
        </w:rPr>
      </w:pPr>
      <w:r w:rsidRPr="00DA26BE">
        <w:rPr>
          <w:color w:val="auto"/>
        </w:rPr>
        <w:t xml:space="preserve">The submission estimated the number of scripts for the proposed first-line listing of </w:t>
      </w:r>
      <w:proofErr w:type="spellStart"/>
      <w:r w:rsidRPr="00DA26BE">
        <w:rPr>
          <w:color w:val="auto"/>
        </w:rPr>
        <w:t>olaparib</w:t>
      </w:r>
      <w:proofErr w:type="spellEnd"/>
      <w:r w:rsidRPr="00DA26BE">
        <w:rPr>
          <w:color w:val="auto"/>
        </w:rPr>
        <w:t xml:space="preserve"> based on staggering the initiation of patients across each month. This </w:t>
      </w:r>
      <w:r w:rsidRPr="005B305D">
        <w:rPr>
          <w:iCs/>
          <w:color w:val="auto"/>
        </w:rPr>
        <w:t xml:space="preserve">approach </w:t>
      </w:r>
      <w:r w:rsidR="009F02FB">
        <w:rPr>
          <w:iCs/>
          <w:color w:val="auto"/>
        </w:rPr>
        <w:t>wa</w:t>
      </w:r>
      <w:r w:rsidRPr="005B305D">
        <w:rPr>
          <w:iCs/>
          <w:color w:val="auto"/>
        </w:rPr>
        <w:t xml:space="preserve">s inconsistent with the method for calculating the reduction </w:t>
      </w:r>
      <w:r w:rsidR="00DA26BE" w:rsidRPr="005B305D">
        <w:rPr>
          <w:iCs/>
          <w:color w:val="auto"/>
        </w:rPr>
        <w:t xml:space="preserve">of </w:t>
      </w:r>
      <w:r w:rsidRPr="005B305D">
        <w:rPr>
          <w:iCs/>
          <w:color w:val="auto"/>
        </w:rPr>
        <w:t xml:space="preserve">use of second-line </w:t>
      </w:r>
      <w:proofErr w:type="spellStart"/>
      <w:r w:rsidRPr="005B305D">
        <w:rPr>
          <w:iCs/>
          <w:color w:val="auto"/>
        </w:rPr>
        <w:t>olaparib</w:t>
      </w:r>
      <w:proofErr w:type="spellEnd"/>
      <w:r w:rsidRPr="005B305D">
        <w:rPr>
          <w:iCs/>
          <w:color w:val="auto"/>
        </w:rPr>
        <w:t>.</w:t>
      </w:r>
      <w:r w:rsidR="00956C03" w:rsidRPr="005B305D">
        <w:rPr>
          <w:color w:val="auto"/>
        </w:rPr>
        <w:t xml:space="preserve"> The methodolog</w:t>
      </w:r>
      <w:r w:rsidR="00754232">
        <w:rPr>
          <w:color w:val="auto"/>
        </w:rPr>
        <w:t>y used in the financial model was</w:t>
      </w:r>
      <w:r w:rsidR="00956C03" w:rsidRPr="005B305D">
        <w:rPr>
          <w:color w:val="auto"/>
        </w:rPr>
        <w:t xml:space="preserve"> particularly complex, and appear</w:t>
      </w:r>
      <w:r w:rsidR="00BB4C76">
        <w:rPr>
          <w:color w:val="auto"/>
        </w:rPr>
        <w:t>ed</w:t>
      </w:r>
      <w:r w:rsidR="00956C03" w:rsidRPr="005B305D">
        <w:rPr>
          <w:color w:val="auto"/>
        </w:rPr>
        <w:t xml:space="preserve"> to deviate from the approach described in the submission in some aspects. The methods used to estimate utilisation of first-line </w:t>
      </w:r>
      <w:proofErr w:type="spellStart"/>
      <w:r w:rsidR="00956C03" w:rsidRPr="005B305D">
        <w:rPr>
          <w:color w:val="auto"/>
        </w:rPr>
        <w:t>olaparib</w:t>
      </w:r>
      <w:proofErr w:type="spellEnd"/>
      <w:r w:rsidR="00956C03" w:rsidRPr="005B305D">
        <w:rPr>
          <w:color w:val="auto"/>
        </w:rPr>
        <w:t xml:space="preserve"> </w:t>
      </w:r>
      <w:r w:rsidR="00BB4C76">
        <w:rPr>
          <w:color w:val="auto"/>
        </w:rPr>
        <w:t>were</w:t>
      </w:r>
      <w:r w:rsidR="00BB4C76" w:rsidRPr="005B305D">
        <w:rPr>
          <w:color w:val="auto"/>
        </w:rPr>
        <w:t xml:space="preserve"> </w:t>
      </w:r>
      <w:r w:rsidR="00956C03" w:rsidRPr="005B305D">
        <w:rPr>
          <w:color w:val="auto"/>
        </w:rPr>
        <w:lastRenderedPageBreak/>
        <w:t xml:space="preserve">appropriate, but </w:t>
      </w:r>
      <w:r w:rsidR="00BB4C76">
        <w:rPr>
          <w:color w:val="auto"/>
        </w:rPr>
        <w:t>were</w:t>
      </w:r>
      <w:r w:rsidR="00BB4C76" w:rsidRPr="005B305D">
        <w:rPr>
          <w:color w:val="auto"/>
        </w:rPr>
        <w:t xml:space="preserve"> </w:t>
      </w:r>
      <w:r w:rsidR="00956C03" w:rsidRPr="005B305D">
        <w:rPr>
          <w:color w:val="auto"/>
        </w:rPr>
        <w:t xml:space="preserve">inconsistent with the methods used to estimate other model outputs (such as the expected number of authorisations and the displacement of second-line use of </w:t>
      </w:r>
      <w:proofErr w:type="spellStart"/>
      <w:r w:rsidR="00956C03" w:rsidRPr="005B305D">
        <w:rPr>
          <w:color w:val="auto"/>
        </w:rPr>
        <w:t>olaparib</w:t>
      </w:r>
      <w:proofErr w:type="spellEnd"/>
      <w:r w:rsidR="00956C03" w:rsidRPr="005B305D">
        <w:rPr>
          <w:color w:val="auto"/>
        </w:rPr>
        <w:t xml:space="preserve">). </w:t>
      </w:r>
      <w:r w:rsidR="00956C03" w:rsidRPr="00076B7E">
        <w:rPr>
          <w:color w:val="auto"/>
        </w:rPr>
        <w:t xml:space="preserve">Due to the complexity of the approach, it </w:t>
      </w:r>
      <w:r w:rsidR="00BB4C76">
        <w:rPr>
          <w:color w:val="auto"/>
        </w:rPr>
        <w:t>wa</w:t>
      </w:r>
      <w:r w:rsidR="00956C03" w:rsidRPr="00076B7E">
        <w:rPr>
          <w:color w:val="auto"/>
        </w:rPr>
        <w:t>s difficult to make amendments to the financial model to incorporate alternative data or assumptions.</w:t>
      </w:r>
      <w:r w:rsidR="003B4F19">
        <w:rPr>
          <w:color w:val="auto"/>
        </w:rPr>
        <w:t xml:space="preserve"> </w:t>
      </w:r>
      <w:r w:rsidR="00956C03" w:rsidRPr="00076B7E">
        <w:rPr>
          <w:color w:val="auto"/>
        </w:rPr>
        <w:t>It remain</w:t>
      </w:r>
      <w:r w:rsidR="00BB4C76">
        <w:rPr>
          <w:color w:val="auto"/>
        </w:rPr>
        <w:t>ed</w:t>
      </w:r>
      <w:r w:rsidR="00956C03" w:rsidRPr="00076B7E">
        <w:rPr>
          <w:color w:val="auto"/>
        </w:rPr>
        <w:t xml:space="preserve"> unclear whether the approach taken in the model result</w:t>
      </w:r>
      <w:r w:rsidR="00BB4C76">
        <w:rPr>
          <w:color w:val="auto"/>
        </w:rPr>
        <w:t>ed</w:t>
      </w:r>
      <w:r w:rsidR="00956C03" w:rsidRPr="00076B7E">
        <w:rPr>
          <w:color w:val="auto"/>
        </w:rPr>
        <w:t xml:space="preserve"> in a meaningful improvement in the precision of the estimates beyond the first year</w:t>
      </w:r>
      <w:r w:rsidR="00956C03" w:rsidRPr="005B305D">
        <w:rPr>
          <w:color w:val="auto"/>
        </w:rPr>
        <w:t>.</w:t>
      </w:r>
      <w:r w:rsidR="00D31A29">
        <w:rPr>
          <w:color w:val="auto"/>
        </w:rPr>
        <w:t xml:space="preserve"> </w:t>
      </w:r>
      <w:r w:rsidR="00D31A29" w:rsidRPr="009F02FB">
        <w:rPr>
          <w:color w:val="auto"/>
        </w:rPr>
        <w:t xml:space="preserve">The </w:t>
      </w:r>
      <w:r w:rsidR="00D31A29" w:rsidRPr="00DE7812">
        <w:rPr>
          <w:color w:val="auto"/>
        </w:rPr>
        <w:t>ESC considered that it would be preferable in any future submissions that the approach be simplified</w:t>
      </w:r>
      <w:r w:rsidR="0097186A">
        <w:rPr>
          <w:color w:val="auto"/>
        </w:rPr>
        <w:t>,</w:t>
      </w:r>
      <w:r w:rsidR="00D31A29" w:rsidRPr="00DE7812">
        <w:rPr>
          <w:color w:val="auto"/>
        </w:rPr>
        <w:t xml:space="preserve"> as the current approach is complicated and the complexity has resulted in different approaches being applied to costs vs cost-offsets.</w:t>
      </w:r>
    </w:p>
    <w:p w:rsidR="00DA26BE" w:rsidRPr="005B305D" w:rsidRDefault="00DA26BE" w:rsidP="00563974">
      <w:pPr>
        <w:pStyle w:val="ListParagraph"/>
        <w:rPr>
          <w:color w:val="auto"/>
        </w:rPr>
      </w:pPr>
      <w:r w:rsidRPr="00076B7E">
        <w:rPr>
          <w:color w:val="auto"/>
        </w:rPr>
        <w:t xml:space="preserve">A higher proportion of patients treated beyond 2 years </w:t>
      </w:r>
      <w:r w:rsidR="00BB4C76">
        <w:rPr>
          <w:color w:val="auto"/>
        </w:rPr>
        <w:t xml:space="preserve">was </w:t>
      </w:r>
      <w:r w:rsidRPr="00076B7E">
        <w:rPr>
          <w:color w:val="auto"/>
        </w:rPr>
        <w:t xml:space="preserve">applied in the financial model than was observed in the SOLO1 trial. This </w:t>
      </w:r>
      <w:r w:rsidR="00BB4C76">
        <w:rPr>
          <w:color w:val="auto"/>
        </w:rPr>
        <w:t>wa</w:t>
      </w:r>
      <w:r w:rsidRPr="00076B7E">
        <w:rPr>
          <w:color w:val="auto"/>
        </w:rPr>
        <w:t xml:space="preserve">s stated to be based on a report from the Australian Ovarian Cancer Study (AOCS) that was commissioned by the sponsor. </w:t>
      </w:r>
      <w:r w:rsidR="00D31A29" w:rsidRPr="00DE7812">
        <w:rPr>
          <w:iCs/>
          <w:color w:val="auto"/>
        </w:rPr>
        <w:t>The PSCR confirmed that the proportion of patients with partial response should be 23-24% rather than 33% as estimated in the submission.</w:t>
      </w:r>
      <w:r w:rsidR="00C16D46">
        <w:rPr>
          <w:i/>
          <w:iCs/>
          <w:color w:val="auto"/>
        </w:rPr>
        <w:t xml:space="preserve"> </w:t>
      </w:r>
    </w:p>
    <w:p w:rsidR="003B4F19" w:rsidRDefault="00520927" w:rsidP="00563974">
      <w:pPr>
        <w:pStyle w:val="ListParagraph"/>
        <w:rPr>
          <w:color w:val="auto"/>
        </w:rPr>
      </w:pPr>
      <w:r w:rsidRPr="00611B0F">
        <w:rPr>
          <w:color w:val="auto"/>
        </w:rPr>
        <w:t xml:space="preserve">The submission assumed that each month on treatment in the first-line setting represents one script (or 12 scripts per year). </w:t>
      </w:r>
      <w:r w:rsidRPr="00611B0F">
        <w:rPr>
          <w:iCs/>
          <w:color w:val="auto"/>
        </w:rPr>
        <w:t>Scripts will provide 28 days of supply</w:t>
      </w:r>
      <w:r w:rsidR="00440D09" w:rsidRPr="00611B0F">
        <w:rPr>
          <w:iCs/>
          <w:color w:val="auto"/>
        </w:rPr>
        <w:t xml:space="preserve"> and 13 scripts would be required for each year of supply</w:t>
      </w:r>
      <w:r w:rsidRPr="00611B0F">
        <w:rPr>
          <w:color w:val="auto"/>
        </w:rPr>
        <w:t>.</w:t>
      </w:r>
    </w:p>
    <w:p w:rsidR="00E0240C" w:rsidRPr="00DE7812" w:rsidRDefault="00A225DD" w:rsidP="00563974">
      <w:pPr>
        <w:pStyle w:val="ListParagraph"/>
        <w:rPr>
          <w:color w:val="auto"/>
        </w:rPr>
      </w:pPr>
      <w:r w:rsidRPr="00DE7812">
        <w:rPr>
          <w:color w:val="auto"/>
        </w:rPr>
        <w:t xml:space="preserve">The ESC also noted that the displacement of second-line </w:t>
      </w:r>
      <w:proofErr w:type="spellStart"/>
      <w:r w:rsidRPr="00DE7812">
        <w:rPr>
          <w:color w:val="auto"/>
        </w:rPr>
        <w:t>olaparib</w:t>
      </w:r>
      <w:proofErr w:type="spellEnd"/>
      <w:r w:rsidRPr="00DE7812">
        <w:rPr>
          <w:color w:val="auto"/>
        </w:rPr>
        <w:t xml:space="preserve"> was underestimated as it did not account for grandfathered patients in year 1 who would no longer access </w:t>
      </w:r>
      <w:proofErr w:type="spellStart"/>
      <w:r w:rsidRPr="00DE7812">
        <w:rPr>
          <w:color w:val="auto"/>
        </w:rPr>
        <w:t>olaparib</w:t>
      </w:r>
      <w:proofErr w:type="spellEnd"/>
      <w:r w:rsidRPr="00DE7812">
        <w:rPr>
          <w:color w:val="auto"/>
        </w:rPr>
        <w:t xml:space="preserve"> in the second-line setting.</w:t>
      </w:r>
      <w:bookmarkStart w:id="27" w:name="_Toc413139285"/>
      <w:bookmarkStart w:id="28" w:name="_Toc18489985"/>
    </w:p>
    <w:p w:rsidR="00FC30F3" w:rsidRPr="009A0D5D" w:rsidRDefault="00FC30F3" w:rsidP="00563974">
      <w:pPr>
        <w:pStyle w:val="PBACESHeading2"/>
        <w:keepNext w:val="0"/>
      </w:pPr>
      <w:r w:rsidRPr="009A0D5D">
        <w:t>Quality use of medicines</w:t>
      </w:r>
      <w:bookmarkEnd w:id="27"/>
      <w:bookmarkEnd w:id="28"/>
    </w:p>
    <w:p w:rsidR="00FC30F3" w:rsidRPr="00DA26BE" w:rsidRDefault="00DA26BE" w:rsidP="00563974">
      <w:pPr>
        <w:pStyle w:val="ListParagraph"/>
        <w:rPr>
          <w:color w:val="auto"/>
        </w:rPr>
      </w:pPr>
      <w:r w:rsidRPr="00DA26BE">
        <w:rPr>
          <w:color w:val="auto"/>
        </w:rPr>
        <w:t xml:space="preserve">The sponsor identified appropriate duration of treatment with </w:t>
      </w:r>
      <w:proofErr w:type="spellStart"/>
      <w:r w:rsidRPr="00DA26BE">
        <w:rPr>
          <w:color w:val="auto"/>
        </w:rPr>
        <w:t>olaparib</w:t>
      </w:r>
      <w:proofErr w:type="spellEnd"/>
      <w:r w:rsidRPr="00DA26BE">
        <w:rPr>
          <w:color w:val="auto"/>
        </w:rPr>
        <w:t xml:space="preserve"> as a quality use of medicines issue. </w:t>
      </w:r>
      <w:r w:rsidRPr="005B305D">
        <w:rPr>
          <w:iCs/>
          <w:color w:val="auto"/>
        </w:rPr>
        <w:t xml:space="preserve">No further details </w:t>
      </w:r>
      <w:r w:rsidR="00BB4C76">
        <w:rPr>
          <w:iCs/>
          <w:color w:val="auto"/>
        </w:rPr>
        <w:t>were</w:t>
      </w:r>
      <w:r w:rsidRPr="005B305D">
        <w:rPr>
          <w:iCs/>
          <w:color w:val="auto"/>
        </w:rPr>
        <w:t xml:space="preserve"> provided.</w:t>
      </w:r>
      <w:r w:rsidR="00FC30F3" w:rsidRPr="00DA26BE">
        <w:rPr>
          <w:color w:val="auto"/>
        </w:rPr>
        <w:t xml:space="preserve"> </w:t>
      </w:r>
    </w:p>
    <w:p w:rsidR="00C317F3" w:rsidRPr="009A0D5D" w:rsidRDefault="00070D75" w:rsidP="00563974">
      <w:pPr>
        <w:pStyle w:val="PBACESHeading2"/>
        <w:keepNext w:val="0"/>
      </w:pPr>
      <w:bookmarkStart w:id="29" w:name="_Toc18489986"/>
      <w:r w:rsidRPr="009A0D5D">
        <w:t>Financial management – risk sharing a</w:t>
      </w:r>
      <w:r w:rsidR="00C317F3" w:rsidRPr="009A0D5D">
        <w:t>rrangements</w:t>
      </w:r>
      <w:bookmarkEnd w:id="22"/>
      <w:bookmarkEnd w:id="29"/>
    </w:p>
    <w:p w:rsidR="00C317F3" w:rsidRDefault="00DA26BE" w:rsidP="00563974">
      <w:pPr>
        <w:pStyle w:val="ListParagraph"/>
        <w:rPr>
          <w:color w:val="auto"/>
        </w:rPr>
      </w:pPr>
      <w:r w:rsidRPr="00DA26BE">
        <w:rPr>
          <w:color w:val="auto"/>
        </w:rPr>
        <w:t>The submission not</w:t>
      </w:r>
      <w:r w:rsidR="009F02FB">
        <w:rPr>
          <w:color w:val="auto"/>
        </w:rPr>
        <w:t>ed</w:t>
      </w:r>
      <w:r w:rsidRPr="00DA26BE">
        <w:rPr>
          <w:color w:val="auto"/>
        </w:rPr>
        <w:t xml:space="preserve"> that </w:t>
      </w:r>
      <w:r w:rsidRPr="00076B7E">
        <w:rPr>
          <w:color w:val="auto"/>
        </w:rPr>
        <w:t xml:space="preserve">there is an existing agreement between the Government and AstraZeneca Pty Ltd in relation to </w:t>
      </w:r>
      <w:r w:rsidR="00E16632" w:rsidRPr="00076B7E">
        <w:rPr>
          <w:color w:val="auto"/>
        </w:rPr>
        <w:t xml:space="preserve">risk </w:t>
      </w:r>
      <w:r w:rsidRPr="00076B7E">
        <w:rPr>
          <w:color w:val="auto"/>
        </w:rPr>
        <w:t xml:space="preserve">sharing for the supply of </w:t>
      </w:r>
      <w:proofErr w:type="spellStart"/>
      <w:r w:rsidRPr="00076B7E">
        <w:rPr>
          <w:color w:val="auto"/>
        </w:rPr>
        <w:t>olaparib</w:t>
      </w:r>
      <w:proofErr w:type="spellEnd"/>
      <w:r w:rsidRPr="00076B7E">
        <w:rPr>
          <w:color w:val="auto"/>
        </w:rPr>
        <w:t xml:space="preserve">. It is the sponsor’s understanding that the supply of </w:t>
      </w:r>
      <w:proofErr w:type="spellStart"/>
      <w:r w:rsidRPr="00076B7E">
        <w:rPr>
          <w:color w:val="auto"/>
        </w:rPr>
        <w:t>olaparib</w:t>
      </w:r>
      <w:proofErr w:type="spellEnd"/>
      <w:r w:rsidRPr="00076B7E">
        <w:rPr>
          <w:color w:val="auto"/>
        </w:rPr>
        <w:t xml:space="preserve"> in the first-line setting would be subject to the Agreement, and an adjustment to the expenditure caps would be required</w:t>
      </w:r>
      <w:r w:rsidRPr="00DA26BE">
        <w:rPr>
          <w:color w:val="auto"/>
        </w:rPr>
        <w:t>.</w:t>
      </w:r>
    </w:p>
    <w:p w:rsidR="000A320D" w:rsidRPr="009A0D5D" w:rsidRDefault="000A320D" w:rsidP="00563974">
      <w:pPr>
        <w:pStyle w:val="PBACESHeading2"/>
        <w:keepNext w:val="0"/>
      </w:pPr>
      <w:bookmarkStart w:id="30" w:name="_Toc18489987"/>
      <w:r w:rsidRPr="009A0D5D">
        <w:t>Other considerations for the committees</w:t>
      </w:r>
      <w:bookmarkEnd w:id="30"/>
    </w:p>
    <w:p w:rsidR="000A320D" w:rsidRPr="0074610D" w:rsidRDefault="000A320D" w:rsidP="0074610D">
      <w:pPr>
        <w:pStyle w:val="Heading3"/>
      </w:pPr>
      <w:r w:rsidRPr="0074610D">
        <w:t>Clinical utility of the test in the second-line setting</w:t>
      </w:r>
    </w:p>
    <w:p w:rsidR="000A320D" w:rsidRPr="000A320D" w:rsidRDefault="000A320D" w:rsidP="00563974">
      <w:pPr>
        <w:pStyle w:val="ListParagraph"/>
        <w:rPr>
          <w:color w:val="auto"/>
        </w:rPr>
      </w:pPr>
      <w:r w:rsidRPr="00C16D46">
        <w:rPr>
          <w:color w:val="auto"/>
        </w:rPr>
        <w:t xml:space="preserve">There is currently no evidence </w:t>
      </w:r>
      <w:r w:rsidR="00F26C9B">
        <w:rPr>
          <w:color w:val="auto"/>
        </w:rPr>
        <w:t xml:space="preserve">of a survival benefit </w:t>
      </w:r>
      <w:r w:rsidRPr="00C16D46">
        <w:rPr>
          <w:color w:val="auto"/>
        </w:rPr>
        <w:t xml:space="preserve">for the effectiveness of </w:t>
      </w:r>
      <w:proofErr w:type="spellStart"/>
      <w:r w:rsidRPr="00C16D46">
        <w:rPr>
          <w:color w:val="auto"/>
        </w:rPr>
        <w:t>olaparib</w:t>
      </w:r>
      <w:proofErr w:type="spellEnd"/>
      <w:r w:rsidRPr="00C16D46">
        <w:rPr>
          <w:color w:val="auto"/>
        </w:rPr>
        <w:t xml:space="preserve"> in the first-line setting in an unselected or </w:t>
      </w:r>
      <w:proofErr w:type="spellStart"/>
      <w:r w:rsidRPr="00C16D46">
        <w:rPr>
          <w:i/>
          <w:color w:val="auto"/>
        </w:rPr>
        <w:t>BRCA</w:t>
      </w:r>
      <w:r w:rsidRPr="00C16D46">
        <w:rPr>
          <w:color w:val="auto"/>
        </w:rPr>
        <w:t>wt</w:t>
      </w:r>
      <w:proofErr w:type="spellEnd"/>
      <w:r w:rsidRPr="00C16D46">
        <w:rPr>
          <w:color w:val="auto"/>
        </w:rPr>
        <w:t xml:space="preserve"> population. However, it appears that </w:t>
      </w:r>
      <w:proofErr w:type="spellStart"/>
      <w:r w:rsidRPr="00C16D46">
        <w:rPr>
          <w:color w:val="auto"/>
        </w:rPr>
        <w:t>olaparib</w:t>
      </w:r>
      <w:proofErr w:type="spellEnd"/>
      <w:r w:rsidRPr="00C16D46">
        <w:rPr>
          <w:color w:val="auto"/>
        </w:rPr>
        <w:t xml:space="preserve"> may confer some benefit (at least in terms of </w:t>
      </w:r>
      <w:r w:rsidR="006F7250" w:rsidRPr="00C16D46">
        <w:rPr>
          <w:color w:val="auto"/>
        </w:rPr>
        <w:t>progression-free</w:t>
      </w:r>
      <w:r w:rsidRPr="00C16D46">
        <w:rPr>
          <w:color w:val="auto"/>
        </w:rPr>
        <w:t xml:space="preserve"> survival) in </w:t>
      </w:r>
      <w:proofErr w:type="spellStart"/>
      <w:r w:rsidRPr="00C16D46">
        <w:rPr>
          <w:i/>
          <w:color w:val="auto"/>
        </w:rPr>
        <w:t>BRCA</w:t>
      </w:r>
      <w:r w:rsidRPr="00C16D46">
        <w:rPr>
          <w:color w:val="auto"/>
        </w:rPr>
        <w:t>wt</w:t>
      </w:r>
      <w:proofErr w:type="spellEnd"/>
      <w:r w:rsidRPr="00C16D46">
        <w:rPr>
          <w:color w:val="auto"/>
        </w:rPr>
        <w:t xml:space="preserve"> patients in the second-line setting compared with no treatment. Regulatory agencies have removed reference to </w:t>
      </w:r>
      <w:proofErr w:type="spellStart"/>
      <w:r w:rsidRPr="00C16D46">
        <w:rPr>
          <w:i/>
          <w:color w:val="auto"/>
        </w:rPr>
        <w:t>BRCA</w:t>
      </w:r>
      <w:r w:rsidRPr="00C16D46">
        <w:rPr>
          <w:color w:val="auto"/>
        </w:rPr>
        <w:t>m</w:t>
      </w:r>
      <w:proofErr w:type="spellEnd"/>
      <w:r w:rsidRPr="00C16D46">
        <w:rPr>
          <w:color w:val="auto"/>
        </w:rPr>
        <w:t xml:space="preserve"> in the indication for second-line </w:t>
      </w:r>
      <w:proofErr w:type="spellStart"/>
      <w:r w:rsidRPr="00C16D46">
        <w:rPr>
          <w:color w:val="auto"/>
        </w:rPr>
        <w:t>olaparib</w:t>
      </w:r>
      <w:proofErr w:type="spellEnd"/>
      <w:r w:rsidRPr="00C16D46">
        <w:rPr>
          <w:color w:val="auto"/>
        </w:rPr>
        <w:t xml:space="preserve"> </w:t>
      </w:r>
      <w:r w:rsidRPr="00C16D46">
        <w:rPr>
          <w:color w:val="auto"/>
        </w:rPr>
        <w:lastRenderedPageBreak/>
        <w:t>in HGEOC, and the NCCN Ovarian Guidelines (2019) only require that patients are in response to platinum-based chemotherapy</w:t>
      </w:r>
      <w:r w:rsidRPr="000A320D">
        <w:rPr>
          <w:color w:val="auto"/>
        </w:rPr>
        <w:t xml:space="preserve">. There is still a treatment effect variation associated with </w:t>
      </w:r>
      <w:proofErr w:type="spellStart"/>
      <w:r w:rsidRPr="000A320D">
        <w:rPr>
          <w:color w:val="auto"/>
        </w:rPr>
        <w:t>BRCAm</w:t>
      </w:r>
      <w:proofErr w:type="spellEnd"/>
      <w:r w:rsidRPr="000A320D">
        <w:rPr>
          <w:color w:val="auto"/>
        </w:rPr>
        <w:t xml:space="preserve"> in the second-line setting, however the test may not be necessary. Patients who respond to platinum-based chemotherapy, an eligibility criterion for second-line treatment, appear likely to respond to </w:t>
      </w:r>
      <w:proofErr w:type="spellStart"/>
      <w:r w:rsidRPr="000A320D">
        <w:rPr>
          <w:color w:val="auto"/>
        </w:rPr>
        <w:t>olaparib</w:t>
      </w:r>
      <w:proofErr w:type="spellEnd"/>
      <w:r w:rsidRPr="000A320D">
        <w:rPr>
          <w:color w:val="auto"/>
        </w:rPr>
        <w:t>.</w:t>
      </w:r>
    </w:p>
    <w:p w:rsidR="000A320D" w:rsidRPr="00C16D46" w:rsidRDefault="000A320D" w:rsidP="00563974">
      <w:pPr>
        <w:pStyle w:val="ListParagraph"/>
        <w:rPr>
          <w:color w:val="auto"/>
        </w:rPr>
      </w:pPr>
      <w:r w:rsidRPr="00C16D46">
        <w:rPr>
          <w:color w:val="auto"/>
        </w:rPr>
        <w:t xml:space="preserve">There is little difference in observed overall survival in </w:t>
      </w:r>
      <w:proofErr w:type="spellStart"/>
      <w:r w:rsidRPr="00C16D46">
        <w:rPr>
          <w:i/>
          <w:color w:val="auto"/>
        </w:rPr>
        <w:t>BRCA</w:t>
      </w:r>
      <w:r w:rsidRPr="00C16D46">
        <w:rPr>
          <w:color w:val="auto"/>
        </w:rPr>
        <w:t>wt</w:t>
      </w:r>
      <w:proofErr w:type="spellEnd"/>
      <w:r w:rsidRPr="00C16D46">
        <w:rPr>
          <w:color w:val="auto"/>
        </w:rPr>
        <w:t xml:space="preserve"> patients treated with </w:t>
      </w:r>
      <w:proofErr w:type="spellStart"/>
      <w:r w:rsidRPr="00C16D46">
        <w:rPr>
          <w:color w:val="auto"/>
        </w:rPr>
        <w:t>olaparib</w:t>
      </w:r>
      <w:proofErr w:type="spellEnd"/>
      <w:r w:rsidRPr="00C16D46">
        <w:rPr>
          <w:color w:val="auto"/>
        </w:rPr>
        <w:t xml:space="preserve"> vs placebo in the second-line maintenance setting (HR 0.83 [95% CI 0.55, 1.24], there is clear violation of the proportional hazards assumption and the HR may not be an accurate measure of relative survival.)</w:t>
      </w:r>
    </w:p>
    <w:p w:rsidR="00C16D46" w:rsidRPr="000A320D" w:rsidRDefault="000A320D" w:rsidP="00563974">
      <w:pPr>
        <w:pStyle w:val="ListParagraph"/>
        <w:rPr>
          <w:color w:val="auto"/>
        </w:rPr>
      </w:pPr>
      <w:r w:rsidRPr="00C16D46">
        <w:rPr>
          <w:color w:val="auto"/>
        </w:rPr>
        <w:t xml:space="preserve">While Study 19 was not stratified by </w:t>
      </w:r>
      <w:r w:rsidRPr="00C16D46">
        <w:rPr>
          <w:i/>
          <w:color w:val="auto"/>
        </w:rPr>
        <w:t xml:space="preserve">BRCA </w:t>
      </w:r>
      <w:r w:rsidRPr="00C16D46">
        <w:rPr>
          <w:color w:val="auto"/>
        </w:rPr>
        <w:t>status, the results are consistent with those from NOVA (</w:t>
      </w:r>
      <w:proofErr w:type="spellStart"/>
      <w:r w:rsidRPr="00C16D46">
        <w:rPr>
          <w:color w:val="auto"/>
        </w:rPr>
        <w:t>niraparib</w:t>
      </w:r>
      <w:proofErr w:type="spellEnd"/>
      <w:r w:rsidRPr="00C16D46">
        <w:rPr>
          <w:color w:val="auto"/>
        </w:rPr>
        <w:t>) and ARIEL3 (</w:t>
      </w:r>
      <w:proofErr w:type="spellStart"/>
      <w:r w:rsidRPr="00C16D46">
        <w:rPr>
          <w:color w:val="auto"/>
        </w:rPr>
        <w:t>rucaparib</w:t>
      </w:r>
      <w:proofErr w:type="spellEnd"/>
      <w:r w:rsidRPr="00C16D46">
        <w:rPr>
          <w:color w:val="auto"/>
        </w:rPr>
        <w:t xml:space="preserve">), which both reported favourable progression-free survival treatment effects of a PARP inhibitor in patients with </w:t>
      </w:r>
      <w:proofErr w:type="spellStart"/>
      <w:r w:rsidRPr="00EC36D4">
        <w:rPr>
          <w:i/>
        </w:rPr>
        <w:t>BRCA</w:t>
      </w:r>
      <w:r w:rsidRPr="00EC36D4">
        <w:t>wt</w:t>
      </w:r>
      <w:proofErr w:type="spellEnd"/>
      <w:r w:rsidRPr="00EC36D4">
        <w:t xml:space="preserve">. </w:t>
      </w:r>
    </w:p>
    <w:p w:rsidR="00C16D46" w:rsidRPr="00DE7812" w:rsidRDefault="00C16D46" w:rsidP="00563974">
      <w:pPr>
        <w:pStyle w:val="ListParagraph"/>
        <w:rPr>
          <w:b/>
          <w:bCs/>
          <w:color w:val="auto"/>
        </w:rPr>
      </w:pPr>
      <w:r w:rsidRPr="00DE7812">
        <w:rPr>
          <w:bCs/>
          <w:color w:val="auto"/>
        </w:rPr>
        <w:t xml:space="preserve">The ESC considered that the efficacy of maintenance PARP inhibitors in first-line patients with </w:t>
      </w:r>
      <w:proofErr w:type="spellStart"/>
      <w:r w:rsidRPr="00DE7812">
        <w:rPr>
          <w:bCs/>
          <w:color w:val="auto"/>
        </w:rPr>
        <w:t>BRCAwt</w:t>
      </w:r>
      <w:proofErr w:type="spellEnd"/>
      <w:r w:rsidRPr="00DE7812">
        <w:rPr>
          <w:bCs/>
          <w:color w:val="auto"/>
        </w:rPr>
        <w:t xml:space="preserve"> tumours remained uncertain, but that the field was evolving rapidly, with recently published data from 3 studies of </w:t>
      </w:r>
      <w:proofErr w:type="spellStart"/>
      <w:r w:rsidRPr="00DE7812">
        <w:rPr>
          <w:bCs/>
          <w:color w:val="auto"/>
        </w:rPr>
        <w:t>olaparib</w:t>
      </w:r>
      <w:proofErr w:type="spellEnd"/>
      <w:r w:rsidRPr="00DE7812">
        <w:rPr>
          <w:bCs/>
          <w:color w:val="auto"/>
        </w:rPr>
        <w:t xml:space="preserve">, </w:t>
      </w:r>
      <w:proofErr w:type="spellStart"/>
      <w:r w:rsidRPr="00DE7812">
        <w:rPr>
          <w:bCs/>
          <w:color w:val="auto"/>
        </w:rPr>
        <w:t>niraparib</w:t>
      </w:r>
      <w:proofErr w:type="spellEnd"/>
      <w:r w:rsidRPr="00DE7812">
        <w:rPr>
          <w:bCs/>
          <w:color w:val="auto"/>
        </w:rPr>
        <w:t xml:space="preserve">, and </w:t>
      </w:r>
      <w:proofErr w:type="spellStart"/>
      <w:r w:rsidRPr="00DE7812">
        <w:rPr>
          <w:bCs/>
          <w:color w:val="auto"/>
        </w:rPr>
        <w:t>veliparib</w:t>
      </w:r>
      <w:proofErr w:type="spellEnd"/>
      <w:r w:rsidRPr="00DE7812">
        <w:rPr>
          <w:bCs/>
          <w:color w:val="auto"/>
        </w:rPr>
        <w:t xml:space="preserve"> presented at the European Society of Medical Oncology Congress, Barcelona September 2019 reporting benefit in some subgroups.</w:t>
      </w:r>
    </w:p>
    <w:p w:rsidR="00A93A17" w:rsidRPr="00A93A17" w:rsidRDefault="00C16D46" w:rsidP="00563974">
      <w:pPr>
        <w:pStyle w:val="ListParagraph"/>
        <w:rPr>
          <w:color w:val="auto"/>
        </w:rPr>
      </w:pPr>
      <w:r w:rsidRPr="00DE7812">
        <w:rPr>
          <w:color w:val="auto"/>
        </w:rPr>
        <w:t>The ESC considered that</w:t>
      </w:r>
      <w:r w:rsidR="000A320D" w:rsidRPr="00DE7812">
        <w:rPr>
          <w:color w:val="auto"/>
        </w:rPr>
        <w:t xml:space="preserve"> broader listing for </w:t>
      </w:r>
      <w:proofErr w:type="spellStart"/>
      <w:r w:rsidR="000A320D" w:rsidRPr="00DE7812">
        <w:rPr>
          <w:color w:val="auto"/>
        </w:rPr>
        <w:t>olaparib</w:t>
      </w:r>
      <w:proofErr w:type="spellEnd"/>
      <w:r w:rsidR="000A320D" w:rsidRPr="00DE7812">
        <w:rPr>
          <w:color w:val="auto"/>
        </w:rPr>
        <w:t xml:space="preserve"> in the second-line setting </w:t>
      </w:r>
      <w:r w:rsidRPr="00DE7812">
        <w:rPr>
          <w:color w:val="auto"/>
        </w:rPr>
        <w:t>would</w:t>
      </w:r>
      <w:r w:rsidR="000A320D" w:rsidRPr="00C16D46">
        <w:rPr>
          <w:color w:val="auto"/>
        </w:rPr>
        <w:t xml:space="preserve"> involve a revised value proposition for </w:t>
      </w:r>
      <w:proofErr w:type="spellStart"/>
      <w:r w:rsidR="000A320D" w:rsidRPr="00C16D46">
        <w:rPr>
          <w:color w:val="auto"/>
        </w:rPr>
        <w:t>olaparib</w:t>
      </w:r>
      <w:proofErr w:type="spellEnd"/>
      <w:r w:rsidR="000A320D" w:rsidRPr="00C16D46">
        <w:rPr>
          <w:color w:val="auto"/>
        </w:rPr>
        <w:t xml:space="preserve"> as it would be used in a greater number of patients, but would, on average, result in less benefit per patient. This would also negate the need for tumour </w:t>
      </w:r>
      <w:proofErr w:type="spellStart"/>
      <w:r w:rsidR="000A320D" w:rsidRPr="00C16D46">
        <w:rPr>
          <w:i/>
          <w:color w:val="auto"/>
        </w:rPr>
        <w:t>BRCA</w:t>
      </w:r>
      <w:r w:rsidR="000A320D" w:rsidRPr="00C16D46">
        <w:rPr>
          <w:color w:val="auto"/>
        </w:rPr>
        <w:t>m</w:t>
      </w:r>
      <w:proofErr w:type="spellEnd"/>
      <w:r w:rsidR="000A320D" w:rsidRPr="00C16D46">
        <w:rPr>
          <w:color w:val="auto"/>
        </w:rPr>
        <w:t xml:space="preserve"> testing</w:t>
      </w:r>
      <w:r w:rsidR="000A320D" w:rsidRPr="000A320D">
        <w:rPr>
          <w:color w:val="auto"/>
        </w:rPr>
        <w:t>.</w:t>
      </w:r>
    </w:p>
    <w:p w:rsidR="00AD717A" w:rsidRDefault="00FB3214" w:rsidP="00FB3214">
      <w:pPr>
        <w:rPr>
          <w:i/>
        </w:rPr>
      </w:pPr>
      <w:r w:rsidRPr="00FB3214">
        <w:rPr>
          <w:i/>
        </w:rPr>
        <w:t>For more detail on PBAC’s view, see section 7 PBAC outcome.</w:t>
      </w:r>
    </w:p>
    <w:p w:rsidR="00AD717A" w:rsidRDefault="00AD717A">
      <w:pPr>
        <w:spacing w:before="0" w:line="259" w:lineRule="auto"/>
        <w:jc w:val="left"/>
        <w:rPr>
          <w:i/>
        </w:rPr>
      </w:pPr>
      <w:r>
        <w:rPr>
          <w:i/>
        </w:rPr>
        <w:br w:type="page"/>
      </w:r>
    </w:p>
    <w:p w:rsidR="003F12E7" w:rsidRPr="00C97064" w:rsidRDefault="003F12E7" w:rsidP="00C97064">
      <w:pPr>
        <w:pStyle w:val="PBACESHeading1"/>
        <w:numPr>
          <w:ilvl w:val="0"/>
          <w:numId w:val="1"/>
        </w:numPr>
      </w:pPr>
      <w:r w:rsidRPr="00C97064">
        <w:lastRenderedPageBreak/>
        <w:t>PBAC Outcome</w:t>
      </w:r>
    </w:p>
    <w:p w:rsidR="003F12E7" w:rsidRPr="00B71BBE" w:rsidRDefault="00B71BBE" w:rsidP="00B71BBE">
      <w:pPr>
        <w:pStyle w:val="ListParagraph"/>
        <w:rPr>
          <w:snapToGrid w:val="0"/>
          <w:lang w:val="en-GB"/>
        </w:rPr>
      </w:pPr>
      <w:r w:rsidRPr="00B71BBE">
        <w:rPr>
          <w:snapToGrid w:val="0"/>
          <w:lang w:val="en-GB"/>
        </w:rPr>
        <w:t xml:space="preserve">The PBAC did not recommend the listing of </w:t>
      </w:r>
      <w:proofErr w:type="spellStart"/>
      <w:r w:rsidRPr="00B71BBE">
        <w:rPr>
          <w:snapToGrid w:val="0"/>
          <w:lang w:val="en-GB"/>
        </w:rPr>
        <w:t>olaparib</w:t>
      </w:r>
      <w:proofErr w:type="spellEnd"/>
      <w:r w:rsidRPr="00B71BBE">
        <w:rPr>
          <w:snapToGrid w:val="0"/>
          <w:lang w:val="en-GB"/>
        </w:rPr>
        <w:t xml:space="preserve"> (</w:t>
      </w:r>
      <w:proofErr w:type="spellStart"/>
      <w:r w:rsidRPr="00B71BBE">
        <w:rPr>
          <w:snapToGrid w:val="0"/>
          <w:lang w:val="en-GB"/>
        </w:rPr>
        <w:t>Lynparza</w:t>
      </w:r>
      <w:proofErr w:type="spellEnd"/>
      <w:r w:rsidRPr="00B71BBE">
        <w:rPr>
          <w:snapToGrid w:val="0"/>
          <w:lang w:val="en-GB"/>
        </w:rPr>
        <w:t xml:space="preserve">®) for the first-line maintenance treatment of ovarian, fallopian tube or primary peritoneal cancer. The PBAC considered that </w:t>
      </w:r>
      <w:proofErr w:type="spellStart"/>
      <w:r w:rsidRPr="00B71BBE">
        <w:rPr>
          <w:snapToGrid w:val="0"/>
          <w:lang w:val="en-GB"/>
        </w:rPr>
        <w:t>olaparib</w:t>
      </w:r>
      <w:proofErr w:type="spellEnd"/>
      <w:r w:rsidRPr="00B71BBE">
        <w:rPr>
          <w:snapToGrid w:val="0"/>
          <w:lang w:val="en-GB"/>
        </w:rPr>
        <w:t xml:space="preserve"> provided a substantial benefit to some patients in delaying recurrence, which it considered </w:t>
      </w:r>
      <w:r w:rsidR="001A757A">
        <w:rPr>
          <w:snapToGrid w:val="0"/>
          <w:lang w:val="en-GB"/>
        </w:rPr>
        <w:t>is</w:t>
      </w:r>
      <w:r w:rsidRPr="00B71BBE">
        <w:rPr>
          <w:snapToGrid w:val="0"/>
          <w:lang w:val="en-GB"/>
        </w:rPr>
        <w:t xml:space="preserve"> likely to be</w:t>
      </w:r>
      <w:r w:rsidR="001A757A">
        <w:rPr>
          <w:snapToGrid w:val="0"/>
          <w:lang w:val="en-GB"/>
        </w:rPr>
        <w:t xml:space="preserve"> a</w:t>
      </w:r>
      <w:r w:rsidRPr="00B71BBE">
        <w:rPr>
          <w:snapToGrid w:val="0"/>
          <w:lang w:val="en-GB"/>
        </w:rPr>
        <w:t xml:space="preserve"> clinically important outcome. The PBAC considered that the modelled cost-effectiveness was uncertain due to </w:t>
      </w:r>
      <w:r w:rsidR="00246D84">
        <w:rPr>
          <w:snapToGrid w:val="0"/>
          <w:lang w:val="en-GB"/>
        </w:rPr>
        <w:t xml:space="preserve">an overly complex model including </w:t>
      </w:r>
      <w:r w:rsidRPr="00B71BBE">
        <w:rPr>
          <w:snapToGrid w:val="0"/>
          <w:lang w:val="en-GB"/>
        </w:rPr>
        <w:t xml:space="preserve">optimistic assumptions of the </w:t>
      </w:r>
      <w:r w:rsidR="009668A6">
        <w:rPr>
          <w:snapToGrid w:val="0"/>
          <w:lang w:val="en-GB"/>
        </w:rPr>
        <w:t xml:space="preserve">extent of the </w:t>
      </w:r>
      <w:r w:rsidR="00983141">
        <w:rPr>
          <w:snapToGrid w:val="0"/>
          <w:lang w:val="en-GB"/>
        </w:rPr>
        <w:t xml:space="preserve">overall </w:t>
      </w:r>
      <w:r w:rsidRPr="00B71BBE">
        <w:rPr>
          <w:snapToGrid w:val="0"/>
          <w:lang w:val="en-GB"/>
        </w:rPr>
        <w:t xml:space="preserve">survival benefit which were not supported by the clinical evidence. The PBAC advised that the ICER was high at the sponsor’s proposed price. </w:t>
      </w:r>
      <w:r w:rsidR="00257CB0">
        <w:rPr>
          <w:snapToGrid w:val="0"/>
          <w:lang w:val="en-GB"/>
        </w:rPr>
        <w:t>The PBAC considered the extent of use in the first-line setting was overestimated</w:t>
      </w:r>
      <w:r w:rsidR="000F5185">
        <w:rPr>
          <w:snapToGrid w:val="0"/>
          <w:lang w:val="en-GB"/>
        </w:rPr>
        <w:t>,</w:t>
      </w:r>
      <w:r w:rsidR="00257CB0">
        <w:rPr>
          <w:snapToGrid w:val="0"/>
          <w:lang w:val="en-GB"/>
        </w:rPr>
        <w:t xml:space="preserve"> and the reduction in use in the second-line setting was underestimated.</w:t>
      </w:r>
    </w:p>
    <w:p w:rsidR="003F12E7" w:rsidRPr="0034280B" w:rsidRDefault="00197C32" w:rsidP="003F12E7">
      <w:pPr>
        <w:pStyle w:val="ListParagraph"/>
        <w:rPr>
          <w:snapToGrid w:val="0"/>
          <w:lang w:val="en-GB"/>
        </w:rPr>
      </w:pPr>
      <w:r>
        <w:rPr>
          <w:snapToGrid w:val="0"/>
          <w:lang w:val="en-GB"/>
        </w:rPr>
        <w:t xml:space="preserve">The PBAC noted that there are a range of systemic therapies currently available for the second-line treatment of ovarian cancer, including </w:t>
      </w:r>
      <w:proofErr w:type="spellStart"/>
      <w:r>
        <w:rPr>
          <w:snapToGrid w:val="0"/>
          <w:lang w:val="en-GB"/>
        </w:rPr>
        <w:t>olaparib</w:t>
      </w:r>
      <w:proofErr w:type="spellEnd"/>
      <w:r>
        <w:rPr>
          <w:snapToGrid w:val="0"/>
          <w:lang w:val="en-GB"/>
        </w:rPr>
        <w:t xml:space="preserve">, however </w:t>
      </w:r>
      <w:r w:rsidR="00B71BBE">
        <w:rPr>
          <w:snapToGrid w:val="0"/>
          <w:lang w:val="en-GB"/>
        </w:rPr>
        <w:t xml:space="preserve">recognised the </w:t>
      </w:r>
      <w:r w:rsidR="000F0B1F">
        <w:rPr>
          <w:snapToGrid w:val="0"/>
          <w:lang w:val="en-GB"/>
        </w:rPr>
        <w:t>ongoing</w:t>
      </w:r>
      <w:r w:rsidR="00B71BBE">
        <w:rPr>
          <w:snapToGrid w:val="0"/>
          <w:lang w:val="en-GB"/>
        </w:rPr>
        <w:t xml:space="preserve"> clinical need for effective </w:t>
      </w:r>
      <w:r w:rsidR="000F0B1F">
        <w:rPr>
          <w:snapToGrid w:val="0"/>
          <w:lang w:val="en-GB"/>
        </w:rPr>
        <w:t xml:space="preserve">first-line </w:t>
      </w:r>
      <w:r w:rsidR="00B71BBE">
        <w:rPr>
          <w:snapToGrid w:val="0"/>
          <w:lang w:val="en-GB"/>
        </w:rPr>
        <w:t xml:space="preserve">treatments </w:t>
      </w:r>
      <w:r w:rsidR="00A30EE4">
        <w:rPr>
          <w:snapToGrid w:val="0"/>
          <w:lang w:val="en-GB"/>
        </w:rPr>
        <w:t>for</w:t>
      </w:r>
      <w:r w:rsidR="00B71BBE">
        <w:rPr>
          <w:snapToGrid w:val="0"/>
          <w:lang w:val="en-GB"/>
        </w:rPr>
        <w:t xml:space="preserve"> ovarian cancer that can delay or prevent recurrence. The PBAC acknowledged the </w:t>
      </w:r>
      <w:r w:rsidR="009327F6">
        <w:rPr>
          <w:snapToGrid w:val="0"/>
          <w:lang w:val="en-GB"/>
        </w:rPr>
        <w:t xml:space="preserve">social and emotional </w:t>
      </w:r>
      <w:r w:rsidR="00B71BBE">
        <w:rPr>
          <w:snapToGrid w:val="0"/>
          <w:lang w:val="en-GB"/>
        </w:rPr>
        <w:t>impact of high rates of recurrence on patients diagnosed</w:t>
      </w:r>
      <w:r w:rsidR="00E71EDC">
        <w:rPr>
          <w:snapToGrid w:val="0"/>
          <w:lang w:val="en-GB"/>
        </w:rPr>
        <w:t xml:space="preserve"> with ovarian cancer. The PBAC noted the support from patients</w:t>
      </w:r>
      <w:r w:rsidR="000F0B1F">
        <w:rPr>
          <w:snapToGrid w:val="0"/>
          <w:lang w:val="en-GB"/>
        </w:rPr>
        <w:t>, several patient representative organisations,</w:t>
      </w:r>
      <w:r w:rsidR="00E71EDC">
        <w:rPr>
          <w:snapToGrid w:val="0"/>
          <w:lang w:val="en-GB"/>
        </w:rPr>
        <w:t xml:space="preserve"> and MOGA for </w:t>
      </w:r>
      <w:r w:rsidR="008F01C9">
        <w:rPr>
          <w:snapToGrid w:val="0"/>
          <w:lang w:val="en-GB"/>
        </w:rPr>
        <w:t xml:space="preserve">making </w:t>
      </w:r>
      <w:proofErr w:type="spellStart"/>
      <w:r w:rsidR="008F01C9">
        <w:rPr>
          <w:snapToGrid w:val="0"/>
          <w:lang w:val="en-GB"/>
        </w:rPr>
        <w:t>olaparib</w:t>
      </w:r>
      <w:proofErr w:type="spellEnd"/>
      <w:r w:rsidR="008F01C9">
        <w:rPr>
          <w:snapToGrid w:val="0"/>
          <w:lang w:val="en-GB"/>
        </w:rPr>
        <w:t xml:space="preserve"> available as first-line maintenance for ovarian cancer. </w:t>
      </w:r>
      <w:r w:rsidR="00B71BBE">
        <w:rPr>
          <w:snapToGrid w:val="0"/>
          <w:lang w:val="en-GB"/>
        </w:rPr>
        <w:t xml:space="preserve"> </w:t>
      </w:r>
    </w:p>
    <w:p w:rsidR="00D73301" w:rsidRPr="003A09FF" w:rsidRDefault="00D73301" w:rsidP="00D73301">
      <w:pPr>
        <w:pStyle w:val="ListParagraph"/>
      </w:pPr>
      <w:r w:rsidRPr="003A09FF">
        <w:t xml:space="preserve">The </w:t>
      </w:r>
      <w:r>
        <w:t xml:space="preserve">PBAC considered that </w:t>
      </w:r>
      <w:r w:rsidRPr="003A09FF">
        <w:t>“High grade serous ovarian cancer”, “High grade serous fallopian tube cancer” and “High grade serous primary peritoneal cancer”</w:t>
      </w:r>
      <w:r>
        <w:t xml:space="preserve"> are the appropriate indications for the listing, consistent with the indications for second-line listings</w:t>
      </w:r>
      <w:r w:rsidRPr="003A09FF">
        <w:t xml:space="preserve">. </w:t>
      </w:r>
    </w:p>
    <w:p w:rsidR="00D73301" w:rsidRPr="002A215F" w:rsidRDefault="003E1231" w:rsidP="00D73301">
      <w:pPr>
        <w:pStyle w:val="ListParagraph"/>
        <w:rPr>
          <w:iCs/>
        </w:rPr>
      </w:pPr>
      <w:r>
        <w:rPr>
          <w:iCs/>
        </w:rPr>
        <w:t>The PBAC considered that 2 repeats for the initial restriction and 5 repeats for the continuing restriction would be appropriate, consistent with the existing listing for second-line maintenance.</w:t>
      </w:r>
      <w:r w:rsidRPr="003A09FF">
        <w:t xml:space="preserve"> </w:t>
      </w:r>
      <w:r w:rsidR="00D73301" w:rsidRPr="003A09FF">
        <w:t xml:space="preserve">The PBAC </w:t>
      </w:r>
      <w:r w:rsidR="00D73301">
        <w:t>considered that the proposed</w:t>
      </w:r>
      <w:r w:rsidR="00D73301" w:rsidRPr="003A09FF">
        <w:t xml:space="preserve"> Authority required (Telephone) restriction level for the initial listings and Authority required </w:t>
      </w:r>
      <w:r w:rsidR="00D73301" w:rsidRPr="002A215F">
        <w:rPr>
          <w:iCs/>
        </w:rPr>
        <w:t xml:space="preserve">(STREAMLINED) restriction level for the continuing listings were </w:t>
      </w:r>
      <w:r w:rsidR="00A30EE4" w:rsidRPr="002A215F">
        <w:rPr>
          <w:iCs/>
        </w:rPr>
        <w:t>appropriate</w:t>
      </w:r>
      <w:r w:rsidR="00D73301" w:rsidRPr="002A215F">
        <w:rPr>
          <w:iCs/>
        </w:rPr>
        <w:t>.</w:t>
      </w:r>
    </w:p>
    <w:p w:rsidR="002A215F" w:rsidRDefault="002A215F" w:rsidP="002A215F">
      <w:pPr>
        <w:pStyle w:val="ListParagraph"/>
      </w:pPr>
      <w:r>
        <w:t xml:space="preserve">The PBAC considered that concurrent treatment with </w:t>
      </w:r>
      <w:proofErr w:type="spellStart"/>
      <w:r>
        <w:t>olaparib</w:t>
      </w:r>
      <w:proofErr w:type="spellEnd"/>
      <w:r>
        <w:t xml:space="preserve"> and bevacizumab would not be appropriate </w:t>
      </w:r>
      <w:r w:rsidR="0023761C">
        <w:t xml:space="preserve">without supporting evidence, </w:t>
      </w:r>
      <w:r>
        <w:t xml:space="preserve">and </w:t>
      </w:r>
      <w:r w:rsidR="0084407D">
        <w:t xml:space="preserve">an </w:t>
      </w:r>
      <w:r>
        <w:t xml:space="preserve">additional restriction “Must not be used concurrently with bevacizumab” </w:t>
      </w:r>
      <w:r w:rsidR="0084407D">
        <w:t>is</w:t>
      </w:r>
      <w:r>
        <w:t xml:space="preserve"> appropriate. The PBAC considered that the restriction should not explicitly </w:t>
      </w:r>
      <w:r w:rsidR="00A30EE4">
        <w:t xml:space="preserve">prohibit patients who have </w:t>
      </w:r>
      <w:r>
        <w:t xml:space="preserve">used bevacizumab </w:t>
      </w:r>
      <w:r w:rsidR="009F02FB">
        <w:t xml:space="preserve">concurrently with </w:t>
      </w:r>
      <w:r>
        <w:t xml:space="preserve">their platinum-based chemotherapy. The PBAC considered that patients </w:t>
      </w:r>
      <w:r w:rsidR="00675F29">
        <w:t xml:space="preserve">with a </w:t>
      </w:r>
      <w:proofErr w:type="spellStart"/>
      <w:r w:rsidR="00675F29" w:rsidRPr="003300EF">
        <w:rPr>
          <w:i/>
        </w:rPr>
        <w:t>BRCA</w:t>
      </w:r>
      <w:r w:rsidR="00F43AB2">
        <w:t>m</w:t>
      </w:r>
      <w:proofErr w:type="spellEnd"/>
      <w:r w:rsidR="00F43AB2">
        <w:t xml:space="preserve"> </w:t>
      </w:r>
      <w:r w:rsidR="00675F29">
        <w:t xml:space="preserve">who are also </w:t>
      </w:r>
      <w:r>
        <w:t xml:space="preserve">eligible for bevacizumab and respond to platinum-based therapy may still benefit from </w:t>
      </w:r>
      <w:proofErr w:type="spellStart"/>
      <w:r>
        <w:t>olaparib</w:t>
      </w:r>
      <w:proofErr w:type="spellEnd"/>
      <w:r>
        <w:t xml:space="preserve"> maintenance treatment.</w:t>
      </w:r>
    </w:p>
    <w:p w:rsidR="00D73301" w:rsidRPr="002A215F" w:rsidRDefault="00D73301" w:rsidP="002A215F">
      <w:pPr>
        <w:pStyle w:val="ListParagraph"/>
        <w:rPr>
          <w:iCs/>
        </w:rPr>
      </w:pPr>
      <w:r w:rsidRPr="002A215F">
        <w:rPr>
          <w:iCs/>
        </w:rPr>
        <w:t xml:space="preserve">The proposed restrictions allow patients who are not in complete response to continue </w:t>
      </w:r>
      <w:proofErr w:type="spellStart"/>
      <w:r w:rsidRPr="002A215F">
        <w:rPr>
          <w:iCs/>
        </w:rPr>
        <w:t>olaparib</w:t>
      </w:r>
      <w:proofErr w:type="spellEnd"/>
      <w:r w:rsidRPr="002A215F">
        <w:rPr>
          <w:iCs/>
        </w:rPr>
        <w:t xml:space="preserve"> treatment, while patients with complete response must not exceed a total of 24 months of treatment. The PBAC considered </w:t>
      </w:r>
      <w:r w:rsidR="003E1231" w:rsidRPr="002A215F">
        <w:rPr>
          <w:iCs/>
        </w:rPr>
        <w:t xml:space="preserve">that </w:t>
      </w:r>
      <w:r w:rsidRPr="002A215F">
        <w:rPr>
          <w:iCs/>
        </w:rPr>
        <w:t>this approach was appropriate for the first-line maintenance setting</w:t>
      </w:r>
      <w:r w:rsidR="006A60FF">
        <w:rPr>
          <w:iCs/>
        </w:rPr>
        <w:t>,</w:t>
      </w:r>
      <w:r w:rsidR="003E1231" w:rsidRPr="002A215F">
        <w:rPr>
          <w:iCs/>
        </w:rPr>
        <w:t xml:space="preserve"> as it was consistent with SOLO1 and it would be </w:t>
      </w:r>
      <w:r w:rsidR="00A30EE4" w:rsidRPr="002A215F">
        <w:rPr>
          <w:iCs/>
        </w:rPr>
        <w:t>un</w:t>
      </w:r>
      <w:r w:rsidR="00A30EE4">
        <w:rPr>
          <w:iCs/>
        </w:rPr>
        <w:t>n</w:t>
      </w:r>
      <w:r w:rsidR="00A30EE4" w:rsidRPr="002A215F">
        <w:rPr>
          <w:iCs/>
        </w:rPr>
        <w:t>ecessary</w:t>
      </w:r>
      <w:r w:rsidR="003E1231" w:rsidRPr="002A215F">
        <w:rPr>
          <w:iCs/>
        </w:rPr>
        <w:t xml:space="preserve"> for patients with complete response to have ongoing therapy</w:t>
      </w:r>
      <w:r w:rsidR="003300EF">
        <w:rPr>
          <w:iCs/>
        </w:rPr>
        <w:t xml:space="preserve"> </w:t>
      </w:r>
      <w:r w:rsidR="003300EF">
        <w:rPr>
          <w:iCs/>
        </w:rPr>
        <w:lastRenderedPageBreak/>
        <w:t>beyond 24 months</w:t>
      </w:r>
      <w:r w:rsidRPr="002A215F">
        <w:rPr>
          <w:iCs/>
        </w:rPr>
        <w:t xml:space="preserve">. The PBAC considered that a line-agnostic listing </w:t>
      </w:r>
      <w:r w:rsidR="00F43AB2">
        <w:rPr>
          <w:iCs/>
        </w:rPr>
        <w:t>may</w:t>
      </w:r>
      <w:r w:rsidRPr="002A215F">
        <w:rPr>
          <w:iCs/>
        </w:rPr>
        <w:t xml:space="preserve"> be a reasonable approach to listings for </w:t>
      </w:r>
      <w:proofErr w:type="spellStart"/>
      <w:r w:rsidRPr="002A215F">
        <w:rPr>
          <w:iCs/>
        </w:rPr>
        <w:t>olaparib</w:t>
      </w:r>
      <w:proofErr w:type="spellEnd"/>
      <w:r w:rsidRPr="002A215F">
        <w:rPr>
          <w:iCs/>
        </w:rPr>
        <w:t xml:space="preserve"> in ovarian cancer, provided that the listing ensured a maximum 24 mo</w:t>
      </w:r>
      <w:r w:rsidR="003E1231" w:rsidRPr="002A215F">
        <w:rPr>
          <w:iCs/>
        </w:rPr>
        <w:t>n</w:t>
      </w:r>
      <w:r w:rsidRPr="002A215F">
        <w:rPr>
          <w:iCs/>
        </w:rPr>
        <w:t xml:space="preserve">th treatment duration for patients in complete response and did not allow re-treatment with </w:t>
      </w:r>
      <w:proofErr w:type="spellStart"/>
      <w:r w:rsidRPr="002A215F">
        <w:rPr>
          <w:iCs/>
        </w:rPr>
        <w:t>olaparib</w:t>
      </w:r>
      <w:proofErr w:type="spellEnd"/>
      <w:r w:rsidRPr="002A215F">
        <w:rPr>
          <w:iCs/>
        </w:rPr>
        <w:t xml:space="preserve"> following relapse. </w:t>
      </w:r>
    </w:p>
    <w:p w:rsidR="00D73301" w:rsidRPr="003A09FF" w:rsidRDefault="003E1231" w:rsidP="00D73301">
      <w:pPr>
        <w:pStyle w:val="ListParagraph"/>
      </w:pPr>
      <w:r>
        <w:t xml:space="preserve">The PBAC noted that </w:t>
      </w:r>
      <w:r w:rsidR="00D73301" w:rsidRPr="003A09FF">
        <w:t xml:space="preserve">patients accessing </w:t>
      </w:r>
      <w:r w:rsidR="00F43AB2">
        <w:t xml:space="preserve">first-line </w:t>
      </w:r>
      <w:proofErr w:type="spellStart"/>
      <w:r w:rsidR="00D73301" w:rsidRPr="003A09FF">
        <w:t>olaparib</w:t>
      </w:r>
      <w:proofErr w:type="spellEnd"/>
      <w:r w:rsidR="00D73301" w:rsidRPr="003A09FF">
        <w:t xml:space="preserve"> under a compas</w:t>
      </w:r>
      <w:r>
        <w:t>sionate access program</w:t>
      </w:r>
      <w:r w:rsidR="00D73301" w:rsidRPr="003A09FF">
        <w:t xml:space="preserve"> would be eligible for treatment under the proposed initial treatment listing, therefore a separate grandfather listing is not required. </w:t>
      </w:r>
    </w:p>
    <w:p w:rsidR="00CD35A4" w:rsidRDefault="00675F29" w:rsidP="003F12E7">
      <w:pPr>
        <w:pStyle w:val="ListParagraph"/>
        <w:rPr>
          <w:snapToGrid w:val="0"/>
          <w:lang w:val="en-GB"/>
        </w:rPr>
      </w:pPr>
      <w:r>
        <w:rPr>
          <w:snapToGrid w:val="0"/>
          <w:lang w:val="en-GB"/>
        </w:rPr>
        <w:t xml:space="preserve">The PBAC considered that the proposed clinical place for </w:t>
      </w:r>
      <w:proofErr w:type="spellStart"/>
      <w:r>
        <w:rPr>
          <w:snapToGrid w:val="0"/>
          <w:lang w:val="en-GB"/>
        </w:rPr>
        <w:t>olaparib</w:t>
      </w:r>
      <w:proofErr w:type="spellEnd"/>
      <w:r>
        <w:rPr>
          <w:snapToGrid w:val="0"/>
          <w:lang w:val="en-GB"/>
        </w:rPr>
        <w:t xml:space="preserve"> as first-line maintenance with </w:t>
      </w:r>
      <w:proofErr w:type="spellStart"/>
      <w:r>
        <w:rPr>
          <w:snapToGrid w:val="0"/>
          <w:lang w:val="en-GB"/>
        </w:rPr>
        <w:t>olaparib</w:t>
      </w:r>
      <w:proofErr w:type="spellEnd"/>
      <w:r>
        <w:rPr>
          <w:snapToGrid w:val="0"/>
          <w:lang w:val="en-GB"/>
        </w:rPr>
        <w:t xml:space="preserve"> in patients with </w:t>
      </w:r>
      <w:proofErr w:type="spellStart"/>
      <w:r>
        <w:rPr>
          <w:snapToGrid w:val="0"/>
          <w:lang w:val="en-GB"/>
        </w:rPr>
        <w:t>BRCAm</w:t>
      </w:r>
      <w:proofErr w:type="spellEnd"/>
      <w:r>
        <w:rPr>
          <w:snapToGrid w:val="0"/>
          <w:lang w:val="en-GB"/>
        </w:rPr>
        <w:t xml:space="preserve"> who are in response to platinum treatment was appropriate. The PBAC noted that there are a substantial proportion of patients</w:t>
      </w:r>
      <w:r w:rsidR="007D3D1F">
        <w:rPr>
          <w:snapToGrid w:val="0"/>
          <w:lang w:val="en-GB"/>
        </w:rPr>
        <w:t xml:space="preserve"> who</w:t>
      </w:r>
      <w:r>
        <w:rPr>
          <w:snapToGrid w:val="0"/>
          <w:lang w:val="en-GB"/>
        </w:rPr>
        <w:t xml:space="preserve"> are no longer suitable for treatment with </w:t>
      </w:r>
      <w:proofErr w:type="spellStart"/>
      <w:r>
        <w:rPr>
          <w:snapToGrid w:val="0"/>
          <w:lang w:val="en-GB"/>
        </w:rPr>
        <w:t>olaparib</w:t>
      </w:r>
      <w:proofErr w:type="spellEnd"/>
      <w:r>
        <w:rPr>
          <w:snapToGrid w:val="0"/>
          <w:lang w:val="en-GB"/>
        </w:rPr>
        <w:t xml:space="preserve"> following a subsequent relapse and chemotherapy and as such, first-line maintenance </w:t>
      </w:r>
      <w:r w:rsidR="00F43AB2">
        <w:rPr>
          <w:snapToGrid w:val="0"/>
          <w:lang w:val="en-GB"/>
        </w:rPr>
        <w:t>is a clinically appropriate approach</w:t>
      </w:r>
      <w:r w:rsidR="00CD35A4">
        <w:rPr>
          <w:snapToGrid w:val="0"/>
          <w:lang w:val="en-GB"/>
        </w:rPr>
        <w:t>.</w:t>
      </w:r>
      <w:r>
        <w:rPr>
          <w:snapToGrid w:val="0"/>
          <w:lang w:val="en-GB"/>
        </w:rPr>
        <w:t xml:space="preserve"> </w:t>
      </w:r>
    </w:p>
    <w:p w:rsidR="00133252" w:rsidRPr="00973545" w:rsidRDefault="00133252" w:rsidP="00983141">
      <w:pPr>
        <w:pStyle w:val="ListParagraph"/>
        <w:numPr>
          <w:ilvl w:val="4"/>
          <w:numId w:val="1"/>
        </w:numPr>
        <w:rPr>
          <w:color w:val="auto"/>
        </w:rPr>
      </w:pPr>
      <w:r w:rsidRPr="00CC4DC5">
        <w:t xml:space="preserve">The </w:t>
      </w:r>
      <w:r>
        <w:t>PBAC agreed with the ESC</w:t>
      </w:r>
      <w:r w:rsidRPr="00CC4DC5">
        <w:t xml:space="preserve"> that the</w:t>
      </w:r>
      <w:r w:rsidR="00E664B7">
        <w:t>re</w:t>
      </w:r>
      <w:r w:rsidRPr="00CC4DC5">
        <w:t xml:space="preserve"> </w:t>
      </w:r>
      <w:r w:rsidR="00E664B7">
        <w:t xml:space="preserve">was a lack of </w:t>
      </w:r>
      <w:r w:rsidR="00ED20B8">
        <w:t xml:space="preserve">direct trial </w:t>
      </w:r>
      <w:r w:rsidRPr="00CC4DC5">
        <w:t xml:space="preserve">data supporting the efficacy of </w:t>
      </w:r>
      <w:proofErr w:type="spellStart"/>
      <w:r w:rsidRPr="00CC4DC5">
        <w:t>olaparib</w:t>
      </w:r>
      <w:proofErr w:type="spellEnd"/>
      <w:r w:rsidRPr="00CC4DC5">
        <w:t xml:space="preserve"> </w:t>
      </w:r>
      <w:r w:rsidR="00464D48">
        <w:t>in the first-line setting</w:t>
      </w:r>
      <w:r w:rsidR="00F01907">
        <w:t xml:space="preserve"> </w:t>
      </w:r>
      <w:r w:rsidRPr="00CC4DC5">
        <w:t xml:space="preserve">for patients with </w:t>
      </w:r>
      <w:proofErr w:type="spellStart"/>
      <w:r w:rsidRPr="00CC4DC5">
        <w:t>s</w:t>
      </w:r>
      <w:r w:rsidRPr="00CC4DC5">
        <w:rPr>
          <w:i/>
        </w:rPr>
        <w:t>BRCA</w:t>
      </w:r>
      <w:r w:rsidRPr="00CC4DC5">
        <w:t>m</w:t>
      </w:r>
      <w:proofErr w:type="spellEnd"/>
      <w:r w:rsidRPr="00CC4DC5">
        <w:t xml:space="preserve"> in the absence of </w:t>
      </w:r>
      <w:proofErr w:type="spellStart"/>
      <w:r w:rsidRPr="00CC4DC5">
        <w:t>g</w:t>
      </w:r>
      <w:r w:rsidRPr="00CC4DC5">
        <w:rPr>
          <w:i/>
        </w:rPr>
        <w:t>BRCA</w:t>
      </w:r>
      <w:r w:rsidRPr="00CC4DC5">
        <w:t>m</w:t>
      </w:r>
      <w:proofErr w:type="spellEnd"/>
      <w:r w:rsidRPr="00CC4DC5">
        <w:t xml:space="preserve">, </w:t>
      </w:r>
      <w:r w:rsidR="00973545">
        <w:t>as only two such patients were</w:t>
      </w:r>
      <w:r w:rsidRPr="00CC4DC5">
        <w:t xml:space="preserve"> included in the key comparative study</w:t>
      </w:r>
      <w:r w:rsidR="003331CF">
        <w:t>.</w:t>
      </w:r>
      <w:r w:rsidR="00577F1A">
        <w:t xml:space="preserve"> </w:t>
      </w:r>
      <w:r w:rsidR="003331CF">
        <w:t xml:space="preserve">The PBAC also noted that </w:t>
      </w:r>
      <w:r w:rsidR="00973545">
        <w:t xml:space="preserve">the </w:t>
      </w:r>
      <w:r w:rsidR="003331CF" w:rsidRPr="00B20E20">
        <w:rPr>
          <w:color w:val="auto"/>
        </w:rPr>
        <w:t xml:space="preserve">pooled analysis of studies </w:t>
      </w:r>
      <w:r w:rsidR="003331CF">
        <w:rPr>
          <w:color w:val="auto"/>
        </w:rPr>
        <w:t xml:space="preserve">in the second-line setting found similar hazard ratios </w:t>
      </w:r>
      <w:r w:rsidR="003331CF" w:rsidRPr="00B20E20">
        <w:rPr>
          <w:color w:val="auto"/>
        </w:rPr>
        <w:t xml:space="preserve">for PARP inhibitors versus placebo in patients with </w:t>
      </w:r>
      <w:proofErr w:type="spellStart"/>
      <w:r w:rsidR="003331CF" w:rsidRPr="00B20E20">
        <w:rPr>
          <w:bCs/>
          <w:color w:val="auto"/>
        </w:rPr>
        <w:t>g</w:t>
      </w:r>
      <w:r w:rsidR="003331CF" w:rsidRPr="00B20E20">
        <w:rPr>
          <w:bCs/>
          <w:i/>
          <w:color w:val="auto"/>
        </w:rPr>
        <w:t>BRCA</w:t>
      </w:r>
      <w:r w:rsidR="003331CF" w:rsidRPr="00B20E20">
        <w:rPr>
          <w:color w:val="auto"/>
        </w:rPr>
        <w:t>m</w:t>
      </w:r>
      <w:proofErr w:type="spellEnd"/>
      <w:r w:rsidR="003331CF">
        <w:rPr>
          <w:color w:val="auto"/>
        </w:rPr>
        <w:t xml:space="preserve"> and </w:t>
      </w:r>
      <w:proofErr w:type="spellStart"/>
      <w:r w:rsidR="003331CF" w:rsidRPr="00B20E20">
        <w:rPr>
          <w:bCs/>
          <w:color w:val="auto"/>
        </w:rPr>
        <w:t>s</w:t>
      </w:r>
      <w:r w:rsidR="003331CF" w:rsidRPr="00B20E20">
        <w:rPr>
          <w:bCs/>
          <w:i/>
          <w:color w:val="auto"/>
        </w:rPr>
        <w:t>BRCA</w:t>
      </w:r>
      <w:r w:rsidR="003331CF" w:rsidRPr="00B20E20">
        <w:rPr>
          <w:color w:val="auto"/>
        </w:rPr>
        <w:t>m</w:t>
      </w:r>
      <w:proofErr w:type="spellEnd"/>
      <w:r w:rsidR="00610B42">
        <w:rPr>
          <w:color w:val="auto"/>
        </w:rPr>
        <w:t xml:space="preserve"> (paragraph</w:t>
      </w:r>
      <w:r w:rsidR="008F17DC">
        <w:rPr>
          <w:color w:val="auto"/>
        </w:rPr>
        <w:t xml:space="preserve"> </w:t>
      </w:r>
      <w:r w:rsidR="008F17DC" w:rsidRPr="004366FF">
        <w:rPr>
          <w:color w:val="auto"/>
        </w:rPr>
        <w:t>6.2</w:t>
      </w:r>
      <w:r w:rsidR="00973545" w:rsidRPr="004366FF">
        <w:rPr>
          <w:color w:val="auto"/>
        </w:rPr>
        <w:t>3</w:t>
      </w:r>
      <w:r w:rsidR="008F17DC" w:rsidRPr="004366FF">
        <w:rPr>
          <w:color w:val="auto"/>
        </w:rPr>
        <w:t>)</w:t>
      </w:r>
      <w:r w:rsidR="00DE2B2F" w:rsidRPr="004366FF">
        <w:rPr>
          <w:color w:val="auto"/>
        </w:rPr>
        <w:t>,</w:t>
      </w:r>
      <w:r w:rsidR="00DE2B2F">
        <w:rPr>
          <w:color w:val="auto"/>
        </w:rPr>
        <w:t xml:space="preserve"> which supported </w:t>
      </w:r>
      <w:r w:rsidR="00DE2B2F" w:rsidRPr="00CC4DC5">
        <w:t xml:space="preserve">the efficacy of </w:t>
      </w:r>
      <w:proofErr w:type="spellStart"/>
      <w:r w:rsidR="00DE2B2F" w:rsidRPr="00CC4DC5">
        <w:t>olaparib</w:t>
      </w:r>
      <w:proofErr w:type="spellEnd"/>
      <w:r w:rsidR="00DE2B2F" w:rsidRPr="00CC4DC5">
        <w:t xml:space="preserve"> </w:t>
      </w:r>
      <w:r w:rsidR="00DE2B2F">
        <w:t xml:space="preserve">in the </w:t>
      </w:r>
      <w:r w:rsidR="00321264">
        <w:t>second</w:t>
      </w:r>
      <w:r w:rsidR="00DE2B2F">
        <w:t xml:space="preserve">-line setting </w:t>
      </w:r>
      <w:r w:rsidR="00DE2B2F" w:rsidRPr="00CC4DC5">
        <w:t xml:space="preserve">for patients with </w:t>
      </w:r>
      <w:proofErr w:type="spellStart"/>
      <w:r w:rsidR="00DE2B2F" w:rsidRPr="00CC4DC5">
        <w:t>s</w:t>
      </w:r>
      <w:r w:rsidR="00DE2B2F" w:rsidRPr="00CC4DC5">
        <w:rPr>
          <w:i/>
        </w:rPr>
        <w:t>BRCA</w:t>
      </w:r>
      <w:r w:rsidR="00DE2B2F" w:rsidRPr="00CC4DC5">
        <w:t>m</w:t>
      </w:r>
      <w:proofErr w:type="spellEnd"/>
      <w:r w:rsidR="00DE2B2F" w:rsidRPr="00CC4DC5">
        <w:t xml:space="preserve"> in the absence of </w:t>
      </w:r>
      <w:proofErr w:type="spellStart"/>
      <w:r w:rsidR="00DE2B2F" w:rsidRPr="00CC4DC5">
        <w:t>g</w:t>
      </w:r>
      <w:r w:rsidR="00DE2B2F" w:rsidRPr="00CC4DC5">
        <w:rPr>
          <w:i/>
        </w:rPr>
        <w:t>BRCA</w:t>
      </w:r>
      <w:r w:rsidR="00DE2B2F" w:rsidRPr="00CC4DC5">
        <w:t>m</w:t>
      </w:r>
      <w:proofErr w:type="spellEnd"/>
      <w:r w:rsidR="003331CF" w:rsidRPr="00DC08B0">
        <w:rPr>
          <w:color w:val="auto"/>
        </w:rPr>
        <w:t>.</w:t>
      </w:r>
    </w:p>
    <w:p w:rsidR="003F12E7" w:rsidRPr="000D72AD" w:rsidRDefault="000D72AD" w:rsidP="00367CB9">
      <w:pPr>
        <w:pStyle w:val="ListParagraph"/>
        <w:rPr>
          <w:snapToGrid w:val="0"/>
          <w:lang w:val="en-GB"/>
        </w:rPr>
      </w:pPr>
      <w:r w:rsidRPr="000D72AD">
        <w:rPr>
          <w:snapToGrid w:val="0"/>
          <w:lang w:val="en-GB"/>
        </w:rPr>
        <w:t xml:space="preserve">The PBAC noted that </w:t>
      </w:r>
      <w:proofErr w:type="spellStart"/>
      <w:r w:rsidRPr="000D72AD">
        <w:rPr>
          <w:i/>
          <w:snapToGrid w:val="0"/>
          <w:lang w:val="en-GB"/>
        </w:rPr>
        <w:t>BRCA</w:t>
      </w:r>
      <w:r w:rsidRPr="000D72AD">
        <w:rPr>
          <w:snapToGrid w:val="0"/>
          <w:lang w:val="en-GB"/>
        </w:rPr>
        <w:t>m</w:t>
      </w:r>
      <w:proofErr w:type="spellEnd"/>
      <w:r w:rsidRPr="000D72AD">
        <w:rPr>
          <w:snapToGrid w:val="0"/>
          <w:lang w:val="en-GB"/>
        </w:rPr>
        <w:t xml:space="preserve"> status is used as a surrogate for homologous DNA repair deficiency, and considered that although an imperfect marker of homologous DNA repair deficiency, </w:t>
      </w:r>
      <w:proofErr w:type="spellStart"/>
      <w:r w:rsidRPr="000D72AD">
        <w:rPr>
          <w:snapToGrid w:val="0"/>
          <w:lang w:val="en-GB"/>
        </w:rPr>
        <w:t>BRCAm</w:t>
      </w:r>
      <w:proofErr w:type="spellEnd"/>
      <w:r w:rsidRPr="000D72AD">
        <w:rPr>
          <w:snapToGrid w:val="0"/>
          <w:lang w:val="en-GB"/>
        </w:rPr>
        <w:t xml:space="preserve"> status and platinum sensitivity are currently the most appropriate means to identify patients likely to benefit the most from </w:t>
      </w:r>
      <w:proofErr w:type="spellStart"/>
      <w:r w:rsidRPr="000D72AD">
        <w:rPr>
          <w:snapToGrid w:val="0"/>
          <w:lang w:val="en-GB"/>
        </w:rPr>
        <w:t>olaparib</w:t>
      </w:r>
      <w:proofErr w:type="spellEnd"/>
      <w:r w:rsidRPr="000D72AD">
        <w:rPr>
          <w:snapToGrid w:val="0"/>
          <w:lang w:val="en-GB"/>
        </w:rPr>
        <w:t xml:space="preserve"> maintenance. </w:t>
      </w:r>
    </w:p>
    <w:p w:rsidR="004527E3" w:rsidRPr="00CA47F7" w:rsidRDefault="004527E3" w:rsidP="003934CB">
      <w:pPr>
        <w:pStyle w:val="ListParagraph"/>
      </w:pPr>
      <w:r w:rsidRPr="00DC08B0">
        <w:t xml:space="preserve">The </w:t>
      </w:r>
      <w:r>
        <w:t xml:space="preserve">PBAC considered the </w:t>
      </w:r>
      <w:r w:rsidRPr="00DC08B0">
        <w:t xml:space="preserve">appropriate </w:t>
      </w:r>
      <w:r w:rsidR="00AB3170">
        <w:t xml:space="preserve">main </w:t>
      </w:r>
      <w:r w:rsidRPr="00DC08B0">
        <w:t xml:space="preserve">comparator is watch and wait, followed by second-line </w:t>
      </w:r>
      <w:r>
        <w:t>platinum-based chemotherapy and</w:t>
      </w:r>
      <w:r w:rsidRPr="00DC08B0">
        <w:t xml:space="preserve"> </w:t>
      </w:r>
      <w:proofErr w:type="spellStart"/>
      <w:r w:rsidRPr="00DC08B0">
        <w:t>olaparib</w:t>
      </w:r>
      <w:proofErr w:type="spellEnd"/>
      <w:r w:rsidRPr="00DC08B0">
        <w:t xml:space="preserve"> maintenance in patients with </w:t>
      </w:r>
      <w:proofErr w:type="spellStart"/>
      <w:r w:rsidRPr="00DC08B0">
        <w:t>g</w:t>
      </w:r>
      <w:r w:rsidRPr="004527E3">
        <w:rPr>
          <w:i/>
        </w:rPr>
        <w:t>BRCA</w:t>
      </w:r>
      <w:r w:rsidRPr="00DC08B0">
        <w:t>m</w:t>
      </w:r>
      <w:proofErr w:type="spellEnd"/>
      <w:r>
        <w:t xml:space="preserve">. </w:t>
      </w:r>
      <w:r w:rsidRPr="00DC08B0">
        <w:t>While bevacizumab is currently available for patients with sub</w:t>
      </w:r>
      <w:r>
        <w:t>-</w:t>
      </w:r>
      <w:r w:rsidRPr="00DC08B0">
        <w:t xml:space="preserve">optimally </w:t>
      </w:r>
      <w:proofErr w:type="spellStart"/>
      <w:r w:rsidRPr="00DC08B0">
        <w:t>debulked</w:t>
      </w:r>
      <w:proofErr w:type="spellEnd"/>
      <w:r w:rsidRPr="00DC08B0">
        <w:t xml:space="preserve"> Stage III ovarian cancer, the </w:t>
      </w:r>
      <w:r>
        <w:t>submission</w:t>
      </w:r>
      <w:r w:rsidRPr="00DC08B0">
        <w:t xml:space="preserve"> stated that the populations currently treated with bevacizumab are less likely to harbour a </w:t>
      </w:r>
      <w:proofErr w:type="spellStart"/>
      <w:r w:rsidRPr="004527E3">
        <w:rPr>
          <w:i/>
        </w:rPr>
        <w:t>BRCA</w:t>
      </w:r>
      <w:r w:rsidRPr="00DC08B0">
        <w:t>m</w:t>
      </w:r>
      <w:proofErr w:type="spellEnd"/>
      <w:r w:rsidRPr="00DC08B0">
        <w:t>, and are less likely to respond to platinum-based chemotherapy</w:t>
      </w:r>
      <w:r w:rsidRPr="00272E42">
        <w:t xml:space="preserve">. </w:t>
      </w:r>
      <w:r w:rsidR="00367CB9">
        <w:t xml:space="preserve">The PBAC noted </w:t>
      </w:r>
      <w:proofErr w:type="spellStart"/>
      <w:r w:rsidR="00367CB9">
        <w:t>olaparib</w:t>
      </w:r>
      <w:proofErr w:type="spellEnd"/>
      <w:r w:rsidR="00367CB9">
        <w:t xml:space="preserve"> is an alternative to bevacizumab maintenance following first-line chemotherapy and bevacizumab. Although the extent to which </w:t>
      </w:r>
      <w:proofErr w:type="spellStart"/>
      <w:r w:rsidR="00367CB9">
        <w:t>olaparib</w:t>
      </w:r>
      <w:proofErr w:type="spellEnd"/>
      <w:r w:rsidR="00367CB9">
        <w:t xml:space="preserve"> would replace bevacizumab is unknown, the PBAC considered that bevacizumab is an appropriate comparator for the subgroup of patients with sub-optimally </w:t>
      </w:r>
      <w:proofErr w:type="spellStart"/>
      <w:r w:rsidR="00367CB9">
        <w:t>debulked</w:t>
      </w:r>
      <w:proofErr w:type="spellEnd"/>
      <w:r w:rsidR="00367CB9">
        <w:t xml:space="preserve"> Stage III ovarian cancer.</w:t>
      </w:r>
    </w:p>
    <w:p w:rsidR="007D14D6" w:rsidRPr="00DC08B0" w:rsidRDefault="007D14D6" w:rsidP="00A4252F">
      <w:pPr>
        <w:pStyle w:val="ListParagraph"/>
      </w:pPr>
      <w:r w:rsidRPr="00E20BB4">
        <w:t>The</w:t>
      </w:r>
      <w:r>
        <w:t xml:space="preserve"> PBAC considered that the</w:t>
      </w:r>
      <w:r w:rsidRPr="00E20BB4">
        <w:t xml:space="preserve"> key comparative study in patients with identified </w:t>
      </w:r>
      <w:proofErr w:type="spellStart"/>
      <w:r w:rsidRPr="00005E7E">
        <w:t>g</w:t>
      </w:r>
      <w:r w:rsidRPr="004523B0">
        <w:rPr>
          <w:i/>
        </w:rPr>
        <w:t>BRCA</w:t>
      </w:r>
      <w:r w:rsidRPr="00005E7E">
        <w:t>m</w:t>
      </w:r>
      <w:proofErr w:type="spellEnd"/>
      <w:r w:rsidRPr="00E20BB4">
        <w:t xml:space="preserve"> </w:t>
      </w:r>
      <w:r>
        <w:t xml:space="preserve">(SOLO1) </w:t>
      </w:r>
      <w:r w:rsidRPr="00E20BB4">
        <w:t>has a low risk of bias</w:t>
      </w:r>
      <w:r w:rsidR="006D077C">
        <w:t xml:space="preserve"> for the primary outcome of PFS</w:t>
      </w:r>
      <w:r w:rsidRPr="00E20BB4">
        <w:t xml:space="preserve">. </w:t>
      </w:r>
      <w:r w:rsidR="00DB5EE9">
        <w:t xml:space="preserve">The PBAC considered the use of </w:t>
      </w:r>
      <w:r w:rsidR="002D559D">
        <w:t xml:space="preserve">post-progression </w:t>
      </w:r>
      <w:r w:rsidR="00DB5EE9">
        <w:t xml:space="preserve">PARP inhibitors in the </w:t>
      </w:r>
      <w:proofErr w:type="spellStart"/>
      <w:r w:rsidR="00DB5EE9">
        <w:t>olaparib</w:t>
      </w:r>
      <w:proofErr w:type="spellEnd"/>
      <w:r w:rsidR="00DB5EE9">
        <w:t xml:space="preserve"> arm may have </w:t>
      </w:r>
      <w:r w:rsidR="00DB5EE9">
        <w:lastRenderedPageBreak/>
        <w:t xml:space="preserve">biased the </w:t>
      </w:r>
      <w:r w:rsidR="006E7FF3">
        <w:t xml:space="preserve">overall survival </w:t>
      </w:r>
      <w:r w:rsidR="00DB5EE9">
        <w:t>results in favour o</w:t>
      </w:r>
      <w:r w:rsidR="006D077C">
        <w:t>f</w:t>
      </w:r>
      <w:r w:rsidR="00DB5EE9">
        <w:t xml:space="preserve"> </w:t>
      </w:r>
      <w:proofErr w:type="spellStart"/>
      <w:r w:rsidR="00DB5EE9">
        <w:t>olaparib</w:t>
      </w:r>
      <w:proofErr w:type="spellEnd"/>
      <w:r w:rsidR="009F733F">
        <w:t>,</w:t>
      </w:r>
      <w:r w:rsidR="002D559D">
        <w:t xml:space="preserve"> as it would not reflect clinical practice in Australia</w:t>
      </w:r>
      <w:r w:rsidR="00DB5EE9">
        <w:t xml:space="preserve">. </w:t>
      </w:r>
    </w:p>
    <w:p w:rsidR="007000F9" w:rsidRDefault="00977468" w:rsidP="003F12E7">
      <w:pPr>
        <w:pStyle w:val="ListParagraph"/>
        <w:rPr>
          <w:snapToGrid w:val="0"/>
          <w:lang w:val="en-GB"/>
        </w:rPr>
      </w:pPr>
      <w:r>
        <w:rPr>
          <w:snapToGrid w:val="0"/>
          <w:lang w:val="en-GB"/>
        </w:rPr>
        <w:t xml:space="preserve">The PBAC noted that the SOLO1 trial demonstrated a </w:t>
      </w:r>
      <w:r w:rsidR="003300EF">
        <w:rPr>
          <w:snapToGrid w:val="0"/>
          <w:lang w:val="en-GB"/>
        </w:rPr>
        <w:t xml:space="preserve">substantial PFS benefit </w:t>
      </w:r>
      <w:r w:rsidR="00973545">
        <w:rPr>
          <w:snapToGrid w:val="0"/>
          <w:lang w:val="en-GB"/>
        </w:rPr>
        <w:t xml:space="preserve">for maintenance with </w:t>
      </w:r>
      <w:proofErr w:type="spellStart"/>
      <w:r w:rsidR="00973545">
        <w:rPr>
          <w:snapToGrid w:val="0"/>
          <w:lang w:val="en-GB"/>
        </w:rPr>
        <w:t>olaparib</w:t>
      </w:r>
      <w:proofErr w:type="spellEnd"/>
      <w:r w:rsidR="00973545">
        <w:rPr>
          <w:snapToGrid w:val="0"/>
          <w:lang w:val="en-GB"/>
        </w:rPr>
        <w:t xml:space="preserve"> </w:t>
      </w:r>
      <w:r w:rsidR="003300EF">
        <w:rPr>
          <w:snapToGrid w:val="0"/>
          <w:lang w:val="en-GB"/>
        </w:rPr>
        <w:t>compared with placebo with a hazard ratio of 0.30 (95% CI</w:t>
      </w:r>
      <w:r w:rsidR="004C7889">
        <w:rPr>
          <w:snapToGrid w:val="0"/>
          <w:lang w:val="en-GB"/>
        </w:rPr>
        <w:t>:</w:t>
      </w:r>
      <w:r w:rsidR="003300EF">
        <w:rPr>
          <w:snapToGrid w:val="0"/>
          <w:lang w:val="en-GB"/>
        </w:rPr>
        <w:t xml:space="preserve"> </w:t>
      </w:r>
      <w:r w:rsidR="00220894">
        <w:rPr>
          <w:snapToGrid w:val="0"/>
          <w:lang w:val="en-GB"/>
        </w:rPr>
        <w:t xml:space="preserve">0.23, 0.41; p&lt;0.0001). The PBAC noted that there was no difference in </w:t>
      </w:r>
      <w:r w:rsidR="00150212">
        <w:rPr>
          <w:snapToGrid w:val="0"/>
          <w:lang w:val="en-GB"/>
        </w:rPr>
        <w:t xml:space="preserve">health-related </w:t>
      </w:r>
      <w:proofErr w:type="spellStart"/>
      <w:r w:rsidR="00150212">
        <w:rPr>
          <w:snapToGrid w:val="0"/>
          <w:lang w:val="en-GB"/>
        </w:rPr>
        <w:t>QoL</w:t>
      </w:r>
      <w:proofErr w:type="spellEnd"/>
      <w:r w:rsidR="00150212">
        <w:rPr>
          <w:snapToGrid w:val="0"/>
          <w:lang w:val="en-GB"/>
        </w:rPr>
        <w:t xml:space="preserve"> as measured by the trial outcome index (TOI) </w:t>
      </w:r>
      <w:r w:rsidR="00220894">
        <w:rPr>
          <w:snapToGrid w:val="0"/>
          <w:lang w:val="en-GB"/>
        </w:rPr>
        <w:t>in the SOLO1 trial</w:t>
      </w:r>
      <w:r w:rsidR="00150212">
        <w:rPr>
          <w:snapToGrid w:val="0"/>
          <w:lang w:val="en-GB"/>
        </w:rPr>
        <w:t xml:space="preserve">. The PBAC noted that </w:t>
      </w:r>
      <w:r w:rsidR="00C546C4">
        <w:rPr>
          <w:snapToGrid w:val="0"/>
          <w:lang w:val="en-GB"/>
        </w:rPr>
        <w:t xml:space="preserve">the PSCR presented recently </w:t>
      </w:r>
      <w:r w:rsidR="00A30EE4">
        <w:rPr>
          <w:snapToGrid w:val="0"/>
          <w:lang w:val="en-GB"/>
        </w:rPr>
        <w:t>published</w:t>
      </w:r>
      <w:r w:rsidR="00150212">
        <w:rPr>
          <w:snapToGrid w:val="0"/>
          <w:lang w:val="en-GB"/>
        </w:rPr>
        <w:t xml:space="preserve"> quality-adjusted PFS and </w:t>
      </w:r>
      <w:proofErr w:type="spellStart"/>
      <w:r w:rsidR="00150212">
        <w:rPr>
          <w:snapToGrid w:val="0"/>
          <w:lang w:val="en-GB"/>
        </w:rPr>
        <w:t>TWiST</w:t>
      </w:r>
      <w:proofErr w:type="spellEnd"/>
      <w:r w:rsidR="00150212">
        <w:rPr>
          <w:snapToGrid w:val="0"/>
          <w:lang w:val="en-GB"/>
        </w:rPr>
        <w:t xml:space="preserve"> </w:t>
      </w:r>
      <w:r w:rsidR="00C546C4">
        <w:rPr>
          <w:snapToGrid w:val="0"/>
          <w:lang w:val="en-GB"/>
        </w:rPr>
        <w:t>data from the SOLO1 trial</w:t>
      </w:r>
      <w:r w:rsidR="00973545">
        <w:rPr>
          <w:snapToGrid w:val="0"/>
          <w:lang w:val="en-GB"/>
        </w:rPr>
        <w:t>. Although these results</w:t>
      </w:r>
      <w:r w:rsidR="00C546C4">
        <w:rPr>
          <w:snapToGrid w:val="0"/>
          <w:lang w:val="en-GB"/>
        </w:rPr>
        <w:t xml:space="preserve"> </w:t>
      </w:r>
      <w:r w:rsidR="000D2BA0">
        <w:rPr>
          <w:rFonts w:eastAsia="MS PGothic" w:cstheme="minorHAnsi"/>
          <w:bCs/>
          <w:kern w:val="24"/>
          <w:lang w:val="en-US"/>
        </w:rPr>
        <w:t xml:space="preserve">supported the claim that </w:t>
      </w:r>
      <w:r w:rsidR="001E14EC" w:rsidRPr="00515AC2">
        <w:rPr>
          <w:rFonts w:eastAsia="MS PGothic" w:cstheme="minorHAnsi"/>
          <w:bCs/>
          <w:kern w:val="24"/>
          <w:lang w:val="en-US"/>
        </w:rPr>
        <w:t xml:space="preserve">prolongation of PFS in SOLO1 was not at the expense of reduced </w:t>
      </w:r>
      <w:proofErr w:type="spellStart"/>
      <w:r w:rsidR="001E14EC" w:rsidRPr="00515AC2">
        <w:rPr>
          <w:rFonts w:eastAsia="MS PGothic" w:cstheme="minorHAnsi"/>
          <w:bCs/>
          <w:kern w:val="24"/>
          <w:lang w:val="en-US"/>
        </w:rPr>
        <w:t>HRQoL</w:t>
      </w:r>
      <w:proofErr w:type="spellEnd"/>
      <w:r w:rsidR="001E14EC" w:rsidRPr="00515AC2">
        <w:rPr>
          <w:rFonts w:eastAsia="MS PGothic" w:cstheme="minorHAnsi"/>
          <w:bCs/>
          <w:kern w:val="24"/>
          <w:lang w:val="en-US"/>
        </w:rPr>
        <w:t xml:space="preserve"> due to toxicity</w:t>
      </w:r>
      <w:r w:rsidR="00A579CC">
        <w:rPr>
          <w:snapToGrid w:val="0"/>
          <w:lang w:val="en-GB"/>
        </w:rPr>
        <w:t xml:space="preserve">, </w:t>
      </w:r>
      <w:r w:rsidR="000D2BA0">
        <w:rPr>
          <w:snapToGrid w:val="0"/>
          <w:lang w:val="en-GB"/>
        </w:rPr>
        <w:t>these data</w:t>
      </w:r>
      <w:r w:rsidR="00A579CC">
        <w:rPr>
          <w:snapToGrid w:val="0"/>
          <w:lang w:val="en-GB"/>
        </w:rPr>
        <w:t xml:space="preserve"> </w:t>
      </w:r>
      <w:r w:rsidR="00C546C4">
        <w:rPr>
          <w:snapToGrid w:val="0"/>
          <w:lang w:val="en-GB"/>
        </w:rPr>
        <w:t>were not evaluated</w:t>
      </w:r>
      <w:r w:rsidR="00220894">
        <w:rPr>
          <w:snapToGrid w:val="0"/>
          <w:lang w:val="en-GB"/>
        </w:rPr>
        <w:t>. The PBAC considered that</w:t>
      </w:r>
      <w:r w:rsidR="00C546C4" w:rsidRPr="00220894">
        <w:rPr>
          <w:snapToGrid w:val="0"/>
          <w:lang w:val="en-GB"/>
        </w:rPr>
        <w:t xml:space="preserve"> </w:t>
      </w:r>
      <w:r w:rsidR="00220894" w:rsidRPr="00220894">
        <w:rPr>
          <w:snapToGrid w:val="0"/>
          <w:lang w:val="en-GB"/>
        </w:rPr>
        <w:t xml:space="preserve">the gain in PFS is </w:t>
      </w:r>
      <w:r w:rsidR="00C546C4">
        <w:rPr>
          <w:snapToGrid w:val="0"/>
          <w:lang w:val="en-GB"/>
        </w:rPr>
        <w:t xml:space="preserve">likely to be </w:t>
      </w:r>
      <w:r w:rsidR="00220894" w:rsidRPr="00220894">
        <w:rPr>
          <w:snapToGrid w:val="0"/>
          <w:lang w:val="en-GB"/>
        </w:rPr>
        <w:t xml:space="preserve">clinically relevant </w:t>
      </w:r>
      <w:r w:rsidR="00C546C4">
        <w:rPr>
          <w:snapToGrid w:val="0"/>
          <w:lang w:val="en-GB"/>
        </w:rPr>
        <w:t>to patients</w:t>
      </w:r>
      <w:r w:rsidR="00220894" w:rsidRPr="00220894">
        <w:rPr>
          <w:snapToGrid w:val="0"/>
          <w:lang w:val="en-GB"/>
        </w:rPr>
        <w:t>,</w:t>
      </w:r>
      <w:r w:rsidR="004B6D84">
        <w:rPr>
          <w:snapToGrid w:val="0"/>
          <w:lang w:val="en-GB"/>
        </w:rPr>
        <w:t xml:space="preserve"> based on other supporting measures such as </w:t>
      </w:r>
      <w:r w:rsidR="007000F9">
        <w:rPr>
          <w:snapToGrid w:val="0"/>
          <w:lang w:val="en-GB"/>
        </w:rPr>
        <w:t>PFS2 and time to subsequent therapy</w:t>
      </w:r>
      <w:r w:rsidR="004B6D84">
        <w:rPr>
          <w:snapToGrid w:val="0"/>
          <w:lang w:val="en-GB"/>
        </w:rPr>
        <w:t xml:space="preserve">. However, the PBAC considered that the extent of </w:t>
      </w:r>
      <w:r w:rsidR="00B26F31">
        <w:rPr>
          <w:snapToGrid w:val="0"/>
          <w:lang w:val="en-GB"/>
        </w:rPr>
        <w:t xml:space="preserve">the </w:t>
      </w:r>
      <w:r w:rsidR="007000F9">
        <w:rPr>
          <w:snapToGrid w:val="0"/>
          <w:lang w:val="en-GB"/>
        </w:rPr>
        <w:t xml:space="preserve">clinically relevant </w:t>
      </w:r>
      <w:r w:rsidR="004B6D84">
        <w:rPr>
          <w:snapToGrid w:val="0"/>
          <w:lang w:val="en-GB"/>
        </w:rPr>
        <w:t xml:space="preserve">benefit </w:t>
      </w:r>
      <w:r w:rsidR="007000F9">
        <w:rPr>
          <w:snapToGrid w:val="0"/>
          <w:lang w:val="en-GB"/>
        </w:rPr>
        <w:t>may be less than the difference in radiological PFS.</w:t>
      </w:r>
    </w:p>
    <w:p w:rsidR="00220894" w:rsidRPr="00525B39" w:rsidRDefault="004C7889" w:rsidP="003F12E7">
      <w:pPr>
        <w:pStyle w:val="ListParagraph"/>
        <w:rPr>
          <w:snapToGrid w:val="0"/>
          <w:lang w:val="en-GB"/>
        </w:rPr>
      </w:pPr>
      <w:r>
        <w:rPr>
          <w:snapToGrid w:val="0"/>
          <w:lang w:val="en-GB"/>
        </w:rPr>
        <w:t>The PBAC noted that there was no difference in o</w:t>
      </w:r>
      <w:r w:rsidR="00150212">
        <w:rPr>
          <w:snapToGrid w:val="0"/>
          <w:lang w:val="en-GB"/>
        </w:rPr>
        <w:t xml:space="preserve">verall survival </w:t>
      </w:r>
      <w:r>
        <w:rPr>
          <w:snapToGrid w:val="0"/>
          <w:lang w:val="en-GB"/>
        </w:rPr>
        <w:t>at median follow-up of 41 months</w:t>
      </w:r>
      <w:r w:rsidR="008B7BA0">
        <w:rPr>
          <w:snapToGrid w:val="0"/>
          <w:lang w:val="en-GB"/>
        </w:rPr>
        <w:t>,</w:t>
      </w:r>
      <w:r>
        <w:rPr>
          <w:snapToGrid w:val="0"/>
          <w:lang w:val="en-GB"/>
        </w:rPr>
        <w:t xml:space="preserve"> with a hazard ratio of 0.95 </w:t>
      </w:r>
      <w:r w:rsidR="00150212">
        <w:rPr>
          <w:snapToGrid w:val="0"/>
          <w:lang w:val="en-GB"/>
        </w:rPr>
        <w:t>(</w:t>
      </w:r>
      <w:r>
        <w:rPr>
          <w:snapToGrid w:val="0"/>
          <w:lang w:val="en-GB"/>
        </w:rPr>
        <w:t xml:space="preserve">95% CI: 0.60, 1.53; p=0.89). </w:t>
      </w:r>
      <w:r w:rsidR="00000CA1">
        <w:rPr>
          <w:snapToGrid w:val="0"/>
          <w:lang w:val="en-GB"/>
        </w:rPr>
        <w:t>The PBAC noted that OS data was not mature</w:t>
      </w:r>
      <w:r w:rsidR="00AA1208">
        <w:rPr>
          <w:snapToGrid w:val="0"/>
          <w:lang w:val="en-GB"/>
        </w:rPr>
        <w:t>,</w:t>
      </w:r>
      <w:r w:rsidR="00000CA1">
        <w:rPr>
          <w:snapToGrid w:val="0"/>
          <w:lang w:val="en-GB"/>
        </w:rPr>
        <w:t xml:space="preserve"> and was impacted by subsequent treatment with PARP </w:t>
      </w:r>
      <w:r w:rsidR="00A30EE4">
        <w:rPr>
          <w:snapToGrid w:val="0"/>
          <w:lang w:val="en-GB"/>
        </w:rPr>
        <w:t>inhibitors</w:t>
      </w:r>
      <w:r w:rsidR="00000CA1">
        <w:rPr>
          <w:snapToGrid w:val="0"/>
          <w:lang w:val="en-GB"/>
        </w:rPr>
        <w:t xml:space="preserve"> in the control arm</w:t>
      </w:r>
      <w:r w:rsidR="00D2402E">
        <w:rPr>
          <w:snapToGrid w:val="0"/>
          <w:lang w:val="en-GB"/>
        </w:rPr>
        <w:t xml:space="preserve">, which reflects the current PBS listing for </w:t>
      </w:r>
      <w:proofErr w:type="spellStart"/>
      <w:r w:rsidR="00D2402E">
        <w:rPr>
          <w:snapToGrid w:val="0"/>
          <w:lang w:val="en-GB"/>
        </w:rPr>
        <w:t>olaparib</w:t>
      </w:r>
      <w:proofErr w:type="spellEnd"/>
      <w:r w:rsidR="00000CA1">
        <w:rPr>
          <w:snapToGrid w:val="0"/>
          <w:lang w:val="en-GB"/>
        </w:rPr>
        <w:t xml:space="preserve">. </w:t>
      </w:r>
      <w:r>
        <w:rPr>
          <w:snapToGrid w:val="0"/>
          <w:lang w:val="en-GB"/>
        </w:rPr>
        <w:t xml:space="preserve">The PBAC noted that </w:t>
      </w:r>
      <w:r w:rsidR="00150212">
        <w:rPr>
          <w:snapToGrid w:val="0"/>
          <w:lang w:val="en-GB"/>
        </w:rPr>
        <w:t>Study 19</w:t>
      </w:r>
      <w:r w:rsidR="000D2BA0">
        <w:rPr>
          <w:snapToGrid w:val="0"/>
          <w:lang w:val="en-GB"/>
        </w:rPr>
        <w:t>,</w:t>
      </w:r>
      <w:r w:rsidR="00150212">
        <w:rPr>
          <w:snapToGrid w:val="0"/>
          <w:lang w:val="en-GB"/>
        </w:rPr>
        <w:t xml:space="preserve"> </w:t>
      </w:r>
      <w:r w:rsidR="00B26F31">
        <w:rPr>
          <w:snapToGrid w:val="0"/>
          <w:lang w:val="en-GB"/>
        </w:rPr>
        <w:t xml:space="preserve">assessing the efficacy of </w:t>
      </w:r>
      <w:proofErr w:type="spellStart"/>
      <w:r w:rsidR="00B26F31">
        <w:rPr>
          <w:snapToGrid w:val="0"/>
          <w:lang w:val="en-GB"/>
        </w:rPr>
        <w:t>olaparib</w:t>
      </w:r>
      <w:proofErr w:type="spellEnd"/>
      <w:r w:rsidR="00B26F31">
        <w:rPr>
          <w:snapToGrid w:val="0"/>
          <w:lang w:val="en-GB"/>
        </w:rPr>
        <w:t xml:space="preserve"> as second-line maintenance </w:t>
      </w:r>
      <w:r w:rsidR="00000CA1">
        <w:rPr>
          <w:snapToGrid w:val="0"/>
          <w:lang w:val="en-GB"/>
        </w:rPr>
        <w:t>therapy</w:t>
      </w:r>
      <w:r w:rsidR="000D2BA0">
        <w:rPr>
          <w:snapToGrid w:val="0"/>
          <w:lang w:val="en-GB"/>
        </w:rPr>
        <w:t>,</w:t>
      </w:r>
      <w:r w:rsidR="00000CA1">
        <w:rPr>
          <w:snapToGrid w:val="0"/>
          <w:lang w:val="en-GB"/>
        </w:rPr>
        <w:t xml:space="preserve"> </w:t>
      </w:r>
      <w:r>
        <w:rPr>
          <w:snapToGrid w:val="0"/>
          <w:lang w:val="en-GB"/>
        </w:rPr>
        <w:t xml:space="preserve">demonstrated </w:t>
      </w:r>
      <w:r w:rsidR="005B4081" w:rsidRPr="00DE7812">
        <w:rPr>
          <w:color w:val="auto"/>
        </w:rPr>
        <w:t xml:space="preserve">a </w:t>
      </w:r>
      <w:r w:rsidR="00C90345">
        <w:rPr>
          <w:color w:val="auto"/>
        </w:rPr>
        <w:t>larger</w:t>
      </w:r>
      <w:r w:rsidR="00000CA1">
        <w:rPr>
          <w:color w:val="auto"/>
        </w:rPr>
        <w:t xml:space="preserve"> although also</w:t>
      </w:r>
      <w:r w:rsidR="005B4081" w:rsidRPr="00DE7812">
        <w:rPr>
          <w:color w:val="auto"/>
        </w:rPr>
        <w:t xml:space="preserve"> non-significant improvement in </w:t>
      </w:r>
      <w:r w:rsidR="00F243FE">
        <w:rPr>
          <w:color w:val="auto"/>
        </w:rPr>
        <w:t>O</w:t>
      </w:r>
      <w:r w:rsidR="00F37CA6">
        <w:rPr>
          <w:color w:val="auto"/>
        </w:rPr>
        <w:t>S</w:t>
      </w:r>
      <w:r w:rsidR="005B4081">
        <w:rPr>
          <w:color w:val="auto"/>
        </w:rPr>
        <w:t xml:space="preserve"> with an</w:t>
      </w:r>
      <w:r w:rsidR="005B4081" w:rsidRPr="00DE7812">
        <w:rPr>
          <w:color w:val="auto"/>
        </w:rPr>
        <w:t xml:space="preserve"> </w:t>
      </w:r>
      <w:r w:rsidR="005B4081">
        <w:rPr>
          <w:snapToGrid w:val="0"/>
          <w:lang w:val="en-GB"/>
        </w:rPr>
        <w:t>increase in median OS of 3 months (34.9 vs 31.9 mo</w:t>
      </w:r>
      <w:r w:rsidR="00F1357A">
        <w:rPr>
          <w:snapToGrid w:val="0"/>
          <w:lang w:val="en-GB"/>
        </w:rPr>
        <w:t xml:space="preserve">nths, </w:t>
      </w:r>
      <w:r w:rsidR="005B4081" w:rsidRPr="00DE7812">
        <w:rPr>
          <w:color w:val="auto"/>
        </w:rPr>
        <w:t>unadjusted HR 0.73 95%CI: 0.45, 1.17)</w:t>
      </w:r>
      <w:r w:rsidR="00000CA1">
        <w:rPr>
          <w:color w:val="auto"/>
        </w:rPr>
        <w:t xml:space="preserve">. However with adjustment for post-progression therapy the gain in OS further increased and was </w:t>
      </w:r>
      <w:r w:rsidR="005B4081" w:rsidRPr="00DE7812">
        <w:rPr>
          <w:color w:val="auto"/>
        </w:rPr>
        <w:t>statistically significant (</w:t>
      </w:r>
      <w:r w:rsidR="00F1357A">
        <w:rPr>
          <w:color w:val="auto"/>
        </w:rPr>
        <w:t xml:space="preserve">34.9 vs 26.6 months, </w:t>
      </w:r>
      <w:r w:rsidR="005B4081" w:rsidRPr="00DE7812">
        <w:rPr>
          <w:color w:val="auto"/>
        </w:rPr>
        <w:t>adjusted HR 0.52 95%CI: 0.28, 0.97)</w:t>
      </w:r>
      <w:r w:rsidR="005B4081">
        <w:rPr>
          <w:color w:val="auto"/>
        </w:rPr>
        <w:t xml:space="preserve"> (</w:t>
      </w:r>
      <w:r w:rsidR="00F1357A">
        <w:rPr>
          <w:color w:val="auto"/>
        </w:rPr>
        <w:t xml:space="preserve">Table 6, </w:t>
      </w:r>
      <w:proofErr w:type="spellStart"/>
      <w:r w:rsidR="00F1357A">
        <w:rPr>
          <w:color w:val="auto"/>
        </w:rPr>
        <w:t>olaparib</w:t>
      </w:r>
      <w:proofErr w:type="spellEnd"/>
      <w:r w:rsidR="00F243FE">
        <w:rPr>
          <w:color w:val="auto"/>
        </w:rPr>
        <w:t xml:space="preserve"> PSD</w:t>
      </w:r>
      <w:r w:rsidR="00F1357A">
        <w:rPr>
          <w:color w:val="auto"/>
        </w:rPr>
        <w:t xml:space="preserve">, March 2016). </w:t>
      </w:r>
      <w:r w:rsidR="00C546C4">
        <w:rPr>
          <w:snapToGrid w:val="0"/>
          <w:lang w:val="en-GB"/>
        </w:rPr>
        <w:t xml:space="preserve">The PBAC considered that it </w:t>
      </w:r>
      <w:r w:rsidR="007D3D1F">
        <w:rPr>
          <w:snapToGrid w:val="0"/>
          <w:lang w:val="en-GB"/>
        </w:rPr>
        <w:t xml:space="preserve">may </w:t>
      </w:r>
      <w:r w:rsidR="00C546C4">
        <w:rPr>
          <w:snapToGrid w:val="0"/>
          <w:lang w:val="en-GB"/>
        </w:rPr>
        <w:t>be reasonable to assume that</w:t>
      </w:r>
      <w:r w:rsidR="00D33B10">
        <w:rPr>
          <w:snapToGrid w:val="0"/>
          <w:lang w:val="en-GB"/>
        </w:rPr>
        <w:t xml:space="preserve">, compared with no </w:t>
      </w:r>
      <w:proofErr w:type="spellStart"/>
      <w:r w:rsidR="00D33B10">
        <w:rPr>
          <w:snapToGrid w:val="0"/>
          <w:lang w:val="en-GB"/>
        </w:rPr>
        <w:t>olaparib</w:t>
      </w:r>
      <w:proofErr w:type="spellEnd"/>
      <w:r w:rsidR="00D33B10">
        <w:rPr>
          <w:snapToGrid w:val="0"/>
          <w:lang w:val="en-GB"/>
        </w:rPr>
        <w:t xml:space="preserve"> treatment,</w:t>
      </w:r>
      <w:r w:rsidR="00C546C4">
        <w:rPr>
          <w:snapToGrid w:val="0"/>
          <w:lang w:val="en-GB"/>
        </w:rPr>
        <w:t xml:space="preserve"> patients treated with </w:t>
      </w:r>
      <w:proofErr w:type="spellStart"/>
      <w:r w:rsidR="00C546C4">
        <w:rPr>
          <w:snapToGrid w:val="0"/>
          <w:lang w:val="en-GB"/>
        </w:rPr>
        <w:t>olaparib</w:t>
      </w:r>
      <w:proofErr w:type="spellEnd"/>
      <w:r w:rsidR="00C546C4">
        <w:rPr>
          <w:snapToGrid w:val="0"/>
          <w:lang w:val="en-GB"/>
        </w:rPr>
        <w:t xml:space="preserve"> </w:t>
      </w:r>
      <w:r w:rsidR="00166D78">
        <w:rPr>
          <w:snapToGrid w:val="0"/>
          <w:lang w:val="en-GB"/>
        </w:rPr>
        <w:t xml:space="preserve">as first-line maintenance </w:t>
      </w:r>
      <w:r w:rsidR="00C546C4">
        <w:rPr>
          <w:snapToGrid w:val="0"/>
          <w:lang w:val="en-GB"/>
        </w:rPr>
        <w:t xml:space="preserve">had a survival benefit equivalent to that demonstrated in second-line </w:t>
      </w:r>
      <w:r w:rsidR="00166D78">
        <w:rPr>
          <w:snapToGrid w:val="0"/>
          <w:lang w:val="en-GB"/>
        </w:rPr>
        <w:t xml:space="preserve">maintenance </w:t>
      </w:r>
      <w:r w:rsidR="00C546C4">
        <w:rPr>
          <w:snapToGrid w:val="0"/>
          <w:lang w:val="en-GB"/>
        </w:rPr>
        <w:t xml:space="preserve">in </w:t>
      </w:r>
      <w:r w:rsidR="00166D78">
        <w:rPr>
          <w:snapToGrid w:val="0"/>
          <w:lang w:val="en-GB"/>
        </w:rPr>
        <w:t>S</w:t>
      </w:r>
      <w:r w:rsidR="00C546C4">
        <w:rPr>
          <w:snapToGrid w:val="0"/>
          <w:lang w:val="en-GB"/>
        </w:rPr>
        <w:t>tudy 19</w:t>
      </w:r>
      <w:r w:rsidR="00000CA1">
        <w:rPr>
          <w:snapToGrid w:val="0"/>
          <w:lang w:val="en-GB"/>
        </w:rPr>
        <w:t>,</w:t>
      </w:r>
      <w:r w:rsidR="00D33B10">
        <w:rPr>
          <w:snapToGrid w:val="0"/>
          <w:lang w:val="en-GB"/>
        </w:rPr>
        <w:t xml:space="preserve"> but that it would not be reasonable to assume additional survival benefit for first</w:t>
      </w:r>
      <w:r w:rsidR="00166D78">
        <w:rPr>
          <w:snapToGrid w:val="0"/>
          <w:lang w:val="en-GB"/>
        </w:rPr>
        <w:t>-</w:t>
      </w:r>
      <w:r w:rsidR="00D33B10">
        <w:rPr>
          <w:snapToGrid w:val="0"/>
          <w:lang w:val="en-GB"/>
        </w:rPr>
        <w:t xml:space="preserve">line </w:t>
      </w:r>
      <w:r w:rsidR="00D2402E">
        <w:rPr>
          <w:snapToGrid w:val="0"/>
          <w:lang w:val="en-GB"/>
        </w:rPr>
        <w:t xml:space="preserve">maintenance </w:t>
      </w:r>
      <w:r w:rsidR="00D33B10">
        <w:rPr>
          <w:snapToGrid w:val="0"/>
          <w:lang w:val="en-GB"/>
        </w:rPr>
        <w:t xml:space="preserve">compared with second-line </w:t>
      </w:r>
      <w:r w:rsidR="00D2402E">
        <w:rPr>
          <w:snapToGrid w:val="0"/>
          <w:lang w:val="en-GB"/>
        </w:rPr>
        <w:t xml:space="preserve">maintenance </w:t>
      </w:r>
      <w:r w:rsidR="00D33B10">
        <w:rPr>
          <w:snapToGrid w:val="0"/>
          <w:lang w:val="en-GB"/>
        </w:rPr>
        <w:t>as this was not supported by the clinical evidence.</w:t>
      </w:r>
    </w:p>
    <w:p w:rsidR="00A94448" w:rsidRDefault="00BE237F" w:rsidP="003F12E7">
      <w:pPr>
        <w:pStyle w:val="ListParagraph"/>
        <w:rPr>
          <w:snapToGrid w:val="0"/>
          <w:lang w:val="en-GB"/>
        </w:rPr>
      </w:pPr>
      <w:r w:rsidRPr="00BE237F">
        <w:rPr>
          <w:snapToGrid w:val="0"/>
          <w:lang w:val="en-GB"/>
        </w:rPr>
        <w:t xml:space="preserve">The PBAC noted </w:t>
      </w:r>
      <w:r>
        <w:rPr>
          <w:snapToGrid w:val="0"/>
          <w:lang w:val="en-GB"/>
        </w:rPr>
        <w:t xml:space="preserve">that </w:t>
      </w:r>
      <w:proofErr w:type="spellStart"/>
      <w:r>
        <w:rPr>
          <w:snapToGrid w:val="0"/>
          <w:lang w:val="en-GB"/>
        </w:rPr>
        <w:t>olaparib</w:t>
      </w:r>
      <w:proofErr w:type="spellEnd"/>
      <w:r>
        <w:rPr>
          <w:snapToGrid w:val="0"/>
          <w:lang w:val="en-GB"/>
        </w:rPr>
        <w:t xml:space="preserve"> has an</w:t>
      </w:r>
      <w:r w:rsidRPr="00BE237F">
        <w:rPr>
          <w:snapToGrid w:val="0"/>
          <w:lang w:val="en-GB"/>
        </w:rPr>
        <w:t xml:space="preserve"> inferior safety </w:t>
      </w:r>
      <w:r>
        <w:rPr>
          <w:snapToGrid w:val="0"/>
          <w:lang w:val="en-GB"/>
        </w:rPr>
        <w:t xml:space="preserve">profile compared with placebo, </w:t>
      </w:r>
      <w:r w:rsidRPr="00BE237F">
        <w:rPr>
          <w:snapToGrid w:val="0"/>
          <w:lang w:val="en-GB"/>
        </w:rPr>
        <w:t>particularly clinically-relevant</w:t>
      </w:r>
      <w:r>
        <w:rPr>
          <w:snapToGrid w:val="0"/>
          <w:lang w:val="en-GB"/>
        </w:rPr>
        <w:t xml:space="preserve"> anaemia of</w:t>
      </w:r>
      <w:r w:rsidRPr="00BE237F">
        <w:rPr>
          <w:snapToGrid w:val="0"/>
          <w:lang w:val="en-GB"/>
        </w:rPr>
        <w:t xml:space="preserve"> </w:t>
      </w:r>
      <w:r>
        <w:rPr>
          <w:snapToGrid w:val="0"/>
          <w:lang w:val="en-GB"/>
        </w:rPr>
        <w:t xml:space="preserve">grade 3 or greater severity, which occurred in 21.2% of patients receiving </w:t>
      </w:r>
      <w:proofErr w:type="spellStart"/>
      <w:r>
        <w:rPr>
          <w:snapToGrid w:val="0"/>
          <w:lang w:val="en-GB"/>
        </w:rPr>
        <w:t>olaparib</w:t>
      </w:r>
      <w:proofErr w:type="spellEnd"/>
      <w:r>
        <w:rPr>
          <w:snapToGrid w:val="0"/>
          <w:lang w:val="en-GB"/>
        </w:rPr>
        <w:t xml:space="preserve"> and 1.5% of patients in the placebo arm. </w:t>
      </w:r>
      <w:r w:rsidR="0093750B">
        <w:rPr>
          <w:snapToGrid w:val="0"/>
          <w:lang w:val="en-GB"/>
        </w:rPr>
        <w:t xml:space="preserve">The PBAC considered that the safety profile of </w:t>
      </w:r>
      <w:proofErr w:type="spellStart"/>
      <w:r w:rsidR="0093750B">
        <w:rPr>
          <w:snapToGrid w:val="0"/>
          <w:lang w:val="en-GB"/>
        </w:rPr>
        <w:t>olaparib</w:t>
      </w:r>
      <w:proofErr w:type="spellEnd"/>
      <w:r w:rsidR="0093750B">
        <w:rPr>
          <w:snapToGrid w:val="0"/>
          <w:lang w:val="en-GB"/>
        </w:rPr>
        <w:t xml:space="preserve"> appears m</w:t>
      </w:r>
      <w:r w:rsidR="000F0B1F">
        <w:rPr>
          <w:snapToGrid w:val="0"/>
          <w:lang w:val="en-GB"/>
        </w:rPr>
        <w:t xml:space="preserve">anageable but </w:t>
      </w:r>
      <w:r w:rsidR="00EF47E3">
        <w:rPr>
          <w:snapToGrid w:val="0"/>
          <w:lang w:val="en-GB"/>
        </w:rPr>
        <w:t xml:space="preserve">includes </w:t>
      </w:r>
      <w:r w:rsidR="000F0B1F">
        <w:rPr>
          <w:snapToGrid w:val="0"/>
          <w:lang w:val="en-GB"/>
        </w:rPr>
        <w:t>clinically important AEs, particularly as</w:t>
      </w:r>
      <w:r w:rsidR="00EF47E3">
        <w:rPr>
          <w:snapToGrid w:val="0"/>
          <w:lang w:val="en-GB"/>
        </w:rPr>
        <w:t xml:space="preserve"> it is</w:t>
      </w:r>
      <w:r w:rsidR="000F0B1F">
        <w:rPr>
          <w:snapToGrid w:val="0"/>
          <w:lang w:val="en-GB"/>
        </w:rPr>
        <w:t xml:space="preserve"> used as maintenance treatment.</w:t>
      </w:r>
      <w:r w:rsidR="008408B8">
        <w:rPr>
          <w:snapToGrid w:val="0"/>
          <w:lang w:val="en-GB"/>
        </w:rPr>
        <w:t xml:space="preserve"> </w:t>
      </w:r>
    </w:p>
    <w:p w:rsidR="008979A3" w:rsidRPr="00D87BE1" w:rsidRDefault="008979A3" w:rsidP="003F12E7">
      <w:pPr>
        <w:pStyle w:val="ListParagraph"/>
        <w:rPr>
          <w:snapToGrid w:val="0"/>
          <w:lang w:val="en-GB"/>
        </w:rPr>
      </w:pPr>
      <w:r>
        <w:t>The PBAC</w:t>
      </w:r>
      <w:r w:rsidRPr="00DE7812">
        <w:t xml:space="preserve"> agreed with the commentary that </w:t>
      </w:r>
      <w:r>
        <w:t>the model structure</w:t>
      </w:r>
      <w:r w:rsidRPr="00DE7812">
        <w:t xml:space="preserve"> </w:t>
      </w:r>
      <w:r w:rsidR="00462DD3">
        <w:t>appeared to be</w:t>
      </w:r>
      <w:r w:rsidR="00462DD3" w:rsidRPr="00DE7812">
        <w:t xml:space="preserve"> </w:t>
      </w:r>
      <w:r w:rsidRPr="00DE7812">
        <w:t>unnecessarily complex</w:t>
      </w:r>
      <w:r w:rsidR="00462DD3">
        <w:t>,</w:t>
      </w:r>
      <w:r w:rsidRPr="00DE7812">
        <w:t xml:space="preserve"> </w:t>
      </w:r>
      <w:r w:rsidR="00462DD3">
        <w:t xml:space="preserve">which contributed to uncertainty in the modelled outcomes; a more usual approach, such as a </w:t>
      </w:r>
      <w:r w:rsidRPr="00DE7812">
        <w:t>partitioned survival analysis</w:t>
      </w:r>
      <w:r w:rsidR="00462DD3">
        <w:t>, may have been more appropriate</w:t>
      </w:r>
      <w:r w:rsidRPr="00DE7812">
        <w:t>.</w:t>
      </w:r>
      <w:r>
        <w:t xml:space="preserve"> </w:t>
      </w:r>
    </w:p>
    <w:p w:rsidR="00367CB9" w:rsidRDefault="00DF46FA" w:rsidP="00A30EE4">
      <w:pPr>
        <w:pStyle w:val="ListParagraph"/>
        <w:numPr>
          <w:ilvl w:val="4"/>
          <w:numId w:val="12"/>
        </w:numPr>
      </w:pPr>
      <w:r>
        <w:rPr>
          <w:snapToGrid w:val="0"/>
          <w:lang w:val="en-GB"/>
        </w:rPr>
        <w:t xml:space="preserve">The PBAC noted that </w:t>
      </w:r>
      <w:r>
        <w:t>a</w:t>
      </w:r>
      <w:r w:rsidR="004C01BA">
        <w:t>n overall</w:t>
      </w:r>
      <w:r>
        <w:t xml:space="preserve"> survival benefit was not supported by the clinical data currently available</w:t>
      </w:r>
      <w:r w:rsidR="00BF3218">
        <w:t xml:space="preserve">. </w:t>
      </w:r>
      <w:r w:rsidR="00D2402E">
        <w:t xml:space="preserve">The committee </w:t>
      </w:r>
      <w:r>
        <w:t xml:space="preserve">agreed with the ESC that it was inappropriate to </w:t>
      </w:r>
      <w:r>
        <w:lastRenderedPageBreak/>
        <w:t>use PFS2 as a surrogate for OS</w:t>
      </w:r>
      <w:r w:rsidR="005E6E3E">
        <w:t>,</w:t>
      </w:r>
      <w:r>
        <w:t xml:space="preserve"> as no clinical evidence was presented to support the translation of second progression to OS</w:t>
      </w:r>
      <w:r w:rsidR="005E6E3E">
        <w:t>,</w:t>
      </w:r>
      <w:r>
        <w:t xml:space="preserve"> and the approach was highly favourable to </w:t>
      </w:r>
      <w:proofErr w:type="spellStart"/>
      <w:r>
        <w:t>olaparib</w:t>
      </w:r>
      <w:proofErr w:type="spellEnd"/>
      <w:r>
        <w:t>. The PBAC considered that the extrapolation of OS lacked plausibility</w:t>
      </w:r>
      <w:r w:rsidR="00F04586">
        <w:t>,</w:t>
      </w:r>
      <w:r w:rsidR="00A57E55">
        <w:t xml:space="preserve"> as </w:t>
      </w:r>
      <w:r w:rsidR="00A57E55" w:rsidRPr="00DE7812">
        <w:t>the OS curves between the two arms diverge further after the trial median follow-up and do not converge within the modelled period, which was not supported by SOLO1 outcomes</w:t>
      </w:r>
      <w:r>
        <w:t xml:space="preserve">. </w:t>
      </w:r>
      <w:r w:rsidR="00367CB9">
        <w:t xml:space="preserve">The PBAC noted that </w:t>
      </w:r>
      <w:r w:rsidR="00367CB9" w:rsidRPr="00DC08B0">
        <w:t xml:space="preserve">AOCS data </w:t>
      </w:r>
      <w:r w:rsidR="00367CB9">
        <w:t>were</w:t>
      </w:r>
      <w:r w:rsidR="00367CB9" w:rsidRPr="00DC08B0">
        <w:t xml:space="preserve"> applied to the SOLO1 trial data to inform long term OS</w:t>
      </w:r>
      <w:r w:rsidR="00367CB9">
        <w:t>, which was not available from the SOLO1 trial</w:t>
      </w:r>
      <w:r w:rsidR="00367CB9" w:rsidRPr="00DC08B0">
        <w:t xml:space="preserve">. </w:t>
      </w:r>
      <w:r w:rsidR="00367CB9">
        <w:t>The PBAC considered that t</w:t>
      </w:r>
      <w:r w:rsidR="00367CB9" w:rsidRPr="00DC08B0">
        <w:t xml:space="preserve">he </w:t>
      </w:r>
      <w:r w:rsidR="00367CB9">
        <w:t>applicability and method of use</w:t>
      </w:r>
      <w:r w:rsidR="00367CB9" w:rsidRPr="00DC08B0">
        <w:t xml:space="preserve"> of the mortality rate associated with second progression derived from the AOCS cohort to the SOLO1 PFS2 curve </w:t>
      </w:r>
      <w:r w:rsidR="00367CB9">
        <w:t>was</w:t>
      </w:r>
      <w:r w:rsidR="00367CB9" w:rsidRPr="00DC08B0">
        <w:t xml:space="preserve"> not </w:t>
      </w:r>
      <w:r w:rsidR="00367CB9">
        <w:t xml:space="preserve">adequately </w:t>
      </w:r>
      <w:r w:rsidR="00367CB9" w:rsidRPr="00DC08B0">
        <w:t>justified.</w:t>
      </w:r>
    </w:p>
    <w:p w:rsidR="00AD0895" w:rsidRDefault="00DF46FA" w:rsidP="00D87BE1">
      <w:pPr>
        <w:pStyle w:val="ListParagraph"/>
        <w:numPr>
          <w:ilvl w:val="4"/>
          <w:numId w:val="12"/>
        </w:numPr>
      </w:pPr>
      <w:r>
        <w:t xml:space="preserve">The PBAC noted that the evaluation conducted a revised analysis assuming </w:t>
      </w:r>
      <w:r w:rsidR="00AD0895">
        <w:t>(</w:t>
      </w:r>
      <w:proofErr w:type="spellStart"/>
      <w:r w:rsidR="00AD0895">
        <w:t>i</w:t>
      </w:r>
      <w:proofErr w:type="spellEnd"/>
      <w:r w:rsidR="00AD0895">
        <w:t xml:space="preserve">) </w:t>
      </w:r>
      <w:r w:rsidR="00AD0895" w:rsidRPr="005B305D">
        <w:t xml:space="preserve">OS in </w:t>
      </w:r>
      <w:proofErr w:type="spellStart"/>
      <w:r w:rsidR="00AD0895" w:rsidRPr="002D68B8">
        <w:rPr>
          <w:i/>
        </w:rPr>
        <w:t>BRCA</w:t>
      </w:r>
      <w:r w:rsidR="00AD0895" w:rsidRPr="005B305D">
        <w:t>m</w:t>
      </w:r>
      <w:proofErr w:type="spellEnd"/>
      <w:r w:rsidR="00AD0895" w:rsidRPr="005B305D">
        <w:t xml:space="preserve"> positive patients is </w:t>
      </w:r>
      <w:r w:rsidR="00AD0895">
        <w:t xml:space="preserve">the </w:t>
      </w:r>
      <w:r w:rsidR="00AD0895" w:rsidRPr="005B305D">
        <w:t xml:space="preserve">same across both </w:t>
      </w:r>
      <w:proofErr w:type="spellStart"/>
      <w:r w:rsidR="00AD0895" w:rsidRPr="005B305D">
        <w:t>olaparib</w:t>
      </w:r>
      <w:proofErr w:type="spellEnd"/>
      <w:r w:rsidR="00AD0895" w:rsidRPr="005B305D">
        <w:t xml:space="preserve"> and placebo arms in the model; (ii) using utility values for PFS2 and PD as reported in Study 19; (iii) correcting the modelled cost of </w:t>
      </w:r>
      <w:proofErr w:type="spellStart"/>
      <w:r w:rsidR="00AD0895" w:rsidRPr="005B305D">
        <w:t>olaparib</w:t>
      </w:r>
      <w:proofErr w:type="spellEnd"/>
      <w:r w:rsidR="00AD0895" w:rsidRPr="005B305D">
        <w:t xml:space="preserve">; (iv) including downstream germline testing costs in tumour positive patients and private/hospital funded test costs; and (v) </w:t>
      </w:r>
      <w:r w:rsidR="00AD0895" w:rsidRPr="009126A0">
        <w:rPr>
          <w:rFonts w:eastAsia="Times New Roman" w:cs="Times New Roman"/>
        </w:rPr>
        <w:t xml:space="preserve">using a prevalence for </w:t>
      </w:r>
      <w:proofErr w:type="spellStart"/>
      <w:r w:rsidR="00AD0895" w:rsidRPr="009126A0">
        <w:rPr>
          <w:rFonts w:eastAsia="Times New Roman" w:cs="Times New Roman"/>
        </w:rPr>
        <w:t>g</w:t>
      </w:r>
      <w:r w:rsidR="00AD0895" w:rsidRPr="009126A0">
        <w:rPr>
          <w:rFonts w:eastAsia="Times New Roman" w:cs="Times New Roman"/>
          <w:i/>
        </w:rPr>
        <w:t>BRCA</w:t>
      </w:r>
      <w:r w:rsidR="00AD0895">
        <w:rPr>
          <w:rFonts w:eastAsia="Times New Roman" w:cs="Times New Roman"/>
        </w:rPr>
        <w:t>m</w:t>
      </w:r>
      <w:proofErr w:type="spellEnd"/>
      <w:r w:rsidR="00AD0895">
        <w:rPr>
          <w:rFonts w:eastAsia="Times New Roman" w:cs="Times New Roman"/>
        </w:rPr>
        <w:t xml:space="preserve"> of 20.3%.</w:t>
      </w:r>
      <w:r w:rsidR="009339F7">
        <w:rPr>
          <w:rFonts w:eastAsia="Times New Roman" w:cs="Times New Roman"/>
        </w:rPr>
        <w:t xml:space="preserve"> </w:t>
      </w:r>
      <w:r w:rsidR="00AD0895">
        <w:t>This</w:t>
      </w:r>
      <w:r w:rsidR="00DC1CDD">
        <w:t xml:space="preserve"> increased the ICER to</w:t>
      </w:r>
      <w:r w:rsidR="00583B5A">
        <w:t xml:space="preserve"> more than</w:t>
      </w:r>
      <w:r w:rsidR="00DC1CDD">
        <w:t xml:space="preserve"> $</w:t>
      </w:r>
      <w:r w:rsidR="001F7081">
        <w:t>200,000</w:t>
      </w:r>
      <w:r w:rsidR="00E648CE">
        <w:t xml:space="preserve"> per QALY for the </w:t>
      </w:r>
      <w:proofErr w:type="spellStart"/>
      <w:r w:rsidR="00E648CE">
        <w:t>g</w:t>
      </w:r>
      <w:r w:rsidR="00E648CE" w:rsidRPr="00D87BE1">
        <w:rPr>
          <w:i/>
        </w:rPr>
        <w:t>BRCA</w:t>
      </w:r>
      <w:r w:rsidR="00E648CE">
        <w:t>m</w:t>
      </w:r>
      <w:proofErr w:type="spellEnd"/>
      <w:r w:rsidR="00E648CE">
        <w:t xml:space="preserve"> population.</w:t>
      </w:r>
      <w:r w:rsidR="00DC1CDD" w:rsidRPr="00DC1CDD">
        <w:t xml:space="preserve"> </w:t>
      </w:r>
    </w:p>
    <w:p w:rsidR="00C66C6F" w:rsidRDefault="00DF46FA" w:rsidP="00AD0895">
      <w:pPr>
        <w:pStyle w:val="ListParagraph"/>
        <w:numPr>
          <w:ilvl w:val="4"/>
          <w:numId w:val="12"/>
        </w:numPr>
      </w:pPr>
      <w:r>
        <w:t xml:space="preserve">The PBAC considered that </w:t>
      </w:r>
      <w:r w:rsidR="00F9106F">
        <w:t xml:space="preserve">assuming OS is the same across both </w:t>
      </w:r>
      <w:proofErr w:type="spellStart"/>
      <w:r w:rsidR="00F9106F">
        <w:t>olaparib</w:t>
      </w:r>
      <w:proofErr w:type="spellEnd"/>
      <w:r w:rsidR="00F9106F">
        <w:t xml:space="preserve"> and placebo arms in the model was conservative, </w:t>
      </w:r>
      <w:r>
        <w:t>although it was consistent with evidence from the SOLO1 trial</w:t>
      </w:r>
      <w:r w:rsidR="00DC1CDD">
        <w:t xml:space="preserve"> which showed no OS benefit</w:t>
      </w:r>
      <w:r w:rsidR="00877574">
        <w:t xml:space="preserve"> in the overall population</w:t>
      </w:r>
      <w:r w:rsidR="00E648CE">
        <w:t xml:space="preserve">. The PBAC considered </w:t>
      </w:r>
      <w:r w:rsidR="00362D8C">
        <w:t xml:space="preserve">it would be reasonable </w:t>
      </w:r>
      <w:r w:rsidR="009668A6">
        <w:t xml:space="preserve">for the model </w:t>
      </w:r>
      <w:r w:rsidR="00362D8C">
        <w:t xml:space="preserve">to </w:t>
      </w:r>
      <w:r w:rsidR="00877574">
        <w:t xml:space="preserve">include </w:t>
      </w:r>
      <w:r w:rsidR="00004065">
        <w:t>a</w:t>
      </w:r>
      <w:r w:rsidR="00CC7EA9">
        <w:t>n OS</w:t>
      </w:r>
      <w:r w:rsidR="00362D8C">
        <w:t xml:space="preserve"> benefit</w:t>
      </w:r>
      <w:r w:rsidR="00F37CA6">
        <w:t>, consistent with Study 19</w:t>
      </w:r>
      <w:r w:rsidR="00E11AC5">
        <w:t>,</w:t>
      </w:r>
      <w:r w:rsidR="00362D8C">
        <w:t xml:space="preserve"> </w:t>
      </w:r>
      <w:r w:rsidR="00F37CA6">
        <w:t xml:space="preserve">for </w:t>
      </w:r>
      <w:r w:rsidR="00CC7EA9">
        <w:t xml:space="preserve">the proportion of </w:t>
      </w:r>
      <w:r w:rsidR="00F37CA6">
        <w:t>patients</w:t>
      </w:r>
      <w:r w:rsidR="00CC7EA9">
        <w:t xml:space="preserve"> for whom it is reasonable to accept that </w:t>
      </w:r>
      <w:proofErr w:type="spellStart"/>
      <w:r w:rsidR="009668A6">
        <w:t>olaparib</w:t>
      </w:r>
      <w:proofErr w:type="spellEnd"/>
      <w:r w:rsidR="009668A6">
        <w:t xml:space="preserve"> </w:t>
      </w:r>
      <w:r w:rsidR="00CC7EA9">
        <w:t>would not have been given in the second-line setting</w:t>
      </w:r>
      <w:r w:rsidR="00DC1CDD">
        <w:t xml:space="preserve">. </w:t>
      </w:r>
      <w:r w:rsidR="00362D8C">
        <w:t xml:space="preserve">The PBAC considered that the scenario presented in the submission was implausibly optimistic, but the revised scenario presented in the evaluation was overly conservative. </w:t>
      </w:r>
    </w:p>
    <w:p w:rsidR="00AD0895" w:rsidRPr="00283372" w:rsidRDefault="00AD0895" w:rsidP="00AD0895">
      <w:pPr>
        <w:pStyle w:val="ListParagraph"/>
        <w:numPr>
          <w:ilvl w:val="4"/>
          <w:numId w:val="12"/>
        </w:numPr>
      </w:pPr>
      <w:r>
        <w:t xml:space="preserve">The PBAC also noted that a proportion of patients in the placebo arm would not progress without </w:t>
      </w:r>
      <w:proofErr w:type="spellStart"/>
      <w:r>
        <w:t>olaparib</w:t>
      </w:r>
      <w:proofErr w:type="spellEnd"/>
      <w:r>
        <w:t xml:space="preserve"> maintenance treatment</w:t>
      </w:r>
      <w:r w:rsidR="00C77F0A">
        <w:t>,</w:t>
      </w:r>
      <w:r>
        <w:t xml:space="preserve"> and considered that the m</w:t>
      </w:r>
      <w:proofErr w:type="spellStart"/>
      <w:r w:rsidRPr="004523B0">
        <w:rPr>
          <w:snapToGrid w:val="0"/>
          <w:lang w:val="en-GB"/>
        </w:rPr>
        <w:t>odel</w:t>
      </w:r>
      <w:proofErr w:type="spellEnd"/>
      <w:r w:rsidRPr="004523B0">
        <w:rPr>
          <w:snapToGrid w:val="0"/>
          <w:lang w:val="en-GB"/>
        </w:rPr>
        <w:t xml:space="preserve"> should incorporate a proportion of patients cured in the </w:t>
      </w:r>
      <w:r w:rsidRPr="00D9060E">
        <w:rPr>
          <w:snapToGrid w:val="0"/>
          <w:lang w:val="en-GB"/>
        </w:rPr>
        <w:t xml:space="preserve">first-line placebo group. </w:t>
      </w:r>
    </w:p>
    <w:p w:rsidR="00A9286F" w:rsidRPr="00D87BE1" w:rsidRDefault="00AD0895" w:rsidP="009339F7">
      <w:pPr>
        <w:pStyle w:val="ListParagraph"/>
        <w:numPr>
          <w:ilvl w:val="4"/>
          <w:numId w:val="12"/>
        </w:numPr>
      </w:pPr>
      <w:r>
        <w:t xml:space="preserve">The PBAC considered that the evaluation’s approach to </w:t>
      </w:r>
      <w:r w:rsidR="009339F7">
        <w:t xml:space="preserve">PFS2 and PD </w:t>
      </w:r>
      <w:r>
        <w:t>utilities</w:t>
      </w:r>
      <w:r w:rsidR="009339F7">
        <w:t>, correction of</w:t>
      </w:r>
      <w:r>
        <w:t xml:space="preserve"> the cost of </w:t>
      </w:r>
      <w:proofErr w:type="spellStart"/>
      <w:r w:rsidR="009339F7">
        <w:t>olaparib</w:t>
      </w:r>
      <w:proofErr w:type="spellEnd"/>
      <w:r w:rsidR="009339F7">
        <w:t>, inclusion of downstream testing</w:t>
      </w:r>
      <w:r>
        <w:t xml:space="preserve"> </w:t>
      </w:r>
      <w:r w:rsidR="009339F7">
        <w:t xml:space="preserve">costs </w:t>
      </w:r>
      <w:r>
        <w:t xml:space="preserve">and </w:t>
      </w:r>
      <w:r w:rsidR="009339F7" w:rsidRPr="009126A0">
        <w:rPr>
          <w:rFonts w:eastAsia="Times New Roman" w:cs="Times New Roman"/>
        </w:rPr>
        <w:t xml:space="preserve">using a prevalence for </w:t>
      </w:r>
      <w:proofErr w:type="spellStart"/>
      <w:r w:rsidR="009339F7" w:rsidRPr="009126A0">
        <w:rPr>
          <w:rFonts w:eastAsia="Times New Roman" w:cs="Times New Roman"/>
        </w:rPr>
        <w:t>g</w:t>
      </w:r>
      <w:r w:rsidR="009339F7" w:rsidRPr="009126A0">
        <w:rPr>
          <w:rFonts w:eastAsia="Times New Roman" w:cs="Times New Roman"/>
          <w:i/>
        </w:rPr>
        <w:t>BRCA</w:t>
      </w:r>
      <w:r w:rsidR="009339F7">
        <w:rPr>
          <w:rFonts w:eastAsia="Times New Roman" w:cs="Times New Roman"/>
        </w:rPr>
        <w:t>m</w:t>
      </w:r>
      <w:proofErr w:type="spellEnd"/>
      <w:r w:rsidR="009339F7">
        <w:rPr>
          <w:rFonts w:eastAsia="Times New Roman" w:cs="Times New Roman"/>
        </w:rPr>
        <w:t xml:space="preserve"> of 20.3% were reasonable.</w:t>
      </w:r>
    </w:p>
    <w:p w:rsidR="008979A3" w:rsidRPr="00525B39" w:rsidRDefault="00E648CE" w:rsidP="003F12E7">
      <w:pPr>
        <w:pStyle w:val="ListParagraph"/>
        <w:rPr>
          <w:snapToGrid w:val="0"/>
          <w:lang w:val="en-GB"/>
        </w:rPr>
      </w:pPr>
      <w:r>
        <w:rPr>
          <w:snapToGrid w:val="0"/>
          <w:lang w:val="en-GB"/>
        </w:rPr>
        <w:t>The PBAC noted that the submission model used a 25 year time horizon and</w:t>
      </w:r>
      <w:r>
        <w:t xml:space="preserve"> relied heavily on extrapolated outcomes. The PBAC conside</w:t>
      </w:r>
      <w:r w:rsidR="009668A6">
        <w:t>re</w:t>
      </w:r>
      <w:r>
        <w:t xml:space="preserve">d that this introduced additional uncertainty in the </w:t>
      </w:r>
      <w:r w:rsidR="009668A6">
        <w:t>modelled outcomes</w:t>
      </w:r>
      <w:r>
        <w:t>. The PBAC previously accepted a 10 year time horizon for first</w:t>
      </w:r>
      <w:r w:rsidR="00CC1DEF">
        <w:t>-</w:t>
      </w:r>
      <w:r>
        <w:t>line treatment of advanced ovarian cancer (</w:t>
      </w:r>
      <w:r w:rsidR="009668A6">
        <w:t>page 8, be</w:t>
      </w:r>
      <w:r>
        <w:t>vacizumab</w:t>
      </w:r>
      <w:r w:rsidR="009668A6">
        <w:t xml:space="preserve"> PSD</w:t>
      </w:r>
      <w:r>
        <w:t>, November 2013</w:t>
      </w:r>
      <w:r w:rsidR="00E11AC5">
        <w:t>)</w:t>
      </w:r>
      <w:r>
        <w:t>. The PBAC considered that patients eligible for treatment with bevacizumab are likely to have a poorer prognosis than the proposed population</w:t>
      </w:r>
      <w:r w:rsidR="00C77F0A">
        <w:t>,</w:t>
      </w:r>
      <w:r>
        <w:t xml:space="preserve"> and considered that a time horizon of up to 15 years would be appropriate. </w:t>
      </w:r>
    </w:p>
    <w:p w:rsidR="006861BC" w:rsidRPr="00877574" w:rsidRDefault="006861BC" w:rsidP="003F12E7">
      <w:pPr>
        <w:pStyle w:val="ListParagraph"/>
      </w:pPr>
      <w:r>
        <w:rPr>
          <w:snapToGrid w:val="0"/>
          <w:lang w:val="en-GB"/>
        </w:rPr>
        <w:lastRenderedPageBreak/>
        <w:t xml:space="preserve">The PBAC noted that the model assumed that 51% of patients who progressed in the placebo arm </w:t>
      </w:r>
      <w:r w:rsidR="00ED6901">
        <w:rPr>
          <w:snapToGrid w:val="0"/>
          <w:lang w:val="en-GB"/>
        </w:rPr>
        <w:t xml:space="preserve">(37.4% of the overall placebo arm) </w:t>
      </w:r>
      <w:r>
        <w:rPr>
          <w:snapToGrid w:val="0"/>
          <w:lang w:val="en-GB"/>
        </w:rPr>
        <w:t xml:space="preserve">were treated with second-line </w:t>
      </w:r>
      <w:proofErr w:type="spellStart"/>
      <w:r>
        <w:rPr>
          <w:snapToGrid w:val="0"/>
          <w:lang w:val="en-GB"/>
        </w:rPr>
        <w:t>olaparib</w:t>
      </w:r>
      <w:proofErr w:type="spellEnd"/>
      <w:r>
        <w:rPr>
          <w:snapToGrid w:val="0"/>
          <w:lang w:val="en-GB"/>
        </w:rPr>
        <w:t xml:space="preserve">. </w:t>
      </w:r>
      <w:r w:rsidR="00ED6901">
        <w:rPr>
          <w:snapToGrid w:val="0"/>
          <w:lang w:val="en-GB"/>
        </w:rPr>
        <w:t xml:space="preserve">The submission calculated the expected use of second-line </w:t>
      </w:r>
      <w:proofErr w:type="spellStart"/>
      <w:r w:rsidR="00ED6901">
        <w:rPr>
          <w:snapToGrid w:val="0"/>
          <w:lang w:val="en-GB"/>
        </w:rPr>
        <w:t>olaparib</w:t>
      </w:r>
      <w:proofErr w:type="spellEnd"/>
      <w:r w:rsidR="00ED6901">
        <w:rPr>
          <w:snapToGrid w:val="0"/>
          <w:lang w:val="en-GB"/>
        </w:rPr>
        <w:t xml:space="preserve"> as 40%, based on AOCS data </w:t>
      </w:r>
      <w:r w:rsidR="00827914">
        <w:rPr>
          <w:snapToGrid w:val="0"/>
          <w:lang w:val="en-GB"/>
        </w:rPr>
        <w:t xml:space="preserve">for second-line platinum-based chemotherapy uptake </w:t>
      </w:r>
      <w:r w:rsidR="00ED6901">
        <w:rPr>
          <w:snapToGrid w:val="0"/>
          <w:lang w:val="en-GB"/>
        </w:rPr>
        <w:t xml:space="preserve">and a number of assumptions regarding platinum sensitivity and expected uptake. </w:t>
      </w:r>
      <w:r>
        <w:rPr>
          <w:snapToGrid w:val="0"/>
          <w:lang w:val="en-GB"/>
        </w:rPr>
        <w:t xml:space="preserve">The PBAC considered that </w:t>
      </w:r>
      <w:proofErr w:type="spellStart"/>
      <w:r>
        <w:rPr>
          <w:snapToGrid w:val="0"/>
          <w:lang w:val="en-GB"/>
        </w:rPr>
        <w:t>i</w:t>
      </w:r>
      <w:proofErr w:type="spellEnd"/>
      <w:r>
        <w:t xml:space="preserve">t is unknown what proportion of </w:t>
      </w:r>
      <w:proofErr w:type="spellStart"/>
      <w:r>
        <w:rPr>
          <w:i/>
        </w:rPr>
        <w:t>BRCA</w:t>
      </w:r>
      <w:r>
        <w:t>m</w:t>
      </w:r>
      <w:proofErr w:type="spellEnd"/>
      <w:r>
        <w:t xml:space="preserve"> patients who progress would receive </w:t>
      </w:r>
      <w:proofErr w:type="spellStart"/>
      <w:r>
        <w:t>olaparib</w:t>
      </w:r>
      <w:proofErr w:type="spellEnd"/>
      <w:r>
        <w:t xml:space="preserve"> in the Australian setting. The PBAC considered that the proportion of patients who receive second</w:t>
      </w:r>
      <w:r w:rsidR="00CC1DEF">
        <w:t>-</w:t>
      </w:r>
      <w:r>
        <w:t xml:space="preserve">line </w:t>
      </w:r>
      <w:proofErr w:type="spellStart"/>
      <w:r>
        <w:t>olaparib</w:t>
      </w:r>
      <w:proofErr w:type="spellEnd"/>
      <w:r w:rsidR="00A57E55">
        <w:t xml:space="preserve"> in clinical practice</w:t>
      </w:r>
      <w:r>
        <w:t xml:space="preserve"> may be higher </w:t>
      </w:r>
      <w:r w:rsidR="00ED6901">
        <w:t>than in the SOLO1 trial, in which cross-over was not allowed but patients could receive PARP inhibitors outside t</w:t>
      </w:r>
      <w:r w:rsidR="00276C67">
        <w:t>he trial,</w:t>
      </w:r>
      <w:r w:rsidR="00ED6901">
        <w:t xml:space="preserve"> </w:t>
      </w:r>
      <w:r>
        <w:t xml:space="preserve">and therefore cost-offsets </w:t>
      </w:r>
      <w:r w:rsidR="00A57E55">
        <w:t xml:space="preserve">and benefits </w:t>
      </w:r>
      <w:r>
        <w:t xml:space="preserve">from second-line </w:t>
      </w:r>
      <w:proofErr w:type="spellStart"/>
      <w:r>
        <w:t>olaparib</w:t>
      </w:r>
      <w:proofErr w:type="spellEnd"/>
      <w:r>
        <w:t xml:space="preserve"> may be underestimated. T</w:t>
      </w:r>
      <w:r w:rsidR="00E11AC5">
        <w:rPr>
          <w:snapToGrid w:val="0"/>
          <w:lang w:val="en-GB"/>
        </w:rPr>
        <w:t xml:space="preserve">he PBAC </w:t>
      </w:r>
      <w:r>
        <w:rPr>
          <w:snapToGrid w:val="0"/>
          <w:lang w:val="en-GB"/>
        </w:rPr>
        <w:t xml:space="preserve">also </w:t>
      </w:r>
      <w:r w:rsidR="00E11AC5">
        <w:rPr>
          <w:snapToGrid w:val="0"/>
          <w:lang w:val="en-GB"/>
        </w:rPr>
        <w:t>noted that bevacizumab was not considered as a comparator</w:t>
      </w:r>
      <w:r w:rsidR="00D06549">
        <w:rPr>
          <w:snapToGrid w:val="0"/>
          <w:lang w:val="en-GB"/>
        </w:rPr>
        <w:t>,</w:t>
      </w:r>
      <w:r w:rsidR="00E11AC5">
        <w:rPr>
          <w:snapToGrid w:val="0"/>
          <w:lang w:val="en-GB"/>
        </w:rPr>
        <w:t xml:space="preserve"> and </w:t>
      </w:r>
      <w:r>
        <w:rPr>
          <w:snapToGrid w:val="0"/>
          <w:lang w:val="en-GB"/>
        </w:rPr>
        <w:t>considered that it may be appro</w:t>
      </w:r>
      <w:r w:rsidR="00877574">
        <w:rPr>
          <w:snapToGrid w:val="0"/>
          <w:lang w:val="en-GB"/>
        </w:rPr>
        <w:t>p</w:t>
      </w:r>
      <w:r>
        <w:rPr>
          <w:snapToGrid w:val="0"/>
          <w:lang w:val="en-GB"/>
        </w:rPr>
        <w:t xml:space="preserve">riate to include </w:t>
      </w:r>
      <w:r w:rsidR="00276C67">
        <w:rPr>
          <w:snapToGrid w:val="0"/>
          <w:lang w:val="en-GB"/>
        </w:rPr>
        <w:t>the impact of</w:t>
      </w:r>
      <w:r>
        <w:rPr>
          <w:snapToGrid w:val="0"/>
          <w:lang w:val="en-GB"/>
        </w:rPr>
        <w:t xml:space="preserve"> bevacizumab in the </w:t>
      </w:r>
      <w:r w:rsidR="00276C67">
        <w:rPr>
          <w:snapToGrid w:val="0"/>
          <w:lang w:val="en-GB"/>
        </w:rPr>
        <w:t xml:space="preserve">model for the </w:t>
      </w:r>
      <w:r>
        <w:rPr>
          <w:snapToGrid w:val="0"/>
          <w:lang w:val="en-GB"/>
        </w:rPr>
        <w:t xml:space="preserve">patient population with </w:t>
      </w:r>
      <w:proofErr w:type="spellStart"/>
      <w:r>
        <w:t>suboptimally</w:t>
      </w:r>
      <w:proofErr w:type="spellEnd"/>
      <w:r>
        <w:t xml:space="preserve"> </w:t>
      </w:r>
      <w:proofErr w:type="spellStart"/>
      <w:r>
        <w:t>debulked</w:t>
      </w:r>
      <w:proofErr w:type="spellEnd"/>
      <w:r>
        <w:t xml:space="preserve"> Stage IIIB/C and all Stage IV patients</w:t>
      </w:r>
      <w:r>
        <w:rPr>
          <w:snapToGrid w:val="0"/>
          <w:lang w:val="en-GB"/>
        </w:rPr>
        <w:t xml:space="preserve"> who are also </w:t>
      </w:r>
      <w:proofErr w:type="spellStart"/>
      <w:r w:rsidRPr="00877574">
        <w:rPr>
          <w:i/>
          <w:snapToGrid w:val="0"/>
          <w:lang w:val="en-GB"/>
        </w:rPr>
        <w:t>BRCA</w:t>
      </w:r>
      <w:r>
        <w:rPr>
          <w:snapToGrid w:val="0"/>
          <w:lang w:val="en-GB"/>
        </w:rPr>
        <w:t>m</w:t>
      </w:r>
      <w:proofErr w:type="spellEnd"/>
      <w:r>
        <w:rPr>
          <w:snapToGrid w:val="0"/>
          <w:lang w:val="en-GB"/>
        </w:rPr>
        <w:t xml:space="preserve"> positive</w:t>
      </w:r>
      <w:r w:rsidR="007553E7">
        <w:rPr>
          <w:snapToGrid w:val="0"/>
          <w:lang w:val="en-GB"/>
        </w:rPr>
        <w:t>,</w:t>
      </w:r>
      <w:r>
        <w:rPr>
          <w:snapToGrid w:val="0"/>
          <w:lang w:val="en-GB"/>
        </w:rPr>
        <w:t xml:space="preserve"> and </w:t>
      </w:r>
      <w:r w:rsidR="007553E7">
        <w:rPr>
          <w:snapToGrid w:val="0"/>
          <w:lang w:val="en-GB"/>
        </w:rPr>
        <w:t xml:space="preserve">would be </w:t>
      </w:r>
      <w:r>
        <w:rPr>
          <w:snapToGrid w:val="0"/>
          <w:lang w:val="en-GB"/>
        </w:rPr>
        <w:t xml:space="preserve">treated with </w:t>
      </w:r>
      <w:r w:rsidR="00E25237">
        <w:rPr>
          <w:snapToGrid w:val="0"/>
          <w:lang w:val="en-GB"/>
        </w:rPr>
        <w:t xml:space="preserve">first-line </w:t>
      </w:r>
      <w:proofErr w:type="spellStart"/>
      <w:r>
        <w:rPr>
          <w:snapToGrid w:val="0"/>
          <w:lang w:val="en-GB"/>
        </w:rPr>
        <w:t>olaparib</w:t>
      </w:r>
      <w:proofErr w:type="spellEnd"/>
      <w:r>
        <w:rPr>
          <w:snapToGrid w:val="0"/>
          <w:lang w:val="en-GB"/>
        </w:rPr>
        <w:t xml:space="preserve"> </w:t>
      </w:r>
      <w:r w:rsidR="00D04F5C">
        <w:rPr>
          <w:snapToGrid w:val="0"/>
          <w:lang w:val="en-GB"/>
        </w:rPr>
        <w:t>maintenance</w:t>
      </w:r>
      <w:r>
        <w:rPr>
          <w:snapToGrid w:val="0"/>
          <w:lang w:val="en-GB"/>
        </w:rPr>
        <w:t xml:space="preserve"> instead of bevacizumab.</w:t>
      </w:r>
      <w:r w:rsidR="00E11AC5">
        <w:rPr>
          <w:snapToGrid w:val="0"/>
          <w:lang w:val="en-GB"/>
        </w:rPr>
        <w:t xml:space="preserve"> </w:t>
      </w:r>
    </w:p>
    <w:p w:rsidR="003F12E7" w:rsidRPr="00620921" w:rsidRDefault="00170127" w:rsidP="00877574">
      <w:pPr>
        <w:pStyle w:val="ListParagraph"/>
        <w:numPr>
          <w:ilvl w:val="4"/>
          <w:numId w:val="1"/>
        </w:numPr>
      </w:pPr>
      <w:r w:rsidRPr="004523B0">
        <w:rPr>
          <w:snapToGrid w:val="0"/>
          <w:lang w:val="en-GB"/>
        </w:rPr>
        <w:t>The PBAC no</w:t>
      </w:r>
      <w:r w:rsidR="00CE08E7" w:rsidRPr="004523B0">
        <w:rPr>
          <w:snapToGrid w:val="0"/>
          <w:lang w:val="en-GB"/>
        </w:rPr>
        <w:t xml:space="preserve">ted that by year 6 </w:t>
      </w:r>
      <w:r w:rsidR="00CE08E7">
        <w:t xml:space="preserve">the estimated number of patients treated with </w:t>
      </w:r>
      <w:proofErr w:type="spellStart"/>
      <w:r w:rsidR="00CE08E7">
        <w:t>olaparib</w:t>
      </w:r>
      <w:proofErr w:type="spellEnd"/>
      <w:r w:rsidR="00CE08E7">
        <w:t xml:space="preserve"> was </w:t>
      </w:r>
      <w:r w:rsidR="009C2428">
        <w:t>less than 10,000</w:t>
      </w:r>
      <w:r w:rsidR="00E25237">
        <w:t>,</w:t>
      </w:r>
      <w:r w:rsidR="00CE08E7">
        <w:t xml:space="preserve"> and the net cost to the PBS based on the effective price would be $</w:t>
      </w:r>
      <w:r w:rsidR="009C2428">
        <w:t>10 - $20</w:t>
      </w:r>
      <w:r w:rsidR="00CE08E7">
        <w:t xml:space="preserve"> million</w:t>
      </w:r>
      <w:r w:rsidR="00877574">
        <w:t xml:space="preserve"> per year</w:t>
      </w:r>
      <w:r w:rsidR="00CE08E7">
        <w:t xml:space="preserve">. </w:t>
      </w:r>
      <w:r w:rsidR="00A27B0D" w:rsidRPr="004523B0">
        <w:rPr>
          <w:snapToGrid w:val="0"/>
          <w:lang w:val="en-GB"/>
        </w:rPr>
        <w:t xml:space="preserve">The PBAC considered that the financial impact </w:t>
      </w:r>
      <w:r w:rsidRPr="004523B0">
        <w:rPr>
          <w:snapToGrid w:val="0"/>
          <w:lang w:val="en-GB"/>
        </w:rPr>
        <w:t>appears to</w:t>
      </w:r>
      <w:r w:rsidR="00A27B0D" w:rsidRPr="004523B0">
        <w:rPr>
          <w:snapToGrid w:val="0"/>
          <w:lang w:val="en-GB"/>
        </w:rPr>
        <w:t xml:space="preserve"> be overestimated due to underestimated cost</w:t>
      </w:r>
      <w:r w:rsidR="00A27B0D" w:rsidRPr="00D87BE1">
        <w:rPr>
          <w:snapToGrid w:val="0"/>
          <w:lang w:val="en-GB"/>
        </w:rPr>
        <w:t>-offsets from reduced second</w:t>
      </w:r>
      <w:r w:rsidR="00131018">
        <w:rPr>
          <w:snapToGrid w:val="0"/>
          <w:lang w:val="en-GB"/>
        </w:rPr>
        <w:t>-</w:t>
      </w:r>
      <w:r w:rsidR="00A27B0D" w:rsidRPr="00D87BE1">
        <w:rPr>
          <w:snapToGrid w:val="0"/>
          <w:lang w:val="en-GB"/>
        </w:rPr>
        <w:t>line therapies</w:t>
      </w:r>
      <w:r w:rsidR="00E158FA">
        <w:rPr>
          <w:snapToGrid w:val="0"/>
          <w:lang w:val="en-GB"/>
        </w:rPr>
        <w:t>,</w:t>
      </w:r>
      <w:r w:rsidR="00131018">
        <w:rPr>
          <w:snapToGrid w:val="0"/>
          <w:lang w:val="en-GB"/>
        </w:rPr>
        <w:t xml:space="preserve"> as </w:t>
      </w:r>
      <w:r w:rsidR="00131018">
        <w:t xml:space="preserve">the proportion of patients who receive second-line </w:t>
      </w:r>
      <w:proofErr w:type="spellStart"/>
      <w:r w:rsidR="00131018">
        <w:t>olaparib</w:t>
      </w:r>
      <w:proofErr w:type="spellEnd"/>
      <w:r w:rsidR="00131018">
        <w:t xml:space="preserve"> in clinical practice may be higher than in the SOLO1 trial. The PBAC considered the financial impact also appears to be overestimated</w:t>
      </w:r>
      <w:r w:rsidR="00E158FA">
        <w:t>,</w:t>
      </w:r>
      <w:r w:rsidR="00131018">
        <w:t xml:space="preserve"> </w:t>
      </w:r>
      <w:r w:rsidR="00131018">
        <w:rPr>
          <w:snapToGrid w:val="0"/>
          <w:lang w:val="en-GB"/>
        </w:rPr>
        <w:t>due to</w:t>
      </w:r>
      <w:r w:rsidRPr="00D87BE1">
        <w:rPr>
          <w:snapToGrid w:val="0"/>
          <w:lang w:val="en-GB"/>
        </w:rPr>
        <w:t xml:space="preserve"> application of </w:t>
      </w:r>
      <w:r w:rsidRPr="00877574">
        <w:rPr>
          <w:snapToGrid w:val="0"/>
          <w:lang w:val="en-GB"/>
        </w:rPr>
        <w:t xml:space="preserve">a higher proportion of first-line </w:t>
      </w:r>
      <w:proofErr w:type="spellStart"/>
      <w:r w:rsidRPr="00877574">
        <w:rPr>
          <w:snapToGrid w:val="0"/>
          <w:lang w:val="en-GB"/>
        </w:rPr>
        <w:t>olaparib</w:t>
      </w:r>
      <w:proofErr w:type="spellEnd"/>
      <w:r w:rsidRPr="00877574">
        <w:rPr>
          <w:snapToGrid w:val="0"/>
          <w:lang w:val="en-GB"/>
        </w:rPr>
        <w:t xml:space="preserve"> patients assumed to be </w:t>
      </w:r>
      <w:r>
        <w:t xml:space="preserve">treated beyond 2 years in the financial model than was observed in the SOLO1 trial. </w:t>
      </w:r>
      <w:r w:rsidR="00A9286F">
        <w:t xml:space="preserve">The PBAC noted that the financial estimates included </w:t>
      </w:r>
      <w:proofErr w:type="spellStart"/>
      <w:r w:rsidR="00A9286F" w:rsidRPr="00A9286F">
        <w:rPr>
          <w:i/>
        </w:rPr>
        <w:t>BRCA</w:t>
      </w:r>
      <w:r w:rsidR="00A9286F">
        <w:t>m</w:t>
      </w:r>
      <w:proofErr w:type="spellEnd"/>
      <w:r w:rsidR="00A9286F">
        <w:t xml:space="preserve"> prevalence of 23%</w:t>
      </w:r>
      <w:r w:rsidR="00E158FA">
        <w:t>,</w:t>
      </w:r>
      <w:r w:rsidR="00A9286F">
        <w:t xml:space="preserve"> which included somatic mutations. </w:t>
      </w:r>
    </w:p>
    <w:p w:rsidR="00CE08E7" w:rsidRDefault="00170127" w:rsidP="003F12E7">
      <w:pPr>
        <w:pStyle w:val="ListParagraph"/>
        <w:rPr>
          <w:snapToGrid w:val="0"/>
          <w:lang w:val="en-GB"/>
        </w:rPr>
      </w:pPr>
      <w:r>
        <w:rPr>
          <w:snapToGrid w:val="0"/>
          <w:lang w:val="en-GB"/>
        </w:rPr>
        <w:t>The PBAC considered that</w:t>
      </w:r>
      <w:r w:rsidR="00CE08E7">
        <w:rPr>
          <w:snapToGrid w:val="0"/>
          <w:lang w:val="en-GB"/>
        </w:rPr>
        <w:t xml:space="preserve"> a</w:t>
      </w:r>
      <w:r w:rsidR="00877574">
        <w:rPr>
          <w:snapToGrid w:val="0"/>
          <w:lang w:val="en-GB"/>
        </w:rPr>
        <w:t>ny re-</w:t>
      </w:r>
      <w:r w:rsidR="00CE08E7">
        <w:rPr>
          <w:snapToGrid w:val="0"/>
          <w:lang w:val="en-GB"/>
        </w:rPr>
        <w:t xml:space="preserve">submission </w:t>
      </w:r>
      <w:r w:rsidR="00877574">
        <w:rPr>
          <w:snapToGrid w:val="0"/>
          <w:lang w:val="en-GB"/>
        </w:rPr>
        <w:t xml:space="preserve">for first-line </w:t>
      </w:r>
      <w:proofErr w:type="spellStart"/>
      <w:r w:rsidR="00877574">
        <w:rPr>
          <w:snapToGrid w:val="0"/>
          <w:lang w:val="en-GB"/>
        </w:rPr>
        <w:t>olaparib</w:t>
      </w:r>
      <w:proofErr w:type="spellEnd"/>
      <w:r w:rsidR="00877574">
        <w:rPr>
          <w:snapToGrid w:val="0"/>
          <w:lang w:val="en-GB"/>
        </w:rPr>
        <w:t xml:space="preserve"> maintenance treatment </w:t>
      </w:r>
      <w:r w:rsidR="00CE08E7">
        <w:rPr>
          <w:snapToGrid w:val="0"/>
          <w:lang w:val="en-GB"/>
        </w:rPr>
        <w:t>should</w:t>
      </w:r>
      <w:r w:rsidR="00125FF1">
        <w:rPr>
          <w:snapToGrid w:val="0"/>
          <w:lang w:val="en-GB"/>
        </w:rPr>
        <w:t xml:space="preserve"> be a major submission and</w:t>
      </w:r>
      <w:r w:rsidR="00CE08E7">
        <w:rPr>
          <w:snapToGrid w:val="0"/>
          <w:lang w:val="en-GB"/>
        </w:rPr>
        <w:t xml:space="preserve"> incorporate the following changes:</w:t>
      </w:r>
    </w:p>
    <w:p w:rsidR="00B61662" w:rsidRDefault="00B61662" w:rsidP="00877574">
      <w:pPr>
        <w:pStyle w:val="PBACESParagraphBulletPoint"/>
        <w:rPr>
          <w:snapToGrid w:val="0"/>
          <w:lang w:val="en-GB"/>
        </w:rPr>
      </w:pPr>
      <w:r>
        <w:rPr>
          <w:snapToGrid w:val="0"/>
          <w:lang w:val="en-GB"/>
        </w:rPr>
        <w:t xml:space="preserve">A </w:t>
      </w:r>
      <w:r w:rsidR="00246D84">
        <w:rPr>
          <w:snapToGrid w:val="0"/>
          <w:lang w:val="en-GB"/>
        </w:rPr>
        <w:t xml:space="preserve">more usual </w:t>
      </w:r>
      <w:r>
        <w:rPr>
          <w:snapToGrid w:val="0"/>
          <w:lang w:val="en-GB"/>
        </w:rPr>
        <w:t>analysis approach</w:t>
      </w:r>
      <w:r w:rsidR="009339F7">
        <w:rPr>
          <w:snapToGrid w:val="0"/>
          <w:lang w:val="en-GB"/>
        </w:rPr>
        <w:t xml:space="preserve"> to the economic model</w:t>
      </w:r>
      <w:r w:rsidR="00462DD3">
        <w:rPr>
          <w:snapToGrid w:val="0"/>
          <w:lang w:val="en-GB"/>
        </w:rPr>
        <w:t>, for example a partitioned survival analysis</w:t>
      </w:r>
      <w:r>
        <w:rPr>
          <w:snapToGrid w:val="0"/>
          <w:lang w:val="en-GB"/>
        </w:rPr>
        <w:t>;</w:t>
      </w:r>
    </w:p>
    <w:p w:rsidR="009339F7" w:rsidRPr="009339F7" w:rsidRDefault="009339F7" w:rsidP="009339F7">
      <w:pPr>
        <w:pStyle w:val="PBACESParagraphBulletPoint"/>
        <w:rPr>
          <w:snapToGrid w:val="0"/>
          <w:lang w:val="en-GB"/>
        </w:rPr>
      </w:pPr>
      <w:r w:rsidRPr="009339F7">
        <w:rPr>
          <w:snapToGrid w:val="0"/>
          <w:lang w:val="en-GB"/>
        </w:rPr>
        <w:t xml:space="preserve">Incorporating changes </w:t>
      </w:r>
      <w:r>
        <w:rPr>
          <w:snapToGrid w:val="0"/>
          <w:lang w:val="en-GB"/>
        </w:rPr>
        <w:t>to the economic model in</w:t>
      </w:r>
      <w:r w:rsidRPr="009339F7">
        <w:rPr>
          <w:snapToGrid w:val="0"/>
          <w:lang w:val="en-GB"/>
        </w:rPr>
        <w:t xml:space="preserve"> the evaluation’s revised analysis: (</w:t>
      </w:r>
      <w:proofErr w:type="spellStart"/>
      <w:r w:rsidRPr="009339F7">
        <w:rPr>
          <w:snapToGrid w:val="0"/>
          <w:lang w:val="en-GB"/>
        </w:rPr>
        <w:t>i</w:t>
      </w:r>
      <w:proofErr w:type="spellEnd"/>
      <w:r w:rsidRPr="009339F7">
        <w:rPr>
          <w:snapToGrid w:val="0"/>
          <w:lang w:val="en-GB"/>
        </w:rPr>
        <w:t xml:space="preserve">) using utility values for PFS2 and PD as reported in Study 19; (ii) correcting the modelled cost of </w:t>
      </w:r>
      <w:proofErr w:type="spellStart"/>
      <w:r w:rsidRPr="009339F7">
        <w:rPr>
          <w:snapToGrid w:val="0"/>
          <w:lang w:val="en-GB"/>
        </w:rPr>
        <w:t>olaparib</w:t>
      </w:r>
      <w:proofErr w:type="spellEnd"/>
      <w:r w:rsidRPr="009339F7">
        <w:rPr>
          <w:snapToGrid w:val="0"/>
          <w:lang w:val="en-GB"/>
        </w:rPr>
        <w:t xml:space="preserve">; (iii) including downstream germline testing costs in tumour positive patients and private/hospital funded test costs; and </w:t>
      </w:r>
      <w:proofErr w:type="gramStart"/>
      <w:r w:rsidRPr="009339F7">
        <w:rPr>
          <w:snapToGrid w:val="0"/>
          <w:lang w:val="en-GB"/>
        </w:rPr>
        <w:t>(</w:t>
      </w:r>
      <w:r>
        <w:rPr>
          <w:snapToGrid w:val="0"/>
          <w:lang w:val="en-GB"/>
        </w:rPr>
        <w:t>i</w:t>
      </w:r>
      <w:r w:rsidRPr="009339F7">
        <w:rPr>
          <w:snapToGrid w:val="0"/>
          <w:lang w:val="en-GB"/>
        </w:rPr>
        <w:t>v) using</w:t>
      </w:r>
      <w:proofErr w:type="gramEnd"/>
      <w:r w:rsidRPr="009339F7">
        <w:rPr>
          <w:snapToGrid w:val="0"/>
          <w:lang w:val="en-GB"/>
        </w:rPr>
        <w:t xml:space="preserve"> a prevalence for </w:t>
      </w:r>
      <w:proofErr w:type="spellStart"/>
      <w:r w:rsidRPr="009339F7">
        <w:rPr>
          <w:snapToGrid w:val="0"/>
          <w:lang w:val="en-GB"/>
        </w:rPr>
        <w:t>gBRCAm</w:t>
      </w:r>
      <w:proofErr w:type="spellEnd"/>
      <w:r w:rsidRPr="009339F7">
        <w:rPr>
          <w:snapToGrid w:val="0"/>
          <w:lang w:val="en-GB"/>
        </w:rPr>
        <w:t xml:space="preserve"> of 20.3%.</w:t>
      </w:r>
    </w:p>
    <w:p w:rsidR="00CE08E7" w:rsidRDefault="0058300D" w:rsidP="00877574">
      <w:pPr>
        <w:pStyle w:val="PBACESParagraphBulletPoint"/>
        <w:rPr>
          <w:snapToGrid w:val="0"/>
          <w:lang w:val="en-GB"/>
        </w:rPr>
      </w:pPr>
      <w:r>
        <w:rPr>
          <w:snapToGrid w:val="0"/>
          <w:lang w:val="en-GB"/>
        </w:rPr>
        <w:t>A revised, more conservative approach to esti</w:t>
      </w:r>
      <w:r w:rsidR="00B61662">
        <w:rPr>
          <w:snapToGrid w:val="0"/>
          <w:lang w:val="en-GB"/>
        </w:rPr>
        <w:t>mating overall survival benefit</w:t>
      </w:r>
      <w:r>
        <w:rPr>
          <w:snapToGrid w:val="0"/>
          <w:lang w:val="en-GB"/>
        </w:rPr>
        <w:t xml:space="preserve">, consistent with the OS benefit shown in second-line </w:t>
      </w:r>
      <w:proofErr w:type="spellStart"/>
      <w:r>
        <w:rPr>
          <w:snapToGrid w:val="0"/>
          <w:lang w:val="en-GB"/>
        </w:rPr>
        <w:t>olaparib</w:t>
      </w:r>
      <w:proofErr w:type="spellEnd"/>
      <w:r w:rsidR="0044380D">
        <w:rPr>
          <w:snapToGrid w:val="0"/>
          <w:lang w:val="en-GB"/>
        </w:rPr>
        <w:t xml:space="preserve"> for patients who would not have been given </w:t>
      </w:r>
      <w:proofErr w:type="spellStart"/>
      <w:r w:rsidR="0044380D">
        <w:rPr>
          <w:snapToGrid w:val="0"/>
          <w:lang w:val="en-GB"/>
        </w:rPr>
        <w:t>olaparib</w:t>
      </w:r>
      <w:proofErr w:type="spellEnd"/>
      <w:r w:rsidR="0044380D">
        <w:rPr>
          <w:snapToGrid w:val="0"/>
          <w:lang w:val="en-GB"/>
        </w:rPr>
        <w:t xml:space="preserve"> in the second-line setting,</w:t>
      </w:r>
      <w:r>
        <w:rPr>
          <w:snapToGrid w:val="0"/>
          <w:lang w:val="en-GB"/>
        </w:rPr>
        <w:t xml:space="preserve"> or </w:t>
      </w:r>
      <w:r w:rsidR="00B61662">
        <w:rPr>
          <w:snapToGrid w:val="0"/>
          <w:lang w:val="en-GB"/>
        </w:rPr>
        <w:t xml:space="preserve">based on more mature survival data for first-line </w:t>
      </w:r>
      <w:proofErr w:type="spellStart"/>
      <w:r w:rsidR="00B61662">
        <w:rPr>
          <w:snapToGrid w:val="0"/>
          <w:lang w:val="en-GB"/>
        </w:rPr>
        <w:t>olaparib</w:t>
      </w:r>
      <w:proofErr w:type="spellEnd"/>
      <w:r w:rsidR="00B61662">
        <w:rPr>
          <w:snapToGrid w:val="0"/>
          <w:lang w:val="en-GB"/>
        </w:rPr>
        <w:t>;</w:t>
      </w:r>
    </w:p>
    <w:p w:rsidR="00B61662" w:rsidRDefault="00B61662" w:rsidP="00877574">
      <w:pPr>
        <w:pStyle w:val="PBACESParagraphBulletPoint"/>
        <w:rPr>
          <w:snapToGrid w:val="0"/>
          <w:lang w:val="en-GB"/>
        </w:rPr>
      </w:pPr>
      <w:r>
        <w:rPr>
          <w:snapToGrid w:val="0"/>
          <w:lang w:val="en-GB"/>
        </w:rPr>
        <w:t>A time horizon of up to 15 years;</w:t>
      </w:r>
    </w:p>
    <w:p w:rsidR="00B61662" w:rsidRDefault="00B61662" w:rsidP="00877574">
      <w:pPr>
        <w:pStyle w:val="PBACESParagraphBulletPoint"/>
        <w:rPr>
          <w:snapToGrid w:val="0"/>
          <w:lang w:val="en-GB"/>
        </w:rPr>
      </w:pPr>
      <w:r>
        <w:rPr>
          <w:snapToGrid w:val="0"/>
          <w:lang w:val="en-GB"/>
        </w:rPr>
        <w:lastRenderedPageBreak/>
        <w:t xml:space="preserve">Inclusion of bevacizumab as a comparator in the relevant population, </w:t>
      </w:r>
      <w:r w:rsidR="00B33C73">
        <w:rPr>
          <w:snapToGrid w:val="0"/>
          <w:lang w:val="en-GB"/>
        </w:rPr>
        <w:t xml:space="preserve">including the impact of bevacizumab in the model for the patient population with </w:t>
      </w:r>
      <w:proofErr w:type="spellStart"/>
      <w:r w:rsidR="00B33C73">
        <w:t>suboptimally</w:t>
      </w:r>
      <w:proofErr w:type="spellEnd"/>
      <w:r w:rsidR="00B33C73">
        <w:t xml:space="preserve"> </w:t>
      </w:r>
      <w:proofErr w:type="spellStart"/>
      <w:r w:rsidR="00B33C73">
        <w:t>debulked</w:t>
      </w:r>
      <w:proofErr w:type="spellEnd"/>
      <w:r w:rsidR="00B33C73">
        <w:t xml:space="preserve"> Stage IIIB/C and all Stage IV patients</w:t>
      </w:r>
      <w:r w:rsidR="00B33C73">
        <w:rPr>
          <w:snapToGrid w:val="0"/>
          <w:lang w:val="en-GB"/>
        </w:rPr>
        <w:t xml:space="preserve"> who </w:t>
      </w:r>
      <w:r w:rsidR="00DF7BAA">
        <w:rPr>
          <w:snapToGrid w:val="0"/>
          <w:lang w:val="en-GB"/>
        </w:rPr>
        <w:t>would be</w:t>
      </w:r>
      <w:r w:rsidR="00B33C73">
        <w:rPr>
          <w:snapToGrid w:val="0"/>
          <w:lang w:val="en-GB"/>
        </w:rPr>
        <w:t xml:space="preserve"> treated with </w:t>
      </w:r>
      <w:proofErr w:type="spellStart"/>
      <w:r w:rsidR="00B33C73">
        <w:rPr>
          <w:snapToGrid w:val="0"/>
          <w:lang w:val="en-GB"/>
        </w:rPr>
        <w:t>olaparib</w:t>
      </w:r>
      <w:proofErr w:type="spellEnd"/>
      <w:r w:rsidR="00B33C73">
        <w:rPr>
          <w:snapToGrid w:val="0"/>
          <w:lang w:val="en-GB"/>
        </w:rPr>
        <w:t xml:space="preserve"> </w:t>
      </w:r>
      <w:r w:rsidR="00D04F5C">
        <w:rPr>
          <w:snapToGrid w:val="0"/>
          <w:lang w:val="en-GB"/>
        </w:rPr>
        <w:t>maintenance</w:t>
      </w:r>
      <w:r w:rsidR="00B33C73">
        <w:rPr>
          <w:snapToGrid w:val="0"/>
          <w:lang w:val="en-GB"/>
        </w:rPr>
        <w:t xml:space="preserve"> instead of bevacizumab</w:t>
      </w:r>
      <w:r>
        <w:rPr>
          <w:snapToGrid w:val="0"/>
          <w:lang w:val="en-GB"/>
        </w:rPr>
        <w:t xml:space="preserve">; </w:t>
      </w:r>
    </w:p>
    <w:p w:rsidR="00B61662" w:rsidRPr="004523B0" w:rsidRDefault="00827914" w:rsidP="00877574">
      <w:pPr>
        <w:pStyle w:val="PBACESParagraphBulletPoint"/>
        <w:rPr>
          <w:snapToGrid w:val="0"/>
          <w:lang w:val="en-GB"/>
        </w:rPr>
      </w:pPr>
      <w:r>
        <w:rPr>
          <w:snapToGrid w:val="0"/>
          <w:lang w:val="en-GB"/>
        </w:rPr>
        <w:t>Consideration of the impact of i</w:t>
      </w:r>
      <w:r w:rsidR="00B61662">
        <w:rPr>
          <w:snapToGrid w:val="0"/>
          <w:lang w:val="en-GB"/>
        </w:rPr>
        <w:t>ncreased second-line therapies;</w:t>
      </w:r>
    </w:p>
    <w:p w:rsidR="00CE08E7" w:rsidRDefault="00CE08E7" w:rsidP="00877574">
      <w:pPr>
        <w:pStyle w:val="PBACESParagraphBulletPoint"/>
        <w:rPr>
          <w:snapToGrid w:val="0"/>
          <w:lang w:val="en-GB"/>
        </w:rPr>
      </w:pPr>
      <w:r>
        <w:rPr>
          <w:snapToGrid w:val="0"/>
          <w:lang w:val="en-GB"/>
        </w:rPr>
        <w:t xml:space="preserve">A </w:t>
      </w:r>
      <w:r w:rsidR="00B61662">
        <w:rPr>
          <w:snapToGrid w:val="0"/>
          <w:lang w:val="en-GB"/>
        </w:rPr>
        <w:t>reduced</w:t>
      </w:r>
      <w:r>
        <w:rPr>
          <w:snapToGrid w:val="0"/>
          <w:lang w:val="en-GB"/>
        </w:rPr>
        <w:t xml:space="preserve"> price resulting in an ICER </w:t>
      </w:r>
      <w:r w:rsidR="00276C67">
        <w:rPr>
          <w:snapToGrid w:val="0"/>
          <w:lang w:val="en-GB"/>
        </w:rPr>
        <w:t>consistent with</w:t>
      </w:r>
      <w:r>
        <w:rPr>
          <w:snapToGrid w:val="0"/>
          <w:lang w:val="en-GB"/>
        </w:rPr>
        <w:t xml:space="preserve"> that accepted</w:t>
      </w:r>
      <w:r w:rsidR="00B61662">
        <w:rPr>
          <w:snapToGrid w:val="0"/>
          <w:lang w:val="en-GB"/>
        </w:rPr>
        <w:t xml:space="preserve"> for </w:t>
      </w:r>
      <w:proofErr w:type="spellStart"/>
      <w:r w:rsidR="00B61662">
        <w:rPr>
          <w:snapToGrid w:val="0"/>
          <w:lang w:val="en-GB"/>
        </w:rPr>
        <w:t>olaparib</w:t>
      </w:r>
      <w:proofErr w:type="spellEnd"/>
      <w:r>
        <w:rPr>
          <w:snapToGrid w:val="0"/>
          <w:lang w:val="en-GB"/>
        </w:rPr>
        <w:t xml:space="preserve"> in the second-line setting ($</w:t>
      </w:r>
      <w:r w:rsidR="009F1730">
        <w:rPr>
          <w:snapToGrid w:val="0"/>
          <w:lang w:val="en-GB"/>
        </w:rPr>
        <w:t>45,000 - $75,000</w:t>
      </w:r>
      <w:r>
        <w:rPr>
          <w:snapToGrid w:val="0"/>
          <w:lang w:val="en-GB"/>
        </w:rPr>
        <w:t xml:space="preserve"> per QALY)</w:t>
      </w:r>
      <w:r w:rsidR="00EE0761">
        <w:rPr>
          <w:snapToGrid w:val="0"/>
          <w:lang w:val="en-GB"/>
        </w:rPr>
        <w:t>;</w:t>
      </w:r>
    </w:p>
    <w:p w:rsidR="00B33C73" w:rsidRDefault="00B33C73" w:rsidP="00877574">
      <w:pPr>
        <w:pStyle w:val="PBACESParagraphBulletPoint"/>
        <w:rPr>
          <w:snapToGrid w:val="0"/>
          <w:lang w:val="en-GB"/>
        </w:rPr>
      </w:pPr>
      <w:r>
        <w:rPr>
          <w:snapToGrid w:val="0"/>
          <w:lang w:val="en-GB"/>
        </w:rPr>
        <w:t xml:space="preserve">Revised </w:t>
      </w:r>
      <w:r w:rsidR="00827914">
        <w:rPr>
          <w:snapToGrid w:val="0"/>
          <w:lang w:val="en-GB"/>
        </w:rPr>
        <w:t xml:space="preserve">and simplified </w:t>
      </w:r>
      <w:r>
        <w:rPr>
          <w:snapToGrid w:val="0"/>
          <w:lang w:val="en-GB"/>
        </w:rPr>
        <w:t>fina</w:t>
      </w:r>
      <w:r w:rsidR="00827914">
        <w:rPr>
          <w:snapToGrid w:val="0"/>
          <w:lang w:val="en-GB"/>
        </w:rPr>
        <w:t>n</w:t>
      </w:r>
      <w:r>
        <w:rPr>
          <w:snapToGrid w:val="0"/>
          <w:lang w:val="en-GB"/>
        </w:rPr>
        <w:t>cial impact estimates addressing the i</w:t>
      </w:r>
      <w:r w:rsidR="00135CE2">
        <w:rPr>
          <w:snapToGrid w:val="0"/>
          <w:lang w:val="en-GB"/>
        </w:rPr>
        <w:t xml:space="preserve">ssues outlined in paragraph </w:t>
      </w:r>
      <w:r w:rsidR="00135CE2" w:rsidRPr="004366FF">
        <w:rPr>
          <w:snapToGrid w:val="0"/>
          <w:lang w:val="en-GB"/>
        </w:rPr>
        <w:t>7.23</w:t>
      </w:r>
      <w:r w:rsidR="00827914">
        <w:rPr>
          <w:snapToGrid w:val="0"/>
          <w:lang w:val="en-GB"/>
        </w:rPr>
        <w:t>, and ensuring that the same approach is applied to costs and cost-offsets</w:t>
      </w:r>
      <w:r w:rsidR="00EE0761">
        <w:rPr>
          <w:snapToGrid w:val="0"/>
          <w:lang w:val="en-GB"/>
        </w:rPr>
        <w:t>; and</w:t>
      </w:r>
    </w:p>
    <w:p w:rsidR="00B33C73" w:rsidRDefault="00B33C73" w:rsidP="00877574">
      <w:pPr>
        <w:pStyle w:val="PBACESParagraphBulletPoint"/>
        <w:rPr>
          <w:snapToGrid w:val="0"/>
          <w:lang w:val="en-GB"/>
        </w:rPr>
      </w:pPr>
      <w:r>
        <w:rPr>
          <w:snapToGrid w:val="0"/>
          <w:lang w:val="en-GB"/>
        </w:rPr>
        <w:t>Additional details regarding a</w:t>
      </w:r>
      <w:r w:rsidR="00827914">
        <w:rPr>
          <w:snapToGrid w:val="0"/>
          <w:lang w:val="en-GB"/>
        </w:rPr>
        <w:t>ny proposed</w:t>
      </w:r>
      <w:r>
        <w:rPr>
          <w:snapToGrid w:val="0"/>
          <w:lang w:val="en-GB"/>
        </w:rPr>
        <w:t xml:space="preserve"> RSA</w:t>
      </w:r>
      <w:r w:rsidR="00827914">
        <w:rPr>
          <w:snapToGrid w:val="0"/>
          <w:lang w:val="en-GB"/>
        </w:rPr>
        <w:t xml:space="preserve"> and estimates of the </w:t>
      </w:r>
      <w:r>
        <w:rPr>
          <w:snapToGrid w:val="0"/>
          <w:lang w:val="en-GB"/>
        </w:rPr>
        <w:t>extent</w:t>
      </w:r>
      <w:r w:rsidR="00827914">
        <w:rPr>
          <w:snapToGrid w:val="0"/>
          <w:lang w:val="en-GB"/>
        </w:rPr>
        <w:t xml:space="preserve"> of </w:t>
      </w:r>
      <w:r w:rsidR="00827914" w:rsidRPr="00076B7E">
        <w:rPr>
          <w:color w:val="auto"/>
        </w:rPr>
        <w:t xml:space="preserve">adjustment to the expenditure caps </w:t>
      </w:r>
      <w:r w:rsidR="00827914">
        <w:rPr>
          <w:color w:val="auto"/>
        </w:rPr>
        <w:t xml:space="preserve">that </w:t>
      </w:r>
      <w:r w:rsidR="00827914" w:rsidRPr="00076B7E">
        <w:rPr>
          <w:color w:val="auto"/>
        </w:rPr>
        <w:t>would be required</w:t>
      </w:r>
      <w:r w:rsidR="00827914" w:rsidRPr="00DA26BE">
        <w:rPr>
          <w:color w:val="auto"/>
        </w:rPr>
        <w:t>.</w:t>
      </w:r>
    </w:p>
    <w:p w:rsidR="00276C67" w:rsidRPr="00276C67" w:rsidRDefault="00276C67" w:rsidP="001A757A">
      <w:pPr>
        <w:pStyle w:val="ListParagraph"/>
        <w:rPr>
          <w:rFonts w:cs="Arial"/>
          <w:bCs/>
          <w:i/>
          <w:snapToGrid w:val="0"/>
          <w:lang w:val="en-GB"/>
        </w:rPr>
      </w:pPr>
      <w:r>
        <w:t xml:space="preserve">The PBAC considered that </w:t>
      </w:r>
      <w:r w:rsidRPr="00613AD1">
        <w:t xml:space="preserve">a future submission for </w:t>
      </w:r>
      <w:proofErr w:type="spellStart"/>
      <w:r w:rsidRPr="00613AD1">
        <w:t>olaparib</w:t>
      </w:r>
      <w:proofErr w:type="spellEnd"/>
      <w:r w:rsidRPr="00613AD1">
        <w:t xml:space="preserve"> regardless of </w:t>
      </w:r>
      <w:proofErr w:type="spellStart"/>
      <w:r w:rsidRPr="00276C67">
        <w:rPr>
          <w:i/>
        </w:rPr>
        <w:t>BRCA</w:t>
      </w:r>
      <w:r w:rsidRPr="00613AD1">
        <w:t>m</w:t>
      </w:r>
      <w:proofErr w:type="spellEnd"/>
      <w:r w:rsidRPr="00613AD1">
        <w:t xml:space="preserve"> status would be welcomed, but given </w:t>
      </w:r>
      <w:r>
        <w:t xml:space="preserve">the </w:t>
      </w:r>
      <w:r w:rsidRPr="00613AD1">
        <w:t xml:space="preserve">incremental effectiveness of </w:t>
      </w:r>
      <w:proofErr w:type="spellStart"/>
      <w:r w:rsidRPr="00613AD1">
        <w:t>olaparib</w:t>
      </w:r>
      <w:proofErr w:type="spellEnd"/>
      <w:r w:rsidRPr="00613AD1">
        <w:t xml:space="preserve"> appears to be reduced in </w:t>
      </w:r>
      <w:proofErr w:type="spellStart"/>
      <w:r w:rsidRPr="00613AD1">
        <w:t>BRCAwt</w:t>
      </w:r>
      <w:proofErr w:type="spellEnd"/>
      <w:r w:rsidRPr="00613AD1">
        <w:t xml:space="preserve"> patients compared to </w:t>
      </w:r>
      <w:proofErr w:type="spellStart"/>
      <w:r w:rsidRPr="00613AD1">
        <w:t>BRCAm</w:t>
      </w:r>
      <w:proofErr w:type="spellEnd"/>
      <w:r w:rsidRPr="00613AD1">
        <w:t xml:space="preserve"> patients, it is anticipated that a broader listing would require a lower price to achieve a cost-effective listing</w:t>
      </w:r>
      <w:r>
        <w:t>.</w:t>
      </w:r>
    </w:p>
    <w:p w:rsidR="003F12E7" w:rsidRPr="00525B39" w:rsidRDefault="003F12E7" w:rsidP="001A757A">
      <w:pPr>
        <w:pStyle w:val="ListParagraph"/>
        <w:rPr>
          <w:rFonts w:cs="Arial"/>
          <w:bCs/>
          <w:i/>
          <w:snapToGrid w:val="0"/>
          <w:lang w:val="en-GB"/>
        </w:rPr>
      </w:pPr>
      <w:r w:rsidRPr="00525B39">
        <w:rPr>
          <w:snapToGrid w:val="0"/>
          <w:lang w:val="en-GB"/>
        </w:rPr>
        <w:t xml:space="preserve">The PBAC noted that this submission is eligible for an Independent Review. </w:t>
      </w:r>
      <w:r w:rsidRPr="00525B39">
        <w:rPr>
          <w:rFonts w:cs="Arial"/>
          <w:bCs/>
          <w:i/>
          <w:snapToGrid w:val="0"/>
          <w:lang w:val="en-GB"/>
        </w:rPr>
        <w:t xml:space="preserve"> </w:t>
      </w:r>
    </w:p>
    <w:p w:rsidR="004F738D" w:rsidRPr="00525B39" w:rsidRDefault="003F12E7" w:rsidP="00AE7AF5">
      <w:pPr>
        <w:spacing w:before="0" w:after="0"/>
        <w:rPr>
          <w:rFonts w:cs="Arial"/>
          <w:b/>
          <w:bCs/>
          <w:snapToGrid w:val="0"/>
          <w:lang w:val="en-GB"/>
        </w:rPr>
      </w:pPr>
      <w:r w:rsidRPr="00525B39">
        <w:rPr>
          <w:rFonts w:cs="Arial"/>
          <w:b/>
          <w:bCs/>
          <w:snapToGrid w:val="0"/>
          <w:lang w:val="en-GB"/>
        </w:rPr>
        <w:t>Outcome:</w:t>
      </w:r>
    </w:p>
    <w:p w:rsidR="00C97064" w:rsidRPr="00C97064" w:rsidRDefault="003F12E7" w:rsidP="00C97064">
      <w:pPr>
        <w:spacing w:before="0" w:after="0"/>
        <w:rPr>
          <w:rFonts w:cs="Arial"/>
          <w:bCs/>
          <w:snapToGrid w:val="0"/>
          <w:lang w:val="en-GB"/>
        </w:rPr>
      </w:pPr>
      <w:r w:rsidRPr="00525B39">
        <w:rPr>
          <w:rFonts w:cs="Arial"/>
          <w:bCs/>
          <w:snapToGrid w:val="0"/>
          <w:lang w:val="en-GB"/>
        </w:rPr>
        <w:t xml:space="preserve">Rejected </w:t>
      </w:r>
    </w:p>
    <w:p w:rsidR="00C97064" w:rsidRPr="00C97064" w:rsidRDefault="00C97064" w:rsidP="00C97064">
      <w:pPr>
        <w:pStyle w:val="PBACESHeading1"/>
        <w:numPr>
          <w:ilvl w:val="0"/>
          <w:numId w:val="1"/>
        </w:numPr>
      </w:pPr>
      <w:r w:rsidRPr="00C97064">
        <w:t>Context for Decision</w:t>
      </w:r>
    </w:p>
    <w:p w:rsidR="00C97064" w:rsidRPr="00C97064" w:rsidRDefault="000E7D72" w:rsidP="00C97064">
      <w:pPr>
        <w:spacing w:before="0" w:after="0" w:line="276" w:lineRule="auto"/>
        <w:rPr>
          <w:rFonts w:ascii="Calibri" w:eastAsia="Calibri" w:hAnsi="Calibri" w:cs="Arial"/>
        </w:rPr>
      </w:pPr>
      <w:r w:rsidRPr="000E7D72">
        <w:rPr>
          <w:rFonts w:ascii="Calibri" w:eastAsia="Calibri" w:hAnsi="Calibr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97064" w:rsidRPr="00C97064" w:rsidRDefault="00C97064" w:rsidP="00C97064">
      <w:pPr>
        <w:pStyle w:val="PBACESHeading1"/>
        <w:numPr>
          <w:ilvl w:val="0"/>
          <w:numId w:val="1"/>
        </w:numPr>
      </w:pPr>
      <w:r w:rsidRPr="00C97064">
        <w:t>Sponsor’s Comment</w:t>
      </w:r>
    </w:p>
    <w:p w:rsidR="005B305D" w:rsidRPr="0082679B" w:rsidRDefault="0082679B" w:rsidP="0082679B">
      <w:pPr>
        <w:spacing w:before="0" w:after="120" w:line="276" w:lineRule="auto"/>
        <w:rPr>
          <w:rFonts w:ascii="Calibri" w:eastAsia="Calibri" w:hAnsi="Calibri" w:cs="Arial"/>
          <w:bCs/>
        </w:rPr>
      </w:pPr>
      <w:r>
        <w:rPr>
          <w:rFonts w:ascii="Calibri" w:eastAsia="Calibri" w:hAnsi="Calibri" w:cs="Arial"/>
          <w:bCs/>
        </w:rPr>
        <w:t>The sponsor had no comment.</w:t>
      </w:r>
    </w:p>
    <w:sectPr w:rsidR="005B305D" w:rsidRPr="0082679B" w:rsidSect="00002272">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BB970" w16cid:durableId="219A66F9"/>
  <w16cid:commentId w16cid:paraId="38A3D915" w16cid:durableId="219CE495"/>
  <w16cid:commentId w16cid:paraId="192C6CD5" w16cid:durableId="219CED6B"/>
  <w16cid:commentId w16cid:paraId="2EE23078" w16cid:durableId="219D0BD8"/>
  <w16cid:commentId w16cid:paraId="3BA236AB" w16cid:durableId="219D001D"/>
  <w16cid:commentId w16cid:paraId="7EF8C3E1" w16cid:durableId="219CFA60"/>
  <w16cid:commentId w16cid:paraId="65B40A3C" w16cid:durableId="219CF889"/>
  <w16cid:commentId w16cid:paraId="549A0437" w16cid:durableId="219CFDE6"/>
  <w16cid:commentId w16cid:paraId="3509D254" w16cid:durableId="219A636B"/>
  <w16cid:commentId w16cid:paraId="0A8CE8F3" w16cid:durableId="219D0D58"/>
  <w16cid:commentId w16cid:paraId="1FF41914" w16cid:durableId="219A63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678" w:rsidRDefault="005C3678" w:rsidP="00BA3306">
      <w:pPr>
        <w:spacing w:before="0" w:after="0"/>
      </w:pPr>
      <w:r>
        <w:separator/>
      </w:r>
    </w:p>
    <w:p w:rsidR="005C3678" w:rsidRDefault="005C3678"/>
  </w:endnote>
  <w:endnote w:type="continuationSeparator" w:id="0">
    <w:p w:rsidR="005C3678" w:rsidRDefault="005C3678" w:rsidP="00BA3306">
      <w:pPr>
        <w:spacing w:before="0" w:after="0"/>
      </w:pPr>
      <w:r>
        <w:continuationSeparator/>
      </w:r>
    </w:p>
    <w:p w:rsidR="005C3678" w:rsidRDefault="005C3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16" w:rsidRDefault="00D36516" w:rsidP="00002272">
    <w:pPr>
      <w:pStyle w:val="Footer"/>
      <w:jc w:val="center"/>
    </w:pPr>
  </w:p>
  <w:p w:rsidR="00D36516" w:rsidRPr="00DE7812" w:rsidRDefault="00D36516" w:rsidP="00002272">
    <w:pPr>
      <w:pStyle w:val="Footer"/>
      <w:jc w:val="center"/>
      <w:rPr>
        <w:b/>
      </w:rPr>
    </w:pPr>
    <w:r w:rsidRPr="00DE7812">
      <w:rPr>
        <w:b/>
      </w:rPr>
      <w:fldChar w:fldCharType="begin"/>
    </w:r>
    <w:r w:rsidRPr="00DE7812">
      <w:rPr>
        <w:b/>
      </w:rPr>
      <w:instrText xml:space="preserve"> PAGE   \* MERGEFORMAT </w:instrText>
    </w:r>
    <w:r w:rsidRPr="00DE7812">
      <w:rPr>
        <w:b/>
      </w:rPr>
      <w:fldChar w:fldCharType="separate"/>
    </w:r>
    <w:r w:rsidR="00B0364C">
      <w:rPr>
        <w:b/>
        <w:noProof/>
      </w:rPr>
      <w:t>21</w:t>
    </w:r>
    <w:r w:rsidRPr="00DE7812">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678" w:rsidRDefault="005C3678" w:rsidP="00BA3306">
      <w:pPr>
        <w:spacing w:before="0" w:after="0"/>
      </w:pPr>
      <w:r>
        <w:separator/>
      </w:r>
    </w:p>
    <w:p w:rsidR="005C3678" w:rsidRDefault="005C3678"/>
  </w:footnote>
  <w:footnote w:type="continuationSeparator" w:id="0">
    <w:p w:rsidR="005C3678" w:rsidRDefault="005C3678" w:rsidP="00BA3306">
      <w:pPr>
        <w:spacing w:before="0" w:after="0"/>
      </w:pPr>
      <w:r>
        <w:continuationSeparator/>
      </w:r>
    </w:p>
    <w:p w:rsidR="005C3678" w:rsidRDefault="005C3678"/>
  </w:footnote>
  <w:footnote w:id="1">
    <w:p w:rsidR="00D36516" w:rsidRPr="00563974" w:rsidRDefault="00D36516" w:rsidP="00E87B2C">
      <w:pPr>
        <w:pStyle w:val="FootnoteText"/>
        <w:rPr>
          <w:szCs w:val="18"/>
        </w:rPr>
      </w:pPr>
      <w:r w:rsidRPr="00563974">
        <w:rPr>
          <w:rStyle w:val="FootnoteReference"/>
          <w:szCs w:val="18"/>
        </w:rPr>
        <w:footnoteRef/>
      </w:r>
      <w:r w:rsidRPr="00563974">
        <w:rPr>
          <w:szCs w:val="18"/>
        </w:rPr>
        <w:t xml:space="preserve"> Alsop K, </w:t>
      </w:r>
      <w:proofErr w:type="spellStart"/>
      <w:r w:rsidRPr="00563974">
        <w:rPr>
          <w:szCs w:val="18"/>
        </w:rPr>
        <w:t>Fereday</w:t>
      </w:r>
      <w:proofErr w:type="spellEnd"/>
      <w:r w:rsidRPr="00563974">
        <w:rPr>
          <w:szCs w:val="18"/>
        </w:rPr>
        <w:t xml:space="preserve"> S, Meldrum C, </w:t>
      </w:r>
      <w:proofErr w:type="spellStart"/>
      <w:r w:rsidRPr="00563974">
        <w:rPr>
          <w:szCs w:val="18"/>
        </w:rPr>
        <w:t>deFazio</w:t>
      </w:r>
      <w:proofErr w:type="spellEnd"/>
      <w:r w:rsidRPr="00563974">
        <w:rPr>
          <w:szCs w:val="18"/>
        </w:rPr>
        <w:t xml:space="preserve"> A, Emmanuel C, George J, et al. BRCA mutation frequency and patterns of treatment response in BRCA mutation-positive women with ovarian cancer: a report from the Australian Ovarian Cancer Study Group. J </w:t>
      </w:r>
      <w:proofErr w:type="spellStart"/>
      <w:r w:rsidRPr="00563974">
        <w:rPr>
          <w:szCs w:val="18"/>
        </w:rPr>
        <w:t>Clin</w:t>
      </w:r>
      <w:proofErr w:type="spellEnd"/>
      <w:r w:rsidRPr="00563974">
        <w:rPr>
          <w:szCs w:val="18"/>
        </w:rPr>
        <w:t xml:space="preserve"> </w:t>
      </w:r>
      <w:proofErr w:type="spellStart"/>
      <w:r w:rsidRPr="00563974">
        <w:rPr>
          <w:szCs w:val="18"/>
        </w:rPr>
        <w:t>Oncol</w:t>
      </w:r>
      <w:proofErr w:type="spellEnd"/>
      <w:r w:rsidRPr="00563974">
        <w:rPr>
          <w:szCs w:val="18"/>
        </w:rPr>
        <w:t xml:space="preserve"> 2012 Jul 20</w:t>
      </w:r>
      <w:proofErr w:type="gramStart"/>
      <w:r w:rsidRPr="00563974">
        <w:rPr>
          <w:szCs w:val="18"/>
        </w:rPr>
        <w:t>;30</w:t>
      </w:r>
      <w:proofErr w:type="gramEnd"/>
      <w:r w:rsidRPr="00563974">
        <w:rPr>
          <w:szCs w:val="18"/>
        </w:rPr>
        <w:t>(21):2654-63.</w:t>
      </w:r>
    </w:p>
  </w:footnote>
  <w:footnote w:id="2">
    <w:p w:rsidR="00D36516" w:rsidRPr="00563974" w:rsidRDefault="00D36516" w:rsidP="00E87B2C">
      <w:pPr>
        <w:pStyle w:val="FootnoteText"/>
        <w:rPr>
          <w:szCs w:val="18"/>
        </w:rPr>
      </w:pPr>
      <w:r w:rsidRPr="00563974">
        <w:rPr>
          <w:rStyle w:val="FootnoteReference"/>
          <w:szCs w:val="18"/>
        </w:rPr>
        <w:footnoteRef/>
      </w:r>
      <w:r w:rsidRPr="00563974">
        <w:rPr>
          <w:szCs w:val="18"/>
        </w:rPr>
        <w:t xml:space="preserve">  Hennessy BT, </w:t>
      </w:r>
      <w:proofErr w:type="spellStart"/>
      <w:r w:rsidRPr="00563974">
        <w:rPr>
          <w:szCs w:val="18"/>
        </w:rPr>
        <w:t>Timms</w:t>
      </w:r>
      <w:proofErr w:type="spellEnd"/>
      <w:r w:rsidRPr="00563974">
        <w:rPr>
          <w:szCs w:val="18"/>
        </w:rPr>
        <w:t xml:space="preserve"> KM, Carey MS, </w:t>
      </w:r>
      <w:proofErr w:type="spellStart"/>
      <w:r w:rsidRPr="00563974">
        <w:rPr>
          <w:szCs w:val="18"/>
        </w:rPr>
        <w:t>Gutin</w:t>
      </w:r>
      <w:proofErr w:type="spellEnd"/>
      <w:r w:rsidRPr="00563974">
        <w:rPr>
          <w:szCs w:val="18"/>
        </w:rPr>
        <w:t xml:space="preserve"> A, Meyer LA, Flake DD, 2nd, et al. Somatic mutations in BRCA1 and BRCA2 could expand the number of patients that benefit from poly (ADP ribose) polymerase inhibitors in ovarian cancer.</w:t>
      </w:r>
      <w:r>
        <w:rPr>
          <w:szCs w:val="18"/>
        </w:rPr>
        <w:t xml:space="preserve"> Ibid. 2010 Aug </w:t>
      </w:r>
      <w:r w:rsidRPr="004D35EE">
        <w:rPr>
          <w:szCs w:val="18"/>
        </w:rPr>
        <w:t xml:space="preserve">J </w:t>
      </w:r>
      <w:proofErr w:type="spellStart"/>
      <w:r w:rsidRPr="004D35EE">
        <w:rPr>
          <w:szCs w:val="18"/>
        </w:rPr>
        <w:t>Clin</w:t>
      </w:r>
      <w:proofErr w:type="spellEnd"/>
      <w:r w:rsidRPr="004D35EE">
        <w:rPr>
          <w:szCs w:val="18"/>
        </w:rPr>
        <w:t xml:space="preserve"> </w:t>
      </w:r>
      <w:proofErr w:type="spellStart"/>
      <w:r w:rsidRPr="004D35EE">
        <w:rPr>
          <w:szCs w:val="18"/>
        </w:rPr>
        <w:t>Oncol</w:t>
      </w:r>
      <w:proofErr w:type="spellEnd"/>
      <w:r w:rsidRPr="004D35EE">
        <w:rPr>
          <w:szCs w:val="18"/>
        </w:rPr>
        <w:t xml:space="preserve"> 28(22): 3570-3576</w:t>
      </w:r>
    </w:p>
  </w:footnote>
  <w:footnote w:id="3">
    <w:p w:rsidR="00D36516" w:rsidRDefault="00D36516">
      <w:pPr>
        <w:pStyle w:val="FootnoteText"/>
      </w:pPr>
      <w:r>
        <w:rPr>
          <w:rStyle w:val="FootnoteReference"/>
        </w:rPr>
        <w:footnoteRef/>
      </w:r>
      <w:r>
        <w:t xml:space="preserve"> </w:t>
      </w:r>
      <w:proofErr w:type="spellStart"/>
      <w:r w:rsidRPr="009319F8">
        <w:rPr>
          <w:snapToGrid w:val="0"/>
          <w:sz w:val="20"/>
        </w:rPr>
        <w:t>Cherny</w:t>
      </w:r>
      <w:proofErr w:type="spellEnd"/>
      <w:r w:rsidRPr="009319F8">
        <w:rPr>
          <w:snapToGrid w:val="0"/>
          <w:sz w:val="20"/>
        </w:rPr>
        <w:t xml:space="preserve"> NI, Dafni U, </w:t>
      </w:r>
      <w:proofErr w:type="spellStart"/>
      <w:r w:rsidRPr="009319F8">
        <w:rPr>
          <w:snapToGrid w:val="0"/>
          <w:sz w:val="20"/>
        </w:rPr>
        <w:t>Bogaerts</w:t>
      </w:r>
      <w:proofErr w:type="spellEnd"/>
      <w:r w:rsidRPr="009319F8">
        <w:rPr>
          <w:snapToGrid w:val="0"/>
          <w:sz w:val="20"/>
        </w:rPr>
        <w:t xml:space="preserve"> J, et al: ESMO-Magnitude of Clinical Benefit Scale version 1.1. Annals of Oncology 28:2340-2366, 2017</w:t>
      </w:r>
    </w:p>
  </w:footnote>
  <w:footnote w:id="4">
    <w:p w:rsidR="00D36516" w:rsidRPr="00563974" w:rsidRDefault="00D36516" w:rsidP="000E37F0">
      <w:pPr>
        <w:shd w:val="clear" w:color="auto" w:fill="FFFFFF"/>
        <w:spacing w:before="100" w:beforeAutospacing="1" w:after="0"/>
        <w:contextualSpacing/>
        <w:jc w:val="left"/>
        <w:outlineLvl w:val="1"/>
        <w:rPr>
          <w:rFonts w:eastAsia="Times New Roman" w:cstheme="minorHAnsi"/>
          <w:color w:val="2A2A2A"/>
          <w:sz w:val="18"/>
          <w:szCs w:val="18"/>
          <w:lang w:val="en" w:eastAsia="en-AU"/>
        </w:rPr>
      </w:pPr>
      <w:r w:rsidRPr="00563974">
        <w:rPr>
          <w:rStyle w:val="FootnoteReference"/>
          <w:sz w:val="18"/>
          <w:szCs w:val="18"/>
        </w:rPr>
        <w:footnoteRef/>
      </w:r>
      <w:r w:rsidRPr="00563974">
        <w:rPr>
          <w:sz w:val="18"/>
          <w:szCs w:val="18"/>
        </w:rPr>
        <w:t xml:space="preserve"> Ray-</w:t>
      </w:r>
      <w:proofErr w:type="spellStart"/>
      <w:r w:rsidRPr="00563974">
        <w:rPr>
          <w:sz w:val="18"/>
          <w:szCs w:val="18"/>
        </w:rPr>
        <w:t>Coquard</w:t>
      </w:r>
      <w:proofErr w:type="spellEnd"/>
      <w:r w:rsidRPr="00563974">
        <w:rPr>
          <w:sz w:val="18"/>
          <w:szCs w:val="18"/>
        </w:rPr>
        <w:t xml:space="preserve">, I.L., </w:t>
      </w:r>
      <w:proofErr w:type="spellStart"/>
      <w:r w:rsidRPr="00563974">
        <w:rPr>
          <w:sz w:val="18"/>
          <w:szCs w:val="18"/>
        </w:rPr>
        <w:t>Pautier</w:t>
      </w:r>
      <w:proofErr w:type="spellEnd"/>
      <w:r w:rsidRPr="00563974">
        <w:rPr>
          <w:sz w:val="18"/>
          <w:szCs w:val="18"/>
        </w:rPr>
        <w:t xml:space="preserve">, P. et al. </w:t>
      </w:r>
      <w:r w:rsidRPr="00563974">
        <w:rPr>
          <w:rFonts w:eastAsia="Times New Roman" w:cstheme="minorHAnsi"/>
          <w:bCs/>
          <w:color w:val="2A2A2A"/>
          <w:kern w:val="36"/>
          <w:sz w:val="18"/>
          <w:szCs w:val="18"/>
          <w:lang w:val="en" w:eastAsia="en-AU"/>
        </w:rPr>
        <w:t xml:space="preserve">Phase III PAOLA-1/ENGOT-ov25 trial: </w:t>
      </w:r>
      <w:proofErr w:type="spellStart"/>
      <w:r w:rsidRPr="00563974">
        <w:rPr>
          <w:rFonts w:eastAsia="Times New Roman" w:cstheme="minorHAnsi"/>
          <w:bCs/>
          <w:color w:val="2A2A2A"/>
          <w:kern w:val="36"/>
          <w:sz w:val="18"/>
          <w:szCs w:val="18"/>
          <w:lang w:val="en" w:eastAsia="en-AU"/>
        </w:rPr>
        <w:t>Olaparib</w:t>
      </w:r>
      <w:proofErr w:type="spellEnd"/>
      <w:r w:rsidRPr="00563974">
        <w:rPr>
          <w:rFonts w:eastAsia="Times New Roman" w:cstheme="minorHAnsi"/>
          <w:bCs/>
          <w:color w:val="2A2A2A"/>
          <w:kern w:val="36"/>
          <w:sz w:val="18"/>
          <w:szCs w:val="18"/>
          <w:lang w:val="en" w:eastAsia="en-AU"/>
        </w:rPr>
        <w:t xml:space="preserve"> plus bevacizumab (</w:t>
      </w:r>
      <w:proofErr w:type="spellStart"/>
      <w:r w:rsidRPr="00563974">
        <w:rPr>
          <w:rFonts w:eastAsia="Times New Roman" w:cstheme="minorHAnsi"/>
          <w:bCs/>
          <w:color w:val="2A2A2A"/>
          <w:kern w:val="36"/>
          <w:sz w:val="18"/>
          <w:szCs w:val="18"/>
          <w:lang w:val="en" w:eastAsia="en-AU"/>
        </w:rPr>
        <w:t>bev</w:t>
      </w:r>
      <w:proofErr w:type="spellEnd"/>
      <w:r w:rsidRPr="00563974">
        <w:rPr>
          <w:rFonts w:eastAsia="Times New Roman" w:cstheme="minorHAnsi"/>
          <w:bCs/>
          <w:color w:val="2A2A2A"/>
          <w:kern w:val="36"/>
          <w:sz w:val="18"/>
          <w:szCs w:val="18"/>
          <w:lang w:val="en" w:eastAsia="en-AU"/>
        </w:rPr>
        <w:t>) as maintenance therapy in patients (pts) with newly diagnosed, advanced ovarian cancer (OC) treated with platinum-based chemotherapy (</w:t>
      </w:r>
      <w:proofErr w:type="spellStart"/>
      <w:r w:rsidRPr="00563974">
        <w:rPr>
          <w:rFonts w:eastAsia="Times New Roman" w:cstheme="minorHAnsi"/>
          <w:bCs/>
          <w:color w:val="2A2A2A"/>
          <w:kern w:val="36"/>
          <w:sz w:val="18"/>
          <w:szCs w:val="18"/>
          <w:lang w:val="en" w:eastAsia="en-AU"/>
        </w:rPr>
        <w:t>PCh</w:t>
      </w:r>
      <w:proofErr w:type="spellEnd"/>
      <w:r w:rsidRPr="00563974">
        <w:rPr>
          <w:rFonts w:eastAsia="Times New Roman" w:cstheme="minorHAnsi"/>
          <w:bCs/>
          <w:color w:val="2A2A2A"/>
          <w:kern w:val="36"/>
          <w:sz w:val="18"/>
          <w:szCs w:val="18"/>
          <w:lang w:val="en" w:eastAsia="en-AU"/>
        </w:rPr>
        <w:t xml:space="preserve">) plus </w:t>
      </w:r>
      <w:proofErr w:type="spellStart"/>
      <w:r w:rsidRPr="00563974">
        <w:rPr>
          <w:rFonts w:eastAsia="Times New Roman" w:cstheme="minorHAnsi"/>
          <w:bCs/>
          <w:color w:val="2A2A2A"/>
          <w:kern w:val="36"/>
          <w:sz w:val="18"/>
          <w:szCs w:val="18"/>
          <w:lang w:val="en" w:eastAsia="en-AU"/>
        </w:rPr>
        <w:t>bev</w:t>
      </w:r>
      <w:proofErr w:type="spellEnd"/>
      <w:r w:rsidRPr="00563974">
        <w:rPr>
          <w:rFonts w:eastAsia="Times New Roman" w:cstheme="minorHAnsi"/>
          <w:bCs/>
          <w:color w:val="2A2A2A"/>
          <w:kern w:val="36"/>
          <w:sz w:val="18"/>
          <w:szCs w:val="18"/>
          <w:lang w:val="en" w:eastAsia="en-AU"/>
        </w:rPr>
        <w:t xml:space="preserve">. </w:t>
      </w:r>
      <w:r w:rsidRPr="00563974">
        <w:rPr>
          <w:rFonts w:eastAsia="Times New Roman" w:cstheme="minorHAnsi"/>
          <w:i/>
          <w:iCs/>
          <w:color w:val="2A2A2A"/>
          <w:sz w:val="18"/>
          <w:szCs w:val="18"/>
          <w:lang w:val="en" w:eastAsia="en-AU"/>
        </w:rPr>
        <w:t>Annals of Oncology</w:t>
      </w:r>
      <w:r w:rsidRPr="00563974">
        <w:rPr>
          <w:rFonts w:eastAsia="Times New Roman" w:cstheme="minorHAnsi"/>
          <w:color w:val="2A2A2A"/>
          <w:sz w:val="18"/>
          <w:szCs w:val="18"/>
          <w:lang w:val="en" w:eastAsia="en-AU"/>
        </w:rPr>
        <w:t xml:space="preserve">, Volume 30, Issue Supplement_5, October 2019, mdz394.053, </w:t>
      </w:r>
      <w:hyperlink r:id="rId1" w:history="1">
        <w:r w:rsidRPr="00563974">
          <w:rPr>
            <w:rFonts w:eastAsia="Times New Roman" w:cstheme="minorHAnsi"/>
            <w:sz w:val="18"/>
            <w:szCs w:val="18"/>
            <w:lang w:val="en" w:eastAsia="en-AU"/>
          </w:rPr>
          <w:t>https://doi.org/10.1093/annonc/mdz394.053</w:t>
        </w:r>
      </w:hyperlink>
    </w:p>
  </w:footnote>
  <w:footnote w:id="5">
    <w:p w:rsidR="00D36516" w:rsidRPr="00563974" w:rsidRDefault="00D36516" w:rsidP="000E37F0">
      <w:pPr>
        <w:pStyle w:val="title1"/>
        <w:shd w:val="clear" w:color="auto" w:fill="FFFFFF"/>
        <w:rPr>
          <w:sz w:val="18"/>
          <w:szCs w:val="18"/>
        </w:rPr>
      </w:pPr>
      <w:r w:rsidRPr="00563974">
        <w:rPr>
          <w:rFonts w:asciiTheme="minorHAnsi" w:eastAsiaTheme="minorHAnsi" w:hAnsiTheme="minorHAnsi" w:cstheme="minorBidi"/>
          <w:sz w:val="18"/>
          <w:szCs w:val="18"/>
          <w:vertAlign w:val="superscript"/>
          <w:lang w:eastAsia="en-US"/>
        </w:rPr>
        <w:footnoteRef/>
      </w:r>
      <w:r w:rsidRPr="00563974">
        <w:rPr>
          <w:rFonts w:asciiTheme="minorHAnsi" w:eastAsiaTheme="minorHAnsi" w:hAnsiTheme="minorHAnsi" w:cstheme="minorBidi"/>
          <w:sz w:val="18"/>
          <w:szCs w:val="18"/>
          <w:lang w:eastAsia="en-US"/>
        </w:rPr>
        <w:t xml:space="preserve"> González-Martín A, </w:t>
      </w:r>
      <w:proofErr w:type="spellStart"/>
      <w:r w:rsidRPr="00563974">
        <w:rPr>
          <w:rFonts w:asciiTheme="minorHAnsi" w:eastAsiaTheme="minorHAnsi" w:hAnsiTheme="minorHAnsi" w:cstheme="minorBidi"/>
          <w:sz w:val="18"/>
          <w:szCs w:val="18"/>
          <w:lang w:eastAsia="en-US"/>
        </w:rPr>
        <w:t>Pothuri</w:t>
      </w:r>
      <w:proofErr w:type="spellEnd"/>
      <w:r w:rsidRPr="00563974">
        <w:rPr>
          <w:rFonts w:asciiTheme="minorHAnsi" w:eastAsiaTheme="minorHAnsi" w:hAnsiTheme="minorHAnsi" w:cstheme="minorBidi"/>
          <w:sz w:val="18"/>
          <w:szCs w:val="18"/>
          <w:lang w:eastAsia="en-US"/>
        </w:rPr>
        <w:t xml:space="preserve"> B et al. </w:t>
      </w:r>
      <w:proofErr w:type="spellStart"/>
      <w:r w:rsidRPr="00563974">
        <w:rPr>
          <w:rFonts w:asciiTheme="minorHAnsi" w:eastAsiaTheme="minorHAnsi" w:hAnsiTheme="minorHAnsi" w:cstheme="minorBidi"/>
          <w:sz w:val="18"/>
          <w:szCs w:val="18"/>
          <w:lang w:eastAsia="en-US"/>
        </w:rPr>
        <w:t>Niraparib</w:t>
      </w:r>
      <w:proofErr w:type="spellEnd"/>
      <w:r w:rsidRPr="00563974">
        <w:rPr>
          <w:rFonts w:asciiTheme="minorHAnsi" w:eastAsiaTheme="minorHAnsi" w:hAnsiTheme="minorHAnsi" w:cstheme="minorBidi"/>
          <w:sz w:val="18"/>
          <w:szCs w:val="18"/>
          <w:lang w:eastAsia="en-US"/>
        </w:rPr>
        <w:t xml:space="preserve"> in Patients with Newly Diagnosed Advanced Ovarian Cancer. </w:t>
      </w:r>
      <w:r w:rsidRPr="00563974">
        <w:rPr>
          <w:rFonts w:asciiTheme="minorHAnsi" w:eastAsiaTheme="minorHAnsi" w:hAnsiTheme="minorHAnsi" w:cstheme="minorBidi"/>
          <w:i/>
          <w:sz w:val="18"/>
          <w:szCs w:val="18"/>
          <w:lang w:eastAsia="en-US"/>
        </w:rPr>
        <w:t xml:space="preserve">N </w:t>
      </w:r>
      <w:proofErr w:type="spellStart"/>
      <w:r w:rsidRPr="00563974">
        <w:rPr>
          <w:rFonts w:asciiTheme="minorHAnsi" w:eastAsiaTheme="minorHAnsi" w:hAnsiTheme="minorHAnsi" w:cstheme="minorBidi"/>
          <w:i/>
          <w:sz w:val="18"/>
          <w:szCs w:val="18"/>
          <w:lang w:eastAsia="en-US"/>
        </w:rPr>
        <w:t>Engl</w:t>
      </w:r>
      <w:proofErr w:type="spellEnd"/>
      <w:r w:rsidRPr="00563974">
        <w:rPr>
          <w:rFonts w:asciiTheme="minorHAnsi" w:eastAsiaTheme="minorHAnsi" w:hAnsiTheme="minorHAnsi" w:cstheme="minorBidi"/>
          <w:i/>
          <w:sz w:val="18"/>
          <w:szCs w:val="18"/>
          <w:lang w:eastAsia="en-US"/>
        </w:rPr>
        <w:t xml:space="preserve"> J Med</w:t>
      </w:r>
      <w:r w:rsidRPr="00563974">
        <w:rPr>
          <w:rFonts w:asciiTheme="minorHAnsi" w:eastAsiaTheme="minorHAnsi" w:hAnsiTheme="minorHAnsi" w:cstheme="minorBidi"/>
          <w:sz w:val="18"/>
          <w:szCs w:val="18"/>
          <w:lang w:eastAsia="en-US"/>
        </w:rPr>
        <w:t xml:space="preserve">. 2019 Sep 28. </w:t>
      </w:r>
      <w:proofErr w:type="spellStart"/>
      <w:r w:rsidRPr="00563974">
        <w:rPr>
          <w:rFonts w:asciiTheme="minorHAnsi" w:eastAsiaTheme="minorHAnsi" w:hAnsiTheme="minorHAnsi" w:cstheme="minorBidi"/>
          <w:sz w:val="18"/>
          <w:szCs w:val="18"/>
          <w:lang w:eastAsia="en-US"/>
        </w:rPr>
        <w:t>doi</w:t>
      </w:r>
      <w:proofErr w:type="spellEnd"/>
      <w:r w:rsidRPr="00563974">
        <w:rPr>
          <w:rFonts w:asciiTheme="minorHAnsi" w:eastAsiaTheme="minorHAnsi" w:hAnsiTheme="minorHAnsi" w:cstheme="minorBidi"/>
          <w:sz w:val="18"/>
          <w:szCs w:val="18"/>
          <w:lang w:eastAsia="en-US"/>
        </w:rPr>
        <w:t>: 10.1056/NEJMoa1910962</w:t>
      </w:r>
    </w:p>
  </w:footnote>
  <w:footnote w:id="6">
    <w:p w:rsidR="00D36516" w:rsidRPr="00563974" w:rsidRDefault="00D36516" w:rsidP="000E37F0">
      <w:pPr>
        <w:pStyle w:val="HTMLPreformatted"/>
        <w:contextualSpacing/>
        <w:rPr>
          <w:rFonts w:asciiTheme="minorHAnsi" w:hAnsiTheme="minorHAnsi" w:cstheme="minorHAnsi"/>
          <w:bCs/>
          <w:color w:val="2A2A2A"/>
          <w:kern w:val="36"/>
          <w:sz w:val="18"/>
          <w:szCs w:val="18"/>
          <w:lang w:val="en"/>
        </w:rPr>
      </w:pPr>
      <w:r w:rsidRPr="00563974">
        <w:rPr>
          <w:rStyle w:val="FootnoteReference"/>
          <w:rFonts w:asciiTheme="minorHAnsi" w:hAnsiTheme="minorHAnsi" w:cstheme="minorHAnsi"/>
          <w:sz w:val="18"/>
          <w:szCs w:val="18"/>
        </w:rPr>
        <w:footnoteRef/>
      </w:r>
      <w:r w:rsidRPr="00563974">
        <w:rPr>
          <w:rFonts w:asciiTheme="minorHAnsi" w:eastAsiaTheme="minorHAnsi" w:hAnsiTheme="minorHAnsi" w:cstheme="minorHAnsi"/>
          <w:sz w:val="18"/>
          <w:szCs w:val="18"/>
          <w:lang w:eastAsia="en-US"/>
        </w:rPr>
        <w:t xml:space="preserve"> Coleman RL, Fleming GF et al. </w:t>
      </w:r>
      <w:proofErr w:type="spellStart"/>
      <w:r w:rsidRPr="00563974">
        <w:rPr>
          <w:rFonts w:asciiTheme="minorHAnsi" w:eastAsiaTheme="minorHAnsi" w:hAnsiTheme="minorHAnsi" w:cstheme="minorHAnsi"/>
          <w:sz w:val="18"/>
          <w:szCs w:val="18"/>
          <w:lang w:eastAsia="en-US"/>
        </w:rPr>
        <w:t>Veliparib</w:t>
      </w:r>
      <w:proofErr w:type="spellEnd"/>
      <w:r w:rsidRPr="00563974">
        <w:rPr>
          <w:rFonts w:asciiTheme="minorHAnsi" w:eastAsiaTheme="minorHAnsi" w:hAnsiTheme="minorHAnsi" w:cstheme="minorHAnsi"/>
          <w:sz w:val="18"/>
          <w:szCs w:val="18"/>
          <w:lang w:eastAsia="en-US"/>
        </w:rPr>
        <w:t xml:space="preserve"> with First-Line Chemotherapy and as Maintenance Therapy in Ovarian Cancer. </w:t>
      </w:r>
      <w:r w:rsidRPr="00563974">
        <w:rPr>
          <w:rFonts w:asciiTheme="minorHAnsi" w:eastAsiaTheme="minorHAnsi" w:hAnsiTheme="minorHAnsi" w:cstheme="minorHAnsi"/>
          <w:i/>
          <w:sz w:val="18"/>
          <w:szCs w:val="18"/>
          <w:lang w:eastAsia="en-US"/>
        </w:rPr>
        <w:t xml:space="preserve">N </w:t>
      </w:r>
      <w:proofErr w:type="spellStart"/>
      <w:r w:rsidRPr="00563974">
        <w:rPr>
          <w:rFonts w:asciiTheme="minorHAnsi" w:eastAsiaTheme="minorHAnsi" w:hAnsiTheme="minorHAnsi" w:cstheme="minorHAnsi"/>
          <w:i/>
          <w:sz w:val="18"/>
          <w:szCs w:val="18"/>
          <w:lang w:eastAsia="en-US"/>
        </w:rPr>
        <w:t>Engl</w:t>
      </w:r>
      <w:proofErr w:type="spellEnd"/>
      <w:r w:rsidRPr="00563974">
        <w:rPr>
          <w:rFonts w:asciiTheme="minorHAnsi" w:eastAsiaTheme="minorHAnsi" w:hAnsiTheme="minorHAnsi" w:cstheme="minorHAnsi"/>
          <w:i/>
          <w:sz w:val="18"/>
          <w:szCs w:val="18"/>
          <w:lang w:eastAsia="en-US"/>
        </w:rPr>
        <w:t xml:space="preserve"> J Med.</w:t>
      </w:r>
      <w:r w:rsidRPr="00563974">
        <w:rPr>
          <w:rFonts w:asciiTheme="minorHAnsi" w:eastAsiaTheme="minorHAnsi" w:hAnsiTheme="minorHAnsi" w:cstheme="minorHAnsi"/>
          <w:sz w:val="18"/>
          <w:szCs w:val="18"/>
          <w:lang w:eastAsia="en-US"/>
        </w:rPr>
        <w:t xml:space="preserve"> 2019 Sep 28. </w:t>
      </w:r>
      <w:proofErr w:type="spellStart"/>
      <w:proofErr w:type="gramStart"/>
      <w:r w:rsidRPr="00563974">
        <w:rPr>
          <w:rFonts w:asciiTheme="minorHAnsi" w:eastAsiaTheme="minorHAnsi" w:hAnsiTheme="minorHAnsi" w:cstheme="minorHAnsi"/>
          <w:sz w:val="18"/>
          <w:szCs w:val="18"/>
          <w:lang w:eastAsia="en-US"/>
        </w:rPr>
        <w:t>doi</w:t>
      </w:r>
      <w:proofErr w:type="spellEnd"/>
      <w:proofErr w:type="gramEnd"/>
      <w:r w:rsidRPr="00563974">
        <w:rPr>
          <w:rFonts w:asciiTheme="minorHAnsi" w:eastAsiaTheme="minorHAnsi" w:hAnsiTheme="minorHAnsi" w:cstheme="minorHAnsi"/>
          <w:sz w:val="18"/>
          <w:szCs w:val="18"/>
          <w:lang w:eastAsia="en-US"/>
        </w:rPr>
        <w:t>: 10.1056/NEJMoa1909707.</w:t>
      </w:r>
      <w:r w:rsidRPr="00563974">
        <w:rPr>
          <w:rFonts w:asciiTheme="minorHAnsi" w:hAnsiTheme="minorHAnsi" w:cstheme="minorHAnsi"/>
          <w:bCs/>
          <w:color w:val="2A2A2A"/>
          <w:kern w:val="36"/>
          <w:sz w:val="18"/>
          <w:szCs w:val="18"/>
          <w:lang w:val="en"/>
        </w:rPr>
        <w:t xml:space="preserve"> </w:t>
      </w:r>
    </w:p>
  </w:footnote>
  <w:footnote w:id="7">
    <w:p w:rsidR="00D36516" w:rsidRPr="00563974" w:rsidRDefault="00D36516" w:rsidP="00DA7AC6">
      <w:pPr>
        <w:pStyle w:val="FootnoteText"/>
        <w:rPr>
          <w:szCs w:val="18"/>
        </w:rPr>
      </w:pPr>
      <w:r w:rsidRPr="00563974">
        <w:rPr>
          <w:rStyle w:val="FootnoteReference"/>
          <w:szCs w:val="18"/>
        </w:rPr>
        <w:footnoteRef/>
      </w:r>
      <w:r w:rsidRPr="00563974">
        <w:rPr>
          <w:szCs w:val="18"/>
        </w:rPr>
        <w:t xml:space="preserve"> </w:t>
      </w:r>
      <w:proofErr w:type="spellStart"/>
      <w:r w:rsidRPr="00563974">
        <w:rPr>
          <w:szCs w:val="18"/>
        </w:rPr>
        <w:t>Havrilesky</w:t>
      </w:r>
      <w:proofErr w:type="spellEnd"/>
      <w:r w:rsidRPr="00563974">
        <w:rPr>
          <w:szCs w:val="18"/>
        </w:rPr>
        <w:t xml:space="preserve"> LJ, Broadwater G, Davis DM, Nolte KC, Barnett JC, Myers ER, et al. Determination of quality of life-related utilities for health states relevant to ovarian cancer diagnosis and treatment. </w:t>
      </w:r>
      <w:proofErr w:type="spellStart"/>
      <w:r w:rsidRPr="00563974">
        <w:rPr>
          <w:szCs w:val="18"/>
        </w:rPr>
        <w:t>Gynecol</w:t>
      </w:r>
      <w:proofErr w:type="spellEnd"/>
      <w:r w:rsidRPr="00563974">
        <w:rPr>
          <w:szCs w:val="18"/>
        </w:rPr>
        <w:t xml:space="preserve"> </w:t>
      </w:r>
      <w:proofErr w:type="spellStart"/>
      <w:r w:rsidRPr="00563974">
        <w:rPr>
          <w:szCs w:val="18"/>
        </w:rPr>
        <w:t>Oncol</w:t>
      </w:r>
      <w:proofErr w:type="spellEnd"/>
      <w:r w:rsidRPr="00563974">
        <w:rPr>
          <w:szCs w:val="18"/>
        </w:rPr>
        <w:t xml:space="preserve"> 2009 May</w:t>
      </w:r>
      <w:proofErr w:type="gramStart"/>
      <w:r w:rsidRPr="00563974">
        <w:rPr>
          <w:szCs w:val="18"/>
        </w:rPr>
        <w:t>;113</w:t>
      </w:r>
      <w:proofErr w:type="gramEnd"/>
      <w:r w:rsidRPr="00563974">
        <w:rPr>
          <w:szCs w:val="18"/>
        </w:rPr>
        <w:t>(2):216-20.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16" w:rsidRPr="00DE7812" w:rsidRDefault="00D36516" w:rsidP="00DE7812">
    <w:pPr>
      <w:pStyle w:val="Header"/>
      <w:jc w:val="center"/>
      <w:rPr>
        <w:i/>
      </w:rPr>
    </w:pPr>
    <w:r>
      <w:rPr>
        <w:i/>
      </w:rPr>
      <w:t xml:space="preserve">Public Summary Document </w:t>
    </w:r>
    <w:r w:rsidRPr="00DE7812">
      <w:rPr>
        <w:i/>
      </w:rPr>
      <w:t>– November 2019 PBAC Meeting</w:t>
    </w:r>
  </w:p>
  <w:p w:rsidR="00D36516" w:rsidRDefault="00D36516" w:rsidP="00002272">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D17E12"/>
    <w:multiLevelType w:val="hybridMultilevel"/>
    <w:tmpl w:val="5BF0612A"/>
    <w:lvl w:ilvl="0" w:tplc="BC103E24">
      <w:start w:val="1"/>
      <w:numFmt w:val="lowerRoman"/>
      <w:lvlText w:val="(%1)"/>
      <w:lvlJc w:val="left"/>
      <w:pPr>
        <w:ind w:left="1080" w:hanging="72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490F8C"/>
    <w:multiLevelType w:val="multilevel"/>
    <w:tmpl w:val="F370BBDC"/>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10456B9"/>
    <w:multiLevelType w:val="hybridMultilevel"/>
    <w:tmpl w:val="979CDA82"/>
    <w:lvl w:ilvl="0" w:tplc="616E1230">
      <w:start w:val="1"/>
      <w:numFmt w:val="bullet"/>
      <w:lvlText w:val="–"/>
      <w:lvlJc w:val="left"/>
      <w:pPr>
        <w:tabs>
          <w:tab w:val="num" w:pos="720"/>
        </w:tabs>
        <w:ind w:left="720" w:hanging="360"/>
      </w:pPr>
      <w:rPr>
        <w:rFonts w:ascii="Arial" w:hAnsi="Arial" w:hint="default"/>
      </w:rPr>
    </w:lvl>
    <w:lvl w:ilvl="1" w:tplc="40C075D8">
      <w:start w:val="1"/>
      <w:numFmt w:val="bullet"/>
      <w:lvlText w:val="–"/>
      <w:lvlJc w:val="left"/>
      <w:pPr>
        <w:tabs>
          <w:tab w:val="num" w:pos="1440"/>
        </w:tabs>
        <w:ind w:left="1440" w:hanging="360"/>
      </w:pPr>
      <w:rPr>
        <w:rFonts w:ascii="Arial" w:hAnsi="Arial" w:hint="default"/>
      </w:rPr>
    </w:lvl>
    <w:lvl w:ilvl="2" w:tplc="67685A12" w:tentative="1">
      <w:start w:val="1"/>
      <w:numFmt w:val="bullet"/>
      <w:lvlText w:val="–"/>
      <w:lvlJc w:val="left"/>
      <w:pPr>
        <w:tabs>
          <w:tab w:val="num" w:pos="2160"/>
        </w:tabs>
        <w:ind w:left="2160" w:hanging="360"/>
      </w:pPr>
      <w:rPr>
        <w:rFonts w:ascii="Arial" w:hAnsi="Arial" w:hint="default"/>
      </w:rPr>
    </w:lvl>
    <w:lvl w:ilvl="3" w:tplc="B8F66236" w:tentative="1">
      <w:start w:val="1"/>
      <w:numFmt w:val="bullet"/>
      <w:lvlText w:val="–"/>
      <w:lvlJc w:val="left"/>
      <w:pPr>
        <w:tabs>
          <w:tab w:val="num" w:pos="2880"/>
        </w:tabs>
        <w:ind w:left="2880" w:hanging="360"/>
      </w:pPr>
      <w:rPr>
        <w:rFonts w:ascii="Arial" w:hAnsi="Arial" w:hint="default"/>
      </w:rPr>
    </w:lvl>
    <w:lvl w:ilvl="4" w:tplc="0C7424DA" w:tentative="1">
      <w:start w:val="1"/>
      <w:numFmt w:val="bullet"/>
      <w:lvlText w:val="–"/>
      <w:lvlJc w:val="left"/>
      <w:pPr>
        <w:tabs>
          <w:tab w:val="num" w:pos="3600"/>
        </w:tabs>
        <w:ind w:left="3600" w:hanging="360"/>
      </w:pPr>
      <w:rPr>
        <w:rFonts w:ascii="Arial" w:hAnsi="Arial" w:hint="default"/>
      </w:rPr>
    </w:lvl>
    <w:lvl w:ilvl="5" w:tplc="2FEE4BDC" w:tentative="1">
      <w:start w:val="1"/>
      <w:numFmt w:val="bullet"/>
      <w:lvlText w:val="–"/>
      <w:lvlJc w:val="left"/>
      <w:pPr>
        <w:tabs>
          <w:tab w:val="num" w:pos="4320"/>
        </w:tabs>
        <w:ind w:left="4320" w:hanging="360"/>
      </w:pPr>
      <w:rPr>
        <w:rFonts w:ascii="Arial" w:hAnsi="Arial" w:hint="default"/>
      </w:rPr>
    </w:lvl>
    <w:lvl w:ilvl="6" w:tplc="9F669136" w:tentative="1">
      <w:start w:val="1"/>
      <w:numFmt w:val="bullet"/>
      <w:lvlText w:val="–"/>
      <w:lvlJc w:val="left"/>
      <w:pPr>
        <w:tabs>
          <w:tab w:val="num" w:pos="5040"/>
        </w:tabs>
        <w:ind w:left="5040" w:hanging="360"/>
      </w:pPr>
      <w:rPr>
        <w:rFonts w:ascii="Arial" w:hAnsi="Arial" w:hint="default"/>
      </w:rPr>
    </w:lvl>
    <w:lvl w:ilvl="7" w:tplc="46CA3A6A" w:tentative="1">
      <w:start w:val="1"/>
      <w:numFmt w:val="bullet"/>
      <w:lvlText w:val="–"/>
      <w:lvlJc w:val="left"/>
      <w:pPr>
        <w:tabs>
          <w:tab w:val="num" w:pos="5760"/>
        </w:tabs>
        <w:ind w:left="5760" w:hanging="360"/>
      </w:pPr>
      <w:rPr>
        <w:rFonts w:ascii="Arial" w:hAnsi="Arial" w:hint="default"/>
      </w:rPr>
    </w:lvl>
    <w:lvl w:ilvl="8" w:tplc="6FB853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575C58"/>
    <w:multiLevelType w:val="multilevel"/>
    <w:tmpl w:val="051E8F08"/>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5215E"/>
    <w:multiLevelType w:val="hybridMultilevel"/>
    <w:tmpl w:val="20C47E50"/>
    <w:lvl w:ilvl="0" w:tplc="357C5EF8">
      <w:start w:val="1"/>
      <w:numFmt w:val="bullet"/>
      <w:lvlText w:val=""/>
      <w:lvlJc w:val="left"/>
      <w:pPr>
        <w:ind w:left="720" w:hanging="360"/>
      </w:pPr>
      <w:rPr>
        <w:rFonts w:ascii="Symbol" w:hAnsi="Symbol" w:hint="default"/>
        <w:b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6359A4"/>
    <w:multiLevelType w:val="hybridMultilevel"/>
    <w:tmpl w:val="A3A47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4CE4EDD"/>
    <w:multiLevelType w:val="hybridMultilevel"/>
    <w:tmpl w:val="A3A47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4D033C"/>
    <w:multiLevelType w:val="multilevel"/>
    <w:tmpl w:val="A39414A8"/>
    <w:lvl w:ilvl="0">
      <w:start w:val="1"/>
      <w:numFmt w:val="decimal"/>
      <w:pStyle w:val="PBACESHeading1"/>
      <w:lvlText w:val="%1"/>
      <w:lvlJc w:val="left"/>
      <w:pPr>
        <w:ind w:left="720" w:hanging="720"/>
      </w:pPr>
      <w:rPr>
        <w:rFonts w:hint="default"/>
        <w:b/>
        <w:i w:val="0"/>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i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30262F"/>
    <w:multiLevelType w:val="hybridMultilevel"/>
    <w:tmpl w:val="A3A47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4"/>
  </w:num>
  <w:num w:numId="3">
    <w:abstractNumId w:val="17"/>
  </w:num>
  <w:num w:numId="4">
    <w:abstractNumId w:val="7"/>
  </w:num>
  <w:num w:numId="5">
    <w:abstractNumId w:val="5"/>
  </w:num>
  <w:num w:numId="6">
    <w:abstractNumId w:val="23"/>
  </w:num>
  <w:num w:numId="7">
    <w:abstractNumId w:val="18"/>
  </w:num>
  <w:num w:numId="8">
    <w:abstractNumId w:val="2"/>
  </w:num>
  <w:num w:numId="9">
    <w:abstractNumId w:val="13"/>
  </w:num>
  <w:num w:numId="10">
    <w:abstractNumId w:val="20"/>
  </w:num>
  <w:num w:numId="11">
    <w:abstractNumId w:val="1"/>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4"/>
  </w:num>
  <w:num w:numId="16">
    <w:abstractNumId w:val="25"/>
  </w:num>
  <w:num w:numId="17">
    <w:abstractNumId w:val="22"/>
  </w:num>
  <w:num w:numId="18">
    <w:abstractNumId w:val="21"/>
  </w:num>
  <w:num w:numId="19">
    <w:abstractNumId w:val="11"/>
  </w:num>
  <w:num w:numId="20">
    <w:abstractNumId w:val="9"/>
  </w:num>
  <w:num w:numId="21">
    <w:abstractNumId w:val="23"/>
  </w:num>
  <w:num w:numId="22">
    <w:abstractNumId w:val="23"/>
  </w:num>
  <w:num w:numId="23">
    <w:abstractNumId w:val="23"/>
  </w:num>
  <w:num w:numId="24">
    <w:abstractNumId w:val="19"/>
  </w:num>
  <w:num w:numId="25">
    <w:abstractNumId w:val="3"/>
  </w:num>
  <w:num w:numId="26">
    <w:abstractNumId w:val="0"/>
  </w:num>
  <w:num w:numId="27">
    <w:abstractNumId w:val="12"/>
  </w:num>
  <w:num w:numId="28">
    <w:abstractNumId w:val="15"/>
  </w:num>
  <w:num w:numId="29">
    <w:abstractNumId w:val="10"/>
  </w:num>
  <w:num w:numId="30">
    <w:abstractNumId w:val="23"/>
  </w:num>
  <w:num w:numId="31">
    <w:abstractNumId w:val="13"/>
  </w:num>
  <w:num w:numId="32">
    <w:abstractNumId w:val="17"/>
  </w:num>
  <w:num w:numId="33">
    <w:abstractNumId w:val="23"/>
  </w:num>
  <w:num w:numId="34">
    <w:abstractNumId w:val="23"/>
  </w:num>
  <w:num w:numId="35">
    <w:abstractNumId w:val="23"/>
  </w:num>
  <w:num w:numId="36">
    <w:abstractNumId w:val="23"/>
  </w:num>
  <w:num w:numId="37">
    <w:abstractNumId w:val="6"/>
  </w:num>
  <w:num w:numId="38">
    <w:abstractNumId w:val="8"/>
  </w:num>
  <w:num w:numId="39">
    <w:abstractNumId w:val="20"/>
  </w:num>
  <w:num w:numId="40">
    <w:abstractNumId w:val="23"/>
  </w:num>
  <w:num w:numId="41">
    <w:abstractNumId w:val="23"/>
  </w:num>
  <w:num w:numId="42">
    <w:abstractNumId w:val="23"/>
  </w:num>
  <w:num w:numId="43">
    <w:abstractNumId w:val="23"/>
  </w:num>
  <w:num w:numId="4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PBA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60616"/>
    <w:rsid w:val="00000CA1"/>
    <w:rsid w:val="00001AB4"/>
    <w:rsid w:val="00001C3A"/>
    <w:rsid w:val="00002272"/>
    <w:rsid w:val="00003324"/>
    <w:rsid w:val="0000394A"/>
    <w:rsid w:val="00003FF3"/>
    <w:rsid w:val="00004065"/>
    <w:rsid w:val="0000433A"/>
    <w:rsid w:val="0000540F"/>
    <w:rsid w:val="00005859"/>
    <w:rsid w:val="00005B12"/>
    <w:rsid w:val="00005E7E"/>
    <w:rsid w:val="000062E0"/>
    <w:rsid w:val="0000704A"/>
    <w:rsid w:val="0000719F"/>
    <w:rsid w:val="0001066F"/>
    <w:rsid w:val="0001281E"/>
    <w:rsid w:val="000131C9"/>
    <w:rsid w:val="00013222"/>
    <w:rsid w:val="0001340E"/>
    <w:rsid w:val="000134F5"/>
    <w:rsid w:val="00013525"/>
    <w:rsid w:val="00013762"/>
    <w:rsid w:val="00013FB3"/>
    <w:rsid w:val="00014DEB"/>
    <w:rsid w:val="00014E8A"/>
    <w:rsid w:val="00015193"/>
    <w:rsid w:val="0001548D"/>
    <w:rsid w:val="00015EA3"/>
    <w:rsid w:val="000162DB"/>
    <w:rsid w:val="00016B75"/>
    <w:rsid w:val="000170E1"/>
    <w:rsid w:val="000177B2"/>
    <w:rsid w:val="00017BC9"/>
    <w:rsid w:val="0002095B"/>
    <w:rsid w:val="00022D05"/>
    <w:rsid w:val="00022E25"/>
    <w:rsid w:val="00023183"/>
    <w:rsid w:val="00024500"/>
    <w:rsid w:val="000259EC"/>
    <w:rsid w:val="00026E6A"/>
    <w:rsid w:val="000304EF"/>
    <w:rsid w:val="00030A80"/>
    <w:rsid w:val="00030B83"/>
    <w:rsid w:val="00030D9F"/>
    <w:rsid w:val="00033CE1"/>
    <w:rsid w:val="00034252"/>
    <w:rsid w:val="00034404"/>
    <w:rsid w:val="00034978"/>
    <w:rsid w:val="0003497C"/>
    <w:rsid w:val="000357D1"/>
    <w:rsid w:val="000359BA"/>
    <w:rsid w:val="00035D09"/>
    <w:rsid w:val="00036101"/>
    <w:rsid w:val="000361C0"/>
    <w:rsid w:val="00036FAA"/>
    <w:rsid w:val="00037C5C"/>
    <w:rsid w:val="00037E83"/>
    <w:rsid w:val="00041CC0"/>
    <w:rsid w:val="00041CC1"/>
    <w:rsid w:val="0004250D"/>
    <w:rsid w:val="00043B80"/>
    <w:rsid w:val="0004441D"/>
    <w:rsid w:val="0004541D"/>
    <w:rsid w:val="00045A5F"/>
    <w:rsid w:val="000461CF"/>
    <w:rsid w:val="0004758F"/>
    <w:rsid w:val="0004781D"/>
    <w:rsid w:val="00047B00"/>
    <w:rsid w:val="00047F1E"/>
    <w:rsid w:val="00050403"/>
    <w:rsid w:val="00050DC3"/>
    <w:rsid w:val="00052099"/>
    <w:rsid w:val="000522EE"/>
    <w:rsid w:val="00052BCD"/>
    <w:rsid w:val="00052DD0"/>
    <w:rsid w:val="00054171"/>
    <w:rsid w:val="00055DCD"/>
    <w:rsid w:val="000574E2"/>
    <w:rsid w:val="00057517"/>
    <w:rsid w:val="000578D9"/>
    <w:rsid w:val="00057F71"/>
    <w:rsid w:val="00060CCE"/>
    <w:rsid w:val="00060E0F"/>
    <w:rsid w:val="00061A69"/>
    <w:rsid w:val="00062018"/>
    <w:rsid w:val="00062067"/>
    <w:rsid w:val="00062091"/>
    <w:rsid w:val="0006287B"/>
    <w:rsid w:val="0006442F"/>
    <w:rsid w:val="000648A5"/>
    <w:rsid w:val="00064D04"/>
    <w:rsid w:val="000652CA"/>
    <w:rsid w:val="00065B7E"/>
    <w:rsid w:val="00065C62"/>
    <w:rsid w:val="00065CDE"/>
    <w:rsid w:val="00065F4A"/>
    <w:rsid w:val="00066D9D"/>
    <w:rsid w:val="000676E5"/>
    <w:rsid w:val="000677DE"/>
    <w:rsid w:val="000678E4"/>
    <w:rsid w:val="00067D2A"/>
    <w:rsid w:val="00067F23"/>
    <w:rsid w:val="0007063B"/>
    <w:rsid w:val="000708AA"/>
    <w:rsid w:val="0007091A"/>
    <w:rsid w:val="00070D75"/>
    <w:rsid w:val="00071160"/>
    <w:rsid w:val="00072A96"/>
    <w:rsid w:val="00074CD7"/>
    <w:rsid w:val="00076B7E"/>
    <w:rsid w:val="000803BB"/>
    <w:rsid w:val="00080FF3"/>
    <w:rsid w:val="00082868"/>
    <w:rsid w:val="00082FFD"/>
    <w:rsid w:val="000838BD"/>
    <w:rsid w:val="00083B92"/>
    <w:rsid w:val="000847FE"/>
    <w:rsid w:val="00084B18"/>
    <w:rsid w:val="000853CB"/>
    <w:rsid w:val="00085754"/>
    <w:rsid w:val="00086133"/>
    <w:rsid w:val="000862B5"/>
    <w:rsid w:val="00086974"/>
    <w:rsid w:val="00086C6E"/>
    <w:rsid w:val="000908C6"/>
    <w:rsid w:val="00091BDA"/>
    <w:rsid w:val="00092727"/>
    <w:rsid w:val="00092945"/>
    <w:rsid w:val="00093184"/>
    <w:rsid w:val="00094CDE"/>
    <w:rsid w:val="0009688E"/>
    <w:rsid w:val="00096AA9"/>
    <w:rsid w:val="00096BCD"/>
    <w:rsid w:val="00096E4B"/>
    <w:rsid w:val="000A01F2"/>
    <w:rsid w:val="000A0E37"/>
    <w:rsid w:val="000A1F7B"/>
    <w:rsid w:val="000A2505"/>
    <w:rsid w:val="000A2694"/>
    <w:rsid w:val="000A2EF1"/>
    <w:rsid w:val="000A3006"/>
    <w:rsid w:val="000A320D"/>
    <w:rsid w:val="000A3D99"/>
    <w:rsid w:val="000A3F4C"/>
    <w:rsid w:val="000A6AFF"/>
    <w:rsid w:val="000A6FBD"/>
    <w:rsid w:val="000A7333"/>
    <w:rsid w:val="000A7AB7"/>
    <w:rsid w:val="000A7DFF"/>
    <w:rsid w:val="000A7EA5"/>
    <w:rsid w:val="000A7EE6"/>
    <w:rsid w:val="000B1F38"/>
    <w:rsid w:val="000B2BE3"/>
    <w:rsid w:val="000B35EA"/>
    <w:rsid w:val="000B40E0"/>
    <w:rsid w:val="000B4F94"/>
    <w:rsid w:val="000B56CD"/>
    <w:rsid w:val="000B5B52"/>
    <w:rsid w:val="000B5EBF"/>
    <w:rsid w:val="000B6430"/>
    <w:rsid w:val="000B68D4"/>
    <w:rsid w:val="000B6B69"/>
    <w:rsid w:val="000B7AED"/>
    <w:rsid w:val="000C00C3"/>
    <w:rsid w:val="000C0142"/>
    <w:rsid w:val="000C11CC"/>
    <w:rsid w:val="000C174F"/>
    <w:rsid w:val="000C1F69"/>
    <w:rsid w:val="000C1FFA"/>
    <w:rsid w:val="000C223B"/>
    <w:rsid w:val="000C3563"/>
    <w:rsid w:val="000C3D6F"/>
    <w:rsid w:val="000C5087"/>
    <w:rsid w:val="000C5EE4"/>
    <w:rsid w:val="000C668E"/>
    <w:rsid w:val="000C6A40"/>
    <w:rsid w:val="000C7883"/>
    <w:rsid w:val="000C793A"/>
    <w:rsid w:val="000C7C20"/>
    <w:rsid w:val="000D0023"/>
    <w:rsid w:val="000D0A81"/>
    <w:rsid w:val="000D0EC2"/>
    <w:rsid w:val="000D169F"/>
    <w:rsid w:val="000D1AB4"/>
    <w:rsid w:val="000D299D"/>
    <w:rsid w:val="000D29C0"/>
    <w:rsid w:val="000D2BA0"/>
    <w:rsid w:val="000D2E56"/>
    <w:rsid w:val="000D39D8"/>
    <w:rsid w:val="000D39EF"/>
    <w:rsid w:val="000D3B38"/>
    <w:rsid w:val="000D4243"/>
    <w:rsid w:val="000D42A9"/>
    <w:rsid w:val="000D4DDD"/>
    <w:rsid w:val="000D57C9"/>
    <w:rsid w:val="000D5FF5"/>
    <w:rsid w:val="000D72AD"/>
    <w:rsid w:val="000E07CD"/>
    <w:rsid w:val="000E1E61"/>
    <w:rsid w:val="000E2B33"/>
    <w:rsid w:val="000E37F0"/>
    <w:rsid w:val="000E3C90"/>
    <w:rsid w:val="000E43C8"/>
    <w:rsid w:val="000E4922"/>
    <w:rsid w:val="000E6580"/>
    <w:rsid w:val="000E7019"/>
    <w:rsid w:val="000E7D72"/>
    <w:rsid w:val="000E7EC9"/>
    <w:rsid w:val="000F0B1F"/>
    <w:rsid w:val="000F14EE"/>
    <w:rsid w:val="000F1737"/>
    <w:rsid w:val="000F243A"/>
    <w:rsid w:val="000F2534"/>
    <w:rsid w:val="000F313A"/>
    <w:rsid w:val="000F3652"/>
    <w:rsid w:val="000F3F93"/>
    <w:rsid w:val="000F417D"/>
    <w:rsid w:val="000F5185"/>
    <w:rsid w:val="000F5909"/>
    <w:rsid w:val="000F79E1"/>
    <w:rsid w:val="00100707"/>
    <w:rsid w:val="0010086D"/>
    <w:rsid w:val="001013E2"/>
    <w:rsid w:val="001018A8"/>
    <w:rsid w:val="001020EB"/>
    <w:rsid w:val="00102216"/>
    <w:rsid w:val="00104A1D"/>
    <w:rsid w:val="001059D6"/>
    <w:rsid w:val="0010656D"/>
    <w:rsid w:val="00106990"/>
    <w:rsid w:val="001069D1"/>
    <w:rsid w:val="00106AD5"/>
    <w:rsid w:val="00110E06"/>
    <w:rsid w:val="00110FC7"/>
    <w:rsid w:val="001117DA"/>
    <w:rsid w:val="00111951"/>
    <w:rsid w:val="001119FD"/>
    <w:rsid w:val="00112F1A"/>
    <w:rsid w:val="001132A1"/>
    <w:rsid w:val="001133E0"/>
    <w:rsid w:val="0011390D"/>
    <w:rsid w:val="00113CFD"/>
    <w:rsid w:val="00115FE8"/>
    <w:rsid w:val="00116FEE"/>
    <w:rsid w:val="001170FC"/>
    <w:rsid w:val="0011718F"/>
    <w:rsid w:val="00117467"/>
    <w:rsid w:val="00122C04"/>
    <w:rsid w:val="00122D91"/>
    <w:rsid w:val="001244FE"/>
    <w:rsid w:val="0012523C"/>
    <w:rsid w:val="00125673"/>
    <w:rsid w:val="001259B8"/>
    <w:rsid w:val="00125FF1"/>
    <w:rsid w:val="0012701F"/>
    <w:rsid w:val="001278E5"/>
    <w:rsid w:val="001279AE"/>
    <w:rsid w:val="0013011B"/>
    <w:rsid w:val="00131018"/>
    <w:rsid w:val="001323D6"/>
    <w:rsid w:val="00133252"/>
    <w:rsid w:val="00133B1C"/>
    <w:rsid w:val="00134E1C"/>
    <w:rsid w:val="00135050"/>
    <w:rsid w:val="00135CE2"/>
    <w:rsid w:val="00136399"/>
    <w:rsid w:val="001363BF"/>
    <w:rsid w:val="00136E76"/>
    <w:rsid w:val="00140656"/>
    <w:rsid w:val="00140A20"/>
    <w:rsid w:val="00140F0F"/>
    <w:rsid w:val="00141CCE"/>
    <w:rsid w:val="00141EFB"/>
    <w:rsid w:val="001433C0"/>
    <w:rsid w:val="001448D2"/>
    <w:rsid w:val="001468C6"/>
    <w:rsid w:val="00146C47"/>
    <w:rsid w:val="00147772"/>
    <w:rsid w:val="001500AA"/>
    <w:rsid w:val="00150212"/>
    <w:rsid w:val="00150D51"/>
    <w:rsid w:val="0015108D"/>
    <w:rsid w:val="0015150F"/>
    <w:rsid w:val="00151D03"/>
    <w:rsid w:val="00152635"/>
    <w:rsid w:val="001528B7"/>
    <w:rsid w:val="00152B66"/>
    <w:rsid w:val="00152D80"/>
    <w:rsid w:val="00154148"/>
    <w:rsid w:val="00154275"/>
    <w:rsid w:val="00154735"/>
    <w:rsid w:val="00162818"/>
    <w:rsid w:val="00162997"/>
    <w:rsid w:val="0016400E"/>
    <w:rsid w:val="00165A49"/>
    <w:rsid w:val="001667A9"/>
    <w:rsid w:val="00166D78"/>
    <w:rsid w:val="001673D4"/>
    <w:rsid w:val="00170127"/>
    <w:rsid w:val="001709D4"/>
    <w:rsid w:val="00171D76"/>
    <w:rsid w:val="001724F0"/>
    <w:rsid w:val="001727AE"/>
    <w:rsid w:val="00173101"/>
    <w:rsid w:val="00173577"/>
    <w:rsid w:val="001735CF"/>
    <w:rsid w:val="00173CAD"/>
    <w:rsid w:val="00173E55"/>
    <w:rsid w:val="00174099"/>
    <w:rsid w:val="00176318"/>
    <w:rsid w:val="00176658"/>
    <w:rsid w:val="00176AA5"/>
    <w:rsid w:val="001770A7"/>
    <w:rsid w:val="0017720E"/>
    <w:rsid w:val="001772CC"/>
    <w:rsid w:val="00177893"/>
    <w:rsid w:val="00177C8B"/>
    <w:rsid w:val="00177DA4"/>
    <w:rsid w:val="0018141A"/>
    <w:rsid w:val="00181840"/>
    <w:rsid w:val="00182606"/>
    <w:rsid w:val="0018373E"/>
    <w:rsid w:val="00183812"/>
    <w:rsid w:val="001839C0"/>
    <w:rsid w:val="00184221"/>
    <w:rsid w:val="0018443E"/>
    <w:rsid w:val="00184524"/>
    <w:rsid w:val="0018473F"/>
    <w:rsid w:val="00184D99"/>
    <w:rsid w:val="00184FC6"/>
    <w:rsid w:val="00185C35"/>
    <w:rsid w:val="00186307"/>
    <w:rsid w:val="001863F7"/>
    <w:rsid w:val="00186D9D"/>
    <w:rsid w:val="00186EBC"/>
    <w:rsid w:val="001901BE"/>
    <w:rsid w:val="0019076A"/>
    <w:rsid w:val="00190793"/>
    <w:rsid w:val="001916C0"/>
    <w:rsid w:val="00191E41"/>
    <w:rsid w:val="00191FA5"/>
    <w:rsid w:val="0019445D"/>
    <w:rsid w:val="00195914"/>
    <w:rsid w:val="00195DA4"/>
    <w:rsid w:val="00196A31"/>
    <w:rsid w:val="00197C32"/>
    <w:rsid w:val="00197D31"/>
    <w:rsid w:val="001A0014"/>
    <w:rsid w:val="001A0142"/>
    <w:rsid w:val="001A069B"/>
    <w:rsid w:val="001A0E25"/>
    <w:rsid w:val="001A12BF"/>
    <w:rsid w:val="001A132B"/>
    <w:rsid w:val="001A20DC"/>
    <w:rsid w:val="001A219F"/>
    <w:rsid w:val="001A2E97"/>
    <w:rsid w:val="001A2E9A"/>
    <w:rsid w:val="001A39C7"/>
    <w:rsid w:val="001A3DC9"/>
    <w:rsid w:val="001A3E38"/>
    <w:rsid w:val="001A488D"/>
    <w:rsid w:val="001A490C"/>
    <w:rsid w:val="001A60CC"/>
    <w:rsid w:val="001A737B"/>
    <w:rsid w:val="001A757A"/>
    <w:rsid w:val="001B0089"/>
    <w:rsid w:val="001B00CE"/>
    <w:rsid w:val="001B12A9"/>
    <w:rsid w:val="001B1C50"/>
    <w:rsid w:val="001B2429"/>
    <w:rsid w:val="001B2978"/>
    <w:rsid w:val="001B3A96"/>
    <w:rsid w:val="001B3E2A"/>
    <w:rsid w:val="001B4407"/>
    <w:rsid w:val="001B4E80"/>
    <w:rsid w:val="001B51E5"/>
    <w:rsid w:val="001B5B6B"/>
    <w:rsid w:val="001B6389"/>
    <w:rsid w:val="001B6C46"/>
    <w:rsid w:val="001B7C87"/>
    <w:rsid w:val="001C04CC"/>
    <w:rsid w:val="001C051E"/>
    <w:rsid w:val="001C06AA"/>
    <w:rsid w:val="001C310B"/>
    <w:rsid w:val="001C363B"/>
    <w:rsid w:val="001C4091"/>
    <w:rsid w:val="001C40A1"/>
    <w:rsid w:val="001C41C0"/>
    <w:rsid w:val="001C49AF"/>
    <w:rsid w:val="001C4DDB"/>
    <w:rsid w:val="001C5EEF"/>
    <w:rsid w:val="001C61BE"/>
    <w:rsid w:val="001C69D7"/>
    <w:rsid w:val="001C7497"/>
    <w:rsid w:val="001C796E"/>
    <w:rsid w:val="001C7D1B"/>
    <w:rsid w:val="001D0237"/>
    <w:rsid w:val="001D1290"/>
    <w:rsid w:val="001D3A33"/>
    <w:rsid w:val="001D4A80"/>
    <w:rsid w:val="001D501B"/>
    <w:rsid w:val="001D5D47"/>
    <w:rsid w:val="001D5DE3"/>
    <w:rsid w:val="001D62AE"/>
    <w:rsid w:val="001D62B4"/>
    <w:rsid w:val="001D62D4"/>
    <w:rsid w:val="001D6CBB"/>
    <w:rsid w:val="001E0779"/>
    <w:rsid w:val="001E0994"/>
    <w:rsid w:val="001E0B0D"/>
    <w:rsid w:val="001E0B81"/>
    <w:rsid w:val="001E0D30"/>
    <w:rsid w:val="001E14EC"/>
    <w:rsid w:val="001E1827"/>
    <w:rsid w:val="001E1C32"/>
    <w:rsid w:val="001E2491"/>
    <w:rsid w:val="001E25EC"/>
    <w:rsid w:val="001E2BCE"/>
    <w:rsid w:val="001E4979"/>
    <w:rsid w:val="001E4E98"/>
    <w:rsid w:val="001E5896"/>
    <w:rsid w:val="001E5918"/>
    <w:rsid w:val="001E635F"/>
    <w:rsid w:val="001E636F"/>
    <w:rsid w:val="001E6421"/>
    <w:rsid w:val="001E6FA5"/>
    <w:rsid w:val="001E71FC"/>
    <w:rsid w:val="001E7CA9"/>
    <w:rsid w:val="001F073C"/>
    <w:rsid w:val="001F0AC3"/>
    <w:rsid w:val="001F0D0A"/>
    <w:rsid w:val="001F0D66"/>
    <w:rsid w:val="001F11A4"/>
    <w:rsid w:val="001F1539"/>
    <w:rsid w:val="001F2912"/>
    <w:rsid w:val="001F2F47"/>
    <w:rsid w:val="001F3D43"/>
    <w:rsid w:val="001F4178"/>
    <w:rsid w:val="001F44BB"/>
    <w:rsid w:val="001F45D3"/>
    <w:rsid w:val="001F5652"/>
    <w:rsid w:val="001F5C48"/>
    <w:rsid w:val="001F66A3"/>
    <w:rsid w:val="001F6896"/>
    <w:rsid w:val="001F7081"/>
    <w:rsid w:val="00200296"/>
    <w:rsid w:val="0020032B"/>
    <w:rsid w:val="00200827"/>
    <w:rsid w:val="00201284"/>
    <w:rsid w:val="00201ADB"/>
    <w:rsid w:val="00203381"/>
    <w:rsid w:val="002033DD"/>
    <w:rsid w:val="0020356A"/>
    <w:rsid w:val="00204790"/>
    <w:rsid w:val="00204B6C"/>
    <w:rsid w:val="00204D5B"/>
    <w:rsid w:val="002055F8"/>
    <w:rsid w:val="002058E5"/>
    <w:rsid w:val="0020593B"/>
    <w:rsid w:val="00205E5E"/>
    <w:rsid w:val="00206C2B"/>
    <w:rsid w:val="0020717A"/>
    <w:rsid w:val="00207CB1"/>
    <w:rsid w:val="00207FA5"/>
    <w:rsid w:val="00210FAA"/>
    <w:rsid w:val="00211340"/>
    <w:rsid w:val="00211F51"/>
    <w:rsid w:val="0021232C"/>
    <w:rsid w:val="00212632"/>
    <w:rsid w:val="002133A3"/>
    <w:rsid w:val="002140B6"/>
    <w:rsid w:val="00214438"/>
    <w:rsid w:val="00214C98"/>
    <w:rsid w:val="00215787"/>
    <w:rsid w:val="0021584D"/>
    <w:rsid w:val="00215854"/>
    <w:rsid w:val="00215F41"/>
    <w:rsid w:val="00216816"/>
    <w:rsid w:val="002172DB"/>
    <w:rsid w:val="00217C59"/>
    <w:rsid w:val="002205EB"/>
    <w:rsid w:val="00220894"/>
    <w:rsid w:val="00220C92"/>
    <w:rsid w:val="00220FE5"/>
    <w:rsid w:val="0022112C"/>
    <w:rsid w:val="00221C98"/>
    <w:rsid w:val="002234A6"/>
    <w:rsid w:val="00225503"/>
    <w:rsid w:val="00225FCB"/>
    <w:rsid w:val="00227F30"/>
    <w:rsid w:val="00231862"/>
    <w:rsid w:val="00231BC2"/>
    <w:rsid w:val="00232C0A"/>
    <w:rsid w:val="00233296"/>
    <w:rsid w:val="00235C5D"/>
    <w:rsid w:val="00235E77"/>
    <w:rsid w:val="0023761C"/>
    <w:rsid w:val="00240830"/>
    <w:rsid w:val="002425EA"/>
    <w:rsid w:val="00242EA0"/>
    <w:rsid w:val="0024303A"/>
    <w:rsid w:val="00243246"/>
    <w:rsid w:val="00243685"/>
    <w:rsid w:val="00243F24"/>
    <w:rsid w:val="0024459C"/>
    <w:rsid w:val="00245AD1"/>
    <w:rsid w:val="00246BDF"/>
    <w:rsid w:val="00246D84"/>
    <w:rsid w:val="002470BB"/>
    <w:rsid w:val="002475AD"/>
    <w:rsid w:val="00252B11"/>
    <w:rsid w:val="002530E7"/>
    <w:rsid w:val="002532B4"/>
    <w:rsid w:val="0025487C"/>
    <w:rsid w:val="00254EEB"/>
    <w:rsid w:val="0025613F"/>
    <w:rsid w:val="0025636D"/>
    <w:rsid w:val="002572D7"/>
    <w:rsid w:val="00257C43"/>
    <w:rsid w:val="00257CB0"/>
    <w:rsid w:val="00257E30"/>
    <w:rsid w:val="00257F91"/>
    <w:rsid w:val="00261DC6"/>
    <w:rsid w:val="00262C13"/>
    <w:rsid w:val="002632F0"/>
    <w:rsid w:val="002640B7"/>
    <w:rsid w:val="00264623"/>
    <w:rsid w:val="00264755"/>
    <w:rsid w:val="00264773"/>
    <w:rsid w:val="00264E52"/>
    <w:rsid w:val="00265776"/>
    <w:rsid w:val="00265AC0"/>
    <w:rsid w:val="00266C3A"/>
    <w:rsid w:val="002672AE"/>
    <w:rsid w:val="00270795"/>
    <w:rsid w:val="00270BBC"/>
    <w:rsid w:val="00272E42"/>
    <w:rsid w:val="00274366"/>
    <w:rsid w:val="00274931"/>
    <w:rsid w:val="0027530F"/>
    <w:rsid w:val="0027575E"/>
    <w:rsid w:val="00275D0B"/>
    <w:rsid w:val="0027636C"/>
    <w:rsid w:val="00276C67"/>
    <w:rsid w:val="00276C8A"/>
    <w:rsid w:val="00277542"/>
    <w:rsid w:val="00277D40"/>
    <w:rsid w:val="00277E19"/>
    <w:rsid w:val="002801F4"/>
    <w:rsid w:val="002802EA"/>
    <w:rsid w:val="00280B5B"/>
    <w:rsid w:val="00280D8D"/>
    <w:rsid w:val="002811C7"/>
    <w:rsid w:val="00281A23"/>
    <w:rsid w:val="00281DCF"/>
    <w:rsid w:val="00282137"/>
    <w:rsid w:val="00282D28"/>
    <w:rsid w:val="002836DF"/>
    <w:rsid w:val="00283749"/>
    <w:rsid w:val="0028379F"/>
    <w:rsid w:val="00283BF1"/>
    <w:rsid w:val="00284634"/>
    <w:rsid w:val="002847E2"/>
    <w:rsid w:val="00284F6C"/>
    <w:rsid w:val="002852B3"/>
    <w:rsid w:val="002861AB"/>
    <w:rsid w:val="00287213"/>
    <w:rsid w:val="00287596"/>
    <w:rsid w:val="00287601"/>
    <w:rsid w:val="00287E1E"/>
    <w:rsid w:val="002923DF"/>
    <w:rsid w:val="00292849"/>
    <w:rsid w:val="0029289C"/>
    <w:rsid w:val="002928F4"/>
    <w:rsid w:val="00293CCA"/>
    <w:rsid w:val="002963D7"/>
    <w:rsid w:val="00297478"/>
    <w:rsid w:val="002A1088"/>
    <w:rsid w:val="002A20BA"/>
    <w:rsid w:val="002A215F"/>
    <w:rsid w:val="002A2633"/>
    <w:rsid w:val="002A2D88"/>
    <w:rsid w:val="002A302F"/>
    <w:rsid w:val="002A391F"/>
    <w:rsid w:val="002A4503"/>
    <w:rsid w:val="002A7847"/>
    <w:rsid w:val="002A78B9"/>
    <w:rsid w:val="002B05B8"/>
    <w:rsid w:val="002B0C00"/>
    <w:rsid w:val="002B30A5"/>
    <w:rsid w:val="002B373F"/>
    <w:rsid w:val="002B3987"/>
    <w:rsid w:val="002B4941"/>
    <w:rsid w:val="002B5376"/>
    <w:rsid w:val="002B5D74"/>
    <w:rsid w:val="002B5E45"/>
    <w:rsid w:val="002B67CA"/>
    <w:rsid w:val="002B6817"/>
    <w:rsid w:val="002B7ADB"/>
    <w:rsid w:val="002C00F5"/>
    <w:rsid w:val="002C1543"/>
    <w:rsid w:val="002C17C7"/>
    <w:rsid w:val="002C1ACD"/>
    <w:rsid w:val="002C1D2F"/>
    <w:rsid w:val="002C3C81"/>
    <w:rsid w:val="002C4C05"/>
    <w:rsid w:val="002C525D"/>
    <w:rsid w:val="002C7A71"/>
    <w:rsid w:val="002C7C13"/>
    <w:rsid w:val="002D0EF2"/>
    <w:rsid w:val="002D1086"/>
    <w:rsid w:val="002D1242"/>
    <w:rsid w:val="002D1CE1"/>
    <w:rsid w:val="002D23E6"/>
    <w:rsid w:val="002D24AC"/>
    <w:rsid w:val="002D288A"/>
    <w:rsid w:val="002D2EF0"/>
    <w:rsid w:val="002D2FCA"/>
    <w:rsid w:val="002D3099"/>
    <w:rsid w:val="002D32D5"/>
    <w:rsid w:val="002D3DAA"/>
    <w:rsid w:val="002D3ED8"/>
    <w:rsid w:val="002D559D"/>
    <w:rsid w:val="002D68B8"/>
    <w:rsid w:val="002D6C0A"/>
    <w:rsid w:val="002D7823"/>
    <w:rsid w:val="002E0370"/>
    <w:rsid w:val="002E4293"/>
    <w:rsid w:val="002E4849"/>
    <w:rsid w:val="002E4C2D"/>
    <w:rsid w:val="002E5285"/>
    <w:rsid w:val="002E5DEA"/>
    <w:rsid w:val="002E5F39"/>
    <w:rsid w:val="002E5FDA"/>
    <w:rsid w:val="002E6201"/>
    <w:rsid w:val="002E724A"/>
    <w:rsid w:val="002E734E"/>
    <w:rsid w:val="002F078A"/>
    <w:rsid w:val="002F0E88"/>
    <w:rsid w:val="002F26E6"/>
    <w:rsid w:val="002F2D47"/>
    <w:rsid w:val="002F2FD4"/>
    <w:rsid w:val="002F311E"/>
    <w:rsid w:val="002F313A"/>
    <w:rsid w:val="002F345B"/>
    <w:rsid w:val="002F442B"/>
    <w:rsid w:val="002F4515"/>
    <w:rsid w:val="002F47D1"/>
    <w:rsid w:val="002F486D"/>
    <w:rsid w:val="002F57E4"/>
    <w:rsid w:val="002F5DC8"/>
    <w:rsid w:val="002F5FB0"/>
    <w:rsid w:val="002F5FEC"/>
    <w:rsid w:val="002F71B8"/>
    <w:rsid w:val="002F71F4"/>
    <w:rsid w:val="003004FD"/>
    <w:rsid w:val="003014EC"/>
    <w:rsid w:val="003017DE"/>
    <w:rsid w:val="00301EA1"/>
    <w:rsid w:val="00301F26"/>
    <w:rsid w:val="003026DC"/>
    <w:rsid w:val="00302FCC"/>
    <w:rsid w:val="00303BEA"/>
    <w:rsid w:val="003053B5"/>
    <w:rsid w:val="00305EFC"/>
    <w:rsid w:val="003062AE"/>
    <w:rsid w:val="003064F5"/>
    <w:rsid w:val="00306B97"/>
    <w:rsid w:val="00307DB1"/>
    <w:rsid w:val="0031033B"/>
    <w:rsid w:val="00310373"/>
    <w:rsid w:val="00310E37"/>
    <w:rsid w:val="00311637"/>
    <w:rsid w:val="003120A6"/>
    <w:rsid w:val="0031242F"/>
    <w:rsid w:val="003126C9"/>
    <w:rsid w:val="003139FD"/>
    <w:rsid w:val="0031480D"/>
    <w:rsid w:val="00314BFC"/>
    <w:rsid w:val="00315514"/>
    <w:rsid w:val="003157DF"/>
    <w:rsid w:val="00315869"/>
    <w:rsid w:val="00316977"/>
    <w:rsid w:val="0031706C"/>
    <w:rsid w:val="00317E18"/>
    <w:rsid w:val="003208AE"/>
    <w:rsid w:val="00321264"/>
    <w:rsid w:val="00321AB9"/>
    <w:rsid w:val="00321DA3"/>
    <w:rsid w:val="00322ADC"/>
    <w:rsid w:val="00323CDD"/>
    <w:rsid w:val="00323D2D"/>
    <w:rsid w:val="00324141"/>
    <w:rsid w:val="003242A5"/>
    <w:rsid w:val="0032442E"/>
    <w:rsid w:val="00324657"/>
    <w:rsid w:val="00324B79"/>
    <w:rsid w:val="003254F2"/>
    <w:rsid w:val="00325984"/>
    <w:rsid w:val="00326313"/>
    <w:rsid w:val="00326B23"/>
    <w:rsid w:val="003300EF"/>
    <w:rsid w:val="0033044D"/>
    <w:rsid w:val="00331A16"/>
    <w:rsid w:val="0033247E"/>
    <w:rsid w:val="003324C7"/>
    <w:rsid w:val="003325B0"/>
    <w:rsid w:val="003331CF"/>
    <w:rsid w:val="0033373E"/>
    <w:rsid w:val="00333C84"/>
    <w:rsid w:val="00334ACF"/>
    <w:rsid w:val="00334EDA"/>
    <w:rsid w:val="00336893"/>
    <w:rsid w:val="00336E7F"/>
    <w:rsid w:val="00337304"/>
    <w:rsid w:val="003377D2"/>
    <w:rsid w:val="00341A14"/>
    <w:rsid w:val="00341FB6"/>
    <w:rsid w:val="00342267"/>
    <w:rsid w:val="0034267E"/>
    <w:rsid w:val="00345E01"/>
    <w:rsid w:val="00345FCC"/>
    <w:rsid w:val="00346666"/>
    <w:rsid w:val="00346A9B"/>
    <w:rsid w:val="00347343"/>
    <w:rsid w:val="003476F0"/>
    <w:rsid w:val="00347FE9"/>
    <w:rsid w:val="0035045D"/>
    <w:rsid w:val="00350DA4"/>
    <w:rsid w:val="00351381"/>
    <w:rsid w:val="00351A60"/>
    <w:rsid w:val="00352E6F"/>
    <w:rsid w:val="00353034"/>
    <w:rsid w:val="003530A6"/>
    <w:rsid w:val="00353343"/>
    <w:rsid w:val="00353627"/>
    <w:rsid w:val="00353AAE"/>
    <w:rsid w:val="003547B4"/>
    <w:rsid w:val="00355773"/>
    <w:rsid w:val="00355F72"/>
    <w:rsid w:val="00356208"/>
    <w:rsid w:val="00356B2C"/>
    <w:rsid w:val="003573B3"/>
    <w:rsid w:val="00357657"/>
    <w:rsid w:val="00357E32"/>
    <w:rsid w:val="00362D8C"/>
    <w:rsid w:val="003635DC"/>
    <w:rsid w:val="00363756"/>
    <w:rsid w:val="003639A6"/>
    <w:rsid w:val="00363E5F"/>
    <w:rsid w:val="00363F0A"/>
    <w:rsid w:val="003645D5"/>
    <w:rsid w:val="003678A3"/>
    <w:rsid w:val="003679AE"/>
    <w:rsid w:val="00367BC2"/>
    <w:rsid w:val="00367CB9"/>
    <w:rsid w:val="00370688"/>
    <w:rsid w:val="0037069F"/>
    <w:rsid w:val="003714BA"/>
    <w:rsid w:val="003719B4"/>
    <w:rsid w:val="00372D42"/>
    <w:rsid w:val="00373C5D"/>
    <w:rsid w:val="003740F6"/>
    <w:rsid w:val="0037425F"/>
    <w:rsid w:val="003747ED"/>
    <w:rsid w:val="00375F59"/>
    <w:rsid w:val="00376372"/>
    <w:rsid w:val="00377DFC"/>
    <w:rsid w:val="003805B1"/>
    <w:rsid w:val="00380668"/>
    <w:rsid w:val="00380DAE"/>
    <w:rsid w:val="00382183"/>
    <w:rsid w:val="003825BB"/>
    <w:rsid w:val="0038281C"/>
    <w:rsid w:val="00382FD6"/>
    <w:rsid w:val="00383D4F"/>
    <w:rsid w:val="00384FF2"/>
    <w:rsid w:val="0038516B"/>
    <w:rsid w:val="00385A64"/>
    <w:rsid w:val="0038614B"/>
    <w:rsid w:val="003869DB"/>
    <w:rsid w:val="00386D1A"/>
    <w:rsid w:val="00386FAA"/>
    <w:rsid w:val="00387684"/>
    <w:rsid w:val="0039045D"/>
    <w:rsid w:val="00391479"/>
    <w:rsid w:val="00391760"/>
    <w:rsid w:val="0039182E"/>
    <w:rsid w:val="00392AB4"/>
    <w:rsid w:val="0039342B"/>
    <w:rsid w:val="003934CB"/>
    <w:rsid w:val="0039404B"/>
    <w:rsid w:val="00394673"/>
    <w:rsid w:val="00394C83"/>
    <w:rsid w:val="003957F9"/>
    <w:rsid w:val="00396339"/>
    <w:rsid w:val="00397130"/>
    <w:rsid w:val="00397170"/>
    <w:rsid w:val="003A04B8"/>
    <w:rsid w:val="003A096A"/>
    <w:rsid w:val="003A09FF"/>
    <w:rsid w:val="003A2748"/>
    <w:rsid w:val="003A2A51"/>
    <w:rsid w:val="003A2BE2"/>
    <w:rsid w:val="003A3303"/>
    <w:rsid w:val="003A3391"/>
    <w:rsid w:val="003A3433"/>
    <w:rsid w:val="003A3A04"/>
    <w:rsid w:val="003A3C14"/>
    <w:rsid w:val="003A3F58"/>
    <w:rsid w:val="003A537E"/>
    <w:rsid w:val="003A660F"/>
    <w:rsid w:val="003A693E"/>
    <w:rsid w:val="003A6EBA"/>
    <w:rsid w:val="003A73EB"/>
    <w:rsid w:val="003A79A4"/>
    <w:rsid w:val="003B018B"/>
    <w:rsid w:val="003B095E"/>
    <w:rsid w:val="003B10FE"/>
    <w:rsid w:val="003B1948"/>
    <w:rsid w:val="003B2755"/>
    <w:rsid w:val="003B2858"/>
    <w:rsid w:val="003B2B5C"/>
    <w:rsid w:val="003B3072"/>
    <w:rsid w:val="003B3C35"/>
    <w:rsid w:val="003B4E49"/>
    <w:rsid w:val="003B4F19"/>
    <w:rsid w:val="003B527C"/>
    <w:rsid w:val="003B54EE"/>
    <w:rsid w:val="003B66A0"/>
    <w:rsid w:val="003B6767"/>
    <w:rsid w:val="003B6B3D"/>
    <w:rsid w:val="003B7303"/>
    <w:rsid w:val="003C0127"/>
    <w:rsid w:val="003C055D"/>
    <w:rsid w:val="003C0EAF"/>
    <w:rsid w:val="003C1607"/>
    <w:rsid w:val="003C1A9F"/>
    <w:rsid w:val="003C3EED"/>
    <w:rsid w:val="003C469E"/>
    <w:rsid w:val="003C4810"/>
    <w:rsid w:val="003C4CC1"/>
    <w:rsid w:val="003C54D2"/>
    <w:rsid w:val="003C6158"/>
    <w:rsid w:val="003C71DE"/>
    <w:rsid w:val="003C777E"/>
    <w:rsid w:val="003D05CD"/>
    <w:rsid w:val="003D11A9"/>
    <w:rsid w:val="003D1451"/>
    <w:rsid w:val="003D16DD"/>
    <w:rsid w:val="003D1FB3"/>
    <w:rsid w:val="003D2031"/>
    <w:rsid w:val="003D2A37"/>
    <w:rsid w:val="003D3E6A"/>
    <w:rsid w:val="003D3EFE"/>
    <w:rsid w:val="003D404F"/>
    <w:rsid w:val="003D601D"/>
    <w:rsid w:val="003D633E"/>
    <w:rsid w:val="003D6668"/>
    <w:rsid w:val="003D69EF"/>
    <w:rsid w:val="003D7887"/>
    <w:rsid w:val="003D7EDE"/>
    <w:rsid w:val="003E0EDB"/>
    <w:rsid w:val="003E11CA"/>
    <w:rsid w:val="003E1231"/>
    <w:rsid w:val="003E1B22"/>
    <w:rsid w:val="003E26FC"/>
    <w:rsid w:val="003E4708"/>
    <w:rsid w:val="003E4ABF"/>
    <w:rsid w:val="003E614F"/>
    <w:rsid w:val="003E6196"/>
    <w:rsid w:val="003E6475"/>
    <w:rsid w:val="003E679C"/>
    <w:rsid w:val="003E739E"/>
    <w:rsid w:val="003E7FF2"/>
    <w:rsid w:val="003F0062"/>
    <w:rsid w:val="003F0F94"/>
    <w:rsid w:val="003F105A"/>
    <w:rsid w:val="003F12E7"/>
    <w:rsid w:val="003F164E"/>
    <w:rsid w:val="003F20C0"/>
    <w:rsid w:val="003F2637"/>
    <w:rsid w:val="003F2CC6"/>
    <w:rsid w:val="003F2DF6"/>
    <w:rsid w:val="003F30E3"/>
    <w:rsid w:val="003F3EBD"/>
    <w:rsid w:val="003F57E6"/>
    <w:rsid w:val="003F6199"/>
    <w:rsid w:val="003F64AD"/>
    <w:rsid w:val="003F6517"/>
    <w:rsid w:val="003F6B2A"/>
    <w:rsid w:val="003F6CDF"/>
    <w:rsid w:val="003F78E4"/>
    <w:rsid w:val="0040019D"/>
    <w:rsid w:val="00401E77"/>
    <w:rsid w:val="00403325"/>
    <w:rsid w:val="004033BF"/>
    <w:rsid w:val="00403C6A"/>
    <w:rsid w:val="004044F2"/>
    <w:rsid w:val="00404B7C"/>
    <w:rsid w:val="00404C3E"/>
    <w:rsid w:val="00404D9E"/>
    <w:rsid w:val="004067E0"/>
    <w:rsid w:val="004070CB"/>
    <w:rsid w:val="004074E3"/>
    <w:rsid w:val="00407810"/>
    <w:rsid w:val="00410E61"/>
    <w:rsid w:val="004112C2"/>
    <w:rsid w:val="004127FD"/>
    <w:rsid w:val="00413543"/>
    <w:rsid w:val="00413FE6"/>
    <w:rsid w:val="00414623"/>
    <w:rsid w:val="00414755"/>
    <w:rsid w:val="0041498A"/>
    <w:rsid w:val="004149BF"/>
    <w:rsid w:val="00414FDC"/>
    <w:rsid w:val="00416479"/>
    <w:rsid w:val="0041685C"/>
    <w:rsid w:val="004170C7"/>
    <w:rsid w:val="00417581"/>
    <w:rsid w:val="00420540"/>
    <w:rsid w:val="00421450"/>
    <w:rsid w:val="004215CB"/>
    <w:rsid w:val="00422F23"/>
    <w:rsid w:val="00423F3A"/>
    <w:rsid w:val="00425029"/>
    <w:rsid w:val="004255BC"/>
    <w:rsid w:val="0042594C"/>
    <w:rsid w:val="00426090"/>
    <w:rsid w:val="00426C29"/>
    <w:rsid w:val="00426CF2"/>
    <w:rsid w:val="00426E20"/>
    <w:rsid w:val="00427525"/>
    <w:rsid w:val="00427E55"/>
    <w:rsid w:val="00430006"/>
    <w:rsid w:val="004300A2"/>
    <w:rsid w:val="00432CD2"/>
    <w:rsid w:val="00433123"/>
    <w:rsid w:val="00434816"/>
    <w:rsid w:val="00436046"/>
    <w:rsid w:val="004366FF"/>
    <w:rsid w:val="00437BB5"/>
    <w:rsid w:val="00440D09"/>
    <w:rsid w:val="00441231"/>
    <w:rsid w:val="0044125E"/>
    <w:rsid w:val="00442752"/>
    <w:rsid w:val="00443294"/>
    <w:rsid w:val="0044380D"/>
    <w:rsid w:val="004440FD"/>
    <w:rsid w:val="00444A7E"/>
    <w:rsid w:val="00444C24"/>
    <w:rsid w:val="00445193"/>
    <w:rsid w:val="00445A8E"/>
    <w:rsid w:val="00446F91"/>
    <w:rsid w:val="004523B0"/>
    <w:rsid w:val="004527E3"/>
    <w:rsid w:val="0045389C"/>
    <w:rsid w:val="00453BAE"/>
    <w:rsid w:val="00453D59"/>
    <w:rsid w:val="004548E9"/>
    <w:rsid w:val="00454CFA"/>
    <w:rsid w:val="00454FAC"/>
    <w:rsid w:val="004560B1"/>
    <w:rsid w:val="00456242"/>
    <w:rsid w:val="00456CC1"/>
    <w:rsid w:val="00460151"/>
    <w:rsid w:val="00460B6A"/>
    <w:rsid w:val="00460DDB"/>
    <w:rsid w:val="004619BB"/>
    <w:rsid w:val="00462DD3"/>
    <w:rsid w:val="00462DD4"/>
    <w:rsid w:val="00463272"/>
    <w:rsid w:val="004639CE"/>
    <w:rsid w:val="00464D48"/>
    <w:rsid w:val="00465690"/>
    <w:rsid w:val="00465D3F"/>
    <w:rsid w:val="0046600B"/>
    <w:rsid w:val="0046621E"/>
    <w:rsid w:val="00466664"/>
    <w:rsid w:val="00466B34"/>
    <w:rsid w:val="0047142D"/>
    <w:rsid w:val="00472D4D"/>
    <w:rsid w:val="00473128"/>
    <w:rsid w:val="0047396A"/>
    <w:rsid w:val="00473EBF"/>
    <w:rsid w:val="0047579B"/>
    <w:rsid w:val="00476300"/>
    <w:rsid w:val="00477133"/>
    <w:rsid w:val="0047791E"/>
    <w:rsid w:val="00481549"/>
    <w:rsid w:val="00482211"/>
    <w:rsid w:val="00483290"/>
    <w:rsid w:val="00486730"/>
    <w:rsid w:val="00486D08"/>
    <w:rsid w:val="004874DC"/>
    <w:rsid w:val="0048761C"/>
    <w:rsid w:val="004904A6"/>
    <w:rsid w:val="004908B7"/>
    <w:rsid w:val="00490A71"/>
    <w:rsid w:val="00491950"/>
    <w:rsid w:val="004919DD"/>
    <w:rsid w:val="00491D6A"/>
    <w:rsid w:val="0049210B"/>
    <w:rsid w:val="0049290A"/>
    <w:rsid w:val="004935EF"/>
    <w:rsid w:val="00493E8E"/>
    <w:rsid w:val="00494E97"/>
    <w:rsid w:val="00494F7C"/>
    <w:rsid w:val="004955D1"/>
    <w:rsid w:val="00496889"/>
    <w:rsid w:val="0049707B"/>
    <w:rsid w:val="004A0C6D"/>
    <w:rsid w:val="004A2DF5"/>
    <w:rsid w:val="004A485A"/>
    <w:rsid w:val="004A4EF3"/>
    <w:rsid w:val="004A5746"/>
    <w:rsid w:val="004A5A39"/>
    <w:rsid w:val="004A63DB"/>
    <w:rsid w:val="004A6B5F"/>
    <w:rsid w:val="004A71A5"/>
    <w:rsid w:val="004B0FD3"/>
    <w:rsid w:val="004B2557"/>
    <w:rsid w:val="004B2AA2"/>
    <w:rsid w:val="004B2E78"/>
    <w:rsid w:val="004B3C00"/>
    <w:rsid w:val="004B4E6B"/>
    <w:rsid w:val="004B5313"/>
    <w:rsid w:val="004B5A07"/>
    <w:rsid w:val="004B632D"/>
    <w:rsid w:val="004B6D84"/>
    <w:rsid w:val="004B7D80"/>
    <w:rsid w:val="004C01BA"/>
    <w:rsid w:val="004C06CD"/>
    <w:rsid w:val="004C09ED"/>
    <w:rsid w:val="004C1911"/>
    <w:rsid w:val="004C1D0C"/>
    <w:rsid w:val="004C20BA"/>
    <w:rsid w:val="004C2BA3"/>
    <w:rsid w:val="004C2BEB"/>
    <w:rsid w:val="004C2FF3"/>
    <w:rsid w:val="004C3220"/>
    <w:rsid w:val="004C39E3"/>
    <w:rsid w:val="004C3B63"/>
    <w:rsid w:val="004C4065"/>
    <w:rsid w:val="004C429B"/>
    <w:rsid w:val="004C445C"/>
    <w:rsid w:val="004C5F34"/>
    <w:rsid w:val="004C5F62"/>
    <w:rsid w:val="004C6A5B"/>
    <w:rsid w:val="004C7889"/>
    <w:rsid w:val="004D07B1"/>
    <w:rsid w:val="004D0F4C"/>
    <w:rsid w:val="004D1006"/>
    <w:rsid w:val="004D1E1E"/>
    <w:rsid w:val="004D31B2"/>
    <w:rsid w:val="004D3373"/>
    <w:rsid w:val="004D358D"/>
    <w:rsid w:val="004D35EE"/>
    <w:rsid w:val="004D37CC"/>
    <w:rsid w:val="004D395F"/>
    <w:rsid w:val="004D4543"/>
    <w:rsid w:val="004D45DF"/>
    <w:rsid w:val="004D5466"/>
    <w:rsid w:val="004D56F7"/>
    <w:rsid w:val="004D60F0"/>
    <w:rsid w:val="004D69FB"/>
    <w:rsid w:val="004D7B97"/>
    <w:rsid w:val="004D7F30"/>
    <w:rsid w:val="004E0BD1"/>
    <w:rsid w:val="004E0C0B"/>
    <w:rsid w:val="004E14ED"/>
    <w:rsid w:val="004E2125"/>
    <w:rsid w:val="004E21FF"/>
    <w:rsid w:val="004E22DE"/>
    <w:rsid w:val="004E3237"/>
    <w:rsid w:val="004E346E"/>
    <w:rsid w:val="004E506C"/>
    <w:rsid w:val="004E523C"/>
    <w:rsid w:val="004E5DAC"/>
    <w:rsid w:val="004E5F8F"/>
    <w:rsid w:val="004E6CFF"/>
    <w:rsid w:val="004E6D75"/>
    <w:rsid w:val="004E7486"/>
    <w:rsid w:val="004E7AD4"/>
    <w:rsid w:val="004F1802"/>
    <w:rsid w:val="004F1B90"/>
    <w:rsid w:val="004F250E"/>
    <w:rsid w:val="004F32F5"/>
    <w:rsid w:val="004F3480"/>
    <w:rsid w:val="004F3688"/>
    <w:rsid w:val="004F3AAE"/>
    <w:rsid w:val="004F40F8"/>
    <w:rsid w:val="004F43F7"/>
    <w:rsid w:val="004F4BDE"/>
    <w:rsid w:val="004F738D"/>
    <w:rsid w:val="004F7915"/>
    <w:rsid w:val="004F7CAC"/>
    <w:rsid w:val="004F7ECF"/>
    <w:rsid w:val="00500669"/>
    <w:rsid w:val="00500BFF"/>
    <w:rsid w:val="0050107D"/>
    <w:rsid w:val="005011DC"/>
    <w:rsid w:val="00501413"/>
    <w:rsid w:val="0050175A"/>
    <w:rsid w:val="00501EAE"/>
    <w:rsid w:val="00503D36"/>
    <w:rsid w:val="00503E77"/>
    <w:rsid w:val="00504DA3"/>
    <w:rsid w:val="005056B2"/>
    <w:rsid w:val="00506269"/>
    <w:rsid w:val="005066F2"/>
    <w:rsid w:val="00507ADD"/>
    <w:rsid w:val="00510DD6"/>
    <w:rsid w:val="00511320"/>
    <w:rsid w:val="005119C9"/>
    <w:rsid w:val="00512E23"/>
    <w:rsid w:val="00513692"/>
    <w:rsid w:val="00513888"/>
    <w:rsid w:val="005143F9"/>
    <w:rsid w:val="00514E56"/>
    <w:rsid w:val="00514E74"/>
    <w:rsid w:val="00515319"/>
    <w:rsid w:val="00515D7E"/>
    <w:rsid w:val="00516478"/>
    <w:rsid w:val="00516566"/>
    <w:rsid w:val="00516DEB"/>
    <w:rsid w:val="00517F51"/>
    <w:rsid w:val="00520927"/>
    <w:rsid w:val="005209D4"/>
    <w:rsid w:val="00520EED"/>
    <w:rsid w:val="00521000"/>
    <w:rsid w:val="005218C3"/>
    <w:rsid w:val="00521A53"/>
    <w:rsid w:val="00522E0F"/>
    <w:rsid w:val="0052310C"/>
    <w:rsid w:val="00524A49"/>
    <w:rsid w:val="00525054"/>
    <w:rsid w:val="005266CF"/>
    <w:rsid w:val="0052758B"/>
    <w:rsid w:val="00531C11"/>
    <w:rsid w:val="0053211C"/>
    <w:rsid w:val="0053350B"/>
    <w:rsid w:val="0053463A"/>
    <w:rsid w:val="00535A78"/>
    <w:rsid w:val="00535C74"/>
    <w:rsid w:val="005361AB"/>
    <w:rsid w:val="00536F32"/>
    <w:rsid w:val="0053737E"/>
    <w:rsid w:val="0053775C"/>
    <w:rsid w:val="00540C15"/>
    <w:rsid w:val="005416CF"/>
    <w:rsid w:val="00541D43"/>
    <w:rsid w:val="00542068"/>
    <w:rsid w:val="005420C0"/>
    <w:rsid w:val="00542C90"/>
    <w:rsid w:val="005439E5"/>
    <w:rsid w:val="00543AF9"/>
    <w:rsid w:val="00544030"/>
    <w:rsid w:val="00544A2A"/>
    <w:rsid w:val="00544C74"/>
    <w:rsid w:val="00544DE1"/>
    <w:rsid w:val="00545553"/>
    <w:rsid w:val="0054575F"/>
    <w:rsid w:val="00545978"/>
    <w:rsid w:val="00545B99"/>
    <w:rsid w:val="00546050"/>
    <w:rsid w:val="00546701"/>
    <w:rsid w:val="00547FC0"/>
    <w:rsid w:val="00550827"/>
    <w:rsid w:val="00550AC7"/>
    <w:rsid w:val="00551506"/>
    <w:rsid w:val="00551DCF"/>
    <w:rsid w:val="005521D0"/>
    <w:rsid w:val="0055323C"/>
    <w:rsid w:val="005535A0"/>
    <w:rsid w:val="0055532F"/>
    <w:rsid w:val="005558A9"/>
    <w:rsid w:val="00555E44"/>
    <w:rsid w:val="005570EC"/>
    <w:rsid w:val="00557331"/>
    <w:rsid w:val="005574FF"/>
    <w:rsid w:val="00557628"/>
    <w:rsid w:val="00557803"/>
    <w:rsid w:val="0055780A"/>
    <w:rsid w:val="00557B25"/>
    <w:rsid w:val="00560473"/>
    <w:rsid w:val="00560B4A"/>
    <w:rsid w:val="00560BC3"/>
    <w:rsid w:val="00560D41"/>
    <w:rsid w:val="00561396"/>
    <w:rsid w:val="005617DF"/>
    <w:rsid w:val="00561D24"/>
    <w:rsid w:val="00563974"/>
    <w:rsid w:val="0056429D"/>
    <w:rsid w:val="00564911"/>
    <w:rsid w:val="00564A06"/>
    <w:rsid w:val="00566926"/>
    <w:rsid w:val="00567780"/>
    <w:rsid w:val="0057257A"/>
    <w:rsid w:val="0057283F"/>
    <w:rsid w:val="0057324A"/>
    <w:rsid w:val="005738A6"/>
    <w:rsid w:val="00574889"/>
    <w:rsid w:val="00574EEC"/>
    <w:rsid w:val="005753F5"/>
    <w:rsid w:val="00575488"/>
    <w:rsid w:val="00576ADE"/>
    <w:rsid w:val="00577726"/>
    <w:rsid w:val="0057782B"/>
    <w:rsid w:val="005779D8"/>
    <w:rsid w:val="00577CFD"/>
    <w:rsid w:val="00577D56"/>
    <w:rsid w:val="00577DEF"/>
    <w:rsid w:val="00577F1A"/>
    <w:rsid w:val="0058114C"/>
    <w:rsid w:val="00581162"/>
    <w:rsid w:val="00581407"/>
    <w:rsid w:val="00581E46"/>
    <w:rsid w:val="00582388"/>
    <w:rsid w:val="005829C8"/>
    <w:rsid w:val="00582F35"/>
    <w:rsid w:val="0058300D"/>
    <w:rsid w:val="0058333C"/>
    <w:rsid w:val="00583B5A"/>
    <w:rsid w:val="00583BDD"/>
    <w:rsid w:val="005846CA"/>
    <w:rsid w:val="005850F2"/>
    <w:rsid w:val="00586E1B"/>
    <w:rsid w:val="00587579"/>
    <w:rsid w:val="0059032F"/>
    <w:rsid w:val="005904A4"/>
    <w:rsid w:val="00592FC3"/>
    <w:rsid w:val="00594318"/>
    <w:rsid w:val="00594409"/>
    <w:rsid w:val="00594EF5"/>
    <w:rsid w:val="00596C73"/>
    <w:rsid w:val="00596EB8"/>
    <w:rsid w:val="00597972"/>
    <w:rsid w:val="00597FAB"/>
    <w:rsid w:val="005A0238"/>
    <w:rsid w:val="005A182E"/>
    <w:rsid w:val="005A20C6"/>
    <w:rsid w:val="005A21C3"/>
    <w:rsid w:val="005A2660"/>
    <w:rsid w:val="005A2869"/>
    <w:rsid w:val="005A2C70"/>
    <w:rsid w:val="005A3080"/>
    <w:rsid w:val="005A3281"/>
    <w:rsid w:val="005A3C07"/>
    <w:rsid w:val="005A4C43"/>
    <w:rsid w:val="005A64A8"/>
    <w:rsid w:val="005A6C8F"/>
    <w:rsid w:val="005A6EA6"/>
    <w:rsid w:val="005A706B"/>
    <w:rsid w:val="005A73C6"/>
    <w:rsid w:val="005A74A0"/>
    <w:rsid w:val="005A78A1"/>
    <w:rsid w:val="005B00A3"/>
    <w:rsid w:val="005B104C"/>
    <w:rsid w:val="005B1567"/>
    <w:rsid w:val="005B1653"/>
    <w:rsid w:val="005B198C"/>
    <w:rsid w:val="005B1EB1"/>
    <w:rsid w:val="005B305D"/>
    <w:rsid w:val="005B3B77"/>
    <w:rsid w:val="005B4081"/>
    <w:rsid w:val="005B49F1"/>
    <w:rsid w:val="005B5DED"/>
    <w:rsid w:val="005B61EA"/>
    <w:rsid w:val="005B7417"/>
    <w:rsid w:val="005B757D"/>
    <w:rsid w:val="005B766F"/>
    <w:rsid w:val="005B78DD"/>
    <w:rsid w:val="005B7CFC"/>
    <w:rsid w:val="005C1488"/>
    <w:rsid w:val="005C1ABE"/>
    <w:rsid w:val="005C2085"/>
    <w:rsid w:val="005C2B72"/>
    <w:rsid w:val="005C3678"/>
    <w:rsid w:val="005C3691"/>
    <w:rsid w:val="005C3A10"/>
    <w:rsid w:val="005C407E"/>
    <w:rsid w:val="005C6A66"/>
    <w:rsid w:val="005C793C"/>
    <w:rsid w:val="005D0BC0"/>
    <w:rsid w:val="005D0BDF"/>
    <w:rsid w:val="005D1948"/>
    <w:rsid w:val="005D2ED5"/>
    <w:rsid w:val="005D3132"/>
    <w:rsid w:val="005D440D"/>
    <w:rsid w:val="005D5715"/>
    <w:rsid w:val="005D5BA1"/>
    <w:rsid w:val="005D697E"/>
    <w:rsid w:val="005D6D47"/>
    <w:rsid w:val="005E06C9"/>
    <w:rsid w:val="005E1122"/>
    <w:rsid w:val="005E1D95"/>
    <w:rsid w:val="005E3629"/>
    <w:rsid w:val="005E49B2"/>
    <w:rsid w:val="005E510C"/>
    <w:rsid w:val="005E53AF"/>
    <w:rsid w:val="005E6358"/>
    <w:rsid w:val="005E6E3E"/>
    <w:rsid w:val="005E78B0"/>
    <w:rsid w:val="005F0697"/>
    <w:rsid w:val="005F0AE8"/>
    <w:rsid w:val="005F1611"/>
    <w:rsid w:val="005F1FD6"/>
    <w:rsid w:val="005F2515"/>
    <w:rsid w:val="005F2A6B"/>
    <w:rsid w:val="005F3366"/>
    <w:rsid w:val="005F3A42"/>
    <w:rsid w:val="005F40C1"/>
    <w:rsid w:val="005F6F60"/>
    <w:rsid w:val="005F7FEC"/>
    <w:rsid w:val="00600A39"/>
    <w:rsid w:val="006013B1"/>
    <w:rsid w:val="00602248"/>
    <w:rsid w:val="006024D3"/>
    <w:rsid w:val="006034BD"/>
    <w:rsid w:val="006034C6"/>
    <w:rsid w:val="00604D2D"/>
    <w:rsid w:val="00606EF9"/>
    <w:rsid w:val="0060706A"/>
    <w:rsid w:val="006076D4"/>
    <w:rsid w:val="00607758"/>
    <w:rsid w:val="00610127"/>
    <w:rsid w:val="00610582"/>
    <w:rsid w:val="00610674"/>
    <w:rsid w:val="00610B42"/>
    <w:rsid w:val="00610D5E"/>
    <w:rsid w:val="006110E8"/>
    <w:rsid w:val="006112E3"/>
    <w:rsid w:val="006117B9"/>
    <w:rsid w:val="00611B0F"/>
    <w:rsid w:val="00611C91"/>
    <w:rsid w:val="00611D0C"/>
    <w:rsid w:val="00613467"/>
    <w:rsid w:val="00613AAF"/>
    <w:rsid w:val="00613AD1"/>
    <w:rsid w:val="006165C1"/>
    <w:rsid w:val="00616C35"/>
    <w:rsid w:val="00616C56"/>
    <w:rsid w:val="00617C60"/>
    <w:rsid w:val="0062027A"/>
    <w:rsid w:val="0062118B"/>
    <w:rsid w:val="006217D9"/>
    <w:rsid w:val="00621E3E"/>
    <w:rsid w:val="0062207D"/>
    <w:rsid w:val="00622C35"/>
    <w:rsid w:val="00623092"/>
    <w:rsid w:val="00623454"/>
    <w:rsid w:val="0062398E"/>
    <w:rsid w:val="006239BC"/>
    <w:rsid w:val="006239CA"/>
    <w:rsid w:val="00623DF6"/>
    <w:rsid w:val="00624315"/>
    <w:rsid w:val="006245AB"/>
    <w:rsid w:val="00624778"/>
    <w:rsid w:val="006251E1"/>
    <w:rsid w:val="0062545B"/>
    <w:rsid w:val="0062552A"/>
    <w:rsid w:val="0062726F"/>
    <w:rsid w:val="00627CBD"/>
    <w:rsid w:val="00630496"/>
    <w:rsid w:val="00632E6F"/>
    <w:rsid w:val="006332BE"/>
    <w:rsid w:val="00634D81"/>
    <w:rsid w:val="00636DB6"/>
    <w:rsid w:val="00637C5B"/>
    <w:rsid w:val="00640540"/>
    <w:rsid w:val="006408C3"/>
    <w:rsid w:val="00640E65"/>
    <w:rsid w:val="0064174E"/>
    <w:rsid w:val="00641B01"/>
    <w:rsid w:val="00641F9D"/>
    <w:rsid w:val="0064290C"/>
    <w:rsid w:val="0064344A"/>
    <w:rsid w:val="006436B7"/>
    <w:rsid w:val="006446CF"/>
    <w:rsid w:val="006447E7"/>
    <w:rsid w:val="006448C0"/>
    <w:rsid w:val="00644B1E"/>
    <w:rsid w:val="00645AA8"/>
    <w:rsid w:val="00645AB3"/>
    <w:rsid w:val="00645DDD"/>
    <w:rsid w:val="0064620D"/>
    <w:rsid w:val="00646D4C"/>
    <w:rsid w:val="0064719A"/>
    <w:rsid w:val="006472C6"/>
    <w:rsid w:val="006472CB"/>
    <w:rsid w:val="00647504"/>
    <w:rsid w:val="006500E8"/>
    <w:rsid w:val="006508E6"/>
    <w:rsid w:val="0065147A"/>
    <w:rsid w:val="0065226B"/>
    <w:rsid w:val="00652A13"/>
    <w:rsid w:val="00652A86"/>
    <w:rsid w:val="00654078"/>
    <w:rsid w:val="00655158"/>
    <w:rsid w:val="0065585E"/>
    <w:rsid w:val="00655D13"/>
    <w:rsid w:val="006560BD"/>
    <w:rsid w:val="00656A27"/>
    <w:rsid w:val="006573C9"/>
    <w:rsid w:val="00657754"/>
    <w:rsid w:val="006618AA"/>
    <w:rsid w:val="00662374"/>
    <w:rsid w:val="00662DFF"/>
    <w:rsid w:val="00664356"/>
    <w:rsid w:val="0066449A"/>
    <w:rsid w:val="006655BC"/>
    <w:rsid w:val="00665FC6"/>
    <w:rsid w:val="00666B13"/>
    <w:rsid w:val="00667104"/>
    <w:rsid w:val="00667287"/>
    <w:rsid w:val="0066794C"/>
    <w:rsid w:val="00667CBF"/>
    <w:rsid w:val="00667E3F"/>
    <w:rsid w:val="006716AC"/>
    <w:rsid w:val="00671EB2"/>
    <w:rsid w:val="00672120"/>
    <w:rsid w:val="006731D1"/>
    <w:rsid w:val="0067327D"/>
    <w:rsid w:val="00673352"/>
    <w:rsid w:val="00673843"/>
    <w:rsid w:val="006757DE"/>
    <w:rsid w:val="00675F29"/>
    <w:rsid w:val="00676038"/>
    <w:rsid w:val="00676F35"/>
    <w:rsid w:val="006770D5"/>
    <w:rsid w:val="0067746E"/>
    <w:rsid w:val="00677637"/>
    <w:rsid w:val="006801D7"/>
    <w:rsid w:val="00680CD4"/>
    <w:rsid w:val="00681C5B"/>
    <w:rsid w:val="0068339A"/>
    <w:rsid w:val="0068368C"/>
    <w:rsid w:val="0068446B"/>
    <w:rsid w:val="006852E4"/>
    <w:rsid w:val="00685537"/>
    <w:rsid w:val="006861BC"/>
    <w:rsid w:val="0068650C"/>
    <w:rsid w:val="00686A71"/>
    <w:rsid w:val="00686AF7"/>
    <w:rsid w:val="006871CB"/>
    <w:rsid w:val="006875E5"/>
    <w:rsid w:val="0069001C"/>
    <w:rsid w:val="0069071F"/>
    <w:rsid w:val="0069123E"/>
    <w:rsid w:val="00691913"/>
    <w:rsid w:val="00693399"/>
    <w:rsid w:val="0069357A"/>
    <w:rsid w:val="0069459C"/>
    <w:rsid w:val="006950C5"/>
    <w:rsid w:val="006956E0"/>
    <w:rsid w:val="0069779F"/>
    <w:rsid w:val="006A0217"/>
    <w:rsid w:val="006A138B"/>
    <w:rsid w:val="006A1569"/>
    <w:rsid w:val="006A15B9"/>
    <w:rsid w:val="006A2375"/>
    <w:rsid w:val="006A239D"/>
    <w:rsid w:val="006A35B9"/>
    <w:rsid w:val="006A40F6"/>
    <w:rsid w:val="006A4DE9"/>
    <w:rsid w:val="006A60FF"/>
    <w:rsid w:val="006B0480"/>
    <w:rsid w:val="006B07B1"/>
    <w:rsid w:val="006B0CD1"/>
    <w:rsid w:val="006B140A"/>
    <w:rsid w:val="006B2465"/>
    <w:rsid w:val="006B293C"/>
    <w:rsid w:val="006B4194"/>
    <w:rsid w:val="006B4C48"/>
    <w:rsid w:val="006B4F8C"/>
    <w:rsid w:val="006B5D29"/>
    <w:rsid w:val="006B6044"/>
    <w:rsid w:val="006B6DE4"/>
    <w:rsid w:val="006B75C1"/>
    <w:rsid w:val="006B77AE"/>
    <w:rsid w:val="006B7E57"/>
    <w:rsid w:val="006C014A"/>
    <w:rsid w:val="006C05C5"/>
    <w:rsid w:val="006C0974"/>
    <w:rsid w:val="006C1A50"/>
    <w:rsid w:val="006C231A"/>
    <w:rsid w:val="006C2873"/>
    <w:rsid w:val="006C43D2"/>
    <w:rsid w:val="006C4660"/>
    <w:rsid w:val="006C4906"/>
    <w:rsid w:val="006C5350"/>
    <w:rsid w:val="006C5B5F"/>
    <w:rsid w:val="006C6AA6"/>
    <w:rsid w:val="006C6B15"/>
    <w:rsid w:val="006C6BBB"/>
    <w:rsid w:val="006C73F1"/>
    <w:rsid w:val="006D077C"/>
    <w:rsid w:val="006D0CAD"/>
    <w:rsid w:val="006D0FDB"/>
    <w:rsid w:val="006D3271"/>
    <w:rsid w:val="006D33C5"/>
    <w:rsid w:val="006D4E1F"/>
    <w:rsid w:val="006D5018"/>
    <w:rsid w:val="006D5D03"/>
    <w:rsid w:val="006D5F43"/>
    <w:rsid w:val="006D708C"/>
    <w:rsid w:val="006D72BC"/>
    <w:rsid w:val="006D7AA7"/>
    <w:rsid w:val="006D7D25"/>
    <w:rsid w:val="006E0335"/>
    <w:rsid w:val="006E04BF"/>
    <w:rsid w:val="006E0EC9"/>
    <w:rsid w:val="006E3284"/>
    <w:rsid w:val="006E35D1"/>
    <w:rsid w:val="006E4F29"/>
    <w:rsid w:val="006E5F12"/>
    <w:rsid w:val="006E6429"/>
    <w:rsid w:val="006E6A32"/>
    <w:rsid w:val="006E7302"/>
    <w:rsid w:val="006E7FF3"/>
    <w:rsid w:val="006F0968"/>
    <w:rsid w:val="006F161E"/>
    <w:rsid w:val="006F1BB3"/>
    <w:rsid w:val="006F21CC"/>
    <w:rsid w:val="006F2A82"/>
    <w:rsid w:val="006F350A"/>
    <w:rsid w:val="006F3751"/>
    <w:rsid w:val="006F3D21"/>
    <w:rsid w:val="006F4363"/>
    <w:rsid w:val="006F4E82"/>
    <w:rsid w:val="006F5F0D"/>
    <w:rsid w:val="006F6B06"/>
    <w:rsid w:val="006F70DD"/>
    <w:rsid w:val="006F7250"/>
    <w:rsid w:val="006F7A01"/>
    <w:rsid w:val="007000F9"/>
    <w:rsid w:val="00700F60"/>
    <w:rsid w:val="00700FE7"/>
    <w:rsid w:val="007015D8"/>
    <w:rsid w:val="00701993"/>
    <w:rsid w:val="00703418"/>
    <w:rsid w:val="00703E81"/>
    <w:rsid w:val="00704999"/>
    <w:rsid w:val="00704B73"/>
    <w:rsid w:val="007057C5"/>
    <w:rsid w:val="00705960"/>
    <w:rsid w:val="007061AA"/>
    <w:rsid w:val="007063D3"/>
    <w:rsid w:val="007076CA"/>
    <w:rsid w:val="007101A8"/>
    <w:rsid w:val="00710485"/>
    <w:rsid w:val="007109D8"/>
    <w:rsid w:val="00712279"/>
    <w:rsid w:val="007127D1"/>
    <w:rsid w:val="00712B62"/>
    <w:rsid w:val="00712C73"/>
    <w:rsid w:val="0071362E"/>
    <w:rsid w:val="00714446"/>
    <w:rsid w:val="00714E0D"/>
    <w:rsid w:val="00715033"/>
    <w:rsid w:val="007164B6"/>
    <w:rsid w:val="007174EF"/>
    <w:rsid w:val="00717C8E"/>
    <w:rsid w:val="00717D90"/>
    <w:rsid w:val="00721F37"/>
    <w:rsid w:val="00722107"/>
    <w:rsid w:val="00722446"/>
    <w:rsid w:val="007225F8"/>
    <w:rsid w:val="00722854"/>
    <w:rsid w:val="00723297"/>
    <w:rsid w:val="00723E1E"/>
    <w:rsid w:val="00723F40"/>
    <w:rsid w:val="007240E4"/>
    <w:rsid w:val="00724857"/>
    <w:rsid w:val="00724930"/>
    <w:rsid w:val="00724C6B"/>
    <w:rsid w:val="007258CA"/>
    <w:rsid w:val="00727BC9"/>
    <w:rsid w:val="00730A15"/>
    <w:rsid w:val="00730D7F"/>
    <w:rsid w:val="007310F4"/>
    <w:rsid w:val="00732BA1"/>
    <w:rsid w:val="0073320B"/>
    <w:rsid w:val="0073344C"/>
    <w:rsid w:val="00733AC9"/>
    <w:rsid w:val="00734A44"/>
    <w:rsid w:val="007352B8"/>
    <w:rsid w:val="00735846"/>
    <w:rsid w:val="007366F5"/>
    <w:rsid w:val="0073717B"/>
    <w:rsid w:val="00737AC2"/>
    <w:rsid w:val="00737CB7"/>
    <w:rsid w:val="00737D21"/>
    <w:rsid w:val="00740733"/>
    <w:rsid w:val="007408F2"/>
    <w:rsid w:val="007415A6"/>
    <w:rsid w:val="00743B80"/>
    <w:rsid w:val="0074452C"/>
    <w:rsid w:val="00744C11"/>
    <w:rsid w:val="00744CA5"/>
    <w:rsid w:val="007451C0"/>
    <w:rsid w:val="00745526"/>
    <w:rsid w:val="0074610D"/>
    <w:rsid w:val="00746185"/>
    <w:rsid w:val="00746441"/>
    <w:rsid w:val="007475E2"/>
    <w:rsid w:val="007503C5"/>
    <w:rsid w:val="00750420"/>
    <w:rsid w:val="0075082C"/>
    <w:rsid w:val="007509A6"/>
    <w:rsid w:val="00750B5A"/>
    <w:rsid w:val="00751C6B"/>
    <w:rsid w:val="00751E4B"/>
    <w:rsid w:val="00751F15"/>
    <w:rsid w:val="00752EA3"/>
    <w:rsid w:val="00753133"/>
    <w:rsid w:val="0075318F"/>
    <w:rsid w:val="00754232"/>
    <w:rsid w:val="00754FA5"/>
    <w:rsid w:val="007553E7"/>
    <w:rsid w:val="00755AE6"/>
    <w:rsid w:val="00755B12"/>
    <w:rsid w:val="00760151"/>
    <w:rsid w:val="00761760"/>
    <w:rsid w:val="00761CBC"/>
    <w:rsid w:val="00763D79"/>
    <w:rsid w:val="0076446C"/>
    <w:rsid w:val="00764D08"/>
    <w:rsid w:val="007660B3"/>
    <w:rsid w:val="00766231"/>
    <w:rsid w:val="00767FE5"/>
    <w:rsid w:val="007701C2"/>
    <w:rsid w:val="00770966"/>
    <w:rsid w:val="00772613"/>
    <w:rsid w:val="0077291B"/>
    <w:rsid w:val="00772C70"/>
    <w:rsid w:val="00772D45"/>
    <w:rsid w:val="0077411D"/>
    <w:rsid w:val="00774DE3"/>
    <w:rsid w:val="00775432"/>
    <w:rsid w:val="00775465"/>
    <w:rsid w:val="0077548D"/>
    <w:rsid w:val="00775EEF"/>
    <w:rsid w:val="00777141"/>
    <w:rsid w:val="00780502"/>
    <w:rsid w:val="00781209"/>
    <w:rsid w:val="00781777"/>
    <w:rsid w:val="00781EC7"/>
    <w:rsid w:val="00781F4B"/>
    <w:rsid w:val="0078218C"/>
    <w:rsid w:val="007830C4"/>
    <w:rsid w:val="007837FC"/>
    <w:rsid w:val="00783ED7"/>
    <w:rsid w:val="007847FA"/>
    <w:rsid w:val="00787174"/>
    <w:rsid w:val="00787332"/>
    <w:rsid w:val="00787DC5"/>
    <w:rsid w:val="0079021A"/>
    <w:rsid w:val="00790640"/>
    <w:rsid w:val="00790910"/>
    <w:rsid w:val="00790BEB"/>
    <w:rsid w:val="00791DE1"/>
    <w:rsid w:val="00792460"/>
    <w:rsid w:val="0079375E"/>
    <w:rsid w:val="00793BEA"/>
    <w:rsid w:val="00794ACC"/>
    <w:rsid w:val="00794CEB"/>
    <w:rsid w:val="0079515E"/>
    <w:rsid w:val="00797D36"/>
    <w:rsid w:val="00797DC5"/>
    <w:rsid w:val="007A0667"/>
    <w:rsid w:val="007A0C94"/>
    <w:rsid w:val="007A253E"/>
    <w:rsid w:val="007A28A7"/>
    <w:rsid w:val="007A29DA"/>
    <w:rsid w:val="007A321D"/>
    <w:rsid w:val="007A37EA"/>
    <w:rsid w:val="007A3A8C"/>
    <w:rsid w:val="007A4500"/>
    <w:rsid w:val="007A49CB"/>
    <w:rsid w:val="007A5676"/>
    <w:rsid w:val="007A5FB6"/>
    <w:rsid w:val="007A61AF"/>
    <w:rsid w:val="007A6254"/>
    <w:rsid w:val="007A7661"/>
    <w:rsid w:val="007A7F30"/>
    <w:rsid w:val="007B03A2"/>
    <w:rsid w:val="007B09DA"/>
    <w:rsid w:val="007B0E0C"/>
    <w:rsid w:val="007B23AF"/>
    <w:rsid w:val="007B2AF8"/>
    <w:rsid w:val="007B3364"/>
    <w:rsid w:val="007B3D16"/>
    <w:rsid w:val="007B41C9"/>
    <w:rsid w:val="007B5453"/>
    <w:rsid w:val="007B5A65"/>
    <w:rsid w:val="007B6ADE"/>
    <w:rsid w:val="007B78C8"/>
    <w:rsid w:val="007B7D7D"/>
    <w:rsid w:val="007B7E35"/>
    <w:rsid w:val="007B7EAC"/>
    <w:rsid w:val="007C034C"/>
    <w:rsid w:val="007C0B81"/>
    <w:rsid w:val="007C0D0E"/>
    <w:rsid w:val="007C16CE"/>
    <w:rsid w:val="007C195A"/>
    <w:rsid w:val="007C1BB3"/>
    <w:rsid w:val="007C1DDF"/>
    <w:rsid w:val="007C26E5"/>
    <w:rsid w:val="007C3BDB"/>
    <w:rsid w:val="007C594A"/>
    <w:rsid w:val="007C6AA2"/>
    <w:rsid w:val="007C6B1D"/>
    <w:rsid w:val="007C720A"/>
    <w:rsid w:val="007C7499"/>
    <w:rsid w:val="007C7A69"/>
    <w:rsid w:val="007C7BB5"/>
    <w:rsid w:val="007D1092"/>
    <w:rsid w:val="007D118C"/>
    <w:rsid w:val="007D14D6"/>
    <w:rsid w:val="007D15AB"/>
    <w:rsid w:val="007D16F9"/>
    <w:rsid w:val="007D1924"/>
    <w:rsid w:val="007D2621"/>
    <w:rsid w:val="007D2D49"/>
    <w:rsid w:val="007D3D1F"/>
    <w:rsid w:val="007D46EB"/>
    <w:rsid w:val="007D4E43"/>
    <w:rsid w:val="007D510E"/>
    <w:rsid w:val="007D5CA8"/>
    <w:rsid w:val="007D6B57"/>
    <w:rsid w:val="007D6B9E"/>
    <w:rsid w:val="007D6C1F"/>
    <w:rsid w:val="007D6F06"/>
    <w:rsid w:val="007D771B"/>
    <w:rsid w:val="007E0CAF"/>
    <w:rsid w:val="007E285B"/>
    <w:rsid w:val="007E2E07"/>
    <w:rsid w:val="007E2F09"/>
    <w:rsid w:val="007E43B6"/>
    <w:rsid w:val="007E48C9"/>
    <w:rsid w:val="007E58EB"/>
    <w:rsid w:val="007E5ECD"/>
    <w:rsid w:val="007E6A3F"/>
    <w:rsid w:val="007E6F26"/>
    <w:rsid w:val="007F08CA"/>
    <w:rsid w:val="007F0CE5"/>
    <w:rsid w:val="007F10AE"/>
    <w:rsid w:val="007F1127"/>
    <w:rsid w:val="007F1265"/>
    <w:rsid w:val="007F1D8C"/>
    <w:rsid w:val="007F1E72"/>
    <w:rsid w:val="007F38D5"/>
    <w:rsid w:val="007F3B6E"/>
    <w:rsid w:val="007F3ECF"/>
    <w:rsid w:val="007F49F9"/>
    <w:rsid w:val="007F7AC2"/>
    <w:rsid w:val="007F7CC9"/>
    <w:rsid w:val="008012BD"/>
    <w:rsid w:val="0080177B"/>
    <w:rsid w:val="00801BB3"/>
    <w:rsid w:val="00802B63"/>
    <w:rsid w:val="008032AD"/>
    <w:rsid w:val="008036C8"/>
    <w:rsid w:val="00804320"/>
    <w:rsid w:val="008060E8"/>
    <w:rsid w:val="0080636E"/>
    <w:rsid w:val="00806434"/>
    <w:rsid w:val="00807559"/>
    <w:rsid w:val="00807791"/>
    <w:rsid w:val="008078FD"/>
    <w:rsid w:val="008113D5"/>
    <w:rsid w:val="008115C2"/>
    <w:rsid w:val="008117BF"/>
    <w:rsid w:val="00812216"/>
    <w:rsid w:val="008127AA"/>
    <w:rsid w:val="00813288"/>
    <w:rsid w:val="0081425B"/>
    <w:rsid w:val="008145F4"/>
    <w:rsid w:val="0081793F"/>
    <w:rsid w:val="00817C7C"/>
    <w:rsid w:val="008217C9"/>
    <w:rsid w:val="00821A29"/>
    <w:rsid w:val="00822615"/>
    <w:rsid w:val="00823233"/>
    <w:rsid w:val="00824426"/>
    <w:rsid w:val="00824B0E"/>
    <w:rsid w:val="00824C9D"/>
    <w:rsid w:val="00824E58"/>
    <w:rsid w:val="008253D8"/>
    <w:rsid w:val="008260B8"/>
    <w:rsid w:val="00826267"/>
    <w:rsid w:val="0082679B"/>
    <w:rsid w:val="00827126"/>
    <w:rsid w:val="00827914"/>
    <w:rsid w:val="00827CA7"/>
    <w:rsid w:val="00830592"/>
    <w:rsid w:val="00830597"/>
    <w:rsid w:val="00830E52"/>
    <w:rsid w:val="00831AD3"/>
    <w:rsid w:val="0083233F"/>
    <w:rsid w:val="008324E3"/>
    <w:rsid w:val="00833C1D"/>
    <w:rsid w:val="00833E59"/>
    <w:rsid w:val="00834EA3"/>
    <w:rsid w:val="00835898"/>
    <w:rsid w:val="00836A7A"/>
    <w:rsid w:val="00836C47"/>
    <w:rsid w:val="00836E8D"/>
    <w:rsid w:val="00837C79"/>
    <w:rsid w:val="00840368"/>
    <w:rsid w:val="0084088A"/>
    <w:rsid w:val="008408B8"/>
    <w:rsid w:val="00840DED"/>
    <w:rsid w:val="00840E49"/>
    <w:rsid w:val="00840FE0"/>
    <w:rsid w:val="0084177D"/>
    <w:rsid w:val="00842553"/>
    <w:rsid w:val="0084407D"/>
    <w:rsid w:val="00844347"/>
    <w:rsid w:val="0084437F"/>
    <w:rsid w:val="00844FD9"/>
    <w:rsid w:val="008450F3"/>
    <w:rsid w:val="008455D2"/>
    <w:rsid w:val="00845946"/>
    <w:rsid w:val="00846338"/>
    <w:rsid w:val="0084634E"/>
    <w:rsid w:val="008473B1"/>
    <w:rsid w:val="008476A0"/>
    <w:rsid w:val="0085041B"/>
    <w:rsid w:val="008508C3"/>
    <w:rsid w:val="008509E0"/>
    <w:rsid w:val="00851B5D"/>
    <w:rsid w:val="00851C5E"/>
    <w:rsid w:val="008521FF"/>
    <w:rsid w:val="00852F38"/>
    <w:rsid w:val="00854C0D"/>
    <w:rsid w:val="00854EF0"/>
    <w:rsid w:val="008553B3"/>
    <w:rsid w:val="0085669D"/>
    <w:rsid w:val="00856C34"/>
    <w:rsid w:val="00857007"/>
    <w:rsid w:val="0085741A"/>
    <w:rsid w:val="0085778B"/>
    <w:rsid w:val="00860836"/>
    <w:rsid w:val="00860904"/>
    <w:rsid w:val="00860F4C"/>
    <w:rsid w:val="0086103B"/>
    <w:rsid w:val="008621C6"/>
    <w:rsid w:val="00862B69"/>
    <w:rsid w:val="008631B5"/>
    <w:rsid w:val="00863787"/>
    <w:rsid w:val="00863CA9"/>
    <w:rsid w:val="00863E95"/>
    <w:rsid w:val="00863EDD"/>
    <w:rsid w:val="00864660"/>
    <w:rsid w:val="00864F6E"/>
    <w:rsid w:val="00865546"/>
    <w:rsid w:val="00865C36"/>
    <w:rsid w:val="00865DC1"/>
    <w:rsid w:val="00866644"/>
    <w:rsid w:val="008667C5"/>
    <w:rsid w:val="00866945"/>
    <w:rsid w:val="00867E67"/>
    <w:rsid w:val="00870112"/>
    <w:rsid w:val="008707F8"/>
    <w:rsid w:val="00870C8E"/>
    <w:rsid w:val="00871428"/>
    <w:rsid w:val="00871D66"/>
    <w:rsid w:val="00871D90"/>
    <w:rsid w:val="00872BAB"/>
    <w:rsid w:val="00872C12"/>
    <w:rsid w:val="00872F72"/>
    <w:rsid w:val="0087365A"/>
    <w:rsid w:val="008743C7"/>
    <w:rsid w:val="008746B7"/>
    <w:rsid w:val="00874D15"/>
    <w:rsid w:val="008750F9"/>
    <w:rsid w:val="0087515E"/>
    <w:rsid w:val="00875341"/>
    <w:rsid w:val="0087536F"/>
    <w:rsid w:val="00877353"/>
    <w:rsid w:val="00877574"/>
    <w:rsid w:val="00880A40"/>
    <w:rsid w:val="008810DB"/>
    <w:rsid w:val="00881C81"/>
    <w:rsid w:val="00882BD8"/>
    <w:rsid w:val="00882C06"/>
    <w:rsid w:val="00882CC7"/>
    <w:rsid w:val="00883747"/>
    <w:rsid w:val="00883BB8"/>
    <w:rsid w:val="00883CC3"/>
    <w:rsid w:val="0088483F"/>
    <w:rsid w:val="008849D0"/>
    <w:rsid w:val="008869F4"/>
    <w:rsid w:val="00886C04"/>
    <w:rsid w:val="008911CB"/>
    <w:rsid w:val="008920C5"/>
    <w:rsid w:val="008928F0"/>
    <w:rsid w:val="00893EEF"/>
    <w:rsid w:val="008943DD"/>
    <w:rsid w:val="00894958"/>
    <w:rsid w:val="00895BCF"/>
    <w:rsid w:val="00897203"/>
    <w:rsid w:val="008975A2"/>
    <w:rsid w:val="008979A3"/>
    <w:rsid w:val="00897B51"/>
    <w:rsid w:val="008A0C7F"/>
    <w:rsid w:val="008A122C"/>
    <w:rsid w:val="008A12B3"/>
    <w:rsid w:val="008A14CB"/>
    <w:rsid w:val="008A184F"/>
    <w:rsid w:val="008A1D23"/>
    <w:rsid w:val="008A2C72"/>
    <w:rsid w:val="008A3ADD"/>
    <w:rsid w:val="008A4031"/>
    <w:rsid w:val="008A40BC"/>
    <w:rsid w:val="008A40DD"/>
    <w:rsid w:val="008A45E5"/>
    <w:rsid w:val="008A4880"/>
    <w:rsid w:val="008A52B1"/>
    <w:rsid w:val="008A5754"/>
    <w:rsid w:val="008A5905"/>
    <w:rsid w:val="008A5E0E"/>
    <w:rsid w:val="008A70A4"/>
    <w:rsid w:val="008A70FE"/>
    <w:rsid w:val="008A769C"/>
    <w:rsid w:val="008A7F88"/>
    <w:rsid w:val="008B011B"/>
    <w:rsid w:val="008B0648"/>
    <w:rsid w:val="008B0C53"/>
    <w:rsid w:val="008B1FFD"/>
    <w:rsid w:val="008B226C"/>
    <w:rsid w:val="008B2287"/>
    <w:rsid w:val="008B2C31"/>
    <w:rsid w:val="008B2E71"/>
    <w:rsid w:val="008B4EA4"/>
    <w:rsid w:val="008B5082"/>
    <w:rsid w:val="008B5B32"/>
    <w:rsid w:val="008B7BA0"/>
    <w:rsid w:val="008C05BC"/>
    <w:rsid w:val="008C0BC9"/>
    <w:rsid w:val="008C24FA"/>
    <w:rsid w:val="008C2989"/>
    <w:rsid w:val="008C3D0F"/>
    <w:rsid w:val="008C3FDA"/>
    <w:rsid w:val="008C41E5"/>
    <w:rsid w:val="008C460D"/>
    <w:rsid w:val="008C67E8"/>
    <w:rsid w:val="008C69C5"/>
    <w:rsid w:val="008D09DD"/>
    <w:rsid w:val="008D0AE3"/>
    <w:rsid w:val="008D1334"/>
    <w:rsid w:val="008D1784"/>
    <w:rsid w:val="008D1F2A"/>
    <w:rsid w:val="008D27E9"/>
    <w:rsid w:val="008D2FE3"/>
    <w:rsid w:val="008D32E3"/>
    <w:rsid w:val="008D38B7"/>
    <w:rsid w:val="008D3ECB"/>
    <w:rsid w:val="008D3F46"/>
    <w:rsid w:val="008D4206"/>
    <w:rsid w:val="008D475B"/>
    <w:rsid w:val="008D67E7"/>
    <w:rsid w:val="008D6ADE"/>
    <w:rsid w:val="008D757F"/>
    <w:rsid w:val="008D78FF"/>
    <w:rsid w:val="008D7BF5"/>
    <w:rsid w:val="008D7EB9"/>
    <w:rsid w:val="008E0162"/>
    <w:rsid w:val="008E019B"/>
    <w:rsid w:val="008E2977"/>
    <w:rsid w:val="008E3261"/>
    <w:rsid w:val="008E32B4"/>
    <w:rsid w:val="008E3797"/>
    <w:rsid w:val="008E3EAF"/>
    <w:rsid w:val="008E4BC6"/>
    <w:rsid w:val="008E51C3"/>
    <w:rsid w:val="008E5229"/>
    <w:rsid w:val="008E56DF"/>
    <w:rsid w:val="008E657C"/>
    <w:rsid w:val="008E6BE8"/>
    <w:rsid w:val="008E746A"/>
    <w:rsid w:val="008E7763"/>
    <w:rsid w:val="008F01C9"/>
    <w:rsid w:val="008F07FC"/>
    <w:rsid w:val="008F0B0D"/>
    <w:rsid w:val="008F152E"/>
    <w:rsid w:val="008F1582"/>
    <w:rsid w:val="008F17DC"/>
    <w:rsid w:val="008F322F"/>
    <w:rsid w:val="008F33C8"/>
    <w:rsid w:val="008F3519"/>
    <w:rsid w:val="008F3F86"/>
    <w:rsid w:val="008F4A7E"/>
    <w:rsid w:val="008F5299"/>
    <w:rsid w:val="008F5586"/>
    <w:rsid w:val="008F5E79"/>
    <w:rsid w:val="008F6857"/>
    <w:rsid w:val="008F703E"/>
    <w:rsid w:val="00900174"/>
    <w:rsid w:val="009003BE"/>
    <w:rsid w:val="009023B3"/>
    <w:rsid w:val="00903A02"/>
    <w:rsid w:val="00903F33"/>
    <w:rsid w:val="00904251"/>
    <w:rsid w:val="009056E1"/>
    <w:rsid w:val="009064F3"/>
    <w:rsid w:val="00906C2F"/>
    <w:rsid w:val="0090734D"/>
    <w:rsid w:val="00907899"/>
    <w:rsid w:val="00907A5E"/>
    <w:rsid w:val="00911672"/>
    <w:rsid w:val="009118BD"/>
    <w:rsid w:val="009121D7"/>
    <w:rsid w:val="0091238F"/>
    <w:rsid w:val="009126A0"/>
    <w:rsid w:val="00913569"/>
    <w:rsid w:val="00914DA7"/>
    <w:rsid w:val="00914E6C"/>
    <w:rsid w:val="00915F63"/>
    <w:rsid w:val="00916192"/>
    <w:rsid w:val="00916699"/>
    <w:rsid w:val="00916AFA"/>
    <w:rsid w:val="009177E9"/>
    <w:rsid w:val="0092171E"/>
    <w:rsid w:val="00921D26"/>
    <w:rsid w:val="00921F8C"/>
    <w:rsid w:val="009221AD"/>
    <w:rsid w:val="009221AE"/>
    <w:rsid w:val="00923366"/>
    <w:rsid w:val="00923DFF"/>
    <w:rsid w:val="009240B7"/>
    <w:rsid w:val="00924591"/>
    <w:rsid w:val="00925035"/>
    <w:rsid w:val="009259DF"/>
    <w:rsid w:val="00925A74"/>
    <w:rsid w:val="0092600B"/>
    <w:rsid w:val="00926194"/>
    <w:rsid w:val="009265C7"/>
    <w:rsid w:val="009266BF"/>
    <w:rsid w:val="0092677C"/>
    <w:rsid w:val="00927CC1"/>
    <w:rsid w:val="00927EEA"/>
    <w:rsid w:val="00930104"/>
    <w:rsid w:val="00930C7F"/>
    <w:rsid w:val="00930D09"/>
    <w:rsid w:val="009319F8"/>
    <w:rsid w:val="00931C45"/>
    <w:rsid w:val="00932321"/>
    <w:rsid w:val="009327F6"/>
    <w:rsid w:val="009328C9"/>
    <w:rsid w:val="00932A0A"/>
    <w:rsid w:val="009331CF"/>
    <w:rsid w:val="009334AC"/>
    <w:rsid w:val="009339F7"/>
    <w:rsid w:val="00934564"/>
    <w:rsid w:val="00936B0B"/>
    <w:rsid w:val="0093750B"/>
    <w:rsid w:val="00937A92"/>
    <w:rsid w:val="00937E53"/>
    <w:rsid w:val="00940DA9"/>
    <w:rsid w:val="009415F8"/>
    <w:rsid w:val="00941A22"/>
    <w:rsid w:val="00941ED9"/>
    <w:rsid w:val="00942010"/>
    <w:rsid w:val="00942996"/>
    <w:rsid w:val="0094320A"/>
    <w:rsid w:val="009456B1"/>
    <w:rsid w:val="00945A89"/>
    <w:rsid w:val="00946AD9"/>
    <w:rsid w:val="00946FFC"/>
    <w:rsid w:val="009474B7"/>
    <w:rsid w:val="0095170D"/>
    <w:rsid w:val="00951876"/>
    <w:rsid w:val="00952328"/>
    <w:rsid w:val="00952632"/>
    <w:rsid w:val="0095285B"/>
    <w:rsid w:val="00952B25"/>
    <w:rsid w:val="0095307F"/>
    <w:rsid w:val="009545E6"/>
    <w:rsid w:val="009548FF"/>
    <w:rsid w:val="00955526"/>
    <w:rsid w:val="00955A70"/>
    <w:rsid w:val="00955DB7"/>
    <w:rsid w:val="00956C03"/>
    <w:rsid w:val="00957E82"/>
    <w:rsid w:val="00957FD5"/>
    <w:rsid w:val="0096051D"/>
    <w:rsid w:val="009624F6"/>
    <w:rsid w:val="00962538"/>
    <w:rsid w:val="00963817"/>
    <w:rsid w:val="00964C8E"/>
    <w:rsid w:val="00965269"/>
    <w:rsid w:val="0096591B"/>
    <w:rsid w:val="009668A6"/>
    <w:rsid w:val="00966C09"/>
    <w:rsid w:val="00967CE3"/>
    <w:rsid w:val="00970D2E"/>
    <w:rsid w:val="0097186A"/>
    <w:rsid w:val="0097276A"/>
    <w:rsid w:val="009732E6"/>
    <w:rsid w:val="00973545"/>
    <w:rsid w:val="00973AF4"/>
    <w:rsid w:val="00973D39"/>
    <w:rsid w:val="00973E9B"/>
    <w:rsid w:val="00973EE1"/>
    <w:rsid w:val="0097550F"/>
    <w:rsid w:val="00975A73"/>
    <w:rsid w:val="0097611B"/>
    <w:rsid w:val="00977468"/>
    <w:rsid w:val="00977E1A"/>
    <w:rsid w:val="00980F87"/>
    <w:rsid w:val="0098110B"/>
    <w:rsid w:val="00981467"/>
    <w:rsid w:val="00982C70"/>
    <w:rsid w:val="00983141"/>
    <w:rsid w:val="00984441"/>
    <w:rsid w:val="009844CF"/>
    <w:rsid w:val="00984DD8"/>
    <w:rsid w:val="009850A1"/>
    <w:rsid w:val="0099066D"/>
    <w:rsid w:val="0099085F"/>
    <w:rsid w:val="009925DB"/>
    <w:rsid w:val="00993114"/>
    <w:rsid w:val="009938ED"/>
    <w:rsid w:val="00993CC9"/>
    <w:rsid w:val="009940A4"/>
    <w:rsid w:val="009955A2"/>
    <w:rsid w:val="00995AD7"/>
    <w:rsid w:val="00996302"/>
    <w:rsid w:val="0099632E"/>
    <w:rsid w:val="00996BA8"/>
    <w:rsid w:val="00997B1C"/>
    <w:rsid w:val="009A0D19"/>
    <w:rsid w:val="009A0D5D"/>
    <w:rsid w:val="009A1130"/>
    <w:rsid w:val="009A1740"/>
    <w:rsid w:val="009A1805"/>
    <w:rsid w:val="009A2132"/>
    <w:rsid w:val="009A2C6F"/>
    <w:rsid w:val="009A358B"/>
    <w:rsid w:val="009A3E7C"/>
    <w:rsid w:val="009A4305"/>
    <w:rsid w:val="009A45CE"/>
    <w:rsid w:val="009A563E"/>
    <w:rsid w:val="009A580E"/>
    <w:rsid w:val="009A6A4D"/>
    <w:rsid w:val="009A6F74"/>
    <w:rsid w:val="009A757A"/>
    <w:rsid w:val="009B012D"/>
    <w:rsid w:val="009B0366"/>
    <w:rsid w:val="009B0768"/>
    <w:rsid w:val="009B17DB"/>
    <w:rsid w:val="009B1F63"/>
    <w:rsid w:val="009B2084"/>
    <w:rsid w:val="009B3A9D"/>
    <w:rsid w:val="009B4364"/>
    <w:rsid w:val="009B56F6"/>
    <w:rsid w:val="009B57D7"/>
    <w:rsid w:val="009B5AC4"/>
    <w:rsid w:val="009B65A0"/>
    <w:rsid w:val="009B70A1"/>
    <w:rsid w:val="009C0620"/>
    <w:rsid w:val="009C0A77"/>
    <w:rsid w:val="009C0CC4"/>
    <w:rsid w:val="009C0F03"/>
    <w:rsid w:val="009C10FA"/>
    <w:rsid w:val="009C2428"/>
    <w:rsid w:val="009C293A"/>
    <w:rsid w:val="009C3E20"/>
    <w:rsid w:val="009C4D08"/>
    <w:rsid w:val="009C4F22"/>
    <w:rsid w:val="009C575A"/>
    <w:rsid w:val="009C5BE8"/>
    <w:rsid w:val="009C6A6A"/>
    <w:rsid w:val="009C7EDF"/>
    <w:rsid w:val="009D0A54"/>
    <w:rsid w:val="009D1A11"/>
    <w:rsid w:val="009D3237"/>
    <w:rsid w:val="009D3618"/>
    <w:rsid w:val="009D3628"/>
    <w:rsid w:val="009D4C2A"/>
    <w:rsid w:val="009D4F73"/>
    <w:rsid w:val="009D57E8"/>
    <w:rsid w:val="009D6914"/>
    <w:rsid w:val="009D6A5B"/>
    <w:rsid w:val="009D6A7D"/>
    <w:rsid w:val="009D70F0"/>
    <w:rsid w:val="009E094D"/>
    <w:rsid w:val="009E1353"/>
    <w:rsid w:val="009E1A3C"/>
    <w:rsid w:val="009E1C22"/>
    <w:rsid w:val="009E2481"/>
    <w:rsid w:val="009E272F"/>
    <w:rsid w:val="009E3047"/>
    <w:rsid w:val="009E37E4"/>
    <w:rsid w:val="009E3C7E"/>
    <w:rsid w:val="009E43E8"/>
    <w:rsid w:val="009E5FE1"/>
    <w:rsid w:val="009E7696"/>
    <w:rsid w:val="009E7A04"/>
    <w:rsid w:val="009F02FB"/>
    <w:rsid w:val="009F0381"/>
    <w:rsid w:val="009F1730"/>
    <w:rsid w:val="009F193A"/>
    <w:rsid w:val="009F27EF"/>
    <w:rsid w:val="009F2933"/>
    <w:rsid w:val="009F2C53"/>
    <w:rsid w:val="009F301B"/>
    <w:rsid w:val="009F3631"/>
    <w:rsid w:val="009F363C"/>
    <w:rsid w:val="009F3790"/>
    <w:rsid w:val="009F3943"/>
    <w:rsid w:val="009F40FE"/>
    <w:rsid w:val="009F4564"/>
    <w:rsid w:val="009F476C"/>
    <w:rsid w:val="009F4D28"/>
    <w:rsid w:val="009F586C"/>
    <w:rsid w:val="009F59FE"/>
    <w:rsid w:val="009F5D1B"/>
    <w:rsid w:val="009F5D30"/>
    <w:rsid w:val="009F66CF"/>
    <w:rsid w:val="009F70DC"/>
    <w:rsid w:val="009F720D"/>
    <w:rsid w:val="009F733F"/>
    <w:rsid w:val="009F7392"/>
    <w:rsid w:val="009F7986"/>
    <w:rsid w:val="009F7A90"/>
    <w:rsid w:val="009F7CEB"/>
    <w:rsid w:val="00A001B6"/>
    <w:rsid w:val="00A005E9"/>
    <w:rsid w:val="00A0162C"/>
    <w:rsid w:val="00A02263"/>
    <w:rsid w:val="00A0280B"/>
    <w:rsid w:val="00A02B2D"/>
    <w:rsid w:val="00A02BE8"/>
    <w:rsid w:val="00A02F70"/>
    <w:rsid w:val="00A03153"/>
    <w:rsid w:val="00A03256"/>
    <w:rsid w:val="00A038A4"/>
    <w:rsid w:val="00A040FD"/>
    <w:rsid w:val="00A0426A"/>
    <w:rsid w:val="00A04641"/>
    <w:rsid w:val="00A04C0D"/>
    <w:rsid w:val="00A06274"/>
    <w:rsid w:val="00A07327"/>
    <w:rsid w:val="00A07AD3"/>
    <w:rsid w:val="00A10FBF"/>
    <w:rsid w:val="00A11D76"/>
    <w:rsid w:val="00A1237B"/>
    <w:rsid w:val="00A12A44"/>
    <w:rsid w:val="00A12B59"/>
    <w:rsid w:val="00A13B10"/>
    <w:rsid w:val="00A14662"/>
    <w:rsid w:val="00A14A81"/>
    <w:rsid w:val="00A15635"/>
    <w:rsid w:val="00A1595B"/>
    <w:rsid w:val="00A15B21"/>
    <w:rsid w:val="00A16620"/>
    <w:rsid w:val="00A16638"/>
    <w:rsid w:val="00A17129"/>
    <w:rsid w:val="00A17490"/>
    <w:rsid w:val="00A179C8"/>
    <w:rsid w:val="00A2056E"/>
    <w:rsid w:val="00A209CA"/>
    <w:rsid w:val="00A20B1A"/>
    <w:rsid w:val="00A216F9"/>
    <w:rsid w:val="00A2181F"/>
    <w:rsid w:val="00A21D18"/>
    <w:rsid w:val="00A225DD"/>
    <w:rsid w:val="00A22A39"/>
    <w:rsid w:val="00A2315A"/>
    <w:rsid w:val="00A239E6"/>
    <w:rsid w:val="00A240F3"/>
    <w:rsid w:val="00A244E5"/>
    <w:rsid w:val="00A25E63"/>
    <w:rsid w:val="00A2670B"/>
    <w:rsid w:val="00A2672F"/>
    <w:rsid w:val="00A26E4A"/>
    <w:rsid w:val="00A26F14"/>
    <w:rsid w:val="00A27B0D"/>
    <w:rsid w:val="00A30EE4"/>
    <w:rsid w:val="00A317D9"/>
    <w:rsid w:val="00A31A54"/>
    <w:rsid w:val="00A32EDE"/>
    <w:rsid w:val="00A33A71"/>
    <w:rsid w:val="00A34170"/>
    <w:rsid w:val="00A34436"/>
    <w:rsid w:val="00A357A2"/>
    <w:rsid w:val="00A361BD"/>
    <w:rsid w:val="00A36646"/>
    <w:rsid w:val="00A40A9C"/>
    <w:rsid w:val="00A40E45"/>
    <w:rsid w:val="00A416B3"/>
    <w:rsid w:val="00A41DD4"/>
    <w:rsid w:val="00A41E5D"/>
    <w:rsid w:val="00A4252F"/>
    <w:rsid w:val="00A440A6"/>
    <w:rsid w:val="00A44C2A"/>
    <w:rsid w:val="00A45200"/>
    <w:rsid w:val="00A45378"/>
    <w:rsid w:val="00A45F1D"/>
    <w:rsid w:val="00A4630F"/>
    <w:rsid w:val="00A47610"/>
    <w:rsid w:val="00A5014A"/>
    <w:rsid w:val="00A5041D"/>
    <w:rsid w:val="00A50A02"/>
    <w:rsid w:val="00A51CAF"/>
    <w:rsid w:val="00A535FB"/>
    <w:rsid w:val="00A53F62"/>
    <w:rsid w:val="00A53FA8"/>
    <w:rsid w:val="00A550AE"/>
    <w:rsid w:val="00A55FB8"/>
    <w:rsid w:val="00A56B55"/>
    <w:rsid w:val="00A56BC3"/>
    <w:rsid w:val="00A576AF"/>
    <w:rsid w:val="00A579CC"/>
    <w:rsid w:val="00A57E55"/>
    <w:rsid w:val="00A62680"/>
    <w:rsid w:val="00A63076"/>
    <w:rsid w:val="00A63450"/>
    <w:rsid w:val="00A63630"/>
    <w:rsid w:val="00A6374D"/>
    <w:rsid w:val="00A63973"/>
    <w:rsid w:val="00A64435"/>
    <w:rsid w:val="00A64A41"/>
    <w:rsid w:val="00A64E15"/>
    <w:rsid w:val="00A64FCB"/>
    <w:rsid w:val="00A6517D"/>
    <w:rsid w:val="00A65C1F"/>
    <w:rsid w:val="00A667FB"/>
    <w:rsid w:val="00A674E3"/>
    <w:rsid w:val="00A73A9C"/>
    <w:rsid w:val="00A73FC6"/>
    <w:rsid w:val="00A75112"/>
    <w:rsid w:val="00A75368"/>
    <w:rsid w:val="00A7549D"/>
    <w:rsid w:val="00A75DA1"/>
    <w:rsid w:val="00A76EA4"/>
    <w:rsid w:val="00A77BDE"/>
    <w:rsid w:val="00A77CBB"/>
    <w:rsid w:val="00A77F64"/>
    <w:rsid w:val="00A80925"/>
    <w:rsid w:val="00A81F82"/>
    <w:rsid w:val="00A8258B"/>
    <w:rsid w:val="00A83A56"/>
    <w:rsid w:val="00A8403E"/>
    <w:rsid w:val="00A841B0"/>
    <w:rsid w:val="00A84A28"/>
    <w:rsid w:val="00A84EAA"/>
    <w:rsid w:val="00A859CC"/>
    <w:rsid w:val="00A85A2B"/>
    <w:rsid w:val="00A86148"/>
    <w:rsid w:val="00A87FDB"/>
    <w:rsid w:val="00A901D3"/>
    <w:rsid w:val="00A90AA0"/>
    <w:rsid w:val="00A91902"/>
    <w:rsid w:val="00A91A76"/>
    <w:rsid w:val="00A9265F"/>
    <w:rsid w:val="00A9286F"/>
    <w:rsid w:val="00A931FF"/>
    <w:rsid w:val="00A93543"/>
    <w:rsid w:val="00A9380A"/>
    <w:rsid w:val="00A93A17"/>
    <w:rsid w:val="00A93F16"/>
    <w:rsid w:val="00A93F6B"/>
    <w:rsid w:val="00A94448"/>
    <w:rsid w:val="00A94EC9"/>
    <w:rsid w:val="00A94EFC"/>
    <w:rsid w:val="00A9501B"/>
    <w:rsid w:val="00A95476"/>
    <w:rsid w:val="00A95CC8"/>
    <w:rsid w:val="00A963DD"/>
    <w:rsid w:val="00A9644D"/>
    <w:rsid w:val="00A975D8"/>
    <w:rsid w:val="00AA03DB"/>
    <w:rsid w:val="00AA07C1"/>
    <w:rsid w:val="00AA1044"/>
    <w:rsid w:val="00AA1208"/>
    <w:rsid w:val="00AA1681"/>
    <w:rsid w:val="00AA1CEE"/>
    <w:rsid w:val="00AA2A62"/>
    <w:rsid w:val="00AA2FA1"/>
    <w:rsid w:val="00AA3C73"/>
    <w:rsid w:val="00AA4687"/>
    <w:rsid w:val="00AA51C1"/>
    <w:rsid w:val="00AA6156"/>
    <w:rsid w:val="00AA73AC"/>
    <w:rsid w:val="00AA7B77"/>
    <w:rsid w:val="00AB1837"/>
    <w:rsid w:val="00AB187A"/>
    <w:rsid w:val="00AB1E49"/>
    <w:rsid w:val="00AB30F7"/>
    <w:rsid w:val="00AB3170"/>
    <w:rsid w:val="00AB412D"/>
    <w:rsid w:val="00AB46BE"/>
    <w:rsid w:val="00AB514A"/>
    <w:rsid w:val="00AB59D2"/>
    <w:rsid w:val="00AB5D87"/>
    <w:rsid w:val="00AB63DB"/>
    <w:rsid w:val="00AB6890"/>
    <w:rsid w:val="00AB6EEF"/>
    <w:rsid w:val="00AB794D"/>
    <w:rsid w:val="00AC131D"/>
    <w:rsid w:val="00AC1E12"/>
    <w:rsid w:val="00AC2304"/>
    <w:rsid w:val="00AC2D2E"/>
    <w:rsid w:val="00AC45F3"/>
    <w:rsid w:val="00AC50E3"/>
    <w:rsid w:val="00AC512D"/>
    <w:rsid w:val="00AC5212"/>
    <w:rsid w:val="00AC547B"/>
    <w:rsid w:val="00AC59CF"/>
    <w:rsid w:val="00AC5DB0"/>
    <w:rsid w:val="00AC6448"/>
    <w:rsid w:val="00AC6E3B"/>
    <w:rsid w:val="00AD0895"/>
    <w:rsid w:val="00AD1908"/>
    <w:rsid w:val="00AD1FA8"/>
    <w:rsid w:val="00AD21FF"/>
    <w:rsid w:val="00AD25AA"/>
    <w:rsid w:val="00AD35BC"/>
    <w:rsid w:val="00AD3FF4"/>
    <w:rsid w:val="00AD48DC"/>
    <w:rsid w:val="00AD494D"/>
    <w:rsid w:val="00AD4D41"/>
    <w:rsid w:val="00AD51C9"/>
    <w:rsid w:val="00AD542F"/>
    <w:rsid w:val="00AD563D"/>
    <w:rsid w:val="00AD5A9F"/>
    <w:rsid w:val="00AD5B7E"/>
    <w:rsid w:val="00AD5FDE"/>
    <w:rsid w:val="00AD6C18"/>
    <w:rsid w:val="00AD717A"/>
    <w:rsid w:val="00AE0343"/>
    <w:rsid w:val="00AE19E1"/>
    <w:rsid w:val="00AE1BF5"/>
    <w:rsid w:val="00AE2A68"/>
    <w:rsid w:val="00AE33FB"/>
    <w:rsid w:val="00AE36AC"/>
    <w:rsid w:val="00AE3A5A"/>
    <w:rsid w:val="00AE3FFD"/>
    <w:rsid w:val="00AE57A8"/>
    <w:rsid w:val="00AE62DD"/>
    <w:rsid w:val="00AE6B4A"/>
    <w:rsid w:val="00AE772D"/>
    <w:rsid w:val="00AE7AF5"/>
    <w:rsid w:val="00AF04E2"/>
    <w:rsid w:val="00AF0DF9"/>
    <w:rsid w:val="00AF12FE"/>
    <w:rsid w:val="00AF1A88"/>
    <w:rsid w:val="00AF330A"/>
    <w:rsid w:val="00AF35E8"/>
    <w:rsid w:val="00AF3FB5"/>
    <w:rsid w:val="00AF3FCF"/>
    <w:rsid w:val="00AF4BE4"/>
    <w:rsid w:val="00AF4C16"/>
    <w:rsid w:val="00AF630F"/>
    <w:rsid w:val="00AF6FEF"/>
    <w:rsid w:val="00AF7178"/>
    <w:rsid w:val="00AF7AE3"/>
    <w:rsid w:val="00B00AC4"/>
    <w:rsid w:val="00B00C90"/>
    <w:rsid w:val="00B00DC9"/>
    <w:rsid w:val="00B01003"/>
    <w:rsid w:val="00B0176E"/>
    <w:rsid w:val="00B01B3A"/>
    <w:rsid w:val="00B0230D"/>
    <w:rsid w:val="00B0364C"/>
    <w:rsid w:val="00B03897"/>
    <w:rsid w:val="00B043E9"/>
    <w:rsid w:val="00B0448F"/>
    <w:rsid w:val="00B0529B"/>
    <w:rsid w:val="00B05A6C"/>
    <w:rsid w:val="00B05CD6"/>
    <w:rsid w:val="00B05E21"/>
    <w:rsid w:val="00B07372"/>
    <w:rsid w:val="00B10316"/>
    <w:rsid w:val="00B11922"/>
    <w:rsid w:val="00B11EA0"/>
    <w:rsid w:val="00B12084"/>
    <w:rsid w:val="00B12721"/>
    <w:rsid w:val="00B12A8C"/>
    <w:rsid w:val="00B12AA8"/>
    <w:rsid w:val="00B13338"/>
    <w:rsid w:val="00B14693"/>
    <w:rsid w:val="00B1484A"/>
    <w:rsid w:val="00B1542E"/>
    <w:rsid w:val="00B17FDB"/>
    <w:rsid w:val="00B20657"/>
    <w:rsid w:val="00B20BD4"/>
    <w:rsid w:val="00B20E20"/>
    <w:rsid w:val="00B21BB1"/>
    <w:rsid w:val="00B21D51"/>
    <w:rsid w:val="00B225D0"/>
    <w:rsid w:val="00B22F75"/>
    <w:rsid w:val="00B237F3"/>
    <w:rsid w:val="00B23AF6"/>
    <w:rsid w:val="00B2569C"/>
    <w:rsid w:val="00B259DF"/>
    <w:rsid w:val="00B25D68"/>
    <w:rsid w:val="00B26988"/>
    <w:rsid w:val="00B269DC"/>
    <w:rsid w:val="00B26BE5"/>
    <w:rsid w:val="00B26C7E"/>
    <w:rsid w:val="00B26EC6"/>
    <w:rsid w:val="00B26F31"/>
    <w:rsid w:val="00B271A1"/>
    <w:rsid w:val="00B2777B"/>
    <w:rsid w:val="00B30120"/>
    <w:rsid w:val="00B307F2"/>
    <w:rsid w:val="00B30D73"/>
    <w:rsid w:val="00B30E08"/>
    <w:rsid w:val="00B31C8F"/>
    <w:rsid w:val="00B32677"/>
    <w:rsid w:val="00B33914"/>
    <w:rsid w:val="00B33B0E"/>
    <w:rsid w:val="00B33C73"/>
    <w:rsid w:val="00B34D38"/>
    <w:rsid w:val="00B34E3D"/>
    <w:rsid w:val="00B358E7"/>
    <w:rsid w:val="00B358F7"/>
    <w:rsid w:val="00B361A0"/>
    <w:rsid w:val="00B367E2"/>
    <w:rsid w:val="00B377D1"/>
    <w:rsid w:val="00B40778"/>
    <w:rsid w:val="00B40C8D"/>
    <w:rsid w:val="00B40F48"/>
    <w:rsid w:val="00B4135F"/>
    <w:rsid w:val="00B4181E"/>
    <w:rsid w:val="00B41E05"/>
    <w:rsid w:val="00B4220C"/>
    <w:rsid w:val="00B423D8"/>
    <w:rsid w:val="00B42461"/>
    <w:rsid w:val="00B42E2D"/>
    <w:rsid w:val="00B432F4"/>
    <w:rsid w:val="00B43577"/>
    <w:rsid w:val="00B446C2"/>
    <w:rsid w:val="00B44A99"/>
    <w:rsid w:val="00B45B8D"/>
    <w:rsid w:val="00B464B9"/>
    <w:rsid w:val="00B4656A"/>
    <w:rsid w:val="00B46A11"/>
    <w:rsid w:val="00B519C0"/>
    <w:rsid w:val="00B52502"/>
    <w:rsid w:val="00B528C8"/>
    <w:rsid w:val="00B52B94"/>
    <w:rsid w:val="00B536A6"/>
    <w:rsid w:val="00B53F0F"/>
    <w:rsid w:val="00B5485B"/>
    <w:rsid w:val="00B55CAC"/>
    <w:rsid w:val="00B56800"/>
    <w:rsid w:val="00B56D6A"/>
    <w:rsid w:val="00B61662"/>
    <w:rsid w:val="00B62BCF"/>
    <w:rsid w:val="00B63460"/>
    <w:rsid w:val="00B63EC5"/>
    <w:rsid w:val="00B64BE2"/>
    <w:rsid w:val="00B65800"/>
    <w:rsid w:val="00B66C04"/>
    <w:rsid w:val="00B66C37"/>
    <w:rsid w:val="00B67119"/>
    <w:rsid w:val="00B701F5"/>
    <w:rsid w:val="00B703D9"/>
    <w:rsid w:val="00B70522"/>
    <w:rsid w:val="00B70F1B"/>
    <w:rsid w:val="00B71675"/>
    <w:rsid w:val="00B71B62"/>
    <w:rsid w:val="00B71BBE"/>
    <w:rsid w:val="00B721CA"/>
    <w:rsid w:val="00B7250D"/>
    <w:rsid w:val="00B73294"/>
    <w:rsid w:val="00B732C2"/>
    <w:rsid w:val="00B75B20"/>
    <w:rsid w:val="00B75BC0"/>
    <w:rsid w:val="00B75E00"/>
    <w:rsid w:val="00B75F2E"/>
    <w:rsid w:val="00B7636B"/>
    <w:rsid w:val="00B76492"/>
    <w:rsid w:val="00B767DA"/>
    <w:rsid w:val="00B767F8"/>
    <w:rsid w:val="00B7796D"/>
    <w:rsid w:val="00B80B76"/>
    <w:rsid w:val="00B80B83"/>
    <w:rsid w:val="00B8154C"/>
    <w:rsid w:val="00B81738"/>
    <w:rsid w:val="00B82026"/>
    <w:rsid w:val="00B82171"/>
    <w:rsid w:val="00B8254D"/>
    <w:rsid w:val="00B82ED9"/>
    <w:rsid w:val="00B82FAF"/>
    <w:rsid w:val="00B83300"/>
    <w:rsid w:val="00B84C0B"/>
    <w:rsid w:val="00B8560C"/>
    <w:rsid w:val="00B8577C"/>
    <w:rsid w:val="00B863A0"/>
    <w:rsid w:val="00B87FB9"/>
    <w:rsid w:val="00B925C4"/>
    <w:rsid w:val="00B92CE9"/>
    <w:rsid w:val="00B9520C"/>
    <w:rsid w:val="00B96F5C"/>
    <w:rsid w:val="00BA01AB"/>
    <w:rsid w:val="00BA05F0"/>
    <w:rsid w:val="00BA09DC"/>
    <w:rsid w:val="00BA0FDB"/>
    <w:rsid w:val="00BA1A1F"/>
    <w:rsid w:val="00BA2863"/>
    <w:rsid w:val="00BA2B8D"/>
    <w:rsid w:val="00BA3306"/>
    <w:rsid w:val="00BA401E"/>
    <w:rsid w:val="00BA4284"/>
    <w:rsid w:val="00BA5724"/>
    <w:rsid w:val="00BA5FA0"/>
    <w:rsid w:val="00BA73EE"/>
    <w:rsid w:val="00BA7C1F"/>
    <w:rsid w:val="00BA7DA9"/>
    <w:rsid w:val="00BB1E80"/>
    <w:rsid w:val="00BB2147"/>
    <w:rsid w:val="00BB2310"/>
    <w:rsid w:val="00BB2329"/>
    <w:rsid w:val="00BB2C31"/>
    <w:rsid w:val="00BB3110"/>
    <w:rsid w:val="00BB39E1"/>
    <w:rsid w:val="00BB4C76"/>
    <w:rsid w:val="00BB53D7"/>
    <w:rsid w:val="00BB54A6"/>
    <w:rsid w:val="00BB5E3D"/>
    <w:rsid w:val="00BB5FF9"/>
    <w:rsid w:val="00BB6875"/>
    <w:rsid w:val="00BB6B8E"/>
    <w:rsid w:val="00BB703F"/>
    <w:rsid w:val="00BC09CE"/>
    <w:rsid w:val="00BC1477"/>
    <w:rsid w:val="00BC15E7"/>
    <w:rsid w:val="00BC17A2"/>
    <w:rsid w:val="00BC1CAF"/>
    <w:rsid w:val="00BC1D06"/>
    <w:rsid w:val="00BC1ECD"/>
    <w:rsid w:val="00BC29D6"/>
    <w:rsid w:val="00BC2B74"/>
    <w:rsid w:val="00BC323A"/>
    <w:rsid w:val="00BC387B"/>
    <w:rsid w:val="00BC5965"/>
    <w:rsid w:val="00BC7598"/>
    <w:rsid w:val="00BD03EC"/>
    <w:rsid w:val="00BD227A"/>
    <w:rsid w:val="00BD2779"/>
    <w:rsid w:val="00BD590A"/>
    <w:rsid w:val="00BD63C0"/>
    <w:rsid w:val="00BD644C"/>
    <w:rsid w:val="00BD77E4"/>
    <w:rsid w:val="00BE07C5"/>
    <w:rsid w:val="00BE237F"/>
    <w:rsid w:val="00BE3296"/>
    <w:rsid w:val="00BE3CAA"/>
    <w:rsid w:val="00BE3CF3"/>
    <w:rsid w:val="00BE3D18"/>
    <w:rsid w:val="00BE3D49"/>
    <w:rsid w:val="00BE3E5F"/>
    <w:rsid w:val="00BE508D"/>
    <w:rsid w:val="00BE583A"/>
    <w:rsid w:val="00BE5D94"/>
    <w:rsid w:val="00BF0233"/>
    <w:rsid w:val="00BF0CD0"/>
    <w:rsid w:val="00BF10F5"/>
    <w:rsid w:val="00BF1B76"/>
    <w:rsid w:val="00BF2D78"/>
    <w:rsid w:val="00BF2FF5"/>
    <w:rsid w:val="00BF3218"/>
    <w:rsid w:val="00BF374B"/>
    <w:rsid w:val="00BF7E30"/>
    <w:rsid w:val="00C0075C"/>
    <w:rsid w:val="00C02554"/>
    <w:rsid w:val="00C031FA"/>
    <w:rsid w:val="00C0408D"/>
    <w:rsid w:val="00C04D13"/>
    <w:rsid w:val="00C04EC9"/>
    <w:rsid w:val="00C05EB4"/>
    <w:rsid w:val="00C06459"/>
    <w:rsid w:val="00C068CB"/>
    <w:rsid w:val="00C07417"/>
    <w:rsid w:val="00C079FB"/>
    <w:rsid w:val="00C07BBA"/>
    <w:rsid w:val="00C10393"/>
    <w:rsid w:val="00C10407"/>
    <w:rsid w:val="00C10B20"/>
    <w:rsid w:val="00C10B79"/>
    <w:rsid w:val="00C10B87"/>
    <w:rsid w:val="00C115F0"/>
    <w:rsid w:val="00C12308"/>
    <w:rsid w:val="00C12411"/>
    <w:rsid w:val="00C12965"/>
    <w:rsid w:val="00C13BE9"/>
    <w:rsid w:val="00C14051"/>
    <w:rsid w:val="00C14F88"/>
    <w:rsid w:val="00C164A4"/>
    <w:rsid w:val="00C16ACC"/>
    <w:rsid w:val="00C16D46"/>
    <w:rsid w:val="00C17105"/>
    <w:rsid w:val="00C204EA"/>
    <w:rsid w:val="00C207DA"/>
    <w:rsid w:val="00C2162A"/>
    <w:rsid w:val="00C2208C"/>
    <w:rsid w:val="00C221BF"/>
    <w:rsid w:val="00C222AB"/>
    <w:rsid w:val="00C22335"/>
    <w:rsid w:val="00C23FEA"/>
    <w:rsid w:val="00C249D5"/>
    <w:rsid w:val="00C24B5D"/>
    <w:rsid w:val="00C25156"/>
    <w:rsid w:val="00C25800"/>
    <w:rsid w:val="00C25F26"/>
    <w:rsid w:val="00C262DC"/>
    <w:rsid w:val="00C26365"/>
    <w:rsid w:val="00C263A5"/>
    <w:rsid w:val="00C265DC"/>
    <w:rsid w:val="00C268CF"/>
    <w:rsid w:val="00C3048D"/>
    <w:rsid w:val="00C3084A"/>
    <w:rsid w:val="00C3131F"/>
    <w:rsid w:val="00C317F3"/>
    <w:rsid w:val="00C31C86"/>
    <w:rsid w:val="00C32157"/>
    <w:rsid w:val="00C33227"/>
    <w:rsid w:val="00C339CC"/>
    <w:rsid w:val="00C33E8D"/>
    <w:rsid w:val="00C341E1"/>
    <w:rsid w:val="00C3460A"/>
    <w:rsid w:val="00C349C2"/>
    <w:rsid w:val="00C35E29"/>
    <w:rsid w:val="00C361F4"/>
    <w:rsid w:val="00C37BAB"/>
    <w:rsid w:val="00C404E1"/>
    <w:rsid w:val="00C40F07"/>
    <w:rsid w:val="00C42422"/>
    <w:rsid w:val="00C42717"/>
    <w:rsid w:val="00C430E6"/>
    <w:rsid w:val="00C445A9"/>
    <w:rsid w:val="00C44C37"/>
    <w:rsid w:val="00C4539B"/>
    <w:rsid w:val="00C4547E"/>
    <w:rsid w:val="00C46AE5"/>
    <w:rsid w:val="00C4719C"/>
    <w:rsid w:val="00C47654"/>
    <w:rsid w:val="00C47E70"/>
    <w:rsid w:val="00C506D4"/>
    <w:rsid w:val="00C50ACF"/>
    <w:rsid w:val="00C5148C"/>
    <w:rsid w:val="00C51EB3"/>
    <w:rsid w:val="00C52291"/>
    <w:rsid w:val="00C52BE0"/>
    <w:rsid w:val="00C545E9"/>
    <w:rsid w:val="00C546C4"/>
    <w:rsid w:val="00C5487D"/>
    <w:rsid w:val="00C5502C"/>
    <w:rsid w:val="00C55A92"/>
    <w:rsid w:val="00C55D01"/>
    <w:rsid w:val="00C56093"/>
    <w:rsid w:val="00C56EDB"/>
    <w:rsid w:val="00C575A4"/>
    <w:rsid w:val="00C57685"/>
    <w:rsid w:val="00C57E4D"/>
    <w:rsid w:val="00C60D47"/>
    <w:rsid w:val="00C61258"/>
    <w:rsid w:val="00C613F8"/>
    <w:rsid w:val="00C61471"/>
    <w:rsid w:val="00C61838"/>
    <w:rsid w:val="00C622A3"/>
    <w:rsid w:val="00C626E2"/>
    <w:rsid w:val="00C628C8"/>
    <w:rsid w:val="00C62C40"/>
    <w:rsid w:val="00C62CBC"/>
    <w:rsid w:val="00C646AF"/>
    <w:rsid w:val="00C657A2"/>
    <w:rsid w:val="00C6630B"/>
    <w:rsid w:val="00C66C6F"/>
    <w:rsid w:val="00C70D7C"/>
    <w:rsid w:val="00C71A5D"/>
    <w:rsid w:val="00C71EE0"/>
    <w:rsid w:val="00C721CC"/>
    <w:rsid w:val="00C7222E"/>
    <w:rsid w:val="00C73340"/>
    <w:rsid w:val="00C736E7"/>
    <w:rsid w:val="00C745DF"/>
    <w:rsid w:val="00C7519E"/>
    <w:rsid w:val="00C7556A"/>
    <w:rsid w:val="00C75756"/>
    <w:rsid w:val="00C776D3"/>
    <w:rsid w:val="00C77F0A"/>
    <w:rsid w:val="00C80E42"/>
    <w:rsid w:val="00C81A12"/>
    <w:rsid w:val="00C81C43"/>
    <w:rsid w:val="00C82261"/>
    <w:rsid w:val="00C824E4"/>
    <w:rsid w:val="00C8291D"/>
    <w:rsid w:val="00C8296F"/>
    <w:rsid w:val="00C82C0A"/>
    <w:rsid w:val="00C834C9"/>
    <w:rsid w:val="00C8369D"/>
    <w:rsid w:val="00C846BE"/>
    <w:rsid w:val="00C849BD"/>
    <w:rsid w:val="00C84C02"/>
    <w:rsid w:val="00C851E3"/>
    <w:rsid w:val="00C857FA"/>
    <w:rsid w:val="00C85BEA"/>
    <w:rsid w:val="00C8690E"/>
    <w:rsid w:val="00C87120"/>
    <w:rsid w:val="00C87929"/>
    <w:rsid w:val="00C87C8D"/>
    <w:rsid w:val="00C87F5E"/>
    <w:rsid w:val="00C902FA"/>
    <w:rsid w:val="00C90345"/>
    <w:rsid w:val="00C9161F"/>
    <w:rsid w:val="00C918A6"/>
    <w:rsid w:val="00C9206C"/>
    <w:rsid w:val="00C920A1"/>
    <w:rsid w:val="00C923A9"/>
    <w:rsid w:val="00C92911"/>
    <w:rsid w:val="00C934DC"/>
    <w:rsid w:val="00C93787"/>
    <w:rsid w:val="00C94EEE"/>
    <w:rsid w:val="00C963DE"/>
    <w:rsid w:val="00C97064"/>
    <w:rsid w:val="00C9776B"/>
    <w:rsid w:val="00C97A29"/>
    <w:rsid w:val="00CA0774"/>
    <w:rsid w:val="00CA0C26"/>
    <w:rsid w:val="00CA2784"/>
    <w:rsid w:val="00CA2CFF"/>
    <w:rsid w:val="00CA47F7"/>
    <w:rsid w:val="00CA5D1E"/>
    <w:rsid w:val="00CA5F12"/>
    <w:rsid w:val="00CA63CB"/>
    <w:rsid w:val="00CA64A0"/>
    <w:rsid w:val="00CA69AC"/>
    <w:rsid w:val="00CA75B3"/>
    <w:rsid w:val="00CA764F"/>
    <w:rsid w:val="00CB07A8"/>
    <w:rsid w:val="00CB0BAD"/>
    <w:rsid w:val="00CB121A"/>
    <w:rsid w:val="00CB1F2B"/>
    <w:rsid w:val="00CB2072"/>
    <w:rsid w:val="00CB290A"/>
    <w:rsid w:val="00CB536F"/>
    <w:rsid w:val="00CB5389"/>
    <w:rsid w:val="00CB6AE4"/>
    <w:rsid w:val="00CC10BC"/>
    <w:rsid w:val="00CC10E1"/>
    <w:rsid w:val="00CC1CB0"/>
    <w:rsid w:val="00CC1DEF"/>
    <w:rsid w:val="00CC25EF"/>
    <w:rsid w:val="00CC2ABC"/>
    <w:rsid w:val="00CC3543"/>
    <w:rsid w:val="00CC437E"/>
    <w:rsid w:val="00CC4DC5"/>
    <w:rsid w:val="00CC6510"/>
    <w:rsid w:val="00CC754F"/>
    <w:rsid w:val="00CC79A7"/>
    <w:rsid w:val="00CC7EA9"/>
    <w:rsid w:val="00CD12E3"/>
    <w:rsid w:val="00CD35A4"/>
    <w:rsid w:val="00CD3934"/>
    <w:rsid w:val="00CD4F82"/>
    <w:rsid w:val="00CD53CD"/>
    <w:rsid w:val="00CD5BEE"/>
    <w:rsid w:val="00CD6327"/>
    <w:rsid w:val="00CD63B5"/>
    <w:rsid w:val="00CD71DE"/>
    <w:rsid w:val="00CD742C"/>
    <w:rsid w:val="00CE03B7"/>
    <w:rsid w:val="00CE0816"/>
    <w:rsid w:val="00CE08E7"/>
    <w:rsid w:val="00CE0B6F"/>
    <w:rsid w:val="00CE119E"/>
    <w:rsid w:val="00CE128D"/>
    <w:rsid w:val="00CE17B6"/>
    <w:rsid w:val="00CE251E"/>
    <w:rsid w:val="00CE2613"/>
    <w:rsid w:val="00CE2B75"/>
    <w:rsid w:val="00CE2B78"/>
    <w:rsid w:val="00CE2C5C"/>
    <w:rsid w:val="00CE324B"/>
    <w:rsid w:val="00CE353B"/>
    <w:rsid w:val="00CE397C"/>
    <w:rsid w:val="00CE47D9"/>
    <w:rsid w:val="00CE5848"/>
    <w:rsid w:val="00CE5DE1"/>
    <w:rsid w:val="00CE5ED9"/>
    <w:rsid w:val="00CE5FAC"/>
    <w:rsid w:val="00CE6656"/>
    <w:rsid w:val="00CE74A3"/>
    <w:rsid w:val="00CE7A3F"/>
    <w:rsid w:val="00CF0886"/>
    <w:rsid w:val="00CF0C1B"/>
    <w:rsid w:val="00CF2B76"/>
    <w:rsid w:val="00CF35B1"/>
    <w:rsid w:val="00CF3E16"/>
    <w:rsid w:val="00CF4240"/>
    <w:rsid w:val="00CF437B"/>
    <w:rsid w:val="00CF4D89"/>
    <w:rsid w:val="00CF53B9"/>
    <w:rsid w:val="00CF56DC"/>
    <w:rsid w:val="00CF754F"/>
    <w:rsid w:val="00CF7B6C"/>
    <w:rsid w:val="00D00658"/>
    <w:rsid w:val="00D01EEE"/>
    <w:rsid w:val="00D01FD6"/>
    <w:rsid w:val="00D026F7"/>
    <w:rsid w:val="00D02782"/>
    <w:rsid w:val="00D02C05"/>
    <w:rsid w:val="00D02D98"/>
    <w:rsid w:val="00D031D7"/>
    <w:rsid w:val="00D034DD"/>
    <w:rsid w:val="00D047A0"/>
    <w:rsid w:val="00D04869"/>
    <w:rsid w:val="00D04952"/>
    <w:rsid w:val="00D04F5C"/>
    <w:rsid w:val="00D05418"/>
    <w:rsid w:val="00D06549"/>
    <w:rsid w:val="00D06A16"/>
    <w:rsid w:val="00D06A5B"/>
    <w:rsid w:val="00D074BB"/>
    <w:rsid w:val="00D07FD6"/>
    <w:rsid w:val="00D1078F"/>
    <w:rsid w:val="00D10E60"/>
    <w:rsid w:val="00D12058"/>
    <w:rsid w:val="00D1241C"/>
    <w:rsid w:val="00D12550"/>
    <w:rsid w:val="00D12CD2"/>
    <w:rsid w:val="00D131B4"/>
    <w:rsid w:val="00D136A4"/>
    <w:rsid w:val="00D14B2E"/>
    <w:rsid w:val="00D14D23"/>
    <w:rsid w:val="00D152C0"/>
    <w:rsid w:val="00D15755"/>
    <w:rsid w:val="00D15D8B"/>
    <w:rsid w:val="00D1718B"/>
    <w:rsid w:val="00D17984"/>
    <w:rsid w:val="00D17F60"/>
    <w:rsid w:val="00D20529"/>
    <w:rsid w:val="00D20763"/>
    <w:rsid w:val="00D208CA"/>
    <w:rsid w:val="00D21324"/>
    <w:rsid w:val="00D21BDE"/>
    <w:rsid w:val="00D21C27"/>
    <w:rsid w:val="00D23207"/>
    <w:rsid w:val="00D23ADA"/>
    <w:rsid w:val="00D2402E"/>
    <w:rsid w:val="00D244BA"/>
    <w:rsid w:val="00D246DC"/>
    <w:rsid w:val="00D24915"/>
    <w:rsid w:val="00D24D4B"/>
    <w:rsid w:val="00D24DAD"/>
    <w:rsid w:val="00D25773"/>
    <w:rsid w:val="00D25916"/>
    <w:rsid w:val="00D25AB0"/>
    <w:rsid w:val="00D26C24"/>
    <w:rsid w:val="00D26D97"/>
    <w:rsid w:val="00D30AA5"/>
    <w:rsid w:val="00D3127B"/>
    <w:rsid w:val="00D31A29"/>
    <w:rsid w:val="00D329E6"/>
    <w:rsid w:val="00D32C54"/>
    <w:rsid w:val="00D33B10"/>
    <w:rsid w:val="00D340C0"/>
    <w:rsid w:val="00D35A5B"/>
    <w:rsid w:val="00D35D2C"/>
    <w:rsid w:val="00D35F18"/>
    <w:rsid w:val="00D36516"/>
    <w:rsid w:val="00D3696A"/>
    <w:rsid w:val="00D37972"/>
    <w:rsid w:val="00D40896"/>
    <w:rsid w:val="00D41534"/>
    <w:rsid w:val="00D41EC1"/>
    <w:rsid w:val="00D42139"/>
    <w:rsid w:val="00D42CE3"/>
    <w:rsid w:val="00D451FC"/>
    <w:rsid w:val="00D45BE3"/>
    <w:rsid w:val="00D46530"/>
    <w:rsid w:val="00D47825"/>
    <w:rsid w:val="00D47DD1"/>
    <w:rsid w:val="00D50951"/>
    <w:rsid w:val="00D50F5C"/>
    <w:rsid w:val="00D5238F"/>
    <w:rsid w:val="00D526FE"/>
    <w:rsid w:val="00D5310F"/>
    <w:rsid w:val="00D53F67"/>
    <w:rsid w:val="00D54947"/>
    <w:rsid w:val="00D550DD"/>
    <w:rsid w:val="00D55751"/>
    <w:rsid w:val="00D55E0F"/>
    <w:rsid w:val="00D5667A"/>
    <w:rsid w:val="00D56CFE"/>
    <w:rsid w:val="00D579FE"/>
    <w:rsid w:val="00D57FF8"/>
    <w:rsid w:val="00D6060D"/>
    <w:rsid w:val="00D61173"/>
    <w:rsid w:val="00D611A4"/>
    <w:rsid w:val="00D61CD7"/>
    <w:rsid w:val="00D61F15"/>
    <w:rsid w:val="00D62755"/>
    <w:rsid w:val="00D63545"/>
    <w:rsid w:val="00D63C48"/>
    <w:rsid w:val="00D64289"/>
    <w:rsid w:val="00D65178"/>
    <w:rsid w:val="00D658A9"/>
    <w:rsid w:val="00D6667B"/>
    <w:rsid w:val="00D66C42"/>
    <w:rsid w:val="00D67A84"/>
    <w:rsid w:val="00D70497"/>
    <w:rsid w:val="00D70DD2"/>
    <w:rsid w:val="00D71194"/>
    <w:rsid w:val="00D71400"/>
    <w:rsid w:val="00D7174E"/>
    <w:rsid w:val="00D71906"/>
    <w:rsid w:val="00D72121"/>
    <w:rsid w:val="00D7296B"/>
    <w:rsid w:val="00D73301"/>
    <w:rsid w:val="00D73F93"/>
    <w:rsid w:val="00D75571"/>
    <w:rsid w:val="00D75790"/>
    <w:rsid w:val="00D766C1"/>
    <w:rsid w:val="00D76B60"/>
    <w:rsid w:val="00D77222"/>
    <w:rsid w:val="00D80337"/>
    <w:rsid w:val="00D82287"/>
    <w:rsid w:val="00D8366C"/>
    <w:rsid w:val="00D83CE3"/>
    <w:rsid w:val="00D8441F"/>
    <w:rsid w:val="00D84A1A"/>
    <w:rsid w:val="00D85585"/>
    <w:rsid w:val="00D85991"/>
    <w:rsid w:val="00D86D58"/>
    <w:rsid w:val="00D87B00"/>
    <w:rsid w:val="00D87BE1"/>
    <w:rsid w:val="00D9023D"/>
    <w:rsid w:val="00D9060E"/>
    <w:rsid w:val="00D90D1F"/>
    <w:rsid w:val="00D91F55"/>
    <w:rsid w:val="00D9209B"/>
    <w:rsid w:val="00D92239"/>
    <w:rsid w:val="00D92450"/>
    <w:rsid w:val="00D935AA"/>
    <w:rsid w:val="00D93937"/>
    <w:rsid w:val="00D93D75"/>
    <w:rsid w:val="00D94540"/>
    <w:rsid w:val="00D94C61"/>
    <w:rsid w:val="00D95394"/>
    <w:rsid w:val="00D970E7"/>
    <w:rsid w:val="00DA01E5"/>
    <w:rsid w:val="00DA032B"/>
    <w:rsid w:val="00DA0456"/>
    <w:rsid w:val="00DA05A4"/>
    <w:rsid w:val="00DA1DE8"/>
    <w:rsid w:val="00DA2048"/>
    <w:rsid w:val="00DA26BE"/>
    <w:rsid w:val="00DA3E56"/>
    <w:rsid w:val="00DA4B49"/>
    <w:rsid w:val="00DA55BB"/>
    <w:rsid w:val="00DA59E8"/>
    <w:rsid w:val="00DA6823"/>
    <w:rsid w:val="00DA68E4"/>
    <w:rsid w:val="00DA73EE"/>
    <w:rsid w:val="00DA766A"/>
    <w:rsid w:val="00DA7AC6"/>
    <w:rsid w:val="00DB04FF"/>
    <w:rsid w:val="00DB1063"/>
    <w:rsid w:val="00DB254F"/>
    <w:rsid w:val="00DB3A5C"/>
    <w:rsid w:val="00DB4CEB"/>
    <w:rsid w:val="00DB5E7B"/>
    <w:rsid w:val="00DB5EE9"/>
    <w:rsid w:val="00DB64BA"/>
    <w:rsid w:val="00DB774D"/>
    <w:rsid w:val="00DC0485"/>
    <w:rsid w:val="00DC0562"/>
    <w:rsid w:val="00DC08B0"/>
    <w:rsid w:val="00DC09BB"/>
    <w:rsid w:val="00DC1743"/>
    <w:rsid w:val="00DC1929"/>
    <w:rsid w:val="00DC1CDD"/>
    <w:rsid w:val="00DC273B"/>
    <w:rsid w:val="00DC3390"/>
    <w:rsid w:val="00DC4CC9"/>
    <w:rsid w:val="00DC625E"/>
    <w:rsid w:val="00DC6351"/>
    <w:rsid w:val="00DC6A89"/>
    <w:rsid w:val="00DC6F32"/>
    <w:rsid w:val="00DC708C"/>
    <w:rsid w:val="00DC7746"/>
    <w:rsid w:val="00DD09A5"/>
    <w:rsid w:val="00DD2409"/>
    <w:rsid w:val="00DD3049"/>
    <w:rsid w:val="00DD30CC"/>
    <w:rsid w:val="00DD337F"/>
    <w:rsid w:val="00DD38EA"/>
    <w:rsid w:val="00DD3BA1"/>
    <w:rsid w:val="00DD4AB8"/>
    <w:rsid w:val="00DD4C44"/>
    <w:rsid w:val="00DD5348"/>
    <w:rsid w:val="00DD5714"/>
    <w:rsid w:val="00DD624A"/>
    <w:rsid w:val="00DD6408"/>
    <w:rsid w:val="00DD6F43"/>
    <w:rsid w:val="00DD7812"/>
    <w:rsid w:val="00DD7B03"/>
    <w:rsid w:val="00DD7C5E"/>
    <w:rsid w:val="00DE0302"/>
    <w:rsid w:val="00DE0B15"/>
    <w:rsid w:val="00DE0D83"/>
    <w:rsid w:val="00DE1F22"/>
    <w:rsid w:val="00DE1F52"/>
    <w:rsid w:val="00DE2B2F"/>
    <w:rsid w:val="00DE3011"/>
    <w:rsid w:val="00DE30E2"/>
    <w:rsid w:val="00DE31FE"/>
    <w:rsid w:val="00DE3418"/>
    <w:rsid w:val="00DE3A9A"/>
    <w:rsid w:val="00DE49CB"/>
    <w:rsid w:val="00DE6421"/>
    <w:rsid w:val="00DE706B"/>
    <w:rsid w:val="00DE74A7"/>
    <w:rsid w:val="00DE7812"/>
    <w:rsid w:val="00DF0F10"/>
    <w:rsid w:val="00DF1137"/>
    <w:rsid w:val="00DF16C0"/>
    <w:rsid w:val="00DF18CB"/>
    <w:rsid w:val="00DF21FF"/>
    <w:rsid w:val="00DF2D1A"/>
    <w:rsid w:val="00DF3A42"/>
    <w:rsid w:val="00DF46FA"/>
    <w:rsid w:val="00DF548B"/>
    <w:rsid w:val="00DF56D8"/>
    <w:rsid w:val="00DF7282"/>
    <w:rsid w:val="00DF7BAA"/>
    <w:rsid w:val="00E01465"/>
    <w:rsid w:val="00E01D22"/>
    <w:rsid w:val="00E0240C"/>
    <w:rsid w:val="00E0254E"/>
    <w:rsid w:val="00E029BA"/>
    <w:rsid w:val="00E030EC"/>
    <w:rsid w:val="00E0329F"/>
    <w:rsid w:val="00E041E4"/>
    <w:rsid w:val="00E0503F"/>
    <w:rsid w:val="00E05FBC"/>
    <w:rsid w:val="00E0639D"/>
    <w:rsid w:val="00E06EB0"/>
    <w:rsid w:val="00E07F04"/>
    <w:rsid w:val="00E100DA"/>
    <w:rsid w:val="00E10B7D"/>
    <w:rsid w:val="00E10DB0"/>
    <w:rsid w:val="00E11AC5"/>
    <w:rsid w:val="00E128FB"/>
    <w:rsid w:val="00E13C6A"/>
    <w:rsid w:val="00E14594"/>
    <w:rsid w:val="00E147EC"/>
    <w:rsid w:val="00E14B73"/>
    <w:rsid w:val="00E15542"/>
    <w:rsid w:val="00E157B5"/>
    <w:rsid w:val="00E158FA"/>
    <w:rsid w:val="00E15B78"/>
    <w:rsid w:val="00E15D5E"/>
    <w:rsid w:val="00E16632"/>
    <w:rsid w:val="00E166DE"/>
    <w:rsid w:val="00E16989"/>
    <w:rsid w:val="00E20361"/>
    <w:rsid w:val="00E20BB4"/>
    <w:rsid w:val="00E20DAC"/>
    <w:rsid w:val="00E2267B"/>
    <w:rsid w:val="00E2275C"/>
    <w:rsid w:val="00E227EA"/>
    <w:rsid w:val="00E23426"/>
    <w:rsid w:val="00E23660"/>
    <w:rsid w:val="00E236E3"/>
    <w:rsid w:val="00E2384D"/>
    <w:rsid w:val="00E25237"/>
    <w:rsid w:val="00E25533"/>
    <w:rsid w:val="00E264A6"/>
    <w:rsid w:val="00E267D2"/>
    <w:rsid w:val="00E2761D"/>
    <w:rsid w:val="00E27C0E"/>
    <w:rsid w:val="00E31326"/>
    <w:rsid w:val="00E31A1E"/>
    <w:rsid w:val="00E31B9C"/>
    <w:rsid w:val="00E3258F"/>
    <w:rsid w:val="00E32C18"/>
    <w:rsid w:val="00E34484"/>
    <w:rsid w:val="00E346D6"/>
    <w:rsid w:val="00E35AF4"/>
    <w:rsid w:val="00E37108"/>
    <w:rsid w:val="00E37348"/>
    <w:rsid w:val="00E37424"/>
    <w:rsid w:val="00E408CC"/>
    <w:rsid w:val="00E40D63"/>
    <w:rsid w:val="00E42F48"/>
    <w:rsid w:val="00E42F6A"/>
    <w:rsid w:val="00E441FB"/>
    <w:rsid w:val="00E44D5E"/>
    <w:rsid w:val="00E45180"/>
    <w:rsid w:val="00E45305"/>
    <w:rsid w:val="00E45E7E"/>
    <w:rsid w:val="00E460F4"/>
    <w:rsid w:val="00E46AC9"/>
    <w:rsid w:val="00E46BD1"/>
    <w:rsid w:val="00E474FD"/>
    <w:rsid w:val="00E47A31"/>
    <w:rsid w:val="00E47B0C"/>
    <w:rsid w:val="00E47B2C"/>
    <w:rsid w:val="00E503B6"/>
    <w:rsid w:val="00E503E9"/>
    <w:rsid w:val="00E50CD7"/>
    <w:rsid w:val="00E51424"/>
    <w:rsid w:val="00E5166B"/>
    <w:rsid w:val="00E53407"/>
    <w:rsid w:val="00E536C4"/>
    <w:rsid w:val="00E53888"/>
    <w:rsid w:val="00E53A02"/>
    <w:rsid w:val="00E53DB6"/>
    <w:rsid w:val="00E53E47"/>
    <w:rsid w:val="00E54ACA"/>
    <w:rsid w:val="00E54FB3"/>
    <w:rsid w:val="00E55904"/>
    <w:rsid w:val="00E55E72"/>
    <w:rsid w:val="00E569BD"/>
    <w:rsid w:val="00E57521"/>
    <w:rsid w:val="00E577C2"/>
    <w:rsid w:val="00E57EC8"/>
    <w:rsid w:val="00E60005"/>
    <w:rsid w:val="00E60616"/>
    <w:rsid w:val="00E6157A"/>
    <w:rsid w:val="00E61F43"/>
    <w:rsid w:val="00E628DC"/>
    <w:rsid w:val="00E6346D"/>
    <w:rsid w:val="00E63815"/>
    <w:rsid w:val="00E648CE"/>
    <w:rsid w:val="00E6516E"/>
    <w:rsid w:val="00E660CC"/>
    <w:rsid w:val="00E664B7"/>
    <w:rsid w:val="00E66614"/>
    <w:rsid w:val="00E66924"/>
    <w:rsid w:val="00E66A74"/>
    <w:rsid w:val="00E67439"/>
    <w:rsid w:val="00E703D2"/>
    <w:rsid w:val="00E71768"/>
    <w:rsid w:val="00E7176C"/>
    <w:rsid w:val="00E71CEB"/>
    <w:rsid w:val="00E71EDC"/>
    <w:rsid w:val="00E72DB7"/>
    <w:rsid w:val="00E7383C"/>
    <w:rsid w:val="00E7398B"/>
    <w:rsid w:val="00E73B6E"/>
    <w:rsid w:val="00E74154"/>
    <w:rsid w:val="00E747E6"/>
    <w:rsid w:val="00E764E7"/>
    <w:rsid w:val="00E80035"/>
    <w:rsid w:val="00E806A5"/>
    <w:rsid w:val="00E8269B"/>
    <w:rsid w:val="00E8429F"/>
    <w:rsid w:val="00E844EB"/>
    <w:rsid w:val="00E84880"/>
    <w:rsid w:val="00E84E3D"/>
    <w:rsid w:val="00E85491"/>
    <w:rsid w:val="00E85860"/>
    <w:rsid w:val="00E863E7"/>
    <w:rsid w:val="00E87B2C"/>
    <w:rsid w:val="00E9107D"/>
    <w:rsid w:val="00E916C0"/>
    <w:rsid w:val="00E919EE"/>
    <w:rsid w:val="00E92B30"/>
    <w:rsid w:val="00E930FA"/>
    <w:rsid w:val="00E93202"/>
    <w:rsid w:val="00E94EF2"/>
    <w:rsid w:val="00E95710"/>
    <w:rsid w:val="00E95877"/>
    <w:rsid w:val="00E95F13"/>
    <w:rsid w:val="00E965C9"/>
    <w:rsid w:val="00E976DF"/>
    <w:rsid w:val="00EA08E4"/>
    <w:rsid w:val="00EA0BCD"/>
    <w:rsid w:val="00EA1417"/>
    <w:rsid w:val="00EA1B29"/>
    <w:rsid w:val="00EA231A"/>
    <w:rsid w:val="00EA3D7D"/>
    <w:rsid w:val="00EA4CAB"/>
    <w:rsid w:val="00EA5493"/>
    <w:rsid w:val="00EA5552"/>
    <w:rsid w:val="00EA6121"/>
    <w:rsid w:val="00EA655D"/>
    <w:rsid w:val="00EA66E6"/>
    <w:rsid w:val="00EA698D"/>
    <w:rsid w:val="00EA701D"/>
    <w:rsid w:val="00EB12FE"/>
    <w:rsid w:val="00EB295A"/>
    <w:rsid w:val="00EB2E80"/>
    <w:rsid w:val="00EB360C"/>
    <w:rsid w:val="00EB426B"/>
    <w:rsid w:val="00EB4BAA"/>
    <w:rsid w:val="00EB5E6D"/>
    <w:rsid w:val="00EB67BD"/>
    <w:rsid w:val="00EB6CEB"/>
    <w:rsid w:val="00EC32A5"/>
    <w:rsid w:val="00EC36D4"/>
    <w:rsid w:val="00EC446E"/>
    <w:rsid w:val="00EC4758"/>
    <w:rsid w:val="00EC4E07"/>
    <w:rsid w:val="00EC57D3"/>
    <w:rsid w:val="00EC5CB4"/>
    <w:rsid w:val="00EC5EB6"/>
    <w:rsid w:val="00EC6741"/>
    <w:rsid w:val="00EC7939"/>
    <w:rsid w:val="00EC7E6F"/>
    <w:rsid w:val="00EC7E7E"/>
    <w:rsid w:val="00EC7E86"/>
    <w:rsid w:val="00ED0110"/>
    <w:rsid w:val="00ED07AE"/>
    <w:rsid w:val="00ED0D2D"/>
    <w:rsid w:val="00ED0EF9"/>
    <w:rsid w:val="00ED12CD"/>
    <w:rsid w:val="00ED13F4"/>
    <w:rsid w:val="00ED1B04"/>
    <w:rsid w:val="00ED1FC2"/>
    <w:rsid w:val="00ED20B8"/>
    <w:rsid w:val="00ED29A2"/>
    <w:rsid w:val="00ED318E"/>
    <w:rsid w:val="00ED4D0D"/>
    <w:rsid w:val="00ED50F3"/>
    <w:rsid w:val="00ED5BB3"/>
    <w:rsid w:val="00ED6901"/>
    <w:rsid w:val="00ED6A80"/>
    <w:rsid w:val="00ED7223"/>
    <w:rsid w:val="00ED7509"/>
    <w:rsid w:val="00ED7997"/>
    <w:rsid w:val="00EE024C"/>
    <w:rsid w:val="00EE0761"/>
    <w:rsid w:val="00EE09C7"/>
    <w:rsid w:val="00EE0A8A"/>
    <w:rsid w:val="00EE1197"/>
    <w:rsid w:val="00EE1848"/>
    <w:rsid w:val="00EE1BEE"/>
    <w:rsid w:val="00EE266B"/>
    <w:rsid w:val="00EE2852"/>
    <w:rsid w:val="00EE359B"/>
    <w:rsid w:val="00EE3BE1"/>
    <w:rsid w:val="00EE4F61"/>
    <w:rsid w:val="00EE5014"/>
    <w:rsid w:val="00EE65F2"/>
    <w:rsid w:val="00EE6747"/>
    <w:rsid w:val="00EE6872"/>
    <w:rsid w:val="00EF1762"/>
    <w:rsid w:val="00EF1906"/>
    <w:rsid w:val="00EF28F6"/>
    <w:rsid w:val="00EF3278"/>
    <w:rsid w:val="00EF3E8B"/>
    <w:rsid w:val="00EF47E3"/>
    <w:rsid w:val="00EF4DAF"/>
    <w:rsid w:val="00EF4FEB"/>
    <w:rsid w:val="00EF663A"/>
    <w:rsid w:val="00EF6671"/>
    <w:rsid w:val="00EF6B4A"/>
    <w:rsid w:val="00EF6E69"/>
    <w:rsid w:val="00EF7AED"/>
    <w:rsid w:val="00F0050D"/>
    <w:rsid w:val="00F00678"/>
    <w:rsid w:val="00F0152D"/>
    <w:rsid w:val="00F01723"/>
    <w:rsid w:val="00F01907"/>
    <w:rsid w:val="00F04586"/>
    <w:rsid w:val="00F049EC"/>
    <w:rsid w:val="00F0542E"/>
    <w:rsid w:val="00F056DF"/>
    <w:rsid w:val="00F058B7"/>
    <w:rsid w:val="00F05EC0"/>
    <w:rsid w:val="00F061DA"/>
    <w:rsid w:val="00F0645B"/>
    <w:rsid w:val="00F10772"/>
    <w:rsid w:val="00F11653"/>
    <w:rsid w:val="00F11677"/>
    <w:rsid w:val="00F11686"/>
    <w:rsid w:val="00F12ED0"/>
    <w:rsid w:val="00F133D3"/>
    <w:rsid w:val="00F1357A"/>
    <w:rsid w:val="00F13CFE"/>
    <w:rsid w:val="00F13FB3"/>
    <w:rsid w:val="00F145A6"/>
    <w:rsid w:val="00F14893"/>
    <w:rsid w:val="00F1546C"/>
    <w:rsid w:val="00F157FD"/>
    <w:rsid w:val="00F1581B"/>
    <w:rsid w:val="00F15973"/>
    <w:rsid w:val="00F15A89"/>
    <w:rsid w:val="00F15B72"/>
    <w:rsid w:val="00F1629A"/>
    <w:rsid w:val="00F16853"/>
    <w:rsid w:val="00F172AA"/>
    <w:rsid w:val="00F21C91"/>
    <w:rsid w:val="00F21E4B"/>
    <w:rsid w:val="00F22627"/>
    <w:rsid w:val="00F226A1"/>
    <w:rsid w:val="00F23F9C"/>
    <w:rsid w:val="00F243FE"/>
    <w:rsid w:val="00F24BEB"/>
    <w:rsid w:val="00F25E01"/>
    <w:rsid w:val="00F25FEB"/>
    <w:rsid w:val="00F26024"/>
    <w:rsid w:val="00F2659D"/>
    <w:rsid w:val="00F26B4B"/>
    <w:rsid w:val="00F26C9B"/>
    <w:rsid w:val="00F26DFE"/>
    <w:rsid w:val="00F2706C"/>
    <w:rsid w:val="00F30311"/>
    <w:rsid w:val="00F30372"/>
    <w:rsid w:val="00F3094A"/>
    <w:rsid w:val="00F31FEB"/>
    <w:rsid w:val="00F33190"/>
    <w:rsid w:val="00F34DF3"/>
    <w:rsid w:val="00F36331"/>
    <w:rsid w:val="00F377F6"/>
    <w:rsid w:val="00F37864"/>
    <w:rsid w:val="00F37CA6"/>
    <w:rsid w:val="00F40347"/>
    <w:rsid w:val="00F41282"/>
    <w:rsid w:val="00F417CC"/>
    <w:rsid w:val="00F43AB2"/>
    <w:rsid w:val="00F443B8"/>
    <w:rsid w:val="00F44CBB"/>
    <w:rsid w:val="00F452E7"/>
    <w:rsid w:val="00F46127"/>
    <w:rsid w:val="00F46D09"/>
    <w:rsid w:val="00F46FCD"/>
    <w:rsid w:val="00F50D10"/>
    <w:rsid w:val="00F50E29"/>
    <w:rsid w:val="00F512F7"/>
    <w:rsid w:val="00F51F45"/>
    <w:rsid w:val="00F52FC7"/>
    <w:rsid w:val="00F5461F"/>
    <w:rsid w:val="00F556D7"/>
    <w:rsid w:val="00F56314"/>
    <w:rsid w:val="00F56628"/>
    <w:rsid w:val="00F56B12"/>
    <w:rsid w:val="00F573E3"/>
    <w:rsid w:val="00F57C3C"/>
    <w:rsid w:val="00F6090D"/>
    <w:rsid w:val="00F60BD4"/>
    <w:rsid w:val="00F60FD5"/>
    <w:rsid w:val="00F61141"/>
    <w:rsid w:val="00F6177B"/>
    <w:rsid w:val="00F61E38"/>
    <w:rsid w:val="00F625F2"/>
    <w:rsid w:val="00F62E10"/>
    <w:rsid w:val="00F630C9"/>
    <w:rsid w:val="00F63D49"/>
    <w:rsid w:val="00F643E1"/>
    <w:rsid w:val="00F663F9"/>
    <w:rsid w:val="00F675E1"/>
    <w:rsid w:val="00F7054C"/>
    <w:rsid w:val="00F721F0"/>
    <w:rsid w:val="00F72550"/>
    <w:rsid w:val="00F72B42"/>
    <w:rsid w:val="00F72BB2"/>
    <w:rsid w:val="00F730C9"/>
    <w:rsid w:val="00F733F3"/>
    <w:rsid w:val="00F73A39"/>
    <w:rsid w:val="00F73AAD"/>
    <w:rsid w:val="00F73E47"/>
    <w:rsid w:val="00F758FF"/>
    <w:rsid w:val="00F75903"/>
    <w:rsid w:val="00F75D3A"/>
    <w:rsid w:val="00F80139"/>
    <w:rsid w:val="00F80605"/>
    <w:rsid w:val="00F80FFE"/>
    <w:rsid w:val="00F8117E"/>
    <w:rsid w:val="00F825B5"/>
    <w:rsid w:val="00F82EA5"/>
    <w:rsid w:val="00F837A1"/>
    <w:rsid w:val="00F84121"/>
    <w:rsid w:val="00F84126"/>
    <w:rsid w:val="00F841CA"/>
    <w:rsid w:val="00F847E4"/>
    <w:rsid w:val="00F848C7"/>
    <w:rsid w:val="00F859AE"/>
    <w:rsid w:val="00F85BC6"/>
    <w:rsid w:val="00F86FF9"/>
    <w:rsid w:val="00F87C31"/>
    <w:rsid w:val="00F90BDC"/>
    <w:rsid w:val="00F9106F"/>
    <w:rsid w:val="00F9212E"/>
    <w:rsid w:val="00F927E9"/>
    <w:rsid w:val="00F92990"/>
    <w:rsid w:val="00F93918"/>
    <w:rsid w:val="00F93E9A"/>
    <w:rsid w:val="00F9445F"/>
    <w:rsid w:val="00F94F34"/>
    <w:rsid w:val="00F95F0A"/>
    <w:rsid w:val="00F967C9"/>
    <w:rsid w:val="00F96E21"/>
    <w:rsid w:val="00F96F30"/>
    <w:rsid w:val="00F97C37"/>
    <w:rsid w:val="00FA0329"/>
    <w:rsid w:val="00FA07AF"/>
    <w:rsid w:val="00FA1704"/>
    <w:rsid w:val="00FA1A77"/>
    <w:rsid w:val="00FA1C63"/>
    <w:rsid w:val="00FA32DE"/>
    <w:rsid w:val="00FA3738"/>
    <w:rsid w:val="00FA37FA"/>
    <w:rsid w:val="00FA39F2"/>
    <w:rsid w:val="00FA5504"/>
    <w:rsid w:val="00FA6B7E"/>
    <w:rsid w:val="00FA76C8"/>
    <w:rsid w:val="00FA7A13"/>
    <w:rsid w:val="00FB0256"/>
    <w:rsid w:val="00FB2D4B"/>
    <w:rsid w:val="00FB3214"/>
    <w:rsid w:val="00FB3530"/>
    <w:rsid w:val="00FB4658"/>
    <w:rsid w:val="00FB495B"/>
    <w:rsid w:val="00FB55EC"/>
    <w:rsid w:val="00FB56C6"/>
    <w:rsid w:val="00FB57DB"/>
    <w:rsid w:val="00FB6669"/>
    <w:rsid w:val="00FB76AF"/>
    <w:rsid w:val="00FB7864"/>
    <w:rsid w:val="00FC06E3"/>
    <w:rsid w:val="00FC1618"/>
    <w:rsid w:val="00FC22AB"/>
    <w:rsid w:val="00FC2315"/>
    <w:rsid w:val="00FC2400"/>
    <w:rsid w:val="00FC272E"/>
    <w:rsid w:val="00FC294A"/>
    <w:rsid w:val="00FC2BE5"/>
    <w:rsid w:val="00FC30F3"/>
    <w:rsid w:val="00FC4DBD"/>
    <w:rsid w:val="00FC56B6"/>
    <w:rsid w:val="00FC594B"/>
    <w:rsid w:val="00FC7827"/>
    <w:rsid w:val="00FC7DDB"/>
    <w:rsid w:val="00FC7EF4"/>
    <w:rsid w:val="00FD065D"/>
    <w:rsid w:val="00FD0913"/>
    <w:rsid w:val="00FD0DA5"/>
    <w:rsid w:val="00FD1088"/>
    <w:rsid w:val="00FD110D"/>
    <w:rsid w:val="00FD1FDA"/>
    <w:rsid w:val="00FD2394"/>
    <w:rsid w:val="00FD2E62"/>
    <w:rsid w:val="00FD3C2C"/>
    <w:rsid w:val="00FD40EA"/>
    <w:rsid w:val="00FD4109"/>
    <w:rsid w:val="00FD4211"/>
    <w:rsid w:val="00FD4339"/>
    <w:rsid w:val="00FD4A82"/>
    <w:rsid w:val="00FD4C09"/>
    <w:rsid w:val="00FD58CE"/>
    <w:rsid w:val="00FD5A47"/>
    <w:rsid w:val="00FD5FAA"/>
    <w:rsid w:val="00FD6311"/>
    <w:rsid w:val="00FD7841"/>
    <w:rsid w:val="00FE0697"/>
    <w:rsid w:val="00FE1BDE"/>
    <w:rsid w:val="00FE239A"/>
    <w:rsid w:val="00FE2431"/>
    <w:rsid w:val="00FE2BA2"/>
    <w:rsid w:val="00FE33CF"/>
    <w:rsid w:val="00FE4C58"/>
    <w:rsid w:val="00FE6746"/>
    <w:rsid w:val="00FE69E2"/>
    <w:rsid w:val="00FE7EE9"/>
    <w:rsid w:val="00FF0171"/>
    <w:rsid w:val="00FF15A7"/>
    <w:rsid w:val="00FF1DA4"/>
    <w:rsid w:val="00FF2550"/>
    <w:rsid w:val="00FF26EB"/>
    <w:rsid w:val="00FF2AEA"/>
    <w:rsid w:val="00FF321A"/>
    <w:rsid w:val="00FF3592"/>
    <w:rsid w:val="00FF387C"/>
    <w:rsid w:val="00FF3BE1"/>
    <w:rsid w:val="00FF4B40"/>
    <w:rsid w:val="00FF4D02"/>
    <w:rsid w:val="00FF5228"/>
    <w:rsid w:val="00FF5299"/>
    <w:rsid w:val="00FF6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BB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252"/>
    <w:pPr>
      <w:spacing w:before="120" w:line="240" w:lineRule="auto"/>
      <w:jc w:val="both"/>
    </w:pPr>
    <w:rPr>
      <w:sz w:val="24"/>
    </w:rPr>
  </w:style>
  <w:style w:type="paragraph" w:styleId="Heading1">
    <w:name w:val="heading 1"/>
    <w:next w:val="MSACESParagraph"/>
    <w:link w:val="Heading1Char"/>
    <w:uiPriority w:val="2"/>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74610D"/>
    <w:pPr>
      <w:outlineLvl w:val="2"/>
    </w:pPr>
    <w:rPr>
      <w:b/>
      <w:bCs/>
    </w:rPr>
  </w:style>
  <w:style w:type="paragraph" w:styleId="Heading4">
    <w:name w:val="heading 4"/>
    <w:basedOn w:val="Heading1"/>
    <w:next w:val="Normal"/>
    <w:link w:val="Heading4Char"/>
    <w:uiPriority w:val="3"/>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94C83"/>
    <w:rPr>
      <w:rFonts w:eastAsiaTheme="majorEastAsia" w:cstheme="majorBidi"/>
      <w:b/>
      <w:sz w:val="32"/>
      <w:szCs w:val="28"/>
    </w:rPr>
  </w:style>
  <w:style w:type="character" w:customStyle="1" w:styleId="Heading2Char">
    <w:name w:val="Heading 2 Char"/>
    <w:basedOn w:val="DefaultParagraphFont"/>
    <w:link w:val="Heading2"/>
    <w:uiPriority w:val="3"/>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74610D"/>
    <w:rPr>
      <w:b/>
      <w:bCs/>
      <w:sz w:val="24"/>
    </w:rPr>
  </w:style>
  <w:style w:type="paragraph" w:styleId="ListParagraph">
    <w:name w:val="List Paragraph"/>
    <w:aliases w:val="PBAC ES Paragraph,BulletPoints,Numbered para,Footnote,Bullet point,List Paragraph1,List Paragraph11,Recommendation,ES Paragraph,PBAC normal points,Bullet List"/>
    <w:basedOn w:val="Normal"/>
    <w:link w:val="ListParagraphChar"/>
    <w:uiPriority w:val="34"/>
    <w:qFormat/>
    <w:rsid w:val="004908B7"/>
    <w:pPr>
      <w:numPr>
        <w:ilvl w:val="4"/>
        <w:numId w:val="6"/>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C71A5D"/>
    <w:rPr>
      <w:color w:val="0070C0"/>
    </w:rPr>
  </w:style>
  <w:style w:type="character" w:customStyle="1" w:styleId="Heading4Char">
    <w:name w:val="Heading 4 Char"/>
    <w:basedOn w:val="DefaultParagraphFont"/>
    <w:link w:val="Heading4"/>
    <w:uiPriority w:val="3"/>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ASD Tabl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har,c"/>
    <w:next w:val="Normal"/>
    <w:link w:val="CaptionChar"/>
    <w:qFormat/>
    <w:rsid w:val="00667287"/>
    <w:pPr>
      <w:keepNext/>
      <w:spacing w:before="240" w:after="0"/>
      <w:ind w:left="851" w:hanging="851"/>
      <w:contextualSpacing/>
      <w:jc w:val="both"/>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semiHidden/>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semiHidden/>
    <w:rsid w:val="00BA3306"/>
    <w:rPr>
      <w:vertAlign w:val="superscript"/>
    </w:rPr>
  </w:style>
  <w:style w:type="character" w:styleId="CommentReference">
    <w:name w:val="annotation reference"/>
    <w:aliases w:val="Table Title,-H18"/>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F95F0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har Char"/>
    <w:link w:val="Caption"/>
    <w:rsid w:val="00667287"/>
    <w:rPr>
      <w:rFonts w:ascii="Arial Narrow" w:hAnsi="Arial Narrow"/>
      <w:b/>
      <w:iCs/>
      <w:sz w:val="20"/>
      <w:szCs w:val="18"/>
    </w:rPr>
  </w:style>
  <w:style w:type="paragraph" w:customStyle="1" w:styleId="TableFooter">
    <w:name w:val="Table Footer"/>
    <w:basedOn w:val="Normal"/>
    <w:link w:val="TableFooterChar"/>
    <w:uiPriority w:val="1"/>
    <w:qFormat/>
    <w:rsid w:val="00140A20"/>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1"/>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semiHidden/>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semiHidden/>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semiHidden/>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semiHidden/>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ulletPoints Char,Numbered para Char,Footnote Char,Bullet point Char,List Paragraph1 Char,List Paragraph11 Char,Recommendation Char,ES Paragraph Char,PBAC normal points Char,Bullet List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6"/>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ahoma" w:hAnsi="Tahoma"/>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ahoma" w:hAnsi="Tahoma"/>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ahoma" w:hAnsi="Tahoma"/>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9"/>
      </w:numPr>
      <w:spacing w:after="120"/>
      <w:jc w:val="left"/>
    </w:pPr>
    <w:rPr>
      <w:rFonts w:ascii="Calibri" w:hAnsi="Calibri"/>
    </w:rPr>
  </w:style>
  <w:style w:type="paragraph" w:customStyle="1" w:styleId="PBACESHeading2">
    <w:name w:val="PBAC ES Heading 2"/>
    <w:basedOn w:val="Heading2"/>
    <w:link w:val="PBACESHeading2Char"/>
    <w:uiPriority w:val="1"/>
    <w:qFormat/>
    <w:rsid w:val="00002272"/>
    <w:pPr>
      <w:numPr>
        <w:ilvl w:val="2"/>
        <w:numId w:val="1"/>
      </w:numPr>
    </w:pPr>
    <w:rPr>
      <w:rFonts w:asciiTheme="minorHAnsi" w:hAnsiTheme="minorHAnsi" w:cstheme="minorHAnsi"/>
    </w:rPr>
  </w:style>
  <w:style w:type="character" w:customStyle="1" w:styleId="InstructionBulletpointChar">
    <w:name w:val="Instruction Bullet point Char"/>
    <w:basedOn w:val="InstructionalTextChar"/>
    <w:link w:val="InstructionBulletpoint"/>
    <w:uiPriority w:val="3"/>
    <w:rsid w:val="002532B4"/>
    <w:rPr>
      <w:rFonts w:ascii="Calibri" w:hAnsi="Calibri"/>
      <w:color w:val="0070C0"/>
      <w:sz w:val="24"/>
    </w:rPr>
  </w:style>
  <w:style w:type="character" w:customStyle="1" w:styleId="PBACESHeading2Char">
    <w:name w:val="PBAC ES Heading 2 Char"/>
    <w:basedOn w:val="Heading2Char"/>
    <w:link w:val="PBACESHeading2"/>
    <w:uiPriority w:val="1"/>
    <w:rsid w:val="00002272"/>
    <w:rPr>
      <w:rFonts w:ascii="Arial" w:eastAsiaTheme="majorEastAsia" w:hAnsi="Arial" w:cstheme="minorHAns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Arial" w:eastAsiaTheme="majorEastAsia" w:hAnsi="Arial" w:cstheme="minorHAns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Arial" w:eastAsiaTheme="majorEastAsia" w:hAnsi="Arial" w:cstheme="minorHAns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10"/>
      </w:numPr>
      <w:spacing w:after="120"/>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Id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6"/>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6"/>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7"/>
      </w:numPr>
    </w:pPr>
  </w:style>
  <w:style w:type="paragraph" w:customStyle="1" w:styleId="MainBodyBulletPoint">
    <w:name w:val="MainBody Bullet Point"/>
    <w:basedOn w:val="InstructionBulletpoint"/>
    <w:link w:val="MainBodyBulletPointChar"/>
    <w:uiPriority w:val="1"/>
    <w:qFormat/>
    <w:rsid w:val="002532B4"/>
    <w:pPr>
      <w:numPr>
        <w:numId w:val="8"/>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olor w:val="0070C0"/>
      <w:sz w:val="24"/>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1"/>
      </w:numPr>
    </w:pPr>
  </w:style>
  <w:style w:type="numbering" w:customStyle="1" w:styleId="Style2">
    <w:name w:val="Style2"/>
    <w:uiPriority w:val="99"/>
    <w:rsid w:val="002A391F"/>
    <w:pPr>
      <w:numPr>
        <w:numId w:val="13"/>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semiHidden/>
    <w:rsid w:val="003D1FB3"/>
    <w:rPr>
      <w:i/>
      <w:iCs/>
    </w:rPr>
  </w:style>
  <w:style w:type="numbering" w:customStyle="1" w:styleId="Style3">
    <w:name w:val="Style3"/>
    <w:uiPriority w:val="99"/>
    <w:rsid w:val="0076446C"/>
    <w:pPr>
      <w:numPr>
        <w:numId w:val="14"/>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nhideWhenUsed/>
    <w:rsid w:val="004A71A5"/>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rsid w:val="004A71A5"/>
    <w:rPr>
      <w:sz w:val="20"/>
      <w:szCs w:val="20"/>
    </w:rPr>
  </w:style>
  <w:style w:type="paragraph" w:customStyle="1" w:styleId="Default">
    <w:name w:val="Default"/>
    <w:rsid w:val="00CE0B6F"/>
    <w:pPr>
      <w:autoSpaceDE w:val="0"/>
      <w:autoSpaceDN w:val="0"/>
      <w:adjustRightInd w:val="0"/>
      <w:spacing w:after="0" w:line="240" w:lineRule="auto"/>
    </w:pPr>
    <w:rPr>
      <w:rFonts w:ascii="Arial" w:hAnsi="Arial" w:cs="Arial"/>
      <w:color w:val="000000"/>
      <w:sz w:val="24"/>
      <w:szCs w:val="24"/>
    </w:rPr>
  </w:style>
  <w:style w:type="table" w:customStyle="1" w:styleId="TableGridbeth1">
    <w:name w:val="Table Gridbeth1"/>
    <w:basedOn w:val="TableNormal"/>
    <w:next w:val="TableGrid"/>
    <w:uiPriority w:val="59"/>
    <w:rsid w:val="009938ED"/>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AUBodyCopy-noSpaceAfter">
    <w:name w:val="AU Body Copy - no Space After"/>
    <w:basedOn w:val="Normal"/>
    <w:rsid w:val="00D73F93"/>
    <w:pPr>
      <w:spacing w:before="0" w:after="0"/>
      <w:jc w:val="left"/>
    </w:pPr>
    <w:rPr>
      <w:rFonts w:ascii="Times New Roman" w:eastAsia="Times New Roman" w:hAnsi="Times New Roman" w:cs="Times New Roman"/>
      <w:szCs w:val="20"/>
    </w:rPr>
  </w:style>
  <w:style w:type="table" w:customStyle="1" w:styleId="PBACTableStyle1">
    <w:name w:val="PBAC Table Style1"/>
    <w:basedOn w:val="TableGrid1"/>
    <w:uiPriority w:val="99"/>
    <w:rsid w:val="009F4D28"/>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0">
    <w:name w:val="Table Grid1"/>
    <w:basedOn w:val="TableNormal"/>
    <w:next w:val="TableGrid"/>
    <w:rsid w:val="00205E5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05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uiPriority w:val="2"/>
    <w:qFormat/>
    <w:rsid w:val="00B52502"/>
    <w:pPr>
      <w:spacing w:before="0" w:after="0"/>
      <w:jc w:val="left"/>
    </w:pPr>
    <w:rPr>
      <w:rFonts w:ascii="Arial Narrow" w:eastAsia="Times New Roman" w:hAnsi="Arial Narrow" w:cs="Times New Roman"/>
      <w:sz w:val="20"/>
    </w:rPr>
  </w:style>
  <w:style w:type="character" w:customStyle="1" w:styleId="TabletextChar0">
    <w:name w:val="Table text Char"/>
    <w:link w:val="Tabletext0"/>
    <w:uiPriority w:val="2"/>
    <w:rsid w:val="00B52502"/>
    <w:rPr>
      <w:rFonts w:ascii="Arial Narrow" w:eastAsia="Times New Roman" w:hAnsi="Arial Narrow" w:cs="Times New Roman"/>
      <w:sz w:val="20"/>
    </w:rPr>
  </w:style>
  <w:style w:type="paragraph" w:customStyle="1" w:styleId="TableCenter">
    <w:name w:val="Table Center"/>
    <w:basedOn w:val="Normal"/>
    <w:uiPriority w:val="12"/>
    <w:qFormat/>
    <w:rsid w:val="00B52502"/>
    <w:pPr>
      <w:spacing w:before="40" w:after="40" w:line="276" w:lineRule="auto"/>
      <w:jc w:val="center"/>
    </w:pPr>
    <w:rPr>
      <w:rFonts w:ascii="Times New Roman" w:eastAsia="Times New Roman" w:hAnsi="Times New Roman" w:cs="Times New Roman"/>
      <w:sz w:val="20"/>
      <w:szCs w:val="24"/>
      <w:lang w:val="en-GB"/>
    </w:rPr>
  </w:style>
  <w:style w:type="paragraph" w:customStyle="1" w:styleId="TableHead">
    <w:name w:val="Table Head"/>
    <w:basedOn w:val="TableText"/>
    <w:uiPriority w:val="11"/>
    <w:qFormat/>
    <w:rsid w:val="00B52502"/>
    <w:pPr>
      <w:widowControl/>
      <w:spacing w:line="240" w:lineRule="auto"/>
      <w:jc w:val="center"/>
    </w:pPr>
    <w:rPr>
      <w:rFonts w:ascii="Times New Roman" w:eastAsia="Times New Roman" w:hAnsi="Times New Roman" w:cs="Times New Roman"/>
      <w:b/>
      <w:szCs w:val="48"/>
      <w:lang w:val="en-GB"/>
    </w:rPr>
  </w:style>
  <w:style w:type="paragraph" w:customStyle="1" w:styleId="TableLeft">
    <w:name w:val="Table Left"/>
    <w:uiPriority w:val="12"/>
    <w:qFormat/>
    <w:rsid w:val="00B52502"/>
    <w:pPr>
      <w:spacing w:before="40" w:after="40" w:line="276" w:lineRule="auto"/>
    </w:pPr>
    <w:rPr>
      <w:rFonts w:ascii="Times New Roman" w:eastAsia="Times New Roman" w:hAnsi="Times New Roman" w:cs="Arial"/>
      <w:bCs/>
      <w:kern w:val="32"/>
      <w:sz w:val="20"/>
      <w:szCs w:val="24"/>
      <w:lang w:val="en-GB"/>
    </w:rPr>
  </w:style>
  <w:style w:type="paragraph" w:customStyle="1" w:styleId="TableFootnoteInfo">
    <w:name w:val="Table Footnote Info"/>
    <w:basedOn w:val="Normal"/>
    <w:uiPriority w:val="14"/>
    <w:qFormat/>
    <w:rsid w:val="00B52502"/>
    <w:pPr>
      <w:keepLines/>
      <w:spacing w:before="40" w:after="40" w:line="276" w:lineRule="auto"/>
      <w:jc w:val="left"/>
    </w:pPr>
    <w:rPr>
      <w:rFonts w:ascii="Times New Roman" w:eastAsia="Times New Roman" w:hAnsi="Times New Roman" w:cs="Times New Roman"/>
      <w:sz w:val="20"/>
      <w:szCs w:val="48"/>
      <w:lang w:val="en-GB"/>
    </w:rPr>
  </w:style>
  <w:style w:type="paragraph" w:customStyle="1" w:styleId="TableFootnoteLetter">
    <w:name w:val="Table Footnote Letter"/>
    <w:basedOn w:val="Normal"/>
    <w:uiPriority w:val="13"/>
    <w:rsid w:val="00B52502"/>
    <w:pPr>
      <w:keepLines/>
      <w:numPr>
        <w:numId w:val="15"/>
      </w:numPr>
      <w:spacing w:before="40" w:after="40"/>
      <w:jc w:val="left"/>
    </w:pPr>
    <w:rPr>
      <w:rFonts w:ascii="Times New Roman" w:eastAsia="Times New Roman" w:hAnsi="Times New Roman" w:cs="Times New Roman"/>
      <w:sz w:val="20"/>
      <w:szCs w:val="20"/>
      <w:lang w:val="en-GB"/>
    </w:rPr>
  </w:style>
  <w:style w:type="table" w:customStyle="1" w:styleId="PBACTableStyle2">
    <w:name w:val="PBAC Table Style2"/>
    <w:basedOn w:val="TableGrid1"/>
    <w:uiPriority w:val="99"/>
    <w:rsid w:val="001B3E2A"/>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ahoma" w:hAnsi="Tahoma"/>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ahoma" w:hAnsi="Tahoma"/>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ahoma" w:hAnsi="Tahoma"/>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character" w:customStyle="1" w:styleId="e24kjd">
    <w:name w:val="e24kjd"/>
    <w:basedOn w:val="DefaultParagraphFont"/>
    <w:rsid w:val="003A6EBA"/>
  </w:style>
  <w:style w:type="paragraph" w:customStyle="1" w:styleId="Sources">
    <w:name w:val="Sources"/>
    <w:basedOn w:val="Normal"/>
    <w:link w:val="SourcesChar"/>
    <w:qFormat/>
    <w:rsid w:val="00465690"/>
    <w:pPr>
      <w:spacing w:after="120"/>
    </w:pPr>
    <w:rPr>
      <w:rFonts w:ascii="Arial" w:hAnsi="Arial"/>
      <w:sz w:val="16"/>
    </w:rPr>
  </w:style>
  <w:style w:type="paragraph" w:customStyle="1" w:styleId="TableHeading">
    <w:name w:val="Table Heading"/>
    <w:basedOn w:val="TableText"/>
    <w:link w:val="TableHeadingChar"/>
    <w:qFormat/>
    <w:rsid w:val="00465690"/>
    <w:pPr>
      <w:keepNext/>
      <w:keepLines/>
      <w:widowControl/>
      <w:spacing w:before="20" w:after="20" w:line="276" w:lineRule="auto"/>
      <w:jc w:val="both"/>
    </w:pPr>
    <w:rPr>
      <w:rFonts w:eastAsiaTheme="majorEastAsia" w:cs="Arial"/>
      <w:b/>
      <w:szCs w:val="20"/>
      <w:lang w:eastAsia="en-AU" w:bidi="en-US"/>
    </w:rPr>
  </w:style>
  <w:style w:type="character" w:customStyle="1" w:styleId="TableHeadingChar">
    <w:name w:val="Table Heading Char"/>
    <w:basedOn w:val="DefaultParagraphFont"/>
    <w:link w:val="TableHeading"/>
    <w:locked/>
    <w:rsid w:val="00465690"/>
    <w:rPr>
      <w:rFonts w:ascii="Arial Narrow" w:eastAsiaTheme="majorEastAsia" w:hAnsi="Arial Narrow" w:cs="Arial"/>
      <w:b/>
      <w:sz w:val="20"/>
      <w:szCs w:val="20"/>
      <w:lang w:eastAsia="en-AU" w:bidi="en-US"/>
    </w:rPr>
  </w:style>
  <w:style w:type="paragraph" w:customStyle="1" w:styleId="TableText1">
    <w:name w:val="TableText"/>
    <w:basedOn w:val="Normal"/>
    <w:link w:val="TableTextChar1"/>
    <w:uiPriority w:val="3"/>
    <w:qFormat/>
    <w:rsid w:val="00465690"/>
    <w:pPr>
      <w:spacing w:before="40" w:after="40"/>
      <w:jc w:val="left"/>
    </w:pPr>
    <w:rPr>
      <w:rFonts w:ascii="Calibri" w:eastAsia="Times New Roman" w:hAnsi="Calibri" w:cs="Times New Roman"/>
      <w:iCs/>
      <w:sz w:val="20"/>
      <w:szCs w:val="18"/>
    </w:rPr>
  </w:style>
  <w:style w:type="character" w:customStyle="1" w:styleId="TableTextChar1">
    <w:name w:val="TableText Char"/>
    <w:link w:val="TableText1"/>
    <w:uiPriority w:val="3"/>
    <w:rsid w:val="00465690"/>
    <w:rPr>
      <w:rFonts w:ascii="Calibri" w:eastAsia="Times New Roman" w:hAnsi="Calibri" w:cs="Times New Roman"/>
      <w:iCs/>
      <w:sz w:val="20"/>
      <w:szCs w:val="18"/>
    </w:rPr>
  </w:style>
  <w:style w:type="character" w:customStyle="1" w:styleId="SourcesChar">
    <w:name w:val="Sources Char"/>
    <w:basedOn w:val="DefaultParagraphFont"/>
    <w:link w:val="Sources"/>
    <w:rsid w:val="00465690"/>
    <w:rPr>
      <w:rFonts w:ascii="Arial" w:hAnsi="Arial"/>
      <w:sz w:val="16"/>
    </w:rPr>
  </w:style>
  <w:style w:type="character" w:customStyle="1" w:styleId="UnresolvedMention1">
    <w:name w:val="Unresolved Mention1"/>
    <w:basedOn w:val="DefaultParagraphFont"/>
    <w:uiPriority w:val="99"/>
    <w:semiHidden/>
    <w:unhideWhenUsed/>
    <w:rsid w:val="00465690"/>
    <w:rPr>
      <w:color w:val="605E5C"/>
      <w:shd w:val="clear" w:color="auto" w:fill="E1DFDD"/>
    </w:rPr>
  </w:style>
  <w:style w:type="table" w:styleId="TableGridLight">
    <w:name w:val="Grid Table Light"/>
    <w:basedOn w:val="TableNormal"/>
    <w:uiPriority w:val="40"/>
    <w:rsid w:val="004656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ZTable1">
    <w:name w:val="AZ Table1"/>
    <w:basedOn w:val="TableNormal"/>
    <w:uiPriority w:val="99"/>
    <w:rsid w:val="004656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
    <w:name w:val="AZ Table"/>
    <w:basedOn w:val="TableNormal"/>
    <w:uiPriority w:val="99"/>
    <w:rsid w:val="00465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Strong">
    <w:name w:val="Strong"/>
    <w:basedOn w:val="DefaultParagraphFont"/>
    <w:uiPriority w:val="22"/>
    <w:qFormat/>
    <w:rsid w:val="00465690"/>
    <w:rPr>
      <w:b/>
      <w:bCs/>
    </w:rPr>
  </w:style>
  <w:style w:type="paragraph" w:customStyle="1" w:styleId="EndNoteBibliographyTitle">
    <w:name w:val="EndNote Bibliography Title"/>
    <w:basedOn w:val="Normal"/>
    <w:link w:val="EndNoteBibliographyTitleChar"/>
    <w:rsid w:val="00FA32D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A32DE"/>
    <w:rPr>
      <w:rFonts w:ascii="Calibri" w:hAnsi="Calibri" w:cs="Calibri"/>
      <w:noProof/>
      <w:sz w:val="24"/>
      <w:lang w:val="en-US"/>
    </w:rPr>
  </w:style>
  <w:style w:type="paragraph" w:customStyle="1" w:styleId="EndNoteBibliography">
    <w:name w:val="EndNote Bibliography"/>
    <w:basedOn w:val="Normal"/>
    <w:link w:val="EndNoteBibliographyChar"/>
    <w:rsid w:val="00FA32DE"/>
    <w:rPr>
      <w:rFonts w:ascii="Calibri" w:hAnsi="Calibri" w:cs="Calibri"/>
      <w:noProof/>
      <w:lang w:val="en-US"/>
    </w:rPr>
  </w:style>
  <w:style w:type="character" w:customStyle="1" w:styleId="EndNoteBibliographyChar">
    <w:name w:val="EndNote Bibliography Char"/>
    <w:basedOn w:val="DefaultParagraphFont"/>
    <w:link w:val="EndNoteBibliography"/>
    <w:rsid w:val="00FA32DE"/>
    <w:rPr>
      <w:rFonts w:ascii="Calibri" w:hAnsi="Calibri" w:cs="Calibri"/>
      <w:noProof/>
      <w:sz w:val="24"/>
      <w:lang w:val="en-US"/>
    </w:rPr>
  </w:style>
  <w:style w:type="paragraph" w:customStyle="1" w:styleId="xmsonormal">
    <w:name w:val="x_msonormal"/>
    <w:basedOn w:val="Normal"/>
    <w:rsid w:val="00BC7598"/>
    <w:pPr>
      <w:spacing w:before="0" w:after="0"/>
      <w:jc w:val="left"/>
    </w:pPr>
    <w:rPr>
      <w:rFonts w:ascii="Times New Roman" w:hAnsi="Times New Roman" w:cs="Times New Roman"/>
      <w:szCs w:val="24"/>
      <w:lang w:eastAsia="en-AU"/>
    </w:rPr>
  </w:style>
  <w:style w:type="paragraph" w:customStyle="1" w:styleId="PBACHeading1">
    <w:name w:val="PBAC Heading 1"/>
    <w:qFormat/>
    <w:rsid w:val="005B305D"/>
    <w:pPr>
      <w:spacing w:after="0" w:line="240" w:lineRule="auto"/>
      <w:ind w:left="720" w:hanging="720"/>
      <w:outlineLvl w:val="0"/>
    </w:pPr>
    <w:rPr>
      <w:rFonts w:ascii="Calibri" w:eastAsia="Times New Roman" w:hAnsi="Calibri" w:cs="Calibri"/>
      <w:b/>
      <w:snapToGrid w:val="0"/>
      <w:sz w:val="32"/>
      <w:szCs w:val="32"/>
    </w:rPr>
  </w:style>
  <w:style w:type="paragraph" w:customStyle="1" w:styleId="title1">
    <w:name w:val="title1"/>
    <w:basedOn w:val="Normal"/>
    <w:rsid w:val="000C00C3"/>
    <w:pPr>
      <w:spacing w:before="0" w:after="0"/>
      <w:jc w:val="left"/>
    </w:pPr>
    <w:rPr>
      <w:rFonts w:ascii="Times New Roman" w:eastAsia="Times New Roman" w:hAnsi="Times New Roman" w:cs="Times New Roman"/>
      <w:sz w:val="27"/>
      <w:szCs w:val="27"/>
      <w:lang w:eastAsia="en-AU"/>
    </w:rPr>
  </w:style>
  <w:style w:type="paragraph" w:customStyle="1" w:styleId="desc2">
    <w:name w:val="desc2"/>
    <w:basedOn w:val="Normal"/>
    <w:rsid w:val="000C00C3"/>
    <w:pPr>
      <w:spacing w:before="0" w:after="0"/>
      <w:jc w:val="left"/>
    </w:pPr>
    <w:rPr>
      <w:rFonts w:ascii="Times New Roman" w:eastAsia="Times New Roman" w:hAnsi="Times New Roman" w:cs="Times New Roman"/>
      <w:sz w:val="26"/>
      <w:szCs w:val="26"/>
      <w:lang w:eastAsia="en-AU"/>
    </w:rPr>
  </w:style>
  <w:style w:type="paragraph" w:customStyle="1" w:styleId="details1">
    <w:name w:val="details1"/>
    <w:basedOn w:val="Normal"/>
    <w:rsid w:val="000C00C3"/>
    <w:pPr>
      <w:spacing w:before="0" w:after="0"/>
      <w:jc w:val="left"/>
    </w:pPr>
    <w:rPr>
      <w:rFonts w:ascii="Times New Roman" w:eastAsia="Times New Roman" w:hAnsi="Times New Roman" w:cs="Times New Roman"/>
      <w:sz w:val="22"/>
      <w:lang w:eastAsia="en-AU"/>
    </w:rPr>
  </w:style>
  <w:style w:type="character" w:customStyle="1" w:styleId="jrnl">
    <w:name w:val="jrnl"/>
    <w:basedOn w:val="DefaultParagraphFont"/>
    <w:rsid w:val="000C00C3"/>
  </w:style>
  <w:style w:type="paragraph" w:styleId="HTMLPreformatted">
    <w:name w:val="HTML Preformatted"/>
    <w:basedOn w:val="Normal"/>
    <w:link w:val="HTMLPreformattedChar"/>
    <w:uiPriority w:val="99"/>
    <w:unhideWhenUsed/>
    <w:rsid w:val="000C0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0C00C3"/>
    <w:rPr>
      <w:rFonts w:ascii="Courier New" w:eastAsia="Times New Roman" w:hAnsi="Courier New" w:cs="Courier New"/>
      <w:sz w:val="20"/>
      <w:szCs w:val="20"/>
      <w:lang w:eastAsia="en-AU"/>
    </w:rPr>
  </w:style>
  <w:style w:type="paragraph" w:customStyle="1" w:styleId="1MainTitle">
    <w:name w:val="1. Main Title"/>
    <w:basedOn w:val="Title"/>
    <w:link w:val="1MainTitleChar"/>
    <w:qFormat/>
    <w:rsid w:val="0020356A"/>
    <w:pPr>
      <w:spacing w:before="120" w:after="160"/>
      <w:ind w:left="720" w:hanging="720"/>
      <w:jc w:val="left"/>
      <w:outlineLvl w:val="0"/>
    </w:pPr>
    <w:rPr>
      <w:b/>
      <w:spacing w:val="5"/>
      <w:sz w:val="36"/>
      <w:szCs w:val="36"/>
    </w:rPr>
  </w:style>
  <w:style w:type="character" w:customStyle="1" w:styleId="1MainTitleChar">
    <w:name w:val="1. Main Title Char"/>
    <w:basedOn w:val="TitleChar"/>
    <w:link w:val="1MainTitle"/>
    <w:rsid w:val="0020356A"/>
    <w:rPr>
      <w:rFonts w:asciiTheme="majorHAnsi" w:eastAsiaTheme="majorEastAsia" w:hAnsiTheme="majorHAnsi" w:cstheme="majorBidi"/>
      <w:b/>
      <w:spacing w:val="5"/>
      <w:kern w:val="28"/>
      <w:sz w:val="36"/>
      <w:szCs w:val="36"/>
    </w:rPr>
  </w:style>
  <w:style w:type="paragraph" w:styleId="Title">
    <w:name w:val="Title"/>
    <w:basedOn w:val="Normal"/>
    <w:next w:val="Normal"/>
    <w:link w:val="TitleChar"/>
    <w:uiPriority w:val="10"/>
    <w:semiHidden/>
    <w:unhideWhenUsed/>
    <w:rsid w:val="0020356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035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24010899">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53113686">
      <w:bodyDiv w:val="1"/>
      <w:marLeft w:val="0"/>
      <w:marRight w:val="0"/>
      <w:marTop w:val="0"/>
      <w:marBottom w:val="0"/>
      <w:divBdr>
        <w:top w:val="none" w:sz="0" w:space="0" w:color="auto"/>
        <w:left w:val="none" w:sz="0" w:space="0" w:color="auto"/>
        <w:bottom w:val="none" w:sz="0" w:space="0" w:color="auto"/>
        <w:right w:val="none" w:sz="0" w:space="0" w:color="auto"/>
      </w:divBdr>
    </w:div>
    <w:div w:id="391778228">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962268565">
          <w:marLeft w:val="1166"/>
          <w:marRight w:val="0"/>
          <w:marTop w:val="72"/>
          <w:marBottom w:val="0"/>
          <w:divBdr>
            <w:top w:val="none" w:sz="0" w:space="0" w:color="auto"/>
            <w:left w:val="none" w:sz="0" w:space="0" w:color="auto"/>
            <w:bottom w:val="none" w:sz="0" w:space="0" w:color="auto"/>
            <w:right w:val="none" w:sz="0" w:space="0" w:color="auto"/>
          </w:divBdr>
        </w:div>
      </w:divsChild>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116">
      <w:bodyDiv w:val="1"/>
      <w:marLeft w:val="0"/>
      <w:marRight w:val="0"/>
      <w:marTop w:val="0"/>
      <w:marBottom w:val="0"/>
      <w:divBdr>
        <w:top w:val="none" w:sz="0" w:space="0" w:color="auto"/>
        <w:left w:val="none" w:sz="0" w:space="0" w:color="auto"/>
        <w:bottom w:val="none" w:sz="0" w:space="0" w:color="auto"/>
        <w:right w:val="none" w:sz="0" w:space="0" w:color="auto"/>
      </w:divBdr>
      <w:divsChild>
        <w:div w:id="1419522185">
          <w:marLeft w:val="547"/>
          <w:marRight w:val="0"/>
          <w:marTop w:val="115"/>
          <w:marBottom w:val="0"/>
          <w:divBdr>
            <w:top w:val="none" w:sz="0" w:space="0" w:color="auto"/>
            <w:left w:val="none" w:sz="0" w:space="0" w:color="auto"/>
            <w:bottom w:val="none" w:sz="0" w:space="0" w:color="auto"/>
            <w:right w:val="none" w:sz="0" w:space="0" w:color="auto"/>
          </w:divBdr>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87393">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2431625">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58412045">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93346366">
      <w:bodyDiv w:val="1"/>
      <w:marLeft w:val="0"/>
      <w:marRight w:val="0"/>
      <w:marTop w:val="0"/>
      <w:marBottom w:val="0"/>
      <w:divBdr>
        <w:top w:val="none" w:sz="0" w:space="0" w:color="auto"/>
        <w:left w:val="none" w:sz="0" w:space="0" w:color="auto"/>
        <w:bottom w:val="none" w:sz="0" w:space="0" w:color="auto"/>
        <w:right w:val="none" w:sz="0" w:space="0" w:color="auto"/>
      </w:divBdr>
      <w:divsChild>
        <w:div w:id="1138838602">
          <w:marLeft w:val="0"/>
          <w:marRight w:val="1"/>
          <w:marTop w:val="0"/>
          <w:marBottom w:val="0"/>
          <w:divBdr>
            <w:top w:val="none" w:sz="0" w:space="0" w:color="auto"/>
            <w:left w:val="none" w:sz="0" w:space="0" w:color="auto"/>
            <w:bottom w:val="none" w:sz="0" w:space="0" w:color="auto"/>
            <w:right w:val="none" w:sz="0" w:space="0" w:color="auto"/>
          </w:divBdr>
          <w:divsChild>
            <w:div w:id="1129585864">
              <w:marLeft w:val="0"/>
              <w:marRight w:val="0"/>
              <w:marTop w:val="0"/>
              <w:marBottom w:val="0"/>
              <w:divBdr>
                <w:top w:val="none" w:sz="0" w:space="0" w:color="auto"/>
                <w:left w:val="none" w:sz="0" w:space="0" w:color="auto"/>
                <w:bottom w:val="none" w:sz="0" w:space="0" w:color="auto"/>
                <w:right w:val="none" w:sz="0" w:space="0" w:color="auto"/>
              </w:divBdr>
              <w:divsChild>
                <w:div w:id="1117917003">
                  <w:marLeft w:val="0"/>
                  <w:marRight w:val="1"/>
                  <w:marTop w:val="0"/>
                  <w:marBottom w:val="0"/>
                  <w:divBdr>
                    <w:top w:val="none" w:sz="0" w:space="0" w:color="auto"/>
                    <w:left w:val="none" w:sz="0" w:space="0" w:color="auto"/>
                    <w:bottom w:val="none" w:sz="0" w:space="0" w:color="auto"/>
                    <w:right w:val="none" w:sz="0" w:space="0" w:color="auto"/>
                  </w:divBdr>
                  <w:divsChild>
                    <w:div w:id="403264706">
                      <w:marLeft w:val="0"/>
                      <w:marRight w:val="0"/>
                      <w:marTop w:val="0"/>
                      <w:marBottom w:val="0"/>
                      <w:divBdr>
                        <w:top w:val="none" w:sz="0" w:space="0" w:color="auto"/>
                        <w:left w:val="none" w:sz="0" w:space="0" w:color="auto"/>
                        <w:bottom w:val="none" w:sz="0" w:space="0" w:color="auto"/>
                        <w:right w:val="none" w:sz="0" w:space="0" w:color="auto"/>
                      </w:divBdr>
                      <w:divsChild>
                        <w:div w:id="545486527">
                          <w:marLeft w:val="0"/>
                          <w:marRight w:val="0"/>
                          <w:marTop w:val="0"/>
                          <w:marBottom w:val="0"/>
                          <w:divBdr>
                            <w:top w:val="none" w:sz="0" w:space="0" w:color="auto"/>
                            <w:left w:val="none" w:sz="0" w:space="0" w:color="auto"/>
                            <w:bottom w:val="none" w:sz="0" w:space="0" w:color="auto"/>
                            <w:right w:val="none" w:sz="0" w:space="0" w:color="auto"/>
                          </w:divBdr>
                          <w:divsChild>
                            <w:div w:id="905382743">
                              <w:marLeft w:val="0"/>
                              <w:marRight w:val="0"/>
                              <w:marTop w:val="120"/>
                              <w:marBottom w:val="360"/>
                              <w:divBdr>
                                <w:top w:val="none" w:sz="0" w:space="0" w:color="auto"/>
                                <w:left w:val="none" w:sz="0" w:space="0" w:color="auto"/>
                                <w:bottom w:val="none" w:sz="0" w:space="0" w:color="auto"/>
                                <w:right w:val="none" w:sz="0" w:space="0" w:color="auto"/>
                              </w:divBdr>
                              <w:divsChild>
                                <w:div w:id="15867183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07374527">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299799573">
      <w:bodyDiv w:val="1"/>
      <w:marLeft w:val="0"/>
      <w:marRight w:val="0"/>
      <w:marTop w:val="0"/>
      <w:marBottom w:val="0"/>
      <w:divBdr>
        <w:top w:val="none" w:sz="0" w:space="0" w:color="auto"/>
        <w:left w:val="none" w:sz="0" w:space="0" w:color="auto"/>
        <w:bottom w:val="none" w:sz="0" w:space="0" w:color="auto"/>
        <w:right w:val="none" w:sz="0" w:space="0" w:color="auto"/>
      </w:divBdr>
      <w:divsChild>
        <w:div w:id="549851172">
          <w:marLeft w:val="0"/>
          <w:marRight w:val="0"/>
          <w:marTop w:val="0"/>
          <w:marBottom w:val="0"/>
          <w:divBdr>
            <w:top w:val="none" w:sz="0" w:space="0" w:color="auto"/>
            <w:left w:val="none" w:sz="0" w:space="0" w:color="auto"/>
            <w:bottom w:val="none" w:sz="0" w:space="0" w:color="auto"/>
            <w:right w:val="none" w:sz="0" w:space="0" w:color="auto"/>
          </w:divBdr>
          <w:divsChild>
            <w:div w:id="528102174">
              <w:marLeft w:val="0"/>
              <w:marRight w:val="0"/>
              <w:marTop w:val="0"/>
              <w:marBottom w:val="0"/>
              <w:divBdr>
                <w:top w:val="none" w:sz="0" w:space="0" w:color="auto"/>
                <w:left w:val="none" w:sz="0" w:space="0" w:color="auto"/>
                <w:bottom w:val="none" w:sz="0" w:space="0" w:color="auto"/>
                <w:right w:val="none" w:sz="0" w:space="0" w:color="auto"/>
              </w:divBdr>
              <w:divsChild>
                <w:div w:id="1921060409">
                  <w:marLeft w:val="0"/>
                  <w:marRight w:val="0"/>
                  <w:marTop w:val="0"/>
                  <w:marBottom w:val="0"/>
                  <w:divBdr>
                    <w:top w:val="none" w:sz="0" w:space="0" w:color="auto"/>
                    <w:left w:val="none" w:sz="0" w:space="0" w:color="auto"/>
                    <w:bottom w:val="none" w:sz="0" w:space="0" w:color="auto"/>
                    <w:right w:val="none" w:sz="0" w:space="0" w:color="auto"/>
                  </w:divBdr>
                  <w:divsChild>
                    <w:div w:id="317464875">
                      <w:marLeft w:val="0"/>
                      <w:marRight w:val="0"/>
                      <w:marTop w:val="0"/>
                      <w:marBottom w:val="0"/>
                      <w:divBdr>
                        <w:top w:val="none" w:sz="0" w:space="0" w:color="auto"/>
                        <w:left w:val="none" w:sz="0" w:space="0" w:color="auto"/>
                        <w:bottom w:val="none" w:sz="0" w:space="0" w:color="auto"/>
                        <w:right w:val="none" w:sz="0" w:space="0" w:color="auto"/>
                      </w:divBdr>
                      <w:divsChild>
                        <w:div w:id="1545210754">
                          <w:marLeft w:val="0"/>
                          <w:marRight w:val="0"/>
                          <w:marTop w:val="0"/>
                          <w:marBottom w:val="0"/>
                          <w:divBdr>
                            <w:top w:val="none" w:sz="0" w:space="0" w:color="auto"/>
                            <w:left w:val="none" w:sz="0" w:space="0" w:color="auto"/>
                            <w:bottom w:val="none" w:sz="0" w:space="0" w:color="auto"/>
                            <w:right w:val="none" w:sz="0" w:space="0" w:color="auto"/>
                          </w:divBdr>
                          <w:divsChild>
                            <w:div w:id="1381245953">
                              <w:marLeft w:val="0"/>
                              <w:marRight w:val="0"/>
                              <w:marTop w:val="0"/>
                              <w:marBottom w:val="0"/>
                              <w:divBdr>
                                <w:top w:val="none" w:sz="0" w:space="0" w:color="auto"/>
                                <w:left w:val="none" w:sz="0" w:space="0" w:color="auto"/>
                                <w:bottom w:val="none" w:sz="0" w:space="0" w:color="auto"/>
                                <w:right w:val="none" w:sz="0" w:space="0" w:color="auto"/>
                              </w:divBdr>
                              <w:divsChild>
                                <w:div w:id="1762985853">
                                  <w:marLeft w:val="0"/>
                                  <w:marRight w:val="0"/>
                                  <w:marTop w:val="0"/>
                                  <w:marBottom w:val="0"/>
                                  <w:divBdr>
                                    <w:top w:val="none" w:sz="0" w:space="0" w:color="auto"/>
                                    <w:left w:val="none" w:sz="0" w:space="0" w:color="auto"/>
                                    <w:bottom w:val="none" w:sz="0" w:space="0" w:color="auto"/>
                                    <w:right w:val="none" w:sz="0" w:space="0" w:color="auto"/>
                                  </w:divBdr>
                                  <w:divsChild>
                                    <w:div w:id="1199318575">
                                      <w:marLeft w:val="0"/>
                                      <w:marRight w:val="0"/>
                                      <w:marTop w:val="0"/>
                                      <w:marBottom w:val="0"/>
                                      <w:divBdr>
                                        <w:top w:val="none" w:sz="0" w:space="0" w:color="auto"/>
                                        <w:left w:val="none" w:sz="0" w:space="0" w:color="auto"/>
                                        <w:bottom w:val="none" w:sz="0" w:space="0" w:color="auto"/>
                                        <w:right w:val="none" w:sz="0" w:space="0" w:color="auto"/>
                                      </w:divBdr>
                                      <w:divsChild>
                                        <w:div w:id="2015523780">
                                          <w:marLeft w:val="0"/>
                                          <w:marRight w:val="0"/>
                                          <w:marTop w:val="0"/>
                                          <w:marBottom w:val="0"/>
                                          <w:divBdr>
                                            <w:top w:val="none" w:sz="0" w:space="0" w:color="auto"/>
                                            <w:left w:val="none" w:sz="0" w:space="0" w:color="auto"/>
                                            <w:bottom w:val="none" w:sz="0" w:space="0" w:color="auto"/>
                                            <w:right w:val="none" w:sz="0" w:space="0" w:color="auto"/>
                                          </w:divBdr>
                                          <w:divsChild>
                                            <w:div w:id="379983771">
                                              <w:marLeft w:val="0"/>
                                              <w:marRight w:val="0"/>
                                              <w:marTop w:val="0"/>
                                              <w:marBottom w:val="0"/>
                                              <w:divBdr>
                                                <w:top w:val="none" w:sz="0" w:space="0" w:color="auto"/>
                                                <w:left w:val="none" w:sz="0" w:space="0" w:color="auto"/>
                                                <w:bottom w:val="none" w:sz="0" w:space="0" w:color="auto"/>
                                                <w:right w:val="none" w:sz="0" w:space="0" w:color="auto"/>
                                              </w:divBdr>
                                              <w:divsChild>
                                                <w:div w:id="730736123">
                                                  <w:marLeft w:val="0"/>
                                                  <w:marRight w:val="0"/>
                                                  <w:marTop w:val="0"/>
                                                  <w:marBottom w:val="0"/>
                                                  <w:divBdr>
                                                    <w:top w:val="none" w:sz="0" w:space="0" w:color="auto"/>
                                                    <w:left w:val="none" w:sz="0" w:space="0" w:color="auto"/>
                                                    <w:bottom w:val="none" w:sz="0" w:space="0" w:color="auto"/>
                                                    <w:right w:val="none" w:sz="0" w:space="0" w:color="auto"/>
                                                  </w:divBdr>
                                                  <w:divsChild>
                                                    <w:div w:id="1827041155">
                                                      <w:marLeft w:val="0"/>
                                                      <w:marRight w:val="0"/>
                                                      <w:marTop w:val="0"/>
                                                      <w:marBottom w:val="0"/>
                                                      <w:divBdr>
                                                        <w:top w:val="none" w:sz="0" w:space="0" w:color="auto"/>
                                                        <w:left w:val="none" w:sz="0" w:space="0" w:color="auto"/>
                                                        <w:bottom w:val="none" w:sz="0" w:space="0" w:color="auto"/>
                                                        <w:right w:val="none" w:sz="0" w:space="0" w:color="auto"/>
                                                      </w:divBdr>
                                                      <w:divsChild>
                                                        <w:div w:id="567883935">
                                                          <w:marLeft w:val="0"/>
                                                          <w:marRight w:val="0"/>
                                                          <w:marTop w:val="0"/>
                                                          <w:marBottom w:val="0"/>
                                                          <w:divBdr>
                                                            <w:top w:val="none" w:sz="0" w:space="0" w:color="auto"/>
                                                            <w:left w:val="none" w:sz="0" w:space="0" w:color="auto"/>
                                                            <w:bottom w:val="none" w:sz="0" w:space="0" w:color="auto"/>
                                                            <w:right w:val="none" w:sz="0" w:space="0" w:color="auto"/>
                                                          </w:divBdr>
                                                          <w:divsChild>
                                                            <w:div w:id="870147331">
                                                              <w:marLeft w:val="0"/>
                                                              <w:marRight w:val="0"/>
                                                              <w:marTop w:val="0"/>
                                                              <w:marBottom w:val="0"/>
                                                              <w:divBdr>
                                                                <w:top w:val="none" w:sz="0" w:space="0" w:color="auto"/>
                                                                <w:left w:val="none" w:sz="0" w:space="0" w:color="auto"/>
                                                                <w:bottom w:val="none" w:sz="0" w:space="0" w:color="auto"/>
                                                                <w:right w:val="none" w:sz="0" w:space="0" w:color="auto"/>
                                                              </w:divBdr>
                                                              <w:divsChild>
                                                                <w:div w:id="1676761396">
                                                                  <w:marLeft w:val="0"/>
                                                                  <w:marRight w:val="0"/>
                                                                  <w:marTop w:val="0"/>
                                                                  <w:marBottom w:val="0"/>
                                                                  <w:divBdr>
                                                                    <w:top w:val="none" w:sz="0" w:space="0" w:color="auto"/>
                                                                    <w:left w:val="none" w:sz="0" w:space="0" w:color="auto"/>
                                                                    <w:bottom w:val="none" w:sz="0" w:space="0" w:color="auto"/>
                                                                    <w:right w:val="none" w:sz="0" w:space="0" w:color="auto"/>
                                                                  </w:divBdr>
                                                                </w:div>
                                                              </w:divsChild>
                                                            </w:div>
                                                            <w:div w:id="209466038">
                                                              <w:marLeft w:val="0"/>
                                                              <w:marRight w:val="0"/>
                                                              <w:marTop w:val="0"/>
                                                              <w:marBottom w:val="0"/>
                                                              <w:divBdr>
                                                                <w:top w:val="none" w:sz="0" w:space="0" w:color="auto"/>
                                                                <w:left w:val="none" w:sz="0" w:space="0" w:color="auto"/>
                                                                <w:bottom w:val="none" w:sz="0" w:space="0" w:color="auto"/>
                                                                <w:right w:val="none" w:sz="0" w:space="0" w:color="auto"/>
                                                              </w:divBdr>
                                                              <w:divsChild>
                                                                <w:div w:id="1359353604">
                                                                  <w:marLeft w:val="0"/>
                                                                  <w:marRight w:val="0"/>
                                                                  <w:marTop w:val="0"/>
                                                                  <w:marBottom w:val="75"/>
                                                                  <w:divBdr>
                                                                    <w:top w:val="none" w:sz="0" w:space="0" w:color="auto"/>
                                                                    <w:left w:val="none" w:sz="0" w:space="0" w:color="auto"/>
                                                                    <w:bottom w:val="none" w:sz="0" w:space="0" w:color="auto"/>
                                                                    <w:right w:val="none" w:sz="0" w:space="0" w:color="auto"/>
                                                                  </w:divBdr>
                                                                </w:div>
                                                              </w:divsChild>
                                                            </w:div>
                                                            <w:div w:id="2058115717">
                                                              <w:marLeft w:val="0"/>
                                                              <w:marRight w:val="0"/>
                                                              <w:marTop w:val="240"/>
                                                              <w:marBottom w:val="0"/>
                                                              <w:divBdr>
                                                                <w:top w:val="none" w:sz="0" w:space="0" w:color="auto"/>
                                                                <w:left w:val="none" w:sz="0" w:space="0" w:color="auto"/>
                                                                <w:bottom w:val="none" w:sz="0" w:space="0" w:color="auto"/>
                                                                <w:right w:val="none" w:sz="0" w:space="0" w:color="auto"/>
                                                              </w:divBdr>
                                                            </w:div>
                                                            <w:div w:id="987709791">
                                                              <w:marLeft w:val="0"/>
                                                              <w:marRight w:val="240"/>
                                                              <w:marTop w:val="0"/>
                                                              <w:marBottom w:val="0"/>
                                                              <w:divBdr>
                                                                <w:top w:val="none" w:sz="0" w:space="0" w:color="auto"/>
                                                                <w:left w:val="none" w:sz="0" w:space="0" w:color="auto"/>
                                                                <w:bottom w:val="none" w:sz="0" w:space="0" w:color="auto"/>
                                                                <w:right w:val="none" w:sz="0" w:space="0" w:color="auto"/>
                                                              </w:divBdr>
                                                            </w:div>
                                                            <w:div w:id="1927104100">
                                                              <w:marLeft w:val="0"/>
                                                              <w:marRight w:val="240"/>
                                                              <w:marTop w:val="0"/>
                                                              <w:marBottom w:val="0"/>
                                                              <w:divBdr>
                                                                <w:top w:val="none" w:sz="0" w:space="0" w:color="auto"/>
                                                                <w:left w:val="none" w:sz="0" w:space="0" w:color="auto"/>
                                                                <w:bottom w:val="none" w:sz="0" w:space="0" w:color="auto"/>
                                                                <w:right w:val="none" w:sz="0" w:space="0" w:color="auto"/>
                                                              </w:divBdr>
                                                            </w:div>
                                                            <w:div w:id="1976180502">
                                                              <w:marLeft w:val="0"/>
                                                              <w:marRight w:val="240"/>
                                                              <w:marTop w:val="0"/>
                                                              <w:marBottom w:val="0"/>
                                                              <w:divBdr>
                                                                <w:top w:val="none" w:sz="0" w:space="0" w:color="auto"/>
                                                                <w:left w:val="none" w:sz="0" w:space="0" w:color="auto"/>
                                                                <w:bottom w:val="none" w:sz="0" w:space="0" w:color="auto"/>
                                                                <w:right w:val="none" w:sz="0" w:space="0" w:color="auto"/>
                                                              </w:divBdr>
                                                            </w:div>
                                                          </w:divsChild>
                                                        </w:div>
                                                        <w:div w:id="251669898">
                                                          <w:marLeft w:val="0"/>
                                                          <w:marRight w:val="0"/>
                                                          <w:marTop w:val="0"/>
                                                          <w:marBottom w:val="0"/>
                                                          <w:divBdr>
                                                            <w:top w:val="none" w:sz="0" w:space="0" w:color="auto"/>
                                                            <w:left w:val="none" w:sz="0" w:space="0" w:color="auto"/>
                                                            <w:bottom w:val="none" w:sz="0" w:space="0" w:color="auto"/>
                                                            <w:right w:val="none" w:sz="0" w:space="0" w:color="auto"/>
                                                          </w:divBdr>
                                                          <w:divsChild>
                                                            <w:div w:id="166555090">
                                                              <w:marLeft w:val="0"/>
                                                              <w:marRight w:val="0"/>
                                                              <w:marTop w:val="0"/>
                                                              <w:marBottom w:val="0"/>
                                                              <w:divBdr>
                                                                <w:top w:val="none" w:sz="0" w:space="0" w:color="auto"/>
                                                                <w:left w:val="none" w:sz="0" w:space="0" w:color="auto"/>
                                                                <w:bottom w:val="none" w:sz="0" w:space="0" w:color="auto"/>
                                                                <w:right w:val="none" w:sz="0" w:space="0" w:color="auto"/>
                                                              </w:divBdr>
                                                              <w:divsChild>
                                                                <w:div w:id="868222616">
                                                                  <w:marLeft w:val="0"/>
                                                                  <w:marRight w:val="0"/>
                                                                  <w:marTop w:val="0"/>
                                                                  <w:marBottom w:val="0"/>
                                                                  <w:divBdr>
                                                                    <w:top w:val="none" w:sz="0" w:space="0" w:color="auto"/>
                                                                    <w:left w:val="none" w:sz="0" w:space="0" w:color="auto"/>
                                                                    <w:bottom w:val="none" w:sz="0" w:space="0" w:color="auto"/>
                                                                    <w:right w:val="none" w:sz="0" w:space="0" w:color="auto"/>
                                                                  </w:divBdr>
                                                                </w:div>
                                                              </w:divsChild>
                                                            </w:div>
                                                            <w:div w:id="209925012">
                                                              <w:marLeft w:val="0"/>
                                                              <w:marRight w:val="0"/>
                                                              <w:marTop w:val="0"/>
                                                              <w:marBottom w:val="0"/>
                                                              <w:divBdr>
                                                                <w:top w:val="none" w:sz="0" w:space="0" w:color="auto"/>
                                                                <w:left w:val="none" w:sz="0" w:space="0" w:color="auto"/>
                                                                <w:bottom w:val="none" w:sz="0" w:space="0" w:color="auto"/>
                                                                <w:right w:val="none" w:sz="0" w:space="0" w:color="auto"/>
                                                              </w:divBdr>
                                                              <w:divsChild>
                                                                <w:div w:id="1190530009">
                                                                  <w:marLeft w:val="0"/>
                                                                  <w:marRight w:val="0"/>
                                                                  <w:marTop w:val="0"/>
                                                                  <w:marBottom w:val="75"/>
                                                                  <w:divBdr>
                                                                    <w:top w:val="none" w:sz="0" w:space="0" w:color="auto"/>
                                                                    <w:left w:val="none" w:sz="0" w:space="0" w:color="auto"/>
                                                                    <w:bottom w:val="none" w:sz="0" w:space="0" w:color="auto"/>
                                                                    <w:right w:val="none" w:sz="0" w:space="0" w:color="auto"/>
                                                                  </w:divBdr>
                                                                </w:div>
                                                              </w:divsChild>
                                                            </w:div>
                                                            <w:div w:id="1423917209">
                                                              <w:marLeft w:val="0"/>
                                                              <w:marRight w:val="0"/>
                                                              <w:marTop w:val="240"/>
                                                              <w:marBottom w:val="0"/>
                                                              <w:divBdr>
                                                                <w:top w:val="none" w:sz="0" w:space="0" w:color="auto"/>
                                                                <w:left w:val="none" w:sz="0" w:space="0" w:color="auto"/>
                                                                <w:bottom w:val="none" w:sz="0" w:space="0" w:color="auto"/>
                                                                <w:right w:val="none" w:sz="0" w:space="0" w:color="auto"/>
                                                              </w:divBdr>
                                                            </w:div>
                                                            <w:div w:id="1119648557">
                                                              <w:marLeft w:val="0"/>
                                                              <w:marRight w:val="240"/>
                                                              <w:marTop w:val="0"/>
                                                              <w:marBottom w:val="0"/>
                                                              <w:divBdr>
                                                                <w:top w:val="none" w:sz="0" w:space="0" w:color="auto"/>
                                                                <w:left w:val="none" w:sz="0" w:space="0" w:color="auto"/>
                                                                <w:bottom w:val="none" w:sz="0" w:space="0" w:color="auto"/>
                                                                <w:right w:val="none" w:sz="0" w:space="0" w:color="auto"/>
                                                              </w:divBdr>
                                                            </w:div>
                                                            <w:div w:id="230389326">
                                                              <w:marLeft w:val="0"/>
                                                              <w:marRight w:val="240"/>
                                                              <w:marTop w:val="0"/>
                                                              <w:marBottom w:val="0"/>
                                                              <w:divBdr>
                                                                <w:top w:val="none" w:sz="0" w:space="0" w:color="auto"/>
                                                                <w:left w:val="none" w:sz="0" w:space="0" w:color="auto"/>
                                                                <w:bottom w:val="none" w:sz="0" w:space="0" w:color="auto"/>
                                                                <w:right w:val="none" w:sz="0" w:space="0" w:color="auto"/>
                                                              </w:divBdr>
                                                            </w:div>
                                                            <w:div w:id="681932565">
                                                              <w:marLeft w:val="0"/>
                                                              <w:marRight w:val="240"/>
                                                              <w:marTop w:val="0"/>
                                                              <w:marBottom w:val="0"/>
                                                              <w:divBdr>
                                                                <w:top w:val="none" w:sz="0" w:space="0" w:color="auto"/>
                                                                <w:left w:val="none" w:sz="0" w:space="0" w:color="auto"/>
                                                                <w:bottom w:val="none" w:sz="0" w:space="0" w:color="auto"/>
                                                                <w:right w:val="none" w:sz="0" w:space="0" w:color="auto"/>
                                                              </w:divBdr>
                                                            </w:div>
                                                          </w:divsChild>
                                                        </w:div>
                                                        <w:div w:id="1363894650">
                                                          <w:marLeft w:val="0"/>
                                                          <w:marRight w:val="0"/>
                                                          <w:marTop w:val="0"/>
                                                          <w:marBottom w:val="0"/>
                                                          <w:divBdr>
                                                            <w:top w:val="none" w:sz="0" w:space="0" w:color="auto"/>
                                                            <w:left w:val="none" w:sz="0" w:space="0" w:color="auto"/>
                                                            <w:bottom w:val="none" w:sz="0" w:space="0" w:color="auto"/>
                                                            <w:right w:val="none" w:sz="0" w:space="0" w:color="auto"/>
                                                          </w:divBdr>
                                                          <w:divsChild>
                                                            <w:div w:id="1873881968">
                                                              <w:marLeft w:val="0"/>
                                                              <w:marRight w:val="0"/>
                                                              <w:marTop w:val="0"/>
                                                              <w:marBottom w:val="0"/>
                                                              <w:divBdr>
                                                                <w:top w:val="none" w:sz="0" w:space="0" w:color="auto"/>
                                                                <w:left w:val="none" w:sz="0" w:space="0" w:color="auto"/>
                                                                <w:bottom w:val="none" w:sz="0" w:space="0" w:color="auto"/>
                                                                <w:right w:val="none" w:sz="0" w:space="0" w:color="auto"/>
                                                              </w:divBdr>
                                                              <w:divsChild>
                                                                <w:div w:id="604965998">
                                                                  <w:marLeft w:val="0"/>
                                                                  <w:marRight w:val="0"/>
                                                                  <w:marTop w:val="0"/>
                                                                  <w:marBottom w:val="0"/>
                                                                  <w:divBdr>
                                                                    <w:top w:val="none" w:sz="0" w:space="0" w:color="auto"/>
                                                                    <w:left w:val="none" w:sz="0" w:space="0" w:color="auto"/>
                                                                    <w:bottom w:val="none" w:sz="0" w:space="0" w:color="auto"/>
                                                                    <w:right w:val="none" w:sz="0" w:space="0" w:color="auto"/>
                                                                  </w:divBdr>
                                                                </w:div>
                                                              </w:divsChild>
                                                            </w:div>
                                                            <w:div w:id="598609231">
                                                              <w:marLeft w:val="0"/>
                                                              <w:marRight w:val="0"/>
                                                              <w:marTop w:val="0"/>
                                                              <w:marBottom w:val="0"/>
                                                              <w:divBdr>
                                                                <w:top w:val="none" w:sz="0" w:space="0" w:color="auto"/>
                                                                <w:left w:val="none" w:sz="0" w:space="0" w:color="auto"/>
                                                                <w:bottom w:val="none" w:sz="0" w:space="0" w:color="auto"/>
                                                                <w:right w:val="none" w:sz="0" w:space="0" w:color="auto"/>
                                                              </w:divBdr>
                                                              <w:divsChild>
                                                                <w:div w:id="113867045">
                                                                  <w:marLeft w:val="0"/>
                                                                  <w:marRight w:val="0"/>
                                                                  <w:marTop w:val="0"/>
                                                                  <w:marBottom w:val="75"/>
                                                                  <w:divBdr>
                                                                    <w:top w:val="none" w:sz="0" w:space="0" w:color="auto"/>
                                                                    <w:left w:val="none" w:sz="0" w:space="0" w:color="auto"/>
                                                                    <w:bottom w:val="none" w:sz="0" w:space="0" w:color="auto"/>
                                                                    <w:right w:val="none" w:sz="0" w:space="0" w:color="auto"/>
                                                                  </w:divBdr>
                                                                </w:div>
                                                              </w:divsChild>
                                                            </w:div>
                                                            <w:div w:id="315185324">
                                                              <w:marLeft w:val="0"/>
                                                              <w:marRight w:val="0"/>
                                                              <w:marTop w:val="240"/>
                                                              <w:marBottom w:val="0"/>
                                                              <w:divBdr>
                                                                <w:top w:val="none" w:sz="0" w:space="0" w:color="auto"/>
                                                                <w:left w:val="none" w:sz="0" w:space="0" w:color="auto"/>
                                                                <w:bottom w:val="none" w:sz="0" w:space="0" w:color="auto"/>
                                                                <w:right w:val="none" w:sz="0" w:space="0" w:color="auto"/>
                                                              </w:divBdr>
                                                            </w:div>
                                                            <w:div w:id="1529294330">
                                                              <w:marLeft w:val="0"/>
                                                              <w:marRight w:val="240"/>
                                                              <w:marTop w:val="0"/>
                                                              <w:marBottom w:val="0"/>
                                                              <w:divBdr>
                                                                <w:top w:val="none" w:sz="0" w:space="0" w:color="auto"/>
                                                                <w:left w:val="none" w:sz="0" w:space="0" w:color="auto"/>
                                                                <w:bottom w:val="none" w:sz="0" w:space="0" w:color="auto"/>
                                                                <w:right w:val="none" w:sz="0" w:space="0" w:color="auto"/>
                                                              </w:divBdr>
                                                            </w:div>
                                                            <w:div w:id="1926255454">
                                                              <w:marLeft w:val="0"/>
                                                              <w:marRight w:val="240"/>
                                                              <w:marTop w:val="0"/>
                                                              <w:marBottom w:val="0"/>
                                                              <w:divBdr>
                                                                <w:top w:val="none" w:sz="0" w:space="0" w:color="auto"/>
                                                                <w:left w:val="none" w:sz="0" w:space="0" w:color="auto"/>
                                                                <w:bottom w:val="none" w:sz="0" w:space="0" w:color="auto"/>
                                                                <w:right w:val="none" w:sz="0" w:space="0" w:color="auto"/>
                                                              </w:divBdr>
                                                            </w:div>
                                                            <w:div w:id="1464082259">
                                                              <w:marLeft w:val="0"/>
                                                              <w:marRight w:val="240"/>
                                                              <w:marTop w:val="0"/>
                                                              <w:marBottom w:val="0"/>
                                                              <w:divBdr>
                                                                <w:top w:val="none" w:sz="0" w:space="0" w:color="auto"/>
                                                                <w:left w:val="none" w:sz="0" w:space="0" w:color="auto"/>
                                                                <w:bottom w:val="none" w:sz="0" w:space="0" w:color="auto"/>
                                                                <w:right w:val="none" w:sz="0" w:space="0" w:color="auto"/>
                                                              </w:divBdr>
                                                            </w:div>
                                                          </w:divsChild>
                                                        </w:div>
                                                        <w:div w:id="522209277">
                                                          <w:marLeft w:val="0"/>
                                                          <w:marRight w:val="0"/>
                                                          <w:marTop w:val="0"/>
                                                          <w:marBottom w:val="0"/>
                                                          <w:divBdr>
                                                            <w:top w:val="none" w:sz="0" w:space="0" w:color="auto"/>
                                                            <w:left w:val="none" w:sz="0" w:space="0" w:color="auto"/>
                                                            <w:bottom w:val="none" w:sz="0" w:space="0" w:color="auto"/>
                                                            <w:right w:val="none" w:sz="0" w:space="0" w:color="auto"/>
                                                          </w:divBdr>
                                                          <w:divsChild>
                                                            <w:div w:id="194584877">
                                                              <w:marLeft w:val="0"/>
                                                              <w:marRight w:val="0"/>
                                                              <w:marTop w:val="0"/>
                                                              <w:marBottom w:val="0"/>
                                                              <w:divBdr>
                                                                <w:top w:val="none" w:sz="0" w:space="0" w:color="auto"/>
                                                                <w:left w:val="none" w:sz="0" w:space="0" w:color="auto"/>
                                                                <w:bottom w:val="none" w:sz="0" w:space="0" w:color="auto"/>
                                                                <w:right w:val="none" w:sz="0" w:space="0" w:color="auto"/>
                                                              </w:divBdr>
                                                              <w:divsChild>
                                                                <w:div w:id="757211849">
                                                                  <w:marLeft w:val="0"/>
                                                                  <w:marRight w:val="0"/>
                                                                  <w:marTop w:val="0"/>
                                                                  <w:marBottom w:val="0"/>
                                                                  <w:divBdr>
                                                                    <w:top w:val="none" w:sz="0" w:space="0" w:color="auto"/>
                                                                    <w:left w:val="none" w:sz="0" w:space="0" w:color="auto"/>
                                                                    <w:bottom w:val="none" w:sz="0" w:space="0" w:color="auto"/>
                                                                    <w:right w:val="none" w:sz="0" w:space="0" w:color="auto"/>
                                                                  </w:divBdr>
                                                                </w:div>
                                                              </w:divsChild>
                                                            </w:div>
                                                            <w:div w:id="319895600">
                                                              <w:marLeft w:val="0"/>
                                                              <w:marRight w:val="0"/>
                                                              <w:marTop w:val="0"/>
                                                              <w:marBottom w:val="0"/>
                                                              <w:divBdr>
                                                                <w:top w:val="none" w:sz="0" w:space="0" w:color="auto"/>
                                                                <w:left w:val="none" w:sz="0" w:space="0" w:color="auto"/>
                                                                <w:bottom w:val="none" w:sz="0" w:space="0" w:color="auto"/>
                                                                <w:right w:val="none" w:sz="0" w:space="0" w:color="auto"/>
                                                              </w:divBdr>
                                                              <w:divsChild>
                                                                <w:div w:id="1383554071">
                                                                  <w:marLeft w:val="0"/>
                                                                  <w:marRight w:val="0"/>
                                                                  <w:marTop w:val="0"/>
                                                                  <w:marBottom w:val="75"/>
                                                                  <w:divBdr>
                                                                    <w:top w:val="none" w:sz="0" w:space="0" w:color="auto"/>
                                                                    <w:left w:val="none" w:sz="0" w:space="0" w:color="auto"/>
                                                                    <w:bottom w:val="none" w:sz="0" w:space="0" w:color="auto"/>
                                                                    <w:right w:val="none" w:sz="0" w:space="0" w:color="auto"/>
                                                                  </w:divBdr>
                                                                </w:div>
                                                              </w:divsChild>
                                                            </w:div>
                                                            <w:div w:id="555361229">
                                                              <w:marLeft w:val="0"/>
                                                              <w:marRight w:val="0"/>
                                                              <w:marTop w:val="240"/>
                                                              <w:marBottom w:val="0"/>
                                                              <w:divBdr>
                                                                <w:top w:val="none" w:sz="0" w:space="0" w:color="auto"/>
                                                                <w:left w:val="none" w:sz="0" w:space="0" w:color="auto"/>
                                                                <w:bottom w:val="none" w:sz="0" w:space="0" w:color="auto"/>
                                                                <w:right w:val="none" w:sz="0" w:space="0" w:color="auto"/>
                                                              </w:divBdr>
                                                            </w:div>
                                                            <w:div w:id="1891186095">
                                                              <w:marLeft w:val="0"/>
                                                              <w:marRight w:val="240"/>
                                                              <w:marTop w:val="0"/>
                                                              <w:marBottom w:val="0"/>
                                                              <w:divBdr>
                                                                <w:top w:val="none" w:sz="0" w:space="0" w:color="auto"/>
                                                                <w:left w:val="none" w:sz="0" w:space="0" w:color="auto"/>
                                                                <w:bottom w:val="none" w:sz="0" w:space="0" w:color="auto"/>
                                                                <w:right w:val="none" w:sz="0" w:space="0" w:color="auto"/>
                                                              </w:divBdr>
                                                            </w:div>
                                                            <w:div w:id="580481387">
                                                              <w:marLeft w:val="0"/>
                                                              <w:marRight w:val="240"/>
                                                              <w:marTop w:val="0"/>
                                                              <w:marBottom w:val="0"/>
                                                              <w:divBdr>
                                                                <w:top w:val="none" w:sz="0" w:space="0" w:color="auto"/>
                                                                <w:left w:val="none" w:sz="0" w:space="0" w:color="auto"/>
                                                                <w:bottom w:val="none" w:sz="0" w:space="0" w:color="auto"/>
                                                                <w:right w:val="none" w:sz="0" w:space="0" w:color="auto"/>
                                                              </w:divBdr>
                                                            </w:div>
                                                            <w:div w:id="1089233911">
                                                              <w:marLeft w:val="0"/>
                                                              <w:marRight w:val="240"/>
                                                              <w:marTop w:val="0"/>
                                                              <w:marBottom w:val="0"/>
                                                              <w:divBdr>
                                                                <w:top w:val="none" w:sz="0" w:space="0" w:color="auto"/>
                                                                <w:left w:val="none" w:sz="0" w:space="0" w:color="auto"/>
                                                                <w:bottom w:val="none" w:sz="0" w:space="0" w:color="auto"/>
                                                                <w:right w:val="none" w:sz="0" w:space="0" w:color="auto"/>
                                                              </w:divBdr>
                                                            </w:div>
                                                          </w:divsChild>
                                                        </w:div>
                                                        <w:div w:id="214974386">
                                                          <w:marLeft w:val="0"/>
                                                          <w:marRight w:val="0"/>
                                                          <w:marTop w:val="0"/>
                                                          <w:marBottom w:val="0"/>
                                                          <w:divBdr>
                                                            <w:top w:val="none" w:sz="0" w:space="0" w:color="auto"/>
                                                            <w:left w:val="none" w:sz="0" w:space="0" w:color="auto"/>
                                                            <w:bottom w:val="none" w:sz="0" w:space="0" w:color="auto"/>
                                                            <w:right w:val="none" w:sz="0" w:space="0" w:color="auto"/>
                                                          </w:divBdr>
                                                          <w:divsChild>
                                                            <w:div w:id="809442665">
                                                              <w:marLeft w:val="0"/>
                                                              <w:marRight w:val="0"/>
                                                              <w:marTop w:val="0"/>
                                                              <w:marBottom w:val="0"/>
                                                              <w:divBdr>
                                                                <w:top w:val="none" w:sz="0" w:space="0" w:color="auto"/>
                                                                <w:left w:val="none" w:sz="0" w:space="0" w:color="auto"/>
                                                                <w:bottom w:val="none" w:sz="0" w:space="0" w:color="auto"/>
                                                                <w:right w:val="none" w:sz="0" w:space="0" w:color="auto"/>
                                                              </w:divBdr>
                                                              <w:divsChild>
                                                                <w:div w:id="1369335776">
                                                                  <w:marLeft w:val="0"/>
                                                                  <w:marRight w:val="0"/>
                                                                  <w:marTop w:val="0"/>
                                                                  <w:marBottom w:val="0"/>
                                                                  <w:divBdr>
                                                                    <w:top w:val="none" w:sz="0" w:space="0" w:color="auto"/>
                                                                    <w:left w:val="none" w:sz="0" w:space="0" w:color="auto"/>
                                                                    <w:bottom w:val="none" w:sz="0" w:space="0" w:color="auto"/>
                                                                    <w:right w:val="none" w:sz="0" w:space="0" w:color="auto"/>
                                                                  </w:divBdr>
                                                                </w:div>
                                                              </w:divsChild>
                                                            </w:div>
                                                            <w:div w:id="490021007">
                                                              <w:marLeft w:val="0"/>
                                                              <w:marRight w:val="0"/>
                                                              <w:marTop w:val="0"/>
                                                              <w:marBottom w:val="0"/>
                                                              <w:divBdr>
                                                                <w:top w:val="none" w:sz="0" w:space="0" w:color="auto"/>
                                                                <w:left w:val="none" w:sz="0" w:space="0" w:color="auto"/>
                                                                <w:bottom w:val="none" w:sz="0" w:space="0" w:color="auto"/>
                                                                <w:right w:val="none" w:sz="0" w:space="0" w:color="auto"/>
                                                              </w:divBdr>
                                                              <w:divsChild>
                                                                <w:div w:id="1618758502">
                                                                  <w:marLeft w:val="0"/>
                                                                  <w:marRight w:val="0"/>
                                                                  <w:marTop w:val="0"/>
                                                                  <w:marBottom w:val="75"/>
                                                                  <w:divBdr>
                                                                    <w:top w:val="none" w:sz="0" w:space="0" w:color="auto"/>
                                                                    <w:left w:val="none" w:sz="0" w:space="0" w:color="auto"/>
                                                                    <w:bottom w:val="none" w:sz="0" w:space="0" w:color="auto"/>
                                                                    <w:right w:val="none" w:sz="0" w:space="0" w:color="auto"/>
                                                                  </w:divBdr>
                                                                </w:div>
                                                              </w:divsChild>
                                                            </w:div>
                                                            <w:div w:id="516968999">
                                                              <w:marLeft w:val="0"/>
                                                              <w:marRight w:val="0"/>
                                                              <w:marTop w:val="240"/>
                                                              <w:marBottom w:val="0"/>
                                                              <w:divBdr>
                                                                <w:top w:val="none" w:sz="0" w:space="0" w:color="auto"/>
                                                                <w:left w:val="none" w:sz="0" w:space="0" w:color="auto"/>
                                                                <w:bottom w:val="none" w:sz="0" w:space="0" w:color="auto"/>
                                                                <w:right w:val="none" w:sz="0" w:space="0" w:color="auto"/>
                                                              </w:divBdr>
                                                            </w:div>
                                                            <w:div w:id="1313218458">
                                                              <w:marLeft w:val="0"/>
                                                              <w:marRight w:val="240"/>
                                                              <w:marTop w:val="0"/>
                                                              <w:marBottom w:val="0"/>
                                                              <w:divBdr>
                                                                <w:top w:val="none" w:sz="0" w:space="0" w:color="auto"/>
                                                                <w:left w:val="none" w:sz="0" w:space="0" w:color="auto"/>
                                                                <w:bottom w:val="none" w:sz="0" w:space="0" w:color="auto"/>
                                                                <w:right w:val="none" w:sz="0" w:space="0" w:color="auto"/>
                                                              </w:divBdr>
                                                            </w:div>
                                                            <w:div w:id="1643728043">
                                                              <w:marLeft w:val="0"/>
                                                              <w:marRight w:val="240"/>
                                                              <w:marTop w:val="0"/>
                                                              <w:marBottom w:val="0"/>
                                                              <w:divBdr>
                                                                <w:top w:val="none" w:sz="0" w:space="0" w:color="auto"/>
                                                                <w:left w:val="none" w:sz="0" w:space="0" w:color="auto"/>
                                                                <w:bottom w:val="none" w:sz="0" w:space="0" w:color="auto"/>
                                                                <w:right w:val="none" w:sz="0" w:space="0" w:color="auto"/>
                                                              </w:divBdr>
                                                            </w:div>
                                                            <w:div w:id="1233202206">
                                                              <w:marLeft w:val="0"/>
                                                              <w:marRight w:val="240"/>
                                                              <w:marTop w:val="0"/>
                                                              <w:marBottom w:val="0"/>
                                                              <w:divBdr>
                                                                <w:top w:val="none" w:sz="0" w:space="0" w:color="auto"/>
                                                                <w:left w:val="none" w:sz="0" w:space="0" w:color="auto"/>
                                                                <w:bottom w:val="none" w:sz="0" w:space="0" w:color="auto"/>
                                                                <w:right w:val="none" w:sz="0" w:space="0" w:color="auto"/>
                                                              </w:divBdr>
                                                            </w:div>
                                                          </w:divsChild>
                                                        </w:div>
                                                        <w:div w:id="1117137912">
                                                          <w:marLeft w:val="0"/>
                                                          <w:marRight w:val="0"/>
                                                          <w:marTop w:val="0"/>
                                                          <w:marBottom w:val="0"/>
                                                          <w:divBdr>
                                                            <w:top w:val="none" w:sz="0" w:space="0" w:color="auto"/>
                                                            <w:left w:val="none" w:sz="0" w:space="0" w:color="auto"/>
                                                            <w:bottom w:val="none" w:sz="0" w:space="0" w:color="auto"/>
                                                            <w:right w:val="none" w:sz="0" w:space="0" w:color="auto"/>
                                                          </w:divBdr>
                                                          <w:divsChild>
                                                            <w:div w:id="1278101781">
                                                              <w:marLeft w:val="0"/>
                                                              <w:marRight w:val="0"/>
                                                              <w:marTop w:val="0"/>
                                                              <w:marBottom w:val="0"/>
                                                              <w:divBdr>
                                                                <w:top w:val="none" w:sz="0" w:space="0" w:color="auto"/>
                                                                <w:left w:val="none" w:sz="0" w:space="0" w:color="auto"/>
                                                                <w:bottom w:val="none" w:sz="0" w:space="0" w:color="auto"/>
                                                                <w:right w:val="none" w:sz="0" w:space="0" w:color="auto"/>
                                                              </w:divBdr>
                                                              <w:divsChild>
                                                                <w:div w:id="415785996">
                                                                  <w:marLeft w:val="0"/>
                                                                  <w:marRight w:val="0"/>
                                                                  <w:marTop w:val="0"/>
                                                                  <w:marBottom w:val="0"/>
                                                                  <w:divBdr>
                                                                    <w:top w:val="none" w:sz="0" w:space="0" w:color="auto"/>
                                                                    <w:left w:val="none" w:sz="0" w:space="0" w:color="auto"/>
                                                                    <w:bottom w:val="none" w:sz="0" w:space="0" w:color="auto"/>
                                                                    <w:right w:val="none" w:sz="0" w:space="0" w:color="auto"/>
                                                                  </w:divBdr>
                                                                </w:div>
                                                              </w:divsChild>
                                                            </w:div>
                                                            <w:div w:id="268703422">
                                                              <w:marLeft w:val="0"/>
                                                              <w:marRight w:val="0"/>
                                                              <w:marTop w:val="0"/>
                                                              <w:marBottom w:val="0"/>
                                                              <w:divBdr>
                                                                <w:top w:val="none" w:sz="0" w:space="0" w:color="auto"/>
                                                                <w:left w:val="none" w:sz="0" w:space="0" w:color="auto"/>
                                                                <w:bottom w:val="none" w:sz="0" w:space="0" w:color="auto"/>
                                                                <w:right w:val="none" w:sz="0" w:space="0" w:color="auto"/>
                                                              </w:divBdr>
                                                              <w:divsChild>
                                                                <w:div w:id="1491367795">
                                                                  <w:marLeft w:val="0"/>
                                                                  <w:marRight w:val="0"/>
                                                                  <w:marTop w:val="0"/>
                                                                  <w:marBottom w:val="75"/>
                                                                  <w:divBdr>
                                                                    <w:top w:val="none" w:sz="0" w:space="0" w:color="auto"/>
                                                                    <w:left w:val="none" w:sz="0" w:space="0" w:color="auto"/>
                                                                    <w:bottom w:val="none" w:sz="0" w:space="0" w:color="auto"/>
                                                                    <w:right w:val="none" w:sz="0" w:space="0" w:color="auto"/>
                                                                  </w:divBdr>
                                                                </w:div>
                                                              </w:divsChild>
                                                            </w:div>
                                                            <w:div w:id="161506940">
                                                              <w:marLeft w:val="0"/>
                                                              <w:marRight w:val="0"/>
                                                              <w:marTop w:val="240"/>
                                                              <w:marBottom w:val="0"/>
                                                              <w:divBdr>
                                                                <w:top w:val="none" w:sz="0" w:space="0" w:color="auto"/>
                                                                <w:left w:val="none" w:sz="0" w:space="0" w:color="auto"/>
                                                                <w:bottom w:val="none" w:sz="0" w:space="0" w:color="auto"/>
                                                                <w:right w:val="none" w:sz="0" w:space="0" w:color="auto"/>
                                                              </w:divBdr>
                                                            </w:div>
                                                            <w:div w:id="1049494702">
                                                              <w:marLeft w:val="0"/>
                                                              <w:marRight w:val="240"/>
                                                              <w:marTop w:val="0"/>
                                                              <w:marBottom w:val="0"/>
                                                              <w:divBdr>
                                                                <w:top w:val="none" w:sz="0" w:space="0" w:color="auto"/>
                                                                <w:left w:val="none" w:sz="0" w:space="0" w:color="auto"/>
                                                                <w:bottom w:val="none" w:sz="0" w:space="0" w:color="auto"/>
                                                                <w:right w:val="none" w:sz="0" w:space="0" w:color="auto"/>
                                                              </w:divBdr>
                                                            </w:div>
                                                            <w:div w:id="436291852">
                                                              <w:marLeft w:val="0"/>
                                                              <w:marRight w:val="240"/>
                                                              <w:marTop w:val="0"/>
                                                              <w:marBottom w:val="0"/>
                                                              <w:divBdr>
                                                                <w:top w:val="none" w:sz="0" w:space="0" w:color="auto"/>
                                                                <w:left w:val="none" w:sz="0" w:space="0" w:color="auto"/>
                                                                <w:bottom w:val="none" w:sz="0" w:space="0" w:color="auto"/>
                                                                <w:right w:val="none" w:sz="0" w:space="0" w:color="auto"/>
                                                              </w:divBdr>
                                                            </w:div>
                                                            <w:div w:id="5135091">
                                                              <w:marLeft w:val="0"/>
                                                              <w:marRight w:val="240"/>
                                                              <w:marTop w:val="0"/>
                                                              <w:marBottom w:val="0"/>
                                                              <w:divBdr>
                                                                <w:top w:val="none" w:sz="0" w:space="0" w:color="auto"/>
                                                                <w:left w:val="none" w:sz="0" w:space="0" w:color="auto"/>
                                                                <w:bottom w:val="none" w:sz="0" w:space="0" w:color="auto"/>
                                                                <w:right w:val="none" w:sz="0" w:space="0" w:color="auto"/>
                                                              </w:divBdr>
                                                            </w:div>
                                                          </w:divsChild>
                                                        </w:div>
                                                        <w:div w:id="1487017961">
                                                          <w:marLeft w:val="0"/>
                                                          <w:marRight w:val="0"/>
                                                          <w:marTop w:val="0"/>
                                                          <w:marBottom w:val="0"/>
                                                          <w:divBdr>
                                                            <w:top w:val="none" w:sz="0" w:space="0" w:color="auto"/>
                                                            <w:left w:val="none" w:sz="0" w:space="0" w:color="auto"/>
                                                            <w:bottom w:val="none" w:sz="0" w:space="0" w:color="auto"/>
                                                            <w:right w:val="none" w:sz="0" w:space="0" w:color="auto"/>
                                                          </w:divBdr>
                                                          <w:divsChild>
                                                            <w:div w:id="1185049715">
                                                              <w:marLeft w:val="0"/>
                                                              <w:marRight w:val="0"/>
                                                              <w:marTop w:val="0"/>
                                                              <w:marBottom w:val="0"/>
                                                              <w:divBdr>
                                                                <w:top w:val="none" w:sz="0" w:space="0" w:color="auto"/>
                                                                <w:left w:val="none" w:sz="0" w:space="0" w:color="auto"/>
                                                                <w:bottom w:val="none" w:sz="0" w:space="0" w:color="auto"/>
                                                                <w:right w:val="none" w:sz="0" w:space="0" w:color="auto"/>
                                                              </w:divBdr>
                                                              <w:divsChild>
                                                                <w:div w:id="1484926380">
                                                                  <w:marLeft w:val="0"/>
                                                                  <w:marRight w:val="0"/>
                                                                  <w:marTop w:val="0"/>
                                                                  <w:marBottom w:val="0"/>
                                                                  <w:divBdr>
                                                                    <w:top w:val="none" w:sz="0" w:space="0" w:color="auto"/>
                                                                    <w:left w:val="none" w:sz="0" w:space="0" w:color="auto"/>
                                                                    <w:bottom w:val="none" w:sz="0" w:space="0" w:color="auto"/>
                                                                    <w:right w:val="none" w:sz="0" w:space="0" w:color="auto"/>
                                                                  </w:divBdr>
                                                                </w:div>
                                                              </w:divsChild>
                                                            </w:div>
                                                            <w:div w:id="1295135244">
                                                              <w:marLeft w:val="0"/>
                                                              <w:marRight w:val="0"/>
                                                              <w:marTop w:val="0"/>
                                                              <w:marBottom w:val="0"/>
                                                              <w:divBdr>
                                                                <w:top w:val="none" w:sz="0" w:space="0" w:color="auto"/>
                                                                <w:left w:val="none" w:sz="0" w:space="0" w:color="auto"/>
                                                                <w:bottom w:val="none" w:sz="0" w:space="0" w:color="auto"/>
                                                                <w:right w:val="none" w:sz="0" w:space="0" w:color="auto"/>
                                                              </w:divBdr>
                                                              <w:divsChild>
                                                                <w:div w:id="345517648">
                                                                  <w:marLeft w:val="0"/>
                                                                  <w:marRight w:val="0"/>
                                                                  <w:marTop w:val="0"/>
                                                                  <w:marBottom w:val="75"/>
                                                                  <w:divBdr>
                                                                    <w:top w:val="none" w:sz="0" w:space="0" w:color="auto"/>
                                                                    <w:left w:val="none" w:sz="0" w:space="0" w:color="auto"/>
                                                                    <w:bottom w:val="none" w:sz="0" w:space="0" w:color="auto"/>
                                                                    <w:right w:val="none" w:sz="0" w:space="0" w:color="auto"/>
                                                                  </w:divBdr>
                                                                </w:div>
                                                              </w:divsChild>
                                                            </w:div>
                                                            <w:div w:id="2062822696">
                                                              <w:marLeft w:val="0"/>
                                                              <w:marRight w:val="0"/>
                                                              <w:marTop w:val="240"/>
                                                              <w:marBottom w:val="0"/>
                                                              <w:divBdr>
                                                                <w:top w:val="none" w:sz="0" w:space="0" w:color="auto"/>
                                                                <w:left w:val="none" w:sz="0" w:space="0" w:color="auto"/>
                                                                <w:bottom w:val="none" w:sz="0" w:space="0" w:color="auto"/>
                                                                <w:right w:val="none" w:sz="0" w:space="0" w:color="auto"/>
                                                              </w:divBdr>
                                                            </w:div>
                                                            <w:div w:id="1664581483">
                                                              <w:marLeft w:val="0"/>
                                                              <w:marRight w:val="240"/>
                                                              <w:marTop w:val="0"/>
                                                              <w:marBottom w:val="0"/>
                                                              <w:divBdr>
                                                                <w:top w:val="none" w:sz="0" w:space="0" w:color="auto"/>
                                                                <w:left w:val="none" w:sz="0" w:space="0" w:color="auto"/>
                                                                <w:bottom w:val="none" w:sz="0" w:space="0" w:color="auto"/>
                                                                <w:right w:val="none" w:sz="0" w:space="0" w:color="auto"/>
                                                              </w:divBdr>
                                                            </w:div>
                                                            <w:div w:id="1541476756">
                                                              <w:marLeft w:val="0"/>
                                                              <w:marRight w:val="240"/>
                                                              <w:marTop w:val="0"/>
                                                              <w:marBottom w:val="0"/>
                                                              <w:divBdr>
                                                                <w:top w:val="none" w:sz="0" w:space="0" w:color="auto"/>
                                                                <w:left w:val="none" w:sz="0" w:space="0" w:color="auto"/>
                                                                <w:bottom w:val="none" w:sz="0" w:space="0" w:color="auto"/>
                                                                <w:right w:val="none" w:sz="0" w:space="0" w:color="auto"/>
                                                              </w:divBdr>
                                                            </w:div>
                                                            <w:div w:id="1492794631">
                                                              <w:marLeft w:val="0"/>
                                                              <w:marRight w:val="240"/>
                                                              <w:marTop w:val="0"/>
                                                              <w:marBottom w:val="0"/>
                                                              <w:divBdr>
                                                                <w:top w:val="none" w:sz="0" w:space="0" w:color="auto"/>
                                                                <w:left w:val="none" w:sz="0" w:space="0" w:color="auto"/>
                                                                <w:bottom w:val="none" w:sz="0" w:space="0" w:color="auto"/>
                                                                <w:right w:val="none" w:sz="0" w:space="0" w:color="auto"/>
                                                              </w:divBdr>
                                                            </w:div>
                                                          </w:divsChild>
                                                        </w:div>
                                                        <w:div w:id="1817062486">
                                                          <w:marLeft w:val="0"/>
                                                          <w:marRight w:val="0"/>
                                                          <w:marTop w:val="0"/>
                                                          <w:marBottom w:val="0"/>
                                                          <w:divBdr>
                                                            <w:top w:val="none" w:sz="0" w:space="0" w:color="auto"/>
                                                            <w:left w:val="none" w:sz="0" w:space="0" w:color="auto"/>
                                                            <w:bottom w:val="none" w:sz="0" w:space="0" w:color="auto"/>
                                                            <w:right w:val="none" w:sz="0" w:space="0" w:color="auto"/>
                                                          </w:divBdr>
                                                          <w:divsChild>
                                                            <w:div w:id="1073285037">
                                                              <w:marLeft w:val="0"/>
                                                              <w:marRight w:val="0"/>
                                                              <w:marTop w:val="0"/>
                                                              <w:marBottom w:val="0"/>
                                                              <w:divBdr>
                                                                <w:top w:val="none" w:sz="0" w:space="0" w:color="auto"/>
                                                                <w:left w:val="none" w:sz="0" w:space="0" w:color="auto"/>
                                                                <w:bottom w:val="none" w:sz="0" w:space="0" w:color="auto"/>
                                                                <w:right w:val="none" w:sz="0" w:space="0" w:color="auto"/>
                                                              </w:divBdr>
                                                              <w:divsChild>
                                                                <w:div w:id="1203786629">
                                                                  <w:marLeft w:val="0"/>
                                                                  <w:marRight w:val="0"/>
                                                                  <w:marTop w:val="0"/>
                                                                  <w:marBottom w:val="0"/>
                                                                  <w:divBdr>
                                                                    <w:top w:val="none" w:sz="0" w:space="0" w:color="auto"/>
                                                                    <w:left w:val="none" w:sz="0" w:space="0" w:color="auto"/>
                                                                    <w:bottom w:val="none" w:sz="0" w:space="0" w:color="auto"/>
                                                                    <w:right w:val="none" w:sz="0" w:space="0" w:color="auto"/>
                                                                  </w:divBdr>
                                                                </w:div>
                                                              </w:divsChild>
                                                            </w:div>
                                                            <w:div w:id="1444420507">
                                                              <w:marLeft w:val="0"/>
                                                              <w:marRight w:val="0"/>
                                                              <w:marTop w:val="0"/>
                                                              <w:marBottom w:val="0"/>
                                                              <w:divBdr>
                                                                <w:top w:val="none" w:sz="0" w:space="0" w:color="auto"/>
                                                                <w:left w:val="none" w:sz="0" w:space="0" w:color="auto"/>
                                                                <w:bottom w:val="none" w:sz="0" w:space="0" w:color="auto"/>
                                                                <w:right w:val="none" w:sz="0" w:space="0" w:color="auto"/>
                                                              </w:divBdr>
                                                              <w:divsChild>
                                                                <w:div w:id="197739093">
                                                                  <w:marLeft w:val="0"/>
                                                                  <w:marRight w:val="0"/>
                                                                  <w:marTop w:val="0"/>
                                                                  <w:marBottom w:val="75"/>
                                                                  <w:divBdr>
                                                                    <w:top w:val="none" w:sz="0" w:space="0" w:color="auto"/>
                                                                    <w:left w:val="none" w:sz="0" w:space="0" w:color="auto"/>
                                                                    <w:bottom w:val="none" w:sz="0" w:space="0" w:color="auto"/>
                                                                    <w:right w:val="none" w:sz="0" w:space="0" w:color="auto"/>
                                                                  </w:divBdr>
                                                                </w:div>
                                                              </w:divsChild>
                                                            </w:div>
                                                            <w:div w:id="252594714">
                                                              <w:marLeft w:val="0"/>
                                                              <w:marRight w:val="0"/>
                                                              <w:marTop w:val="240"/>
                                                              <w:marBottom w:val="0"/>
                                                              <w:divBdr>
                                                                <w:top w:val="none" w:sz="0" w:space="0" w:color="auto"/>
                                                                <w:left w:val="none" w:sz="0" w:space="0" w:color="auto"/>
                                                                <w:bottom w:val="none" w:sz="0" w:space="0" w:color="auto"/>
                                                                <w:right w:val="none" w:sz="0" w:space="0" w:color="auto"/>
                                                              </w:divBdr>
                                                            </w:div>
                                                            <w:div w:id="1648054081">
                                                              <w:marLeft w:val="0"/>
                                                              <w:marRight w:val="240"/>
                                                              <w:marTop w:val="0"/>
                                                              <w:marBottom w:val="0"/>
                                                              <w:divBdr>
                                                                <w:top w:val="none" w:sz="0" w:space="0" w:color="auto"/>
                                                                <w:left w:val="none" w:sz="0" w:space="0" w:color="auto"/>
                                                                <w:bottom w:val="none" w:sz="0" w:space="0" w:color="auto"/>
                                                                <w:right w:val="none" w:sz="0" w:space="0" w:color="auto"/>
                                                              </w:divBdr>
                                                            </w:div>
                                                            <w:div w:id="261031317">
                                                              <w:marLeft w:val="0"/>
                                                              <w:marRight w:val="240"/>
                                                              <w:marTop w:val="0"/>
                                                              <w:marBottom w:val="0"/>
                                                              <w:divBdr>
                                                                <w:top w:val="none" w:sz="0" w:space="0" w:color="auto"/>
                                                                <w:left w:val="none" w:sz="0" w:space="0" w:color="auto"/>
                                                                <w:bottom w:val="none" w:sz="0" w:space="0" w:color="auto"/>
                                                                <w:right w:val="none" w:sz="0" w:space="0" w:color="auto"/>
                                                              </w:divBdr>
                                                            </w:div>
                                                            <w:div w:id="587276553">
                                                              <w:marLeft w:val="0"/>
                                                              <w:marRight w:val="240"/>
                                                              <w:marTop w:val="0"/>
                                                              <w:marBottom w:val="0"/>
                                                              <w:divBdr>
                                                                <w:top w:val="none" w:sz="0" w:space="0" w:color="auto"/>
                                                                <w:left w:val="none" w:sz="0" w:space="0" w:color="auto"/>
                                                                <w:bottom w:val="none" w:sz="0" w:space="0" w:color="auto"/>
                                                                <w:right w:val="none" w:sz="0" w:space="0" w:color="auto"/>
                                                              </w:divBdr>
                                                            </w:div>
                                                          </w:divsChild>
                                                        </w:div>
                                                        <w:div w:id="277028788">
                                                          <w:marLeft w:val="0"/>
                                                          <w:marRight w:val="0"/>
                                                          <w:marTop w:val="0"/>
                                                          <w:marBottom w:val="0"/>
                                                          <w:divBdr>
                                                            <w:top w:val="none" w:sz="0" w:space="0" w:color="auto"/>
                                                            <w:left w:val="none" w:sz="0" w:space="0" w:color="auto"/>
                                                            <w:bottom w:val="none" w:sz="0" w:space="0" w:color="auto"/>
                                                            <w:right w:val="none" w:sz="0" w:space="0" w:color="auto"/>
                                                          </w:divBdr>
                                                          <w:divsChild>
                                                            <w:div w:id="1383603300">
                                                              <w:marLeft w:val="0"/>
                                                              <w:marRight w:val="0"/>
                                                              <w:marTop w:val="0"/>
                                                              <w:marBottom w:val="0"/>
                                                              <w:divBdr>
                                                                <w:top w:val="none" w:sz="0" w:space="0" w:color="auto"/>
                                                                <w:left w:val="none" w:sz="0" w:space="0" w:color="auto"/>
                                                                <w:bottom w:val="none" w:sz="0" w:space="0" w:color="auto"/>
                                                                <w:right w:val="none" w:sz="0" w:space="0" w:color="auto"/>
                                                              </w:divBdr>
                                                              <w:divsChild>
                                                                <w:div w:id="1732121824">
                                                                  <w:marLeft w:val="0"/>
                                                                  <w:marRight w:val="0"/>
                                                                  <w:marTop w:val="0"/>
                                                                  <w:marBottom w:val="0"/>
                                                                  <w:divBdr>
                                                                    <w:top w:val="none" w:sz="0" w:space="0" w:color="auto"/>
                                                                    <w:left w:val="none" w:sz="0" w:space="0" w:color="auto"/>
                                                                    <w:bottom w:val="none" w:sz="0" w:space="0" w:color="auto"/>
                                                                    <w:right w:val="none" w:sz="0" w:space="0" w:color="auto"/>
                                                                  </w:divBdr>
                                                                </w:div>
                                                              </w:divsChild>
                                                            </w:div>
                                                            <w:div w:id="1662199179">
                                                              <w:marLeft w:val="0"/>
                                                              <w:marRight w:val="0"/>
                                                              <w:marTop w:val="0"/>
                                                              <w:marBottom w:val="0"/>
                                                              <w:divBdr>
                                                                <w:top w:val="none" w:sz="0" w:space="0" w:color="auto"/>
                                                                <w:left w:val="none" w:sz="0" w:space="0" w:color="auto"/>
                                                                <w:bottom w:val="none" w:sz="0" w:space="0" w:color="auto"/>
                                                                <w:right w:val="none" w:sz="0" w:space="0" w:color="auto"/>
                                                              </w:divBdr>
                                                              <w:divsChild>
                                                                <w:div w:id="701132123">
                                                                  <w:marLeft w:val="0"/>
                                                                  <w:marRight w:val="0"/>
                                                                  <w:marTop w:val="0"/>
                                                                  <w:marBottom w:val="75"/>
                                                                  <w:divBdr>
                                                                    <w:top w:val="none" w:sz="0" w:space="0" w:color="auto"/>
                                                                    <w:left w:val="none" w:sz="0" w:space="0" w:color="auto"/>
                                                                    <w:bottom w:val="none" w:sz="0" w:space="0" w:color="auto"/>
                                                                    <w:right w:val="none" w:sz="0" w:space="0" w:color="auto"/>
                                                                  </w:divBdr>
                                                                </w:div>
                                                              </w:divsChild>
                                                            </w:div>
                                                            <w:div w:id="1300261254">
                                                              <w:marLeft w:val="0"/>
                                                              <w:marRight w:val="0"/>
                                                              <w:marTop w:val="240"/>
                                                              <w:marBottom w:val="0"/>
                                                              <w:divBdr>
                                                                <w:top w:val="none" w:sz="0" w:space="0" w:color="auto"/>
                                                                <w:left w:val="none" w:sz="0" w:space="0" w:color="auto"/>
                                                                <w:bottom w:val="none" w:sz="0" w:space="0" w:color="auto"/>
                                                                <w:right w:val="none" w:sz="0" w:space="0" w:color="auto"/>
                                                              </w:divBdr>
                                                            </w:div>
                                                            <w:div w:id="1542210209">
                                                              <w:marLeft w:val="0"/>
                                                              <w:marRight w:val="240"/>
                                                              <w:marTop w:val="0"/>
                                                              <w:marBottom w:val="0"/>
                                                              <w:divBdr>
                                                                <w:top w:val="none" w:sz="0" w:space="0" w:color="auto"/>
                                                                <w:left w:val="none" w:sz="0" w:space="0" w:color="auto"/>
                                                                <w:bottom w:val="none" w:sz="0" w:space="0" w:color="auto"/>
                                                                <w:right w:val="none" w:sz="0" w:space="0" w:color="auto"/>
                                                              </w:divBdr>
                                                            </w:div>
                                                            <w:div w:id="597720344">
                                                              <w:marLeft w:val="0"/>
                                                              <w:marRight w:val="240"/>
                                                              <w:marTop w:val="0"/>
                                                              <w:marBottom w:val="0"/>
                                                              <w:divBdr>
                                                                <w:top w:val="none" w:sz="0" w:space="0" w:color="auto"/>
                                                                <w:left w:val="none" w:sz="0" w:space="0" w:color="auto"/>
                                                                <w:bottom w:val="none" w:sz="0" w:space="0" w:color="auto"/>
                                                                <w:right w:val="none" w:sz="0" w:space="0" w:color="auto"/>
                                                              </w:divBdr>
                                                            </w:div>
                                                            <w:div w:id="934092843">
                                                              <w:marLeft w:val="0"/>
                                                              <w:marRight w:val="240"/>
                                                              <w:marTop w:val="0"/>
                                                              <w:marBottom w:val="0"/>
                                                              <w:divBdr>
                                                                <w:top w:val="none" w:sz="0" w:space="0" w:color="auto"/>
                                                                <w:left w:val="none" w:sz="0" w:space="0" w:color="auto"/>
                                                                <w:bottom w:val="none" w:sz="0" w:space="0" w:color="auto"/>
                                                                <w:right w:val="none" w:sz="0" w:space="0" w:color="auto"/>
                                                              </w:divBdr>
                                                            </w:div>
                                                          </w:divsChild>
                                                        </w:div>
                                                        <w:div w:id="709501099">
                                                          <w:marLeft w:val="0"/>
                                                          <w:marRight w:val="0"/>
                                                          <w:marTop w:val="0"/>
                                                          <w:marBottom w:val="0"/>
                                                          <w:divBdr>
                                                            <w:top w:val="none" w:sz="0" w:space="0" w:color="auto"/>
                                                            <w:left w:val="none" w:sz="0" w:space="0" w:color="auto"/>
                                                            <w:bottom w:val="none" w:sz="0" w:space="0" w:color="auto"/>
                                                            <w:right w:val="none" w:sz="0" w:space="0" w:color="auto"/>
                                                          </w:divBdr>
                                                          <w:divsChild>
                                                            <w:div w:id="42798041">
                                                              <w:marLeft w:val="0"/>
                                                              <w:marRight w:val="0"/>
                                                              <w:marTop w:val="0"/>
                                                              <w:marBottom w:val="0"/>
                                                              <w:divBdr>
                                                                <w:top w:val="none" w:sz="0" w:space="0" w:color="auto"/>
                                                                <w:left w:val="none" w:sz="0" w:space="0" w:color="auto"/>
                                                                <w:bottom w:val="none" w:sz="0" w:space="0" w:color="auto"/>
                                                                <w:right w:val="none" w:sz="0" w:space="0" w:color="auto"/>
                                                              </w:divBdr>
                                                              <w:divsChild>
                                                                <w:div w:id="1197037664">
                                                                  <w:marLeft w:val="0"/>
                                                                  <w:marRight w:val="0"/>
                                                                  <w:marTop w:val="0"/>
                                                                  <w:marBottom w:val="0"/>
                                                                  <w:divBdr>
                                                                    <w:top w:val="none" w:sz="0" w:space="0" w:color="auto"/>
                                                                    <w:left w:val="none" w:sz="0" w:space="0" w:color="auto"/>
                                                                    <w:bottom w:val="none" w:sz="0" w:space="0" w:color="auto"/>
                                                                    <w:right w:val="none" w:sz="0" w:space="0" w:color="auto"/>
                                                                  </w:divBdr>
                                                                </w:div>
                                                              </w:divsChild>
                                                            </w:div>
                                                            <w:div w:id="1249995984">
                                                              <w:marLeft w:val="0"/>
                                                              <w:marRight w:val="0"/>
                                                              <w:marTop w:val="0"/>
                                                              <w:marBottom w:val="0"/>
                                                              <w:divBdr>
                                                                <w:top w:val="none" w:sz="0" w:space="0" w:color="auto"/>
                                                                <w:left w:val="none" w:sz="0" w:space="0" w:color="auto"/>
                                                                <w:bottom w:val="none" w:sz="0" w:space="0" w:color="auto"/>
                                                                <w:right w:val="none" w:sz="0" w:space="0" w:color="auto"/>
                                                              </w:divBdr>
                                                              <w:divsChild>
                                                                <w:div w:id="421804425">
                                                                  <w:marLeft w:val="0"/>
                                                                  <w:marRight w:val="0"/>
                                                                  <w:marTop w:val="0"/>
                                                                  <w:marBottom w:val="75"/>
                                                                  <w:divBdr>
                                                                    <w:top w:val="none" w:sz="0" w:space="0" w:color="auto"/>
                                                                    <w:left w:val="none" w:sz="0" w:space="0" w:color="auto"/>
                                                                    <w:bottom w:val="none" w:sz="0" w:space="0" w:color="auto"/>
                                                                    <w:right w:val="none" w:sz="0" w:space="0" w:color="auto"/>
                                                                  </w:divBdr>
                                                                </w:div>
                                                              </w:divsChild>
                                                            </w:div>
                                                            <w:div w:id="370738313">
                                                              <w:marLeft w:val="0"/>
                                                              <w:marRight w:val="0"/>
                                                              <w:marTop w:val="240"/>
                                                              <w:marBottom w:val="0"/>
                                                              <w:divBdr>
                                                                <w:top w:val="none" w:sz="0" w:space="0" w:color="auto"/>
                                                                <w:left w:val="none" w:sz="0" w:space="0" w:color="auto"/>
                                                                <w:bottom w:val="none" w:sz="0" w:space="0" w:color="auto"/>
                                                                <w:right w:val="none" w:sz="0" w:space="0" w:color="auto"/>
                                                              </w:divBdr>
                                                            </w:div>
                                                            <w:div w:id="1951694059">
                                                              <w:marLeft w:val="0"/>
                                                              <w:marRight w:val="240"/>
                                                              <w:marTop w:val="0"/>
                                                              <w:marBottom w:val="0"/>
                                                              <w:divBdr>
                                                                <w:top w:val="none" w:sz="0" w:space="0" w:color="auto"/>
                                                                <w:left w:val="none" w:sz="0" w:space="0" w:color="auto"/>
                                                                <w:bottom w:val="none" w:sz="0" w:space="0" w:color="auto"/>
                                                                <w:right w:val="none" w:sz="0" w:space="0" w:color="auto"/>
                                                              </w:divBdr>
                                                            </w:div>
                                                            <w:div w:id="1748844683">
                                                              <w:marLeft w:val="0"/>
                                                              <w:marRight w:val="240"/>
                                                              <w:marTop w:val="0"/>
                                                              <w:marBottom w:val="0"/>
                                                              <w:divBdr>
                                                                <w:top w:val="none" w:sz="0" w:space="0" w:color="auto"/>
                                                                <w:left w:val="none" w:sz="0" w:space="0" w:color="auto"/>
                                                                <w:bottom w:val="none" w:sz="0" w:space="0" w:color="auto"/>
                                                                <w:right w:val="none" w:sz="0" w:space="0" w:color="auto"/>
                                                              </w:divBdr>
                                                            </w:div>
                                                            <w:div w:id="866871374">
                                                              <w:marLeft w:val="0"/>
                                                              <w:marRight w:val="240"/>
                                                              <w:marTop w:val="0"/>
                                                              <w:marBottom w:val="0"/>
                                                              <w:divBdr>
                                                                <w:top w:val="none" w:sz="0" w:space="0" w:color="auto"/>
                                                                <w:left w:val="none" w:sz="0" w:space="0" w:color="auto"/>
                                                                <w:bottom w:val="none" w:sz="0" w:space="0" w:color="auto"/>
                                                                <w:right w:val="none" w:sz="0" w:space="0" w:color="auto"/>
                                                              </w:divBdr>
                                                            </w:div>
                                                          </w:divsChild>
                                                        </w:div>
                                                        <w:div w:id="1487473898">
                                                          <w:marLeft w:val="0"/>
                                                          <w:marRight w:val="0"/>
                                                          <w:marTop w:val="0"/>
                                                          <w:marBottom w:val="0"/>
                                                          <w:divBdr>
                                                            <w:top w:val="none" w:sz="0" w:space="0" w:color="auto"/>
                                                            <w:left w:val="none" w:sz="0" w:space="0" w:color="auto"/>
                                                            <w:bottom w:val="none" w:sz="0" w:space="0" w:color="auto"/>
                                                            <w:right w:val="none" w:sz="0" w:space="0" w:color="auto"/>
                                                          </w:divBdr>
                                                          <w:divsChild>
                                                            <w:div w:id="2062631021">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185094211">
                                                                      <w:marLeft w:val="0"/>
                                                                      <w:marRight w:val="0"/>
                                                                      <w:marTop w:val="0"/>
                                                                      <w:marBottom w:val="0"/>
                                                                      <w:divBdr>
                                                                        <w:top w:val="none" w:sz="0" w:space="0" w:color="auto"/>
                                                                        <w:left w:val="none" w:sz="0" w:space="0" w:color="auto"/>
                                                                        <w:bottom w:val="none" w:sz="0" w:space="0" w:color="auto"/>
                                                                        <w:right w:val="none" w:sz="0" w:space="0" w:color="auto"/>
                                                                      </w:divBdr>
                                                                    </w:div>
                                                                  </w:divsChild>
                                                                </w:div>
                                                                <w:div w:id="1876312419">
                                                                  <w:marLeft w:val="0"/>
                                                                  <w:marRight w:val="0"/>
                                                                  <w:marTop w:val="0"/>
                                                                  <w:marBottom w:val="0"/>
                                                                  <w:divBdr>
                                                                    <w:top w:val="none" w:sz="0" w:space="0" w:color="auto"/>
                                                                    <w:left w:val="none" w:sz="0" w:space="0" w:color="auto"/>
                                                                    <w:bottom w:val="none" w:sz="0" w:space="0" w:color="auto"/>
                                                                    <w:right w:val="none" w:sz="0" w:space="0" w:color="auto"/>
                                                                  </w:divBdr>
                                                                  <w:divsChild>
                                                                    <w:div w:id="1439643741">
                                                                      <w:marLeft w:val="0"/>
                                                                      <w:marRight w:val="0"/>
                                                                      <w:marTop w:val="0"/>
                                                                      <w:marBottom w:val="75"/>
                                                                      <w:divBdr>
                                                                        <w:top w:val="none" w:sz="0" w:space="0" w:color="auto"/>
                                                                        <w:left w:val="none" w:sz="0" w:space="0" w:color="auto"/>
                                                                        <w:bottom w:val="none" w:sz="0" w:space="0" w:color="auto"/>
                                                                        <w:right w:val="none" w:sz="0" w:space="0" w:color="auto"/>
                                                                      </w:divBdr>
                                                                    </w:div>
                                                                  </w:divsChild>
                                                                </w:div>
                                                                <w:div w:id="186482498">
                                                                  <w:marLeft w:val="0"/>
                                                                  <w:marRight w:val="0"/>
                                                                  <w:marTop w:val="240"/>
                                                                  <w:marBottom w:val="0"/>
                                                                  <w:divBdr>
                                                                    <w:top w:val="none" w:sz="0" w:space="0" w:color="auto"/>
                                                                    <w:left w:val="none" w:sz="0" w:space="0" w:color="auto"/>
                                                                    <w:bottom w:val="none" w:sz="0" w:space="0" w:color="auto"/>
                                                                    <w:right w:val="none" w:sz="0" w:space="0" w:color="auto"/>
                                                                  </w:divBdr>
                                                                </w:div>
                                                                <w:div w:id="865102080">
                                                                  <w:marLeft w:val="0"/>
                                                                  <w:marRight w:val="240"/>
                                                                  <w:marTop w:val="0"/>
                                                                  <w:marBottom w:val="0"/>
                                                                  <w:divBdr>
                                                                    <w:top w:val="none" w:sz="0" w:space="0" w:color="auto"/>
                                                                    <w:left w:val="none" w:sz="0" w:space="0" w:color="auto"/>
                                                                    <w:bottom w:val="none" w:sz="0" w:space="0" w:color="auto"/>
                                                                    <w:right w:val="none" w:sz="0" w:space="0" w:color="auto"/>
                                                                  </w:divBdr>
                                                                </w:div>
                                                                <w:div w:id="1133787101">
                                                                  <w:marLeft w:val="0"/>
                                                                  <w:marRight w:val="240"/>
                                                                  <w:marTop w:val="0"/>
                                                                  <w:marBottom w:val="0"/>
                                                                  <w:divBdr>
                                                                    <w:top w:val="none" w:sz="0" w:space="0" w:color="auto"/>
                                                                    <w:left w:val="none" w:sz="0" w:space="0" w:color="auto"/>
                                                                    <w:bottom w:val="none" w:sz="0" w:space="0" w:color="auto"/>
                                                                    <w:right w:val="none" w:sz="0" w:space="0" w:color="auto"/>
                                                                  </w:divBdr>
                                                                </w:div>
                                                                <w:div w:id="770049411">
                                                                  <w:marLeft w:val="0"/>
                                                                  <w:marRight w:val="240"/>
                                                                  <w:marTop w:val="0"/>
                                                                  <w:marBottom w:val="0"/>
                                                                  <w:divBdr>
                                                                    <w:top w:val="none" w:sz="0" w:space="0" w:color="auto"/>
                                                                    <w:left w:val="none" w:sz="0" w:space="0" w:color="auto"/>
                                                                    <w:bottom w:val="none" w:sz="0" w:space="0" w:color="auto"/>
                                                                    <w:right w:val="none" w:sz="0" w:space="0" w:color="auto"/>
                                                                  </w:divBdr>
                                                                </w:div>
                                                              </w:divsChild>
                                                            </w:div>
                                                            <w:div w:id="2135099133">
                                                              <w:marLeft w:val="0"/>
                                                              <w:marRight w:val="0"/>
                                                              <w:marTop w:val="0"/>
                                                              <w:marBottom w:val="0"/>
                                                              <w:divBdr>
                                                                <w:top w:val="none" w:sz="0" w:space="0" w:color="auto"/>
                                                                <w:left w:val="none" w:sz="0" w:space="0" w:color="auto"/>
                                                                <w:bottom w:val="none" w:sz="0" w:space="0" w:color="auto"/>
                                                                <w:right w:val="none" w:sz="0" w:space="0" w:color="auto"/>
                                                              </w:divBdr>
                                                              <w:divsChild>
                                                                <w:div w:id="1629432374">
                                                                  <w:marLeft w:val="0"/>
                                                                  <w:marRight w:val="0"/>
                                                                  <w:marTop w:val="0"/>
                                                                  <w:marBottom w:val="0"/>
                                                                  <w:divBdr>
                                                                    <w:top w:val="none" w:sz="0" w:space="0" w:color="auto"/>
                                                                    <w:left w:val="none" w:sz="0" w:space="0" w:color="auto"/>
                                                                    <w:bottom w:val="none" w:sz="0" w:space="0" w:color="auto"/>
                                                                    <w:right w:val="none" w:sz="0" w:space="0" w:color="auto"/>
                                                                  </w:divBdr>
                                                                  <w:divsChild>
                                                                    <w:div w:id="755592058">
                                                                      <w:marLeft w:val="0"/>
                                                                      <w:marRight w:val="0"/>
                                                                      <w:marTop w:val="0"/>
                                                                      <w:marBottom w:val="0"/>
                                                                      <w:divBdr>
                                                                        <w:top w:val="none" w:sz="0" w:space="0" w:color="auto"/>
                                                                        <w:left w:val="none" w:sz="0" w:space="0" w:color="auto"/>
                                                                        <w:bottom w:val="none" w:sz="0" w:space="0" w:color="auto"/>
                                                                        <w:right w:val="none" w:sz="0" w:space="0" w:color="auto"/>
                                                                      </w:divBdr>
                                                                    </w:div>
                                                                  </w:divsChild>
                                                                </w:div>
                                                                <w:div w:id="1391658645">
                                                                  <w:marLeft w:val="0"/>
                                                                  <w:marRight w:val="0"/>
                                                                  <w:marTop w:val="0"/>
                                                                  <w:marBottom w:val="0"/>
                                                                  <w:divBdr>
                                                                    <w:top w:val="none" w:sz="0" w:space="0" w:color="auto"/>
                                                                    <w:left w:val="none" w:sz="0" w:space="0" w:color="auto"/>
                                                                    <w:bottom w:val="none" w:sz="0" w:space="0" w:color="auto"/>
                                                                    <w:right w:val="none" w:sz="0" w:space="0" w:color="auto"/>
                                                                  </w:divBdr>
                                                                  <w:divsChild>
                                                                    <w:div w:id="8070699">
                                                                      <w:marLeft w:val="0"/>
                                                                      <w:marRight w:val="0"/>
                                                                      <w:marTop w:val="0"/>
                                                                      <w:marBottom w:val="75"/>
                                                                      <w:divBdr>
                                                                        <w:top w:val="none" w:sz="0" w:space="0" w:color="auto"/>
                                                                        <w:left w:val="none" w:sz="0" w:space="0" w:color="auto"/>
                                                                        <w:bottom w:val="none" w:sz="0" w:space="0" w:color="auto"/>
                                                                        <w:right w:val="none" w:sz="0" w:space="0" w:color="auto"/>
                                                                      </w:divBdr>
                                                                    </w:div>
                                                                  </w:divsChild>
                                                                </w:div>
                                                                <w:div w:id="2051176712">
                                                                  <w:marLeft w:val="0"/>
                                                                  <w:marRight w:val="0"/>
                                                                  <w:marTop w:val="240"/>
                                                                  <w:marBottom w:val="0"/>
                                                                  <w:divBdr>
                                                                    <w:top w:val="none" w:sz="0" w:space="0" w:color="auto"/>
                                                                    <w:left w:val="none" w:sz="0" w:space="0" w:color="auto"/>
                                                                    <w:bottom w:val="none" w:sz="0" w:space="0" w:color="auto"/>
                                                                    <w:right w:val="none" w:sz="0" w:space="0" w:color="auto"/>
                                                                  </w:divBdr>
                                                                </w:div>
                                                                <w:div w:id="1178740826">
                                                                  <w:marLeft w:val="0"/>
                                                                  <w:marRight w:val="240"/>
                                                                  <w:marTop w:val="0"/>
                                                                  <w:marBottom w:val="0"/>
                                                                  <w:divBdr>
                                                                    <w:top w:val="none" w:sz="0" w:space="0" w:color="auto"/>
                                                                    <w:left w:val="none" w:sz="0" w:space="0" w:color="auto"/>
                                                                    <w:bottom w:val="none" w:sz="0" w:space="0" w:color="auto"/>
                                                                    <w:right w:val="none" w:sz="0" w:space="0" w:color="auto"/>
                                                                  </w:divBdr>
                                                                </w:div>
                                                                <w:div w:id="518472650">
                                                                  <w:marLeft w:val="0"/>
                                                                  <w:marRight w:val="240"/>
                                                                  <w:marTop w:val="0"/>
                                                                  <w:marBottom w:val="0"/>
                                                                  <w:divBdr>
                                                                    <w:top w:val="none" w:sz="0" w:space="0" w:color="auto"/>
                                                                    <w:left w:val="none" w:sz="0" w:space="0" w:color="auto"/>
                                                                    <w:bottom w:val="none" w:sz="0" w:space="0" w:color="auto"/>
                                                                    <w:right w:val="none" w:sz="0" w:space="0" w:color="auto"/>
                                                                  </w:divBdr>
                                                                </w:div>
                                                                <w:div w:id="1184981262">
                                                                  <w:marLeft w:val="0"/>
                                                                  <w:marRight w:val="240"/>
                                                                  <w:marTop w:val="0"/>
                                                                  <w:marBottom w:val="0"/>
                                                                  <w:divBdr>
                                                                    <w:top w:val="none" w:sz="0" w:space="0" w:color="auto"/>
                                                                    <w:left w:val="none" w:sz="0" w:space="0" w:color="auto"/>
                                                                    <w:bottom w:val="none" w:sz="0" w:space="0" w:color="auto"/>
                                                                    <w:right w:val="none" w:sz="0" w:space="0" w:color="auto"/>
                                                                  </w:divBdr>
                                                                </w:div>
                                                              </w:divsChild>
                                                            </w:div>
                                                            <w:div w:id="1165510397">
                                                              <w:marLeft w:val="0"/>
                                                              <w:marRight w:val="0"/>
                                                              <w:marTop w:val="0"/>
                                                              <w:marBottom w:val="0"/>
                                                              <w:divBdr>
                                                                <w:top w:val="none" w:sz="0" w:space="0" w:color="auto"/>
                                                                <w:left w:val="none" w:sz="0" w:space="0" w:color="auto"/>
                                                                <w:bottom w:val="none" w:sz="0" w:space="0" w:color="auto"/>
                                                                <w:right w:val="none" w:sz="0" w:space="0" w:color="auto"/>
                                                              </w:divBdr>
                                                              <w:divsChild>
                                                                <w:div w:id="1835875102">
                                                                  <w:marLeft w:val="0"/>
                                                                  <w:marRight w:val="0"/>
                                                                  <w:marTop w:val="0"/>
                                                                  <w:marBottom w:val="0"/>
                                                                  <w:divBdr>
                                                                    <w:top w:val="none" w:sz="0" w:space="0" w:color="auto"/>
                                                                    <w:left w:val="none" w:sz="0" w:space="0" w:color="auto"/>
                                                                    <w:bottom w:val="none" w:sz="0" w:space="0" w:color="auto"/>
                                                                    <w:right w:val="none" w:sz="0" w:space="0" w:color="auto"/>
                                                                  </w:divBdr>
                                                                  <w:divsChild>
                                                                    <w:div w:id="676352185">
                                                                      <w:marLeft w:val="0"/>
                                                                      <w:marRight w:val="0"/>
                                                                      <w:marTop w:val="0"/>
                                                                      <w:marBottom w:val="0"/>
                                                                      <w:divBdr>
                                                                        <w:top w:val="none" w:sz="0" w:space="0" w:color="auto"/>
                                                                        <w:left w:val="none" w:sz="0" w:space="0" w:color="auto"/>
                                                                        <w:bottom w:val="none" w:sz="0" w:space="0" w:color="auto"/>
                                                                        <w:right w:val="none" w:sz="0" w:space="0" w:color="auto"/>
                                                                      </w:divBdr>
                                                                    </w:div>
                                                                  </w:divsChild>
                                                                </w:div>
                                                                <w:div w:id="421534949">
                                                                  <w:marLeft w:val="0"/>
                                                                  <w:marRight w:val="0"/>
                                                                  <w:marTop w:val="0"/>
                                                                  <w:marBottom w:val="0"/>
                                                                  <w:divBdr>
                                                                    <w:top w:val="none" w:sz="0" w:space="0" w:color="auto"/>
                                                                    <w:left w:val="none" w:sz="0" w:space="0" w:color="auto"/>
                                                                    <w:bottom w:val="none" w:sz="0" w:space="0" w:color="auto"/>
                                                                    <w:right w:val="none" w:sz="0" w:space="0" w:color="auto"/>
                                                                  </w:divBdr>
                                                                  <w:divsChild>
                                                                    <w:div w:id="134838795">
                                                                      <w:marLeft w:val="0"/>
                                                                      <w:marRight w:val="0"/>
                                                                      <w:marTop w:val="0"/>
                                                                      <w:marBottom w:val="75"/>
                                                                      <w:divBdr>
                                                                        <w:top w:val="none" w:sz="0" w:space="0" w:color="auto"/>
                                                                        <w:left w:val="none" w:sz="0" w:space="0" w:color="auto"/>
                                                                        <w:bottom w:val="none" w:sz="0" w:space="0" w:color="auto"/>
                                                                        <w:right w:val="none" w:sz="0" w:space="0" w:color="auto"/>
                                                                      </w:divBdr>
                                                                    </w:div>
                                                                  </w:divsChild>
                                                                </w:div>
                                                                <w:div w:id="548224935">
                                                                  <w:marLeft w:val="0"/>
                                                                  <w:marRight w:val="0"/>
                                                                  <w:marTop w:val="240"/>
                                                                  <w:marBottom w:val="0"/>
                                                                  <w:divBdr>
                                                                    <w:top w:val="none" w:sz="0" w:space="0" w:color="auto"/>
                                                                    <w:left w:val="none" w:sz="0" w:space="0" w:color="auto"/>
                                                                    <w:bottom w:val="none" w:sz="0" w:space="0" w:color="auto"/>
                                                                    <w:right w:val="none" w:sz="0" w:space="0" w:color="auto"/>
                                                                  </w:divBdr>
                                                                </w:div>
                                                                <w:div w:id="76101422">
                                                                  <w:marLeft w:val="0"/>
                                                                  <w:marRight w:val="240"/>
                                                                  <w:marTop w:val="0"/>
                                                                  <w:marBottom w:val="0"/>
                                                                  <w:divBdr>
                                                                    <w:top w:val="none" w:sz="0" w:space="0" w:color="auto"/>
                                                                    <w:left w:val="none" w:sz="0" w:space="0" w:color="auto"/>
                                                                    <w:bottom w:val="none" w:sz="0" w:space="0" w:color="auto"/>
                                                                    <w:right w:val="none" w:sz="0" w:space="0" w:color="auto"/>
                                                                  </w:divBdr>
                                                                </w:div>
                                                                <w:div w:id="1997608784">
                                                                  <w:marLeft w:val="0"/>
                                                                  <w:marRight w:val="240"/>
                                                                  <w:marTop w:val="0"/>
                                                                  <w:marBottom w:val="0"/>
                                                                  <w:divBdr>
                                                                    <w:top w:val="none" w:sz="0" w:space="0" w:color="auto"/>
                                                                    <w:left w:val="none" w:sz="0" w:space="0" w:color="auto"/>
                                                                    <w:bottom w:val="none" w:sz="0" w:space="0" w:color="auto"/>
                                                                    <w:right w:val="none" w:sz="0" w:space="0" w:color="auto"/>
                                                                  </w:divBdr>
                                                                </w:div>
                                                                <w:div w:id="1539389496">
                                                                  <w:marLeft w:val="0"/>
                                                                  <w:marRight w:val="240"/>
                                                                  <w:marTop w:val="0"/>
                                                                  <w:marBottom w:val="0"/>
                                                                  <w:divBdr>
                                                                    <w:top w:val="none" w:sz="0" w:space="0" w:color="auto"/>
                                                                    <w:left w:val="none" w:sz="0" w:space="0" w:color="auto"/>
                                                                    <w:bottom w:val="none" w:sz="0" w:space="0" w:color="auto"/>
                                                                    <w:right w:val="none" w:sz="0" w:space="0" w:color="auto"/>
                                                                  </w:divBdr>
                                                                </w:div>
                                                              </w:divsChild>
                                                            </w:div>
                                                            <w:div w:id="1550915494">
                                                              <w:marLeft w:val="0"/>
                                                              <w:marRight w:val="0"/>
                                                              <w:marTop w:val="0"/>
                                                              <w:marBottom w:val="0"/>
                                                              <w:divBdr>
                                                                <w:top w:val="none" w:sz="0" w:space="0" w:color="auto"/>
                                                                <w:left w:val="none" w:sz="0" w:space="0" w:color="auto"/>
                                                                <w:bottom w:val="none" w:sz="0" w:space="0" w:color="auto"/>
                                                                <w:right w:val="none" w:sz="0" w:space="0" w:color="auto"/>
                                                              </w:divBdr>
                                                              <w:divsChild>
                                                                <w:div w:id="1746143052">
                                                                  <w:marLeft w:val="0"/>
                                                                  <w:marRight w:val="0"/>
                                                                  <w:marTop w:val="0"/>
                                                                  <w:marBottom w:val="0"/>
                                                                  <w:divBdr>
                                                                    <w:top w:val="none" w:sz="0" w:space="0" w:color="auto"/>
                                                                    <w:left w:val="none" w:sz="0" w:space="0" w:color="auto"/>
                                                                    <w:bottom w:val="none" w:sz="0" w:space="0" w:color="auto"/>
                                                                    <w:right w:val="none" w:sz="0" w:space="0" w:color="auto"/>
                                                                  </w:divBdr>
                                                                  <w:divsChild>
                                                                    <w:div w:id="132065896">
                                                                      <w:marLeft w:val="0"/>
                                                                      <w:marRight w:val="0"/>
                                                                      <w:marTop w:val="0"/>
                                                                      <w:marBottom w:val="0"/>
                                                                      <w:divBdr>
                                                                        <w:top w:val="none" w:sz="0" w:space="0" w:color="auto"/>
                                                                        <w:left w:val="none" w:sz="0" w:space="0" w:color="auto"/>
                                                                        <w:bottom w:val="none" w:sz="0" w:space="0" w:color="auto"/>
                                                                        <w:right w:val="none" w:sz="0" w:space="0" w:color="auto"/>
                                                                      </w:divBdr>
                                                                    </w:div>
                                                                  </w:divsChild>
                                                                </w:div>
                                                                <w:div w:id="487207012">
                                                                  <w:marLeft w:val="0"/>
                                                                  <w:marRight w:val="0"/>
                                                                  <w:marTop w:val="0"/>
                                                                  <w:marBottom w:val="0"/>
                                                                  <w:divBdr>
                                                                    <w:top w:val="none" w:sz="0" w:space="0" w:color="auto"/>
                                                                    <w:left w:val="none" w:sz="0" w:space="0" w:color="auto"/>
                                                                    <w:bottom w:val="none" w:sz="0" w:space="0" w:color="auto"/>
                                                                    <w:right w:val="none" w:sz="0" w:space="0" w:color="auto"/>
                                                                  </w:divBdr>
                                                                  <w:divsChild>
                                                                    <w:div w:id="74671776">
                                                                      <w:marLeft w:val="0"/>
                                                                      <w:marRight w:val="0"/>
                                                                      <w:marTop w:val="0"/>
                                                                      <w:marBottom w:val="75"/>
                                                                      <w:divBdr>
                                                                        <w:top w:val="none" w:sz="0" w:space="0" w:color="auto"/>
                                                                        <w:left w:val="none" w:sz="0" w:space="0" w:color="auto"/>
                                                                        <w:bottom w:val="none" w:sz="0" w:space="0" w:color="auto"/>
                                                                        <w:right w:val="none" w:sz="0" w:space="0" w:color="auto"/>
                                                                      </w:divBdr>
                                                                    </w:div>
                                                                  </w:divsChild>
                                                                </w:div>
                                                                <w:div w:id="336005272">
                                                                  <w:marLeft w:val="0"/>
                                                                  <w:marRight w:val="0"/>
                                                                  <w:marTop w:val="240"/>
                                                                  <w:marBottom w:val="0"/>
                                                                  <w:divBdr>
                                                                    <w:top w:val="none" w:sz="0" w:space="0" w:color="auto"/>
                                                                    <w:left w:val="none" w:sz="0" w:space="0" w:color="auto"/>
                                                                    <w:bottom w:val="none" w:sz="0" w:space="0" w:color="auto"/>
                                                                    <w:right w:val="none" w:sz="0" w:space="0" w:color="auto"/>
                                                                  </w:divBdr>
                                                                </w:div>
                                                                <w:div w:id="1268731870">
                                                                  <w:marLeft w:val="0"/>
                                                                  <w:marRight w:val="240"/>
                                                                  <w:marTop w:val="0"/>
                                                                  <w:marBottom w:val="0"/>
                                                                  <w:divBdr>
                                                                    <w:top w:val="none" w:sz="0" w:space="0" w:color="auto"/>
                                                                    <w:left w:val="none" w:sz="0" w:space="0" w:color="auto"/>
                                                                    <w:bottom w:val="none" w:sz="0" w:space="0" w:color="auto"/>
                                                                    <w:right w:val="none" w:sz="0" w:space="0" w:color="auto"/>
                                                                  </w:divBdr>
                                                                </w:div>
                                                                <w:div w:id="401416573">
                                                                  <w:marLeft w:val="0"/>
                                                                  <w:marRight w:val="240"/>
                                                                  <w:marTop w:val="0"/>
                                                                  <w:marBottom w:val="0"/>
                                                                  <w:divBdr>
                                                                    <w:top w:val="none" w:sz="0" w:space="0" w:color="auto"/>
                                                                    <w:left w:val="none" w:sz="0" w:space="0" w:color="auto"/>
                                                                    <w:bottom w:val="none" w:sz="0" w:space="0" w:color="auto"/>
                                                                    <w:right w:val="none" w:sz="0" w:space="0" w:color="auto"/>
                                                                  </w:divBdr>
                                                                </w:div>
                                                                <w:div w:id="1053501045">
                                                                  <w:marLeft w:val="0"/>
                                                                  <w:marRight w:val="240"/>
                                                                  <w:marTop w:val="0"/>
                                                                  <w:marBottom w:val="0"/>
                                                                  <w:divBdr>
                                                                    <w:top w:val="none" w:sz="0" w:space="0" w:color="auto"/>
                                                                    <w:left w:val="none" w:sz="0" w:space="0" w:color="auto"/>
                                                                    <w:bottom w:val="none" w:sz="0" w:space="0" w:color="auto"/>
                                                                    <w:right w:val="none" w:sz="0" w:space="0" w:color="auto"/>
                                                                  </w:divBdr>
                                                                </w:div>
                                                              </w:divsChild>
                                                            </w:div>
                                                            <w:div w:id="1484196578">
                                                              <w:marLeft w:val="0"/>
                                                              <w:marRight w:val="0"/>
                                                              <w:marTop w:val="0"/>
                                                              <w:marBottom w:val="0"/>
                                                              <w:divBdr>
                                                                <w:top w:val="none" w:sz="0" w:space="0" w:color="auto"/>
                                                                <w:left w:val="none" w:sz="0" w:space="0" w:color="auto"/>
                                                                <w:bottom w:val="none" w:sz="0" w:space="0" w:color="auto"/>
                                                                <w:right w:val="none" w:sz="0" w:space="0" w:color="auto"/>
                                                              </w:divBdr>
                                                              <w:divsChild>
                                                                <w:div w:id="226571537">
                                                                  <w:marLeft w:val="0"/>
                                                                  <w:marRight w:val="0"/>
                                                                  <w:marTop w:val="0"/>
                                                                  <w:marBottom w:val="0"/>
                                                                  <w:divBdr>
                                                                    <w:top w:val="none" w:sz="0" w:space="0" w:color="auto"/>
                                                                    <w:left w:val="none" w:sz="0" w:space="0" w:color="auto"/>
                                                                    <w:bottom w:val="none" w:sz="0" w:space="0" w:color="auto"/>
                                                                    <w:right w:val="none" w:sz="0" w:space="0" w:color="auto"/>
                                                                  </w:divBdr>
                                                                  <w:divsChild>
                                                                    <w:div w:id="1196692041">
                                                                      <w:marLeft w:val="0"/>
                                                                      <w:marRight w:val="0"/>
                                                                      <w:marTop w:val="0"/>
                                                                      <w:marBottom w:val="0"/>
                                                                      <w:divBdr>
                                                                        <w:top w:val="none" w:sz="0" w:space="0" w:color="auto"/>
                                                                        <w:left w:val="none" w:sz="0" w:space="0" w:color="auto"/>
                                                                        <w:bottom w:val="none" w:sz="0" w:space="0" w:color="auto"/>
                                                                        <w:right w:val="none" w:sz="0" w:space="0" w:color="auto"/>
                                                                      </w:divBdr>
                                                                    </w:div>
                                                                  </w:divsChild>
                                                                </w:div>
                                                                <w:div w:id="1914200446">
                                                                  <w:marLeft w:val="0"/>
                                                                  <w:marRight w:val="0"/>
                                                                  <w:marTop w:val="0"/>
                                                                  <w:marBottom w:val="0"/>
                                                                  <w:divBdr>
                                                                    <w:top w:val="none" w:sz="0" w:space="0" w:color="auto"/>
                                                                    <w:left w:val="none" w:sz="0" w:space="0" w:color="auto"/>
                                                                    <w:bottom w:val="none" w:sz="0" w:space="0" w:color="auto"/>
                                                                    <w:right w:val="none" w:sz="0" w:space="0" w:color="auto"/>
                                                                  </w:divBdr>
                                                                  <w:divsChild>
                                                                    <w:div w:id="1907180675">
                                                                      <w:marLeft w:val="0"/>
                                                                      <w:marRight w:val="0"/>
                                                                      <w:marTop w:val="0"/>
                                                                      <w:marBottom w:val="75"/>
                                                                      <w:divBdr>
                                                                        <w:top w:val="none" w:sz="0" w:space="0" w:color="auto"/>
                                                                        <w:left w:val="none" w:sz="0" w:space="0" w:color="auto"/>
                                                                        <w:bottom w:val="none" w:sz="0" w:space="0" w:color="auto"/>
                                                                        <w:right w:val="none" w:sz="0" w:space="0" w:color="auto"/>
                                                                      </w:divBdr>
                                                                    </w:div>
                                                                  </w:divsChild>
                                                                </w:div>
                                                                <w:div w:id="967322055">
                                                                  <w:marLeft w:val="0"/>
                                                                  <w:marRight w:val="0"/>
                                                                  <w:marTop w:val="240"/>
                                                                  <w:marBottom w:val="0"/>
                                                                  <w:divBdr>
                                                                    <w:top w:val="none" w:sz="0" w:space="0" w:color="auto"/>
                                                                    <w:left w:val="none" w:sz="0" w:space="0" w:color="auto"/>
                                                                    <w:bottom w:val="none" w:sz="0" w:space="0" w:color="auto"/>
                                                                    <w:right w:val="none" w:sz="0" w:space="0" w:color="auto"/>
                                                                  </w:divBdr>
                                                                </w:div>
                                                                <w:div w:id="1265529156">
                                                                  <w:marLeft w:val="0"/>
                                                                  <w:marRight w:val="240"/>
                                                                  <w:marTop w:val="0"/>
                                                                  <w:marBottom w:val="0"/>
                                                                  <w:divBdr>
                                                                    <w:top w:val="none" w:sz="0" w:space="0" w:color="auto"/>
                                                                    <w:left w:val="none" w:sz="0" w:space="0" w:color="auto"/>
                                                                    <w:bottom w:val="none" w:sz="0" w:space="0" w:color="auto"/>
                                                                    <w:right w:val="none" w:sz="0" w:space="0" w:color="auto"/>
                                                                  </w:divBdr>
                                                                </w:div>
                                                                <w:div w:id="1584490548">
                                                                  <w:marLeft w:val="0"/>
                                                                  <w:marRight w:val="240"/>
                                                                  <w:marTop w:val="0"/>
                                                                  <w:marBottom w:val="0"/>
                                                                  <w:divBdr>
                                                                    <w:top w:val="none" w:sz="0" w:space="0" w:color="auto"/>
                                                                    <w:left w:val="none" w:sz="0" w:space="0" w:color="auto"/>
                                                                    <w:bottom w:val="none" w:sz="0" w:space="0" w:color="auto"/>
                                                                    <w:right w:val="none" w:sz="0" w:space="0" w:color="auto"/>
                                                                  </w:divBdr>
                                                                </w:div>
                                                                <w:div w:id="1118181703">
                                                                  <w:marLeft w:val="0"/>
                                                                  <w:marRight w:val="240"/>
                                                                  <w:marTop w:val="0"/>
                                                                  <w:marBottom w:val="0"/>
                                                                  <w:divBdr>
                                                                    <w:top w:val="none" w:sz="0" w:space="0" w:color="auto"/>
                                                                    <w:left w:val="none" w:sz="0" w:space="0" w:color="auto"/>
                                                                    <w:bottom w:val="none" w:sz="0" w:space="0" w:color="auto"/>
                                                                    <w:right w:val="none" w:sz="0" w:space="0" w:color="auto"/>
                                                                  </w:divBdr>
                                                                </w:div>
                                                              </w:divsChild>
                                                            </w:div>
                                                            <w:div w:id="1720779859">
                                                              <w:marLeft w:val="0"/>
                                                              <w:marRight w:val="0"/>
                                                              <w:marTop w:val="0"/>
                                                              <w:marBottom w:val="0"/>
                                                              <w:divBdr>
                                                                <w:top w:val="none" w:sz="0" w:space="0" w:color="auto"/>
                                                                <w:left w:val="none" w:sz="0" w:space="0" w:color="auto"/>
                                                                <w:bottom w:val="none" w:sz="0" w:space="0" w:color="auto"/>
                                                                <w:right w:val="none" w:sz="0" w:space="0" w:color="auto"/>
                                                              </w:divBdr>
                                                              <w:divsChild>
                                                                <w:div w:id="1880194032">
                                                                  <w:marLeft w:val="0"/>
                                                                  <w:marRight w:val="0"/>
                                                                  <w:marTop w:val="0"/>
                                                                  <w:marBottom w:val="0"/>
                                                                  <w:divBdr>
                                                                    <w:top w:val="none" w:sz="0" w:space="0" w:color="auto"/>
                                                                    <w:left w:val="none" w:sz="0" w:space="0" w:color="auto"/>
                                                                    <w:bottom w:val="none" w:sz="0" w:space="0" w:color="auto"/>
                                                                    <w:right w:val="none" w:sz="0" w:space="0" w:color="auto"/>
                                                                  </w:divBdr>
                                                                  <w:divsChild>
                                                                    <w:div w:id="184372302">
                                                                      <w:marLeft w:val="0"/>
                                                                      <w:marRight w:val="0"/>
                                                                      <w:marTop w:val="0"/>
                                                                      <w:marBottom w:val="0"/>
                                                                      <w:divBdr>
                                                                        <w:top w:val="none" w:sz="0" w:space="0" w:color="auto"/>
                                                                        <w:left w:val="none" w:sz="0" w:space="0" w:color="auto"/>
                                                                        <w:bottom w:val="none" w:sz="0" w:space="0" w:color="auto"/>
                                                                        <w:right w:val="none" w:sz="0" w:space="0" w:color="auto"/>
                                                                      </w:divBdr>
                                                                    </w:div>
                                                                  </w:divsChild>
                                                                </w:div>
                                                                <w:div w:id="1588995312">
                                                                  <w:marLeft w:val="0"/>
                                                                  <w:marRight w:val="0"/>
                                                                  <w:marTop w:val="0"/>
                                                                  <w:marBottom w:val="0"/>
                                                                  <w:divBdr>
                                                                    <w:top w:val="none" w:sz="0" w:space="0" w:color="auto"/>
                                                                    <w:left w:val="none" w:sz="0" w:space="0" w:color="auto"/>
                                                                    <w:bottom w:val="none" w:sz="0" w:space="0" w:color="auto"/>
                                                                    <w:right w:val="none" w:sz="0" w:space="0" w:color="auto"/>
                                                                  </w:divBdr>
                                                                  <w:divsChild>
                                                                    <w:div w:id="1528567678">
                                                                      <w:marLeft w:val="0"/>
                                                                      <w:marRight w:val="0"/>
                                                                      <w:marTop w:val="0"/>
                                                                      <w:marBottom w:val="75"/>
                                                                      <w:divBdr>
                                                                        <w:top w:val="none" w:sz="0" w:space="0" w:color="auto"/>
                                                                        <w:left w:val="none" w:sz="0" w:space="0" w:color="auto"/>
                                                                        <w:bottom w:val="none" w:sz="0" w:space="0" w:color="auto"/>
                                                                        <w:right w:val="none" w:sz="0" w:space="0" w:color="auto"/>
                                                                      </w:divBdr>
                                                                    </w:div>
                                                                  </w:divsChild>
                                                                </w:div>
                                                                <w:div w:id="621421299">
                                                                  <w:marLeft w:val="0"/>
                                                                  <w:marRight w:val="0"/>
                                                                  <w:marTop w:val="240"/>
                                                                  <w:marBottom w:val="0"/>
                                                                  <w:divBdr>
                                                                    <w:top w:val="none" w:sz="0" w:space="0" w:color="auto"/>
                                                                    <w:left w:val="none" w:sz="0" w:space="0" w:color="auto"/>
                                                                    <w:bottom w:val="none" w:sz="0" w:space="0" w:color="auto"/>
                                                                    <w:right w:val="none" w:sz="0" w:space="0" w:color="auto"/>
                                                                  </w:divBdr>
                                                                </w:div>
                                                                <w:div w:id="1484545412">
                                                                  <w:marLeft w:val="0"/>
                                                                  <w:marRight w:val="240"/>
                                                                  <w:marTop w:val="0"/>
                                                                  <w:marBottom w:val="0"/>
                                                                  <w:divBdr>
                                                                    <w:top w:val="none" w:sz="0" w:space="0" w:color="auto"/>
                                                                    <w:left w:val="none" w:sz="0" w:space="0" w:color="auto"/>
                                                                    <w:bottom w:val="none" w:sz="0" w:space="0" w:color="auto"/>
                                                                    <w:right w:val="none" w:sz="0" w:space="0" w:color="auto"/>
                                                                  </w:divBdr>
                                                                </w:div>
                                                                <w:div w:id="917330809">
                                                                  <w:marLeft w:val="0"/>
                                                                  <w:marRight w:val="240"/>
                                                                  <w:marTop w:val="0"/>
                                                                  <w:marBottom w:val="0"/>
                                                                  <w:divBdr>
                                                                    <w:top w:val="none" w:sz="0" w:space="0" w:color="auto"/>
                                                                    <w:left w:val="none" w:sz="0" w:space="0" w:color="auto"/>
                                                                    <w:bottom w:val="none" w:sz="0" w:space="0" w:color="auto"/>
                                                                    <w:right w:val="none" w:sz="0" w:space="0" w:color="auto"/>
                                                                  </w:divBdr>
                                                                </w:div>
                                                                <w:div w:id="1698775381">
                                                                  <w:marLeft w:val="0"/>
                                                                  <w:marRight w:val="240"/>
                                                                  <w:marTop w:val="0"/>
                                                                  <w:marBottom w:val="0"/>
                                                                  <w:divBdr>
                                                                    <w:top w:val="none" w:sz="0" w:space="0" w:color="auto"/>
                                                                    <w:left w:val="none" w:sz="0" w:space="0" w:color="auto"/>
                                                                    <w:bottom w:val="none" w:sz="0" w:space="0" w:color="auto"/>
                                                                    <w:right w:val="none" w:sz="0" w:space="0" w:color="auto"/>
                                                                  </w:divBdr>
                                                                </w:div>
                                                              </w:divsChild>
                                                            </w:div>
                                                            <w:div w:id="218135999">
                                                              <w:marLeft w:val="0"/>
                                                              <w:marRight w:val="0"/>
                                                              <w:marTop w:val="0"/>
                                                              <w:marBottom w:val="0"/>
                                                              <w:divBdr>
                                                                <w:top w:val="none" w:sz="0" w:space="0" w:color="auto"/>
                                                                <w:left w:val="none" w:sz="0" w:space="0" w:color="auto"/>
                                                                <w:bottom w:val="none" w:sz="0" w:space="0" w:color="auto"/>
                                                                <w:right w:val="none" w:sz="0" w:space="0" w:color="auto"/>
                                                              </w:divBdr>
                                                              <w:divsChild>
                                                                <w:div w:id="570232812">
                                                                  <w:marLeft w:val="0"/>
                                                                  <w:marRight w:val="0"/>
                                                                  <w:marTop w:val="0"/>
                                                                  <w:marBottom w:val="0"/>
                                                                  <w:divBdr>
                                                                    <w:top w:val="none" w:sz="0" w:space="0" w:color="auto"/>
                                                                    <w:left w:val="none" w:sz="0" w:space="0" w:color="auto"/>
                                                                    <w:bottom w:val="none" w:sz="0" w:space="0" w:color="auto"/>
                                                                    <w:right w:val="none" w:sz="0" w:space="0" w:color="auto"/>
                                                                  </w:divBdr>
                                                                  <w:divsChild>
                                                                    <w:div w:id="2137946658">
                                                                      <w:marLeft w:val="0"/>
                                                                      <w:marRight w:val="0"/>
                                                                      <w:marTop w:val="0"/>
                                                                      <w:marBottom w:val="0"/>
                                                                      <w:divBdr>
                                                                        <w:top w:val="none" w:sz="0" w:space="0" w:color="auto"/>
                                                                        <w:left w:val="none" w:sz="0" w:space="0" w:color="auto"/>
                                                                        <w:bottom w:val="none" w:sz="0" w:space="0" w:color="auto"/>
                                                                        <w:right w:val="none" w:sz="0" w:space="0" w:color="auto"/>
                                                                      </w:divBdr>
                                                                    </w:div>
                                                                  </w:divsChild>
                                                                </w:div>
                                                                <w:div w:id="523250379">
                                                                  <w:marLeft w:val="0"/>
                                                                  <w:marRight w:val="0"/>
                                                                  <w:marTop w:val="0"/>
                                                                  <w:marBottom w:val="0"/>
                                                                  <w:divBdr>
                                                                    <w:top w:val="none" w:sz="0" w:space="0" w:color="auto"/>
                                                                    <w:left w:val="none" w:sz="0" w:space="0" w:color="auto"/>
                                                                    <w:bottom w:val="none" w:sz="0" w:space="0" w:color="auto"/>
                                                                    <w:right w:val="none" w:sz="0" w:space="0" w:color="auto"/>
                                                                  </w:divBdr>
                                                                  <w:divsChild>
                                                                    <w:div w:id="1744793485">
                                                                      <w:marLeft w:val="0"/>
                                                                      <w:marRight w:val="0"/>
                                                                      <w:marTop w:val="0"/>
                                                                      <w:marBottom w:val="75"/>
                                                                      <w:divBdr>
                                                                        <w:top w:val="none" w:sz="0" w:space="0" w:color="auto"/>
                                                                        <w:left w:val="none" w:sz="0" w:space="0" w:color="auto"/>
                                                                        <w:bottom w:val="none" w:sz="0" w:space="0" w:color="auto"/>
                                                                        <w:right w:val="none" w:sz="0" w:space="0" w:color="auto"/>
                                                                      </w:divBdr>
                                                                    </w:div>
                                                                  </w:divsChild>
                                                                </w:div>
                                                                <w:div w:id="1417627882">
                                                                  <w:marLeft w:val="0"/>
                                                                  <w:marRight w:val="0"/>
                                                                  <w:marTop w:val="240"/>
                                                                  <w:marBottom w:val="0"/>
                                                                  <w:divBdr>
                                                                    <w:top w:val="none" w:sz="0" w:space="0" w:color="auto"/>
                                                                    <w:left w:val="none" w:sz="0" w:space="0" w:color="auto"/>
                                                                    <w:bottom w:val="none" w:sz="0" w:space="0" w:color="auto"/>
                                                                    <w:right w:val="none" w:sz="0" w:space="0" w:color="auto"/>
                                                                  </w:divBdr>
                                                                </w:div>
                                                                <w:div w:id="1323043252">
                                                                  <w:marLeft w:val="0"/>
                                                                  <w:marRight w:val="240"/>
                                                                  <w:marTop w:val="0"/>
                                                                  <w:marBottom w:val="0"/>
                                                                  <w:divBdr>
                                                                    <w:top w:val="none" w:sz="0" w:space="0" w:color="auto"/>
                                                                    <w:left w:val="none" w:sz="0" w:space="0" w:color="auto"/>
                                                                    <w:bottom w:val="none" w:sz="0" w:space="0" w:color="auto"/>
                                                                    <w:right w:val="none" w:sz="0" w:space="0" w:color="auto"/>
                                                                  </w:divBdr>
                                                                </w:div>
                                                                <w:div w:id="1059785156">
                                                                  <w:marLeft w:val="0"/>
                                                                  <w:marRight w:val="240"/>
                                                                  <w:marTop w:val="0"/>
                                                                  <w:marBottom w:val="0"/>
                                                                  <w:divBdr>
                                                                    <w:top w:val="none" w:sz="0" w:space="0" w:color="auto"/>
                                                                    <w:left w:val="none" w:sz="0" w:space="0" w:color="auto"/>
                                                                    <w:bottom w:val="none" w:sz="0" w:space="0" w:color="auto"/>
                                                                    <w:right w:val="none" w:sz="0" w:space="0" w:color="auto"/>
                                                                  </w:divBdr>
                                                                </w:div>
                                                                <w:div w:id="487474902">
                                                                  <w:marLeft w:val="0"/>
                                                                  <w:marRight w:val="240"/>
                                                                  <w:marTop w:val="0"/>
                                                                  <w:marBottom w:val="0"/>
                                                                  <w:divBdr>
                                                                    <w:top w:val="none" w:sz="0" w:space="0" w:color="auto"/>
                                                                    <w:left w:val="none" w:sz="0" w:space="0" w:color="auto"/>
                                                                    <w:bottom w:val="none" w:sz="0" w:space="0" w:color="auto"/>
                                                                    <w:right w:val="none" w:sz="0" w:space="0" w:color="auto"/>
                                                                  </w:divBdr>
                                                                </w:div>
                                                              </w:divsChild>
                                                            </w:div>
                                                            <w:div w:id="281496774">
                                                              <w:marLeft w:val="0"/>
                                                              <w:marRight w:val="0"/>
                                                              <w:marTop w:val="0"/>
                                                              <w:marBottom w:val="0"/>
                                                              <w:divBdr>
                                                                <w:top w:val="none" w:sz="0" w:space="0" w:color="auto"/>
                                                                <w:left w:val="none" w:sz="0" w:space="0" w:color="auto"/>
                                                                <w:bottom w:val="none" w:sz="0" w:space="0" w:color="auto"/>
                                                                <w:right w:val="none" w:sz="0" w:space="0" w:color="auto"/>
                                                              </w:divBdr>
                                                              <w:divsChild>
                                                                <w:div w:id="1536694403">
                                                                  <w:marLeft w:val="0"/>
                                                                  <w:marRight w:val="0"/>
                                                                  <w:marTop w:val="0"/>
                                                                  <w:marBottom w:val="0"/>
                                                                  <w:divBdr>
                                                                    <w:top w:val="none" w:sz="0" w:space="0" w:color="auto"/>
                                                                    <w:left w:val="none" w:sz="0" w:space="0" w:color="auto"/>
                                                                    <w:bottom w:val="none" w:sz="0" w:space="0" w:color="auto"/>
                                                                    <w:right w:val="none" w:sz="0" w:space="0" w:color="auto"/>
                                                                  </w:divBdr>
                                                                  <w:divsChild>
                                                                    <w:div w:id="820658623">
                                                                      <w:marLeft w:val="0"/>
                                                                      <w:marRight w:val="0"/>
                                                                      <w:marTop w:val="0"/>
                                                                      <w:marBottom w:val="0"/>
                                                                      <w:divBdr>
                                                                        <w:top w:val="none" w:sz="0" w:space="0" w:color="auto"/>
                                                                        <w:left w:val="none" w:sz="0" w:space="0" w:color="auto"/>
                                                                        <w:bottom w:val="none" w:sz="0" w:space="0" w:color="auto"/>
                                                                        <w:right w:val="none" w:sz="0" w:space="0" w:color="auto"/>
                                                                      </w:divBdr>
                                                                    </w:div>
                                                                  </w:divsChild>
                                                                </w:div>
                                                                <w:div w:id="1227299544">
                                                                  <w:marLeft w:val="0"/>
                                                                  <w:marRight w:val="0"/>
                                                                  <w:marTop w:val="0"/>
                                                                  <w:marBottom w:val="0"/>
                                                                  <w:divBdr>
                                                                    <w:top w:val="none" w:sz="0" w:space="0" w:color="auto"/>
                                                                    <w:left w:val="none" w:sz="0" w:space="0" w:color="auto"/>
                                                                    <w:bottom w:val="none" w:sz="0" w:space="0" w:color="auto"/>
                                                                    <w:right w:val="none" w:sz="0" w:space="0" w:color="auto"/>
                                                                  </w:divBdr>
                                                                  <w:divsChild>
                                                                    <w:div w:id="1965454302">
                                                                      <w:marLeft w:val="0"/>
                                                                      <w:marRight w:val="0"/>
                                                                      <w:marTop w:val="0"/>
                                                                      <w:marBottom w:val="75"/>
                                                                      <w:divBdr>
                                                                        <w:top w:val="none" w:sz="0" w:space="0" w:color="auto"/>
                                                                        <w:left w:val="none" w:sz="0" w:space="0" w:color="auto"/>
                                                                        <w:bottom w:val="none" w:sz="0" w:space="0" w:color="auto"/>
                                                                        <w:right w:val="none" w:sz="0" w:space="0" w:color="auto"/>
                                                                      </w:divBdr>
                                                                    </w:div>
                                                                  </w:divsChild>
                                                                </w:div>
                                                                <w:div w:id="1660112965">
                                                                  <w:marLeft w:val="0"/>
                                                                  <w:marRight w:val="0"/>
                                                                  <w:marTop w:val="240"/>
                                                                  <w:marBottom w:val="0"/>
                                                                  <w:divBdr>
                                                                    <w:top w:val="none" w:sz="0" w:space="0" w:color="auto"/>
                                                                    <w:left w:val="none" w:sz="0" w:space="0" w:color="auto"/>
                                                                    <w:bottom w:val="none" w:sz="0" w:space="0" w:color="auto"/>
                                                                    <w:right w:val="none" w:sz="0" w:space="0" w:color="auto"/>
                                                                  </w:divBdr>
                                                                </w:div>
                                                                <w:div w:id="273438584">
                                                                  <w:marLeft w:val="0"/>
                                                                  <w:marRight w:val="240"/>
                                                                  <w:marTop w:val="0"/>
                                                                  <w:marBottom w:val="0"/>
                                                                  <w:divBdr>
                                                                    <w:top w:val="none" w:sz="0" w:space="0" w:color="auto"/>
                                                                    <w:left w:val="none" w:sz="0" w:space="0" w:color="auto"/>
                                                                    <w:bottom w:val="none" w:sz="0" w:space="0" w:color="auto"/>
                                                                    <w:right w:val="none" w:sz="0" w:space="0" w:color="auto"/>
                                                                  </w:divBdr>
                                                                </w:div>
                                                                <w:div w:id="658195042">
                                                                  <w:marLeft w:val="0"/>
                                                                  <w:marRight w:val="240"/>
                                                                  <w:marTop w:val="0"/>
                                                                  <w:marBottom w:val="0"/>
                                                                  <w:divBdr>
                                                                    <w:top w:val="none" w:sz="0" w:space="0" w:color="auto"/>
                                                                    <w:left w:val="none" w:sz="0" w:space="0" w:color="auto"/>
                                                                    <w:bottom w:val="none" w:sz="0" w:space="0" w:color="auto"/>
                                                                    <w:right w:val="none" w:sz="0" w:space="0" w:color="auto"/>
                                                                  </w:divBdr>
                                                                </w:div>
                                                                <w:div w:id="1204059565">
                                                                  <w:marLeft w:val="0"/>
                                                                  <w:marRight w:val="240"/>
                                                                  <w:marTop w:val="0"/>
                                                                  <w:marBottom w:val="0"/>
                                                                  <w:divBdr>
                                                                    <w:top w:val="none" w:sz="0" w:space="0" w:color="auto"/>
                                                                    <w:left w:val="none" w:sz="0" w:space="0" w:color="auto"/>
                                                                    <w:bottom w:val="none" w:sz="0" w:space="0" w:color="auto"/>
                                                                    <w:right w:val="none" w:sz="0" w:space="0" w:color="auto"/>
                                                                  </w:divBdr>
                                                                </w:div>
                                                              </w:divsChild>
                                                            </w:div>
                                                            <w:div w:id="1692485273">
                                                              <w:marLeft w:val="0"/>
                                                              <w:marRight w:val="0"/>
                                                              <w:marTop w:val="0"/>
                                                              <w:marBottom w:val="0"/>
                                                              <w:divBdr>
                                                                <w:top w:val="none" w:sz="0" w:space="0" w:color="auto"/>
                                                                <w:left w:val="none" w:sz="0" w:space="0" w:color="auto"/>
                                                                <w:bottom w:val="none" w:sz="0" w:space="0" w:color="auto"/>
                                                                <w:right w:val="none" w:sz="0" w:space="0" w:color="auto"/>
                                                              </w:divBdr>
                                                              <w:divsChild>
                                                                <w:div w:id="550652939">
                                                                  <w:marLeft w:val="0"/>
                                                                  <w:marRight w:val="0"/>
                                                                  <w:marTop w:val="0"/>
                                                                  <w:marBottom w:val="0"/>
                                                                  <w:divBdr>
                                                                    <w:top w:val="none" w:sz="0" w:space="0" w:color="auto"/>
                                                                    <w:left w:val="none" w:sz="0" w:space="0" w:color="auto"/>
                                                                    <w:bottom w:val="none" w:sz="0" w:space="0" w:color="auto"/>
                                                                    <w:right w:val="none" w:sz="0" w:space="0" w:color="auto"/>
                                                                  </w:divBdr>
                                                                  <w:divsChild>
                                                                    <w:div w:id="1787001785">
                                                                      <w:marLeft w:val="0"/>
                                                                      <w:marRight w:val="0"/>
                                                                      <w:marTop w:val="0"/>
                                                                      <w:marBottom w:val="0"/>
                                                                      <w:divBdr>
                                                                        <w:top w:val="none" w:sz="0" w:space="0" w:color="auto"/>
                                                                        <w:left w:val="none" w:sz="0" w:space="0" w:color="auto"/>
                                                                        <w:bottom w:val="none" w:sz="0" w:space="0" w:color="auto"/>
                                                                        <w:right w:val="none" w:sz="0" w:space="0" w:color="auto"/>
                                                                      </w:divBdr>
                                                                    </w:div>
                                                                  </w:divsChild>
                                                                </w:div>
                                                                <w:div w:id="782966684">
                                                                  <w:marLeft w:val="0"/>
                                                                  <w:marRight w:val="0"/>
                                                                  <w:marTop w:val="0"/>
                                                                  <w:marBottom w:val="0"/>
                                                                  <w:divBdr>
                                                                    <w:top w:val="none" w:sz="0" w:space="0" w:color="auto"/>
                                                                    <w:left w:val="none" w:sz="0" w:space="0" w:color="auto"/>
                                                                    <w:bottom w:val="none" w:sz="0" w:space="0" w:color="auto"/>
                                                                    <w:right w:val="none" w:sz="0" w:space="0" w:color="auto"/>
                                                                  </w:divBdr>
                                                                  <w:divsChild>
                                                                    <w:div w:id="1911034349">
                                                                      <w:marLeft w:val="0"/>
                                                                      <w:marRight w:val="0"/>
                                                                      <w:marTop w:val="0"/>
                                                                      <w:marBottom w:val="75"/>
                                                                      <w:divBdr>
                                                                        <w:top w:val="none" w:sz="0" w:space="0" w:color="auto"/>
                                                                        <w:left w:val="none" w:sz="0" w:space="0" w:color="auto"/>
                                                                        <w:bottom w:val="none" w:sz="0" w:space="0" w:color="auto"/>
                                                                        <w:right w:val="none" w:sz="0" w:space="0" w:color="auto"/>
                                                                      </w:divBdr>
                                                                    </w:div>
                                                                  </w:divsChild>
                                                                </w:div>
                                                                <w:div w:id="640615873">
                                                                  <w:marLeft w:val="0"/>
                                                                  <w:marRight w:val="0"/>
                                                                  <w:marTop w:val="240"/>
                                                                  <w:marBottom w:val="0"/>
                                                                  <w:divBdr>
                                                                    <w:top w:val="none" w:sz="0" w:space="0" w:color="auto"/>
                                                                    <w:left w:val="none" w:sz="0" w:space="0" w:color="auto"/>
                                                                    <w:bottom w:val="none" w:sz="0" w:space="0" w:color="auto"/>
                                                                    <w:right w:val="none" w:sz="0" w:space="0" w:color="auto"/>
                                                                  </w:divBdr>
                                                                </w:div>
                                                                <w:div w:id="1493449396">
                                                                  <w:marLeft w:val="0"/>
                                                                  <w:marRight w:val="240"/>
                                                                  <w:marTop w:val="0"/>
                                                                  <w:marBottom w:val="0"/>
                                                                  <w:divBdr>
                                                                    <w:top w:val="none" w:sz="0" w:space="0" w:color="auto"/>
                                                                    <w:left w:val="none" w:sz="0" w:space="0" w:color="auto"/>
                                                                    <w:bottom w:val="none" w:sz="0" w:space="0" w:color="auto"/>
                                                                    <w:right w:val="none" w:sz="0" w:space="0" w:color="auto"/>
                                                                  </w:divBdr>
                                                                </w:div>
                                                                <w:div w:id="890964746">
                                                                  <w:marLeft w:val="0"/>
                                                                  <w:marRight w:val="240"/>
                                                                  <w:marTop w:val="0"/>
                                                                  <w:marBottom w:val="0"/>
                                                                  <w:divBdr>
                                                                    <w:top w:val="none" w:sz="0" w:space="0" w:color="auto"/>
                                                                    <w:left w:val="none" w:sz="0" w:space="0" w:color="auto"/>
                                                                    <w:bottom w:val="none" w:sz="0" w:space="0" w:color="auto"/>
                                                                    <w:right w:val="none" w:sz="0" w:space="0" w:color="auto"/>
                                                                  </w:divBdr>
                                                                </w:div>
                                                                <w:div w:id="201598254">
                                                                  <w:marLeft w:val="0"/>
                                                                  <w:marRight w:val="240"/>
                                                                  <w:marTop w:val="0"/>
                                                                  <w:marBottom w:val="0"/>
                                                                  <w:divBdr>
                                                                    <w:top w:val="none" w:sz="0" w:space="0" w:color="auto"/>
                                                                    <w:left w:val="none" w:sz="0" w:space="0" w:color="auto"/>
                                                                    <w:bottom w:val="none" w:sz="0" w:space="0" w:color="auto"/>
                                                                    <w:right w:val="none" w:sz="0" w:space="0" w:color="auto"/>
                                                                  </w:divBdr>
                                                                </w:div>
                                                              </w:divsChild>
                                                            </w:div>
                                                            <w:div w:id="1968392373">
                                                              <w:marLeft w:val="0"/>
                                                              <w:marRight w:val="0"/>
                                                              <w:marTop w:val="0"/>
                                                              <w:marBottom w:val="0"/>
                                                              <w:divBdr>
                                                                <w:top w:val="none" w:sz="0" w:space="0" w:color="auto"/>
                                                                <w:left w:val="none" w:sz="0" w:space="0" w:color="auto"/>
                                                                <w:bottom w:val="none" w:sz="0" w:space="0" w:color="auto"/>
                                                                <w:right w:val="none" w:sz="0" w:space="0" w:color="auto"/>
                                                              </w:divBdr>
                                                              <w:divsChild>
                                                                <w:div w:id="1354304907">
                                                                  <w:marLeft w:val="0"/>
                                                                  <w:marRight w:val="0"/>
                                                                  <w:marTop w:val="0"/>
                                                                  <w:marBottom w:val="0"/>
                                                                  <w:divBdr>
                                                                    <w:top w:val="none" w:sz="0" w:space="0" w:color="auto"/>
                                                                    <w:left w:val="none" w:sz="0" w:space="0" w:color="auto"/>
                                                                    <w:bottom w:val="none" w:sz="0" w:space="0" w:color="auto"/>
                                                                    <w:right w:val="none" w:sz="0" w:space="0" w:color="auto"/>
                                                                  </w:divBdr>
                                                                  <w:divsChild>
                                                                    <w:div w:id="2092893950">
                                                                      <w:marLeft w:val="0"/>
                                                                      <w:marRight w:val="0"/>
                                                                      <w:marTop w:val="0"/>
                                                                      <w:marBottom w:val="0"/>
                                                                      <w:divBdr>
                                                                        <w:top w:val="none" w:sz="0" w:space="0" w:color="auto"/>
                                                                        <w:left w:val="none" w:sz="0" w:space="0" w:color="auto"/>
                                                                        <w:bottom w:val="none" w:sz="0" w:space="0" w:color="auto"/>
                                                                        <w:right w:val="none" w:sz="0" w:space="0" w:color="auto"/>
                                                                      </w:divBdr>
                                                                    </w:div>
                                                                  </w:divsChild>
                                                                </w:div>
                                                                <w:div w:id="1392001860">
                                                                  <w:marLeft w:val="0"/>
                                                                  <w:marRight w:val="0"/>
                                                                  <w:marTop w:val="0"/>
                                                                  <w:marBottom w:val="0"/>
                                                                  <w:divBdr>
                                                                    <w:top w:val="none" w:sz="0" w:space="0" w:color="auto"/>
                                                                    <w:left w:val="none" w:sz="0" w:space="0" w:color="auto"/>
                                                                    <w:bottom w:val="none" w:sz="0" w:space="0" w:color="auto"/>
                                                                    <w:right w:val="none" w:sz="0" w:space="0" w:color="auto"/>
                                                                  </w:divBdr>
                                                                  <w:divsChild>
                                                                    <w:div w:id="292290625">
                                                                      <w:marLeft w:val="0"/>
                                                                      <w:marRight w:val="0"/>
                                                                      <w:marTop w:val="0"/>
                                                                      <w:marBottom w:val="75"/>
                                                                      <w:divBdr>
                                                                        <w:top w:val="none" w:sz="0" w:space="0" w:color="auto"/>
                                                                        <w:left w:val="none" w:sz="0" w:space="0" w:color="auto"/>
                                                                        <w:bottom w:val="none" w:sz="0" w:space="0" w:color="auto"/>
                                                                        <w:right w:val="none" w:sz="0" w:space="0" w:color="auto"/>
                                                                      </w:divBdr>
                                                                    </w:div>
                                                                  </w:divsChild>
                                                                </w:div>
                                                                <w:div w:id="756243279">
                                                                  <w:marLeft w:val="0"/>
                                                                  <w:marRight w:val="0"/>
                                                                  <w:marTop w:val="240"/>
                                                                  <w:marBottom w:val="0"/>
                                                                  <w:divBdr>
                                                                    <w:top w:val="none" w:sz="0" w:space="0" w:color="auto"/>
                                                                    <w:left w:val="none" w:sz="0" w:space="0" w:color="auto"/>
                                                                    <w:bottom w:val="none" w:sz="0" w:space="0" w:color="auto"/>
                                                                    <w:right w:val="none" w:sz="0" w:space="0" w:color="auto"/>
                                                                  </w:divBdr>
                                                                </w:div>
                                                                <w:div w:id="100995387">
                                                                  <w:marLeft w:val="0"/>
                                                                  <w:marRight w:val="240"/>
                                                                  <w:marTop w:val="0"/>
                                                                  <w:marBottom w:val="0"/>
                                                                  <w:divBdr>
                                                                    <w:top w:val="none" w:sz="0" w:space="0" w:color="auto"/>
                                                                    <w:left w:val="none" w:sz="0" w:space="0" w:color="auto"/>
                                                                    <w:bottom w:val="none" w:sz="0" w:space="0" w:color="auto"/>
                                                                    <w:right w:val="none" w:sz="0" w:space="0" w:color="auto"/>
                                                                  </w:divBdr>
                                                                </w:div>
                                                                <w:div w:id="443816372">
                                                                  <w:marLeft w:val="0"/>
                                                                  <w:marRight w:val="240"/>
                                                                  <w:marTop w:val="0"/>
                                                                  <w:marBottom w:val="0"/>
                                                                  <w:divBdr>
                                                                    <w:top w:val="none" w:sz="0" w:space="0" w:color="auto"/>
                                                                    <w:left w:val="none" w:sz="0" w:space="0" w:color="auto"/>
                                                                    <w:bottom w:val="none" w:sz="0" w:space="0" w:color="auto"/>
                                                                    <w:right w:val="none" w:sz="0" w:space="0" w:color="auto"/>
                                                                  </w:divBdr>
                                                                </w:div>
                                                                <w:div w:id="3942063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397">
                                              <w:marLeft w:val="0"/>
                                              <w:marRight w:val="0"/>
                                              <w:marTop w:val="165"/>
                                              <w:marBottom w:val="165"/>
                                              <w:divBdr>
                                                <w:top w:val="none" w:sz="0" w:space="0" w:color="auto"/>
                                                <w:left w:val="none" w:sz="0" w:space="0" w:color="auto"/>
                                                <w:bottom w:val="none" w:sz="0" w:space="0" w:color="auto"/>
                                                <w:right w:val="none" w:sz="0" w:space="0" w:color="auto"/>
                                              </w:divBdr>
                                              <w:divsChild>
                                                <w:div w:id="711349992">
                                                  <w:marLeft w:val="0"/>
                                                  <w:marRight w:val="0"/>
                                                  <w:marTop w:val="0"/>
                                                  <w:marBottom w:val="0"/>
                                                  <w:divBdr>
                                                    <w:top w:val="none" w:sz="0" w:space="0" w:color="auto"/>
                                                    <w:left w:val="none" w:sz="0" w:space="0" w:color="auto"/>
                                                    <w:bottom w:val="none" w:sz="0" w:space="0" w:color="auto"/>
                                                    <w:right w:val="none" w:sz="0" w:space="0" w:color="auto"/>
                                                  </w:divBdr>
                                                  <w:divsChild>
                                                    <w:div w:id="9159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60113901">
      <w:bodyDiv w:val="1"/>
      <w:marLeft w:val="0"/>
      <w:marRight w:val="0"/>
      <w:marTop w:val="0"/>
      <w:marBottom w:val="0"/>
      <w:divBdr>
        <w:top w:val="none" w:sz="0" w:space="0" w:color="auto"/>
        <w:left w:val="none" w:sz="0" w:space="0" w:color="auto"/>
        <w:bottom w:val="none" w:sz="0" w:space="0" w:color="auto"/>
        <w:right w:val="none" w:sz="0" w:space="0" w:color="auto"/>
      </w:divBdr>
    </w:div>
    <w:div w:id="1677875981">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890140809">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7.tmp"/></Relationships>
</file>

<file path=word/_rels/footnotes.xml.rels><?xml version="1.0" encoding="UTF-8" standalone="yes"?>
<Relationships xmlns="http://schemas.openxmlformats.org/package/2006/relationships"><Relationship Id="rId1" Type="http://schemas.openxmlformats.org/officeDocument/2006/relationships/hyperlink" Target="https://doi.org/10.1093/annonc/mdz394.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8C033-8EFE-41A9-840D-6823489B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15550</Words>
  <Characters>88635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2020-02-20T00:47:00Z</dcterms:created>
  <dcterms:modified xsi:type="dcterms:W3CDTF">2020-02-28T01:41:00Z</dcterms:modified>
</cp:coreProperties>
</file>