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79DF" w:rsidRDefault="00797510" w:rsidP="002279DF">
      <w:pPr>
        <w:pStyle w:val="1MainTitle"/>
        <w:spacing w:before="0" w:after="0"/>
      </w:pPr>
      <w:r w:rsidRPr="00534C5B">
        <w:t>4.03</w:t>
      </w:r>
      <w:r w:rsidR="00FC3647" w:rsidRPr="00534C5B">
        <w:tab/>
      </w:r>
      <w:r w:rsidR="00B17581" w:rsidRPr="00534C5B">
        <w:t>NIVOLUMAB</w:t>
      </w:r>
      <w:r w:rsidR="002279DF">
        <w:t>,</w:t>
      </w:r>
      <w:r w:rsidR="00FC3647" w:rsidRPr="00534C5B">
        <w:t xml:space="preserve"> </w:t>
      </w:r>
      <w:r w:rsidR="00FC3647" w:rsidRPr="00534C5B">
        <w:br/>
      </w:r>
      <w:r w:rsidR="00B17581" w:rsidRPr="00534C5B">
        <w:t>Injection concentrate for I.V. infusion 40 mg in 4 mL, 100 mg in 10 mL</w:t>
      </w:r>
      <w:r w:rsidR="00FC3647" w:rsidRPr="00534C5B">
        <w:t xml:space="preserve">, </w:t>
      </w:r>
      <w:r w:rsidR="00FC3647" w:rsidRPr="00534C5B">
        <w:br/>
      </w:r>
      <w:r w:rsidR="00B17581" w:rsidRPr="00534C5B">
        <w:t>Opdivo</w:t>
      </w:r>
      <w:r w:rsidR="00FC3647" w:rsidRPr="00534C5B">
        <w:rPr>
          <w:vertAlign w:val="superscript"/>
        </w:rPr>
        <w:t>®</w:t>
      </w:r>
      <w:r w:rsidR="00FC3647" w:rsidRPr="00534C5B">
        <w:t xml:space="preserve">, </w:t>
      </w:r>
    </w:p>
    <w:p w:rsidR="00FC3647" w:rsidRPr="002279DF" w:rsidRDefault="00B17581" w:rsidP="002279DF">
      <w:pPr>
        <w:pStyle w:val="3Bodytext"/>
        <w:numPr>
          <w:ilvl w:val="0"/>
          <w:numId w:val="0"/>
        </w:numPr>
        <w:spacing w:after="0"/>
        <w:ind w:left="720"/>
        <w:rPr>
          <w:rFonts w:eastAsiaTheme="majorEastAsia" w:cstheme="majorBidi"/>
          <w:b/>
          <w:spacing w:val="5"/>
          <w:kern w:val="28"/>
          <w:sz w:val="36"/>
          <w:szCs w:val="36"/>
          <w:lang w:eastAsia="en-AU"/>
        </w:rPr>
      </w:pPr>
      <w:r w:rsidRPr="002279DF">
        <w:rPr>
          <w:rFonts w:eastAsiaTheme="majorEastAsia" w:cstheme="majorBidi"/>
          <w:b/>
          <w:spacing w:val="5"/>
          <w:kern w:val="28"/>
          <w:sz w:val="36"/>
          <w:szCs w:val="36"/>
          <w:lang w:eastAsia="en-AU"/>
        </w:rPr>
        <w:t>Bristol-Myers Squibb Australia Pty Ltd</w:t>
      </w:r>
    </w:p>
    <w:p w:rsidR="00FC3647" w:rsidRPr="00534C5B" w:rsidRDefault="00FC3647" w:rsidP="00AB5085">
      <w:pPr>
        <w:pStyle w:val="2Sections"/>
        <w:numPr>
          <w:ilvl w:val="0"/>
          <w:numId w:val="1"/>
        </w:numPr>
        <w:ind w:left="720"/>
      </w:pPr>
      <w:r w:rsidRPr="00534C5B">
        <w:t xml:space="preserve">Purpose of Application </w:t>
      </w:r>
    </w:p>
    <w:p w:rsidR="000F3411" w:rsidRPr="00534C5B" w:rsidRDefault="006B4B65" w:rsidP="00AF0867">
      <w:pPr>
        <w:pStyle w:val="ListParagraph"/>
        <w:widowControl/>
        <w:numPr>
          <w:ilvl w:val="1"/>
          <w:numId w:val="1"/>
        </w:numPr>
        <w:spacing w:after="120"/>
        <w:contextualSpacing w:val="0"/>
        <w:rPr>
          <w:rFonts w:asciiTheme="minorHAnsi" w:eastAsiaTheme="minorHAnsi" w:hAnsiTheme="minorHAnsi" w:cstheme="minorBidi"/>
          <w:snapToGrid/>
          <w:sz w:val="24"/>
          <w:szCs w:val="22"/>
        </w:rPr>
      </w:pPr>
      <w:r w:rsidRPr="00534C5B">
        <w:rPr>
          <w:rFonts w:asciiTheme="minorHAnsi" w:eastAsiaTheme="minorHAnsi" w:hAnsiTheme="minorHAnsi" w:cstheme="minorBidi"/>
          <w:snapToGrid/>
          <w:sz w:val="24"/>
          <w:szCs w:val="22"/>
        </w:rPr>
        <w:t>N</w:t>
      </w:r>
      <w:r w:rsidR="00B17581" w:rsidRPr="00534C5B">
        <w:rPr>
          <w:rFonts w:asciiTheme="minorHAnsi" w:eastAsiaTheme="minorHAnsi" w:hAnsiTheme="minorHAnsi" w:cstheme="minorBidi"/>
          <w:snapToGrid/>
          <w:sz w:val="24"/>
          <w:szCs w:val="22"/>
        </w:rPr>
        <w:t xml:space="preserve">ivolumab </w:t>
      </w:r>
      <w:r w:rsidR="000F3411" w:rsidRPr="00534C5B">
        <w:rPr>
          <w:rFonts w:asciiTheme="minorHAnsi" w:eastAsiaTheme="minorHAnsi" w:hAnsiTheme="minorHAnsi" w:cstheme="minorBidi"/>
          <w:snapToGrid/>
          <w:sz w:val="24"/>
          <w:szCs w:val="22"/>
        </w:rPr>
        <w:t>as an adjuvant treatment for completely resected Stage IIIB, IIIC, IIID or Stage IV melanoma</w:t>
      </w:r>
      <w:r w:rsidRPr="00534C5B">
        <w:rPr>
          <w:rFonts w:asciiTheme="minorHAnsi" w:eastAsiaTheme="minorHAnsi" w:hAnsiTheme="minorHAnsi" w:cstheme="minorBidi"/>
          <w:snapToGrid/>
          <w:sz w:val="24"/>
          <w:szCs w:val="22"/>
        </w:rPr>
        <w:t xml:space="preserve"> was deferred at the July 2019 PBAC meeting </w:t>
      </w:r>
      <w:r w:rsidR="008355C2" w:rsidRPr="00534C5B">
        <w:rPr>
          <w:rFonts w:asciiTheme="minorHAnsi" w:hAnsiTheme="minorHAnsi" w:cstheme="minorHAnsi"/>
          <w:bCs/>
          <w:sz w:val="24"/>
          <w:szCs w:val="24"/>
          <w:lang w:eastAsia="en-AU"/>
        </w:rPr>
        <w:t xml:space="preserve">to allow for further discussions regarding an acceptable price and </w:t>
      </w:r>
      <w:r w:rsidR="0060470C" w:rsidRPr="00534C5B">
        <w:rPr>
          <w:rFonts w:asciiTheme="minorHAnsi" w:hAnsiTheme="minorHAnsi" w:cstheme="minorHAnsi"/>
          <w:bCs/>
          <w:sz w:val="24"/>
          <w:szCs w:val="24"/>
          <w:lang w:eastAsia="en-AU"/>
        </w:rPr>
        <w:t>Risk S</w:t>
      </w:r>
      <w:r w:rsidR="008355C2" w:rsidRPr="00534C5B">
        <w:rPr>
          <w:rFonts w:asciiTheme="minorHAnsi" w:hAnsiTheme="minorHAnsi" w:cstheme="minorHAnsi"/>
          <w:bCs/>
          <w:sz w:val="24"/>
          <w:szCs w:val="24"/>
          <w:lang w:eastAsia="en-AU"/>
        </w:rPr>
        <w:t xml:space="preserve">haring </w:t>
      </w:r>
      <w:r w:rsidR="0060470C" w:rsidRPr="00534C5B">
        <w:rPr>
          <w:rFonts w:asciiTheme="minorHAnsi" w:hAnsiTheme="minorHAnsi" w:cstheme="minorHAnsi"/>
          <w:bCs/>
          <w:sz w:val="24"/>
          <w:szCs w:val="24"/>
          <w:lang w:eastAsia="en-AU"/>
        </w:rPr>
        <w:t>A</w:t>
      </w:r>
      <w:r w:rsidR="008355C2" w:rsidRPr="00534C5B">
        <w:rPr>
          <w:rFonts w:asciiTheme="minorHAnsi" w:hAnsiTheme="minorHAnsi" w:cstheme="minorHAnsi"/>
          <w:bCs/>
          <w:sz w:val="24"/>
          <w:szCs w:val="24"/>
          <w:lang w:eastAsia="en-AU"/>
        </w:rPr>
        <w:t>rrangement (RSA)</w:t>
      </w:r>
      <w:r w:rsidR="00C62A5F" w:rsidRPr="00534C5B">
        <w:rPr>
          <w:rFonts w:asciiTheme="minorHAnsi" w:eastAsiaTheme="minorHAnsi" w:hAnsiTheme="minorHAnsi" w:cstheme="minorHAnsi"/>
          <w:snapToGrid/>
          <w:sz w:val="24"/>
          <w:szCs w:val="24"/>
        </w:rPr>
        <w:t>.</w:t>
      </w:r>
      <w:r w:rsidR="00C62A5F" w:rsidRPr="00534C5B">
        <w:rPr>
          <w:rFonts w:asciiTheme="minorHAnsi" w:eastAsiaTheme="minorHAnsi" w:hAnsiTheme="minorHAnsi" w:cstheme="minorBidi"/>
          <w:snapToGrid/>
          <w:sz w:val="24"/>
          <w:szCs w:val="22"/>
        </w:rPr>
        <w:t xml:space="preserve"> </w:t>
      </w:r>
    </w:p>
    <w:p w:rsidR="000F3411" w:rsidRPr="00534C5B" w:rsidRDefault="00804C8E" w:rsidP="00AF0867">
      <w:pPr>
        <w:pStyle w:val="ListParagraph"/>
        <w:widowControl/>
        <w:numPr>
          <w:ilvl w:val="1"/>
          <w:numId w:val="1"/>
        </w:numPr>
        <w:spacing w:after="120"/>
        <w:contextualSpacing w:val="0"/>
        <w:rPr>
          <w:rFonts w:asciiTheme="minorHAnsi" w:eastAsiaTheme="minorHAnsi" w:hAnsiTheme="minorHAnsi" w:cstheme="minorBidi"/>
          <w:snapToGrid/>
          <w:sz w:val="24"/>
          <w:szCs w:val="22"/>
        </w:rPr>
      </w:pPr>
      <w:r w:rsidRPr="00534C5B">
        <w:rPr>
          <w:rFonts w:asciiTheme="minorHAnsi" w:hAnsiTheme="minorHAnsi"/>
          <w:sz w:val="24"/>
          <w:szCs w:val="24"/>
        </w:rPr>
        <w:t>Consistent with the PBAC’s advice</w:t>
      </w:r>
      <w:r w:rsidR="00013070" w:rsidRPr="00534C5B">
        <w:rPr>
          <w:rFonts w:asciiTheme="minorHAnsi" w:hAnsiTheme="minorHAnsi"/>
          <w:sz w:val="24"/>
          <w:szCs w:val="24"/>
        </w:rPr>
        <w:t>,</w:t>
      </w:r>
      <w:r w:rsidRPr="00534C5B">
        <w:rPr>
          <w:rFonts w:asciiTheme="minorHAnsi" w:hAnsiTheme="minorHAnsi"/>
          <w:sz w:val="24"/>
          <w:szCs w:val="24"/>
        </w:rPr>
        <w:t xml:space="preserve"> t</w:t>
      </w:r>
      <w:r w:rsidR="000F3411" w:rsidRPr="00534C5B">
        <w:rPr>
          <w:rFonts w:asciiTheme="minorHAnsi" w:hAnsiTheme="minorHAnsi"/>
          <w:sz w:val="24"/>
          <w:szCs w:val="24"/>
        </w:rPr>
        <w:t>h</w:t>
      </w:r>
      <w:r w:rsidR="00FF6608" w:rsidRPr="00534C5B">
        <w:rPr>
          <w:rFonts w:asciiTheme="minorHAnsi" w:hAnsiTheme="minorHAnsi"/>
          <w:sz w:val="24"/>
          <w:szCs w:val="24"/>
        </w:rPr>
        <w:t>e</w:t>
      </w:r>
      <w:r w:rsidR="000F3411" w:rsidRPr="00534C5B">
        <w:rPr>
          <w:rFonts w:asciiTheme="minorHAnsi" w:hAnsiTheme="minorHAnsi"/>
          <w:sz w:val="24"/>
          <w:szCs w:val="24"/>
        </w:rPr>
        <w:t xml:space="preserve"> </w:t>
      </w:r>
      <w:r w:rsidR="0099397D" w:rsidRPr="00534C5B">
        <w:rPr>
          <w:rFonts w:asciiTheme="minorHAnsi" w:hAnsiTheme="minorHAnsi"/>
          <w:sz w:val="24"/>
          <w:szCs w:val="24"/>
        </w:rPr>
        <w:t>reconsideration of the July 2019 deferral (hereafter referred to as the deferral proposal)</w:t>
      </w:r>
      <w:r w:rsidR="000F3411" w:rsidRPr="00534C5B">
        <w:rPr>
          <w:rFonts w:asciiTheme="minorHAnsi" w:hAnsiTheme="minorHAnsi"/>
          <w:sz w:val="24"/>
          <w:szCs w:val="24"/>
        </w:rPr>
        <w:t xml:space="preserve"> </w:t>
      </w:r>
      <w:r w:rsidRPr="00534C5B">
        <w:rPr>
          <w:rFonts w:asciiTheme="minorHAnsi" w:hAnsiTheme="minorHAnsi"/>
          <w:sz w:val="24"/>
          <w:szCs w:val="24"/>
        </w:rPr>
        <w:t>included</w:t>
      </w:r>
      <w:r w:rsidR="000F3411" w:rsidRPr="00534C5B">
        <w:rPr>
          <w:rFonts w:asciiTheme="minorHAnsi" w:hAnsiTheme="minorHAnsi"/>
          <w:sz w:val="24"/>
          <w:szCs w:val="24"/>
        </w:rPr>
        <w:t>:</w:t>
      </w:r>
    </w:p>
    <w:p w:rsidR="006B4B65" w:rsidRPr="00534C5B" w:rsidRDefault="006B4B65" w:rsidP="00AF0867">
      <w:pPr>
        <w:pStyle w:val="ListParagraph"/>
        <w:widowControl/>
        <w:numPr>
          <w:ilvl w:val="1"/>
          <w:numId w:val="5"/>
        </w:numPr>
        <w:spacing w:after="120"/>
        <w:ind w:left="1077" w:hanging="357"/>
        <w:contextualSpacing w:val="0"/>
        <w:rPr>
          <w:rFonts w:asciiTheme="minorHAnsi" w:eastAsiaTheme="minorHAnsi" w:hAnsiTheme="minorHAnsi" w:cstheme="minorBidi"/>
          <w:snapToGrid/>
          <w:sz w:val="24"/>
          <w:szCs w:val="22"/>
        </w:rPr>
      </w:pPr>
      <w:r w:rsidRPr="00534C5B">
        <w:rPr>
          <w:rFonts w:asciiTheme="minorHAnsi" w:eastAsiaTheme="minorHAnsi" w:hAnsiTheme="minorHAnsi" w:cstheme="minorBidi"/>
          <w:snapToGrid/>
          <w:sz w:val="24"/>
          <w:szCs w:val="22"/>
        </w:rPr>
        <w:t xml:space="preserve">Listing </w:t>
      </w:r>
      <w:r w:rsidR="00804C8E" w:rsidRPr="00534C5B">
        <w:rPr>
          <w:rFonts w:asciiTheme="minorHAnsi" w:eastAsiaTheme="minorHAnsi" w:hAnsiTheme="minorHAnsi" w:cstheme="minorBidi"/>
          <w:snapToGrid/>
          <w:sz w:val="24"/>
          <w:szCs w:val="22"/>
        </w:rPr>
        <w:t xml:space="preserve">nivolumab </w:t>
      </w:r>
      <w:r w:rsidRPr="00534C5B">
        <w:rPr>
          <w:rFonts w:asciiTheme="minorHAnsi" w:eastAsiaTheme="minorHAnsi" w:hAnsiTheme="minorHAnsi" w:cstheme="minorBidi"/>
          <w:snapToGrid/>
          <w:sz w:val="24"/>
          <w:szCs w:val="22"/>
        </w:rPr>
        <w:t xml:space="preserve">on a cost-minimisation basis to dabrafenib+trametinib (DAB+TRAM) for the BRAF mutant population (paragraph 5.12, Nivolumab </w:t>
      </w:r>
      <w:r w:rsidR="0019775F">
        <w:rPr>
          <w:rFonts w:asciiTheme="minorHAnsi" w:eastAsiaTheme="minorHAnsi" w:hAnsiTheme="minorHAnsi" w:cstheme="minorBidi"/>
          <w:snapToGrid/>
          <w:sz w:val="24"/>
          <w:szCs w:val="22"/>
        </w:rPr>
        <w:t>Public Summary Document (</w:t>
      </w:r>
      <w:r w:rsidR="002D2047">
        <w:rPr>
          <w:rFonts w:asciiTheme="minorHAnsi" w:eastAsiaTheme="minorHAnsi" w:hAnsiTheme="minorHAnsi" w:cstheme="minorBidi"/>
          <w:snapToGrid/>
          <w:sz w:val="24"/>
          <w:szCs w:val="22"/>
        </w:rPr>
        <w:t>PSD</w:t>
      </w:r>
      <w:r w:rsidR="0019775F">
        <w:rPr>
          <w:rFonts w:asciiTheme="minorHAnsi" w:eastAsiaTheme="minorHAnsi" w:hAnsiTheme="minorHAnsi" w:cstheme="minorBidi"/>
          <w:snapToGrid/>
          <w:sz w:val="24"/>
          <w:szCs w:val="22"/>
        </w:rPr>
        <w:t>)</w:t>
      </w:r>
      <w:r w:rsidRPr="00534C5B">
        <w:rPr>
          <w:rFonts w:asciiTheme="minorHAnsi" w:eastAsiaTheme="minorHAnsi" w:hAnsiTheme="minorHAnsi" w:cstheme="minorBidi"/>
          <w:snapToGrid/>
          <w:sz w:val="24"/>
          <w:szCs w:val="22"/>
        </w:rPr>
        <w:t>, July 2019);</w:t>
      </w:r>
    </w:p>
    <w:p w:rsidR="000F3411" w:rsidRPr="00534C5B" w:rsidRDefault="006B4B65" w:rsidP="00AF0867">
      <w:pPr>
        <w:pStyle w:val="ListParagraph"/>
        <w:widowControl/>
        <w:numPr>
          <w:ilvl w:val="1"/>
          <w:numId w:val="5"/>
        </w:numPr>
        <w:spacing w:after="120"/>
        <w:ind w:left="1077" w:hanging="357"/>
        <w:contextualSpacing w:val="0"/>
        <w:rPr>
          <w:rFonts w:asciiTheme="minorHAnsi" w:eastAsiaTheme="minorHAnsi" w:hAnsiTheme="minorHAnsi" w:cstheme="minorBidi"/>
          <w:snapToGrid/>
          <w:sz w:val="24"/>
          <w:szCs w:val="22"/>
        </w:rPr>
      </w:pPr>
      <w:r w:rsidRPr="00534C5B">
        <w:rPr>
          <w:rFonts w:asciiTheme="minorHAnsi" w:eastAsiaTheme="minorHAnsi" w:hAnsiTheme="minorHAnsi" w:cstheme="minorBidi"/>
          <w:snapToGrid/>
          <w:sz w:val="24"/>
          <w:szCs w:val="22"/>
        </w:rPr>
        <w:t xml:space="preserve">Listing </w:t>
      </w:r>
      <w:r w:rsidR="00804C8E" w:rsidRPr="00534C5B">
        <w:rPr>
          <w:rFonts w:asciiTheme="minorHAnsi" w:eastAsiaTheme="minorHAnsi" w:hAnsiTheme="minorHAnsi" w:cstheme="minorBidi"/>
          <w:snapToGrid/>
          <w:sz w:val="24"/>
          <w:szCs w:val="22"/>
        </w:rPr>
        <w:t xml:space="preserve">nivolumab </w:t>
      </w:r>
      <w:r w:rsidRPr="00534C5B">
        <w:rPr>
          <w:rFonts w:asciiTheme="minorHAnsi" w:eastAsiaTheme="minorHAnsi" w:hAnsiTheme="minorHAnsi" w:cstheme="minorBidi"/>
          <w:snapToGrid/>
          <w:sz w:val="24"/>
          <w:szCs w:val="22"/>
        </w:rPr>
        <w:t xml:space="preserve">on a cost-effectiveness basis for the BRAF wild type population (paragraph 5.11, Nivolumab </w:t>
      </w:r>
      <w:r w:rsidR="00267C2A">
        <w:rPr>
          <w:rFonts w:asciiTheme="minorHAnsi" w:eastAsiaTheme="minorHAnsi" w:hAnsiTheme="minorHAnsi" w:cstheme="minorBidi"/>
          <w:snapToGrid/>
          <w:sz w:val="24"/>
          <w:szCs w:val="22"/>
        </w:rPr>
        <w:t>PSD</w:t>
      </w:r>
      <w:r w:rsidRPr="00534C5B">
        <w:rPr>
          <w:rFonts w:asciiTheme="minorHAnsi" w:eastAsiaTheme="minorHAnsi" w:hAnsiTheme="minorHAnsi" w:cstheme="minorBidi"/>
          <w:snapToGrid/>
          <w:sz w:val="24"/>
          <w:szCs w:val="22"/>
        </w:rPr>
        <w:t>, July 2019); and</w:t>
      </w:r>
    </w:p>
    <w:p w:rsidR="006B4B65" w:rsidRPr="00534C5B" w:rsidRDefault="006B4B65" w:rsidP="00AF0867">
      <w:pPr>
        <w:pStyle w:val="ListParagraph"/>
        <w:widowControl/>
        <w:numPr>
          <w:ilvl w:val="1"/>
          <w:numId w:val="5"/>
        </w:numPr>
        <w:spacing w:after="120"/>
        <w:ind w:left="1077" w:hanging="357"/>
        <w:contextualSpacing w:val="0"/>
        <w:rPr>
          <w:rFonts w:asciiTheme="minorHAnsi" w:eastAsiaTheme="minorHAnsi" w:hAnsiTheme="minorHAnsi" w:cstheme="minorBidi"/>
          <w:snapToGrid/>
          <w:sz w:val="24"/>
          <w:szCs w:val="22"/>
        </w:rPr>
      </w:pPr>
      <w:r w:rsidRPr="00534C5B">
        <w:rPr>
          <w:rFonts w:asciiTheme="minorHAnsi" w:eastAsiaTheme="minorHAnsi" w:hAnsiTheme="minorHAnsi" w:cstheme="minorBidi"/>
          <w:snapToGrid/>
          <w:sz w:val="24"/>
          <w:szCs w:val="22"/>
        </w:rPr>
        <w:t xml:space="preserve">A RSA consisting of subsidisation caps across the adjuvant and unresectable or metastatic settings, beyond which </w:t>
      </w:r>
      <w:r w:rsidR="00653477">
        <w:rPr>
          <w:rFonts w:asciiTheme="minorHAnsi" w:eastAsiaTheme="minorHAnsi" w:hAnsiTheme="minorHAnsi" w:cstheme="minorBidi"/>
          <w:noProof/>
          <w:snapToGrid/>
          <w:color w:val="000000"/>
          <w:sz w:val="24"/>
          <w:szCs w:val="22"/>
          <w:highlight w:val="black"/>
        </w:rPr>
        <w:t>''''''''</w:t>
      </w:r>
      <w:r w:rsidRPr="00534C5B">
        <w:rPr>
          <w:rFonts w:asciiTheme="minorHAnsi" w:eastAsiaTheme="minorHAnsi" w:hAnsiTheme="minorHAnsi" w:cstheme="minorBidi"/>
          <w:snapToGrid/>
          <w:sz w:val="24"/>
          <w:szCs w:val="22"/>
        </w:rPr>
        <w:t xml:space="preserve">% rebates would apply (paragraph 5.15, Nivolumab </w:t>
      </w:r>
      <w:r w:rsidR="00267C2A">
        <w:rPr>
          <w:rFonts w:asciiTheme="minorHAnsi" w:eastAsiaTheme="minorHAnsi" w:hAnsiTheme="minorHAnsi" w:cstheme="minorBidi"/>
          <w:snapToGrid/>
          <w:sz w:val="24"/>
          <w:szCs w:val="22"/>
        </w:rPr>
        <w:t>PSD</w:t>
      </w:r>
      <w:r w:rsidRPr="00534C5B">
        <w:rPr>
          <w:rFonts w:asciiTheme="minorHAnsi" w:eastAsiaTheme="minorHAnsi" w:hAnsiTheme="minorHAnsi" w:cstheme="minorBidi"/>
          <w:snapToGrid/>
          <w:sz w:val="24"/>
          <w:szCs w:val="22"/>
        </w:rPr>
        <w:t>, July 2019).</w:t>
      </w:r>
    </w:p>
    <w:p w:rsidR="002B0EF0" w:rsidRPr="00534C5B" w:rsidRDefault="002B0EF0" w:rsidP="00AF0867">
      <w:pPr>
        <w:pStyle w:val="Heading1"/>
        <w:keepNext/>
        <w:keepLines/>
        <w:widowControl/>
        <w:numPr>
          <w:ilvl w:val="0"/>
          <w:numId w:val="1"/>
        </w:numPr>
        <w:spacing w:before="240" w:after="120"/>
        <w:ind w:left="709" w:hanging="709"/>
        <w:contextualSpacing w:val="0"/>
        <w:jc w:val="left"/>
        <w:rPr>
          <w:rFonts w:asciiTheme="minorHAnsi" w:hAnsiTheme="minorHAnsi"/>
          <w:sz w:val="32"/>
          <w:szCs w:val="32"/>
        </w:rPr>
      </w:pPr>
      <w:r w:rsidRPr="00534C5B">
        <w:rPr>
          <w:rFonts w:asciiTheme="minorHAnsi" w:hAnsiTheme="minorHAnsi"/>
          <w:sz w:val="32"/>
          <w:szCs w:val="32"/>
        </w:rPr>
        <w:t>Background</w:t>
      </w:r>
    </w:p>
    <w:p w:rsidR="00CE204C" w:rsidRPr="00534C5B" w:rsidRDefault="00D8260F" w:rsidP="002B0EF0">
      <w:pPr>
        <w:pStyle w:val="3Bodytext"/>
      </w:pPr>
      <w:r w:rsidRPr="00534C5B">
        <w:t>N</w:t>
      </w:r>
      <w:r w:rsidR="00CE204C" w:rsidRPr="00534C5B">
        <w:t>ivolumab for the adjuvant treatment of melanoma ha</w:t>
      </w:r>
      <w:r w:rsidR="00C97D4E" w:rsidRPr="00534C5B">
        <w:t>s</w:t>
      </w:r>
      <w:r w:rsidR="00CE204C" w:rsidRPr="00534C5B">
        <w:t xml:space="preserve"> been considered by the PBAC twice previously, </w:t>
      </w:r>
      <w:r w:rsidRPr="00534C5B">
        <w:t xml:space="preserve">as a major submission </w:t>
      </w:r>
      <w:r w:rsidR="00CE204C" w:rsidRPr="00534C5B">
        <w:t xml:space="preserve">in July 2018 and </w:t>
      </w:r>
      <w:r w:rsidRPr="00534C5B">
        <w:t xml:space="preserve">as a minor resubmission in </w:t>
      </w:r>
      <w:r w:rsidR="00CE204C" w:rsidRPr="00534C5B">
        <w:t>July 2019.</w:t>
      </w:r>
    </w:p>
    <w:p w:rsidR="00CE204C" w:rsidRPr="00534C5B" w:rsidRDefault="00CE204C" w:rsidP="002B0EF0">
      <w:pPr>
        <w:pStyle w:val="3Bodytext"/>
      </w:pPr>
      <w:r w:rsidRPr="00534C5B">
        <w:t xml:space="preserve">A major submission to extend the restrictions of nivolumab monotherapy and nivolumab plus ipilimumab combination therapy to allow their use as first-line treatment options in BRAF mutant patients in the unresectable or metastatic setting </w:t>
      </w:r>
      <w:r w:rsidR="004869D0" w:rsidRPr="00534C5B">
        <w:t>wa</w:t>
      </w:r>
      <w:r w:rsidRPr="00534C5B">
        <w:t>s also considered at the November 2019 PBAC meeting</w:t>
      </w:r>
      <w:r w:rsidR="000B512A" w:rsidRPr="00534C5B">
        <w:t xml:space="preserve"> (item 7.07)</w:t>
      </w:r>
      <w:r w:rsidRPr="00534C5B">
        <w:t>.</w:t>
      </w:r>
    </w:p>
    <w:p w:rsidR="00CE204C" w:rsidRPr="00534C5B" w:rsidRDefault="00CE204C" w:rsidP="002B0EF0">
      <w:pPr>
        <w:pStyle w:val="3Bodytext"/>
      </w:pPr>
      <w:r w:rsidRPr="00534C5B">
        <w:t xml:space="preserve">A minor submission for pembrolizumab for the treatment of adjuvant melanoma </w:t>
      </w:r>
      <w:r w:rsidR="004869D0" w:rsidRPr="00534C5B">
        <w:t>wa</w:t>
      </w:r>
      <w:r w:rsidRPr="00534C5B">
        <w:t>s also considered at the November 2019 PBAC meeting</w:t>
      </w:r>
      <w:r w:rsidR="000B512A" w:rsidRPr="00534C5B">
        <w:t xml:space="preserve"> (item 7.12)</w:t>
      </w:r>
      <w:r w:rsidRPr="00534C5B">
        <w:t>.</w:t>
      </w:r>
    </w:p>
    <w:p w:rsidR="00FC709D" w:rsidRPr="00534C5B" w:rsidRDefault="00FC709D" w:rsidP="00FC709D">
      <w:pPr>
        <w:pStyle w:val="3Bodytext"/>
        <w:numPr>
          <w:ilvl w:val="0"/>
          <w:numId w:val="0"/>
        </w:numPr>
        <w:ind w:firstLine="720"/>
        <w:rPr>
          <w:i/>
        </w:rPr>
      </w:pPr>
      <w:r w:rsidRPr="00534C5B">
        <w:rPr>
          <w:i/>
        </w:rPr>
        <w:t>For more detail on PBAC’s view, see section 5 PBAC outcome.</w:t>
      </w:r>
    </w:p>
    <w:p w:rsidR="00FC3647" w:rsidRPr="00534C5B" w:rsidRDefault="00FC3647" w:rsidP="00063764">
      <w:pPr>
        <w:pStyle w:val="2Sections"/>
        <w:keepNext/>
      </w:pPr>
      <w:r w:rsidRPr="00534C5B">
        <w:lastRenderedPageBreak/>
        <w:t>Requested listing</w:t>
      </w:r>
    </w:p>
    <w:p w:rsidR="00A64C0B" w:rsidRPr="00534C5B" w:rsidRDefault="00092BF6" w:rsidP="00AF0867">
      <w:pPr>
        <w:pStyle w:val="3Bodytext"/>
        <w:keepNext/>
        <w:numPr>
          <w:ilvl w:val="1"/>
          <w:numId w:val="1"/>
        </w:numPr>
        <w:rPr>
          <w:i/>
        </w:rPr>
      </w:pPr>
      <w:r w:rsidRPr="00534C5B">
        <w:t xml:space="preserve">The </w:t>
      </w:r>
      <w:r w:rsidR="00233A57" w:rsidRPr="00534C5B">
        <w:t>sponsor</w:t>
      </w:r>
      <w:r w:rsidR="00A64C0B" w:rsidRPr="00534C5B">
        <w:t xml:space="preserve"> </w:t>
      </w:r>
      <w:r w:rsidRPr="00534C5B">
        <w:t xml:space="preserve">raised </w:t>
      </w:r>
      <w:r w:rsidR="00485B53" w:rsidRPr="00534C5B">
        <w:t>concerns</w:t>
      </w:r>
      <w:r w:rsidRPr="00534C5B">
        <w:t xml:space="preserve"> regarding the flow-on restriction changes to the current PBS listing of nivolumab </w:t>
      </w:r>
      <w:r w:rsidR="00006B26" w:rsidRPr="00534C5B">
        <w:t xml:space="preserve">(and pembrolizumab) </w:t>
      </w:r>
      <w:r w:rsidRPr="00534C5B">
        <w:t>in the unresectable or metastatic setting</w:t>
      </w:r>
      <w:r w:rsidR="00A64C0B" w:rsidRPr="00534C5B">
        <w:t xml:space="preserve"> recommended at the July 2019 PBAC meeting. </w:t>
      </w:r>
    </w:p>
    <w:p w:rsidR="00A64C0B" w:rsidRPr="00534C5B" w:rsidRDefault="00A64C0B" w:rsidP="00A64C0B">
      <w:pPr>
        <w:pStyle w:val="3Bodytext"/>
        <w:rPr>
          <w:i/>
        </w:rPr>
      </w:pPr>
      <w:r w:rsidRPr="00534C5B">
        <w:t xml:space="preserve">Figure 1 illustrates the </w:t>
      </w:r>
      <w:r w:rsidR="00013070" w:rsidRPr="00534C5B">
        <w:t>s</w:t>
      </w:r>
      <w:r w:rsidRPr="00534C5B">
        <w:t xml:space="preserve">ponsor’s understanding of the treatment algorithm based on the July 2019 PBAC </w:t>
      </w:r>
      <w:r w:rsidR="00F355C9">
        <w:t>PSD</w:t>
      </w:r>
      <w:r w:rsidRPr="00534C5B">
        <w:t xml:space="preserve">. </w:t>
      </w:r>
    </w:p>
    <w:p w:rsidR="000B512A" w:rsidRPr="00534C5B" w:rsidRDefault="000B512A" w:rsidP="0060470C">
      <w:pPr>
        <w:pStyle w:val="3Bodytext"/>
        <w:keepNext/>
        <w:keepLines/>
        <w:numPr>
          <w:ilvl w:val="0"/>
          <w:numId w:val="0"/>
        </w:numPr>
        <w:rPr>
          <w:rFonts w:ascii="Arial Narrow" w:hAnsi="Arial Narrow"/>
          <w:b/>
          <w:i/>
          <w:sz w:val="20"/>
          <w:szCs w:val="20"/>
        </w:rPr>
      </w:pPr>
      <w:r w:rsidRPr="00534C5B">
        <w:rPr>
          <w:rFonts w:ascii="Arial Narrow" w:hAnsi="Arial Narrow"/>
          <w:b/>
          <w:sz w:val="20"/>
          <w:szCs w:val="20"/>
        </w:rPr>
        <w:t>Figure 1: Sponsor’s interpretation of retreatment options in the unresectable or metastatic setting following adjuvant anti-PD1 therapy</w:t>
      </w:r>
    </w:p>
    <w:p w:rsidR="00A64C0B" w:rsidRPr="00534C5B" w:rsidRDefault="00F15DAD" w:rsidP="0060470C">
      <w:pPr>
        <w:pStyle w:val="3Bodytext"/>
        <w:keepNext/>
        <w:keepLines/>
        <w:numPr>
          <w:ilvl w:val="0"/>
          <w:numId w:val="0"/>
        </w:numPr>
        <w:rPr>
          <w:i/>
        </w:rPr>
      </w:pPr>
      <w:r>
        <w:rPr>
          <w:i/>
          <w:noProof/>
          <w:lang w:eastAsia="en-AU"/>
        </w:rPr>
        <w:drawing>
          <wp:inline distT="0" distB="0" distL="0" distR="0" wp14:anchorId="24402DC0" wp14:editId="50639397">
            <wp:extent cx="4293870" cy="2948305"/>
            <wp:effectExtent l="0" t="0" r="0" b="0"/>
            <wp:docPr id="1" name="Picture 1" title="Figure 1: Sponsor’s interpretation of retreatment options in the unresectable or metastatic setting following adjuvant anti-PD1 thera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93870" cy="2948305"/>
                    </a:xfrm>
                    <a:prstGeom prst="rect">
                      <a:avLst/>
                    </a:prstGeom>
                    <a:noFill/>
                    <a:ln>
                      <a:noFill/>
                    </a:ln>
                  </pic:spPr>
                </pic:pic>
              </a:graphicData>
            </a:graphic>
          </wp:inline>
        </w:drawing>
      </w:r>
      <w:r w:rsidR="00A64C0B" w:rsidRPr="00534C5B">
        <w:rPr>
          <w:i/>
        </w:rPr>
        <w:t xml:space="preserve"> </w:t>
      </w:r>
    </w:p>
    <w:p w:rsidR="00A64C0B" w:rsidRPr="00534C5B" w:rsidRDefault="000B512A" w:rsidP="000B512A">
      <w:pPr>
        <w:pStyle w:val="TableFooter"/>
      </w:pPr>
      <w:r w:rsidRPr="00534C5B">
        <w:t>IPI = ipilimumab; NIVO = nivolumab</w:t>
      </w:r>
    </w:p>
    <w:p w:rsidR="000B512A" w:rsidRPr="00534C5B" w:rsidRDefault="000B512A" w:rsidP="000B512A">
      <w:pPr>
        <w:pStyle w:val="TableFooter"/>
      </w:pPr>
      <w:r w:rsidRPr="00534C5B">
        <w:t>Source: Figure 1, Attachment 5 of the nivolumab proposal</w:t>
      </w:r>
    </w:p>
    <w:p w:rsidR="000B512A" w:rsidRPr="00534C5B" w:rsidRDefault="000B512A" w:rsidP="000B512A"/>
    <w:p w:rsidR="00A64C0B" w:rsidRPr="00534C5B" w:rsidRDefault="00A64C0B" w:rsidP="00A64C0B">
      <w:pPr>
        <w:pStyle w:val="3Bodytext"/>
      </w:pPr>
      <w:r w:rsidRPr="00534C5B">
        <w:t xml:space="preserve">Figure 2 illustrates the </w:t>
      </w:r>
      <w:r w:rsidR="00013070" w:rsidRPr="00534C5B">
        <w:t>s</w:t>
      </w:r>
      <w:r w:rsidRPr="00534C5B">
        <w:t xml:space="preserve">ponsor’s position on the appropriate retreatment options for patients who have received adjuvant </w:t>
      </w:r>
      <w:r w:rsidR="0009325B" w:rsidRPr="00534C5B">
        <w:t>programmed cell death-1 (</w:t>
      </w:r>
      <w:r w:rsidRPr="00534C5B">
        <w:t>PD-1</w:t>
      </w:r>
      <w:r w:rsidR="0009325B" w:rsidRPr="00534C5B">
        <w:t>) inhibitor</w:t>
      </w:r>
      <w:r w:rsidRPr="00534C5B">
        <w:t xml:space="preserve"> therapy and experience disease recurrence leading to a need for subsequent metastatic treatment</w:t>
      </w:r>
      <w:r w:rsidR="001376F2" w:rsidRPr="00534C5B">
        <w:t>.</w:t>
      </w:r>
      <w:r w:rsidR="004E1F48" w:rsidRPr="00534C5B">
        <w:t xml:space="preserve"> </w:t>
      </w:r>
    </w:p>
    <w:p w:rsidR="000B512A" w:rsidRPr="00534C5B" w:rsidRDefault="000B512A" w:rsidP="000B512A">
      <w:pPr>
        <w:pStyle w:val="3Bodytext"/>
        <w:keepNext/>
        <w:keepLines/>
        <w:numPr>
          <w:ilvl w:val="0"/>
          <w:numId w:val="0"/>
        </w:numPr>
        <w:rPr>
          <w:rFonts w:ascii="Arial Narrow" w:hAnsi="Arial Narrow"/>
          <w:b/>
          <w:sz w:val="20"/>
          <w:szCs w:val="20"/>
        </w:rPr>
      </w:pPr>
      <w:r w:rsidRPr="00534C5B">
        <w:rPr>
          <w:rFonts w:ascii="Arial Narrow" w:hAnsi="Arial Narrow"/>
          <w:b/>
          <w:sz w:val="20"/>
          <w:szCs w:val="20"/>
        </w:rPr>
        <w:lastRenderedPageBreak/>
        <w:t>Figure 2: Sponsor’s position on the retreatment options in the unresectable or metastatic setting following adjuvant anti-PD1 therapy</w:t>
      </w:r>
    </w:p>
    <w:p w:rsidR="00A64C0B" w:rsidRPr="00534C5B" w:rsidRDefault="00F15DAD" w:rsidP="000B512A">
      <w:pPr>
        <w:pStyle w:val="3Bodytext"/>
        <w:keepNext/>
        <w:keepLines/>
        <w:numPr>
          <w:ilvl w:val="0"/>
          <w:numId w:val="0"/>
        </w:numPr>
        <w:rPr>
          <w:sz w:val="20"/>
        </w:rPr>
      </w:pPr>
      <w:r>
        <w:rPr>
          <w:noProof/>
          <w:sz w:val="20"/>
          <w:lang w:eastAsia="en-AU"/>
        </w:rPr>
        <w:drawing>
          <wp:inline distT="0" distB="0" distL="0" distR="0" wp14:anchorId="1E5BA70A" wp14:editId="3E77830F">
            <wp:extent cx="4191635" cy="2647950"/>
            <wp:effectExtent l="0" t="0" r="0" b="0"/>
            <wp:docPr id="2" name="Picture 2" title="Figure 2: Sponsor’s position on the retreatment options in the unresectable or metastatic setting following adjuvant anti-PD1 thera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91635" cy="2647950"/>
                    </a:xfrm>
                    <a:prstGeom prst="rect">
                      <a:avLst/>
                    </a:prstGeom>
                    <a:noFill/>
                    <a:ln>
                      <a:noFill/>
                    </a:ln>
                  </pic:spPr>
                </pic:pic>
              </a:graphicData>
            </a:graphic>
          </wp:inline>
        </w:drawing>
      </w:r>
    </w:p>
    <w:p w:rsidR="000B512A" w:rsidRPr="00534C5B" w:rsidRDefault="000B512A" w:rsidP="000B512A">
      <w:pPr>
        <w:pStyle w:val="TableFooter"/>
      </w:pPr>
      <w:r w:rsidRPr="00534C5B">
        <w:t>IPI = ipilimumab; NIVO = nivolumab</w:t>
      </w:r>
    </w:p>
    <w:p w:rsidR="000B512A" w:rsidRPr="00534C5B" w:rsidRDefault="000B512A" w:rsidP="000B512A">
      <w:pPr>
        <w:pStyle w:val="TableFooter"/>
      </w:pPr>
      <w:r w:rsidRPr="00534C5B">
        <w:t>Source: Figure 2, Attachment 5 of the nivolumab proposal</w:t>
      </w:r>
    </w:p>
    <w:p w:rsidR="000B512A" w:rsidRPr="00534C5B" w:rsidRDefault="000B512A" w:rsidP="000B512A"/>
    <w:p w:rsidR="00092BF6" w:rsidRPr="00534C5B" w:rsidRDefault="00F6429F" w:rsidP="00AF0867">
      <w:pPr>
        <w:pStyle w:val="3Bodytext"/>
        <w:numPr>
          <w:ilvl w:val="1"/>
          <w:numId w:val="1"/>
        </w:numPr>
        <w:rPr>
          <w:i/>
        </w:rPr>
      </w:pPr>
      <w:r w:rsidRPr="00534C5B">
        <w:t xml:space="preserve">With respect to </w:t>
      </w:r>
      <w:r w:rsidR="00EE76C5" w:rsidRPr="00534C5B">
        <w:t>the flow-on restriction changes recommended at the July 2019 meeting the sponsor sought c</w:t>
      </w:r>
      <w:r w:rsidR="00A64C0B" w:rsidRPr="00534C5B">
        <w:t>larification regarding</w:t>
      </w:r>
      <w:r w:rsidR="00092BF6" w:rsidRPr="00534C5B">
        <w:t>:</w:t>
      </w:r>
    </w:p>
    <w:p w:rsidR="009E0B1F" w:rsidRPr="00534C5B" w:rsidRDefault="009E0B1F" w:rsidP="00AF0867">
      <w:pPr>
        <w:pStyle w:val="3Bodytext"/>
        <w:numPr>
          <w:ilvl w:val="1"/>
          <w:numId w:val="9"/>
        </w:numPr>
        <w:ind w:left="1077" w:hanging="357"/>
      </w:pPr>
      <w:r w:rsidRPr="00534C5B">
        <w:t xml:space="preserve">The rationale for the clinical criteria stipulating retreatment with the same class of drug only if a patient had not experienced disease recurrence within six months post completion of adjuvant treatment. This PBAC recognised the uncertainty associated with the inclusion of a recurrence free interval in the restriction, but noted that this was consistent with the DAB+TRAM restriction changes in the unresectable or metastatic setting and with </w:t>
      </w:r>
      <w:r w:rsidR="004869D0" w:rsidRPr="00534C5B">
        <w:t xml:space="preserve">the </w:t>
      </w:r>
      <w:r w:rsidRPr="00534C5B">
        <w:t xml:space="preserve">design of the KN054 trial assessing pembrolizumab for the adjuvant treatment of melanoma. The PBAC advised that it would be willing to review the six month recurrence free interval for retreatment with the same class of drug if data was provided that supported the efficacy and cost-effectiveness of retreatment of patients who relapsed </w:t>
      </w:r>
      <w:r w:rsidR="001376F2" w:rsidRPr="00534C5B">
        <w:t xml:space="preserve">on or soon after </w:t>
      </w:r>
      <w:r w:rsidRPr="00534C5B">
        <w:t>completion of adjuvant treatment;</w:t>
      </w:r>
    </w:p>
    <w:p w:rsidR="00485B53" w:rsidRPr="00534C5B" w:rsidRDefault="00485B53" w:rsidP="00AF0867">
      <w:pPr>
        <w:pStyle w:val="3Bodytext"/>
        <w:numPr>
          <w:ilvl w:val="1"/>
          <w:numId w:val="9"/>
        </w:numPr>
        <w:ind w:left="1077" w:hanging="357"/>
      </w:pPr>
      <w:r w:rsidRPr="00534C5B">
        <w:t xml:space="preserve">Whether the </w:t>
      </w:r>
      <w:r w:rsidR="00A64C0B" w:rsidRPr="00534C5B">
        <w:t xml:space="preserve">changes </w:t>
      </w:r>
      <w:r w:rsidR="00EE76C5" w:rsidRPr="00534C5B">
        <w:t xml:space="preserve">proposed for </w:t>
      </w:r>
      <w:r w:rsidR="00A64C0B" w:rsidRPr="00534C5B">
        <w:t xml:space="preserve">the </w:t>
      </w:r>
      <w:r w:rsidRPr="00534C5B">
        <w:t>clinical criteria</w:t>
      </w:r>
      <w:r w:rsidR="00EE76C5" w:rsidRPr="00534C5B">
        <w:t xml:space="preserve"> for nivol</w:t>
      </w:r>
      <w:r w:rsidR="000B512A" w:rsidRPr="00534C5B">
        <w:t>u</w:t>
      </w:r>
      <w:r w:rsidR="00EE76C5" w:rsidRPr="00534C5B">
        <w:t>mab monotherapy</w:t>
      </w:r>
      <w:r w:rsidRPr="00534C5B">
        <w:t xml:space="preserve"> apply to the use of nivolumab plus ipilimumab. The </w:t>
      </w:r>
      <w:r w:rsidR="00F7414D" w:rsidRPr="00534C5B">
        <w:t xml:space="preserve">PBAC noted that </w:t>
      </w:r>
      <w:r w:rsidR="00DF3341" w:rsidRPr="00534C5B">
        <w:t xml:space="preserve">the </w:t>
      </w:r>
      <w:r w:rsidR="000126D9" w:rsidRPr="00534C5B">
        <w:t xml:space="preserve">proposed </w:t>
      </w:r>
      <w:r w:rsidRPr="00534C5B">
        <w:t>restriction</w:t>
      </w:r>
      <w:r w:rsidR="00EE76C5" w:rsidRPr="00534C5B">
        <w:t xml:space="preserve"> </w:t>
      </w:r>
      <w:r w:rsidRPr="00534C5B">
        <w:t>preclude</w:t>
      </w:r>
      <w:r w:rsidR="00FE3C59" w:rsidRPr="00534C5B">
        <w:t>d</w:t>
      </w:r>
      <w:r w:rsidRPr="00534C5B">
        <w:t xml:space="preserve"> patients who received nivolumab in the adjuvant setti</w:t>
      </w:r>
      <w:r w:rsidR="00C97D4E" w:rsidRPr="00534C5B">
        <w:t>ng and had a recurrence within six</w:t>
      </w:r>
      <w:r w:rsidRPr="00534C5B">
        <w:t xml:space="preserve"> months of completing treatment, from receiving nivolumab+ipilimumab in the unresectable setting</w:t>
      </w:r>
      <w:r w:rsidR="00F7414D" w:rsidRPr="00534C5B">
        <w:t xml:space="preserve">. </w:t>
      </w:r>
      <w:r w:rsidR="00566153" w:rsidRPr="00534C5B">
        <w:t>Noting the paucity of data presented in the pre-PBAC response to support the re</w:t>
      </w:r>
      <w:r w:rsidR="001376F2" w:rsidRPr="00534C5B">
        <w:t>peated</w:t>
      </w:r>
      <w:r w:rsidR="00566153" w:rsidRPr="00534C5B">
        <w:t xml:space="preserve"> use of PD-1 inhibitor therapy (either as monotherapy or in combination) in patients who progressed while on, or shortly after completing, adjuvant PD-1 </w:t>
      </w:r>
      <w:r w:rsidR="0009325B" w:rsidRPr="00534C5B">
        <w:t xml:space="preserve">inhibitor </w:t>
      </w:r>
      <w:r w:rsidR="00566153" w:rsidRPr="00534C5B">
        <w:t xml:space="preserve">monotherapy, the </w:t>
      </w:r>
      <w:r w:rsidR="00F7414D" w:rsidRPr="00534C5B">
        <w:t xml:space="preserve">PBAC considered that </w:t>
      </w:r>
      <w:r w:rsidR="001376F2" w:rsidRPr="00534C5B">
        <w:t xml:space="preserve">the proposed restriction </w:t>
      </w:r>
      <w:r w:rsidR="00F7414D" w:rsidRPr="00534C5B">
        <w:t xml:space="preserve">was reasonable. In addition, the </w:t>
      </w:r>
      <w:r w:rsidR="00F7414D" w:rsidRPr="00534C5B">
        <w:lastRenderedPageBreak/>
        <w:t>P</w:t>
      </w:r>
      <w:r w:rsidR="00FE3C59" w:rsidRPr="00534C5B">
        <w:t>BAC</w:t>
      </w:r>
      <w:r w:rsidR="00F7414D" w:rsidRPr="00534C5B">
        <w:t xml:space="preserve"> noted that no data was provided to suggest that nivolumab+ipilimumab was superior to ipilimumab </w:t>
      </w:r>
      <w:r w:rsidR="001376F2" w:rsidRPr="00534C5B">
        <w:t xml:space="preserve">monotherapy </w:t>
      </w:r>
      <w:r w:rsidR="00F7414D" w:rsidRPr="00534C5B">
        <w:t xml:space="preserve">following adjuvant PD-1 </w:t>
      </w:r>
      <w:r w:rsidR="00566153" w:rsidRPr="00534C5B">
        <w:t xml:space="preserve">inhibitor </w:t>
      </w:r>
      <w:r w:rsidR="00F7414D" w:rsidRPr="00534C5B">
        <w:t>treatment</w:t>
      </w:r>
      <w:r w:rsidRPr="00534C5B">
        <w:t>;</w:t>
      </w:r>
    </w:p>
    <w:p w:rsidR="00485B53" w:rsidRPr="00534C5B" w:rsidRDefault="00485B53" w:rsidP="00AF0867">
      <w:pPr>
        <w:pStyle w:val="3Bodytext"/>
        <w:numPr>
          <w:ilvl w:val="1"/>
          <w:numId w:val="9"/>
        </w:numPr>
        <w:ind w:left="1077" w:hanging="357"/>
      </w:pPr>
      <w:r w:rsidRPr="00534C5B">
        <w:t xml:space="preserve">The definition of ‘completion of treatment’ and whether a patient who misses doses (e.g. to wait for resolution of toxicity) during the treatment period, but essentially completes a 12 months period of therapy, is considered ‘completed’. The </w:t>
      </w:r>
      <w:r w:rsidR="00FE3C59" w:rsidRPr="00534C5B">
        <w:t xml:space="preserve">PBAC noted that the </w:t>
      </w:r>
      <w:r w:rsidRPr="00534C5B">
        <w:t>flow</w:t>
      </w:r>
      <w:r w:rsidR="00C97D4E" w:rsidRPr="00534C5B">
        <w:t>-</w:t>
      </w:r>
      <w:r w:rsidRPr="00534C5B">
        <w:t>on dabrafenib restriction for use in the unresectable or metastatic setting</w:t>
      </w:r>
      <w:r w:rsidR="00FE3C59" w:rsidRPr="00534C5B">
        <w:t xml:space="preserve"> </w:t>
      </w:r>
      <w:r w:rsidRPr="00534C5B">
        <w:t>does not include a definition for ‘completion of treatment’</w:t>
      </w:r>
      <w:r w:rsidR="00F7414D" w:rsidRPr="00534C5B">
        <w:t>. The PBAC considered that treatment should consist of 12 months of active therapy</w:t>
      </w:r>
      <w:r w:rsidR="00FE3C59" w:rsidRPr="00534C5B">
        <w:t xml:space="preserve"> and recommended cha</w:t>
      </w:r>
      <w:r w:rsidR="00006B26" w:rsidRPr="00534C5B">
        <w:t>nging the restriction to state ‘</w:t>
      </w:r>
      <w:r w:rsidR="00FE3C59" w:rsidRPr="00534C5B">
        <w:t>Patient must not receive more than 12 months of combined PBS-subsidised and non-PBS subsidised adjuvant t</w:t>
      </w:r>
      <w:r w:rsidR="001376F2" w:rsidRPr="00534C5B">
        <w:t>herapy</w:t>
      </w:r>
      <w:r w:rsidR="00FE3C59" w:rsidRPr="00534C5B">
        <w:t>’</w:t>
      </w:r>
      <w:r w:rsidRPr="00534C5B">
        <w:t>;</w:t>
      </w:r>
      <w:r w:rsidR="002E072E" w:rsidRPr="00534C5B">
        <w:t xml:space="preserve"> and</w:t>
      </w:r>
    </w:p>
    <w:p w:rsidR="00485B53" w:rsidRPr="00534C5B" w:rsidRDefault="00485B53" w:rsidP="00AF0867">
      <w:pPr>
        <w:pStyle w:val="3Bodytext"/>
        <w:numPr>
          <w:ilvl w:val="1"/>
          <w:numId w:val="9"/>
        </w:numPr>
        <w:ind w:left="1077" w:hanging="357"/>
      </w:pPr>
      <w:r w:rsidRPr="00534C5B">
        <w:t xml:space="preserve">Whether there could be potential exemptions to the proposed clinical criteria, including for patients who discontinued adjuvant treatment for reasons other than disease progression (e.g. intolerance, patient choice). The </w:t>
      </w:r>
      <w:r w:rsidR="004100CD" w:rsidRPr="00534C5B">
        <w:t xml:space="preserve">PBAC noted that the </w:t>
      </w:r>
      <w:r w:rsidRPr="00534C5B">
        <w:t>flow</w:t>
      </w:r>
      <w:r w:rsidR="00C97D4E" w:rsidRPr="00534C5B">
        <w:t>-</w:t>
      </w:r>
      <w:r w:rsidRPr="00534C5B">
        <w:t>on dabrafenib restriction</w:t>
      </w:r>
      <w:r w:rsidR="00FE3C59" w:rsidRPr="00534C5B">
        <w:t>s</w:t>
      </w:r>
      <w:r w:rsidRPr="00534C5B">
        <w:t xml:space="preserve"> for use in the unresectable or metastatic setting</w:t>
      </w:r>
      <w:r w:rsidR="004100CD" w:rsidRPr="00534C5B">
        <w:t xml:space="preserve"> </w:t>
      </w:r>
      <w:r w:rsidRPr="00534C5B">
        <w:t>do not include exemptions</w:t>
      </w:r>
      <w:r w:rsidR="00FE3C59" w:rsidRPr="00534C5B">
        <w:t xml:space="preserve">. Noting the paucity of available evidence </w:t>
      </w:r>
      <w:r w:rsidR="0026419A" w:rsidRPr="00534C5B">
        <w:t xml:space="preserve">to support </w:t>
      </w:r>
      <w:r w:rsidR="00FE3C59" w:rsidRPr="00534C5B">
        <w:t>the same level of benefit soon after exposure to the same class of drug, the PBAC c</w:t>
      </w:r>
      <w:r w:rsidR="004100CD" w:rsidRPr="00534C5B">
        <w:t xml:space="preserve">onsidered that </w:t>
      </w:r>
      <w:r w:rsidR="00FE3C59" w:rsidRPr="00534C5B">
        <w:t xml:space="preserve">the lack of exemptions </w:t>
      </w:r>
      <w:r w:rsidR="004100CD" w:rsidRPr="00534C5B">
        <w:t>was appropriate</w:t>
      </w:r>
      <w:r w:rsidRPr="00534C5B">
        <w:t>.</w:t>
      </w:r>
    </w:p>
    <w:p w:rsidR="00E30297" w:rsidRPr="00534C5B" w:rsidRDefault="00E30297" w:rsidP="00E30297">
      <w:pPr>
        <w:pStyle w:val="3Bodytext"/>
        <w:numPr>
          <w:ilvl w:val="1"/>
          <w:numId w:val="1"/>
        </w:numPr>
      </w:pPr>
      <w:r w:rsidRPr="00534C5B">
        <w:t xml:space="preserve">The PBAC </w:t>
      </w:r>
      <w:r w:rsidR="0099397D" w:rsidRPr="00534C5B">
        <w:t>considered</w:t>
      </w:r>
      <w:r w:rsidRPr="00534C5B">
        <w:t xml:space="preserve"> that flow-on changes for nivolumab, ipilimumab</w:t>
      </w:r>
      <w:r w:rsidR="001376F2" w:rsidRPr="00534C5B">
        <w:t>, pembrolizumab</w:t>
      </w:r>
      <w:r w:rsidRPr="00534C5B">
        <w:t xml:space="preserve"> and the BRAF inhibitor listings in the unresectable or metastatic setting would be </w:t>
      </w:r>
      <w:r w:rsidR="0099397D" w:rsidRPr="00534C5B">
        <w:t>required. The PBAC recommended that these be implemented in conjunction with t</w:t>
      </w:r>
      <w:r w:rsidRPr="00534C5B">
        <w:t>he recommendation to extend the listings of nivolumab and nivolumab+ipilimumab to allow first-line treatment in the unresectable or metastatic setting in BRAF mutant patients</w:t>
      </w:r>
      <w:r w:rsidR="001376F2" w:rsidRPr="00534C5B">
        <w:t>.</w:t>
      </w:r>
      <w:r w:rsidR="004E1F48" w:rsidRPr="00534C5B">
        <w:t xml:space="preserve"> </w:t>
      </w:r>
    </w:p>
    <w:p w:rsidR="001376F2" w:rsidRPr="00534C5B" w:rsidRDefault="001376F2" w:rsidP="001376F2">
      <w:pPr>
        <w:pStyle w:val="3Bodytext"/>
        <w:numPr>
          <w:ilvl w:val="1"/>
          <w:numId w:val="1"/>
        </w:numPr>
      </w:pPr>
      <w:r w:rsidRPr="00534C5B">
        <w:t xml:space="preserve">The proposed restrictions for nivolumab for adjuvant treatment are presented below. </w:t>
      </w:r>
    </w:p>
    <w:tbl>
      <w:tblPr>
        <w:tblW w:w="8964" w:type="dxa"/>
        <w:tblInd w:w="108" w:type="dxa"/>
        <w:tblLayout w:type="fixed"/>
        <w:tblLook w:val="0000" w:firstRow="0" w:lastRow="0" w:firstColumn="0" w:lastColumn="0" w:noHBand="0" w:noVBand="0"/>
      </w:tblPr>
      <w:tblGrid>
        <w:gridCol w:w="2869"/>
        <w:gridCol w:w="851"/>
        <w:gridCol w:w="1134"/>
        <w:gridCol w:w="1701"/>
        <w:gridCol w:w="850"/>
        <w:gridCol w:w="1559"/>
      </w:tblGrid>
      <w:tr w:rsidR="003326BA" w:rsidRPr="00534C5B" w:rsidTr="00013070">
        <w:trPr>
          <w:cantSplit/>
          <w:trHeight w:val="471"/>
        </w:trPr>
        <w:tc>
          <w:tcPr>
            <w:tcW w:w="2869" w:type="dxa"/>
            <w:tcBorders>
              <w:top w:val="single" w:sz="4" w:space="0" w:color="auto"/>
              <w:bottom w:val="single" w:sz="4" w:space="0" w:color="auto"/>
            </w:tcBorders>
          </w:tcPr>
          <w:p w:rsidR="003326BA" w:rsidRPr="00534C5B" w:rsidRDefault="003326BA" w:rsidP="00AB5085">
            <w:pPr>
              <w:keepNext/>
              <w:ind w:left="-108"/>
              <w:rPr>
                <w:rFonts w:ascii="Arial Narrow" w:hAnsi="Arial Narrow" w:cs="Arial"/>
                <w:b/>
                <w:sz w:val="20"/>
                <w:szCs w:val="20"/>
              </w:rPr>
            </w:pPr>
            <w:r w:rsidRPr="00534C5B">
              <w:rPr>
                <w:rFonts w:ascii="Arial Narrow" w:hAnsi="Arial Narrow" w:cs="Arial"/>
                <w:b/>
                <w:sz w:val="20"/>
                <w:szCs w:val="20"/>
              </w:rPr>
              <w:t>Name, Restriction, Manner of administration and form</w:t>
            </w:r>
          </w:p>
        </w:tc>
        <w:tc>
          <w:tcPr>
            <w:tcW w:w="851" w:type="dxa"/>
            <w:tcBorders>
              <w:top w:val="single" w:sz="4" w:space="0" w:color="auto"/>
              <w:bottom w:val="single" w:sz="4" w:space="0" w:color="auto"/>
            </w:tcBorders>
          </w:tcPr>
          <w:p w:rsidR="003326BA" w:rsidRPr="00534C5B" w:rsidRDefault="003326BA" w:rsidP="00AB5085">
            <w:pPr>
              <w:keepNext/>
              <w:ind w:left="-108"/>
              <w:jc w:val="center"/>
              <w:rPr>
                <w:rFonts w:ascii="Arial Narrow" w:hAnsi="Arial Narrow" w:cs="Arial"/>
                <w:b/>
                <w:sz w:val="20"/>
                <w:szCs w:val="20"/>
              </w:rPr>
            </w:pPr>
            <w:r w:rsidRPr="00534C5B">
              <w:rPr>
                <w:rFonts w:ascii="Arial Narrow" w:hAnsi="Arial Narrow" w:cs="Arial"/>
                <w:b/>
                <w:sz w:val="20"/>
                <w:szCs w:val="20"/>
              </w:rPr>
              <w:t>Max.</w:t>
            </w:r>
          </w:p>
          <w:p w:rsidR="003326BA" w:rsidRPr="00534C5B" w:rsidRDefault="001365DE" w:rsidP="00AB5085">
            <w:pPr>
              <w:keepNext/>
              <w:ind w:left="-108"/>
              <w:jc w:val="center"/>
              <w:rPr>
                <w:rFonts w:ascii="Arial Narrow" w:hAnsi="Arial Narrow" w:cs="Arial"/>
                <w:b/>
                <w:sz w:val="20"/>
                <w:szCs w:val="20"/>
              </w:rPr>
            </w:pPr>
            <w:r w:rsidRPr="00534C5B">
              <w:rPr>
                <w:rFonts w:ascii="Arial Narrow" w:hAnsi="Arial Narrow" w:cs="Arial"/>
                <w:b/>
                <w:sz w:val="20"/>
                <w:szCs w:val="20"/>
              </w:rPr>
              <w:t>A</w:t>
            </w:r>
            <w:r w:rsidR="003326BA" w:rsidRPr="00534C5B">
              <w:rPr>
                <w:rFonts w:ascii="Arial Narrow" w:hAnsi="Arial Narrow" w:cs="Arial"/>
                <w:b/>
                <w:sz w:val="20"/>
                <w:szCs w:val="20"/>
              </w:rPr>
              <w:t>mount</w:t>
            </w:r>
          </w:p>
        </w:tc>
        <w:tc>
          <w:tcPr>
            <w:tcW w:w="1134" w:type="dxa"/>
            <w:tcBorders>
              <w:top w:val="single" w:sz="4" w:space="0" w:color="auto"/>
              <w:bottom w:val="single" w:sz="4" w:space="0" w:color="auto"/>
            </w:tcBorders>
          </w:tcPr>
          <w:p w:rsidR="003326BA" w:rsidRPr="00534C5B" w:rsidRDefault="003326BA" w:rsidP="00AB5085">
            <w:pPr>
              <w:keepNext/>
              <w:ind w:left="-108"/>
              <w:jc w:val="center"/>
              <w:rPr>
                <w:rFonts w:ascii="Arial Narrow" w:hAnsi="Arial Narrow" w:cs="Arial"/>
                <w:b/>
                <w:sz w:val="20"/>
                <w:szCs w:val="20"/>
              </w:rPr>
            </w:pPr>
            <w:r w:rsidRPr="00534C5B">
              <w:rPr>
                <w:rFonts w:ascii="Arial Narrow" w:hAnsi="Arial Narrow" w:cs="Arial"/>
                <w:b/>
                <w:sz w:val="20"/>
                <w:szCs w:val="20"/>
              </w:rPr>
              <w:t>№.of</w:t>
            </w:r>
          </w:p>
          <w:p w:rsidR="003326BA" w:rsidRPr="00534C5B" w:rsidRDefault="003326BA" w:rsidP="00AB5085">
            <w:pPr>
              <w:keepNext/>
              <w:ind w:left="-108"/>
              <w:jc w:val="center"/>
              <w:rPr>
                <w:rFonts w:ascii="Arial Narrow" w:hAnsi="Arial Narrow" w:cs="Arial"/>
                <w:b/>
                <w:sz w:val="20"/>
                <w:szCs w:val="20"/>
              </w:rPr>
            </w:pPr>
            <w:r w:rsidRPr="00534C5B">
              <w:rPr>
                <w:rFonts w:ascii="Arial Narrow" w:hAnsi="Arial Narrow" w:cs="Arial"/>
                <w:b/>
                <w:sz w:val="20"/>
                <w:szCs w:val="20"/>
              </w:rPr>
              <w:t>Rpts</w:t>
            </w:r>
          </w:p>
        </w:tc>
        <w:tc>
          <w:tcPr>
            <w:tcW w:w="1701" w:type="dxa"/>
            <w:tcBorders>
              <w:top w:val="single" w:sz="4" w:space="0" w:color="auto"/>
              <w:bottom w:val="single" w:sz="4" w:space="0" w:color="auto"/>
            </w:tcBorders>
          </w:tcPr>
          <w:p w:rsidR="003326BA" w:rsidRPr="00534C5B" w:rsidRDefault="003326BA" w:rsidP="00AB5085">
            <w:pPr>
              <w:keepNext/>
              <w:ind w:left="-108"/>
              <w:rPr>
                <w:rFonts w:ascii="Arial Narrow" w:hAnsi="Arial Narrow" w:cs="Arial"/>
                <w:b/>
                <w:sz w:val="20"/>
                <w:szCs w:val="20"/>
              </w:rPr>
            </w:pPr>
            <w:r w:rsidRPr="00534C5B">
              <w:rPr>
                <w:rFonts w:ascii="Arial Narrow" w:hAnsi="Arial Narrow" w:cs="Arial"/>
                <w:b/>
                <w:sz w:val="20"/>
                <w:szCs w:val="20"/>
              </w:rPr>
              <w:t>Dispensed Price for Max. Amount</w:t>
            </w:r>
          </w:p>
        </w:tc>
        <w:tc>
          <w:tcPr>
            <w:tcW w:w="2409" w:type="dxa"/>
            <w:gridSpan w:val="2"/>
            <w:tcBorders>
              <w:top w:val="single" w:sz="4" w:space="0" w:color="auto"/>
              <w:bottom w:val="single" w:sz="4" w:space="0" w:color="auto"/>
            </w:tcBorders>
            <w:tcMar>
              <w:left w:w="28" w:type="dxa"/>
              <w:right w:w="28" w:type="dxa"/>
            </w:tcMar>
          </w:tcPr>
          <w:p w:rsidR="003326BA" w:rsidRPr="00534C5B" w:rsidRDefault="003326BA" w:rsidP="00AB5085">
            <w:pPr>
              <w:keepNext/>
              <w:rPr>
                <w:rFonts w:ascii="Arial Narrow" w:hAnsi="Arial Narrow" w:cs="Arial"/>
                <w:b/>
                <w:sz w:val="20"/>
                <w:szCs w:val="20"/>
              </w:rPr>
            </w:pPr>
            <w:r w:rsidRPr="00534C5B">
              <w:rPr>
                <w:rFonts w:ascii="Arial Narrow" w:hAnsi="Arial Narrow" w:cs="Arial"/>
                <w:b/>
                <w:sz w:val="20"/>
                <w:szCs w:val="20"/>
              </w:rPr>
              <w:t>Proprietary Name and Manufacturer</w:t>
            </w:r>
          </w:p>
        </w:tc>
      </w:tr>
      <w:tr w:rsidR="003326BA" w:rsidRPr="00534C5B" w:rsidTr="00013070">
        <w:trPr>
          <w:cantSplit/>
          <w:trHeight w:val="577"/>
        </w:trPr>
        <w:tc>
          <w:tcPr>
            <w:tcW w:w="2869" w:type="dxa"/>
            <w:tcBorders>
              <w:bottom w:val="single" w:sz="4" w:space="0" w:color="auto"/>
            </w:tcBorders>
          </w:tcPr>
          <w:p w:rsidR="003326BA" w:rsidRPr="00534C5B" w:rsidRDefault="003326BA" w:rsidP="003326BA">
            <w:pPr>
              <w:keepNext/>
              <w:ind w:left="-108"/>
              <w:jc w:val="both"/>
              <w:rPr>
                <w:rFonts w:ascii="Arial Narrow" w:hAnsi="Arial Narrow" w:cs="Arial"/>
                <w:sz w:val="20"/>
                <w:szCs w:val="20"/>
              </w:rPr>
            </w:pPr>
            <w:r w:rsidRPr="00534C5B">
              <w:rPr>
                <w:rFonts w:ascii="Arial Narrow" w:hAnsi="Arial Narrow" w:cs="Arial"/>
                <w:smallCaps/>
                <w:sz w:val="20"/>
                <w:szCs w:val="20"/>
              </w:rPr>
              <w:t>Nivolumab</w:t>
            </w:r>
          </w:p>
          <w:p w:rsidR="003326BA" w:rsidRPr="00534C5B" w:rsidRDefault="003326BA" w:rsidP="003326BA">
            <w:pPr>
              <w:keepNext/>
              <w:ind w:left="-108"/>
              <w:jc w:val="both"/>
              <w:rPr>
                <w:rFonts w:ascii="Arial Narrow" w:hAnsi="Arial Narrow" w:cs="Arial"/>
                <w:sz w:val="20"/>
                <w:szCs w:val="20"/>
              </w:rPr>
            </w:pPr>
            <w:r w:rsidRPr="00534C5B">
              <w:rPr>
                <w:rFonts w:ascii="Arial Narrow" w:hAnsi="Arial Narrow" w:cs="Arial"/>
                <w:sz w:val="20"/>
                <w:szCs w:val="20"/>
              </w:rPr>
              <w:t>40 mg/4 mL injection, 4 mL vial</w:t>
            </w:r>
          </w:p>
          <w:p w:rsidR="003326BA" w:rsidRPr="00534C5B" w:rsidRDefault="003326BA" w:rsidP="003326BA">
            <w:pPr>
              <w:keepNext/>
              <w:ind w:left="-108"/>
              <w:jc w:val="both"/>
              <w:rPr>
                <w:rFonts w:ascii="Arial Narrow" w:hAnsi="Arial Narrow" w:cs="Arial"/>
                <w:color w:val="FF0000"/>
                <w:sz w:val="20"/>
                <w:szCs w:val="20"/>
              </w:rPr>
            </w:pPr>
            <w:r w:rsidRPr="00534C5B">
              <w:rPr>
                <w:rFonts w:ascii="Arial Narrow" w:hAnsi="Arial Narrow" w:cs="Arial"/>
                <w:sz w:val="20"/>
                <w:szCs w:val="20"/>
              </w:rPr>
              <w:t>100 mg/10 mL injection, 10 mg vial</w:t>
            </w:r>
          </w:p>
        </w:tc>
        <w:tc>
          <w:tcPr>
            <w:tcW w:w="851" w:type="dxa"/>
            <w:tcBorders>
              <w:bottom w:val="single" w:sz="4" w:space="0" w:color="auto"/>
            </w:tcBorders>
          </w:tcPr>
          <w:p w:rsidR="003326BA" w:rsidRPr="00534C5B" w:rsidRDefault="003326BA" w:rsidP="003326BA">
            <w:pPr>
              <w:keepNext/>
              <w:ind w:left="-108"/>
              <w:jc w:val="center"/>
              <w:rPr>
                <w:rFonts w:ascii="Arial Narrow" w:hAnsi="Arial Narrow" w:cs="Arial"/>
                <w:sz w:val="20"/>
                <w:szCs w:val="20"/>
              </w:rPr>
            </w:pPr>
          </w:p>
          <w:p w:rsidR="003326BA" w:rsidRPr="00534C5B" w:rsidRDefault="003326BA" w:rsidP="003326BA">
            <w:pPr>
              <w:keepNext/>
              <w:ind w:left="-108"/>
              <w:jc w:val="center"/>
              <w:rPr>
                <w:rFonts w:ascii="Arial Narrow" w:hAnsi="Arial Narrow" w:cs="Arial"/>
                <w:sz w:val="20"/>
                <w:szCs w:val="20"/>
              </w:rPr>
            </w:pPr>
            <w:r w:rsidRPr="00534C5B">
              <w:rPr>
                <w:rFonts w:ascii="Arial Narrow" w:hAnsi="Arial Narrow" w:cs="Arial"/>
                <w:sz w:val="20"/>
                <w:szCs w:val="20"/>
              </w:rPr>
              <w:t>480 mg</w:t>
            </w:r>
          </w:p>
        </w:tc>
        <w:tc>
          <w:tcPr>
            <w:tcW w:w="1134" w:type="dxa"/>
            <w:tcBorders>
              <w:bottom w:val="single" w:sz="4" w:space="0" w:color="auto"/>
            </w:tcBorders>
          </w:tcPr>
          <w:p w:rsidR="003326BA" w:rsidRPr="00534C5B" w:rsidRDefault="003326BA" w:rsidP="003326BA">
            <w:pPr>
              <w:keepNext/>
              <w:ind w:left="-108"/>
              <w:jc w:val="center"/>
              <w:rPr>
                <w:rFonts w:ascii="Arial Narrow" w:hAnsi="Arial Narrow" w:cs="Arial"/>
                <w:sz w:val="20"/>
                <w:szCs w:val="20"/>
              </w:rPr>
            </w:pPr>
          </w:p>
          <w:p w:rsidR="003326BA" w:rsidRPr="00534C5B" w:rsidRDefault="003326BA" w:rsidP="003326BA">
            <w:pPr>
              <w:keepNext/>
              <w:ind w:left="-108"/>
              <w:jc w:val="center"/>
              <w:rPr>
                <w:rFonts w:ascii="Arial Narrow" w:hAnsi="Arial Narrow" w:cs="Arial"/>
                <w:sz w:val="20"/>
                <w:szCs w:val="20"/>
              </w:rPr>
            </w:pPr>
            <w:r w:rsidRPr="00534C5B">
              <w:rPr>
                <w:rFonts w:ascii="Arial Narrow" w:hAnsi="Arial Narrow" w:cs="Arial"/>
                <w:sz w:val="20"/>
                <w:szCs w:val="20"/>
              </w:rPr>
              <w:t>11</w:t>
            </w:r>
          </w:p>
        </w:tc>
        <w:tc>
          <w:tcPr>
            <w:tcW w:w="1701" w:type="dxa"/>
            <w:tcBorders>
              <w:bottom w:val="single" w:sz="4" w:space="0" w:color="auto"/>
            </w:tcBorders>
          </w:tcPr>
          <w:p w:rsidR="003326BA" w:rsidRPr="00534C5B" w:rsidRDefault="003326BA" w:rsidP="003326BA">
            <w:pPr>
              <w:keepNext/>
              <w:ind w:left="-108"/>
              <w:jc w:val="both"/>
              <w:rPr>
                <w:rFonts w:ascii="Arial Narrow" w:hAnsi="Arial Narrow" w:cs="Arial"/>
                <w:sz w:val="20"/>
                <w:szCs w:val="20"/>
              </w:rPr>
            </w:pPr>
            <w:r w:rsidRPr="00534C5B">
              <w:rPr>
                <w:rFonts w:ascii="Arial Narrow" w:hAnsi="Arial Narrow" w:cs="Arial"/>
                <w:sz w:val="20"/>
                <w:szCs w:val="20"/>
              </w:rPr>
              <w:t>Published</w:t>
            </w:r>
          </w:p>
          <w:p w:rsidR="003326BA" w:rsidRPr="00534C5B" w:rsidRDefault="003326BA" w:rsidP="003326BA">
            <w:pPr>
              <w:keepNext/>
              <w:ind w:left="-108"/>
              <w:jc w:val="both"/>
              <w:rPr>
                <w:rFonts w:ascii="Arial Narrow" w:hAnsi="Arial Narrow" w:cs="Arial"/>
                <w:sz w:val="20"/>
                <w:szCs w:val="20"/>
              </w:rPr>
            </w:pPr>
            <w:r w:rsidRPr="00534C5B">
              <w:rPr>
                <w:rFonts w:ascii="Arial Narrow" w:hAnsi="Arial Narrow" w:cs="Arial"/>
                <w:sz w:val="20"/>
                <w:szCs w:val="20"/>
              </w:rPr>
              <w:t>$10,053.46 (public)</w:t>
            </w:r>
          </w:p>
          <w:p w:rsidR="003326BA" w:rsidRPr="00534C5B" w:rsidRDefault="003326BA" w:rsidP="003326BA">
            <w:pPr>
              <w:keepNext/>
              <w:ind w:left="-108"/>
              <w:jc w:val="both"/>
              <w:rPr>
                <w:rFonts w:ascii="Arial Narrow" w:hAnsi="Arial Narrow" w:cs="Arial"/>
                <w:sz w:val="20"/>
                <w:szCs w:val="20"/>
              </w:rPr>
            </w:pPr>
            <w:r w:rsidRPr="00534C5B">
              <w:rPr>
                <w:rFonts w:ascii="Arial Narrow" w:hAnsi="Arial Narrow" w:cs="Arial"/>
                <w:sz w:val="20"/>
                <w:szCs w:val="20"/>
              </w:rPr>
              <w:t>$10,232.76 (private)</w:t>
            </w:r>
          </w:p>
          <w:p w:rsidR="003326BA" w:rsidRPr="00534C5B" w:rsidRDefault="003326BA" w:rsidP="003326BA">
            <w:pPr>
              <w:keepNext/>
              <w:ind w:left="-108"/>
              <w:jc w:val="both"/>
              <w:rPr>
                <w:rFonts w:ascii="Arial Narrow" w:hAnsi="Arial Narrow" w:cs="Arial"/>
                <w:sz w:val="20"/>
                <w:szCs w:val="20"/>
              </w:rPr>
            </w:pPr>
          </w:p>
          <w:p w:rsidR="003326BA" w:rsidRPr="00534C5B" w:rsidRDefault="003326BA" w:rsidP="003326BA">
            <w:pPr>
              <w:keepNext/>
              <w:ind w:left="-108"/>
              <w:jc w:val="both"/>
              <w:rPr>
                <w:rFonts w:ascii="Arial Narrow" w:hAnsi="Arial Narrow" w:cs="Arial"/>
                <w:sz w:val="20"/>
                <w:szCs w:val="20"/>
              </w:rPr>
            </w:pPr>
            <w:r w:rsidRPr="00534C5B">
              <w:rPr>
                <w:rFonts w:ascii="Arial Narrow" w:hAnsi="Arial Narrow" w:cs="Arial"/>
                <w:sz w:val="20"/>
                <w:szCs w:val="20"/>
              </w:rPr>
              <w:t>Effective</w:t>
            </w:r>
          </w:p>
          <w:p w:rsidR="003326BA" w:rsidRPr="00534C5B" w:rsidRDefault="003326BA" w:rsidP="003326BA">
            <w:pPr>
              <w:keepNext/>
              <w:ind w:left="-108"/>
              <w:jc w:val="both"/>
              <w:rPr>
                <w:rFonts w:ascii="Arial Narrow" w:hAnsi="Arial Narrow" w:cs="Arial"/>
                <w:sz w:val="20"/>
                <w:szCs w:val="20"/>
              </w:rPr>
            </w:pPr>
            <w:r w:rsidRPr="00534C5B">
              <w:rPr>
                <w:rFonts w:ascii="Arial Narrow" w:hAnsi="Arial Narrow" w:cs="Arial"/>
                <w:sz w:val="20"/>
                <w:szCs w:val="20"/>
              </w:rPr>
              <w:t>$ TBD (public)</w:t>
            </w:r>
          </w:p>
          <w:p w:rsidR="003326BA" w:rsidRPr="00534C5B" w:rsidRDefault="003326BA" w:rsidP="003326BA">
            <w:pPr>
              <w:keepNext/>
              <w:ind w:left="-108"/>
              <w:jc w:val="both"/>
              <w:rPr>
                <w:rFonts w:ascii="Arial Narrow" w:hAnsi="Arial Narrow" w:cs="Arial"/>
                <w:sz w:val="20"/>
                <w:szCs w:val="20"/>
              </w:rPr>
            </w:pPr>
            <w:r w:rsidRPr="00534C5B">
              <w:rPr>
                <w:rFonts w:ascii="Arial Narrow" w:hAnsi="Arial Narrow" w:cs="Arial"/>
                <w:sz w:val="20"/>
                <w:szCs w:val="20"/>
              </w:rPr>
              <w:t>$ TBD (private)</w:t>
            </w:r>
          </w:p>
        </w:tc>
        <w:tc>
          <w:tcPr>
            <w:tcW w:w="850" w:type="dxa"/>
            <w:tcBorders>
              <w:bottom w:val="single" w:sz="4" w:space="0" w:color="auto"/>
            </w:tcBorders>
            <w:tcMar>
              <w:left w:w="28" w:type="dxa"/>
              <w:right w:w="28" w:type="dxa"/>
            </w:tcMar>
          </w:tcPr>
          <w:p w:rsidR="003326BA" w:rsidRPr="00534C5B" w:rsidRDefault="003326BA" w:rsidP="003326BA">
            <w:pPr>
              <w:keepNext/>
              <w:jc w:val="both"/>
              <w:rPr>
                <w:rFonts w:ascii="Arial Narrow" w:hAnsi="Arial Narrow" w:cs="Arial"/>
                <w:sz w:val="20"/>
                <w:szCs w:val="20"/>
              </w:rPr>
            </w:pPr>
            <w:r w:rsidRPr="00534C5B">
              <w:rPr>
                <w:rFonts w:ascii="Arial Narrow" w:hAnsi="Arial Narrow" w:cs="Arial"/>
                <w:sz w:val="20"/>
                <w:szCs w:val="20"/>
              </w:rPr>
              <w:t>Opdivo</w:t>
            </w:r>
            <w:r w:rsidRPr="00534C5B">
              <w:rPr>
                <w:rFonts w:ascii="Arial Narrow" w:hAnsi="Arial Narrow" w:cs="Arial"/>
                <w:sz w:val="20"/>
                <w:szCs w:val="20"/>
                <w:vertAlign w:val="superscript"/>
              </w:rPr>
              <w:t>®</w:t>
            </w:r>
          </w:p>
        </w:tc>
        <w:tc>
          <w:tcPr>
            <w:tcW w:w="1559" w:type="dxa"/>
            <w:tcBorders>
              <w:bottom w:val="single" w:sz="4" w:space="0" w:color="auto"/>
            </w:tcBorders>
            <w:tcMar>
              <w:left w:w="28" w:type="dxa"/>
              <w:right w:w="28" w:type="dxa"/>
            </w:tcMar>
          </w:tcPr>
          <w:p w:rsidR="003326BA" w:rsidRPr="00534C5B" w:rsidRDefault="003326BA" w:rsidP="003326BA">
            <w:pPr>
              <w:keepNext/>
              <w:jc w:val="both"/>
              <w:rPr>
                <w:rFonts w:ascii="Arial Narrow" w:hAnsi="Arial Narrow" w:cs="Arial"/>
                <w:sz w:val="20"/>
                <w:szCs w:val="20"/>
              </w:rPr>
            </w:pPr>
            <w:r w:rsidRPr="00534C5B">
              <w:rPr>
                <w:rFonts w:ascii="Arial Narrow" w:hAnsi="Arial Narrow" w:cs="Arial"/>
                <w:sz w:val="20"/>
                <w:szCs w:val="20"/>
              </w:rPr>
              <w:t>Bristol-Myers Squibb</w:t>
            </w:r>
          </w:p>
        </w:tc>
      </w:tr>
    </w:tbl>
    <w:p w:rsidR="003326BA" w:rsidRPr="00534C5B" w:rsidRDefault="003326BA" w:rsidP="000126D9"/>
    <w:tbl>
      <w:tblPr>
        <w:tblW w:w="9067" w:type="dxa"/>
        <w:tblLayout w:type="fixed"/>
        <w:tblLook w:val="0000" w:firstRow="0" w:lastRow="0" w:firstColumn="0" w:lastColumn="0" w:noHBand="0" w:noVBand="0"/>
      </w:tblPr>
      <w:tblGrid>
        <w:gridCol w:w="1696"/>
        <w:gridCol w:w="7371"/>
      </w:tblGrid>
      <w:tr w:rsidR="003326BA" w:rsidRPr="00534C5B" w:rsidTr="003326BA">
        <w:trPr>
          <w:cantSplit/>
          <w:trHeight w:val="60"/>
        </w:trPr>
        <w:tc>
          <w:tcPr>
            <w:tcW w:w="1696" w:type="dxa"/>
            <w:tcBorders>
              <w:top w:val="single" w:sz="4" w:space="0" w:color="auto"/>
              <w:left w:val="single" w:sz="4" w:space="0" w:color="auto"/>
              <w:bottom w:val="single" w:sz="4" w:space="0" w:color="auto"/>
              <w:right w:val="single" w:sz="4" w:space="0" w:color="auto"/>
            </w:tcBorders>
            <w:tcMar>
              <w:left w:w="28" w:type="dxa"/>
              <w:right w:w="28" w:type="dxa"/>
            </w:tcMar>
          </w:tcPr>
          <w:p w:rsidR="003326BA" w:rsidRPr="00534C5B" w:rsidRDefault="003326BA" w:rsidP="003326BA">
            <w:pPr>
              <w:pStyle w:val="Tabletext"/>
              <w:spacing w:after="0"/>
              <w:rPr>
                <w:rFonts w:ascii="Arial Narrow" w:eastAsia="Calibri" w:hAnsi="Arial Narrow"/>
                <w:b/>
              </w:rPr>
            </w:pPr>
            <w:r w:rsidRPr="00534C5B">
              <w:rPr>
                <w:rFonts w:ascii="Arial Narrow" w:eastAsia="Calibri" w:hAnsi="Arial Narrow"/>
                <w:b/>
              </w:rPr>
              <w:t>Category/Program:</w:t>
            </w:r>
          </w:p>
        </w:tc>
        <w:tc>
          <w:tcPr>
            <w:tcW w:w="7371" w:type="dxa"/>
            <w:tcBorders>
              <w:top w:val="single" w:sz="4" w:space="0" w:color="auto"/>
              <w:left w:val="single" w:sz="4" w:space="0" w:color="auto"/>
              <w:bottom w:val="single" w:sz="4" w:space="0" w:color="auto"/>
              <w:right w:val="single" w:sz="4" w:space="0" w:color="auto"/>
            </w:tcBorders>
            <w:tcMar>
              <w:left w:w="28" w:type="dxa"/>
              <w:right w:w="28" w:type="dxa"/>
            </w:tcMar>
          </w:tcPr>
          <w:p w:rsidR="003326BA" w:rsidRPr="00534C5B" w:rsidRDefault="003326BA" w:rsidP="003326BA">
            <w:pPr>
              <w:pStyle w:val="Tabletext"/>
              <w:spacing w:after="0"/>
              <w:rPr>
                <w:rFonts w:ascii="Arial Narrow" w:eastAsia="Calibri" w:hAnsi="Arial Narrow"/>
              </w:rPr>
            </w:pPr>
            <w:r w:rsidRPr="00534C5B">
              <w:rPr>
                <w:rFonts w:ascii="Arial Narrow" w:eastAsia="Calibri" w:hAnsi="Arial Narrow"/>
              </w:rPr>
              <w:t>Section 100 Efficient Funding of Chemotherapy</w:t>
            </w:r>
          </w:p>
        </w:tc>
      </w:tr>
      <w:tr w:rsidR="003326BA" w:rsidRPr="00534C5B" w:rsidTr="003326BA">
        <w:trPr>
          <w:cantSplit/>
          <w:trHeight w:val="127"/>
        </w:trPr>
        <w:tc>
          <w:tcPr>
            <w:tcW w:w="1696" w:type="dxa"/>
            <w:tcBorders>
              <w:top w:val="single" w:sz="4" w:space="0" w:color="auto"/>
              <w:left w:val="single" w:sz="4" w:space="0" w:color="auto"/>
              <w:bottom w:val="single" w:sz="4" w:space="0" w:color="auto"/>
              <w:right w:val="single" w:sz="4" w:space="0" w:color="auto"/>
            </w:tcBorders>
            <w:tcMar>
              <w:left w:w="28" w:type="dxa"/>
              <w:right w:w="28" w:type="dxa"/>
            </w:tcMar>
          </w:tcPr>
          <w:p w:rsidR="003326BA" w:rsidRPr="00534C5B" w:rsidRDefault="003326BA" w:rsidP="003326BA">
            <w:pPr>
              <w:pStyle w:val="Tabletext"/>
              <w:spacing w:after="0"/>
              <w:rPr>
                <w:rFonts w:ascii="Arial Narrow" w:eastAsia="Calibri" w:hAnsi="Arial Narrow"/>
                <w:b/>
              </w:rPr>
            </w:pPr>
            <w:r w:rsidRPr="00534C5B">
              <w:rPr>
                <w:rFonts w:ascii="Arial Narrow" w:eastAsia="Calibri" w:hAnsi="Arial Narrow"/>
                <w:b/>
              </w:rPr>
              <w:t>Prescriber type:</w:t>
            </w:r>
          </w:p>
        </w:tc>
        <w:tc>
          <w:tcPr>
            <w:tcW w:w="7371" w:type="dxa"/>
            <w:tcBorders>
              <w:top w:val="single" w:sz="4" w:space="0" w:color="auto"/>
              <w:left w:val="single" w:sz="4" w:space="0" w:color="auto"/>
              <w:bottom w:val="single" w:sz="4" w:space="0" w:color="auto"/>
              <w:right w:val="single" w:sz="4" w:space="0" w:color="auto"/>
            </w:tcBorders>
            <w:tcMar>
              <w:left w:w="28" w:type="dxa"/>
              <w:right w:w="28" w:type="dxa"/>
            </w:tcMar>
          </w:tcPr>
          <w:p w:rsidR="003326BA" w:rsidRPr="00534C5B" w:rsidRDefault="003326BA" w:rsidP="003326BA">
            <w:pPr>
              <w:pStyle w:val="Tabletext"/>
              <w:spacing w:after="0"/>
              <w:rPr>
                <w:rFonts w:ascii="Arial Narrow" w:eastAsia="Calibri" w:hAnsi="Arial Narrow"/>
              </w:rPr>
            </w:pPr>
            <w:r w:rsidRPr="00534C5B">
              <w:rPr>
                <w:rFonts w:ascii="Arial Narrow" w:eastAsia="Calibri" w:hAnsi="Arial Narrow"/>
              </w:rPr>
              <w:fldChar w:fldCharType="begin">
                <w:ffData>
                  <w:name w:val="Check1"/>
                  <w:enabled/>
                  <w:calcOnExit w:val="0"/>
                  <w:checkBox>
                    <w:sizeAuto/>
                    <w:default w:val="0"/>
                  </w:checkBox>
                </w:ffData>
              </w:fldChar>
            </w:r>
            <w:r w:rsidRPr="00534C5B">
              <w:rPr>
                <w:rFonts w:ascii="Arial Narrow" w:eastAsia="Calibri" w:hAnsi="Arial Narrow"/>
              </w:rPr>
              <w:instrText xml:space="preserve"> FORMCHECKBOX </w:instrText>
            </w:r>
            <w:r w:rsidR="00653477">
              <w:rPr>
                <w:rFonts w:ascii="Arial Narrow" w:eastAsia="Calibri" w:hAnsi="Arial Narrow"/>
              </w:rPr>
            </w:r>
            <w:r w:rsidR="00653477">
              <w:rPr>
                <w:rFonts w:ascii="Arial Narrow" w:eastAsia="Calibri" w:hAnsi="Arial Narrow"/>
              </w:rPr>
              <w:fldChar w:fldCharType="separate"/>
            </w:r>
            <w:r w:rsidRPr="00534C5B">
              <w:rPr>
                <w:rFonts w:ascii="Arial Narrow" w:eastAsia="Calibri" w:hAnsi="Arial Narrow"/>
              </w:rPr>
              <w:fldChar w:fldCharType="end"/>
            </w:r>
            <w:r w:rsidRPr="00534C5B">
              <w:rPr>
                <w:rFonts w:ascii="Arial Narrow" w:eastAsia="Calibri" w:hAnsi="Arial Narrow"/>
              </w:rPr>
              <w:t xml:space="preserve">Dental </w:t>
            </w:r>
            <w:r w:rsidRPr="00534C5B">
              <w:rPr>
                <w:rFonts w:ascii="Arial Narrow" w:eastAsia="Calibri" w:hAnsi="Arial Narrow"/>
              </w:rPr>
              <w:fldChar w:fldCharType="begin">
                <w:ffData>
                  <w:name w:val=""/>
                  <w:enabled/>
                  <w:calcOnExit w:val="0"/>
                  <w:checkBox>
                    <w:sizeAuto/>
                    <w:default w:val="1"/>
                  </w:checkBox>
                </w:ffData>
              </w:fldChar>
            </w:r>
            <w:r w:rsidRPr="00534C5B">
              <w:rPr>
                <w:rFonts w:ascii="Arial Narrow" w:eastAsia="Calibri" w:hAnsi="Arial Narrow"/>
              </w:rPr>
              <w:instrText xml:space="preserve"> FORMCHECKBOX </w:instrText>
            </w:r>
            <w:r w:rsidR="00653477">
              <w:rPr>
                <w:rFonts w:ascii="Arial Narrow" w:eastAsia="Calibri" w:hAnsi="Arial Narrow"/>
              </w:rPr>
            </w:r>
            <w:r w:rsidR="00653477">
              <w:rPr>
                <w:rFonts w:ascii="Arial Narrow" w:eastAsia="Calibri" w:hAnsi="Arial Narrow"/>
              </w:rPr>
              <w:fldChar w:fldCharType="separate"/>
            </w:r>
            <w:r w:rsidRPr="00534C5B">
              <w:rPr>
                <w:rFonts w:ascii="Arial Narrow" w:eastAsia="Calibri" w:hAnsi="Arial Narrow"/>
              </w:rPr>
              <w:fldChar w:fldCharType="end"/>
            </w:r>
            <w:r w:rsidRPr="00534C5B">
              <w:rPr>
                <w:rFonts w:ascii="Arial Narrow" w:eastAsia="Calibri" w:hAnsi="Arial Narrow"/>
              </w:rPr>
              <w:t xml:space="preserve">Medical Practitioners </w:t>
            </w:r>
            <w:r w:rsidRPr="00534C5B">
              <w:rPr>
                <w:rFonts w:ascii="Arial Narrow" w:eastAsia="Calibri" w:hAnsi="Arial Narrow"/>
              </w:rPr>
              <w:fldChar w:fldCharType="begin">
                <w:ffData>
                  <w:name w:val="Check3"/>
                  <w:enabled/>
                  <w:calcOnExit w:val="0"/>
                  <w:checkBox>
                    <w:sizeAuto/>
                    <w:default w:val="0"/>
                  </w:checkBox>
                </w:ffData>
              </w:fldChar>
            </w:r>
            <w:r w:rsidRPr="00534C5B">
              <w:rPr>
                <w:rFonts w:ascii="Arial Narrow" w:eastAsia="Calibri" w:hAnsi="Arial Narrow"/>
              </w:rPr>
              <w:instrText xml:space="preserve"> FORMCHECKBOX </w:instrText>
            </w:r>
            <w:r w:rsidR="00653477">
              <w:rPr>
                <w:rFonts w:ascii="Arial Narrow" w:eastAsia="Calibri" w:hAnsi="Arial Narrow"/>
              </w:rPr>
            </w:r>
            <w:r w:rsidR="00653477">
              <w:rPr>
                <w:rFonts w:ascii="Arial Narrow" w:eastAsia="Calibri" w:hAnsi="Arial Narrow"/>
              </w:rPr>
              <w:fldChar w:fldCharType="separate"/>
            </w:r>
            <w:r w:rsidRPr="00534C5B">
              <w:rPr>
                <w:rFonts w:ascii="Arial Narrow" w:eastAsia="Calibri" w:hAnsi="Arial Narrow"/>
              </w:rPr>
              <w:fldChar w:fldCharType="end"/>
            </w:r>
            <w:r w:rsidRPr="00534C5B">
              <w:rPr>
                <w:rFonts w:ascii="Arial Narrow" w:eastAsia="Calibri" w:hAnsi="Arial Narrow"/>
              </w:rPr>
              <w:t xml:space="preserve">Nurse practitioners  </w:t>
            </w:r>
            <w:r w:rsidRPr="00534C5B">
              <w:rPr>
                <w:rFonts w:ascii="Arial Narrow" w:eastAsia="Calibri" w:hAnsi="Arial Narrow"/>
              </w:rPr>
              <w:fldChar w:fldCharType="begin">
                <w:ffData>
                  <w:name w:val=""/>
                  <w:enabled/>
                  <w:calcOnExit w:val="0"/>
                  <w:checkBox>
                    <w:sizeAuto/>
                    <w:default w:val="0"/>
                  </w:checkBox>
                </w:ffData>
              </w:fldChar>
            </w:r>
            <w:r w:rsidRPr="00534C5B">
              <w:rPr>
                <w:rFonts w:ascii="Arial Narrow" w:eastAsia="Calibri" w:hAnsi="Arial Narrow"/>
              </w:rPr>
              <w:instrText xml:space="preserve"> FORMCHECKBOX </w:instrText>
            </w:r>
            <w:r w:rsidR="00653477">
              <w:rPr>
                <w:rFonts w:ascii="Arial Narrow" w:eastAsia="Calibri" w:hAnsi="Arial Narrow"/>
              </w:rPr>
            </w:r>
            <w:r w:rsidR="00653477">
              <w:rPr>
                <w:rFonts w:ascii="Arial Narrow" w:eastAsia="Calibri" w:hAnsi="Arial Narrow"/>
              </w:rPr>
              <w:fldChar w:fldCharType="separate"/>
            </w:r>
            <w:r w:rsidRPr="00534C5B">
              <w:rPr>
                <w:rFonts w:ascii="Arial Narrow" w:eastAsia="Calibri" w:hAnsi="Arial Narrow"/>
              </w:rPr>
              <w:fldChar w:fldCharType="end"/>
            </w:r>
            <w:r w:rsidRPr="00534C5B">
              <w:rPr>
                <w:rFonts w:ascii="Arial Narrow" w:eastAsia="Calibri" w:hAnsi="Arial Narrow"/>
              </w:rPr>
              <w:t xml:space="preserve">Optometrists </w:t>
            </w:r>
            <w:r w:rsidRPr="00534C5B">
              <w:rPr>
                <w:rFonts w:ascii="Arial Narrow" w:eastAsia="Calibri" w:hAnsi="Arial Narrow"/>
              </w:rPr>
              <w:fldChar w:fldCharType="begin">
                <w:ffData>
                  <w:name w:val="Check5"/>
                  <w:enabled/>
                  <w:calcOnExit w:val="0"/>
                  <w:checkBox>
                    <w:sizeAuto/>
                    <w:default w:val="0"/>
                  </w:checkBox>
                </w:ffData>
              </w:fldChar>
            </w:r>
            <w:r w:rsidRPr="00534C5B">
              <w:rPr>
                <w:rFonts w:ascii="Arial Narrow" w:eastAsia="Calibri" w:hAnsi="Arial Narrow"/>
              </w:rPr>
              <w:instrText xml:space="preserve"> FORMCHECKBOX </w:instrText>
            </w:r>
            <w:r w:rsidR="00653477">
              <w:rPr>
                <w:rFonts w:ascii="Arial Narrow" w:eastAsia="Calibri" w:hAnsi="Arial Narrow"/>
              </w:rPr>
            </w:r>
            <w:r w:rsidR="00653477">
              <w:rPr>
                <w:rFonts w:ascii="Arial Narrow" w:eastAsia="Calibri" w:hAnsi="Arial Narrow"/>
              </w:rPr>
              <w:fldChar w:fldCharType="separate"/>
            </w:r>
            <w:r w:rsidRPr="00534C5B">
              <w:rPr>
                <w:rFonts w:ascii="Arial Narrow" w:eastAsia="Calibri" w:hAnsi="Arial Narrow"/>
              </w:rPr>
              <w:fldChar w:fldCharType="end"/>
            </w:r>
            <w:r w:rsidRPr="00534C5B">
              <w:rPr>
                <w:rFonts w:ascii="Arial Narrow" w:eastAsia="Calibri" w:hAnsi="Arial Narrow"/>
              </w:rPr>
              <w:t>Midwives</w:t>
            </w:r>
          </w:p>
        </w:tc>
      </w:tr>
      <w:tr w:rsidR="003326BA" w:rsidRPr="00534C5B" w:rsidTr="003326BA">
        <w:trPr>
          <w:cantSplit/>
          <w:trHeight w:val="173"/>
        </w:trPr>
        <w:tc>
          <w:tcPr>
            <w:tcW w:w="1696" w:type="dxa"/>
            <w:tcBorders>
              <w:top w:val="single" w:sz="4" w:space="0" w:color="auto"/>
              <w:left w:val="single" w:sz="4" w:space="0" w:color="auto"/>
              <w:bottom w:val="single" w:sz="4" w:space="0" w:color="auto"/>
              <w:right w:val="single" w:sz="4" w:space="0" w:color="auto"/>
            </w:tcBorders>
            <w:tcMar>
              <w:left w:w="28" w:type="dxa"/>
              <w:right w:w="28" w:type="dxa"/>
            </w:tcMar>
          </w:tcPr>
          <w:p w:rsidR="003326BA" w:rsidRPr="00534C5B" w:rsidRDefault="003326BA" w:rsidP="003326BA">
            <w:pPr>
              <w:pStyle w:val="Tabletext"/>
              <w:spacing w:after="0"/>
              <w:rPr>
                <w:rFonts w:ascii="Arial Narrow" w:eastAsia="Calibri" w:hAnsi="Arial Narrow"/>
                <w:b/>
                <w:i/>
              </w:rPr>
            </w:pPr>
            <w:r w:rsidRPr="00534C5B">
              <w:rPr>
                <w:rFonts w:ascii="Arial Narrow" w:eastAsia="Calibri" w:hAnsi="Arial Narrow"/>
                <w:b/>
              </w:rPr>
              <w:t>Severity</w:t>
            </w:r>
            <w:r w:rsidRPr="00534C5B">
              <w:rPr>
                <w:rFonts w:ascii="Arial Narrow" w:eastAsia="Calibri" w:hAnsi="Arial Narrow"/>
                <w:b/>
                <w:i/>
              </w:rPr>
              <w:t>:</w:t>
            </w:r>
          </w:p>
        </w:tc>
        <w:tc>
          <w:tcPr>
            <w:tcW w:w="7371" w:type="dxa"/>
            <w:tcBorders>
              <w:top w:val="single" w:sz="4" w:space="0" w:color="auto"/>
              <w:left w:val="single" w:sz="4" w:space="0" w:color="auto"/>
              <w:bottom w:val="single" w:sz="4" w:space="0" w:color="auto"/>
              <w:right w:val="single" w:sz="4" w:space="0" w:color="auto"/>
            </w:tcBorders>
            <w:tcMar>
              <w:left w:w="28" w:type="dxa"/>
              <w:right w:w="28" w:type="dxa"/>
            </w:tcMar>
          </w:tcPr>
          <w:p w:rsidR="003326BA" w:rsidRPr="00534C5B" w:rsidRDefault="003326BA" w:rsidP="003326BA">
            <w:pPr>
              <w:pStyle w:val="Tabletext"/>
              <w:spacing w:after="0"/>
              <w:rPr>
                <w:rFonts w:ascii="Arial Narrow" w:eastAsia="Calibri" w:hAnsi="Arial Narrow"/>
              </w:rPr>
            </w:pPr>
            <w:r w:rsidRPr="00534C5B">
              <w:rPr>
                <w:rFonts w:ascii="Arial Narrow" w:eastAsia="Calibri" w:hAnsi="Arial Narrow"/>
              </w:rPr>
              <w:t xml:space="preserve">Resected Stage IIIB, IIIC, IIID or Stage IV </w:t>
            </w:r>
          </w:p>
        </w:tc>
      </w:tr>
      <w:tr w:rsidR="003326BA" w:rsidRPr="00534C5B" w:rsidTr="003326BA">
        <w:trPr>
          <w:cantSplit/>
          <w:trHeight w:val="173"/>
        </w:trPr>
        <w:tc>
          <w:tcPr>
            <w:tcW w:w="1696" w:type="dxa"/>
            <w:tcBorders>
              <w:top w:val="single" w:sz="4" w:space="0" w:color="auto"/>
              <w:left w:val="single" w:sz="4" w:space="0" w:color="auto"/>
              <w:bottom w:val="single" w:sz="4" w:space="0" w:color="auto"/>
              <w:right w:val="single" w:sz="4" w:space="0" w:color="auto"/>
            </w:tcBorders>
            <w:tcMar>
              <w:left w:w="28" w:type="dxa"/>
              <w:right w:w="28" w:type="dxa"/>
            </w:tcMar>
          </w:tcPr>
          <w:p w:rsidR="003326BA" w:rsidRPr="00534C5B" w:rsidRDefault="003326BA" w:rsidP="003326BA">
            <w:pPr>
              <w:pStyle w:val="Tabletext"/>
              <w:spacing w:after="0"/>
              <w:rPr>
                <w:rFonts w:ascii="Arial Narrow" w:eastAsia="Calibri" w:hAnsi="Arial Narrow"/>
                <w:b/>
              </w:rPr>
            </w:pPr>
            <w:r w:rsidRPr="00534C5B">
              <w:rPr>
                <w:rFonts w:ascii="Arial Narrow" w:eastAsia="Calibri" w:hAnsi="Arial Narrow"/>
                <w:b/>
              </w:rPr>
              <w:t>Condition:</w:t>
            </w:r>
          </w:p>
        </w:tc>
        <w:tc>
          <w:tcPr>
            <w:tcW w:w="7371" w:type="dxa"/>
            <w:tcBorders>
              <w:top w:val="single" w:sz="4" w:space="0" w:color="auto"/>
              <w:left w:val="single" w:sz="4" w:space="0" w:color="auto"/>
              <w:bottom w:val="single" w:sz="4" w:space="0" w:color="auto"/>
              <w:right w:val="single" w:sz="4" w:space="0" w:color="auto"/>
            </w:tcBorders>
            <w:tcMar>
              <w:left w:w="28" w:type="dxa"/>
              <w:right w:w="28" w:type="dxa"/>
            </w:tcMar>
          </w:tcPr>
          <w:p w:rsidR="003326BA" w:rsidRPr="00534C5B" w:rsidRDefault="003326BA" w:rsidP="003326BA">
            <w:pPr>
              <w:pStyle w:val="Tabletext"/>
              <w:spacing w:after="0"/>
              <w:rPr>
                <w:rFonts w:ascii="Arial Narrow" w:eastAsia="Calibri" w:hAnsi="Arial Narrow"/>
              </w:rPr>
            </w:pPr>
            <w:r w:rsidRPr="00534C5B">
              <w:rPr>
                <w:rFonts w:ascii="Arial Narrow" w:eastAsia="Calibri" w:hAnsi="Arial Narrow"/>
              </w:rPr>
              <w:t>Malignant melanoma</w:t>
            </w:r>
          </w:p>
        </w:tc>
      </w:tr>
      <w:tr w:rsidR="003326BA" w:rsidRPr="00534C5B" w:rsidTr="003326BA">
        <w:trPr>
          <w:cantSplit/>
          <w:trHeight w:val="143"/>
        </w:trPr>
        <w:tc>
          <w:tcPr>
            <w:tcW w:w="1696" w:type="dxa"/>
            <w:tcBorders>
              <w:top w:val="single" w:sz="4" w:space="0" w:color="auto"/>
              <w:left w:val="single" w:sz="4" w:space="0" w:color="auto"/>
              <w:bottom w:val="single" w:sz="4" w:space="0" w:color="auto"/>
              <w:right w:val="single" w:sz="4" w:space="0" w:color="auto"/>
            </w:tcBorders>
            <w:tcMar>
              <w:left w:w="28" w:type="dxa"/>
              <w:right w:w="28" w:type="dxa"/>
            </w:tcMar>
          </w:tcPr>
          <w:p w:rsidR="003326BA" w:rsidRPr="00534C5B" w:rsidRDefault="003326BA" w:rsidP="003326BA">
            <w:pPr>
              <w:pStyle w:val="Tabletext"/>
              <w:spacing w:after="0"/>
              <w:rPr>
                <w:rFonts w:ascii="Arial Narrow" w:eastAsia="Calibri" w:hAnsi="Arial Narrow"/>
                <w:b/>
              </w:rPr>
            </w:pPr>
            <w:r w:rsidRPr="00534C5B">
              <w:rPr>
                <w:rFonts w:ascii="Arial Narrow" w:eastAsia="Calibri" w:hAnsi="Arial Narrow"/>
                <w:b/>
              </w:rPr>
              <w:t>PBS indication:</w:t>
            </w:r>
          </w:p>
        </w:tc>
        <w:tc>
          <w:tcPr>
            <w:tcW w:w="7371" w:type="dxa"/>
            <w:tcBorders>
              <w:top w:val="single" w:sz="4" w:space="0" w:color="auto"/>
              <w:left w:val="single" w:sz="4" w:space="0" w:color="auto"/>
              <w:bottom w:val="single" w:sz="4" w:space="0" w:color="auto"/>
              <w:right w:val="single" w:sz="4" w:space="0" w:color="auto"/>
            </w:tcBorders>
            <w:tcMar>
              <w:left w:w="28" w:type="dxa"/>
              <w:right w:w="28" w:type="dxa"/>
            </w:tcMar>
          </w:tcPr>
          <w:p w:rsidR="003326BA" w:rsidRPr="00534C5B" w:rsidRDefault="003326BA" w:rsidP="003326BA">
            <w:pPr>
              <w:pStyle w:val="Tabletext"/>
              <w:spacing w:after="0"/>
              <w:rPr>
                <w:rFonts w:ascii="Arial Narrow" w:eastAsia="Calibri" w:hAnsi="Arial Narrow"/>
              </w:rPr>
            </w:pPr>
            <w:r w:rsidRPr="00534C5B">
              <w:rPr>
                <w:rFonts w:ascii="Arial Narrow" w:eastAsia="Calibri" w:hAnsi="Arial Narrow"/>
              </w:rPr>
              <w:t>Resected Stage IIIB, IIIC, IIID or Stage IV malignant melanoma</w:t>
            </w:r>
          </w:p>
        </w:tc>
      </w:tr>
      <w:tr w:rsidR="003326BA" w:rsidRPr="00534C5B" w:rsidTr="003326BA">
        <w:trPr>
          <w:cantSplit/>
          <w:trHeight w:val="169"/>
        </w:trPr>
        <w:tc>
          <w:tcPr>
            <w:tcW w:w="1696" w:type="dxa"/>
            <w:tcBorders>
              <w:top w:val="single" w:sz="4" w:space="0" w:color="auto"/>
              <w:left w:val="single" w:sz="4" w:space="0" w:color="auto"/>
              <w:bottom w:val="single" w:sz="4" w:space="0" w:color="auto"/>
              <w:right w:val="single" w:sz="4" w:space="0" w:color="auto"/>
            </w:tcBorders>
            <w:tcMar>
              <w:left w:w="28" w:type="dxa"/>
              <w:right w:w="28" w:type="dxa"/>
            </w:tcMar>
          </w:tcPr>
          <w:p w:rsidR="003326BA" w:rsidRPr="00534C5B" w:rsidRDefault="003326BA" w:rsidP="003326BA">
            <w:pPr>
              <w:pStyle w:val="Tabletext"/>
              <w:spacing w:after="0"/>
              <w:rPr>
                <w:rFonts w:ascii="Arial Narrow" w:eastAsia="Calibri" w:hAnsi="Arial Narrow"/>
                <w:b/>
              </w:rPr>
            </w:pPr>
            <w:r w:rsidRPr="00534C5B">
              <w:rPr>
                <w:rFonts w:ascii="Arial Narrow" w:eastAsia="Calibri" w:hAnsi="Arial Narrow"/>
                <w:b/>
              </w:rPr>
              <w:t>Restriction level:</w:t>
            </w:r>
          </w:p>
        </w:tc>
        <w:tc>
          <w:tcPr>
            <w:tcW w:w="7371" w:type="dxa"/>
            <w:tcBorders>
              <w:top w:val="single" w:sz="4" w:space="0" w:color="auto"/>
              <w:left w:val="single" w:sz="4" w:space="0" w:color="auto"/>
              <w:bottom w:val="single" w:sz="4" w:space="0" w:color="auto"/>
              <w:right w:val="single" w:sz="4" w:space="0" w:color="auto"/>
            </w:tcBorders>
            <w:tcMar>
              <w:left w:w="28" w:type="dxa"/>
              <w:right w:w="28" w:type="dxa"/>
            </w:tcMar>
          </w:tcPr>
          <w:p w:rsidR="003326BA" w:rsidRPr="00534C5B" w:rsidRDefault="003326BA" w:rsidP="003326BA">
            <w:pPr>
              <w:pStyle w:val="Tabletext"/>
              <w:spacing w:after="0"/>
              <w:rPr>
                <w:rFonts w:ascii="Arial Narrow" w:eastAsia="Calibri" w:hAnsi="Arial Narrow"/>
              </w:rPr>
            </w:pPr>
            <w:r w:rsidRPr="00534C5B">
              <w:rPr>
                <w:rFonts w:ascii="Arial Narrow" w:hAnsi="Arial Narrow"/>
              </w:rPr>
              <w:fldChar w:fldCharType="begin">
                <w:ffData>
                  <w:name w:val="Check5"/>
                  <w:enabled/>
                  <w:calcOnExit w:val="0"/>
                  <w:checkBox>
                    <w:sizeAuto/>
                    <w:default w:val="1"/>
                  </w:checkBox>
                </w:ffData>
              </w:fldChar>
            </w:r>
            <w:r w:rsidRPr="00534C5B">
              <w:rPr>
                <w:rFonts w:ascii="Arial Narrow" w:hAnsi="Arial Narrow"/>
              </w:rPr>
              <w:instrText xml:space="preserve"> FORMCHECKBOX </w:instrText>
            </w:r>
            <w:r w:rsidR="00653477">
              <w:rPr>
                <w:rFonts w:ascii="Arial Narrow" w:hAnsi="Arial Narrow"/>
              </w:rPr>
            </w:r>
            <w:r w:rsidR="00653477">
              <w:rPr>
                <w:rFonts w:ascii="Arial Narrow" w:hAnsi="Arial Narrow"/>
              </w:rPr>
              <w:fldChar w:fldCharType="separate"/>
            </w:r>
            <w:r w:rsidRPr="00534C5B">
              <w:rPr>
                <w:rFonts w:ascii="Arial Narrow" w:hAnsi="Arial Narrow"/>
              </w:rPr>
              <w:fldChar w:fldCharType="end"/>
            </w:r>
            <w:r w:rsidRPr="00534C5B">
              <w:rPr>
                <w:rFonts w:ascii="Arial Narrow" w:hAnsi="Arial Narrow"/>
              </w:rPr>
              <w:t xml:space="preserve"> Authority Required (Telephone)</w:t>
            </w:r>
          </w:p>
        </w:tc>
      </w:tr>
      <w:tr w:rsidR="003326BA" w:rsidRPr="00534C5B" w:rsidTr="003326BA">
        <w:trPr>
          <w:cantSplit/>
          <w:trHeight w:val="1493"/>
        </w:trPr>
        <w:tc>
          <w:tcPr>
            <w:tcW w:w="1696" w:type="dxa"/>
            <w:tcBorders>
              <w:top w:val="single" w:sz="4" w:space="0" w:color="auto"/>
              <w:left w:val="single" w:sz="4" w:space="0" w:color="auto"/>
              <w:bottom w:val="single" w:sz="4" w:space="0" w:color="auto"/>
              <w:right w:val="single" w:sz="4" w:space="0" w:color="auto"/>
            </w:tcBorders>
            <w:tcMar>
              <w:left w:w="28" w:type="dxa"/>
              <w:right w:w="28" w:type="dxa"/>
            </w:tcMar>
          </w:tcPr>
          <w:p w:rsidR="003326BA" w:rsidRPr="00534C5B" w:rsidRDefault="003326BA" w:rsidP="003326BA">
            <w:pPr>
              <w:pStyle w:val="Tabletext"/>
              <w:spacing w:after="0"/>
              <w:rPr>
                <w:rFonts w:ascii="Arial Narrow" w:eastAsia="Calibri" w:hAnsi="Arial Narrow"/>
                <w:b/>
              </w:rPr>
            </w:pPr>
            <w:r w:rsidRPr="00534C5B">
              <w:rPr>
                <w:rFonts w:ascii="Arial Narrow" w:eastAsia="Calibri" w:hAnsi="Arial Narrow"/>
                <w:b/>
              </w:rPr>
              <w:lastRenderedPageBreak/>
              <w:t>Clinical criteria:</w:t>
            </w:r>
          </w:p>
          <w:p w:rsidR="003326BA" w:rsidRPr="00534C5B" w:rsidRDefault="003326BA" w:rsidP="003326BA">
            <w:pPr>
              <w:pStyle w:val="Tabletext"/>
              <w:spacing w:after="0"/>
              <w:rPr>
                <w:rFonts w:ascii="Arial Narrow" w:eastAsia="Calibri" w:hAnsi="Arial Narrow"/>
                <w:b/>
              </w:rPr>
            </w:pPr>
          </w:p>
        </w:tc>
        <w:tc>
          <w:tcPr>
            <w:tcW w:w="7371" w:type="dxa"/>
            <w:tcBorders>
              <w:top w:val="single" w:sz="4" w:space="0" w:color="auto"/>
              <w:left w:val="single" w:sz="4" w:space="0" w:color="auto"/>
              <w:bottom w:val="single" w:sz="4" w:space="0" w:color="auto"/>
              <w:right w:val="single" w:sz="4" w:space="0" w:color="auto"/>
            </w:tcBorders>
            <w:tcMar>
              <w:left w:w="28" w:type="dxa"/>
              <w:right w:w="28" w:type="dxa"/>
            </w:tcMar>
          </w:tcPr>
          <w:p w:rsidR="003326BA" w:rsidRPr="00534C5B" w:rsidRDefault="003326BA" w:rsidP="003326BA">
            <w:pPr>
              <w:pStyle w:val="Tabletext"/>
              <w:spacing w:after="0"/>
              <w:rPr>
                <w:rFonts w:ascii="Arial Narrow" w:hAnsi="Arial Narrow"/>
              </w:rPr>
            </w:pPr>
            <w:r w:rsidRPr="00534C5B">
              <w:rPr>
                <w:rFonts w:ascii="Arial Narrow" w:hAnsi="Arial Narrow"/>
              </w:rPr>
              <w:t xml:space="preserve">The treatment must be adjuvant to complete surgical resection; </w:t>
            </w:r>
          </w:p>
          <w:p w:rsidR="003326BA" w:rsidRPr="00534C5B" w:rsidRDefault="003326BA" w:rsidP="003326BA">
            <w:pPr>
              <w:pStyle w:val="Tabletext"/>
              <w:spacing w:after="0"/>
              <w:rPr>
                <w:rFonts w:ascii="Arial Narrow" w:hAnsi="Arial Narrow"/>
              </w:rPr>
            </w:pPr>
            <w:r w:rsidRPr="00534C5B">
              <w:rPr>
                <w:rFonts w:ascii="Arial Narrow" w:hAnsi="Arial Narrow"/>
              </w:rPr>
              <w:t>AND</w:t>
            </w:r>
          </w:p>
          <w:p w:rsidR="003326BA" w:rsidRPr="00534C5B" w:rsidRDefault="003326BA" w:rsidP="003326BA">
            <w:pPr>
              <w:pStyle w:val="Tabletext"/>
              <w:spacing w:after="0"/>
              <w:rPr>
                <w:rFonts w:ascii="Arial Narrow" w:hAnsi="Arial Narrow"/>
              </w:rPr>
            </w:pPr>
            <w:r w:rsidRPr="00534C5B">
              <w:rPr>
                <w:rFonts w:ascii="Arial Narrow" w:hAnsi="Arial Narrow"/>
              </w:rPr>
              <w:t>Patient must have a WHO performance status of 1 or less at the commencement of treatment with this drug,</w:t>
            </w:r>
          </w:p>
          <w:p w:rsidR="003326BA" w:rsidRPr="00534C5B" w:rsidRDefault="003326BA" w:rsidP="003326BA">
            <w:pPr>
              <w:pStyle w:val="Tabletext"/>
              <w:spacing w:after="0"/>
              <w:rPr>
                <w:rFonts w:ascii="Arial Narrow" w:hAnsi="Arial Narrow"/>
              </w:rPr>
            </w:pPr>
            <w:r w:rsidRPr="00534C5B">
              <w:rPr>
                <w:rFonts w:ascii="Arial Narrow" w:hAnsi="Arial Narrow"/>
              </w:rPr>
              <w:t>AND</w:t>
            </w:r>
          </w:p>
          <w:p w:rsidR="003326BA" w:rsidRPr="00534C5B" w:rsidRDefault="003326BA" w:rsidP="003326BA">
            <w:pPr>
              <w:pStyle w:val="Tabletext"/>
              <w:spacing w:after="0"/>
              <w:rPr>
                <w:rFonts w:ascii="Arial Narrow" w:hAnsi="Arial Narrow"/>
              </w:rPr>
            </w:pPr>
            <w:r w:rsidRPr="00534C5B">
              <w:rPr>
                <w:rFonts w:ascii="Arial Narrow" w:hAnsi="Arial Narrow"/>
              </w:rPr>
              <w:t>The treatment must be the sole PBS-subsidised therapy for this condition,</w:t>
            </w:r>
          </w:p>
          <w:p w:rsidR="003326BA" w:rsidRPr="00534C5B" w:rsidRDefault="003326BA" w:rsidP="003326BA">
            <w:pPr>
              <w:pStyle w:val="Tabletext"/>
              <w:spacing w:after="0"/>
              <w:rPr>
                <w:rFonts w:ascii="Arial Narrow" w:hAnsi="Arial Narrow"/>
              </w:rPr>
            </w:pPr>
            <w:r w:rsidRPr="00534C5B">
              <w:rPr>
                <w:rFonts w:ascii="Arial Narrow" w:hAnsi="Arial Narrow"/>
              </w:rPr>
              <w:t>AND</w:t>
            </w:r>
          </w:p>
          <w:p w:rsidR="003326BA" w:rsidRPr="00534C5B" w:rsidRDefault="003326BA" w:rsidP="003326BA">
            <w:pPr>
              <w:pStyle w:val="Tabletext"/>
              <w:spacing w:after="0"/>
              <w:rPr>
                <w:rFonts w:ascii="Arial Narrow" w:hAnsi="Arial Narrow"/>
              </w:rPr>
            </w:pPr>
            <w:r w:rsidRPr="00534C5B">
              <w:rPr>
                <w:rFonts w:ascii="Arial Narrow" w:hAnsi="Arial Narrow"/>
              </w:rPr>
              <w:t>Patient must not have received prior PBS-subsidised treatment for this condition,</w:t>
            </w:r>
          </w:p>
          <w:p w:rsidR="003326BA" w:rsidRPr="00534C5B" w:rsidRDefault="003326BA" w:rsidP="003326BA">
            <w:pPr>
              <w:pStyle w:val="Tabletext"/>
              <w:spacing w:after="0"/>
              <w:rPr>
                <w:rFonts w:ascii="Arial Narrow" w:hAnsi="Arial Narrow"/>
              </w:rPr>
            </w:pPr>
            <w:r w:rsidRPr="00534C5B">
              <w:rPr>
                <w:rFonts w:ascii="Arial Narrow" w:hAnsi="Arial Narrow"/>
              </w:rPr>
              <w:t xml:space="preserve">AND </w:t>
            </w:r>
          </w:p>
          <w:p w:rsidR="003326BA" w:rsidRPr="00534C5B" w:rsidRDefault="003326BA" w:rsidP="003326BA">
            <w:pPr>
              <w:pStyle w:val="Tabletext"/>
              <w:spacing w:after="0"/>
              <w:rPr>
                <w:rFonts w:ascii="Arial Narrow" w:hAnsi="Arial Narrow"/>
              </w:rPr>
            </w:pPr>
            <w:r w:rsidRPr="00534C5B">
              <w:rPr>
                <w:rFonts w:ascii="Arial Narrow" w:hAnsi="Arial Narrow"/>
              </w:rPr>
              <w:t>Treatment must commence within 12 weeks of complete resection, unless delay is necessary due to post-surgery recovery,</w:t>
            </w:r>
          </w:p>
          <w:p w:rsidR="003326BA" w:rsidRPr="00534C5B" w:rsidRDefault="003326BA" w:rsidP="003326BA">
            <w:pPr>
              <w:pStyle w:val="Tabletext"/>
              <w:spacing w:after="0"/>
              <w:rPr>
                <w:rFonts w:ascii="Arial Narrow" w:hAnsi="Arial Narrow"/>
              </w:rPr>
            </w:pPr>
            <w:r w:rsidRPr="00534C5B">
              <w:rPr>
                <w:rFonts w:ascii="Arial Narrow" w:hAnsi="Arial Narrow"/>
              </w:rPr>
              <w:t>AND</w:t>
            </w:r>
          </w:p>
          <w:p w:rsidR="003326BA" w:rsidRPr="00534C5B" w:rsidRDefault="003326BA" w:rsidP="003326BA">
            <w:pPr>
              <w:pStyle w:val="Tabletext"/>
              <w:spacing w:after="0"/>
              <w:rPr>
                <w:rFonts w:ascii="Arial Narrow" w:hAnsi="Arial Narrow"/>
              </w:rPr>
            </w:pPr>
            <w:r w:rsidRPr="00534C5B">
              <w:rPr>
                <w:rFonts w:ascii="Arial Narrow" w:hAnsi="Arial Narrow"/>
              </w:rPr>
              <w:t>The treatment must cease if disease recurs,</w:t>
            </w:r>
          </w:p>
          <w:p w:rsidR="003326BA" w:rsidRPr="00534C5B" w:rsidRDefault="003326BA" w:rsidP="003326BA">
            <w:pPr>
              <w:pStyle w:val="Tabletext"/>
              <w:spacing w:after="0"/>
              <w:rPr>
                <w:rFonts w:ascii="Arial Narrow" w:hAnsi="Arial Narrow"/>
              </w:rPr>
            </w:pPr>
            <w:r w:rsidRPr="00534C5B">
              <w:rPr>
                <w:rFonts w:ascii="Arial Narrow" w:hAnsi="Arial Narrow"/>
              </w:rPr>
              <w:t xml:space="preserve">AND </w:t>
            </w:r>
          </w:p>
          <w:p w:rsidR="003326BA" w:rsidRPr="00534C5B" w:rsidRDefault="003326BA" w:rsidP="003326BA">
            <w:pPr>
              <w:pStyle w:val="Tabletext"/>
              <w:spacing w:after="0"/>
              <w:rPr>
                <w:rFonts w:ascii="Arial Narrow" w:hAnsi="Arial Narrow"/>
              </w:rPr>
            </w:pPr>
            <w:r w:rsidRPr="00534C5B">
              <w:rPr>
                <w:rFonts w:ascii="Arial Narrow" w:hAnsi="Arial Narrow"/>
              </w:rPr>
              <w:t>The treatment must not exceed a maximum duration of 12 months for adjuvant treatment of completely resected Stage IIIB, IIIC, IIID or Stage IV melanoma,</w:t>
            </w:r>
          </w:p>
          <w:p w:rsidR="003326BA" w:rsidRPr="00534C5B" w:rsidRDefault="003326BA" w:rsidP="003326BA">
            <w:pPr>
              <w:pStyle w:val="Tabletext"/>
              <w:spacing w:after="0"/>
              <w:rPr>
                <w:rFonts w:ascii="Arial Narrow" w:hAnsi="Arial Narrow"/>
              </w:rPr>
            </w:pPr>
            <w:r w:rsidRPr="00534C5B">
              <w:rPr>
                <w:rFonts w:ascii="Arial Narrow" w:hAnsi="Arial Narrow"/>
              </w:rPr>
              <w:t>AND</w:t>
            </w:r>
          </w:p>
          <w:p w:rsidR="003326BA" w:rsidRPr="00534C5B" w:rsidRDefault="003326BA" w:rsidP="003326BA">
            <w:pPr>
              <w:pStyle w:val="Tabletext"/>
              <w:spacing w:after="0"/>
              <w:rPr>
                <w:rFonts w:ascii="Arial Narrow" w:hAnsi="Arial Narrow"/>
              </w:rPr>
            </w:pPr>
            <w:r w:rsidRPr="00534C5B">
              <w:rPr>
                <w:rFonts w:ascii="Arial Narrow" w:hAnsi="Arial Narrow"/>
              </w:rPr>
              <w:t>The treatment must not exceed a dose of 3 mg/kg or 240 mg every two weeks or 480 mg every four weeks</w:t>
            </w:r>
          </w:p>
        </w:tc>
      </w:tr>
      <w:tr w:rsidR="003326BA" w:rsidRPr="00534C5B" w:rsidTr="003326BA">
        <w:trPr>
          <w:cantSplit/>
          <w:trHeight w:val="446"/>
        </w:trPr>
        <w:tc>
          <w:tcPr>
            <w:tcW w:w="1696" w:type="dxa"/>
            <w:tcBorders>
              <w:top w:val="single" w:sz="4" w:space="0" w:color="auto"/>
              <w:left w:val="single" w:sz="4" w:space="0" w:color="auto"/>
              <w:bottom w:val="single" w:sz="4" w:space="0" w:color="auto"/>
              <w:right w:val="single" w:sz="4" w:space="0" w:color="auto"/>
            </w:tcBorders>
            <w:tcMar>
              <w:left w:w="28" w:type="dxa"/>
              <w:right w:w="28" w:type="dxa"/>
            </w:tcMar>
          </w:tcPr>
          <w:p w:rsidR="003326BA" w:rsidRPr="00534C5B" w:rsidRDefault="003326BA" w:rsidP="003326BA">
            <w:pPr>
              <w:pStyle w:val="Tabletext"/>
              <w:rPr>
                <w:rFonts w:ascii="Arial Narrow" w:eastAsia="Calibri" w:hAnsi="Arial Narrow"/>
                <w:b/>
              </w:rPr>
            </w:pPr>
            <w:r w:rsidRPr="00534C5B">
              <w:rPr>
                <w:rFonts w:ascii="Arial Narrow" w:eastAsia="Calibri" w:hAnsi="Arial Narrow"/>
                <w:b/>
              </w:rPr>
              <w:t>Notes:</w:t>
            </w:r>
          </w:p>
        </w:tc>
        <w:tc>
          <w:tcPr>
            <w:tcW w:w="7371" w:type="dxa"/>
            <w:tcBorders>
              <w:top w:val="single" w:sz="4" w:space="0" w:color="auto"/>
              <w:left w:val="single" w:sz="4" w:space="0" w:color="auto"/>
              <w:bottom w:val="single" w:sz="4" w:space="0" w:color="auto"/>
              <w:right w:val="single" w:sz="4" w:space="0" w:color="auto"/>
            </w:tcBorders>
            <w:tcMar>
              <w:left w:w="28" w:type="dxa"/>
              <w:right w:w="28" w:type="dxa"/>
            </w:tcMar>
          </w:tcPr>
          <w:p w:rsidR="003326BA" w:rsidRPr="00534C5B" w:rsidRDefault="003326BA" w:rsidP="003326BA">
            <w:pPr>
              <w:pStyle w:val="Tabletext"/>
              <w:spacing w:after="0"/>
              <w:rPr>
                <w:rFonts w:ascii="Arial Narrow" w:eastAsia="Calibri" w:hAnsi="Arial Narrow"/>
              </w:rPr>
            </w:pPr>
            <w:r w:rsidRPr="00534C5B">
              <w:rPr>
                <w:rFonts w:ascii="Arial Narrow" w:eastAsia="Calibri" w:hAnsi="Arial Narrow"/>
              </w:rPr>
              <w:t>No increase in the maximum quantity or number of units may be authorised.</w:t>
            </w:r>
          </w:p>
          <w:p w:rsidR="003326BA" w:rsidRPr="00534C5B" w:rsidRDefault="003326BA" w:rsidP="003326BA">
            <w:pPr>
              <w:pStyle w:val="Tabletext"/>
              <w:spacing w:after="0"/>
              <w:rPr>
                <w:rFonts w:ascii="Arial Narrow" w:eastAsia="Calibri" w:hAnsi="Arial Narrow"/>
              </w:rPr>
            </w:pPr>
            <w:r w:rsidRPr="00534C5B">
              <w:rPr>
                <w:rFonts w:ascii="Arial Narrow" w:eastAsia="Calibri" w:hAnsi="Arial Narrow"/>
              </w:rPr>
              <w:t>No increase in the number of repeats may be authorised.</w:t>
            </w:r>
          </w:p>
          <w:p w:rsidR="003326BA" w:rsidRPr="00534C5B" w:rsidRDefault="003326BA" w:rsidP="003326BA">
            <w:pPr>
              <w:pStyle w:val="Tabletext"/>
              <w:spacing w:after="0"/>
              <w:rPr>
                <w:rFonts w:ascii="Arial Narrow" w:eastAsia="Calibri" w:hAnsi="Arial Narrow"/>
              </w:rPr>
            </w:pPr>
            <w:r w:rsidRPr="00534C5B">
              <w:rPr>
                <w:rFonts w:ascii="Arial Narrow" w:eastAsia="Calibri" w:hAnsi="Arial Narrow"/>
              </w:rPr>
              <w:t>Special Pricing Arrangements apply.</w:t>
            </w:r>
          </w:p>
        </w:tc>
      </w:tr>
    </w:tbl>
    <w:p w:rsidR="003326BA" w:rsidRPr="00534C5B" w:rsidRDefault="003326BA" w:rsidP="003326BA"/>
    <w:tbl>
      <w:tblPr>
        <w:tblW w:w="9072" w:type="dxa"/>
        <w:tblInd w:w="-5" w:type="dxa"/>
        <w:tblLayout w:type="fixed"/>
        <w:tblLook w:val="0000" w:firstRow="0" w:lastRow="0" w:firstColumn="0" w:lastColumn="0" w:noHBand="0" w:noVBand="0"/>
      </w:tblPr>
      <w:tblGrid>
        <w:gridCol w:w="1701"/>
        <w:gridCol w:w="7371"/>
      </w:tblGrid>
      <w:tr w:rsidR="003326BA" w:rsidRPr="00534C5B" w:rsidTr="00DF3341">
        <w:trPr>
          <w:cantSplit/>
          <w:trHeight w:val="175"/>
        </w:trPr>
        <w:tc>
          <w:tcPr>
            <w:tcW w:w="1701" w:type="dxa"/>
            <w:tcBorders>
              <w:top w:val="single" w:sz="4" w:space="0" w:color="auto"/>
              <w:left w:val="single" w:sz="4" w:space="0" w:color="auto"/>
              <w:bottom w:val="single" w:sz="4" w:space="0" w:color="auto"/>
              <w:right w:val="single" w:sz="4" w:space="0" w:color="auto"/>
            </w:tcBorders>
            <w:tcMar>
              <w:left w:w="28" w:type="dxa"/>
              <w:right w:w="28" w:type="dxa"/>
            </w:tcMar>
          </w:tcPr>
          <w:p w:rsidR="003326BA" w:rsidRPr="00534C5B" w:rsidRDefault="003326BA" w:rsidP="000126D9">
            <w:pPr>
              <w:pStyle w:val="Tabletext"/>
              <w:keepNext/>
              <w:spacing w:after="0"/>
              <w:rPr>
                <w:rFonts w:ascii="Arial Narrow" w:eastAsia="Calibri" w:hAnsi="Arial Narrow"/>
                <w:b/>
              </w:rPr>
            </w:pPr>
            <w:r w:rsidRPr="00534C5B">
              <w:rPr>
                <w:rFonts w:ascii="Arial Narrow" w:eastAsia="Calibri" w:hAnsi="Arial Narrow"/>
                <w:b/>
              </w:rPr>
              <w:t>Category/Program</w:t>
            </w:r>
          </w:p>
        </w:tc>
        <w:tc>
          <w:tcPr>
            <w:tcW w:w="7371" w:type="dxa"/>
            <w:tcBorders>
              <w:top w:val="single" w:sz="4" w:space="0" w:color="auto"/>
              <w:left w:val="single" w:sz="4" w:space="0" w:color="auto"/>
              <w:bottom w:val="single" w:sz="4" w:space="0" w:color="auto"/>
              <w:right w:val="single" w:sz="4" w:space="0" w:color="auto"/>
            </w:tcBorders>
            <w:tcMar>
              <w:left w:w="28" w:type="dxa"/>
              <w:right w:w="28" w:type="dxa"/>
            </w:tcMar>
          </w:tcPr>
          <w:p w:rsidR="003326BA" w:rsidRPr="00534C5B" w:rsidRDefault="003326BA" w:rsidP="000126D9">
            <w:pPr>
              <w:pStyle w:val="Tabletext"/>
              <w:keepNext/>
              <w:spacing w:after="0"/>
              <w:rPr>
                <w:rFonts w:ascii="Arial Narrow" w:eastAsia="Calibri" w:hAnsi="Arial Narrow"/>
              </w:rPr>
            </w:pPr>
            <w:r w:rsidRPr="00534C5B">
              <w:rPr>
                <w:rFonts w:ascii="Arial Narrow" w:eastAsia="Calibri" w:hAnsi="Arial Narrow"/>
              </w:rPr>
              <w:t>Section 100 Efficient Funding of Chemotherapy</w:t>
            </w:r>
          </w:p>
        </w:tc>
      </w:tr>
      <w:tr w:rsidR="003326BA" w:rsidRPr="00534C5B" w:rsidTr="00DF3341">
        <w:trPr>
          <w:cantSplit/>
          <w:trHeight w:val="80"/>
        </w:trPr>
        <w:tc>
          <w:tcPr>
            <w:tcW w:w="1701" w:type="dxa"/>
            <w:tcBorders>
              <w:top w:val="single" w:sz="4" w:space="0" w:color="auto"/>
              <w:left w:val="single" w:sz="4" w:space="0" w:color="auto"/>
              <w:bottom w:val="single" w:sz="4" w:space="0" w:color="auto"/>
              <w:right w:val="single" w:sz="4" w:space="0" w:color="auto"/>
            </w:tcBorders>
            <w:tcMar>
              <w:left w:w="28" w:type="dxa"/>
              <w:right w:w="28" w:type="dxa"/>
            </w:tcMar>
          </w:tcPr>
          <w:p w:rsidR="003326BA" w:rsidRPr="00534C5B" w:rsidRDefault="003326BA" w:rsidP="000126D9">
            <w:pPr>
              <w:pStyle w:val="Tabletext"/>
              <w:keepNext/>
              <w:spacing w:after="0"/>
              <w:rPr>
                <w:rFonts w:ascii="Arial Narrow" w:eastAsia="Calibri" w:hAnsi="Arial Narrow"/>
                <w:b/>
              </w:rPr>
            </w:pPr>
            <w:r w:rsidRPr="00534C5B">
              <w:rPr>
                <w:rFonts w:ascii="Arial Narrow" w:eastAsia="Calibri" w:hAnsi="Arial Narrow"/>
                <w:b/>
              </w:rPr>
              <w:t>Prescriber type</w:t>
            </w:r>
          </w:p>
        </w:tc>
        <w:tc>
          <w:tcPr>
            <w:tcW w:w="7371" w:type="dxa"/>
            <w:tcBorders>
              <w:top w:val="single" w:sz="4" w:space="0" w:color="auto"/>
              <w:left w:val="single" w:sz="4" w:space="0" w:color="auto"/>
              <w:bottom w:val="single" w:sz="4" w:space="0" w:color="auto"/>
              <w:right w:val="single" w:sz="4" w:space="0" w:color="auto"/>
            </w:tcBorders>
            <w:tcMar>
              <w:left w:w="28" w:type="dxa"/>
              <w:right w:w="28" w:type="dxa"/>
            </w:tcMar>
          </w:tcPr>
          <w:p w:rsidR="003326BA" w:rsidRPr="00534C5B" w:rsidRDefault="003326BA" w:rsidP="000126D9">
            <w:pPr>
              <w:pStyle w:val="Tabletext"/>
              <w:keepNext/>
              <w:spacing w:after="0"/>
              <w:rPr>
                <w:rFonts w:ascii="Arial Narrow" w:eastAsia="Calibri" w:hAnsi="Arial Narrow"/>
              </w:rPr>
            </w:pPr>
            <w:r w:rsidRPr="00534C5B">
              <w:rPr>
                <w:rFonts w:ascii="Arial Narrow" w:eastAsia="Calibri" w:hAnsi="Arial Narrow"/>
              </w:rPr>
              <w:fldChar w:fldCharType="begin">
                <w:ffData>
                  <w:name w:val="Check1"/>
                  <w:enabled/>
                  <w:calcOnExit w:val="0"/>
                  <w:checkBox>
                    <w:sizeAuto/>
                    <w:default w:val="0"/>
                  </w:checkBox>
                </w:ffData>
              </w:fldChar>
            </w:r>
            <w:r w:rsidRPr="00534C5B">
              <w:rPr>
                <w:rFonts w:ascii="Arial Narrow" w:eastAsia="Calibri" w:hAnsi="Arial Narrow"/>
              </w:rPr>
              <w:instrText xml:space="preserve"> FORMCHECKBOX </w:instrText>
            </w:r>
            <w:r w:rsidR="00653477">
              <w:rPr>
                <w:rFonts w:ascii="Arial Narrow" w:eastAsia="Calibri" w:hAnsi="Arial Narrow"/>
              </w:rPr>
            </w:r>
            <w:r w:rsidR="00653477">
              <w:rPr>
                <w:rFonts w:ascii="Arial Narrow" w:eastAsia="Calibri" w:hAnsi="Arial Narrow"/>
              </w:rPr>
              <w:fldChar w:fldCharType="separate"/>
            </w:r>
            <w:r w:rsidRPr="00534C5B">
              <w:rPr>
                <w:rFonts w:ascii="Arial Narrow" w:eastAsia="Calibri" w:hAnsi="Arial Narrow"/>
              </w:rPr>
              <w:fldChar w:fldCharType="end"/>
            </w:r>
            <w:r w:rsidRPr="00534C5B">
              <w:rPr>
                <w:rFonts w:ascii="Arial Narrow" w:eastAsia="Calibri" w:hAnsi="Arial Narrow"/>
              </w:rPr>
              <w:t xml:space="preserve">Dental </w:t>
            </w:r>
            <w:r w:rsidRPr="00534C5B">
              <w:rPr>
                <w:rFonts w:ascii="Arial Narrow" w:eastAsia="Calibri" w:hAnsi="Arial Narrow"/>
              </w:rPr>
              <w:fldChar w:fldCharType="begin">
                <w:ffData>
                  <w:name w:val=""/>
                  <w:enabled/>
                  <w:calcOnExit w:val="0"/>
                  <w:checkBox>
                    <w:sizeAuto/>
                    <w:default w:val="1"/>
                  </w:checkBox>
                </w:ffData>
              </w:fldChar>
            </w:r>
            <w:r w:rsidRPr="00534C5B">
              <w:rPr>
                <w:rFonts w:ascii="Arial Narrow" w:eastAsia="Calibri" w:hAnsi="Arial Narrow"/>
              </w:rPr>
              <w:instrText xml:space="preserve"> FORMCHECKBOX </w:instrText>
            </w:r>
            <w:r w:rsidR="00653477">
              <w:rPr>
                <w:rFonts w:ascii="Arial Narrow" w:eastAsia="Calibri" w:hAnsi="Arial Narrow"/>
              </w:rPr>
            </w:r>
            <w:r w:rsidR="00653477">
              <w:rPr>
                <w:rFonts w:ascii="Arial Narrow" w:eastAsia="Calibri" w:hAnsi="Arial Narrow"/>
              </w:rPr>
              <w:fldChar w:fldCharType="separate"/>
            </w:r>
            <w:r w:rsidRPr="00534C5B">
              <w:rPr>
                <w:rFonts w:ascii="Arial Narrow" w:eastAsia="Calibri" w:hAnsi="Arial Narrow"/>
              </w:rPr>
              <w:fldChar w:fldCharType="end"/>
            </w:r>
            <w:r w:rsidRPr="00534C5B">
              <w:rPr>
                <w:rFonts w:ascii="Arial Narrow" w:eastAsia="Calibri" w:hAnsi="Arial Narrow"/>
              </w:rPr>
              <w:t xml:space="preserve">Medical Practitioners </w:t>
            </w:r>
            <w:r w:rsidRPr="00534C5B">
              <w:rPr>
                <w:rFonts w:ascii="Arial Narrow" w:eastAsia="Calibri" w:hAnsi="Arial Narrow"/>
              </w:rPr>
              <w:fldChar w:fldCharType="begin">
                <w:ffData>
                  <w:name w:val="Check3"/>
                  <w:enabled/>
                  <w:calcOnExit w:val="0"/>
                  <w:checkBox>
                    <w:sizeAuto/>
                    <w:default w:val="0"/>
                  </w:checkBox>
                </w:ffData>
              </w:fldChar>
            </w:r>
            <w:r w:rsidRPr="00534C5B">
              <w:rPr>
                <w:rFonts w:ascii="Arial Narrow" w:eastAsia="Calibri" w:hAnsi="Arial Narrow"/>
              </w:rPr>
              <w:instrText xml:space="preserve"> FORMCHECKBOX </w:instrText>
            </w:r>
            <w:r w:rsidR="00653477">
              <w:rPr>
                <w:rFonts w:ascii="Arial Narrow" w:eastAsia="Calibri" w:hAnsi="Arial Narrow"/>
              </w:rPr>
            </w:r>
            <w:r w:rsidR="00653477">
              <w:rPr>
                <w:rFonts w:ascii="Arial Narrow" w:eastAsia="Calibri" w:hAnsi="Arial Narrow"/>
              </w:rPr>
              <w:fldChar w:fldCharType="separate"/>
            </w:r>
            <w:r w:rsidRPr="00534C5B">
              <w:rPr>
                <w:rFonts w:ascii="Arial Narrow" w:eastAsia="Calibri" w:hAnsi="Arial Narrow"/>
              </w:rPr>
              <w:fldChar w:fldCharType="end"/>
            </w:r>
            <w:r w:rsidRPr="00534C5B">
              <w:rPr>
                <w:rFonts w:ascii="Arial Narrow" w:eastAsia="Calibri" w:hAnsi="Arial Narrow"/>
              </w:rPr>
              <w:t xml:space="preserve">Nurse practitioners </w:t>
            </w:r>
            <w:r w:rsidRPr="00534C5B">
              <w:rPr>
                <w:rFonts w:ascii="Arial Narrow" w:eastAsia="Calibri" w:hAnsi="Arial Narrow"/>
              </w:rPr>
              <w:fldChar w:fldCharType="begin">
                <w:ffData>
                  <w:name w:val=""/>
                  <w:enabled/>
                  <w:calcOnExit w:val="0"/>
                  <w:checkBox>
                    <w:sizeAuto/>
                    <w:default w:val="0"/>
                  </w:checkBox>
                </w:ffData>
              </w:fldChar>
            </w:r>
            <w:r w:rsidRPr="00534C5B">
              <w:rPr>
                <w:rFonts w:ascii="Arial Narrow" w:eastAsia="Calibri" w:hAnsi="Arial Narrow"/>
              </w:rPr>
              <w:instrText xml:space="preserve"> FORMCHECKBOX </w:instrText>
            </w:r>
            <w:r w:rsidR="00653477">
              <w:rPr>
                <w:rFonts w:ascii="Arial Narrow" w:eastAsia="Calibri" w:hAnsi="Arial Narrow"/>
              </w:rPr>
            </w:r>
            <w:r w:rsidR="00653477">
              <w:rPr>
                <w:rFonts w:ascii="Arial Narrow" w:eastAsia="Calibri" w:hAnsi="Arial Narrow"/>
              </w:rPr>
              <w:fldChar w:fldCharType="separate"/>
            </w:r>
            <w:r w:rsidRPr="00534C5B">
              <w:rPr>
                <w:rFonts w:ascii="Arial Narrow" w:eastAsia="Calibri" w:hAnsi="Arial Narrow"/>
              </w:rPr>
              <w:fldChar w:fldCharType="end"/>
            </w:r>
            <w:r w:rsidRPr="00534C5B">
              <w:rPr>
                <w:rFonts w:ascii="Arial Narrow" w:eastAsia="Calibri" w:hAnsi="Arial Narrow"/>
              </w:rPr>
              <w:t xml:space="preserve">Optometrists </w:t>
            </w:r>
            <w:r w:rsidRPr="00534C5B">
              <w:rPr>
                <w:rFonts w:ascii="Arial Narrow" w:eastAsia="Calibri" w:hAnsi="Arial Narrow"/>
              </w:rPr>
              <w:fldChar w:fldCharType="begin">
                <w:ffData>
                  <w:name w:val="Check5"/>
                  <w:enabled/>
                  <w:calcOnExit w:val="0"/>
                  <w:checkBox>
                    <w:sizeAuto/>
                    <w:default w:val="0"/>
                  </w:checkBox>
                </w:ffData>
              </w:fldChar>
            </w:r>
            <w:r w:rsidRPr="00534C5B">
              <w:rPr>
                <w:rFonts w:ascii="Arial Narrow" w:eastAsia="Calibri" w:hAnsi="Arial Narrow"/>
              </w:rPr>
              <w:instrText xml:space="preserve"> FORMCHECKBOX </w:instrText>
            </w:r>
            <w:r w:rsidR="00653477">
              <w:rPr>
                <w:rFonts w:ascii="Arial Narrow" w:eastAsia="Calibri" w:hAnsi="Arial Narrow"/>
              </w:rPr>
            </w:r>
            <w:r w:rsidR="00653477">
              <w:rPr>
                <w:rFonts w:ascii="Arial Narrow" w:eastAsia="Calibri" w:hAnsi="Arial Narrow"/>
              </w:rPr>
              <w:fldChar w:fldCharType="separate"/>
            </w:r>
            <w:r w:rsidRPr="00534C5B">
              <w:rPr>
                <w:rFonts w:ascii="Arial Narrow" w:eastAsia="Calibri" w:hAnsi="Arial Narrow"/>
              </w:rPr>
              <w:fldChar w:fldCharType="end"/>
            </w:r>
            <w:r w:rsidRPr="00534C5B">
              <w:rPr>
                <w:rFonts w:ascii="Arial Narrow" w:eastAsia="Calibri" w:hAnsi="Arial Narrow"/>
              </w:rPr>
              <w:t>Midwives</w:t>
            </w:r>
          </w:p>
        </w:tc>
      </w:tr>
      <w:tr w:rsidR="003326BA" w:rsidRPr="00534C5B" w:rsidTr="00DF3341">
        <w:trPr>
          <w:cantSplit/>
          <w:trHeight w:val="125"/>
        </w:trPr>
        <w:tc>
          <w:tcPr>
            <w:tcW w:w="1701" w:type="dxa"/>
            <w:tcBorders>
              <w:top w:val="single" w:sz="4" w:space="0" w:color="auto"/>
              <w:left w:val="single" w:sz="4" w:space="0" w:color="auto"/>
              <w:bottom w:val="single" w:sz="4" w:space="0" w:color="auto"/>
              <w:right w:val="single" w:sz="4" w:space="0" w:color="auto"/>
            </w:tcBorders>
            <w:tcMar>
              <w:left w:w="28" w:type="dxa"/>
              <w:right w:w="28" w:type="dxa"/>
            </w:tcMar>
          </w:tcPr>
          <w:p w:rsidR="003326BA" w:rsidRPr="00534C5B" w:rsidRDefault="003326BA" w:rsidP="000126D9">
            <w:pPr>
              <w:pStyle w:val="Tabletext"/>
              <w:keepNext/>
              <w:spacing w:after="0"/>
              <w:rPr>
                <w:rFonts w:ascii="Arial Narrow" w:eastAsia="Calibri" w:hAnsi="Arial Narrow"/>
                <w:b/>
                <w:i/>
              </w:rPr>
            </w:pPr>
            <w:r w:rsidRPr="00534C5B">
              <w:rPr>
                <w:rFonts w:ascii="Arial Narrow" w:eastAsia="Calibri" w:hAnsi="Arial Narrow"/>
                <w:b/>
              </w:rPr>
              <w:t>Severity</w:t>
            </w:r>
            <w:r w:rsidRPr="00534C5B">
              <w:rPr>
                <w:rFonts w:ascii="Arial Narrow" w:eastAsia="Calibri" w:hAnsi="Arial Narrow"/>
                <w:b/>
                <w:i/>
              </w:rPr>
              <w:t>:</w:t>
            </w:r>
          </w:p>
        </w:tc>
        <w:tc>
          <w:tcPr>
            <w:tcW w:w="7371" w:type="dxa"/>
            <w:tcBorders>
              <w:top w:val="single" w:sz="4" w:space="0" w:color="auto"/>
              <w:left w:val="single" w:sz="4" w:space="0" w:color="auto"/>
              <w:bottom w:val="single" w:sz="4" w:space="0" w:color="auto"/>
              <w:right w:val="single" w:sz="4" w:space="0" w:color="auto"/>
            </w:tcBorders>
            <w:tcMar>
              <w:left w:w="28" w:type="dxa"/>
              <w:right w:w="28" w:type="dxa"/>
            </w:tcMar>
          </w:tcPr>
          <w:p w:rsidR="003326BA" w:rsidRPr="00534C5B" w:rsidRDefault="003326BA" w:rsidP="000126D9">
            <w:pPr>
              <w:pStyle w:val="Tabletext"/>
              <w:keepNext/>
              <w:spacing w:after="0"/>
              <w:rPr>
                <w:rFonts w:ascii="Arial Narrow" w:eastAsia="Calibri" w:hAnsi="Arial Narrow"/>
              </w:rPr>
            </w:pPr>
            <w:r w:rsidRPr="00534C5B">
              <w:rPr>
                <w:rFonts w:ascii="Arial Narrow" w:eastAsia="Calibri" w:hAnsi="Arial Narrow"/>
              </w:rPr>
              <w:t>Resected Stage IIIB, IIIC, IIID or Stage IV</w:t>
            </w:r>
          </w:p>
        </w:tc>
      </w:tr>
      <w:tr w:rsidR="003326BA" w:rsidRPr="00534C5B" w:rsidTr="00DF3341">
        <w:trPr>
          <w:cantSplit/>
          <w:trHeight w:val="60"/>
        </w:trPr>
        <w:tc>
          <w:tcPr>
            <w:tcW w:w="1701" w:type="dxa"/>
            <w:tcBorders>
              <w:top w:val="single" w:sz="4" w:space="0" w:color="auto"/>
              <w:left w:val="single" w:sz="4" w:space="0" w:color="auto"/>
              <w:bottom w:val="single" w:sz="4" w:space="0" w:color="auto"/>
              <w:right w:val="single" w:sz="4" w:space="0" w:color="auto"/>
            </w:tcBorders>
            <w:tcMar>
              <w:left w:w="28" w:type="dxa"/>
              <w:right w:w="28" w:type="dxa"/>
            </w:tcMar>
          </w:tcPr>
          <w:p w:rsidR="003326BA" w:rsidRPr="00534C5B" w:rsidRDefault="003326BA" w:rsidP="000126D9">
            <w:pPr>
              <w:pStyle w:val="Tabletext"/>
              <w:keepNext/>
              <w:spacing w:after="0"/>
              <w:rPr>
                <w:rFonts w:ascii="Arial Narrow" w:eastAsia="Calibri" w:hAnsi="Arial Narrow"/>
                <w:b/>
              </w:rPr>
            </w:pPr>
            <w:r w:rsidRPr="00534C5B">
              <w:rPr>
                <w:rFonts w:ascii="Arial Narrow" w:eastAsia="Calibri" w:hAnsi="Arial Narrow"/>
                <w:b/>
              </w:rPr>
              <w:t>Condition:</w:t>
            </w:r>
          </w:p>
        </w:tc>
        <w:tc>
          <w:tcPr>
            <w:tcW w:w="7371" w:type="dxa"/>
            <w:tcBorders>
              <w:top w:val="single" w:sz="4" w:space="0" w:color="auto"/>
              <w:left w:val="single" w:sz="4" w:space="0" w:color="auto"/>
              <w:bottom w:val="single" w:sz="4" w:space="0" w:color="auto"/>
              <w:right w:val="single" w:sz="4" w:space="0" w:color="auto"/>
            </w:tcBorders>
            <w:tcMar>
              <w:left w:w="28" w:type="dxa"/>
              <w:right w:w="28" w:type="dxa"/>
            </w:tcMar>
          </w:tcPr>
          <w:p w:rsidR="003326BA" w:rsidRPr="00534C5B" w:rsidRDefault="003326BA" w:rsidP="000126D9">
            <w:pPr>
              <w:pStyle w:val="Tabletext"/>
              <w:keepNext/>
              <w:spacing w:after="0"/>
              <w:rPr>
                <w:rFonts w:ascii="Arial Narrow" w:eastAsia="Calibri" w:hAnsi="Arial Narrow"/>
              </w:rPr>
            </w:pPr>
            <w:r w:rsidRPr="00534C5B">
              <w:rPr>
                <w:rFonts w:ascii="Arial Narrow" w:eastAsia="Calibri" w:hAnsi="Arial Narrow"/>
              </w:rPr>
              <w:t>Malignant melanoma</w:t>
            </w:r>
          </w:p>
        </w:tc>
      </w:tr>
      <w:tr w:rsidR="003326BA" w:rsidRPr="00534C5B" w:rsidTr="00DF3341">
        <w:trPr>
          <w:cantSplit/>
          <w:trHeight w:val="203"/>
        </w:trPr>
        <w:tc>
          <w:tcPr>
            <w:tcW w:w="1701" w:type="dxa"/>
            <w:tcBorders>
              <w:top w:val="single" w:sz="4" w:space="0" w:color="auto"/>
              <w:left w:val="single" w:sz="4" w:space="0" w:color="auto"/>
              <w:bottom w:val="single" w:sz="4" w:space="0" w:color="auto"/>
              <w:right w:val="single" w:sz="4" w:space="0" w:color="auto"/>
            </w:tcBorders>
            <w:tcMar>
              <w:left w:w="28" w:type="dxa"/>
              <w:right w:w="28" w:type="dxa"/>
            </w:tcMar>
          </w:tcPr>
          <w:p w:rsidR="003326BA" w:rsidRPr="00534C5B" w:rsidRDefault="003326BA" w:rsidP="003326BA">
            <w:pPr>
              <w:pStyle w:val="Tabletext"/>
              <w:spacing w:after="0"/>
              <w:rPr>
                <w:rFonts w:ascii="Arial Narrow" w:eastAsia="Calibri" w:hAnsi="Arial Narrow"/>
                <w:b/>
              </w:rPr>
            </w:pPr>
            <w:r w:rsidRPr="00534C5B">
              <w:rPr>
                <w:rFonts w:ascii="Arial Narrow" w:eastAsia="Calibri" w:hAnsi="Arial Narrow"/>
                <w:b/>
              </w:rPr>
              <w:t>PBS Indication:</w:t>
            </w:r>
          </w:p>
        </w:tc>
        <w:tc>
          <w:tcPr>
            <w:tcW w:w="7371" w:type="dxa"/>
            <w:tcBorders>
              <w:top w:val="single" w:sz="4" w:space="0" w:color="auto"/>
              <w:left w:val="single" w:sz="4" w:space="0" w:color="auto"/>
              <w:bottom w:val="single" w:sz="4" w:space="0" w:color="auto"/>
              <w:right w:val="single" w:sz="4" w:space="0" w:color="auto"/>
            </w:tcBorders>
            <w:tcMar>
              <w:left w:w="28" w:type="dxa"/>
              <w:right w:w="28" w:type="dxa"/>
            </w:tcMar>
          </w:tcPr>
          <w:p w:rsidR="003326BA" w:rsidRPr="00534C5B" w:rsidRDefault="003326BA" w:rsidP="003326BA">
            <w:pPr>
              <w:pStyle w:val="Tabletext"/>
              <w:spacing w:after="0"/>
              <w:rPr>
                <w:rFonts w:ascii="Arial Narrow" w:eastAsia="Calibri" w:hAnsi="Arial Narrow"/>
              </w:rPr>
            </w:pPr>
            <w:r w:rsidRPr="00534C5B">
              <w:rPr>
                <w:rFonts w:ascii="Arial Narrow" w:eastAsia="Calibri" w:hAnsi="Arial Narrow"/>
              </w:rPr>
              <w:t>Resected Stage IIIB, IIIC, IIID or Stage IV malignant melanoma</w:t>
            </w:r>
          </w:p>
        </w:tc>
      </w:tr>
      <w:tr w:rsidR="003326BA" w:rsidRPr="00534C5B" w:rsidTr="00DF3341">
        <w:trPr>
          <w:cantSplit/>
          <w:trHeight w:val="107"/>
        </w:trPr>
        <w:tc>
          <w:tcPr>
            <w:tcW w:w="1701" w:type="dxa"/>
            <w:tcBorders>
              <w:top w:val="single" w:sz="4" w:space="0" w:color="auto"/>
              <w:left w:val="single" w:sz="4" w:space="0" w:color="auto"/>
              <w:bottom w:val="single" w:sz="4" w:space="0" w:color="auto"/>
              <w:right w:val="single" w:sz="4" w:space="0" w:color="auto"/>
            </w:tcBorders>
            <w:tcMar>
              <w:left w:w="28" w:type="dxa"/>
              <w:right w:w="28" w:type="dxa"/>
            </w:tcMar>
          </w:tcPr>
          <w:p w:rsidR="003326BA" w:rsidRPr="00534C5B" w:rsidRDefault="003326BA" w:rsidP="003326BA">
            <w:pPr>
              <w:pStyle w:val="Tabletext"/>
              <w:spacing w:after="0"/>
              <w:rPr>
                <w:rFonts w:ascii="Arial Narrow" w:eastAsia="Calibri" w:hAnsi="Arial Narrow"/>
                <w:b/>
              </w:rPr>
            </w:pPr>
            <w:r w:rsidRPr="00534C5B">
              <w:rPr>
                <w:rFonts w:ascii="Arial Narrow" w:eastAsia="Calibri" w:hAnsi="Arial Narrow"/>
                <w:b/>
              </w:rPr>
              <w:t>Treatment phase:</w:t>
            </w:r>
          </w:p>
        </w:tc>
        <w:tc>
          <w:tcPr>
            <w:tcW w:w="7371" w:type="dxa"/>
            <w:tcBorders>
              <w:top w:val="single" w:sz="4" w:space="0" w:color="auto"/>
              <w:left w:val="single" w:sz="4" w:space="0" w:color="auto"/>
              <w:bottom w:val="single" w:sz="4" w:space="0" w:color="auto"/>
              <w:right w:val="single" w:sz="4" w:space="0" w:color="auto"/>
            </w:tcBorders>
            <w:tcMar>
              <w:left w:w="28" w:type="dxa"/>
              <w:right w:w="28" w:type="dxa"/>
            </w:tcMar>
          </w:tcPr>
          <w:p w:rsidR="003326BA" w:rsidRPr="00534C5B" w:rsidRDefault="003326BA" w:rsidP="003326BA">
            <w:pPr>
              <w:pStyle w:val="Tabletext"/>
              <w:spacing w:after="0"/>
              <w:rPr>
                <w:rFonts w:ascii="Arial Narrow" w:eastAsia="Calibri" w:hAnsi="Arial Narrow"/>
              </w:rPr>
            </w:pPr>
            <w:r w:rsidRPr="00534C5B">
              <w:rPr>
                <w:rFonts w:ascii="Arial Narrow" w:eastAsia="Calibri" w:hAnsi="Arial Narrow"/>
              </w:rPr>
              <w:t>Grandfathered treatment</w:t>
            </w:r>
          </w:p>
        </w:tc>
      </w:tr>
      <w:tr w:rsidR="003326BA" w:rsidRPr="00534C5B" w:rsidTr="00DF3341">
        <w:trPr>
          <w:cantSplit/>
          <w:trHeight w:val="153"/>
        </w:trPr>
        <w:tc>
          <w:tcPr>
            <w:tcW w:w="1701" w:type="dxa"/>
            <w:tcBorders>
              <w:top w:val="single" w:sz="4" w:space="0" w:color="auto"/>
              <w:left w:val="single" w:sz="4" w:space="0" w:color="auto"/>
              <w:bottom w:val="single" w:sz="4" w:space="0" w:color="auto"/>
              <w:right w:val="single" w:sz="4" w:space="0" w:color="auto"/>
            </w:tcBorders>
            <w:tcMar>
              <w:left w:w="28" w:type="dxa"/>
              <w:right w:w="28" w:type="dxa"/>
            </w:tcMar>
          </w:tcPr>
          <w:p w:rsidR="003326BA" w:rsidRPr="00534C5B" w:rsidRDefault="003326BA" w:rsidP="003326BA">
            <w:pPr>
              <w:pStyle w:val="Tabletext"/>
              <w:spacing w:after="0"/>
              <w:rPr>
                <w:rFonts w:ascii="Arial Narrow" w:eastAsia="Calibri" w:hAnsi="Arial Narrow"/>
                <w:b/>
              </w:rPr>
            </w:pPr>
            <w:r w:rsidRPr="00534C5B">
              <w:rPr>
                <w:rFonts w:ascii="Arial Narrow" w:eastAsia="Calibri" w:hAnsi="Arial Narrow"/>
                <w:b/>
              </w:rPr>
              <w:t>Restriction level:</w:t>
            </w:r>
          </w:p>
        </w:tc>
        <w:tc>
          <w:tcPr>
            <w:tcW w:w="7371" w:type="dxa"/>
            <w:tcBorders>
              <w:top w:val="single" w:sz="4" w:space="0" w:color="auto"/>
              <w:left w:val="single" w:sz="4" w:space="0" w:color="auto"/>
              <w:bottom w:val="single" w:sz="4" w:space="0" w:color="auto"/>
              <w:right w:val="single" w:sz="4" w:space="0" w:color="auto"/>
            </w:tcBorders>
            <w:tcMar>
              <w:left w:w="28" w:type="dxa"/>
              <w:right w:w="28" w:type="dxa"/>
            </w:tcMar>
          </w:tcPr>
          <w:p w:rsidR="003326BA" w:rsidRPr="00534C5B" w:rsidRDefault="003326BA" w:rsidP="003326BA">
            <w:pPr>
              <w:pStyle w:val="Tabletext"/>
              <w:spacing w:after="0"/>
              <w:rPr>
                <w:rFonts w:ascii="Arial Narrow" w:eastAsia="Calibri" w:hAnsi="Arial Narrow"/>
              </w:rPr>
            </w:pPr>
            <w:r w:rsidRPr="00534C5B">
              <w:rPr>
                <w:rFonts w:ascii="Arial Narrow" w:hAnsi="Arial Narrow"/>
              </w:rPr>
              <w:fldChar w:fldCharType="begin">
                <w:ffData>
                  <w:name w:val="Check5"/>
                  <w:enabled/>
                  <w:calcOnExit w:val="0"/>
                  <w:checkBox>
                    <w:sizeAuto/>
                    <w:default w:val="1"/>
                  </w:checkBox>
                </w:ffData>
              </w:fldChar>
            </w:r>
            <w:r w:rsidRPr="00534C5B">
              <w:rPr>
                <w:rFonts w:ascii="Arial Narrow" w:hAnsi="Arial Narrow"/>
              </w:rPr>
              <w:instrText xml:space="preserve"> FORMCHECKBOX </w:instrText>
            </w:r>
            <w:r w:rsidR="00653477">
              <w:rPr>
                <w:rFonts w:ascii="Arial Narrow" w:hAnsi="Arial Narrow"/>
              </w:rPr>
            </w:r>
            <w:r w:rsidR="00653477">
              <w:rPr>
                <w:rFonts w:ascii="Arial Narrow" w:hAnsi="Arial Narrow"/>
              </w:rPr>
              <w:fldChar w:fldCharType="separate"/>
            </w:r>
            <w:r w:rsidRPr="00534C5B">
              <w:rPr>
                <w:rFonts w:ascii="Arial Narrow" w:hAnsi="Arial Narrow"/>
              </w:rPr>
              <w:fldChar w:fldCharType="end"/>
            </w:r>
            <w:r w:rsidRPr="00534C5B">
              <w:rPr>
                <w:rFonts w:ascii="Arial Narrow" w:hAnsi="Arial Narrow"/>
              </w:rPr>
              <w:t xml:space="preserve"> Authority Required (Telephone)</w:t>
            </w:r>
          </w:p>
        </w:tc>
      </w:tr>
      <w:tr w:rsidR="003326BA" w:rsidRPr="00534C5B" w:rsidTr="00DF3341">
        <w:trPr>
          <w:cantSplit/>
          <w:trHeight w:val="360"/>
        </w:trPr>
        <w:tc>
          <w:tcPr>
            <w:tcW w:w="1701" w:type="dxa"/>
            <w:tcBorders>
              <w:top w:val="single" w:sz="4" w:space="0" w:color="auto"/>
              <w:left w:val="single" w:sz="4" w:space="0" w:color="auto"/>
              <w:bottom w:val="single" w:sz="4" w:space="0" w:color="auto"/>
              <w:right w:val="single" w:sz="4" w:space="0" w:color="auto"/>
            </w:tcBorders>
            <w:tcMar>
              <w:left w:w="28" w:type="dxa"/>
              <w:right w:w="28" w:type="dxa"/>
            </w:tcMar>
          </w:tcPr>
          <w:p w:rsidR="003326BA" w:rsidRPr="00534C5B" w:rsidRDefault="003326BA" w:rsidP="003326BA">
            <w:pPr>
              <w:pStyle w:val="Tabletext"/>
              <w:spacing w:after="0"/>
              <w:rPr>
                <w:rFonts w:ascii="Arial Narrow" w:eastAsia="Calibri" w:hAnsi="Arial Narrow"/>
                <w:b/>
              </w:rPr>
            </w:pPr>
            <w:r w:rsidRPr="00534C5B">
              <w:rPr>
                <w:rFonts w:ascii="Arial Narrow" w:eastAsia="Calibri" w:hAnsi="Arial Narrow"/>
                <w:b/>
              </w:rPr>
              <w:t>Clinical criteria:</w:t>
            </w:r>
          </w:p>
          <w:p w:rsidR="003326BA" w:rsidRPr="00534C5B" w:rsidRDefault="003326BA" w:rsidP="003326BA">
            <w:pPr>
              <w:pStyle w:val="Tabletext"/>
              <w:spacing w:after="0"/>
              <w:rPr>
                <w:rFonts w:ascii="Arial Narrow" w:eastAsia="Calibri" w:hAnsi="Arial Narrow"/>
                <w:b/>
              </w:rPr>
            </w:pPr>
          </w:p>
        </w:tc>
        <w:tc>
          <w:tcPr>
            <w:tcW w:w="7371" w:type="dxa"/>
            <w:tcBorders>
              <w:top w:val="single" w:sz="4" w:space="0" w:color="auto"/>
              <w:left w:val="single" w:sz="4" w:space="0" w:color="auto"/>
              <w:bottom w:val="single" w:sz="4" w:space="0" w:color="auto"/>
              <w:right w:val="single" w:sz="4" w:space="0" w:color="auto"/>
            </w:tcBorders>
            <w:tcMar>
              <w:left w:w="28" w:type="dxa"/>
              <w:right w:w="28" w:type="dxa"/>
            </w:tcMar>
          </w:tcPr>
          <w:p w:rsidR="003326BA" w:rsidRPr="00534C5B" w:rsidRDefault="003326BA" w:rsidP="003326BA">
            <w:pPr>
              <w:pStyle w:val="Tabletext"/>
              <w:spacing w:after="0"/>
              <w:rPr>
                <w:rFonts w:ascii="Arial Narrow" w:eastAsia="Calibri" w:hAnsi="Arial Narrow"/>
              </w:rPr>
            </w:pPr>
            <w:r w:rsidRPr="00534C5B">
              <w:rPr>
                <w:rFonts w:ascii="Arial Narrow" w:eastAsia="Calibri" w:hAnsi="Arial Narrow"/>
              </w:rPr>
              <w:t>Patient must have previously received non-PBS subsidised drug for adjuvant treatment following complete surgical resection prior to [date of PBS listing],</w:t>
            </w:r>
          </w:p>
          <w:p w:rsidR="003326BA" w:rsidRPr="00534C5B" w:rsidRDefault="003326BA" w:rsidP="003326BA">
            <w:pPr>
              <w:pStyle w:val="Tabletext"/>
              <w:spacing w:after="0"/>
              <w:rPr>
                <w:rFonts w:ascii="Arial Narrow" w:eastAsia="Calibri" w:hAnsi="Arial Narrow"/>
              </w:rPr>
            </w:pPr>
            <w:r w:rsidRPr="00534C5B">
              <w:rPr>
                <w:rFonts w:ascii="Arial Narrow" w:eastAsia="Calibri" w:hAnsi="Arial Narrow"/>
              </w:rPr>
              <w:t>AND</w:t>
            </w:r>
          </w:p>
          <w:p w:rsidR="003326BA" w:rsidRPr="00534C5B" w:rsidRDefault="003326BA" w:rsidP="003326BA">
            <w:pPr>
              <w:pStyle w:val="Tabletext"/>
              <w:spacing w:after="0"/>
              <w:rPr>
                <w:rFonts w:ascii="Arial Narrow" w:hAnsi="Arial Narrow"/>
              </w:rPr>
            </w:pPr>
            <w:r w:rsidRPr="00534C5B">
              <w:rPr>
                <w:rFonts w:ascii="Arial Narrow" w:hAnsi="Arial Narrow"/>
              </w:rPr>
              <w:t>The patient must have a WHO performance status of 0 or 1 at the time non-PBS subsidised treatment with this drug for this condition was initiated,</w:t>
            </w:r>
          </w:p>
          <w:p w:rsidR="003326BA" w:rsidRPr="00534C5B" w:rsidRDefault="003326BA" w:rsidP="003326BA">
            <w:pPr>
              <w:pStyle w:val="Tabletext"/>
              <w:spacing w:after="0"/>
              <w:rPr>
                <w:rFonts w:ascii="Arial Narrow" w:eastAsia="Calibri" w:hAnsi="Arial Narrow"/>
              </w:rPr>
            </w:pPr>
            <w:r w:rsidRPr="00534C5B">
              <w:rPr>
                <w:rFonts w:ascii="Arial Narrow" w:eastAsia="Calibri" w:hAnsi="Arial Narrow"/>
              </w:rPr>
              <w:t>AND</w:t>
            </w:r>
          </w:p>
          <w:p w:rsidR="003326BA" w:rsidRPr="00534C5B" w:rsidRDefault="003326BA" w:rsidP="003326BA">
            <w:pPr>
              <w:pStyle w:val="Tabletext"/>
              <w:spacing w:after="0"/>
              <w:rPr>
                <w:rFonts w:ascii="Arial Narrow" w:hAnsi="Arial Narrow"/>
              </w:rPr>
            </w:pPr>
            <w:r w:rsidRPr="00534C5B">
              <w:rPr>
                <w:rFonts w:ascii="Arial Narrow" w:hAnsi="Arial Narrow"/>
              </w:rPr>
              <w:t>Patient must not have experienced disease recurrence,</w:t>
            </w:r>
          </w:p>
          <w:p w:rsidR="003326BA" w:rsidRPr="00534C5B" w:rsidRDefault="003326BA" w:rsidP="003326BA">
            <w:pPr>
              <w:pStyle w:val="Tabletext"/>
              <w:spacing w:after="0"/>
              <w:rPr>
                <w:rFonts w:ascii="Arial Narrow" w:hAnsi="Arial Narrow"/>
              </w:rPr>
            </w:pPr>
            <w:r w:rsidRPr="00534C5B">
              <w:rPr>
                <w:rFonts w:ascii="Arial Narrow" w:hAnsi="Arial Narrow"/>
              </w:rPr>
              <w:t>AND</w:t>
            </w:r>
          </w:p>
          <w:p w:rsidR="003326BA" w:rsidRPr="00534C5B" w:rsidRDefault="003326BA" w:rsidP="003326BA">
            <w:pPr>
              <w:pStyle w:val="Tabletext"/>
              <w:spacing w:after="0"/>
              <w:rPr>
                <w:rFonts w:ascii="Arial Narrow" w:eastAsia="Calibri" w:hAnsi="Arial Narrow"/>
              </w:rPr>
            </w:pPr>
            <w:r w:rsidRPr="00534C5B">
              <w:rPr>
                <w:rFonts w:ascii="Arial Narrow" w:eastAsia="Calibri" w:hAnsi="Arial Narrow"/>
              </w:rPr>
              <w:t>The treatment must be the sole PBS-subsidised therapy for this condition,</w:t>
            </w:r>
          </w:p>
          <w:p w:rsidR="003326BA" w:rsidRPr="00534C5B" w:rsidRDefault="003326BA" w:rsidP="003326BA">
            <w:pPr>
              <w:pStyle w:val="Tabletext"/>
              <w:spacing w:after="0"/>
              <w:rPr>
                <w:rFonts w:ascii="Arial Narrow" w:eastAsia="Calibri" w:hAnsi="Arial Narrow"/>
              </w:rPr>
            </w:pPr>
            <w:r w:rsidRPr="00534C5B">
              <w:rPr>
                <w:rFonts w:ascii="Arial Narrow" w:eastAsia="Calibri" w:hAnsi="Arial Narrow"/>
              </w:rPr>
              <w:t>AND</w:t>
            </w:r>
          </w:p>
          <w:p w:rsidR="003326BA" w:rsidRPr="00534C5B" w:rsidRDefault="003326BA" w:rsidP="003326BA">
            <w:pPr>
              <w:pStyle w:val="Tabletext"/>
              <w:spacing w:after="0"/>
              <w:rPr>
                <w:rFonts w:ascii="Arial Narrow" w:hAnsi="Arial Narrow"/>
              </w:rPr>
            </w:pPr>
            <w:r w:rsidRPr="00534C5B">
              <w:rPr>
                <w:rFonts w:ascii="Arial Narrow" w:hAnsi="Arial Narrow"/>
              </w:rPr>
              <w:t>Patient must have commenced non-PBS subsidised treatment within 12 weeks of complete surgical resection, unless delay was necessary due to post-surgery recovery,</w:t>
            </w:r>
          </w:p>
          <w:p w:rsidR="003326BA" w:rsidRPr="00534C5B" w:rsidRDefault="003326BA" w:rsidP="003326BA">
            <w:pPr>
              <w:pStyle w:val="Tabletext"/>
              <w:spacing w:after="0"/>
              <w:rPr>
                <w:rFonts w:ascii="Arial Narrow" w:hAnsi="Arial Narrow"/>
              </w:rPr>
            </w:pPr>
            <w:r w:rsidRPr="00534C5B">
              <w:rPr>
                <w:rFonts w:ascii="Arial Narrow" w:hAnsi="Arial Narrow"/>
              </w:rPr>
              <w:t>AND</w:t>
            </w:r>
          </w:p>
          <w:p w:rsidR="00DF3341" w:rsidRPr="00534C5B" w:rsidRDefault="00DF3341" w:rsidP="00DF3341">
            <w:pPr>
              <w:pStyle w:val="Tabletext"/>
              <w:spacing w:after="0"/>
              <w:rPr>
                <w:rFonts w:ascii="Arial Narrow" w:hAnsi="Arial Narrow"/>
              </w:rPr>
            </w:pPr>
            <w:r w:rsidRPr="00534C5B">
              <w:rPr>
                <w:rFonts w:ascii="Arial Narrow" w:hAnsi="Arial Narrow"/>
              </w:rPr>
              <w:t xml:space="preserve">The treatment must not exceed a maximum duration of 12 months </w:t>
            </w:r>
            <w:r w:rsidR="00DE5C74" w:rsidRPr="00534C5B">
              <w:rPr>
                <w:rFonts w:ascii="Arial Narrow" w:hAnsi="Arial Narrow"/>
              </w:rPr>
              <w:t>f</w:t>
            </w:r>
            <w:r w:rsidRPr="00534C5B">
              <w:rPr>
                <w:rFonts w:ascii="Arial Narrow" w:hAnsi="Arial Narrow"/>
              </w:rPr>
              <w:t>or adjuvant treatment of completely resected Stage IIIB, IIIC, IIID or Stage IV melanoma,</w:t>
            </w:r>
          </w:p>
          <w:p w:rsidR="003326BA" w:rsidRPr="00534C5B" w:rsidRDefault="003326BA" w:rsidP="003326BA">
            <w:pPr>
              <w:pStyle w:val="Tabletext"/>
              <w:spacing w:after="0"/>
              <w:rPr>
                <w:rFonts w:ascii="Arial Narrow" w:hAnsi="Arial Narrow"/>
                <w:strike/>
              </w:rPr>
            </w:pPr>
            <w:r w:rsidRPr="00534C5B">
              <w:rPr>
                <w:rFonts w:ascii="Arial Narrow" w:hAnsi="Arial Narrow"/>
                <w:strike/>
              </w:rPr>
              <w:t>AND</w:t>
            </w:r>
          </w:p>
          <w:p w:rsidR="003326BA" w:rsidRPr="00534C5B" w:rsidRDefault="003326BA" w:rsidP="003326BA">
            <w:pPr>
              <w:pStyle w:val="Tabletext"/>
              <w:spacing w:after="0"/>
              <w:rPr>
                <w:rFonts w:ascii="Arial Narrow" w:hAnsi="Arial Narrow"/>
              </w:rPr>
            </w:pPr>
            <w:r w:rsidRPr="00534C5B">
              <w:rPr>
                <w:rFonts w:ascii="Arial Narrow" w:hAnsi="Arial Narrow"/>
              </w:rPr>
              <w:t>The treatment must not exceed a dose of 3 mg/kg or 240 mg every two weeks or 480 mg every four weeks.</w:t>
            </w:r>
          </w:p>
        </w:tc>
      </w:tr>
      <w:tr w:rsidR="003326BA" w:rsidRPr="00534C5B" w:rsidTr="00DF3341">
        <w:trPr>
          <w:cantSplit/>
          <w:trHeight w:val="360"/>
        </w:trPr>
        <w:tc>
          <w:tcPr>
            <w:tcW w:w="1701" w:type="dxa"/>
            <w:tcBorders>
              <w:top w:val="single" w:sz="4" w:space="0" w:color="auto"/>
              <w:left w:val="single" w:sz="4" w:space="0" w:color="auto"/>
              <w:bottom w:val="single" w:sz="4" w:space="0" w:color="auto"/>
              <w:right w:val="single" w:sz="4" w:space="0" w:color="auto"/>
            </w:tcBorders>
            <w:tcMar>
              <w:left w:w="28" w:type="dxa"/>
              <w:right w:w="28" w:type="dxa"/>
            </w:tcMar>
          </w:tcPr>
          <w:p w:rsidR="003326BA" w:rsidRPr="00534C5B" w:rsidRDefault="003326BA" w:rsidP="003326BA">
            <w:pPr>
              <w:pStyle w:val="Tabletext"/>
              <w:spacing w:after="0"/>
              <w:rPr>
                <w:rFonts w:ascii="Arial Narrow" w:eastAsia="Calibri" w:hAnsi="Arial Narrow"/>
                <w:b/>
              </w:rPr>
            </w:pPr>
            <w:r w:rsidRPr="00534C5B">
              <w:rPr>
                <w:rFonts w:ascii="Arial Narrow" w:eastAsia="Calibri" w:hAnsi="Arial Narrow"/>
                <w:b/>
              </w:rPr>
              <w:t>Notes</w:t>
            </w:r>
            <w:r w:rsidRPr="00534C5B">
              <w:rPr>
                <w:rFonts w:ascii="Arial Narrow" w:eastAsia="Calibri" w:hAnsi="Arial Narrow"/>
                <w:b/>
                <w:i/>
              </w:rPr>
              <w:t>:</w:t>
            </w:r>
          </w:p>
        </w:tc>
        <w:tc>
          <w:tcPr>
            <w:tcW w:w="7371" w:type="dxa"/>
            <w:tcBorders>
              <w:top w:val="single" w:sz="4" w:space="0" w:color="auto"/>
              <w:left w:val="single" w:sz="4" w:space="0" w:color="auto"/>
              <w:bottom w:val="single" w:sz="4" w:space="0" w:color="auto"/>
              <w:right w:val="single" w:sz="4" w:space="0" w:color="auto"/>
            </w:tcBorders>
            <w:tcMar>
              <w:left w:w="28" w:type="dxa"/>
              <w:right w:w="28" w:type="dxa"/>
            </w:tcMar>
          </w:tcPr>
          <w:p w:rsidR="003326BA" w:rsidRPr="00534C5B" w:rsidRDefault="003326BA" w:rsidP="003326BA">
            <w:pPr>
              <w:pStyle w:val="Tabletext"/>
              <w:spacing w:after="0"/>
              <w:rPr>
                <w:rFonts w:ascii="Arial Narrow" w:hAnsi="Arial Narrow"/>
              </w:rPr>
            </w:pPr>
            <w:r w:rsidRPr="00534C5B">
              <w:rPr>
                <w:rFonts w:ascii="Arial Narrow" w:hAnsi="Arial Narrow"/>
              </w:rPr>
              <w:t>No increase in the maximum quantity or number of units may be authorised.</w:t>
            </w:r>
          </w:p>
          <w:p w:rsidR="003326BA" w:rsidRPr="00534C5B" w:rsidRDefault="003326BA" w:rsidP="003326BA">
            <w:pPr>
              <w:pStyle w:val="Tabletext"/>
              <w:spacing w:after="0"/>
              <w:rPr>
                <w:rFonts w:ascii="Arial Narrow" w:hAnsi="Arial Narrow"/>
              </w:rPr>
            </w:pPr>
            <w:r w:rsidRPr="00534C5B">
              <w:rPr>
                <w:rFonts w:ascii="Arial Narrow" w:hAnsi="Arial Narrow"/>
              </w:rPr>
              <w:t>No increase in the maximum number of repeats may be authorised.</w:t>
            </w:r>
          </w:p>
          <w:p w:rsidR="003326BA" w:rsidRPr="00534C5B" w:rsidRDefault="003326BA" w:rsidP="003326BA">
            <w:pPr>
              <w:pStyle w:val="Tabletext"/>
              <w:spacing w:after="0"/>
              <w:rPr>
                <w:rFonts w:ascii="Arial Narrow" w:eastAsia="Calibri" w:hAnsi="Arial Narrow"/>
                <w:strike/>
              </w:rPr>
            </w:pPr>
            <w:r w:rsidRPr="00534C5B">
              <w:rPr>
                <w:rFonts w:ascii="Arial Narrow" w:hAnsi="Arial Narrow"/>
              </w:rPr>
              <w:t>Special Pricing Arrangements apply.</w:t>
            </w:r>
          </w:p>
        </w:tc>
      </w:tr>
    </w:tbl>
    <w:p w:rsidR="003326BA" w:rsidRPr="00534C5B" w:rsidRDefault="003326BA" w:rsidP="003326BA"/>
    <w:p w:rsidR="00FC709D" w:rsidRPr="00534C5B" w:rsidRDefault="00FC709D" w:rsidP="00FC709D">
      <w:pPr>
        <w:spacing w:after="240"/>
        <w:ind w:left="469"/>
        <w:rPr>
          <w:rFonts w:asciiTheme="minorHAnsi" w:hAnsiTheme="minorHAnsi" w:cstheme="minorHAnsi"/>
          <w:i/>
        </w:rPr>
      </w:pPr>
      <w:r w:rsidRPr="00534C5B">
        <w:rPr>
          <w:rFonts w:asciiTheme="minorHAnsi" w:hAnsiTheme="minorHAnsi" w:cstheme="minorHAnsi"/>
          <w:i/>
        </w:rPr>
        <w:lastRenderedPageBreak/>
        <w:t>For more detail on PBAC’s view, see section 5 PBAC outcome.</w:t>
      </w:r>
    </w:p>
    <w:p w:rsidR="00FC3647" w:rsidRPr="00534C5B" w:rsidRDefault="00FC3647" w:rsidP="00AF0867">
      <w:pPr>
        <w:pStyle w:val="Heading1"/>
        <w:keepNext/>
        <w:keepLines/>
        <w:widowControl/>
        <w:numPr>
          <w:ilvl w:val="0"/>
          <w:numId w:val="1"/>
        </w:numPr>
        <w:spacing w:before="240" w:after="120"/>
        <w:ind w:left="709" w:hanging="709"/>
        <w:contextualSpacing w:val="0"/>
        <w:jc w:val="left"/>
        <w:rPr>
          <w:rFonts w:asciiTheme="minorHAnsi" w:hAnsiTheme="minorHAnsi"/>
          <w:sz w:val="32"/>
          <w:szCs w:val="32"/>
        </w:rPr>
      </w:pPr>
      <w:r w:rsidRPr="00534C5B">
        <w:rPr>
          <w:rFonts w:asciiTheme="minorHAnsi" w:hAnsiTheme="minorHAnsi"/>
          <w:sz w:val="32"/>
          <w:szCs w:val="32"/>
        </w:rPr>
        <w:t>Consideration of the evidence</w:t>
      </w:r>
    </w:p>
    <w:p w:rsidR="00AF0867" w:rsidRPr="00534C5B" w:rsidRDefault="00AF0867" w:rsidP="00AF0867">
      <w:pPr>
        <w:pStyle w:val="Heading2"/>
        <w:spacing w:after="120"/>
        <w:rPr>
          <w:rFonts w:asciiTheme="minorHAnsi" w:hAnsiTheme="minorHAnsi" w:cstheme="minorHAnsi"/>
          <w:snapToGrid w:val="0"/>
          <w:sz w:val="28"/>
          <w:szCs w:val="28"/>
        </w:rPr>
      </w:pPr>
      <w:r w:rsidRPr="00534C5B">
        <w:rPr>
          <w:rFonts w:asciiTheme="minorHAnsi" w:hAnsiTheme="minorHAnsi" w:cstheme="minorHAnsi"/>
          <w:snapToGrid w:val="0"/>
          <w:sz w:val="28"/>
          <w:szCs w:val="28"/>
        </w:rPr>
        <w:t>Sponsor hearing</w:t>
      </w:r>
    </w:p>
    <w:p w:rsidR="00AF0867" w:rsidRPr="00534C5B" w:rsidRDefault="00AF0867" w:rsidP="00AF0867">
      <w:pPr>
        <w:widowControl w:val="0"/>
        <w:numPr>
          <w:ilvl w:val="1"/>
          <w:numId w:val="1"/>
        </w:numPr>
        <w:spacing w:after="120"/>
        <w:jc w:val="both"/>
        <w:rPr>
          <w:rFonts w:asciiTheme="minorHAnsi" w:hAnsiTheme="minorHAnsi" w:cs="Arial"/>
          <w:bCs/>
          <w:snapToGrid w:val="0"/>
        </w:rPr>
      </w:pPr>
      <w:r w:rsidRPr="00534C5B">
        <w:rPr>
          <w:rFonts w:asciiTheme="minorHAnsi" w:hAnsiTheme="minorHAnsi" w:cs="Arial"/>
          <w:bCs/>
          <w:snapToGrid w:val="0"/>
        </w:rPr>
        <w:t>There was no hearing for this item</w:t>
      </w:r>
      <w:r w:rsidR="00CA54C5" w:rsidRPr="00534C5B">
        <w:rPr>
          <w:rFonts w:asciiTheme="minorHAnsi" w:hAnsiTheme="minorHAnsi" w:cs="Arial"/>
          <w:bCs/>
          <w:snapToGrid w:val="0"/>
        </w:rPr>
        <w:t xml:space="preserve"> as it was a reconsideration of a deferral</w:t>
      </w:r>
      <w:r w:rsidRPr="00534C5B">
        <w:rPr>
          <w:rFonts w:asciiTheme="minorHAnsi" w:hAnsiTheme="minorHAnsi" w:cs="Arial"/>
          <w:bCs/>
          <w:snapToGrid w:val="0"/>
        </w:rPr>
        <w:t>.</w:t>
      </w:r>
    </w:p>
    <w:p w:rsidR="00AF0867" w:rsidRPr="00534C5B" w:rsidRDefault="00AF0867" w:rsidP="00AF0867">
      <w:pPr>
        <w:pStyle w:val="Heading2"/>
        <w:spacing w:after="120"/>
        <w:rPr>
          <w:rFonts w:asciiTheme="minorHAnsi" w:hAnsiTheme="minorHAnsi" w:cstheme="minorHAnsi"/>
          <w:snapToGrid w:val="0"/>
          <w:sz w:val="28"/>
          <w:szCs w:val="28"/>
        </w:rPr>
      </w:pPr>
      <w:r w:rsidRPr="00534C5B">
        <w:rPr>
          <w:rFonts w:asciiTheme="minorHAnsi" w:hAnsiTheme="minorHAnsi" w:cstheme="minorHAnsi"/>
          <w:snapToGrid w:val="0"/>
          <w:sz w:val="28"/>
          <w:szCs w:val="28"/>
        </w:rPr>
        <w:t>Consumer comments</w:t>
      </w:r>
    </w:p>
    <w:p w:rsidR="00AF0867" w:rsidRPr="00534C5B" w:rsidRDefault="00AF0867" w:rsidP="00AF0867">
      <w:pPr>
        <w:widowControl w:val="0"/>
        <w:numPr>
          <w:ilvl w:val="1"/>
          <w:numId w:val="1"/>
        </w:numPr>
        <w:spacing w:after="120"/>
        <w:jc w:val="both"/>
        <w:rPr>
          <w:rFonts w:asciiTheme="minorHAnsi" w:hAnsiTheme="minorHAnsi" w:cs="Arial"/>
          <w:bCs/>
          <w:snapToGrid w:val="0"/>
        </w:rPr>
      </w:pPr>
      <w:r w:rsidRPr="00534C5B">
        <w:rPr>
          <w:rFonts w:asciiTheme="minorHAnsi" w:hAnsiTheme="minorHAnsi" w:cs="Arial"/>
          <w:bCs/>
          <w:snapToGrid w:val="0"/>
        </w:rPr>
        <w:t xml:space="preserve"> The PBAC noted that no consumer comments were received for this item.</w:t>
      </w:r>
    </w:p>
    <w:p w:rsidR="00FC3647" w:rsidRPr="00534C5B" w:rsidRDefault="00F873FD" w:rsidP="00F873FD">
      <w:pPr>
        <w:pStyle w:val="Heading2"/>
        <w:keepLines/>
        <w:spacing w:before="240" w:after="120"/>
        <w:rPr>
          <w:rFonts w:asciiTheme="minorHAnsi" w:eastAsiaTheme="majorEastAsia" w:hAnsiTheme="minorHAnsi" w:cstheme="majorBidi"/>
          <w:sz w:val="28"/>
          <w:szCs w:val="28"/>
          <w:lang w:eastAsia="en-US"/>
        </w:rPr>
      </w:pPr>
      <w:r w:rsidRPr="00534C5B">
        <w:rPr>
          <w:rFonts w:asciiTheme="minorHAnsi" w:eastAsiaTheme="majorEastAsia" w:hAnsiTheme="minorHAnsi" w:cstheme="majorBidi"/>
          <w:sz w:val="28"/>
          <w:szCs w:val="28"/>
          <w:lang w:eastAsia="en-US"/>
        </w:rPr>
        <w:t>Weighted effective price</w:t>
      </w:r>
    </w:p>
    <w:p w:rsidR="00542ED2" w:rsidRPr="00534C5B" w:rsidRDefault="00542ED2" w:rsidP="00AF0867">
      <w:pPr>
        <w:pStyle w:val="3Bodytext"/>
        <w:numPr>
          <w:ilvl w:val="1"/>
          <w:numId w:val="1"/>
        </w:numPr>
        <w:rPr>
          <w:color w:val="000000" w:themeColor="text1"/>
          <w:szCs w:val="24"/>
        </w:rPr>
      </w:pPr>
      <w:r w:rsidRPr="00534C5B">
        <w:rPr>
          <w:color w:val="000000" w:themeColor="text1"/>
          <w:szCs w:val="24"/>
        </w:rPr>
        <w:t>Two cost</w:t>
      </w:r>
      <w:r w:rsidR="00FE4765">
        <w:rPr>
          <w:color w:val="000000" w:themeColor="text1"/>
          <w:szCs w:val="24"/>
        </w:rPr>
        <w:t>-</w:t>
      </w:r>
      <w:r w:rsidRPr="00534C5B">
        <w:rPr>
          <w:color w:val="000000" w:themeColor="text1"/>
          <w:szCs w:val="24"/>
        </w:rPr>
        <w:t xml:space="preserve">minimisation analyses comparing nivolumab </w:t>
      </w:r>
      <w:r w:rsidR="003326BA" w:rsidRPr="00534C5B">
        <w:rPr>
          <w:color w:val="000000" w:themeColor="text1"/>
          <w:szCs w:val="24"/>
        </w:rPr>
        <w:t>with</w:t>
      </w:r>
      <w:r w:rsidRPr="00534C5B">
        <w:rPr>
          <w:color w:val="000000" w:themeColor="text1"/>
          <w:szCs w:val="24"/>
        </w:rPr>
        <w:t xml:space="preserve"> </w:t>
      </w:r>
      <w:r w:rsidR="00955968" w:rsidRPr="00534C5B">
        <w:rPr>
          <w:color w:val="000000" w:themeColor="text1"/>
          <w:szCs w:val="24"/>
        </w:rPr>
        <w:t>DAB+TRAM</w:t>
      </w:r>
      <w:r w:rsidRPr="00534C5B">
        <w:rPr>
          <w:color w:val="000000" w:themeColor="text1"/>
          <w:szCs w:val="24"/>
        </w:rPr>
        <w:t xml:space="preserve"> </w:t>
      </w:r>
      <w:r w:rsidR="00453B44" w:rsidRPr="00534C5B">
        <w:rPr>
          <w:color w:val="000000" w:themeColor="text1"/>
          <w:szCs w:val="24"/>
        </w:rPr>
        <w:t>we</w:t>
      </w:r>
      <w:r w:rsidRPr="00534C5B">
        <w:rPr>
          <w:color w:val="000000" w:themeColor="text1"/>
          <w:szCs w:val="24"/>
        </w:rPr>
        <w:t>re presented</w:t>
      </w:r>
      <w:r w:rsidR="0099397D" w:rsidRPr="00534C5B">
        <w:rPr>
          <w:color w:val="000000" w:themeColor="text1"/>
          <w:szCs w:val="24"/>
        </w:rPr>
        <w:t xml:space="preserve"> in the deferral proposal</w:t>
      </w:r>
      <w:r w:rsidRPr="00534C5B">
        <w:rPr>
          <w:color w:val="000000" w:themeColor="text1"/>
          <w:szCs w:val="24"/>
        </w:rPr>
        <w:t>.</w:t>
      </w:r>
      <w:r w:rsidR="000126D9" w:rsidRPr="00534C5B">
        <w:rPr>
          <w:color w:val="000000" w:themeColor="text1"/>
          <w:szCs w:val="24"/>
        </w:rPr>
        <w:t xml:space="preserve"> These analyses were included in the July 2019 nivolumab minor overview and have been previously considered by the PBAC. </w:t>
      </w:r>
      <w:r w:rsidR="00F873FD" w:rsidRPr="00534C5B">
        <w:rPr>
          <w:color w:val="000000" w:themeColor="text1"/>
          <w:szCs w:val="24"/>
        </w:rPr>
        <w:t>Both analyses used the TGA approved Product Information doses of dabrafenib (150 mg twice daily), trametinib (2 mg once daily) and nivolumab (150 mg every four weeks)</w:t>
      </w:r>
      <w:r w:rsidR="00233A57" w:rsidRPr="00534C5B">
        <w:rPr>
          <w:color w:val="000000" w:themeColor="text1"/>
          <w:szCs w:val="24"/>
        </w:rPr>
        <w:t xml:space="preserve"> in order to account for wastage</w:t>
      </w:r>
      <w:r w:rsidR="00F873FD" w:rsidRPr="00534C5B">
        <w:rPr>
          <w:color w:val="000000" w:themeColor="text1"/>
          <w:szCs w:val="24"/>
        </w:rPr>
        <w:t>.</w:t>
      </w:r>
    </w:p>
    <w:p w:rsidR="00542ED2" w:rsidRPr="00534C5B" w:rsidRDefault="00542ED2" w:rsidP="00AF0867">
      <w:pPr>
        <w:pStyle w:val="3Bodytext"/>
        <w:numPr>
          <w:ilvl w:val="1"/>
          <w:numId w:val="1"/>
        </w:numPr>
        <w:rPr>
          <w:color w:val="000000" w:themeColor="text1"/>
          <w:szCs w:val="24"/>
        </w:rPr>
      </w:pPr>
      <w:r w:rsidRPr="00534C5B">
        <w:rPr>
          <w:color w:val="000000" w:themeColor="text1"/>
          <w:szCs w:val="24"/>
        </w:rPr>
        <w:t>The first analysis d</w:t>
      </w:r>
      <w:r w:rsidR="00453B44" w:rsidRPr="00534C5B">
        <w:rPr>
          <w:color w:val="000000" w:themeColor="text1"/>
          <w:szCs w:val="24"/>
        </w:rPr>
        <w:t>id</w:t>
      </w:r>
      <w:r w:rsidRPr="00534C5B">
        <w:rPr>
          <w:color w:val="000000" w:themeColor="text1"/>
          <w:szCs w:val="24"/>
        </w:rPr>
        <w:t xml:space="preserve"> not consider treatment </w:t>
      </w:r>
      <w:r w:rsidR="001365DE" w:rsidRPr="00534C5B">
        <w:rPr>
          <w:color w:val="000000" w:themeColor="text1"/>
          <w:szCs w:val="24"/>
        </w:rPr>
        <w:t>duration</w:t>
      </w:r>
      <w:r w:rsidRPr="00534C5B">
        <w:rPr>
          <w:color w:val="000000" w:themeColor="text1"/>
          <w:szCs w:val="24"/>
        </w:rPr>
        <w:t xml:space="preserve">, and </w:t>
      </w:r>
      <w:r w:rsidR="00453B44" w:rsidRPr="00534C5B">
        <w:rPr>
          <w:color w:val="000000" w:themeColor="text1"/>
          <w:szCs w:val="24"/>
        </w:rPr>
        <w:t>wa</w:t>
      </w:r>
      <w:r w:rsidRPr="00534C5B">
        <w:rPr>
          <w:color w:val="000000" w:themeColor="text1"/>
          <w:szCs w:val="24"/>
        </w:rPr>
        <w:t xml:space="preserve">s based on the maximum treatment duration of 12 months for both nivolumab and </w:t>
      </w:r>
      <w:r w:rsidR="00955968" w:rsidRPr="00534C5B">
        <w:rPr>
          <w:color w:val="000000" w:themeColor="text1"/>
          <w:szCs w:val="24"/>
        </w:rPr>
        <w:t>DAB+TRAM</w:t>
      </w:r>
      <w:r w:rsidR="00875278" w:rsidRPr="00534C5B">
        <w:rPr>
          <w:color w:val="000000" w:themeColor="text1"/>
          <w:szCs w:val="24"/>
        </w:rPr>
        <w:t xml:space="preserve"> (Table </w:t>
      </w:r>
      <w:r w:rsidR="00AB5085" w:rsidRPr="00534C5B">
        <w:rPr>
          <w:color w:val="000000" w:themeColor="text1"/>
          <w:szCs w:val="24"/>
        </w:rPr>
        <w:t>1</w:t>
      </w:r>
      <w:r w:rsidR="00875278" w:rsidRPr="00534C5B">
        <w:rPr>
          <w:color w:val="000000" w:themeColor="text1"/>
          <w:szCs w:val="24"/>
        </w:rPr>
        <w:t>)</w:t>
      </w:r>
      <w:r w:rsidRPr="00534C5B">
        <w:rPr>
          <w:color w:val="000000" w:themeColor="text1"/>
          <w:szCs w:val="24"/>
        </w:rPr>
        <w:t xml:space="preserve">. </w:t>
      </w:r>
      <w:r w:rsidR="001365DE" w:rsidRPr="00534C5B">
        <w:rPr>
          <w:color w:val="000000" w:themeColor="text1"/>
          <w:szCs w:val="24"/>
        </w:rPr>
        <w:t>T</w:t>
      </w:r>
      <w:r w:rsidRPr="00534C5B">
        <w:rPr>
          <w:color w:val="000000" w:themeColor="text1"/>
          <w:szCs w:val="24"/>
        </w:rPr>
        <w:t>he  equi-effective doses</w:t>
      </w:r>
      <w:r w:rsidR="001365DE" w:rsidRPr="00534C5B">
        <w:rPr>
          <w:color w:val="000000" w:themeColor="text1"/>
          <w:szCs w:val="24"/>
        </w:rPr>
        <w:t xml:space="preserve"> for this analysis are</w:t>
      </w:r>
      <w:r w:rsidRPr="00534C5B">
        <w:rPr>
          <w:color w:val="000000" w:themeColor="text1"/>
          <w:szCs w:val="24"/>
        </w:rPr>
        <w:t>:</w:t>
      </w:r>
    </w:p>
    <w:p w:rsidR="00542ED2" w:rsidRPr="00534C5B" w:rsidRDefault="00542ED2" w:rsidP="00542ED2">
      <w:pPr>
        <w:pStyle w:val="3Bodytext"/>
        <w:numPr>
          <w:ilvl w:val="0"/>
          <w:numId w:val="0"/>
        </w:numPr>
        <w:ind w:left="1440"/>
        <w:rPr>
          <w:color w:val="000000" w:themeColor="text1"/>
          <w:szCs w:val="24"/>
        </w:rPr>
      </w:pPr>
      <w:r w:rsidRPr="00534C5B">
        <w:rPr>
          <w:color w:val="000000" w:themeColor="text1"/>
          <w:szCs w:val="24"/>
        </w:rPr>
        <w:t xml:space="preserve">Nivolumab 3 mg/kg Q2W OR 240 mg Q2W OR 480 mg Q4W = </w:t>
      </w:r>
    </w:p>
    <w:p w:rsidR="00542ED2" w:rsidRPr="00534C5B" w:rsidRDefault="00542ED2" w:rsidP="00542ED2">
      <w:pPr>
        <w:pStyle w:val="3Bodytext"/>
        <w:numPr>
          <w:ilvl w:val="0"/>
          <w:numId w:val="0"/>
        </w:numPr>
        <w:ind w:left="1440"/>
        <w:rPr>
          <w:color w:val="000000" w:themeColor="text1"/>
          <w:szCs w:val="24"/>
        </w:rPr>
      </w:pPr>
      <w:r w:rsidRPr="00534C5B">
        <w:rPr>
          <w:color w:val="000000" w:themeColor="text1"/>
          <w:szCs w:val="24"/>
        </w:rPr>
        <w:t xml:space="preserve">Dabrafenib 150 mg BD + trametinib </w:t>
      </w:r>
      <w:r w:rsidR="00F873FD" w:rsidRPr="00534C5B">
        <w:rPr>
          <w:color w:val="000000" w:themeColor="text1"/>
          <w:szCs w:val="24"/>
        </w:rPr>
        <w:t xml:space="preserve">2 mg </w:t>
      </w:r>
      <w:r w:rsidRPr="00534C5B">
        <w:rPr>
          <w:color w:val="000000" w:themeColor="text1"/>
          <w:szCs w:val="24"/>
        </w:rPr>
        <w:t xml:space="preserve">OD </w:t>
      </w:r>
    </w:p>
    <w:p w:rsidR="007D28B1" w:rsidRPr="00534C5B" w:rsidRDefault="007D28B1" w:rsidP="007D28B1">
      <w:pPr>
        <w:keepNext/>
        <w:keepLines/>
        <w:rPr>
          <w:rFonts w:ascii="Arial Narrow" w:eastAsiaTheme="minorHAnsi" w:hAnsi="Arial Narrow" w:cstheme="minorHAnsi"/>
          <w:b/>
          <w:sz w:val="20"/>
          <w:szCs w:val="20"/>
        </w:rPr>
      </w:pPr>
    </w:p>
    <w:p w:rsidR="007D28B1" w:rsidRPr="00534C5B" w:rsidRDefault="007D28B1" w:rsidP="007D28B1">
      <w:pPr>
        <w:keepNext/>
        <w:keepLines/>
        <w:rPr>
          <w:rFonts w:ascii="Arial Narrow" w:eastAsiaTheme="minorHAnsi" w:hAnsi="Arial Narrow" w:cstheme="minorHAnsi"/>
          <w:b/>
          <w:sz w:val="20"/>
          <w:szCs w:val="20"/>
        </w:rPr>
      </w:pPr>
      <w:r w:rsidRPr="00534C5B">
        <w:rPr>
          <w:rFonts w:ascii="Arial Narrow" w:eastAsiaTheme="minorHAnsi" w:hAnsi="Arial Narrow" w:cstheme="minorHAnsi"/>
          <w:b/>
          <w:sz w:val="20"/>
          <w:szCs w:val="20"/>
        </w:rPr>
        <w:t xml:space="preserve">Table </w:t>
      </w:r>
      <w:r w:rsidR="00AB5085" w:rsidRPr="00534C5B">
        <w:rPr>
          <w:rFonts w:ascii="Arial Narrow" w:eastAsiaTheme="minorHAnsi" w:hAnsi="Arial Narrow" w:cstheme="minorHAnsi"/>
          <w:b/>
          <w:sz w:val="20"/>
          <w:szCs w:val="20"/>
        </w:rPr>
        <w:t>1</w:t>
      </w:r>
      <w:r w:rsidRPr="00534C5B">
        <w:rPr>
          <w:rFonts w:ascii="Arial Narrow" w:eastAsiaTheme="minorHAnsi" w:hAnsi="Arial Narrow" w:cstheme="minorHAnsi"/>
          <w:b/>
          <w:sz w:val="20"/>
          <w:szCs w:val="20"/>
        </w:rPr>
        <w:t>: Cost-minimised price of nivolumab (480 mg Q4W) to dabrafenib+trametinib, without consideration of treatment duration</w:t>
      </w:r>
      <w:r w:rsidR="0022246E" w:rsidRPr="00534C5B">
        <w:rPr>
          <w:rFonts w:ascii="Arial Narrow" w:eastAsiaTheme="minorHAnsi" w:hAnsi="Arial Narrow" w:cstheme="minorHAnsi"/>
          <w:b/>
          <w:sz w:val="20"/>
          <w:szCs w:val="20"/>
        </w:rPr>
        <w:t>, using the published AEMPs (1 November 2019)</w:t>
      </w:r>
    </w:p>
    <w:tbl>
      <w:tblPr>
        <w:tblStyle w:val="TableGrid"/>
        <w:tblW w:w="0" w:type="auto"/>
        <w:tblLayout w:type="fixed"/>
        <w:tblLook w:val="04A0" w:firstRow="1" w:lastRow="0" w:firstColumn="1" w:lastColumn="0" w:noHBand="0" w:noVBand="1"/>
        <w:tblCaption w:val="Table 1: Cost-minimised price of nivolumab (480 mg Q4W) to dabrafenib+trametinib, without consideration of treatment duration, using the published AEMPs (1 November 2019)"/>
      </w:tblPr>
      <w:tblGrid>
        <w:gridCol w:w="421"/>
        <w:gridCol w:w="4252"/>
        <w:gridCol w:w="1843"/>
        <w:gridCol w:w="2500"/>
      </w:tblGrid>
      <w:tr w:rsidR="007D28B1" w:rsidRPr="00534C5B" w:rsidTr="00F15DAD">
        <w:trPr>
          <w:tblHeader/>
        </w:trPr>
        <w:tc>
          <w:tcPr>
            <w:tcW w:w="421" w:type="dxa"/>
            <w:tcMar>
              <w:left w:w="28" w:type="dxa"/>
              <w:right w:w="28" w:type="dxa"/>
            </w:tcMar>
          </w:tcPr>
          <w:p w:rsidR="007D28B1" w:rsidRPr="00534C5B" w:rsidRDefault="007D28B1" w:rsidP="00A70144">
            <w:pPr>
              <w:keepNext/>
              <w:keepLines/>
              <w:jc w:val="center"/>
              <w:rPr>
                <w:rFonts w:ascii="Arial Narrow" w:eastAsiaTheme="minorHAnsi" w:hAnsi="Arial Narrow" w:cstheme="minorHAnsi"/>
                <w:sz w:val="20"/>
                <w:szCs w:val="20"/>
              </w:rPr>
            </w:pPr>
            <w:r w:rsidRPr="00534C5B">
              <w:rPr>
                <w:rFonts w:ascii="Arial Narrow" w:eastAsiaTheme="minorHAnsi" w:hAnsi="Arial Narrow" w:cstheme="minorHAnsi"/>
                <w:sz w:val="20"/>
                <w:szCs w:val="20"/>
              </w:rPr>
              <w:t>A</w:t>
            </w:r>
          </w:p>
        </w:tc>
        <w:tc>
          <w:tcPr>
            <w:tcW w:w="4252" w:type="dxa"/>
            <w:tcMar>
              <w:left w:w="28" w:type="dxa"/>
              <w:right w:w="28" w:type="dxa"/>
            </w:tcMar>
          </w:tcPr>
          <w:p w:rsidR="007D28B1" w:rsidRPr="00534C5B" w:rsidRDefault="007D28B1" w:rsidP="00A70144">
            <w:pPr>
              <w:keepNext/>
              <w:keepLines/>
              <w:rPr>
                <w:rFonts w:ascii="Arial Narrow" w:eastAsiaTheme="minorHAnsi" w:hAnsi="Arial Narrow" w:cstheme="minorHAnsi"/>
                <w:sz w:val="20"/>
                <w:szCs w:val="20"/>
              </w:rPr>
            </w:pPr>
            <w:r w:rsidRPr="00534C5B">
              <w:rPr>
                <w:rFonts w:ascii="Arial Narrow" w:eastAsiaTheme="minorHAnsi" w:hAnsi="Arial Narrow" w:cstheme="minorHAnsi"/>
                <w:sz w:val="20"/>
                <w:szCs w:val="20"/>
              </w:rPr>
              <w:t>AEMP for 30 day supply of DAB</w:t>
            </w:r>
          </w:p>
        </w:tc>
        <w:tc>
          <w:tcPr>
            <w:tcW w:w="1843" w:type="dxa"/>
            <w:tcMar>
              <w:left w:w="28" w:type="dxa"/>
              <w:right w:w="28" w:type="dxa"/>
            </w:tcMar>
          </w:tcPr>
          <w:p w:rsidR="007D28B1" w:rsidRPr="00534C5B" w:rsidRDefault="007D28B1" w:rsidP="00A70144">
            <w:pPr>
              <w:keepNext/>
              <w:keepLines/>
              <w:jc w:val="center"/>
              <w:rPr>
                <w:rFonts w:ascii="Arial Narrow" w:eastAsiaTheme="minorHAnsi" w:hAnsi="Arial Narrow" w:cstheme="minorHAnsi"/>
                <w:sz w:val="20"/>
                <w:szCs w:val="20"/>
              </w:rPr>
            </w:pPr>
            <w:r w:rsidRPr="00534C5B">
              <w:rPr>
                <w:rFonts w:ascii="Arial Narrow" w:eastAsiaTheme="minorHAnsi" w:hAnsi="Arial Narrow" w:cstheme="minorHAnsi"/>
                <w:sz w:val="20"/>
                <w:szCs w:val="20"/>
              </w:rPr>
              <w:t>-</w:t>
            </w:r>
          </w:p>
        </w:tc>
        <w:tc>
          <w:tcPr>
            <w:tcW w:w="2500" w:type="dxa"/>
            <w:tcMar>
              <w:left w:w="28" w:type="dxa"/>
              <w:right w:w="28" w:type="dxa"/>
            </w:tcMar>
          </w:tcPr>
          <w:p w:rsidR="007D28B1" w:rsidRPr="00534C5B" w:rsidRDefault="0022246E" w:rsidP="0022246E">
            <w:pPr>
              <w:keepNext/>
              <w:keepLines/>
              <w:jc w:val="center"/>
              <w:rPr>
                <w:rFonts w:ascii="Arial Narrow" w:eastAsiaTheme="minorHAnsi" w:hAnsi="Arial Narrow" w:cstheme="minorHAnsi"/>
                <w:sz w:val="20"/>
                <w:szCs w:val="20"/>
              </w:rPr>
            </w:pPr>
            <w:r w:rsidRPr="00534C5B">
              <w:rPr>
                <w:rFonts w:ascii="Arial Narrow" w:eastAsiaTheme="minorHAnsi" w:hAnsi="Arial Narrow" w:cstheme="minorHAnsi"/>
                <w:sz w:val="20"/>
                <w:szCs w:val="20"/>
              </w:rPr>
              <w:t xml:space="preserve"> $8,181.56</w:t>
            </w:r>
          </w:p>
        </w:tc>
      </w:tr>
      <w:tr w:rsidR="007D28B1" w:rsidRPr="00534C5B" w:rsidTr="00F15DAD">
        <w:trPr>
          <w:tblHeader/>
        </w:trPr>
        <w:tc>
          <w:tcPr>
            <w:tcW w:w="421" w:type="dxa"/>
            <w:tcMar>
              <w:left w:w="28" w:type="dxa"/>
              <w:right w:w="28" w:type="dxa"/>
            </w:tcMar>
          </w:tcPr>
          <w:p w:rsidR="007D28B1" w:rsidRPr="00534C5B" w:rsidRDefault="007D28B1" w:rsidP="00A70144">
            <w:pPr>
              <w:keepNext/>
              <w:keepLines/>
              <w:jc w:val="center"/>
              <w:rPr>
                <w:rFonts w:ascii="Arial Narrow" w:eastAsiaTheme="minorHAnsi" w:hAnsi="Arial Narrow" w:cstheme="minorHAnsi"/>
                <w:sz w:val="20"/>
                <w:szCs w:val="20"/>
              </w:rPr>
            </w:pPr>
            <w:r w:rsidRPr="00534C5B">
              <w:rPr>
                <w:rFonts w:ascii="Arial Narrow" w:eastAsiaTheme="minorHAnsi" w:hAnsi="Arial Narrow" w:cstheme="minorHAnsi"/>
                <w:sz w:val="20"/>
                <w:szCs w:val="20"/>
              </w:rPr>
              <w:t>B</w:t>
            </w:r>
          </w:p>
        </w:tc>
        <w:tc>
          <w:tcPr>
            <w:tcW w:w="4252" w:type="dxa"/>
            <w:tcMar>
              <w:left w:w="28" w:type="dxa"/>
              <w:right w:w="28" w:type="dxa"/>
            </w:tcMar>
          </w:tcPr>
          <w:p w:rsidR="007D28B1" w:rsidRPr="00534C5B" w:rsidRDefault="007D28B1" w:rsidP="00A70144">
            <w:pPr>
              <w:keepNext/>
              <w:keepLines/>
              <w:rPr>
                <w:rFonts w:ascii="Arial Narrow" w:eastAsiaTheme="minorHAnsi" w:hAnsi="Arial Narrow" w:cstheme="minorHAnsi"/>
                <w:sz w:val="20"/>
                <w:szCs w:val="20"/>
              </w:rPr>
            </w:pPr>
            <w:r w:rsidRPr="00534C5B">
              <w:rPr>
                <w:rFonts w:ascii="Arial Narrow" w:eastAsiaTheme="minorHAnsi" w:hAnsi="Arial Narrow" w:cstheme="minorHAnsi"/>
                <w:sz w:val="20"/>
                <w:szCs w:val="20"/>
              </w:rPr>
              <w:t>AEMP for 30 day supply of TRAM</w:t>
            </w:r>
          </w:p>
        </w:tc>
        <w:tc>
          <w:tcPr>
            <w:tcW w:w="1843" w:type="dxa"/>
            <w:tcMar>
              <w:left w:w="28" w:type="dxa"/>
              <w:right w:w="28" w:type="dxa"/>
            </w:tcMar>
          </w:tcPr>
          <w:p w:rsidR="007D28B1" w:rsidRPr="00534C5B" w:rsidRDefault="007D28B1" w:rsidP="00A70144">
            <w:pPr>
              <w:keepNext/>
              <w:keepLines/>
              <w:jc w:val="center"/>
              <w:rPr>
                <w:rFonts w:ascii="Arial Narrow" w:eastAsiaTheme="minorHAnsi" w:hAnsi="Arial Narrow" w:cstheme="minorHAnsi"/>
                <w:sz w:val="20"/>
                <w:szCs w:val="20"/>
              </w:rPr>
            </w:pPr>
            <w:r w:rsidRPr="00534C5B">
              <w:rPr>
                <w:rFonts w:ascii="Arial Narrow" w:eastAsiaTheme="minorHAnsi" w:hAnsi="Arial Narrow" w:cstheme="minorHAnsi"/>
                <w:sz w:val="20"/>
                <w:szCs w:val="20"/>
              </w:rPr>
              <w:t>-</w:t>
            </w:r>
          </w:p>
        </w:tc>
        <w:tc>
          <w:tcPr>
            <w:tcW w:w="2500" w:type="dxa"/>
            <w:tcMar>
              <w:left w:w="28" w:type="dxa"/>
              <w:right w:w="28" w:type="dxa"/>
            </w:tcMar>
          </w:tcPr>
          <w:p w:rsidR="007D28B1" w:rsidRPr="00534C5B" w:rsidRDefault="0022246E" w:rsidP="00A70144">
            <w:pPr>
              <w:keepNext/>
              <w:keepLines/>
              <w:jc w:val="center"/>
              <w:rPr>
                <w:rFonts w:ascii="Arial Narrow" w:eastAsiaTheme="minorHAnsi" w:hAnsi="Arial Narrow" w:cstheme="minorHAnsi"/>
                <w:sz w:val="20"/>
                <w:szCs w:val="20"/>
              </w:rPr>
            </w:pPr>
            <w:r w:rsidRPr="00534C5B">
              <w:rPr>
                <w:rFonts w:ascii="Arial Narrow" w:eastAsiaTheme="minorHAnsi" w:hAnsi="Arial Narrow" w:cstheme="minorHAnsi"/>
                <w:sz w:val="20"/>
                <w:szCs w:val="20"/>
              </w:rPr>
              <w:t xml:space="preserve"> $8,612.17</w:t>
            </w:r>
          </w:p>
        </w:tc>
      </w:tr>
      <w:tr w:rsidR="007D28B1" w:rsidRPr="00534C5B" w:rsidTr="00F15DAD">
        <w:trPr>
          <w:tblHeader/>
        </w:trPr>
        <w:tc>
          <w:tcPr>
            <w:tcW w:w="421" w:type="dxa"/>
            <w:tcMar>
              <w:left w:w="28" w:type="dxa"/>
              <w:right w:w="28" w:type="dxa"/>
            </w:tcMar>
          </w:tcPr>
          <w:p w:rsidR="007D28B1" w:rsidRPr="00534C5B" w:rsidRDefault="007D28B1" w:rsidP="00A70144">
            <w:pPr>
              <w:keepNext/>
              <w:keepLines/>
              <w:jc w:val="center"/>
              <w:rPr>
                <w:rFonts w:ascii="Arial Narrow" w:eastAsiaTheme="minorHAnsi" w:hAnsi="Arial Narrow" w:cstheme="minorHAnsi"/>
                <w:sz w:val="20"/>
                <w:szCs w:val="20"/>
              </w:rPr>
            </w:pPr>
            <w:r w:rsidRPr="00534C5B">
              <w:rPr>
                <w:rFonts w:ascii="Arial Narrow" w:eastAsiaTheme="minorHAnsi" w:hAnsi="Arial Narrow" w:cstheme="minorHAnsi"/>
                <w:sz w:val="20"/>
                <w:szCs w:val="20"/>
              </w:rPr>
              <w:t>C</w:t>
            </w:r>
          </w:p>
        </w:tc>
        <w:tc>
          <w:tcPr>
            <w:tcW w:w="4252" w:type="dxa"/>
            <w:tcMar>
              <w:left w:w="28" w:type="dxa"/>
              <w:right w:w="28" w:type="dxa"/>
            </w:tcMar>
          </w:tcPr>
          <w:p w:rsidR="007D28B1" w:rsidRPr="00534C5B" w:rsidRDefault="007D28B1" w:rsidP="00A70144">
            <w:pPr>
              <w:keepNext/>
              <w:keepLines/>
              <w:rPr>
                <w:rFonts w:ascii="Arial Narrow" w:eastAsiaTheme="minorHAnsi" w:hAnsi="Arial Narrow" w:cstheme="minorHAnsi"/>
                <w:sz w:val="20"/>
                <w:szCs w:val="20"/>
              </w:rPr>
            </w:pPr>
            <w:r w:rsidRPr="00534C5B">
              <w:rPr>
                <w:rFonts w:ascii="Arial Narrow" w:eastAsiaTheme="minorHAnsi" w:hAnsi="Arial Narrow" w:cstheme="minorHAnsi"/>
                <w:sz w:val="20"/>
                <w:szCs w:val="20"/>
              </w:rPr>
              <w:t>AEMP for 30 day supply of DAB+TRAM</w:t>
            </w:r>
          </w:p>
        </w:tc>
        <w:tc>
          <w:tcPr>
            <w:tcW w:w="1843" w:type="dxa"/>
            <w:tcMar>
              <w:left w:w="28" w:type="dxa"/>
              <w:right w:w="28" w:type="dxa"/>
            </w:tcMar>
          </w:tcPr>
          <w:p w:rsidR="007D28B1" w:rsidRPr="00534C5B" w:rsidRDefault="007D28B1" w:rsidP="00A70144">
            <w:pPr>
              <w:keepNext/>
              <w:keepLines/>
              <w:jc w:val="center"/>
              <w:rPr>
                <w:rFonts w:ascii="Arial Narrow" w:eastAsiaTheme="minorHAnsi" w:hAnsi="Arial Narrow" w:cstheme="minorHAnsi"/>
                <w:sz w:val="20"/>
                <w:szCs w:val="20"/>
              </w:rPr>
            </w:pPr>
            <w:r w:rsidRPr="00534C5B">
              <w:rPr>
                <w:rFonts w:ascii="Arial Narrow" w:eastAsiaTheme="minorHAnsi" w:hAnsi="Arial Narrow" w:cstheme="minorHAnsi"/>
                <w:sz w:val="20"/>
                <w:szCs w:val="20"/>
              </w:rPr>
              <w:t>A + B</w:t>
            </w:r>
          </w:p>
        </w:tc>
        <w:tc>
          <w:tcPr>
            <w:tcW w:w="2500" w:type="dxa"/>
            <w:tcMar>
              <w:left w:w="28" w:type="dxa"/>
              <w:right w:w="28" w:type="dxa"/>
            </w:tcMar>
          </w:tcPr>
          <w:p w:rsidR="007D28B1" w:rsidRPr="00534C5B" w:rsidRDefault="0022246E" w:rsidP="00A70144">
            <w:pPr>
              <w:keepNext/>
              <w:keepLines/>
              <w:jc w:val="center"/>
              <w:rPr>
                <w:rFonts w:ascii="Arial Narrow" w:eastAsiaTheme="minorHAnsi" w:hAnsi="Arial Narrow" w:cstheme="minorHAnsi"/>
                <w:sz w:val="20"/>
                <w:szCs w:val="20"/>
              </w:rPr>
            </w:pPr>
            <w:r w:rsidRPr="00534C5B">
              <w:rPr>
                <w:rFonts w:ascii="Arial Narrow" w:eastAsiaTheme="minorHAnsi" w:hAnsi="Arial Narrow" w:cstheme="minorHAnsi"/>
                <w:sz w:val="20"/>
                <w:szCs w:val="20"/>
              </w:rPr>
              <w:t xml:space="preserve"> $16,793.73</w:t>
            </w:r>
          </w:p>
        </w:tc>
      </w:tr>
      <w:tr w:rsidR="007D28B1" w:rsidRPr="00534C5B" w:rsidTr="00F15DAD">
        <w:trPr>
          <w:tblHeader/>
        </w:trPr>
        <w:tc>
          <w:tcPr>
            <w:tcW w:w="421" w:type="dxa"/>
            <w:tcMar>
              <w:left w:w="28" w:type="dxa"/>
              <w:right w:w="28" w:type="dxa"/>
            </w:tcMar>
          </w:tcPr>
          <w:p w:rsidR="007D28B1" w:rsidRPr="00534C5B" w:rsidRDefault="007D28B1" w:rsidP="00A70144">
            <w:pPr>
              <w:keepNext/>
              <w:keepLines/>
              <w:jc w:val="center"/>
              <w:rPr>
                <w:rFonts w:ascii="Arial Narrow" w:eastAsiaTheme="minorHAnsi" w:hAnsi="Arial Narrow" w:cstheme="minorHAnsi"/>
                <w:sz w:val="20"/>
                <w:szCs w:val="20"/>
              </w:rPr>
            </w:pPr>
            <w:r w:rsidRPr="00534C5B">
              <w:rPr>
                <w:rFonts w:ascii="Arial Narrow" w:eastAsiaTheme="minorHAnsi" w:hAnsi="Arial Narrow" w:cstheme="minorHAnsi"/>
                <w:sz w:val="20"/>
                <w:szCs w:val="20"/>
              </w:rPr>
              <w:t>D</w:t>
            </w:r>
          </w:p>
        </w:tc>
        <w:tc>
          <w:tcPr>
            <w:tcW w:w="4252" w:type="dxa"/>
            <w:tcMar>
              <w:left w:w="28" w:type="dxa"/>
              <w:right w:w="28" w:type="dxa"/>
            </w:tcMar>
          </w:tcPr>
          <w:p w:rsidR="007D28B1" w:rsidRPr="00534C5B" w:rsidRDefault="007D28B1" w:rsidP="00A70144">
            <w:pPr>
              <w:keepNext/>
              <w:keepLines/>
              <w:rPr>
                <w:rFonts w:ascii="Arial Narrow" w:eastAsiaTheme="minorHAnsi" w:hAnsi="Arial Narrow" w:cstheme="minorHAnsi"/>
                <w:sz w:val="20"/>
                <w:szCs w:val="20"/>
              </w:rPr>
            </w:pPr>
            <w:r w:rsidRPr="00534C5B">
              <w:rPr>
                <w:rFonts w:ascii="Arial Narrow" w:eastAsiaTheme="minorHAnsi" w:hAnsi="Arial Narrow" w:cstheme="minorHAnsi"/>
                <w:sz w:val="20"/>
                <w:szCs w:val="20"/>
              </w:rPr>
              <w:t>AEMP for years supply of DAB+TRAM</w:t>
            </w:r>
          </w:p>
        </w:tc>
        <w:tc>
          <w:tcPr>
            <w:tcW w:w="1843" w:type="dxa"/>
            <w:tcMar>
              <w:left w:w="28" w:type="dxa"/>
              <w:right w:w="28" w:type="dxa"/>
            </w:tcMar>
          </w:tcPr>
          <w:p w:rsidR="007D28B1" w:rsidRPr="00534C5B" w:rsidRDefault="007D28B1" w:rsidP="00A70144">
            <w:pPr>
              <w:keepNext/>
              <w:keepLines/>
              <w:jc w:val="center"/>
              <w:rPr>
                <w:rFonts w:ascii="Arial Narrow" w:eastAsiaTheme="minorHAnsi" w:hAnsi="Arial Narrow" w:cstheme="minorHAnsi"/>
                <w:sz w:val="20"/>
                <w:szCs w:val="20"/>
              </w:rPr>
            </w:pPr>
            <w:r w:rsidRPr="00534C5B">
              <w:rPr>
                <w:rFonts w:ascii="Arial Narrow" w:eastAsiaTheme="minorHAnsi" w:hAnsi="Arial Narrow" w:cstheme="minorHAnsi"/>
                <w:sz w:val="20"/>
                <w:szCs w:val="20"/>
              </w:rPr>
              <w:t>C * 12.175</w:t>
            </w:r>
            <w:r w:rsidRPr="00534C5B">
              <w:rPr>
                <w:rFonts w:ascii="Arial Narrow" w:eastAsiaTheme="minorHAnsi" w:hAnsi="Arial Narrow" w:cstheme="minorHAnsi"/>
                <w:sz w:val="20"/>
                <w:szCs w:val="20"/>
                <w:vertAlign w:val="superscript"/>
              </w:rPr>
              <w:t>a</w:t>
            </w:r>
          </w:p>
        </w:tc>
        <w:tc>
          <w:tcPr>
            <w:tcW w:w="2500" w:type="dxa"/>
            <w:tcMar>
              <w:left w:w="28" w:type="dxa"/>
              <w:right w:w="28" w:type="dxa"/>
            </w:tcMar>
          </w:tcPr>
          <w:p w:rsidR="007D28B1" w:rsidRPr="00534C5B" w:rsidRDefault="0022246E" w:rsidP="00A70144">
            <w:pPr>
              <w:keepNext/>
              <w:keepLines/>
              <w:jc w:val="center"/>
              <w:rPr>
                <w:rFonts w:ascii="Arial Narrow" w:eastAsiaTheme="minorHAnsi" w:hAnsi="Arial Narrow" w:cstheme="minorHAnsi"/>
                <w:sz w:val="20"/>
                <w:szCs w:val="20"/>
              </w:rPr>
            </w:pPr>
            <w:r w:rsidRPr="00534C5B">
              <w:rPr>
                <w:rFonts w:ascii="Arial Narrow" w:eastAsiaTheme="minorHAnsi" w:hAnsi="Arial Narrow" w:cstheme="minorHAnsi"/>
                <w:sz w:val="20"/>
                <w:szCs w:val="20"/>
              </w:rPr>
              <w:t xml:space="preserve"> $204,463.66</w:t>
            </w:r>
          </w:p>
        </w:tc>
      </w:tr>
      <w:tr w:rsidR="007D28B1" w:rsidRPr="00534C5B" w:rsidTr="00F15DAD">
        <w:trPr>
          <w:tblHeader/>
        </w:trPr>
        <w:tc>
          <w:tcPr>
            <w:tcW w:w="421" w:type="dxa"/>
            <w:tcMar>
              <w:left w:w="28" w:type="dxa"/>
              <w:right w:w="28" w:type="dxa"/>
            </w:tcMar>
          </w:tcPr>
          <w:p w:rsidR="007D28B1" w:rsidRPr="00534C5B" w:rsidRDefault="007D28B1" w:rsidP="00A70144">
            <w:pPr>
              <w:keepNext/>
              <w:keepLines/>
              <w:jc w:val="center"/>
              <w:rPr>
                <w:rFonts w:ascii="Arial Narrow" w:eastAsiaTheme="minorHAnsi" w:hAnsi="Arial Narrow" w:cstheme="minorHAnsi"/>
                <w:sz w:val="20"/>
                <w:szCs w:val="20"/>
              </w:rPr>
            </w:pPr>
            <w:r w:rsidRPr="00534C5B">
              <w:rPr>
                <w:rFonts w:ascii="Arial Narrow" w:eastAsiaTheme="minorHAnsi" w:hAnsi="Arial Narrow" w:cstheme="minorHAnsi"/>
                <w:sz w:val="20"/>
                <w:szCs w:val="20"/>
              </w:rPr>
              <w:t>E</w:t>
            </w:r>
          </w:p>
        </w:tc>
        <w:tc>
          <w:tcPr>
            <w:tcW w:w="4252" w:type="dxa"/>
            <w:tcMar>
              <w:left w:w="28" w:type="dxa"/>
              <w:right w:w="28" w:type="dxa"/>
            </w:tcMar>
          </w:tcPr>
          <w:p w:rsidR="007D28B1" w:rsidRPr="00534C5B" w:rsidRDefault="007D28B1" w:rsidP="00A70144">
            <w:pPr>
              <w:keepNext/>
              <w:keepLines/>
              <w:rPr>
                <w:rFonts w:ascii="Arial Narrow" w:eastAsiaTheme="minorHAnsi" w:hAnsi="Arial Narrow" w:cstheme="minorHAnsi"/>
                <w:sz w:val="20"/>
                <w:szCs w:val="20"/>
              </w:rPr>
            </w:pPr>
            <w:r w:rsidRPr="00534C5B">
              <w:rPr>
                <w:rFonts w:ascii="Arial Narrow" w:eastAsiaTheme="minorHAnsi" w:hAnsi="Arial Narrow" w:cstheme="minorHAnsi"/>
                <w:sz w:val="20"/>
                <w:szCs w:val="20"/>
              </w:rPr>
              <w:t>Dose of NIVO</w:t>
            </w:r>
          </w:p>
        </w:tc>
        <w:tc>
          <w:tcPr>
            <w:tcW w:w="1843" w:type="dxa"/>
            <w:tcMar>
              <w:left w:w="28" w:type="dxa"/>
              <w:right w:w="28" w:type="dxa"/>
            </w:tcMar>
          </w:tcPr>
          <w:p w:rsidR="007D28B1" w:rsidRPr="00534C5B" w:rsidRDefault="007D28B1" w:rsidP="00A70144">
            <w:pPr>
              <w:keepNext/>
              <w:keepLines/>
              <w:jc w:val="center"/>
              <w:rPr>
                <w:rFonts w:ascii="Arial Narrow" w:eastAsiaTheme="minorHAnsi" w:hAnsi="Arial Narrow" w:cstheme="minorHAnsi"/>
                <w:sz w:val="20"/>
                <w:szCs w:val="20"/>
              </w:rPr>
            </w:pPr>
            <w:r w:rsidRPr="00534C5B">
              <w:rPr>
                <w:rFonts w:ascii="Arial Narrow" w:eastAsiaTheme="minorHAnsi" w:hAnsi="Arial Narrow" w:cstheme="minorHAnsi"/>
                <w:sz w:val="20"/>
                <w:szCs w:val="20"/>
              </w:rPr>
              <w:t>-</w:t>
            </w:r>
          </w:p>
        </w:tc>
        <w:tc>
          <w:tcPr>
            <w:tcW w:w="2500" w:type="dxa"/>
            <w:tcMar>
              <w:left w:w="28" w:type="dxa"/>
              <w:right w:w="28" w:type="dxa"/>
            </w:tcMar>
          </w:tcPr>
          <w:p w:rsidR="007D28B1" w:rsidRPr="00534C5B" w:rsidRDefault="007D28B1" w:rsidP="00A70144">
            <w:pPr>
              <w:keepNext/>
              <w:keepLines/>
              <w:jc w:val="center"/>
              <w:rPr>
                <w:rFonts w:ascii="Arial Narrow" w:eastAsiaTheme="minorHAnsi" w:hAnsi="Arial Narrow" w:cstheme="minorHAnsi"/>
                <w:sz w:val="20"/>
                <w:szCs w:val="20"/>
              </w:rPr>
            </w:pPr>
            <w:r w:rsidRPr="00534C5B">
              <w:rPr>
                <w:rFonts w:ascii="Arial Narrow" w:eastAsiaTheme="minorHAnsi" w:hAnsi="Arial Narrow" w:cstheme="minorHAnsi"/>
                <w:sz w:val="20"/>
                <w:szCs w:val="20"/>
              </w:rPr>
              <w:t>480 mg every four weeks</w:t>
            </w:r>
          </w:p>
        </w:tc>
      </w:tr>
      <w:tr w:rsidR="007D28B1" w:rsidRPr="00534C5B" w:rsidTr="00F15DAD">
        <w:trPr>
          <w:tblHeader/>
        </w:trPr>
        <w:tc>
          <w:tcPr>
            <w:tcW w:w="421" w:type="dxa"/>
            <w:tcMar>
              <w:left w:w="28" w:type="dxa"/>
              <w:right w:w="28" w:type="dxa"/>
            </w:tcMar>
          </w:tcPr>
          <w:p w:rsidR="007D28B1" w:rsidRPr="00534C5B" w:rsidRDefault="007D28B1" w:rsidP="00A70144">
            <w:pPr>
              <w:keepNext/>
              <w:keepLines/>
              <w:jc w:val="center"/>
              <w:rPr>
                <w:rFonts w:ascii="Arial Narrow" w:eastAsiaTheme="minorHAnsi" w:hAnsi="Arial Narrow" w:cstheme="minorHAnsi"/>
                <w:sz w:val="20"/>
                <w:szCs w:val="20"/>
              </w:rPr>
            </w:pPr>
            <w:r w:rsidRPr="00534C5B">
              <w:rPr>
                <w:rFonts w:ascii="Arial Narrow" w:eastAsiaTheme="minorHAnsi" w:hAnsi="Arial Narrow" w:cstheme="minorHAnsi"/>
                <w:sz w:val="20"/>
                <w:szCs w:val="20"/>
              </w:rPr>
              <w:t>F</w:t>
            </w:r>
          </w:p>
        </w:tc>
        <w:tc>
          <w:tcPr>
            <w:tcW w:w="4252" w:type="dxa"/>
            <w:tcMar>
              <w:left w:w="28" w:type="dxa"/>
              <w:right w:w="28" w:type="dxa"/>
            </w:tcMar>
          </w:tcPr>
          <w:p w:rsidR="007D28B1" w:rsidRPr="00534C5B" w:rsidRDefault="007D28B1" w:rsidP="00A70144">
            <w:pPr>
              <w:keepNext/>
              <w:keepLines/>
              <w:rPr>
                <w:rFonts w:ascii="Arial Narrow" w:eastAsiaTheme="minorHAnsi" w:hAnsi="Arial Narrow" w:cstheme="minorHAnsi"/>
                <w:sz w:val="20"/>
                <w:szCs w:val="20"/>
              </w:rPr>
            </w:pPr>
            <w:r w:rsidRPr="00534C5B">
              <w:rPr>
                <w:rFonts w:ascii="Arial Narrow" w:eastAsiaTheme="minorHAnsi" w:hAnsi="Arial Narrow" w:cstheme="minorHAnsi"/>
                <w:sz w:val="20"/>
                <w:szCs w:val="20"/>
              </w:rPr>
              <w:t>Yearly dose of NIVO</w:t>
            </w:r>
          </w:p>
        </w:tc>
        <w:tc>
          <w:tcPr>
            <w:tcW w:w="1843" w:type="dxa"/>
            <w:tcMar>
              <w:left w:w="28" w:type="dxa"/>
              <w:right w:w="28" w:type="dxa"/>
            </w:tcMar>
          </w:tcPr>
          <w:p w:rsidR="007D28B1" w:rsidRPr="00534C5B" w:rsidRDefault="007D28B1" w:rsidP="00A70144">
            <w:pPr>
              <w:keepNext/>
              <w:keepLines/>
              <w:jc w:val="center"/>
              <w:rPr>
                <w:rFonts w:ascii="Arial Narrow" w:eastAsiaTheme="minorHAnsi" w:hAnsi="Arial Narrow" w:cstheme="minorHAnsi"/>
                <w:sz w:val="20"/>
                <w:szCs w:val="20"/>
              </w:rPr>
            </w:pPr>
            <w:r w:rsidRPr="00534C5B">
              <w:rPr>
                <w:rFonts w:ascii="Arial Narrow" w:eastAsiaTheme="minorHAnsi" w:hAnsi="Arial Narrow" w:cstheme="minorHAnsi"/>
                <w:sz w:val="20"/>
                <w:szCs w:val="20"/>
              </w:rPr>
              <w:t>E * 13.04</w:t>
            </w:r>
            <w:r w:rsidRPr="00534C5B">
              <w:rPr>
                <w:rFonts w:ascii="Arial Narrow" w:eastAsiaTheme="minorHAnsi" w:hAnsi="Arial Narrow" w:cstheme="minorHAnsi"/>
                <w:sz w:val="20"/>
                <w:szCs w:val="20"/>
                <w:vertAlign w:val="superscript"/>
              </w:rPr>
              <w:t>b</w:t>
            </w:r>
          </w:p>
        </w:tc>
        <w:tc>
          <w:tcPr>
            <w:tcW w:w="2500" w:type="dxa"/>
            <w:tcMar>
              <w:left w:w="28" w:type="dxa"/>
              <w:right w:w="28" w:type="dxa"/>
            </w:tcMar>
          </w:tcPr>
          <w:p w:rsidR="007D28B1" w:rsidRPr="00534C5B" w:rsidRDefault="007D28B1" w:rsidP="00A70144">
            <w:pPr>
              <w:keepNext/>
              <w:keepLines/>
              <w:jc w:val="center"/>
              <w:rPr>
                <w:rFonts w:ascii="Arial Narrow" w:eastAsiaTheme="minorHAnsi" w:hAnsi="Arial Narrow" w:cstheme="minorHAnsi"/>
                <w:sz w:val="20"/>
                <w:szCs w:val="20"/>
              </w:rPr>
            </w:pPr>
            <w:r w:rsidRPr="00534C5B">
              <w:rPr>
                <w:rFonts w:ascii="Arial Narrow" w:eastAsiaTheme="minorHAnsi" w:hAnsi="Arial Narrow" w:cstheme="minorHAnsi"/>
                <w:sz w:val="20"/>
                <w:szCs w:val="20"/>
              </w:rPr>
              <w:t>6,261.43 mg</w:t>
            </w:r>
          </w:p>
        </w:tc>
      </w:tr>
      <w:tr w:rsidR="007D28B1" w:rsidRPr="00534C5B" w:rsidTr="00F15DAD">
        <w:trPr>
          <w:tblHeader/>
        </w:trPr>
        <w:tc>
          <w:tcPr>
            <w:tcW w:w="421" w:type="dxa"/>
            <w:tcMar>
              <w:left w:w="28" w:type="dxa"/>
              <w:right w:w="28" w:type="dxa"/>
            </w:tcMar>
          </w:tcPr>
          <w:p w:rsidR="007D28B1" w:rsidRPr="00534C5B" w:rsidRDefault="007D28B1" w:rsidP="00A70144">
            <w:pPr>
              <w:keepNext/>
              <w:keepLines/>
              <w:jc w:val="center"/>
              <w:rPr>
                <w:rFonts w:ascii="Arial Narrow" w:eastAsiaTheme="minorHAnsi" w:hAnsi="Arial Narrow" w:cstheme="minorHAnsi"/>
                <w:sz w:val="20"/>
                <w:szCs w:val="20"/>
              </w:rPr>
            </w:pPr>
            <w:r w:rsidRPr="00534C5B">
              <w:rPr>
                <w:rFonts w:ascii="Arial Narrow" w:eastAsiaTheme="minorHAnsi" w:hAnsi="Arial Narrow" w:cstheme="minorHAnsi"/>
                <w:sz w:val="20"/>
                <w:szCs w:val="20"/>
              </w:rPr>
              <w:t>G</w:t>
            </w:r>
          </w:p>
        </w:tc>
        <w:tc>
          <w:tcPr>
            <w:tcW w:w="4252" w:type="dxa"/>
            <w:tcMar>
              <w:left w:w="28" w:type="dxa"/>
              <w:right w:w="28" w:type="dxa"/>
            </w:tcMar>
          </w:tcPr>
          <w:p w:rsidR="007D28B1" w:rsidRPr="00534C5B" w:rsidRDefault="007D28B1" w:rsidP="00A70144">
            <w:pPr>
              <w:keepNext/>
              <w:keepLines/>
              <w:rPr>
                <w:rFonts w:ascii="Arial Narrow" w:eastAsiaTheme="minorHAnsi" w:hAnsi="Arial Narrow" w:cstheme="minorHAnsi"/>
                <w:sz w:val="20"/>
                <w:szCs w:val="20"/>
              </w:rPr>
            </w:pPr>
            <w:r w:rsidRPr="00534C5B">
              <w:rPr>
                <w:rFonts w:ascii="Arial Narrow" w:eastAsiaTheme="minorHAnsi" w:hAnsi="Arial Narrow" w:cstheme="minorHAnsi"/>
                <w:sz w:val="20"/>
                <w:szCs w:val="20"/>
              </w:rPr>
              <w:t>Cost of NIVO administration per year</w:t>
            </w:r>
          </w:p>
        </w:tc>
        <w:tc>
          <w:tcPr>
            <w:tcW w:w="1843" w:type="dxa"/>
            <w:tcMar>
              <w:left w:w="28" w:type="dxa"/>
              <w:right w:w="28" w:type="dxa"/>
            </w:tcMar>
          </w:tcPr>
          <w:p w:rsidR="007D28B1" w:rsidRPr="00534C5B" w:rsidRDefault="007D28B1" w:rsidP="00A70144">
            <w:pPr>
              <w:keepNext/>
              <w:keepLines/>
              <w:jc w:val="center"/>
              <w:rPr>
                <w:rFonts w:ascii="Arial Narrow" w:eastAsiaTheme="minorHAnsi" w:hAnsi="Arial Narrow" w:cstheme="minorHAnsi"/>
                <w:sz w:val="20"/>
                <w:szCs w:val="20"/>
              </w:rPr>
            </w:pPr>
            <w:r w:rsidRPr="00534C5B">
              <w:rPr>
                <w:rFonts w:ascii="Arial Narrow" w:eastAsiaTheme="minorHAnsi" w:hAnsi="Arial Narrow" w:cstheme="minorHAnsi"/>
                <w:sz w:val="20"/>
                <w:szCs w:val="20"/>
              </w:rPr>
              <w:t>$66.10</w:t>
            </w:r>
            <w:r w:rsidRPr="00534C5B">
              <w:rPr>
                <w:rFonts w:ascii="Arial Narrow" w:eastAsiaTheme="minorHAnsi" w:hAnsi="Arial Narrow" w:cstheme="minorHAnsi"/>
                <w:sz w:val="20"/>
                <w:szCs w:val="20"/>
                <w:vertAlign w:val="superscript"/>
              </w:rPr>
              <w:t>c</w:t>
            </w:r>
            <w:r w:rsidRPr="00534C5B">
              <w:rPr>
                <w:rFonts w:ascii="Arial Narrow" w:eastAsiaTheme="minorHAnsi" w:hAnsi="Arial Narrow" w:cstheme="minorHAnsi"/>
                <w:sz w:val="20"/>
                <w:szCs w:val="20"/>
              </w:rPr>
              <w:t xml:space="preserve"> * 13.04</w:t>
            </w:r>
            <w:r w:rsidRPr="00534C5B">
              <w:rPr>
                <w:rFonts w:ascii="Arial Narrow" w:eastAsiaTheme="minorHAnsi" w:hAnsi="Arial Narrow" w:cstheme="minorHAnsi"/>
                <w:sz w:val="20"/>
                <w:szCs w:val="20"/>
                <w:vertAlign w:val="superscript"/>
              </w:rPr>
              <w:t>b</w:t>
            </w:r>
          </w:p>
        </w:tc>
        <w:tc>
          <w:tcPr>
            <w:tcW w:w="2500" w:type="dxa"/>
            <w:tcMar>
              <w:left w:w="28" w:type="dxa"/>
              <w:right w:w="28" w:type="dxa"/>
            </w:tcMar>
          </w:tcPr>
          <w:p w:rsidR="007D28B1" w:rsidRPr="00534C5B" w:rsidRDefault="007D28B1" w:rsidP="00A70144">
            <w:pPr>
              <w:keepNext/>
              <w:keepLines/>
              <w:jc w:val="center"/>
              <w:rPr>
                <w:rFonts w:ascii="Arial Narrow" w:eastAsiaTheme="minorHAnsi" w:hAnsi="Arial Narrow" w:cstheme="minorHAnsi"/>
                <w:sz w:val="20"/>
                <w:szCs w:val="20"/>
              </w:rPr>
            </w:pPr>
            <w:r w:rsidRPr="00534C5B">
              <w:rPr>
                <w:rFonts w:ascii="Arial Narrow" w:eastAsiaTheme="minorHAnsi" w:hAnsi="Arial Narrow" w:cstheme="minorHAnsi"/>
                <w:sz w:val="20"/>
                <w:szCs w:val="20"/>
              </w:rPr>
              <w:t>$862.25</w:t>
            </w:r>
          </w:p>
        </w:tc>
      </w:tr>
      <w:tr w:rsidR="007D28B1" w:rsidRPr="00534C5B" w:rsidTr="00F15DAD">
        <w:trPr>
          <w:tblHeader/>
        </w:trPr>
        <w:tc>
          <w:tcPr>
            <w:tcW w:w="421" w:type="dxa"/>
            <w:tcMar>
              <w:left w:w="28" w:type="dxa"/>
              <w:right w:w="28" w:type="dxa"/>
            </w:tcMar>
          </w:tcPr>
          <w:p w:rsidR="007D28B1" w:rsidRPr="00534C5B" w:rsidRDefault="007D28B1" w:rsidP="00A70144">
            <w:pPr>
              <w:keepNext/>
              <w:keepLines/>
              <w:jc w:val="center"/>
              <w:rPr>
                <w:rFonts w:ascii="Arial Narrow" w:eastAsiaTheme="minorHAnsi" w:hAnsi="Arial Narrow" w:cstheme="minorHAnsi"/>
                <w:sz w:val="20"/>
                <w:szCs w:val="20"/>
              </w:rPr>
            </w:pPr>
            <w:r w:rsidRPr="00534C5B">
              <w:rPr>
                <w:rFonts w:ascii="Arial Narrow" w:eastAsiaTheme="minorHAnsi" w:hAnsi="Arial Narrow" w:cstheme="minorHAnsi"/>
                <w:sz w:val="20"/>
                <w:szCs w:val="20"/>
              </w:rPr>
              <w:t>H</w:t>
            </w:r>
          </w:p>
        </w:tc>
        <w:tc>
          <w:tcPr>
            <w:tcW w:w="4252" w:type="dxa"/>
            <w:tcMar>
              <w:left w:w="28" w:type="dxa"/>
              <w:right w:w="28" w:type="dxa"/>
            </w:tcMar>
          </w:tcPr>
          <w:p w:rsidR="007D28B1" w:rsidRPr="00534C5B" w:rsidRDefault="007D28B1" w:rsidP="00A70144">
            <w:pPr>
              <w:keepNext/>
              <w:keepLines/>
              <w:rPr>
                <w:rFonts w:ascii="Arial Narrow" w:eastAsiaTheme="minorHAnsi" w:hAnsi="Arial Narrow" w:cstheme="minorHAnsi"/>
                <w:sz w:val="20"/>
                <w:szCs w:val="20"/>
              </w:rPr>
            </w:pPr>
            <w:r w:rsidRPr="00534C5B">
              <w:rPr>
                <w:rFonts w:ascii="Arial Narrow" w:eastAsiaTheme="minorHAnsi" w:hAnsi="Arial Narrow" w:cstheme="minorHAnsi"/>
                <w:sz w:val="20"/>
                <w:szCs w:val="20"/>
              </w:rPr>
              <w:t>Cost of NIVO year</w:t>
            </w:r>
          </w:p>
        </w:tc>
        <w:tc>
          <w:tcPr>
            <w:tcW w:w="1843" w:type="dxa"/>
            <w:tcMar>
              <w:left w:w="28" w:type="dxa"/>
              <w:right w:w="28" w:type="dxa"/>
            </w:tcMar>
          </w:tcPr>
          <w:p w:rsidR="007D28B1" w:rsidRPr="00534C5B" w:rsidRDefault="007D28B1" w:rsidP="00A70144">
            <w:pPr>
              <w:keepNext/>
              <w:keepLines/>
              <w:jc w:val="center"/>
              <w:rPr>
                <w:rFonts w:ascii="Arial Narrow" w:eastAsiaTheme="minorHAnsi" w:hAnsi="Arial Narrow" w:cstheme="minorHAnsi"/>
                <w:sz w:val="20"/>
                <w:szCs w:val="20"/>
              </w:rPr>
            </w:pPr>
            <w:r w:rsidRPr="00534C5B">
              <w:rPr>
                <w:rFonts w:ascii="Arial Narrow" w:eastAsiaTheme="minorHAnsi" w:hAnsi="Arial Narrow" w:cstheme="minorHAnsi"/>
                <w:sz w:val="20"/>
                <w:szCs w:val="20"/>
              </w:rPr>
              <w:t>D – G</w:t>
            </w:r>
          </w:p>
        </w:tc>
        <w:tc>
          <w:tcPr>
            <w:tcW w:w="2500" w:type="dxa"/>
            <w:tcMar>
              <w:left w:w="28" w:type="dxa"/>
              <w:right w:w="28" w:type="dxa"/>
            </w:tcMar>
          </w:tcPr>
          <w:p w:rsidR="007D28B1" w:rsidRPr="00534C5B" w:rsidRDefault="0022246E" w:rsidP="00A70144">
            <w:pPr>
              <w:keepNext/>
              <w:keepLines/>
              <w:jc w:val="center"/>
              <w:rPr>
                <w:rFonts w:ascii="Arial Narrow" w:eastAsiaTheme="minorHAnsi" w:hAnsi="Arial Narrow" w:cstheme="minorHAnsi"/>
                <w:sz w:val="20"/>
                <w:szCs w:val="20"/>
              </w:rPr>
            </w:pPr>
            <w:r w:rsidRPr="00534C5B">
              <w:rPr>
                <w:rFonts w:ascii="Arial Narrow" w:eastAsiaTheme="minorHAnsi" w:hAnsi="Arial Narrow" w:cstheme="minorHAnsi"/>
                <w:sz w:val="20"/>
                <w:szCs w:val="20"/>
              </w:rPr>
              <w:t xml:space="preserve"> $203,601.41</w:t>
            </w:r>
          </w:p>
        </w:tc>
      </w:tr>
      <w:tr w:rsidR="007D28B1" w:rsidRPr="00534C5B" w:rsidTr="00F15DAD">
        <w:trPr>
          <w:tblHeader/>
        </w:trPr>
        <w:tc>
          <w:tcPr>
            <w:tcW w:w="421" w:type="dxa"/>
            <w:tcMar>
              <w:left w:w="28" w:type="dxa"/>
              <w:right w:w="28" w:type="dxa"/>
            </w:tcMar>
          </w:tcPr>
          <w:p w:rsidR="007D28B1" w:rsidRPr="00534C5B" w:rsidRDefault="007D28B1" w:rsidP="00A70144">
            <w:pPr>
              <w:keepNext/>
              <w:keepLines/>
              <w:jc w:val="center"/>
              <w:rPr>
                <w:rFonts w:ascii="Arial Narrow" w:eastAsiaTheme="minorHAnsi" w:hAnsi="Arial Narrow" w:cstheme="minorHAnsi"/>
                <w:sz w:val="20"/>
                <w:szCs w:val="20"/>
              </w:rPr>
            </w:pPr>
            <w:r w:rsidRPr="00534C5B">
              <w:rPr>
                <w:rFonts w:ascii="Arial Narrow" w:eastAsiaTheme="minorHAnsi" w:hAnsi="Arial Narrow" w:cstheme="minorHAnsi"/>
                <w:sz w:val="20"/>
                <w:szCs w:val="20"/>
              </w:rPr>
              <w:t>I</w:t>
            </w:r>
          </w:p>
        </w:tc>
        <w:tc>
          <w:tcPr>
            <w:tcW w:w="4252" w:type="dxa"/>
            <w:tcMar>
              <w:left w:w="28" w:type="dxa"/>
              <w:right w:w="28" w:type="dxa"/>
            </w:tcMar>
          </w:tcPr>
          <w:p w:rsidR="007D28B1" w:rsidRPr="00534C5B" w:rsidRDefault="007D28B1" w:rsidP="00A70144">
            <w:pPr>
              <w:keepNext/>
              <w:keepLines/>
              <w:rPr>
                <w:rFonts w:ascii="Arial Narrow" w:eastAsiaTheme="minorHAnsi" w:hAnsi="Arial Narrow" w:cstheme="minorHAnsi"/>
                <w:sz w:val="20"/>
                <w:szCs w:val="20"/>
              </w:rPr>
            </w:pPr>
            <w:r w:rsidRPr="00534C5B">
              <w:rPr>
                <w:rFonts w:ascii="Arial Narrow" w:eastAsiaTheme="minorHAnsi" w:hAnsi="Arial Narrow" w:cstheme="minorHAnsi"/>
                <w:sz w:val="20"/>
                <w:szCs w:val="20"/>
              </w:rPr>
              <w:t>Cost of NIVO per mg</w:t>
            </w:r>
          </w:p>
        </w:tc>
        <w:tc>
          <w:tcPr>
            <w:tcW w:w="1843" w:type="dxa"/>
            <w:tcMar>
              <w:left w:w="28" w:type="dxa"/>
              <w:right w:w="28" w:type="dxa"/>
            </w:tcMar>
          </w:tcPr>
          <w:p w:rsidR="007D28B1" w:rsidRPr="00534C5B" w:rsidRDefault="007D28B1" w:rsidP="00A70144">
            <w:pPr>
              <w:keepNext/>
              <w:keepLines/>
              <w:jc w:val="center"/>
              <w:rPr>
                <w:rFonts w:ascii="Arial Narrow" w:eastAsiaTheme="minorHAnsi" w:hAnsi="Arial Narrow" w:cstheme="minorHAnsi"/>
                <w:sz w:val="20"/>
                <w:szCs w:val="20"/>
              </w:rPr>
            </w:pPr>
            <w:r w:rsidRPr="00534C5B">
              <w:rPr>
                <w:rFonts w:ascii="Arial Narrow" w:eastAsiaTheme="minorHAnsi" w:hAnsi="Arial Narrow" w:cstheme="minorHAnsi"/>
                <w:sz w:val="20"/>
                <w:szCs w:val="20"/>
              </w:rPr>
              <w:t>H / F</w:t>
            </w:r>
          </w:p>
        </w:tc>
        <w:tc>
          <w:tcPr>
            <w:tcW w:w="2500" w:type="dxa"/>
            <w:tcMar>
              <w:left w:w="28" w:type="dxa"/>
              <w:right w:w="28" w:type="dxa"/>
            </w:tcMar>
          </w:tcPr>
          <w:p w:rsidR="007D28B1" w:rsidRPr="00534C5B" w:rsidRDefault="0022246E" w:rsidP="00A70144">
            <w:pPr>
              <w:keepNext/>
              <w:keepLines/>
              <w:jc w:val="center"/>
              <w:rPr>
                <w:rFonts w:ascii="Arial Narrow" w:eastAsiaTheme="minorHAnsi" w:hAnsi="Arial Narrow" w:cstheme="minorHAnsi"/>
                <w:sz w:val="20"/>
                <w:szCs w:val="20"/>
              </w:rPr>
            </w:pPr>
            <w:r w:rsidRPr="00534C5B">
              <w:rPr>
                <w:rFonts w:ascii="Arial Narrow" w:eastAsiaTheme="minorHAnsi" w:hAnsi="Arial Narrow" w:cstheme="minorHAnsi"/>
                <w:sz w:val="20"/>
                <w:szCs w:val="20"/>
              </w:rPr>
              <w:t xml:space="preserve"> $32.52/mg</w:t>
            </w:r>
          </w:p>
        </w:tc>
      </w:tr>
      <w:tr w:rsidR="007D28B1" w:rsidRPr="00534C5B" w:rsidTr="00F15DAD">
        <w:trPr>
          <w:tblHeader/>
        </w:trPr>
        <w:tc>
          <w:tcPr>
            <w:tcW w:w="421" w:type="dxa"/>
            <w:tcMar>
              <w:left w:w="28" w:type="dxa"/>
              <w:right w:w="28" w:type="dxa"/>
            </w:tcMar>
          </w:tcPr>
          <w:p w:rsidR="007D28B1" w:rsidRPr="00534C5B" w:rsidRDefault="007D28B1" w:rsidP="00A70144">
            <w:pPr>
              <w:keepNext/>
              <w:keepLines/>
              <w:jc w:val="center"/>
              <w:rPr>
                <w:rFonts w:ascii="Arial Narrow" w:eastAsiaTheme="minorHAnsi" w:hAnsi="Arial Narrow" w:cstheme="minorHAnsi"/>
                <w:b/>
                <w:sz w:val="20"/>
                <w:szCs w:val="20"/>
              </w:rPr>
            </w:pPr>
            <w:r w:rsidRPr="00534C5B">
              <w:rPr>
                <w:rFonts w:ascii="Arial Narrow" w:eastAsiaTheme="minorHAnsi" w:hAnsi="Arial Narrow" w:cstheme="minorHAnsi"/>
                <w:b/>
                <w:sz w:val="20"/>
                <w:szCs w:val="20"/>
              </w:rPr>
              <w:t>J</w:t>
            </w:r>
          </w:p>
        </w:tc>
        <w:tc>
          <w:tcPr>
            <w:tcW w:w="4252" w:type="dxa"/>
            <w:tcMar>
              <w:left w:w="28" w:type="dxa"/>
              <w:right w:w="28" w:type="dxa"/>
            </w:tcMar>
          </w:tcPr>
          <w:p w:rsidR="007D28B1" w:rsidRPr="00534C5B" w:rsidRDefault="007D28B1" w:rsidP="00A70144">
            <w:pPr>
              <w:keepNext/>
              <w:keepLines/>
              <w:rPr>
                <w:rFonts w:ascii="Arial Narrow" w:eastAsiaTheme="minorHAnsi" w:hAnsi="Arial Narrow" w:cstheme="minorHAnsi"/>
                <w:b/>
                <w:sz w:val="20"/>
                <w:szCs w:val="20"/>
              </w:rPr>
            </w:pPr>
            <w:r w:rsidRPr="00534C5B">
              <w:rPr>
                <w:rFonts w:ascii="Arial Narrow" w:eastAsiaTheme="minorHAnsi" w:hAnsi="Arial Narrow" w:cstheme="minorHAnsi"/>
                <w:b/>
                <w:sz w:val="20"/>
                <w:szCs w:val="20"/>
              </w:rPr>
              <w:t>Cost minimised AEMP per 40 mg vial of NIVO</w:t>
            </w:r>
          </w:p>
        </w:tc>
        <w:tc>
          <w:tcPr>
            <w:tcW w:w="1843" w:type="dxa"/>
            <w:tcMar>
              <w:left w:w="28" w:type="dxa"/>
              <w:right w:w="28" w:type="dxa"/>
            </w:tcMar>
          </w:tcPr>
          <w:p w:rsidR="007D28B1" w:rsidRPr="00534C5B" w:rsidRDefault="007D28B1" w:rsidP="00A70144">
            <w:pPr>
              <w:keepNext/>
              <w:keepLines/>
              <w:jc w:val="center"/>
              <w:rPr>
                <w:rFonts w:ascii="Arial Narrow" w:eastAsiaTheme="minorHAnsi" w:hAnsi="Arial Narrow" w:cstheme="minorHAnsi"/>
                <w:b/>
                <w:sz w:val="20"/>
                <w:szCs w:val="20"/>
              </w:rPr>
            </w:pPr>
            <w:r w:rsidRPr="00534C5B">
              <w:rPr>
                <w:rFonts w:ascii="Arial Narrow" w:eastAsiaTheme="minorHAnsi" w:hAnsi="Arial Narrow" w:cstheme="minorHAnsi"/>
                <w:b/>
                <w:sz w:val="20"/>
                <w:szCs w:val="20"/>
              </w:rPr>
              <w:t>I * 40</w:t>
            </w:r>
          </w:p>
        </w:tc>
        <w:tc>
          <w:tcPr>
            <w:tcW w:w="2500" w:type="dxa"/>
            <w:tcMar>
              <w:left w:w="28" w:type="dxa"/>
              <w:right w:w="28" w:type="dxa"/>
            </w:tcMar>
          </w:tcPr>
          <w:p w:rsidR="007D28B1" w:rsidRPr="00534C5B" w:rsidRDefault="0022246E" w:rsidP="00A70144">
            <w:pPr>
              <w:keepNext/>
              <w:keepLines/>
              <w:jc w:val="center"/>
              <w:rPr>
                <w:rFonts w:ascii="Arial Narrow" w:eastAsiaTheme="minorHAnsi" w:hAnsi="Arial Narrow" w:cstheme="minorHAnsi"/>
                <w:b/>
                <w:sz w:val="20"/>
                <w:szCs w:val="20"/>
              </w:rPr>
            </w:pPr>
            <w:r w:rsidRPr="00534C5B">
              <w:rPr>
                <w:rFonts w:ascii="Arial Narrow" w:eastAsiaTheme="minorHAnsi" w:hAnsi="Arial Narrow" w:cstheme="minorHAnsi"/>
                <w:b/>
                <w:sz w:val="20"/>
                <w:szCs w:val="20"/>
              </w:rPr>
              <w:t xml:space="preserve"> $1,300.67</w:t>
            </w:r>
          </w:p>
        </w:tc>
      </w:tr>
      <w:tr w:rsidR="007D28B1" w:rsidRPr="00534C5B" w:rsidTr="00F15DAD">
        <w:trPr>
          <w:tblHeader/>
        </w:trPr>
        <w:tc>
          <w:tcPr>
            <w:tcW w:w="421" w:type="dxa"/>
            <w:tcMar>
              <w:left w:w="28" w:type="dxa"/>
              <w:right w:w="28" w:type="dxa"/>
            </w:tcMar>
          </w:tcPr>
          <w:p w:rsidR="007D28B1" w:rsidRPr="00534C5B" w:rsidRDefault="007D28B1" w:rsidP="00A70144">
            <w:pPr>
              <w:keepNext/>
              <w:keepLines/>
              <w:jc w:val="center"/>
              <w:rPr>
                <w:rFonts w:ascii="Arial Narrow" w:eastAsiaTheme="minorHAnsi" w:hAnsi="Arial Narrow" w:cstheme="minorHAnsi"/>
                <w:b/>
                <w:sz w:val="20"/>
                <w:szCs w:val="20"/>
              </w:rPr>
            </w:pPr>
            <w:r w:rsidRPr="00534C5B">
              <w:rPr>
                <w:rFonts w:ascii="Arial Narrow" w:eastAsiaTheme="minorHAnsi" w:hAnsi="Arial Narrow" w:cstheme="minorHAnsi"/>
                <w:b/>
                <w:sz w:val="20"/>
                <w:szCs w:val="20"/>
              </w:rPr>
              <w:t>K</w:t>
            </w:r>
          </w:p>
        </w:tc>
        <w:tc>
          <w:tcPr>
            <w:tcW w:w="4252" w:type="dxa"/>
            <w:tcMar>
              <w:left w:w="28" w:type="dxa"/>
              <w:right w:w="28" w:type="dxa"/>
            </w:tcMar>
          </w:tcPr>
          <w:p w:rsidR="007D28B1" w:rsidRPr="00534C5B" w:rsidRDefault="007D28B1" w:rsidP="00A70144">
            <w:pPr>
              <w:keepNext/>
              <w:keepLines/>
              <w:rPr>
                <w:rFonts w:ascii="Arial Narrow" w:eastAsiaTheme="minorHAnsi" w:hAnsi="Arial Narrow" w:cstheme="minorHAnsi"/>
                <w:b/>
                <w:sz w:val="20"/>
                <w:szCs w:val="20"/>
              </w:rPr>
            </w:pPr>
            <w:r w:rsidRPr="00534C5B">
              <w:rPr>
                <w:rFonts w:ascii="Arial Narrow" w:eastAsiaTheme="minorHAnsi" w:hAnsi="Arial Narrow" w:cstheme="minorHAnsi"/>
                <w:b/>
                <w:sz w:val="20"/>
                <w:szCs w:val="20"/>
              </w:rPr>
              <w:t>Cost minimised AEMP per 100 mg vial of NIVO</w:t>
            </w:r>
          </w:p>
        </w:tc>
        <w:tc>
          <w:tcPr>
            <w:tcW w:w="1843" w:type="dxa"/>
            <w:tcMar>
              <w:left w:w="28" w:type="dxa"/>
              <w:right w:w="28" w:type="dxa"/>
            </w:tcMar>
          </w:tcPr>
          <w:p w:rsidR="007D28B1" w:rsidRPr="00534C5B" w:rsidRDefault="007D28B1" w:rsidP="00A70144">
            <w:pPr>
              <w:keepNext/>
              <w:keepLines/>
              <w:jc w:val="center"/>
              <w:rPr>
                <w:rFonts w:ascii="Arial Narrow" w:eastAsiaTheme="minorHAnsi" w:hAnsi="Arial Narrow" w:cstheme="minorHAnsi"/>
                <w:b/>
                <w:sz w:val="20"/>
                <w:szCs w:val="20"/>
              </w:rPr>
            </w:pPr>
            <w:r w:rsidRPr="00534C5B">
              <w:rPr>
                <w:rFonts w:ascii="Arial Narrow" w:eastAsiaTheme="minorHAnsi" w:hAnsi="Arial Narrow" w:cstheme="minorHAnsi"/>
                <w:b/>
                <w:sz w:val="20"/>
                <w:szCs w:val="20"/>
              </w:rPr>
              <w:t>I * 100</w:t>
            </w:r>
          </w:p>
        </w:tc>
        <w:tc>
          <w:tcPr>
            <w:tcW w:w="2500" w:type="dxa"/>
            <w:tcMar>
              <w:left w:w="28" w:type="dxa"/>
              <w:right w:w="28" w:type="dxa"/>
            </w:tcMar>
          </w:tcPr>
          <w:p w:rsidR="007D28B1" w:rsidRPr="00534C5B" w:rsidRDefault="0022246E" w:rsidP="0022246E">
            <w:pPr>
              <w:keepNext/>
              <w:keepLines/>
              <w:jc w:val="center"/>
              <w:rPr>
                <w:rFonts w:ascii="Arial Narrow" w:eastAsiaTheme="minorHAnsi" w:hAnsi="Arial Narrow" w:cstheme="minorHAnsi"/>
                <w:b/>
                <w:sz w:val="20"/>
                <w:szCs w:val="20"/>
              </w:rPr>
            </w:pPr>
            <w:r w:rsidRPr="00534C5B">
              <w:rPr>
                <w:rFonts w:ascii="Arial Narrow" w:eastAsiaTheme="minorHAnsi" w:hAnsi="Arial Narrow" w:cstheme="minorHAnsi"/>
                <w:b/>
                <w:sz w:val="20"/>
                <w:szCs w:val="20"/>
              </w:rPr>
              <w:t xml:space="preserve"> $3,251.68</w:t>
            </w:r>
          </w:p>
        </w:tc>
      </w:tr>
    </w:tbl>
    <w:p w:rsidR="007D28B1" w:rsidRPr="00534C5B" w:rsidRDefault="007D28B1" w:rsidP="007D28B1">
      <w:pPr>
        <w:rPr>
          <w:rFonts w:ascii="Arial Narrow" w:eastAsiaTheme="minorHAnsi" w:hAnsi="Arial Narrow" w:cstheme="minorHAnsi"/>
          <w:sz w:val="18"/>
          <w:szCs w:val="18"/>
        </w:rPr>
      </w:pPr>
      <w:r w:rsidRPr="00534C5B">
        <w:rPr>
          <w:rFonts w:ascii="Arial Narrow" w:eastAsiaTheme="minorHAnsi" w:hAnsi="Arial Narrow" w:cstheme="minorHAnsi"/>
          <w:sz w:val="18"/>
          <w:szCs w:val="18"/>
        </w:rPr>
        <w:t>AEMP = approved ex-manufacturer price; DAB = dabrafenib; NIVO = nivolumab; TRAM = trametinib</w:t>
      </w:r>
    </w:p>
    <w:p w:rsidR="007D28B1" w:rsidRPr="00534C5B" w:rsidRDefault="007D28B1" w:rsidP="007D28B1">
      <w:pPr>
        <w:rPr>
          <w:rFonts w:ascii="Arial Narrow" w:eastAsiaTheme="minorHAnsi" w:hAnsi="Arial Narrow" w:cstheme="minorHAnsi"/>
          <w:sz w:val="18"/>
          <w:szCs w:val="18"/>
        </w:rPr>
      </w:pPr>
      <w:r w:rsidRPr="00534C5B">
        <w:rPr>
          <w:rFonts w:ascii="Arial Narrow" w:eastAsiaTheme="minorHAnsi" w:hAnsi="Arial Narrow" w:cstheme="minorHAnsi"/>
          <w:sz w:val="18"/>
          <w:szCs w:val="18"/>
        </w:rPr>
        <w:t>a 12.175 = 365.25 days per year / 30 day supply</w:t>
      </w:r>
    </w:p>
    <w:p w:rsidR="007D28B1" w:rsidRPr="00534C5B" w:rsidRDefault="007D28B1" w:rsidP="007D28B1">
      <w:pPr>
        <w:rPr>
          <w:rFonts w:ascii="Arial Narrow" w:eastAsiaTheme="minorHAnsi" w:hAnsi="Arial Narrow" w:cstheme="minorHAnsi"/>
          <w:sz w:val="18"/>
          <w:szCs w:val="18"/>
        </w:rPr>
      </w:pPr>
      <w:r w:rsidRPr="00534C5B">
        <w:rPr>
          <w:rFonts w:ascii="Arial Narrow" w:eastAsiaTheme="minorHAnsi" w:hAnsi="Arial Narrow" w:cstheme="minorHAnsi"/>
          <w:sz w:val="18"/>
          <w:szCs w:val="18"/>
        </w:rPr>
        <w:t>b 13.04 = 365.25 days per year / 28 day dosing</w:t>
      </w:r>
    </w:p>
    <w:p w:rsidR="007D28B1" w:rsidRPr="00534C5B" w:rsidRDefault="007D28B1" w:rsidP="007D28B1">
      <w:pPr>
        <w:pStyle w:val="3Bodytext"/>
        <w:numPr>
          <w:ilvl w:val="0"/>
          <w:numId w:val="0"/>
        </w:numPr>
        <w:ind w:left="720" w:hanging="720"/>
        <w:rPr>
          <w:color w:val="000000" w:themeColor="text1"/>
          <w:szCs w:val="24"/>
        </w:rPr>
      </w:pPr>
      <w:r w:rsidRPr="00534C5B">
        <w:rPr>
          <w:rFonts w:ascii="Arial Narrow" w:hAnsi="Arial Narrow" w:cstheme="minorHAnsi"/>
          <w:sz w:val="18"/>
          <w:szCs w:val="18"/>
        </w:rPr>
        <w:t>c MBS item 13915 (100% benefit)</w:t>
      </w:r>
    </w:p>
    <w:p w:rsidR="005E5419" w:rsidRPr="00534C5B" w:rsidRDefault="005E5419" w:rsidP="00AF0867">
      <w:pPr>
        <w:pStyle w:val="3Bodytext"/>
        <w:numPr>
          <w:ilvl w:val="1"/>
          <w:numId w:val="1"/>
        </w:numPr>
        <w:rPr>
          <w:color w:val="000000" w:themeColor="text1"/>
          <w:szCs w:val="24"/>
        </w:rPr>
      </w:pPr>
      <w:r w:rsidRPr="00534C5B">
        <w:rPr>
          <w:color w:val="000000" w:themeColor="text1"/>
          <w:szCs w:val="24"/>
        </w:rPr>
        <w:t xml:space="preserve">The sponsor noted that the effective </w:t>
      </w:r>
      <w:r w:rsidR="00875278" w:rsidRPr="00534C5B">
        <w:rPr>
          <w:color w:val="000000" w:themeColor="text1"/>
          <w:szCs w:val="24"/>
        </w:rPr>
        <w:t>approved ex-manufacturer price (</w:t>
      </w:r>
      <w:r w:rsidRPr="00534C5B">
        <w:rPr>
          <w:color w:val="000000" w:themeColor="text1"/>
          <w:szCs w:val="24"/>
        </w:rPr>
        <w:t>AEMP</w:t>
      </w:r>
      <w:r w:rsidR="00875278" w:rsidRPr="00534C5B">
        <w:rPr>
          <w:color w:val="000000" w:themeColor="text1"/>
          <w:szCs w:val="24"/>
        </w:rPr>
        <w:t>)</w:t>
      </w:r>
      <w:r w:rsidRPr="00534C5B">
        <w:rPr>
          <w:color w:val="000000" w:themeColor="text1"/>
          <w:szCs w:val="24"/>
        </w:rPr>
        <w:t xml:space="preserve"> of nivolumab in patients with BRAF mutant disease would likely need to be adjusted based on the results of the cost-minimisation analysis using the effective AEMPs of DAB+TRAM. </w:t>
      </w:r>
    </w:p>
    <w:p w:rsidR="00376AE3" w:rsidRPr="00534C5B" w:rsidRDefault="00376AE3" w:rsidP="00AF0867">
      <w:pPr>
        <w:pStyle w:val="3Bodytext"/>
        <w:numPr>
          <w:ilvl w:val="1"/>
          <w:numId w:val="1"/>
        </w:numPr>
        <w:rPr>
          <w:color w:val="000000" w:themeColor="text1"/>
          <w:szCs w:val="24"/>
        </w:rPr>
      </w:pPr>
      <w:r w:rsidRPr="00534C5B">
        <w:rPr>
          <w:color w:val="000000" w:themeColor="text1"/>
          <w:szCs w:val="24"/>
        </w:rPr>
        <w:lastRenderedPageBreak/>
        <w:t>The second analysis consider</w:t>
      </w:r>
      <w:r w:rsidR="00453B44" w:rsidRPr="00534C5B">
        <w:rPr>
          <w:color w:val="000000" w:themeColor="text1"/>
          <w:szCs w:val="24"/>
        </w:rPr>
        <w:t>ed</w:t>
      </w:r>
      <w:r w:rsidRPr="00534C5B">
        <w:rPr>
          <w:color w:val="000000" w:themeColor="text1"/>
          <w:szCs w:val="24"/>
        </w:rPr>
        <w:t xml:space="preserve"> treatment duration, and is based on the mean treatment durations observed in the key clinical trials.</w:t>
      </w:r>
      <w:r w:rsidR="000126D9" w:rsidRPr="00534C5B">
        <w:rPr>
          <w:color w:val="000000" w:themeColor="text1"/>
          <w:szCs w:val="24"/>
        </w:rPr>
        <w:t xml:space="preserve"> </w:t>
      </w:r>
    </w:p>
    <w:p w:rsidR="00E136F0" w:rsidRPr="00534C5B" w:rsidRDefault="00453B44" w:rsidP="00AF0867">
      <w:pPr>
        <w:pStyle w:val="3Bodytext"/>
        <w:numPr>
          <w:ilvl w:val="1"/>
          <w:numId w:val="1"/>
        </w:numPr>
        <w:rPr>
          <w:color w:val="000000" w:themeColor="text1"/>
          <w:szCs w:val="24"/>
        </w:rPr>
      </w:pPr>
      <w:r w:rsidRPr="00534C5B">
        <w:rPr>
          <w:color w:val="000000" w:themeColor="text1"/>
          <w:szCs w:val="24"/>
        </w:rPr>
        <w:t xml:space="preserve">Given adjuvant therapy is a fixed 12 month course of treatment, the PBAC considered that it was reasonable </w:t>
      </w:r>
      <w:r w:rsidR="001376F2" w:rsidRPr="00534C5B">
        <w:rPr>
          <w:color w:val="000000" w:themeColor="text1"/>
          <w:szCs w:val="24"/>
        </w:rPr>
        <w:t xml:space="preserve">to </w:t>
      </w:r>
      <w:r w:rsidRPr="00534C5B">
        <w:rPr>
          <w:color w:val="000000" w:themeColor="text1"/>
          <w:szCs w:val="24"/>
        </w:rPr>
        <w:t xml:space="preserve">conduct the cost-minimisation analysis between nivolumab and DAB+TRAM for BRAF mutant patients without consideration of </w:t>
      </w:r>
      <w:r w:rsidR="001376F2" w:rsidRPr="00534C5B">
        <w:rPr>
          <w:color w:val="000000" w:themeColor="text1"/>
          <w:szCs w:val="24"/>
        </w:rPr>
        <w:t xml:space="preserve">the mean </w:t>
      </w:r>
      <w:r w:rsidR="000F394C" w:rsidRPr="00534C5B">
        <w:rPr>
          <w:color w:val="000000" w:themeColor="text1"/>
          <w:szCs w:val="24"/>
        </w:rPr>
        <w:t xml:space="preserve">trial </w:t>
      </w:r>
      <w:r w:rsidRPr="00534C5B">
        <w:rPr>
          <w:color w:val="000000" w:themeColor="text1"/>
          <w:szCs w:val="24"/>
        </w:rPr>
        <w:t>treatment duration</w:t>
      </w:r>
      <w:r w:rsidR="001376F2" w:rsidRPr="00534C5B">
        <w:rPr>
          <w:color w:val="000000" w:themeColor="text1"/>
          <w:szCs w:val="24"/>
        </w:rPr>
        <w:t>s</w:t>
      </w:r>
      <w:r w:rsidRPr="00534C5B">
        <w:rPr>
          <w:color w:val="000000" w:themeColor="text1"/>
          <w:szCs w:val="24"/>
        </w:rPr>
        <w:t xml:space="preserve">. </w:t>
      </w:r>
    </w:p>
    <w:p w:rsidR="00875278" w:rsidRPr="00534C5B" w:rsidRDefault="00EE51D4" w:rsidP="00875278">
      <w:pPr>
        <w:pStyle w:val="3Bodytext"/>
        <w:numPr>
          <w:ilvl w:val="1"/>
          <w:numId w:val="1"/>
        </w:numPr>
        <w:rPr>
          <w:szCs w:val="24"/>
        </w:rPr>
      </w:pPr>
      <w:r w:rsidRPr="00534C5B">
        <w:rPr>
          <w:color w:val="000000" w:themeColor="text1"/>
          <w:szCs w:val="24"/>
        </w:rPr>
        <w:t xml:space="preserve">Table </w:t>
      </w:r>
      <w:r w:rsidR="00AB5085" w:rsidRPr="00534C5B">
        <w:rPr>
          <w:color w:val="000000" w:themeColor="text1"/>
          <w:szCs w:val="24"/>
        </w:rPr>
        <w:t>2</w:t>
      </w:r>
      <w:r w:rsidR="00F00DAE" w:rsidRPr="00534C5B">
        <w:rPr>
          <w:color w:val="000000" w:themeColor="text1"/>
          <w:szCs w:val="24"/>
        </w:rPr>
        <w:t xml:space="preserve"> provides a summary of the proposed weighted nivolumab melanoma price across the adjuvant and unresectable or metastatic settings</w:t>
      </w:r>
      <w:r w:rsidR="0022246E" w:rsidRPr="00534C5B">
        <w:rPr>
          <w:color w:val="000000" w:themeColor="text1"/>
          <w:szCs w:val="24"/>
        </w:rPr>
        <w:t>. Acknowledging that DAB+TRAM have Special Pricing Arrangements</w:t>
      </w:r>
      <w:r w:rsidR="005E5419" w:rsidRPr="00534C5B">
        <w:rPr>
          <w:color w:val="000000" w:themeColor="text1"/>
          <w:szCs w:val="24"/>
        </w:rPr>
        <w:t xml:space="preserve"> and that the price of nivolumab in BRAF mutant patients was likely to change</w:t>
      </w:r>
      <w:r w:rsidR="00955968" w:rsidRPr="00534C5B">
        <w:rPr>
          <w:color w:val="000000" w:themeColor="text1"/>
          <w:szCs w:val="24"/>
        </w:rPr>
        <w:t xml:space="preserve">, </w:t>
      </w:r>
      <w:r w:rsidR="005E5419" w:rsidRPr="00534C5B">
        <w:rPr>
          <w:color w:val="000000" w:themeColor="text1"/>
          <w:szCs w:val="24"/>
        </w:rPr>
        <w:t xml:space="preserve">the </w:t>
      </w:r>
      <w:r w:rsidR="0099397D" w:rsidRPr="00534C5B">
        <w:rPr>
          <w:color w:val="000000" w:themeColor="text1"/>
          <w:szCs w:val="24"/>
        </w:rPr>
        <w:t>calculations</w:t>
      </w:r>
      <w:r w:rsidR="005E5419" w:rsidRPr="00534C5B">
        <w:rPr>
          <w:color w:val="000000" w:themeColor="text1"/>
          <w:szCs w:val="24"/>
        </w:rPr>
        <w:t xml:space="preserve"> used the proposed effective </w:t>
      </w:r>
      <w:r w:rsidR="00875278" w:rsidRPr="00534C5B">
        <w:rPr>
          <w:color w:val="000000" w:themeColor="text1"/>
          <w:szCs w:val="24"/>
        </w:rPr>
        <w:t>AEMP</w:t>
      </w:r>
      <w:r w:rsidR="005E5419" w:rsidRPr="00534C5B">
        <w:rPr>
          <w:color w:val="000000" w:themeColor="text1"/>
          <w:szCs w:val="24"/>
        </w:rPr>
        <w:t xml:space="preserve"> of nivolumab in BRAF wild type patients as a place-holder price for BRAF mutant patients</w:t>
      </w:r>
      <w:r w:rsidR="001376F2" w:rsidRPr="00534C5B">
        <w:rPr>
          <w:color w:val="000000" w:themeColor="text1"/>
          <w:szCs w:val="24"/>
        </w:rPr>
        <w:t xml:space="preserve">. </w:t>
      </w:r>
      <w:r w:rsidR="00875278" w:rsidRPr="00534C5B">
        <w:rPr>
          <w:szCs w:val="24"/>
        </w:rPr>
        <w:t>The effective AEMP of nivolumab in patients with BRAF wild type disease ($</w:t>
      </w:r>
      <w:r w:rsidR="00653477">
        <w:rPr>
          <w:noProof/>
          <w:color w:val="000000"/>
          <w:szCs w:val="24"/>
          <w:highlight w:val="black"/>
        </w:rPr>
        <w:t>''''''''''''''</w:t>
      </w:r>
      <w:r w:rsidR="00875278" w:rsidRPr="00534C5B">
        <w:rPr>
          <w:szCs w:val="24"/>
        </w:rPr>
        <w:t>) was consistent with the price proposed in the July 2019 minor resubmission and was considered acceptable by the PBAC.</w:t>
      </w:r>
      <w:r w:rsidR="001D0CC9" w:rsidRPr="00534C5B">
        <w:rPr>
          <w:szCs w:val="24"/>
        </w:rPr>
        <w:t xml:space="preserve"> </w:t>
      </w:r>
      <w:r w:rsidR="00875278" w:rsidRPr="00534C5B">
        <w:rPr>
          <w:szCs w:val="24"/>
        </w:rPr>
        <w:t>The effective AEMP of nivolumab in the unresectable or metastatic setting was the 1 September 2019 effective AEMP.</w:t>
      </w:r>
    </w:p>
    <w:p w:rsidR="00955968" w:rsidRPr="00534C5B" w:rsidRDefault="00955968" w:rsidP="00AF0867">
      <w:pPr>
        <w:pStyle w:val="3Bodytext"/>
        <w:numPr>
          <w:ilvl w:val="1"/>
          <w:numId w:val="1"/>
        </w:numPr>
        <w:rPr>
          <w:color w:val="000000" w:themeColor="text1"/>
          <w:szCs w:val="24"/>
        </w:rPr>
      </w:pPr>
      <w:r w:rsidRPr="00534C5B">
        <w:rPr>
          <w:color w:val="000000" w:themeColor="text1"/>
          <w:szCs w:val="24"/>
        </w:rPr>
        <w:t xml:space="preserve">The proposed weightings of </w:t>
      </w:r>
      <w:r w:rsidR="00653477">
        <w:rPr>
          <w:noProof/>
          <w:color w:val="000000"/>
          <w:szCs w:val="24"/>
          <w:highlight w:val="black"/>
        </w:rPr>
        <w:t>''''''''''</w:t>
      </w:r>
      <w:r w:rsidRPr="00534C5B">
        <w:rPr>
          <w:color w:val="000000" w:themeColor="text1"/>
          <w:szCs w:val="24"/>
        </w:rPr>
        <w:t xml:space="preserve">%, </w:t>
      </w:r>
      <w:r w:rsidR="00653477">
        <w:rPr>
          <w:noProof/>
          <w:color w:val="000000"/>
          <w:szCs w:val="24"/>
          <w:highlight w:val="black"/>
        </w:rPr>
        <w:t>''''''''''</w:t>
      </w:r>
      <w:r w:rsidRPr="00534C5B">
        <w:rPr>
          <w:color w:val="000000" w:themeColor="text1"/>
          <w:szCs w:val="24"/>
        </w:rPr>
        <w:t xml:space="preserve">% and </w:t>
      </w:r>
      <w:r w:rsidR="00653477">
        <w:rPr>
          <w:noProof/>
          <w:color w:val="000000"/>
          <w:szCs w:val="24"/>
          <w:highlight w:val="black"/>
        </w:rPr>
        <w:t>''''''''''</w:t>
      </w:r>
      <w:r w:rsidRPr="00534C5B">
        <w:rPr>
          <w:color w:val="000000" w:themeColor="text1"/>
          <w:szCs w:val="24"/>
        </w:rPr>
        <w:t xml:space="preserve">% for the adjuvant </w:t>
      </w:r>
      <w:r w:rsidR="00CD651C" w:rsidRPr="00534C5B">
        <w:rPr>
          <w:color w:val="000000" w:themeColor="text1"/>
          <w:szCs w:val="24"/>
        </w:rPr>
        <w:t>BRAF</w:t>
      </w:r>
      <w:r w:rsidR="00CD651C">
        <w:rPr>
          <w:color w:val="000000" w:themeColor="text1"/>
          <w:szCs w:val="24"/>
        </w:rPr>
        <w:t xml:space="preserve"> </w:t>
      </w:r>
      <w:r w:rsidRPr="00534C5B">
        <w:rPr>
          <w:color w:val="000000" w:themeColor="text1"/>
          <w:szCs w:val="24"/>
        </w:rPr>
        <w:t>mutant, adjuvant BRAF wild type and unresectable settings, respectively, were based on the estimated effective expenditure for each of the settings over the first five years following listing for adjuvant treatment. The Secretariat noted that t</w:t>
      </w:r>
      <w:r w:rsidRPr="00534C5B">
        <w:t xml:space="preserve">his may not </w:t>
      </w:r>
      <w:r w:rsidR="003326BA" w:rsidRPr="00534C5B">
        <w:t xml:space="preserve">have </w:t>
      </w:r>
      <w:r w:rsidRPr="00534C5B">
        <w:t>be</w:t>
      </w:r>
      <w:r w:rsidR="003326BA" w:rsidRPr="00534C5B">
        <w:t>en</w:t>
      </w:r>
      <w:r w:rsidRPr="00534C5B">
        <w:t xml:space="preserve"> appropriate as using effective indication-specific expenditure result</w:t>
      </w:r>
      <w:r w:rsidR="003326BA" w:rsidRPr="00534C5B">
        <w:t>ed</w:t>
      </w:r>
      <w:r w:rsidRPr="00534C5B">
        <w:t xml:space="preserve"> in a higher weighting for indications with higher effective prices. The Department’s usual approach is for weighted prices to be calculated based on prescription volume or published expenditure for each indication. </w:t>
      </w:r>
    </w:p>
    <w:p w:rsidR="00F0644D" w:rsidRPr="00534C5B" w:rsidRDefault="0099397D" w:rsidP="00AF0867">
      <w:pPr>
        <w:pStyle w:val="3Bodytext"/>
        <w:numPr>
          <w:ilvl w:val="1"/>
          <w:numId w:val="1"/>
        </w:numPr>
        <w:rPr>
          <w:color w:val="000000" w:themeColor="text1"/>
          <w:szCs w:val="24"/>
        </w:rPr>
      </w:pPr>
      <w:r w:rsidRPr="00534C5B">
        <w:t>P</w:t>
      </w:r>
      <w:r w:rsidR="00C870AE" w:rsidRPr="00534C5B">
        <w:t xml:space="preserve">rescription volumes for projected use in the unresectable setting </w:t>
      </w:r>
      <w:r w:rsidR="00323285" w:rsidRPr="00534C5B">
        <w:t>were not</w:t>
      </w:r>
      <w:r w:rsidR="00C870AE" w:rsidRPr="00534C5B">
        <w:t xml:space="preserve"> calculated,</w:t>
      </w:r>
      <w:r w:rsidR="00C870AE" w:rsidRPr="00534C5B" w:rsidDel="00C870AE">
        <w:t xml:space="preserve"> </w:t>
      </w:r>
      <w:r w:rsidR="00C870AE" w:rsidRPr="00534C5B">
        <w:t>rather t</w:t>
      </w:r>
      <w:r w:rsidR="00955968" w:rsidRPr="00534C5B">
        <w:t>he expenditure in the metastatic setting was based on extrapolation of the current expenditure caps. The sponsor stated conversion to prescription volumes would include: i) adjustments to account for the different dose frequencies of nivolumab and pembrolizumab; ii) application of growth in unit volume in a far from stable market; and iii) consideration of caps being exceed</w:t>
      </w:r>
      <w:r w:rsidR="001376F2" w:rsidRPr="00534C5B">
        <w:t>ed</w:t>
      </w:r>
      <w:r w:rsidR="00955968" w:rsidRPr="00534C5B">
        <w:t xml:space="preserve"> in the first four years of listing. The sponsor consider</w:t>
      </w:r>
      <w:r w:rsidR="001376F2" w:rsidRPr="00534C5B">
        <w:t>ed</w:t>
      </w:r>
      <w:r w:rsidR="00955968" w:rsidRPr="00534C5B">
        <w:t xml:space="preserve"> this would introduce a significant amount of additional complexity and uncertainty and therefore proposed the weightings </w:t>
      </w:r>
      <w:r w:rsidR="001376F2" w:rsidRPr="00534C5B">
        <w:t>to be</w:t>
      </w:r>
      <w:r w:rsidR="00955968" w:rsidRPr="00534C5B">
        <w:t xml:space="preserve"> based on relative expenditure. The Secretariat noted that it would be possible for the effect of the different </w:t>
      </w:r>
      <w:r w:rsidR="00675FD5" w:rsidRPr="00534C5B">
        <w:t xml:space="preserve">effective </w:t>
      </w:r>
      <w:r w:rsidR="00955968" w:rsidRPr="00534C5B">
        <w:t>prices in each setting</w:t>
      </w:r>
      <w:r w:rsidR="00D32647" w:rsidRPr="00534C5B">
        <w:t xml:space="preserve"> to be removed from the weighting</w:t>
      </w:r>
      <w:r w:rsidR="00B45C6C" w:rsidRPr="00534C5B">
        <w:t xml:space="preserve"> (based on relative expenditure)</w:t>
      </w:r>
      <w:r w:rsidR="00955968" w:rsidRPr="00534C5B">
        <w:t>, and this would better represent the estimated proportion of drug utilisation for each indication.</w:t>
      </w:r>
      <w:r w:rsidR="00EC192D" w:rsidRPr="00534C5B">
        <w:t xml:space="preserve"> The recalculated weights</w:t>
      </w:r>
      <w:r w:rsidR="00021FEC" w:rsidRPr="00534C5B">
        <w:t xml:space="preserve"> and weighted price</w:t>
      </w:r>
      <w:r w:rsidR="00EC192D" w:rsidRPr="00534C5B">
        <w:t xml:space="preserve"> are presented in Table</w:t>
      </w:r>
      <w:r w:rsidR="00DE3CF5" w:rsidRPr="00534C5B">
        <w:t xml:space="preserve"> </w:t>
      </w:r>
      <w:r w:rsidR="00AB5085" w:rsidRPr="00534C5B">
        <w:t>2</w:t>
      </w:r>
      <w:r w:rsidR="00EC192D" w:rsidRPr="00534C5B">
        <w:t>.</w:t>
      </w:r>
    </w:p>
    <w:p w:rsidR="00600784" w:rsidRPr="00534C5B" w:rsidRDefault="00CF7256" w:rsidP="00AF0867">
      <w:pPr>
        <w:pStyle w:val="3Bodytext"/>
        <w:numPr>
          <w:ilvl w:val="1"/>
          <w:numId w:val="1"/>
        </w:numPr>
        <w:rPr>
          <w:color w:val="000000" w:themeColor="text1"/>
          <w:szCs w:val="24"/>
        </w:rPr>
      </w:pPr>
      <w:r w:rsidRPr="00534C5B">
        <w:t xml:space="preserve">The weighted price does not impact on the estimated expenditure for nivolumab in the adjuvant setting as this </w:t>
      </w:r>
      <w:r w:rsidR="00453B44" w:rsidRPr="00534C5B">
        <w:t>was</w:t>
      </w:r>
      <w:r w:rsidRPr="00534C5B">
        <w:t xml:space="preserve"> calculated based on the</w:t>
      </w:r>
      <w:r w:rsidR="00206FA9" w:rsidRPr="00534C5B">
        <w:t xml:space="preserve"> estimated</w:t>
      </w:r>
      <w:r w:rsidRPr="00534C5B">
        <w:t xml:space="preserve"> number of </w:t>
      </w:r>
      <w:r w:rsidR="00206FA9" w:rsidRPr="00534C5B">
        <w:t xml:space="preserve">adjuvant </w:t>
      </w:r>
      <w:r w:rsidRPr="00534C5B">
        <w:t xml:space="preserve">prescriptions multiplied by the adjuvant melanoma price. </w:t>
      </w:r>
      <w:r w:rsidR="00453B44" w:rsidRPr="00534C5B">
        <w:t xml:space="preserve">Use of the </w:t>
      </w:r>
      <w:r w:rsidR="005F02C2" w:rsidRPr="00534C5B">
        <w:t xml:space="preserve">weighted price </w:t>
      </w:r>
      <w:r w:rsidR="00453B44" w:rsidRPr="00534C5B">
        <w:lastRenderedPageBreak/>
        <w:t xml:space="preserve">would </w:t>
      </w:r>
      <w:r w:rsidR="005F02C2" w:rsidRPr="00534C5B">
        <w:t xml:space="preserve">impact on the </w:t>
      </w:r>
      <w:r w:rsidR="00206FA9" w:rsidRPr="00534C5B">
        <w:t xml:space="preserve">rate at which the </w:t>
      </w:r>
      <w:r w:rsidR="00453B44" w:rsidRPr="00534C5B">
        <w:t xml:space="preserve">subsidisation </w:t>
      </w:r>
      <w:r w:rsidR="00206FA9" w:rsidRPr="00534C5B">
        <w:t>caps (</w:t>
      </w:r>
      <w:r w:rsidR="00453B44" w:rsidRPr="00534C5B">
        <w:t>i</w:t>
      </w:r>
      <w:r w:rsidR="00C94F4D" w:rsidRPr="00534C5B">
        <w:t xml:space="preserve">.e. </w:t>
      </w:r>
      <w:r w:rsidR="00453B44" w:rsidRPr="00534C5B">
        <w:t xml:space="preserve">the RSA across </w:t>
      </w:r>
      <w:r w:rsidR="00206FA9" w:rsidRPr="00534C5B">
        <w:t xml:space="preserve">both the adjuvant and unresectable settings) </w:t>
      </w:r>
      <w:r w:rsidR="00453B44" w:rsidRPr="00534C5B">
        <w:t>would be</w:t>
      </w:r>
      <w:r w:rsidR="00206FA9" w:rsidRPr="00534C5B">
        <w:t xml:space="preserve"> reached (with a higher weighted price the caps </w:t>
      </w:r>
      <w:r w:rsidR="00453B44" w:rsidRPr="00534C5B">
        <w:t>would be</w:t>
      </w:r>
      <w:r w:rsidR="00206FA9" w:rsidRPr="00534C5B">
        <w:t xml:space="preserve"> reached more quickly), and </w:t>
      </w:r>
      <w:r w:rsidR="005F02C2" w:rsidRPr="00534C5B">
        <w:t xml:space="preserve">if the caps </w:t>
      </w:r>
      <w:r w:rsidR="00453B44" w:rsidRPr="00534C5B">
        <w:t>we</w:t>
      </w:r>
      <w:r w:rsidR="005F02C2" w:rsidRPr="00534C5B">
        <w:t>re not reached</w:t>
      </w:r>
      <w:r w:rsidR="00453B44" w:rsidRPr="00534C5B">
        <w:t xml:space="preserve"> this would </w:t>
      </w:r>
      <w:r w:rsidR="00206FA9" w:rsidRPr="00534C5B">
        <w:t>impact on the total expenditure (the expenditure w</w:t>
      </w:r>
      <w:r w:rsidR="00453B44" w:rsidRPr="00534C5B">
        <w:t xml:space="preserve">ould </w:t>
      </w:r>
      <w:r w:rsidR="00206FA9" w:rsidRPr="00534C5B">
        <w:t>be the higher weighted price multiplied by the number of prescriptions)</w:t>
      </w:r>
      <w:r w:rsidR="001376F2" w:rsidRPr="00534C5B">
        <w:t>.</w:t>
      </w:r>
      <w:r w:rsidR="004E1F48" w:rsidRPr="00534C5B">
        <w:t xml:space="preserve"> </w:t>
      </w:r>
    </w:p>
    <w:p w:rsidR="00F00DAE" w:rsidRPr="00534C5B" w:rsidRDefault="00600784" w:rsidP="00294501">
      <w:pPr>
        <w:pStyle w:val="3Bodytext"/>
        <w:numPr>
          <w:ilvl w:val="1"/>
          <w:numId w:val="1"/>
        </w:numPr>
        <w:rPr>
          <w:color w:val="000000" w:themeColor="text1"/>
          <w:szCs w:val="24"/>
        </w:rPr>
      </w:pPr>
      <w:r w:rsidRPr="00534C5B">
        <w:t xml:space="preserve">The PBAC </w:t>
      </w:r>
      <w:r w:rsidR="00C94F4D" w:rsidRPr="00534C5B">
        <w:t xml:space="preserve">noted that weighting based on prescription volumes was the usual method for calculating weighted prices and minimised the risk to government in the case of the subsidisation caps not being reached. </w:t>
      </w:r>
    </w:p>
    <w:p w:rsidR="00EA78A5" w:rsidRPr="00534C5B" w:rsidRDefault="00EE51D4" w:rsidP="00B807DF">
      <w:pPr>
        <w:pStyle w:val="3Bodytext"/>
        <w:keepNext/>
        <w:keepLines/>
        <w:numPr>
          <w:ilvl w:val="0"/>
          <w:numId w:val="0"/>
        </w:numPr>
        <w:spacing w:after="0"/>
        <w:rPr>
          <w:rFonts w:ascii="Arial Narrow" w:hAnsi="Arial Narrow"/>
          <w:b/>
          <w:color w:val="000000" w:themeColor="text1"/>
          <w:sz w:val="20"/>
          <w:szCs w:val="20"/>
        </w:rPr>
      </w:pPr>
      <w:r w:rsidRPr="00534C5B">
        <w:rPr>
          <w:rFonts w:ascii="Arial Narrow" w:hAnsi="Arial Narrow"/>
          <w:b/>
          <w:color w:val="000000" w:themeColor="text1"/>
          <w:sz w:val="20"/>
          <w:szCs w:val="20"/>
        </w:rPr>
        <w:t xml:space="preserve">Table </w:t>
      </w:r>
      <w:r w:rsidR="00AB5085" w:rsidRPr="00534C5B">
        <w:rPr>
          <w:rFonts w:ascii="Arial Narrow" w:hAnsi="Arial Narrow"/>
          <w:b/>
          <w:color w:val="000000" w:themeColor="text1"/>
          <w:sz w:val="20"/>
          <w:szCs w:val="20"/>
        </w:rPr>
        <w:t>2</w:t>
      </w:r>
      <w:r w:rsidR="00EA78A5" w:rsidRPr="00534C5B">
        <w:rPr>
          <w:rFonts w:ascii="Arial Narrow" w:hAnsi="Arial Narrow"/>
          <w:b/>
          <w:color w:val="000000" w:themeColor="text1"/>
          <w:sz w:val="20"/>
          <w:szCs w:val="20"/>
        </w:rPr>
        <w:t>: Weighted effective AEMP</w:t>
      </w:r>
      <w:r w:rsidR="005E5419" w:rsidRPr="00534C5B">
        <w:rPr>
          <w:rFonts w:ascii="Arial Narrow" w:hAnsi="Arial Narrow"/>
          <w:b/>
          <w:color w:val="000000" w:themeColor="text1"/>
          <w:sz w:val="20"/>
          <w:szCs w:val="20"/>
        </w:rPr>
        <w:t>s</w:t>
      </w:r>
      <w:r w:rsidR="00EA78A5" w:rsidRPr="00534C5B">
        <w:rPr>
          <w:rFonts w:ascii="Arial Narrow" w:hAnsi="Arial Narrow"/>
          <w:b/>
          <w:color w:val="000000" w:themeColor="text1"/>
          <w:sz w:val="20"/>
          <w:szCs w:val="20"/>
        </w:rPr>
        <w:t xml:space="preserve"> for nivolumab</w:t>
      </w:r>
      <w:r w:rsidR="005E5419" w:rsidRPr="00534C5B">
        <w:rPr>
          <w:rFonts w:ascii="Arial Narrow" w:hAnsi="Arial Narrow"/>
          <w:b/>
          <w:color w:val="000000" w:themeColor="text1"/>
          <w:sz w:val="20"/>
          <w:szCs w:val="20"/>
        </w:rPr>
        <w:t xml:space="preserve"> across the adjuvant and unresectable or metastatic settings calculated based on effective expenditure and prescription volume for each setting</w:t>
      </w:r>
    </w:p>
    <w:tbl>
      <w:tblPr>
        <w:tblStyle w:val="TableGrid"/>
        <w:tblW w:w="0" w:type="auto"/>
        <w:tblLook w:val="04A0" w:firstRow="1" w:lastRow="0" w:firstColumn="1" w:lastColumn="0" w:noHBand="0" w:noVBand="1"/>
        <w:tblCaption w:val="Table 2: Weighted effective AEMPs for nivolumab across the adjuvant and unresectable or metastatic settings calculated based on effective expenditure and prescription volume for each setting"/>
      </w:tblPr>
      <w:tblGrid>
        <w:gridCol w:w="2972"/>
        <w:gridCol w:w="2126"/>
        <w:gridCol w:w="1985"/>
        <w:gridCol w:w="1933"/>
      </w:tblGrid>
      <w:tr w:rsidR="00EA78A5" w:rsidRPr="00534C5B" w:rsidTr="00F15DAD">
        <w:trPr>
          <w:tblHeader/>
        </w:trPr>
        <w:tc>
          <w:tcPr>
            <w:tcW w:w="2972" w:type="dxa"/>
            <w:vMerge w:val="restart"/>
          </w:tcPr>
          <w:p w:rsidR="00EA78A5" w:rsidRPr="00534C5B" w:rsidRDefault="00EA78A5" w:rsidP="00B807DF">
            <w:pPr>
              <w:pStyle w:val="3Bodytext"/>
              <w:keepNext/>
              <w:keepLines/>
              <w:numPr>
                <w:ilvl w:val="0"/>
                <w:numId w:val="0"/>
              </w:numPr>
              <w:spacing w:after="0"/>
              <w:rPr>
                <w:rFonts w:ascii="Arial Narrow" w:hAnsi="Arial Narrow"/>
                <w:b/>
                <w:color w:val="000000" w:themeColor="text1"/>
                <w:sz w:val="20"/>
                <w:szCs w:val="20"/>
              </w:rPr>
            </w:pPr>
          </w:p>
        </w:tc>
        <w:tc>
          <w:tcPr>
            <w:tcW w:w="4111" w:type="dxa"/>
            <w:gridSpan w:val="2"/>
          </w:tcPr>
          <w:p w:rsidR="00EA78A5" w:rsidRPr="00534C5B" w:rsidRDefault="00EA78A5" w:rsidP="00B807DF">
            <w:pPr>
              <w:pStyle w:val="3Bodytext"/>
              <w:keepNext/>
              <w:keepLines/>
              <w:numPr>
                <w:ilvl w:val="0"/>
                <w:numId w:val="0"/>
              </w:numPr>
              <w:spacing w:after="0"/>
              <w:jc w:val="center"/>
              <w:rPr>
                <w:rFonts w:ascii="Arial Narrow" w:hAnsi="Arial Narrow"/>
                <w:b/>
                <w:color w:val="000000" w:themeColor="text1"/>
                <w:sz w:val="20"/>
                <w:szCs w:val="20"/>
              </w:rPr>
            </w:pPr>
            <w:r w:rsidRPr="00534C5B">
              <w:rPr>
                <w:rFonts w:ascii="Arial Narrow" w:hAnsi="Arial Narrow"/>
                <w:b/>
                <w:color w:val="000000" w:themeColor="text1"/>
                <w:sz w:val="20"/>
                <w:szCs w:val="20"/>
              </w:rPr>
              <w:t>Adjuvant melanoma</w:t>
            </w:r>
          </w:p>
        </w:tc>
        <w:tc>
          <w:tcPr>
            <w:tcW w:w="1933" w:type="dxa"/>
            <w:vMerge w:val="restart"/>
          </w:tcPr>
          <w:p w:rsidR="00EA78A5" w:rsidRPr="00534C5B" w:rsidRDefault="00955968" w:rsidP="00600784">
            <w:pPr>
              <w:pStyle w:val="3Bodytext"/>
              <w:keepNext/>
              <w:keepLines/>
              <w:numPr>
                <w:ilvl w:val="0"/>
                <w:numId w:val="0"/>
              </w:numPr>
              <w:spacing w:after="0"/>
              <w:jc w:val="center"/>
              <w:rPr>
                <w:rFonts w:ascii="Arial Narrow" w:hAnsi="Arial Narrow"/>
                <w:b/>
                <w:color w:val="000000" w:themeColor="text1"/>
                <w:sz w:val="20"/>
                <w:szCs w:val="20"/>
              </w:rPr>
            </w:pPr>
            <w:r w:rsidRPr="00534C5B">
              <w:rPr>
                <w:rFonts w:ascii="Arial Narrow" w:hAnsi="Arial Narrow"/>
                <w:b/>
                <w:color w:val="000000" w:themeColor="text1"/>
                <w:sz w:val="20"/>
                <w:szCs w:val="20"/>
              </w:rPr>
              <w:t>Unresectable or metastatic melanoma</w:t>
            </w:r>
          </w:p>
        </w:tc>
      </w:tr>
      <w:tr w:rsidR="00EA78A5" w:rsidRPr="00534C5B" w:rsidTr="00F15DAD">
        <w:trPr>
          <w:tblHeader/>
        </w:trPr>
        <w:tc>
          <w:tcPr>
            <w:tcW w:w="2972" w:type="dxa"/>
            <w:vMerge/>
          </w:tcPr>
          <w:p w:rsidR="00EA78A5" w:rsidRPr="00534C5B" w:rsidRDefault="00EA78A5" w:rsidP="00B807DF">
            <w:pPr>
              <w:pStyle w:val="3Bodytext"/>
              <w:keepNext/>
              <w:keepLines/>
              <w:numPr>
                <w:ilvl w:val="0"/>
                <w:numId w:val="0"/>
              </w:numPr>
              <w:spacing w:after="0"/>
              <w:rPr>
                <w:rFonts w:ascii="Arial Narrow" w:hAnsi="Arial Narrow"/>
                <w:b/>
                <w:color w:val="000000" w:themeColor="text1"/>
                <w:sz w:val="20"/>
                <w:szCs w:val="20"/>
              </w:rPr>
            </w:pPr>
          </w:p>
        </w:tc>
        <w:tc>
          <w:tcPr>
            <w:tcW w:w="2126" w:type="dxa"/>
          </w:tcPr>
          <w:p w:rsidR="00EA78A5" w:rsidRPr="00534C5B" w:rsidRDefault="00EA78A5" w:rsidP="00B807DF">
            <w:pPr>
              <w:pStyle w:val="3Bodytext"/>
              <w:keepNext/>
              <w:keepLines/>
              <w:numPr>
                <w:ilvl w:val="0"/>
                <w:numId w:val="0"/>
              </w:numPr>
              <w:spacing w:after="0"/>
              <w:jc w:val="center"/>
              <w:rPr>
                <w:rFonts w:ascii="Arial Narrow" w:hAnsi="Arial Narrow"/>
                <w:b/>
                <w:color w:val="000000" w:themeColor="text1"/>
                <w:sz w:val="20"/>
                <w:szCs w:val="20"/>
              </w:rPr>
            </w:pPr>
            <w:r w:rsidRPr="00534C5B">
              <w:rPr>
                <w:rFonts w:ascii="Arial Narrow" w:hAnsi="Arial Narrow"/>
                <w:b/>
                <w:color w:val="000000" w:themeColor="text1"/>
                <w:sz w:val="20"/>
                <w:szCs w:val="20"/>
              </w:rPr>
              <w:t>BRAF MT</w:t>
            </w:r>
          </w:p>
        </w:tc>
        <w:tc>
          <w:tcPr>
            <w:tcW w:w="1985" w:type="dxa"/>
          </w:tcPr>
          <w:p w:rsidR="00EA78A5" w:rsidRPr="00534C5B" w:rsidRDefault="00EA78A5" w:rsidP="00B807DF">
            <w:pPr>
              <w:pStyle w:val="3Bodytext"/>
              <w:keepNext/>
              <w:keepLines/>
              <w:numPr>
                <w:ilvl w:val="0"/>
                <w:numId w:val="0"/>
              </w:numPr>
              <w:spacing w:after="0"/>
              <w:jc w:val="center"/>
              <w:rPr>
                <w:rFonts w:ascii="Arial Narrow" w:hAnsi="Arial Narrow"/>
                <w:b/>
                <w:color w:val="000000" w:themeColor="text1"/>
                <w:sz w:val="20"/>
                <w:szCs w:val="20"/>
              </w:rPr>
            </w:pPr>
            <w:r w:rsidRPr="00534C5B">
              <w:rPr>
                <w:rFonts w:ascii="Arial Narrow" w:hAnsi="Arial Narrow"/>
                <w:b/>
                <w:color w:val="000000" w:themeColor="text1"/>
                <w:sz w:val="20"/>
                <w:szCs w:val="20"/>
              </w:rPr>
              <w:t>BRAF WT</w:t>
            </w:r>
          </w:p>
        </w:tc>
        <w:tc>
          <w:tcPr>
            <w:tcW w:w="1933" w:type="dxa"/>
            <w:vMerge/>
          </w:tcPr>
          <w:p w:rsidR="00EA78A5" w:rsidRPr="00534C5B" w:rsidRDefault="00EA78A5" w:rsidP="00B807DF">
            <w:pPr>
              <w:pStyle w:val="3Bodytext"/>
              <w:keepNext/>
              <w:keepLines/>
              <w:numPr>
                <w:ilvl w:val="0"/>
                <w:numId w:val="0"/>
              </w:numPr>
              <w:spacing w:after="0"/>
              <w:jc w:val="center"/>
              <w:rPr>
                <w:rFonts w:ascii="Arial Narrow" w:hAnsi="Arial Narrow"/>
                <w:b/>
                <w:color w:val="000000" w:themeColor="text1"/>
                <w:sz w:val="20"/>
                <w:szCs w:val="20"/>
              </w:rPr>
            </w:pPr>
          </w:p>
        </w:tc>
      </w:tr>
      <w:tr w:rsidR="00F00DAE" w:rsidRPr="00534C5B" w:rsidTr="00F15DAD">
        <w:trPr>
          <w:tblHeader/>
        </w:trPr>
        <w:tc>
          <w:tcPr>
            <w:tcW w:w="2972" w:type="dxa"/>
          </w:tcPr>
          <w:p w:rsidR="00F00DAE" w:rsidRPr="00534C5B" w:rsidRDefault="00EA78A5" w:rsidP="00B807DF">
            <w:pPr>
              <w:pStyle w:val="3Bodytext"/>
              <w:keepNext/>
              <w:keepLines/>
              <w:numPr>
                <w:ilvl w:val="0"/>
                <w:numId w:val="0"/>
              </w:numPr>
              <w:spacing w:after="0"/>
              <w:rPr>
                <w:rFonts w:ascii="Arial Narrow" w:hAnsi="Arial Narrow"/>
                <w:color w:val="000000" w:themeColor="text1"/>
                <w:sz w:val="20"/>
                <w:szCs w:val="20"/>
              </w:rPr>
            </w:pPr>
            <w:r w:rsidRPr="00534C5B">
              <w:rPr>
                <w:rFonts w:ascii="Arial Narrow" w:hAnsi="Arial Narrow"/>
                <w:color w:val="000000" w:themeColor="text1"/>
                <w:sz w:val="20"/>
                <w:szCs w:val="20"/>
              </w:rPr>
              <w:t>Effective AEMP per 100 mg vial</w:t>
            </w:r>
          </w:p>
        </w:tc>
        <w:tc>
          <w:tcPr>
            <w:tcW w:w="2126" w:type="dxa"/>
          </w:tcPr>
          <w:p w:rsidR="00F00DAE" w:rsidRPr="00534C5B" w:rsidRDefault="00F00DAE" w:rsidP="00B807DF">
            <w:pPr>
              <w:pStyle w:val="3Bodytext"/>
              <w:keepNext/>
              <w:keepLines/>
              <w:numPr>
                <w:ilvl w:val="0"/>
                <w:numId w:val="0"/>
              </w:numPr>
              <w:spacing w:after="0"/>
              <w:jc w:val="center"/>
              <w:rPr>
                <w:rFonts w:ascii="Arial Narrow" w:hAnsi="Arial Narrow"/>
                <w:color w:val="000000" w:themeColor="text1"/>
                <w:sz w:val="20"/>
                <w:szCs w:val="20"/>
              </w:rPr>
            </w:pPr>
            <w:r w:rsidRPr="00534C5B">
              <w:rPr>
                <w:rFonts w:ascii="Arial Narrow" w:hAnsi="Arial Narrow"/>
                <w:color w:val="000000" w:themeColor="text1"/>
                <w:sz w:val="20"/>
                <w:szCs w:val="20"/>
              </w:rPr>
              <w:t>$</w:t>
            </w:r>
            <w:r w:rsidR="00653477">
              <w:rPr>
                <w:rFonts w:ascii="Arial Narrow" w:hAnsi="Arial Narrow"/>
                <w:noProof/>
                <w:color w:val="000000"/>
                <w:sz w:val="20"/>
                <w:szCs w:val="20"/>
                <w:highlight w:val="black"/>
              </w:rPr>
              <w:t>'''''''''''''''</w:t>
            </w:r>
            <w:r w:rsidRPr="00534C5B">
              <w:rPr>
                <w:rFonts w:ascii="Arial Narrow" w:hAnsi="Arial Narrow"/>
                <w:color w:val="000000" w:themeColor="text1"/>
                <w:sz w:val="20"/>
                <w:szCs w:val="20"/>
              </w:rPr>
              <w:t>*</w:t>
            </w:r>
          </w:p>
        </w:tc>
        <w:tc>
          <w:tcPr>
            <w:tcW w:w="1985" w:type="dxa"/>
          </w:tcPr>
          <w:p w:rsidR="00F00DAE" w:rsidRPr="00534C5B" w:rsidRDefault="00F00DAE" w:rsidP="00B807DF">
            <w:pPr>
              <w:pStyle w:val="3Bodytext"/>
              <w:keepNext/>
              <w:keepLines/>
              <w:numPr>
                <w:ilvl w:val="0"/>
                <w:numId w:val="0"/>
              </w:numPr>
              <w:spacing w:after="0"/>
              <w:jc w:val="center"/>
              <w:rPr>
                <w:rFonts w:ascii="Arial Narrow" w:hAnsi="Arial Narrow"/>
                <w:color w:val="000000" w:themeColor="text1"/>
                <w:sz w:val="20"/>
                <w:szCs w:val="20"/>
              </w:rPr>
            </w:pPr>
            <w:r w:rsidRPr="00534C5B">
              <w:rPr>
                <w:rFonts w:ascii="Arial Narrow" w:hAnsi="Arial Narrow"/>
                <w:color w:val="000000" w:themeColor="text1"/>
                <w:sz w:val="20"/>
                <w:szCs w:val="20"/>
              </w:rPr>
              <w:t>$</w:t>
            </w:r>
            <w:r w:rsidR="00653477">
              <w:rPr>
                <w:rFonts w:ascii="Arial Narrow" w:hAnsi="Arial Narrow"/>
                <w:noProof/>
                <w:color w:val="000000"/>
                <w:sz w:val="20"/>
                <w:szCs w:val="20"/>
                <w:highlight w:val="black"/>
              </w:rPr>
              <w:t>''''''''''''''''</w:t>
            </w:r>
          </w:p>
        </w:tc>
        <w:tc>
          <w:tcPr>
            <w:tcW w:w="1933" w:type="dxa"/>
          </w:tcPr>
          <w:p w:rsidR="00F00DAE" w:rsidRPr="00534C5B" w:rsidRDefault="00F00DAE" w:rsidP="00B807DF">
            <w:pPr>
              <w:pStyle w:val="3Bodytext"/>
              <w:keepNext/>
              <w:keepLines/>
              <w:numPr>
                <w:ilvl w:val="0"/>
                <w:numId w:val="0"/>
              </w:numPr>
              <w:spacing w:after="0"/>
              <w:jc w:val="center"/>
              <w:rPr>
                <w:rFonts w:ascii="Arial Narrow" w:hAnsi="Arial Narrow"/>
                <w:color w:val="000000" w:themeColor="text1"/>
                <w:sz w:val="20"/>
                <w:szCs w:val="20"/>
              </w:rPr>
            </w:pPr>
            <w:r w:rsidRPr="00534C5B">
              <w:rPr>
                <w:rFonts w:ascii="Arial Narrow" w:hAnsi="Arial Narrow"/>
                <w:color w:val="000000" w:themeColor="text1"/>
                <w:sz w:val="20"/>
                <w:szCs w:val="20"/>
              </w:rPr>
              <w:t>$</w:t>
            </w:r>
            <w:r w:rsidR="00653477">
              <w:rPr>
                <w:rFonts w:ascii="Arial Narrow" w:hAnsi="Arial Narrow"/>
                <w:noProof/>
                <w:color w:val="000000"/>
                <w:sz w:val="20"/>
                <w:szCs w:val="20"/>
                <w:highlight w:val="black"/>
              </w:rPr>
              <w:t>'''''''''''''''''''''''</w:t>
            </w:r>
          </w:p>
        </w:tc>
      </w:tr>
      <w:tr w:rsidR="00875278" w:rsidRPr="00534C5B" w:rsidTr="00F15DAD">
        <w:trPr>
          <w:tblHeader/>
        </w:trPr>
        <w:tc>
          <w:tcPr>
            <w:tcW w:w="9016" w:type="dxa"/>
            <w:gridSpan w:val="4"/>
          </w:tcPr>
          <w:p w:rsidR="00875278" w:rsidRPr="00534C5B" w:rsidRDefault="00875278" w:rsidP="00A70144">
            <w:pPr>
              <w:pStyle w:val="3Bodytext"/>
              <w:keepNext/>
              <w:keepLines/>
              <w:numPr>
                <w:ilvl w:val="0"/>
                <w:numId w:val="0"/>
              </w:numPr>
              <w:spacing w:after="0"/>
              <w:jc w:val="left"/>
              <w:rPr>
                <w:rFonts w:ascii="Arial Narrow" w:hAnsi="Arial Narrow"/>
                <w:b/>
                <w:color w:val="000000" w:themeColor="text1"/>
                <w:sz w:val="20"/>
                <w:szCs w:val="20"/>
              </w:rPr>
            </w:pPr>
            <w:r w:rsidRPr="00534C5B">
              <w:rPr>
                <w:rFonts w:ascii="Arial Narrow" w:hAnsi="Arial Narrow"/>
                <w:b/>
                <w:color w:val="000000" w:themeColor="text1"/>
                <w:sz w:val="20"/>
                <w:szCs w:val="20"/>
              </w:rPr>
              <w:t xml:space="preserve">Based on effective expenditure across settings (as per </w:t>
            </w:r>
            <w:r w:rsidR="001039A6" w:rsidRPr="00534C5B">
              <w:rPr>
                <w:rFonts w:ascii="Arial Narrow" w:hAnsi="Arial Narrow"/>
                <w:b/>
                <w:color w:val="000000" w:themeColor="text1"/>
                <w:sz w:val="20"/>
                <w:szCs w:val="20"/>
              </w:rPr>
              <w:t xml:space="preserve">deferral </w:t>
            </w:r>
            <w:r w:rsidRPr="00534C5B">
              <w:rPr>
                <w:rFonts w:ascii="Arial Narrow" w:hAnsi="Arial Narrow"/>
                <w:b/>
                <w:color w:val="000000" w:themeColor="text1"/>
                <w:sz w:val="20"/>
                <w:szCs w:val="20"/>
              </w:rPr>
              <w:t>proposal)</w:t>
            </w:r>
          </w:p>
        </w:tc>
      </w:tr>
      <w:tr w:rsidR="00F00DAE" w:rsidRPr="00534C5B" w:rsidTr="00F15DAD">
        <w:trPr>
          <w:tblHeader/>
        </w:trPr>
        <w:tc>
          <w:tcPr>
            <w:tcW w:w="2972" w:type="dxa"/>
            <w:tcBorders>
              <w:bottom w:val="single" w:sz="4" w:space="0" w:color="auto"/>
            </w:tcBorders>
          </w:tcPr>
          <w:p w:rsidR="00F00DAE" w:rsidRPr="00534C5B" w:rsidRDefault="00EA78A5" w:rsidP="00B807DF">
            <w:pPr>
              <w:pStyle w:val="3Bodytext"/>
              <w:keepNext/>
              <w:keepLines/>
              <w:numPr>
                <w:ilvl w:val="0"/>
                <w:numId w:val="0"/>
              </w:numPr>
              <w:spacing w:after="0"/>
              <w:rPr>
                <w:rFonts w:ascii="Arial Narrow" w:hAnsi="Arial Narrow"/>
                <w:color w:val="000000" w:themeColor="text1"/>
                <w:sz w:val="20"/>
                <w:szCs w:val="20"/>
              </w:rPr>
            </w:pPr>
            <w:r w:rsidRPr="00534C5B">
              <w:rPr>
                <w:rFonts w:ascii="Arial Narrow" w:hAnsi="Arial Narrow"/>
                <w:color w:val="000000" w:themeColor="text1"/>
                <w:sz w:val="20"/>
                <w:szCs w:val="20"/>
              </w:rPr>
              <w:t>Weighting</w:t>
            </w:r>
            <w:r w:rsidR="005F02C2" w:rsidRPr="00534C5B">
              <w:rPr>
                <w:rFonts w:ascii="Arial Narrow" w:hAnsi="Arial Narrow"/>
                <w:color w:val="000000" w:themeColor="text1"/>
                <w:sz w:val="20"/>
                <w:szCs w:val="20"/>
              </w:rPr>
              <w:t xml:space="preserve"> based on expenditure caps</w:t>
            </w:r>
          </w:p>
        </w:tc>
        <w:tc>
          <w:tcPr>
            <w:tcW w:w="2126" w:type="dxa"/>
            <w:tcBorders>
              <w:bottom w:val="single" w:sz="4" w:space="0" w:color="auto"/>
            </w:tcBorders>
          </w:tcPr>
          <w:p w:rsidR="00F00DAE" w:rsidRPr="00534C5B" w:rsidRDefault="00653477" w:rsidP="00B807DF">
            <w:pPr>
              <w:pStyle w:val="3Bodytext"/>
              <w:keepNext/>
              <w:keepLines/>
              <w:numPr>
                <w:ilvl w:val="0"/>
                <w:numId w:val="0"/>
              </w:numPr>
              <w:spacing w:after="0"/>
              <w:jc w:val="center"/>
              <w:rPr>
                <w:rFonts w:ascii="Arial Narrow" w:hAnsi="Arial Narrow"/>
                <w:color w:val="000000" w:themeColor="text1"/>
                <w:sz w:val="20"/>
                <w:szCs w:val="20"/>
              </w:rPr>
            </w:pPr>
            <w:r>
              <w:rPr>
                <w:rFonts w:ascii="Arial Narrow" w:hAnsi="Arial Narrow"/>
                <w:noProof/>
                <w:color w:val="000000"/>
                <w:sz w:val="20"/>
                <w:szCs w:val="20"/>
                <w:highlight w:val="black"/>
              </w:rPr>
              <w:t>''''''''''''''</w:t>
            </w:r>
            <w:r w:rsidR="00EA78A5" w:rsidRPr="00534C5B">
              <w:rPr>
                <w:rFonts w:ascii="Arial Narrow" w:hAnsi="Arial Narrow"/>
                <w:color w:val="000000" w:themeColor="text1"/>
                <w:sz w:val="20"/>
                <w:szCs w:val="20"/>
              </w:rPr>
              <w:t>%</w:t>
            </w:r>
          </w:p>
        </w:tc>
        <w:tc>
          <w:tcPr>
            <w:tcW w:w="1985" w:type="dxa"/>
            <w:tcBorders>
              <w:bottom w:val="single" w:sz="4" w:space="0" w:color="auto"/>
            </w:tcBorders>
          </w:tcPr>
          <w:p w:rsidR="00F00DAE" w:rsidRPr="00534C5B" w:rsidRDefault="00653477" w:rsidP="00B807DF">
            <w:pPr>
              <w:pStyle w:val="3Bodytext"/>
              <w:keepNext/>
              <w:keepLines/>
              <w:numPr>
                <w:ilvl w:val="0"/>
                <w:numId w:val="0"/>
              </w:numPr>
              <w:spacing w:after="0"/>
              <w:jc w:val="center"/>
              <w:rPr>
                <w:rFonts w:ascii="Arial Narrow" w:hAnsi="Arial Narrow"/>
                <w:color w:val="000000" w:themeColor="text1"/>
                <w:sz w:val="20"/>
                <w:szCs w:val="20"/>
              </w:rPr>
            </w:pPr>
            <w:r>
              <w:rPr>
                <w:rFonts w:ascii="Arial Narrow" w:hAnsi="Arial Narrow"/>
                <w:noProof/>
                <w:color w:val="000000"/>
                <w:sz w:val="20"/>
                <w:szCs w:val="20"/>
                <w:highlight w:val="black"/>
              </w:rPr>
              <w:t>'''''''''''''</w:t>
            </w:r>
            <w:r w:rsidR="00EA78A5" w:rsidRPr="00534C5B">
              <w:rPr>
                <w:rFonts w:ascii="Arial Narrow" w:hAnsi="Arial Narrow"/>
                <w:color w:val="000000" w:themeColor="text1"/>
                <w:sz w:val="20"/>
                <w:szCs w:val="20"/>
              </w:rPr>
              <w:t>%</w:t>
            </w:r>
          </w:p>
        </w:tc>
        <w:tc>
          <w:tcPr>
            <w:tcW w:w="1933" w:type="dxa"/>
            <w:tcBorders>
              <w:bottom w:val="single" w:sz="4" w:space="0" w:color="auto"/>
            </w:tcBorders>
          </w:tcPr>
          <w:p w:rsidR="00F00DAE" w:rsidRPr="00534C5B" w:rsidRDefault="00653477" w:rsidP="00B807DF">
            <w:pPr>
              <w:pStyle w:val="3Bodytext"/>
              <w:keepNext/>
              <w:keepLines/>
              <w:numPr>
                <w:ilvl w:val="0"/>
                <w:numId w:val="0"/>
              </w:numPr>
              <w:spacing w:after="0"/>
              <w:jc w:val="center"/>
              <w:rPr>
                <w:rFonts w:ascii="Arial Narrow" w:hAnsi="Arial Narrow"/>
                <w:color w:val="000000" w:themeColor="text1"/>
                <w:sz w:val="20"/>
                <w:szCs w:val="20"/>
              </w:rPr>
            </w:pPr>
            <w:r>
              <w:rPr>
                <w:rFonts w:ascii="Arial Narrow" w:hAnsi="Arial Narrow"/>
                <w:noProof/>
                <w:color w:val="000000"/>
                <w:sz w:val="20"/>
                <w:szCs w:val="20"/>
                <w:highlight w:val="black"/>
              </w:rPr>
              <w:t>''''''''''''</w:t>
            </w:r>
            <w:r w:rsidR="00EA78A5" w:rsidRPr="00534C5B">
              <w:rPr>
                <w:rFonts w:ascii="Arial Narrow" w:hAnsi="Arial Narrow"/>
                <w:color w:val="000000" w:themeColor="text1"/>
                <w:sz w:val="20"/>
                <w:szCs w:val="20"/>
              </w:rPr>
              <w:t>%</w:t>
            </w:r>
          </w:p>
        </w:tc>
      </w:tr>
      <w:tr w:rsidR="00EA78A5" w:rsidRPr="00534C5B" w:rsidTr="00F15DAD">
        <w:trPr>
          <w:tblHeader/>
        </w:trPr>
        <w:tc>
          <w:tcPr>
            <w:tcW w:w="2972" w:type="dxa"/>
            <w:tcBorders>
              <w:bottom w:val="single" w:sz="4" w:space="0" w:color="auto"/>
            </w:tcBorders>
          </w:tcPr>
          <w:p w:rsidR="00EA78A5" w:rsidRPr="00534C5B" w:rsidRDefault="00EA78A5" w:rsidP="00B807DF">
            <w:pPr>
              <w:pStyle w:val="3Bodytext"/>
              <w:keepNext/>
              <w:keepLines/>
              <w:numPr>
                <w:ilvl w:val="0"/>
                <w:numId w:val="0"/>
              </w:numPr>
              <w:spacing w:after="0"/>
              <w:rPr>
                <w:rFonts w:ascii="Arial Narrow" w:hAnsi="Arial Narrow"/>
                <w:color w:val="000000" w:themeColor="text1"/>
                <w:sz w:val="20"/>
                <w:szCs w:val="20"/>
              </w:rPr>
            </w:pPr>
            <w:r w:rsidRPr="00534C5B">
              <w:rPr>
                <w:rFonts w:ascii="Arial Narrow" w:hAnsi="Arial Narrow"/>
                <w:color w:val="000000" w:themeColor="text1"/>
                <w:sz w:val="20"/>
                <w:szCs w:val="20"/>
              </w:rPr>
              <w:t>Weighted AEMP per 100 mg vial</w:t>
            </w:r>
          </w:p>
        </w:tc>
        <w:tc>
          <w:tcPr>
            <w:tcW w:w="6044" w:type="dxa"/>
            <w:gridSpan w:val="3"/>
            <w:tcBorders>
              <w:bottom w:val="single" w:sz="4" w:space="0" w:color="auto"/>
            </w:tcBorders>
          </w:tcPr>
          <w:p w:rsidR="00EA78A5" w:rsidRPr="00534C5B" w:rsidRDefault="00EA78A5" w:rsidP="00B807DF">
            <w:pPr>
              <w:pStyle w:val="3Bodytext"/>
              <w:keepNext/>
              <w:keepLines/>
              <w:numPr>
                <w:ilvl w:val="0"/>
                <w:numId w:val="0"/>
              </w:numPr>
              <w:spacing w:after="0"/>
              <w:jc w:val="center"/>
              <w:rPr>
                <w:rFonts w:ascii="Arial Narrow" w:hAnsi="Arial Narrow"/>
                <w:color w:val="000000" w:themeColor="text1"/>
                <w:sz w:val="20"/>
                <w:szCs w:val="20"/>
              </w:rPr>
            </w:pPr>
            <w:r w:rsidRPr="00EE740C">
              <w:rPr>
                <w:rFonts w:ascii="Arial Narrow" w:hAnsi="Arial Narrow"/>
                <w:color w:val="000000" w:themeColor="text1"/>
                <w:sz w:val="20"/>
                <w:szCs w:val="20"/>
              </w:rPr>
              <w:t>$</w:t>
            </w:r>
            <w:r w:rsidR="00653477">
              <w:rPr>
                <w:rFonts w:ascii="Arial Narrow" w:hAnsi="Arial Narrow"/>
                <w:noProof/>
                <w:color w:val="000000"/>
                <w:sz w:val="20"/>
                <w:szCs w:val="20"/>
                <w:highlight w:val="black"/>
              </w:rPr>
              <w:t>'''''''''''''''</w:t>
            </w:r>
            <w:r w:rsidRPr="00534C5B">
              <w:rPr>
                <w:rFonts w:ascii="Arial Narrow" w:hAnsi="Arial Narrow"/>
                <w:color w:val="000000" w:themeColor="text1"/>
                <w:sz w:val="20"/>
                <w:szCs w:val="20"/>
              </w:rPr>
              <w:t>*</w:t>
            </w:r>
          </w:p>
        </w:tc>
      </w:tr>
      <w:tr w:rsidR="005E5419" w:rsidRPr="00534C5B" w:rsidTr="00F15DAD">
        <w:trPr>
          <w:tblHeader/>
        </w:trPr>
        <w:tc>
          <w:tcPr>
            <w:tcW w:w="9016" w:type="dxa"/>
            <w:gridSpan w:val="4"/>
            <w:tcBorders>
              <w:bottom w:val="single" w:sz="4" w:space="0" w:color="auto"/>
            </w:tcBorders>
          </w:tcPr>
          <w:p w:rsidR="005E5419" w:rsidRPr="00534C5B" w:rsidRDefault="005E5419" w:rsidP="005E5419">
            <w:pPr>
              <w:pStyle w:val="3Bodytext"/>
              <w:keepNext/>
              <w:keepLines/>
              <w:numPr>
                <w:ilvl w:val="0"/>
                <w:numId w:val="0"/>
              </w:numPr>
              <w:spacing w:after="0"/>
              <w:jc w:val="left"/>
              <w:rPr>
                <w:rFonts w:ascii="Arial Narrow" w:hAnsi="Arial Narrow"/>
                <w:color w:val="000000" w:themeColor="text1"/>
                <w:sz w:val="20"/>
                <w:szCs w:val="20"/>
              </w:rPr>
            </w:pPr>
            <w:r w:rsidRPr="00534C5B">
              <w:rPr>
                <w:rFonts w:ascii="Arial Narrow" w:hAnsi="Arial Narrow"/>
                <w:b/>
                <w:color w:val="000000" w:themeColor="text1"/>
                <w:sz w:val="20"/>
                <w:szCs w:val="20"/>
              </w:rPr>
              <w:t>Based on prescription volume for each setting (as per Secretariat</w:t>
            </w:r>
            <w:r w:rsidRPr="00534C5B">
              <w:rPr>
                <w:rFonts w:ascii="Arial Narrow" w:hAnsi="Arial Narrow"/>
                <w:color w:val="000000" w:themeColor="text1"/>
                <w:sz w:val="20"/>
                <w:szCs w:val="20"/>
              </w:rPr>
              <w:t>)</w:t>
            </w:r>
          </w:p>
        </w:tc>
      </w:tr>
      <w:tr w:rsidR="00021FEC" w:rsidRPr="00534C5B" w:rsidTr="00F15DAD">
        <w:trPr>
          <w:tblHeader/>
        </w:trPr>
        <w:tc>
          <w:tcPr>
            <w:tcW w:w="2972" w:type="dxa"/>
            <w:tcBorders>
              <w:bottom w:val="single" w:sz="4" w:space="0" w:color="auto"/>
            </w:tcBorders>
          </w:tcPr>
          <w:p w:rsidR="00021FEC" w:rsidRPr="00534C5B" w:rsidRDefault="00021FEC" w:rsidP="00021FEC">
            <w:pPr>
              <w:pStyle w:val="3Bodytext"/>
              <w:keepNext/>
              <w:keepLines/>
              <w:numPr>
                <w:ilvl w:val="0"/>
                <w:numId w:val="0"/>
              </w:numPr>
              <w:spacing w:after="0"/>
              <w:rPr>
                <w:rFonts w:ascii="Arial Narrow" w:hAnsi="Arial Narrow"/>
                <w:color w:val="000000" w:themeColor="text1"/>
                <w:sz w:val="20"/>
                <w:szCs w:val="20"/>
              </w:rPr>
            </w:pPr>
            <w:r w:rsidRPr="00534C5B">
              <w:rPr>
                <w:rFonts w:ascii="Arial Narrow" w:hAnsi="Arial Narrow"/>
                <w:color w:val="000000" w:themeColor="text1"/>
                <w:sz w:val="20"/>
                <w:szCs w:val="20"/>
              </w:rPr>
              <w:t>Weighting</w:t>
            </w:r>
            <w:r w:rsidR="005F02C2" w:rsidRPr="00534C5B">
              <w:rPr>
                <w:rFonts w:ascii="Arial Narrow" w:hAnsi="Arial Narrow"/>
                <w:color w:val="000000" w:themeColor="text1"/>
                <w:sz w:val="20"/>
                <w:szCs w:val="20"/>
              </w:rPr>
              <w:t xml:space="preserve"> excluding effective AEMP</w:t>
            </w:r>
          </w:p>
        </w:tc>
        <w:tc>
          <w:tcPr>
            <w:tcW w:w="2126" w:type="dxa"/>
            <w:tcBorders>
              <w:bottom w:val="single" w:sz="4" w:space="0" w:color="auto"/>
            </w:tcBorders>
            <w:vAlign w:val="bottom"/>
          </w:tcPr>
          <w:p w:rsidR="00021FEC" w:rsidRPr="00534C5B" w:rsidRDefault="00653477" w:rsidP="00021FEC">
            <w:pPr>
              <w:pStyle w:val="3Bodytext"/>
              <w:keepNext/>
              <w:keepLines/>
              <w:numPr>
                <w:ilvl w:val="0"/>
                <w:numId w:val="0"/>
              </w:numPr>
              <w:spacing w:after="0"/>
              <w:jc w:val="center"/>
              <w:rPr>
                <w:rFonts w:ascii="Arial Narrow" w:hAnsi="Arial Narrow"/>
                <w:color w:val="000000" w:themeColor="text1"/>
                <w:sz w:val="20"/>
                <w:szCs w:val="20"/>
              </w:rPr>
            </w:pPr>
            <w:r>
              <w:rPr>
                <w:rFonts w:ascii="Arial Narrow" w:hAnsi="Arial Narrow"/>
                <w:noProof/>
                <w:color w:val="000000"/>
                <w:sz w:val="20"/>
                <w:szCs w:val="20"/>
                <w:highlight w:val="black"/>
              </w:rPr>
              <w:t>'''''''''''''</w:t>
            </w:r>
            <w:r w:rsidR="00021FEC" w:rsidRPr="00534C5B">
              <w:rPr>
                <w:rFonts w:ascii="Arial Narrow" w:hAnsi="Arial Narrow"/>
                <w:color w:val="000000" w:themeColor="text1"/>
                <w:sz w:val="20"/>
                <w:szCs w:val="20"/>
              </w:rPr>
              <w:t>%</w:t>
            </w:r>
            <w:r w:rsidR="00021FEC" w:rsidRPr="00534C5B">
              <w:rPr>
                <w:rFonts w:ascii="Arial Narrow" w:hAnsi="Arial Narrow"/>
                <w:color w:val="000000" w:themeColor="text1"/>
                <w:sz w:val="20"/>
                <w:szCs w:val="20"/>
                <w:vertAlign w:val="superscript"/>
              </w:rPr>
              <w:t>#</w:t>
            </w:r>
          </w:p>
        </w:tc>
        <w:tc>
          <w:tcPr>
            <w:tcW w:w="1985" w:type="dxa"/>
            <w:tcBorders>
              <w:bottom w:val="single" w:sz="4" w:space="0" w:color="auto"/>
            </w:tcBorders>
            <w:vAlign w:val="bottom"/>
          </w:tcPr>
          <w:p w:rsidR="00021FEC" w:rsidRPr="00534C5B" w:rsidRDefault="00653477" w:rsidP="00021FEC">
            <w:pPr>
              <w:pStyle w:val="3Bodytext"/>
              <w:keepNext/>
              <w:keepLines/>
              <w:numPr>
                <w:ilvl w:val="0"/>
                <w:numId w:val="0"/>
              </w:numPr>
              <w:spacing w:after="0"/>
              <w:jc w:val="center"/>
              <w:rPr>
                <w:rFonts w:ascii="Arial Narrow" w:hAnsi="Arial Narrow"/>
                <w:color w:val="000000" w:themeColor="text1"/>
                <w:sz w:val="20"/>
                <w:szCs w:val="20"/>
              </w:rPr>
            </w:pPr>
            <w:r>
              <w:rPr>
                <w:rFonts w:ascii="Arial Narrow" w:hAnsi="Arial Narrow"/>
                <w:noProof/>
                <w:color w:val="000000"/>
                <w:sz w:val="20"/>
                <w:szCs w:val="20"/>
                <w:highlight w:val="black"/>
              </w:rPr>
              <w:t>''''''''''''''</w:t>
            </w:r>
            <w:r w:rsidR="00021FEC" w:rsidRPr="00534C5B">
              <w:rPr>
                <w:rFonts w:ascii="Arial Narrow" w:hAnsi="Arial Narrow"/>
                <w:color w:val="000000" w:themeColor="text1"/>
                <w:sz w:val="20"/>
                <w:szCs w:val="20"/>
              </w:rPr>
              <w:t>%</w:t>
            </w:r>
            <w:r w:rsidR="00021FEC" w:rsidRPr="00534C5B">
              <w:rPr>
                <w:rFonts w:ascii="Arial Narrow" w:hAnsi="Arial Narrow"/>
                <w:color w:val="000000" w:themeColor="text1"/>
                <w:sz w:val="20"/>
                <w:szCs w:val="20"/>
                <w:vertAlign w:val="superscript"/>
              </w:rPr>
              <w:t>##</w:t>
            </w:r>
          </w:p>
        </w:tc>
        <w:tc>
          <w:tcPr>
            <w:tcW w:w="1933" w:type="dxa"/>
            <w:tcBorders>
              <w:bottom w:val="single" w:sz="4" w:space="0" w:color="auto"/>
            </w:tcBorders>
            <w:vAlign w:val="bottom"/>
          </w:tcPr>
          <w:p w:rsidR="00021FEC" w:rsidRPr="00534C5B" w:rsidRDefault="00653477" w:rsidP="00021FEC">
            <w:pPr>
              <w:pStyle w:val="3Bodytext"/>
              <w:keepNext/>
              <w:keepLines/>
              <w:numPr>
                <w:ilvl w:val="0"/>
                <w:numId w:val="0"/>
              </w:numPr>
              <w:spacing w:after="0"/>
              <w:jc w:val="center"/>
              <w:rPr>
                <w:rFonts w:ascii="Arial Narrow" w:hAnsi="Arial Narrow"/>
                <w:color w:val="000000" w:themeColor="text1"/>
                <w:sz w:val="20"/>
                <w:szCs w:val="20"/>
              </w:rPr>
            </w:pPr>
            <w:r>
              <w:rPr>
                <w:rFonts w:ascii="Arial Narrow" w:hAnsi="Arial Narrow"/>
                <w:noProof/>
                <w:color w:val="000000"/>
                <w:sz w:val="20"/>
                <w:szCs w:val="20"/>
                <w:highlight w:val="black"/>
              </w:rPr>
              <w:t>'''''''''''''''</w:t>
            </w:r>
            <w:r w:rsidR="00021FEC" w:rsidRPr="00534C5B">
              <w:rPr>
                <w:rFonts w:ascii="Arial Narrow" w:hAnsi="Arial Narrow"/>
                <w:color w:val="000000" w:themeColor="text1"/>
                <w:sz w:val="20"/>
                <w:szCs w:val="20"/>
              </w:rPr>
              <w:t>%</w:t>
            </w:r>
            <w:r w:rsidR="00021FEC" w:rsidRPr="00534C5B">
              <w:rPr>
                <w:rFonts w:ascii="Arial Narrow" w:hAnsi="Arial Narrow"/>
                <w:color w:val="000000" w:themeColor="text1"/>
                <w:sz w:val="20"/>
                <w:szCs w:val="20"/>
                <w:vertAlign w:val="superscript"/>
              </w:rPr>
              <w:t>###</w:t>
            </w:r>
          </w:p>
        </w:tc>
      </w:tr>
      <w:tr w:rsidR="00021FEC" w:rsidRPr="00534C5B" w:rsidTr="00F15DAD">
        <w:trPr>
          <w:tblHeader/>
        </w:trPr>
        <w:tc>
          <w:tcPr>
            <w:tcW w:w="2972" w:type="dxa"/>
            <w:tcBorders>
              <w:bottom w:val="single" w:sz="4" w:space="0" w:color="auto"/>
            </w:tcBorders>
          </w:tcPr>
          <w:p w:rsidR="00021FEC" w:rsidRPr="00534C5B" w:rsidRDefault="00021FEC" w:rsidP="00675FD5">
            <w:pPr>
              <w:pStyle w:val="3Bodytext"/>
              <w:keepNext/>
              <w:keepLines/>
              <w:numPr>
                <w:ilvl w:val="0"/>
                <w:numId w:val="0"/>
              </w:numPr>
              <w:spacing w:after="0"/>
              <w:rPr>
                <w:rFonts w:ascii="Arial Narrow" w:hAnsi="Arial Narrow"/>
                <w:color w:val="000000" w:themeColor="text1"/>
                <w:sz w:val="20"/>
                <w:szCs w:val="20"/>
              </w:rPr>
            </w:pPr>
            <w:r w:rsidRPr="00534C5B">
              <w:rPr>
                <w:rFonts w:ascii="Arial Narrow" w:hAnsi="Arial Narrow"/>
                <w:color w:val="000000" w:themeColor="text1"/>
                <w:sz w:val="20"/>
                <w:szCs w:val="20"/>
              </w:rPr>
              <w:t>Weighted AEMP per 100 mg vial</w:t>
            </w:r>
          </w:p>
        </w:tc>
        <w:tc>
          <w:tcPr>
            <w:tcW w:w="6044" w:type="dxa"/>
            <w:gridSpan w:val="3"/>
            <w:tcBorders>
              <w:bottom w:val="single" w:sz="4" w:space="0" w:color="auto"/>
            </w:tcBorders>
          </w:tcPr>
          <w:p w:rsidR="00021FEC" w:rsidRPr="00534C5B" w:rsidRDefault="00021FEC" w:rsidP="00021FEC">
            <w:pPr>
              <w:pStyle w:val="3Bodytext"/>
              <w:keepNext/>
              <w:keepLines/>
              <w:numPr>
                <w:ilvl w:val="0"/>
                <w:numId w:val="0"/>
              </w:numPr>
              <w:spacing w:after="0"/>
              <w:jc w:val="center"/>
              <w:rPr>
                <w:rFonts w:ascii="Arial Narrow" w:hAnsi="Arial Narrow"/>
                <w:color w:val="000000" w:themeColor="text1"/>
                <w:sz w:val="20"/>
                <w:szCs w:val="20"/>
              </w:rPr>
            </w:pPr>
            <w:r w:rsidRPr="00534C5B">
              <w:rPr>
                <w:rFonts w:ascii="Arial Narrow" w:hAnsi="Arial Narrow"/>
                <w:color w:val="000000" w:themeColor="text1"/>
                <w:sz w:val="20"/>
                <w:szCs w:val="20"/>
              </w:rPr>
              <w:t>$</w:t>
            </w:r>
            <w:r w:rsidR="00653477">
              <w:rPr>
                <w:rFonts w:ascii="Arial Narrow" w:hAnsi="Arial Narrow"/>
                <w:noProof/>
                <w:color w:val="000000"/>
                <w:sz w:val="20"/>
                <w:szCs w:val="20"/>
                <w:highlight w:val="black"/>
              </w:rPr>
              <w:t>'''''''''''''''''</w:t>
            </w:r>
            <w:r w:rsidRPr="00534C5B">
              <w:rPr>
                <w:rFonts w:ascii="Arial Narrow" w:hAnsi="Arial Narrow"/>
                <w:color w:val="000000" w:themeColor="text1"/>
                <w:sz w:val="20"/>
                <w:szCs w:val="20"/>
              </w:rPr>
              <w:t>*</w:t>
            </w:r>
          </w:p>
        </w:tc>
      </w:tr>
    </w:tbl>
    <w:p w:rsidR="00EA78A5" w:rsidRPr="00534C5B" w:rsidRDefault="00EA78A5" w:rsidP="00EA78A5">
      <w:pPr>
        <w:pStyle w:val="3Bodytext"/>
        <w:numPr>
          <w:ilvl w:val="0"/>
          <w:numId w:val="0"/>
        </w:numPr>
        <w:spacing w:after="0"/>
        <w:rPr>
          <w:rFonts w:ascii="Arial Narrow" w:hAnsi="Arial Narrow"/>
          <w:color w:val="000000" w:themeColor="text1"/>
          <w:sz w:val="18"/>
          <w:szCs w:val="18"/>
        </w:rPr>
      </w:pPr>
      <w:r w:rsidRPr="00534C5B">
        <w:rPr>
          <w:rFonts w:ascii="Arial Narrow" w:hAnsi="Arial Narrow"/>
          <w:color w:val="000000" w:themeColor="text1"/>
          <w:sz w:val="18"/>
          <w:szCs w:val="18"/>
        </w:rPr>
        <w:t>* Price to be adjusted based on the results of the cost-minimisation analysis with dabrafenib+trametinib</w:t>
      </w:r>
      <w:r w:rsidR="009643BD">
        <w:rPr>
          <w:rFonts w:ascii="Arial Narrow" w:hAnsi="Arial Narrow"/>
          <w:color w:val="000000" w:themeColor="text1"/>
          <w:sz w:val="18"/>
          <w:szCs w:val="18"/>
        </w:rPr>
        <w:t>.</w:t>
      </w:r>
    </w:p>
    <w:p w:rsidR="00021FEC" w:rsidRPr="00534C5B" w:rsidRDefault="00021FEC" w:rsidP="00EA78A5">
      <w:pPr>
        <w:pStyle w:val="3Bodytext"/>
        <w:numPr>
          <w:ilvl w:val="0"/>
          <w:numId w:val="0"/>
        </w:numPr>
        <w:spacing w:after="0"/>
        <w:rPr>
          <w:rFonts w:ascii="Arial Narrow" w:hAnsi="Arial Narrow"/>
          <w:color w:val="000000" w:themeColor="text1"/>
          <w:sz w:val="18"/>
          <w:szCs w:val="18"/>
        </w:rPr>
      </w:pPr>
      <w:r w:rsidRPr="00534C5B">
        <w:rPr>
          <w:rFonts w:ascii="Arial Narrow" w:hAnsi="Arial Narrow"/>
          <w:color w:val="000000" w:themeColor="text1"/>
          <w:sz w:val="18"/>
          <w:szCs w:val="18"/>
        </w:rPr>
        <w:t># calculated as (</w:t>
      </w:r>
      <w:r w:rsidR="00653477">
        <w:rPr>
          <w:rFonts w:ascii="Arial Narrow" w:hAnsi="Arial Narrow"/>
          <w:noProof/>
          <w:color w:val="000000"/>
          <w:sz w:val="18"/>
          <w:szCs w:val="18"/>
          <w:highlight w:val="black"/>
        </w:rPr>
        <w:t>'''''''''''''''''</w:t>
      </w:r>
      <w:r w:rsidRPr="00534C5B">
        <w:rPr>
          <w:rFonts w:ascii="Arial Narrow" w:hAnsi="Arial Narrow"/>
          <w:color w:val="000000" w:themeColor="text1"/>
          <w:sz w:val="18"/>
          <w:szCs w:val="18"/>
        </w:rPr>
        <w:t>/</w:t>
      </w:r>
      <w:r w:rsidR="00653477">
        <w:rPr>
          <w:rFonts w:ascii="Arial Narrow" w:hAnsi="Arial Narrow"/>
          <w:noProof/>
          <w:color w:val="000000"/>
          <w:sz w:val="18"/>
          <w:szCs w:val="18"/>
          <w:highlight w:val="black"/>
        </w:rPr>
        <w:t>''''''''''''''''''</w:t>
      </w:r>
      <w:r w:rsidRPr="00534C5B">
        <w:rPr>
          <w:rFonts w:ascii="Arial Narrow" w:hAnsi="Arial Narrow"/>
          <w:color w:val="000000" w:themeColor="text1"/>
          <w:sz w:val="18"/>
          <w:szCs w:val="18"/>
        </w:rPr>
        <w:t>) / (</w:t>
      </w:r>
      <w:r w:rsidR="00653477">
        <w:rPr>
          <w:rFonts w:ascii="Arial Narrow" w:hAnsi="Arial Narrow"/>
          <w:noProof/>
          <w:color w:val="000000"/>
          <w:sz w:val="18"/>
          <w:szCs w:val="18"/>
          <w:highlight w:val="black"/>
        </w:rPr>
        <w:t>''''''''''''''''</w:t>
      </w:r>
      <w:r w:rsidRPr="00534C5B">
        <w:rPr>
          <w:rFonts w:ascii="Arial Narrow" w:hAnsi="Arial Narrow"/>
          <w:color w:val="000000" w:themeColor="text1"/>
          <w:sz w:val="18"/>
          <w:szCs w:val="18"/>
        </w:rPr>
        <w:t>/</w:t>
      </w:r>
      <w:r w:rsidR="00653477">
        <w:rPr>
          <w:rFonts w:ascii="Arial Narrow" w:hAnsi="Arial Narrow"/>
          <w:noProof/>
          <w:color w:val="000000"/>
          <w:sz w:val="18"/>
          <w:szCs w:val="18"/>
          <w:highlight w:val="black"/>
        </w:rPr>
        <w:t>''''''''''''''''</w:t>
      </w:r>
      <w:r w:rsidRPr="00534C5B">
        <w:rPr>
          <w:rFonts w:ascii="Arial Narrow" w:hAnsi="Arial Narrow"/>
          <w:color w:val="000000" w:themeColor="text1"/>
          <w:sz w:val="18"/>
          <w:szCs w:val="18"/>
        </w:rPr>
        <w:t>+</w:t>
      </w:r>
      <w:r w:rsidR="00653477">
        <w:rPr>
          <w:rFonts w:ascii="Arial Narrow" w:hAnsi="Arial Narrow"/>
          <w:noProof/>
          <w:color w:val="000000"/>
          <w:sz w:val="18"/>
          <w:szCs w:val="18"/>
          <w:highlight w:val="black"/>
        </w:rPr>
        <w:t>''''''''''''''''''</w:t>
      </w:r>
      <w:r w:rsidRPr="00534C5B">
        <w:rPr>
          <w:rFonts w:ascii="Arial Narrow" w:hAnsi="Arial Narrow"/>
          <w:color w:val="000000" w:themeColor="text1"/>
          <w:sz w:val="18"/>
          <w:szCs w:val="18"/>
        </w:rPr>
        <w:t>/</w:t>
      </w:r>
      <w:r w:rsidR="00653477">
        <w:rPr>
          <w:rFonts w:ascii="Arial Narrow" w:hAnsi="Arial Narrow"/>
          <w:noProof/>
          <w:color w:val="000000"/>
          <w:sz w:val="18"/>
          <w:szCs w:val="18"/>
          <w:highlight w:val="black"/>
        </w:rPr>
        <w:t>''''''''''''''''</w:t>
      </w:r>
      <w:r w:rsidRPr="00534C5B">
        <w:rPr>
          <w:rFonts w:ascii="Arial Narrow" w:hAnsi="Arial Narrow"/>
          <w:color w:val="000000" w:themeColor="text1"/>
          <w:sz w:val="18"/>
          <w:szCs w:val="18"/>
        </w:rPr>
        <w:t>+</w:t>
      </w:r>
      <w:r w:rsidR="00653477">
        <w:rPr>
          <w:rFonts w:ascii="Arial Narrow" w:hAnsi="Arial Narrow"/>
          <w:noProof/>
          <w:color w:val="000000"/>
          <w:sz w:val="18"/>
          <w:szCs w:val="18"/>
          <w:highlight w:val="black"/>
        </w:rPr>
        <w:t>''''''''''''''''</w:t>
      </w:r>
      <w:r w:rsidRPr="00534C5B">
        <w:rPr>
          <w:rFonts w:ascii="Arial Narrow" w:hAnsi="Arial Narrow"/>
          <w:color w:val="000000" w:themeColor="text1"/>
          <w:sz w:val="18"/>
          <w:szCs w:val="18"/>
        </w:rPr>
        <w:t>/</w:t>
      </w:r>
      <w:r w:rsidR="00653477">
        <w:rPr>
          <w:rFonts w:ascii="Arial Narrow" w:hAnsi="Arial Narrow"/>
          <w:noProof/>
          <w:color w:val="000000"/>
          <w:sz w:val="18"/>
          <w:szCs w:val="18"/>
          <w:highlight w:val="black"/>
        </w:rPr>
        <w:t>'''''''''''''''''''''</w:t>
      </w:r>
      <w:r w:rsidRPr="00534C5B">
        <w:rPr>
          <w:rFonts w:ascii="Arial Narrow" w:hAnsi="Arial Narrow"/>
          <w:color w:val="000000" w:themeColor="text1"/>
          <w:sz w:val="18"/>
          <w:szCs w:val="18"/>
        </w:rPr>
        <w:t xml:space="preserve">) = </w:t>
      </w:r>
      <w:r w:rsidR="00653477">
        <w:rPr>
          <w:rFonts w:ascii="Arial Narrow" w:hAnsi="Arial Narrow"/>
          <w:noProof/>
          <w:color w:val="000000"/>
          <w:sz w:val="18"/>
          <w:szCs w:val="18"/>
          <w:highlight w:val="black"/>
        </w:rPr>
        <w:t>''''''''''''''''</w:t>
      </w:r>
    </w:p>
    <w:p w:rsidR="00021FEC" w:rsidRPr="00534C5B" w:rsidRDefault="00021FEC" w:rsidP="00021FEC">
      <w:pPr>
        <w:pStyle w:val="3Bodytext"/>
        <w:numPr>
          <w:ilvl w:val="0"/>
          <w:numId w:val="0"/>
        </w:numPr>
        <w:spacing w:after="0"/>
        <w:rPr>
          <w:rFonts w:ascii="Arial Narrow" w:hAnsi="Arial Narrow"/>
          <w:color w:val="000000" w:themeColor="text1"/>
          <w:sz w:val="18"/>
          <w:szCs w:val="18"/>
        </w:rPr>
      </w:pPr>
      <w:r w:rsidRPr="00534C5B">
        <w:rPr>
          <w:rFonts w:ascii="Arial Narrow" w:hAnsi="Arial Narrow"/>
          <w:color w:val="000000" w:themeColor="text1"/>
          <w:sz w:val="18"/>
          <w:szCs w:val="18"/>
        </w:rPr>
        <w:t>## calculated as (</w:t>
      </w:r>
      <w:r w:rsidR="00653477">
        <w:rPr>
          <w:rFonts w:ascii="Arial Narrow" w:hAnsi="Arial Narrow"/>
          <w:noProof/>
          <w:color w:val="000000"/>
          <w:sz w:val="18"/>
          <w:szCs w:val="18"/>
          <w:highlight w:val="black"/>
        </w:rPr>
        <w:t>''''''''''''''''</w:t>
      </w:r>
      <w:r w:rsidRPr="00534C5B">
        <w:rPr>
          <w:rFonts w:ascii="Arial Narrow" w:hAnsi="Arial Narrow"/>
          <w:color w:val="000000" w:themeColor="text1"/>
          <w:sz w:val="18"/>
          <w:szCs w:val="18"/>
        </w:rPr>
        <w:t>/</w:t>
      </w:r>
      <w:r w:rsidR="00653477">
        <w:rPr>
          <w:rFonts w:ascii="Arial Narrow" w:hAnsi="Arial Narrow"/>
          <w:noProof/>
          <w:color w:val="000000"/>
          <w:sz w:val="18"/>
          <w:szCs w:val="18"/>
          <w:highlight w:val="black"/>
        </w:rPr>
        <w:t>'''''''''''''''''</w:t>
      </w:r>
      <w:r w:rsidRPr="00534C5B">
        <w:rPr>
          <w:rFonts w:ascii="Arial Narrow" w:hAnsi="Arial Narrow"/>
          <w:color w:val="000000" w:themeColor="text1"/>
          <w:sz w:val="18"/>
          <w:szCs w:val="18"/>
        </w:rPr>
        <w:t>) / (</w:t>
      </w:r>
      <w:r w:rsidR="00653477">
        <w:rPr>
          <w:rFonts w:ascii="Arial Narrow" w:hAnsi="Arial Narrow"/>
          <w:noProof/>
          <w:color w:val="000000"/>
          <w:sz w:val="18"/>
          <w:szCs w:val="18"/>
          <w:highlight w:val="black"/>
        </w:rPr>
        <w:t>'''''''''''''''</w:t>
      </w:r>
      <w:r w:rsidRPr="00534C5B">
        <w:rPr>
          <w:rFonts w:ascii="Arial Narrow" w:hAnsi="Arial Narrow"/>
          <w:color w:val="000000" w:themeColor="text1"/>
          <w:sz w:val="18"/>
          <w:szCs w:val="18"/>
        </w:rPr>
        <w:t>/</w:t>
      </w:r>
      <w:r w:rsidR="00653477">
        <w:rPr>
          <w:rFonts w:ascii="Arial Narrow" w:hAnsi="Arial Narrow"/>
          <w:noProof/>
          <w:color w:val="000000"/>
          <w:sz w:val="18"/>
          <w:szCs w:val="18"/>
          <w:highlight w:val="black"/>
        </w:rPr>
        <w:t>'''''''''''''''''</w:t>
      </w:r>
      <w:r w:rsidRPr="00534C5B">
        <w:rPr>
          <w:rFonts w:ascii="Arial Narrow" w:hAnsi="Arial Narrow"/>
          <w:color w:val="000000" w:themeColor="text1"/>
          <w:sz w:val="18"/>
          <w:szCs w:val="18"/>
        </w:rPr>
        <w:t>+</w:t>
      </w:r>
      <w:r w:rsidR="00653477">
        <w:rPr>
          <w:rFonts w:ascii="Arial Narrow" w:hAnsi="Arial Narrow"/>
          <w:noProof/>
          <w:color w:val="000000"/>
          <w:sz w:val="18"/>
          <w:szCs w:val="18"/>
          <w:highlight w:val="black"/>
        </w:rPr>
        <w:t>'''''''''''''''</w:t>
      </w:r>
      <w:r w:rsidRPr="00534C5B">
        <w:rPr>
          <w:rFonts w:ascii="Arial Narrow" w:hAnsi="Arial Narrow"/>
          <w:color w:val="000000" w:themeColor="text1"/>
          <w:sz w:val="18"/>
          <w:szCs w:val="18"/>
        </w:rPr>
        <w:t>/</w:t>
      </w:r>
      <w:r w:rsidR="00653477">
        <w:rPr>
          <w:rFonts w:ascii="Arial Narrow" w:hAnsi="Arial Narrow"/>
          <w:noProof/>
          <w:color w:val="000000"/>
          <w:sz w:val="18"/>
          <w:szCs w:val="18"/>
          <w:highlight w:val="black"/>
        </w:rPr>
        <w:t>'''''''''''''''''</w:t>
      </w:r>
      <w:r w:rsidRPr="00534C5B">
        <w:rPr>
          <w:rFonts w:ascii="Arial Narrow" w:hAnsi="Arial Narrow"/>
          <w:color w:val="000000" w:themeColor="text1"/>
          <w:sz w:val="18"/>
          <w:szCs w:val="18"/>
        </w:rPr>
        <w:t>+</w:t>
      </w:r>
      <w:r w:rsidR="00653477">
        <w:rPr>
          <w:rFonts w:ascii="Arial Narrow" w:hAnsi="Arial Narrow"/>
          <w:noProof/>
          <w:color w:val="000000"/>
          <w:sz w:val="18"/>
          <w:szCs w:val="18"/>
          <w:highlight w:val="black"/>
        </w:rPr>
        <w:t>'''''''''''''''''</w:t>
      </w:r>
      <w:r w:rsidRPr="00534C5B">
        <w:rPr>
          <w:rFonts w:ascii="Arial Narrow" w:hAnsi="Arial Narrow"/>
          <w:color w:val="000000" w:themeColor="text1"/>
          <w:sz w:val="18"/>
          <w:szCs w:val="18"/>
        </w:rPr>
        <w:t>/</w:t>
      </w:r>
      <w:r w:rsidR="00653477">
        <w:rPr>
          <w:rFonts w:ascii="Arial Narrow" w:hAnsi="Arial Narrow"/>
          <w:noProof/>
          <w:color w:val="000000"/>
          <w:sz w:val="18"/>
          <w:szCs w:val="18"/>
          <w:highlight w:val="black"/>
        </w:rPr>
        <w:t>'''''''''''''''''</w:t>
      </w:r>
      <w:r w:rsidRPr="00534C5B">
        <w:rPr>
          <w:rFonts w:ascii="Arial Narrow" w:hAnsi="Arial Narrow"/>
          <w:color w:val="000000" w:themeColor="text1"/>
          <w:sz w:val="18"/>
          <w:szCs w:val="18"/>
        </w:rPr>
        <w:t xml:space="preserve">) = </w:t>
      </w:r>
      <w:r w:rsidR="00653477">
        <w:rPr>
          <w:rFonts w:ascii="Arial Narrow" w:hAnsi="Arial Narrow"/>
          <w:noProof/>
          <w:color w:val="000000"/>
          <w:sz w:val="18"/>
          <w:szCs w:val="18"/>
          <w:highlight w:val="black"/>
        </w:rPr>
        <w:t>'''''''''''''''</w:t>
      </w:r>
    </w:p>
    <w:p w:rsidR="00021FEC" w:rsidRPr="00534C5B" w:rsidRDefault="00021FEC" w:rsidP="00EA78A5">
      <w:pPr>
        <w:pStyle w:val="3Bodytext"/>
        <w:numPr>
          <w:ilvl w:val="0"/>
          <w:numId w:val="0"/>
        </w:numPr>
        <w:spacing w:after="0"/>
        <w:rPr>
          <w:rFonts w:ascii="Arial Narrow" w:hAnsi="Arial Narrow"/>
          <w:color w:val="000000" w:themeColor="text1"/>
          <w:sz w:val="18"/>
          <w:szCs w:val="18"/>
        </w:rPr>
      </w:pPr>
      <w:r w:rsidRPr="00534C5B">
        <w:rPr>
          <w:rFonts w:ascii="Arial Narrow" w:hAnsi="Arial Narrow"/>
          <w:color w:val="000000" w:themeColor="text1"/>
          <w:sz w:val="18"/>
          <w:szCs w:val="18"/>
        </w:rPr>
        <w:t>### calculated as (</w:t>
      </w:r>
      <w:r w:rsidR="00653477">
        <w:rPr>
          <w:rFonts w:ascii="Arial Narrow" w:hAnsi="Arial Narrow"/>
          <w:noProof/>
          <w:color w:val="000000"/>
          <w:sz w:val="18"/>
          <w:szCs w:val="18"/>
          <w:highlight w:val="black"/>
        </w:rPr>
        <w:t>'''''''''''''''''</w:t>
      </w:r>
      <w:r w:rsidRPr="00534C5B">
        <w:rPr>
          <w:rFonts w:ascii="Arial Narrow" w:hAnsi="Arial Narrow"/>
          <w:color w:val="000000" w:themeColor="text1"/>
          <w:sz w:val="18"/>
          <w:szCs w:val="18"/>
        </w:rPr>
        <w:t>/</w:t>
      </w:r>
      <w:r w:rsidR="00653477">
        <w:rPr>
          <w:rFonts w:ascii="Arial Narrow" w:hAnsi="Arial Narrow"/>
          <w:noProof/>
          <w:color w:val="000000"/>
          <w:sz w:val="18"/>
          <w:szCs w:val="18"/>
          <w:highlight w:val="black"/>
        </w:rPr>
        <w:t>''''''''''''''''''''</w:t>
      </w:r>
      <w:r w:rsidRPr="00534C5B">
        <w:rPr>
          <w:rFonts w:ascii="Arial Narrow" w:hAnsi="Arial Narrow"/>
          <w:color w:val="000000" w:themeColor="text1"/>
          <w:sz w:val="18"/>
          <w:szCs w:val="18"/>
        </w:rPr>
        <w:t>) / (</w:t>
      </w:r>
      <w:r w:rsidR="00653477">
        <w:rPr>
          <w:rFonts w:ascii="Arial Narrow" w:hAnsi="Arial Narrow"/>
          <w:noProof/>
          <w:color w:val="000000"/>
          <w:sz w:val="18"/>
          <w:szCs w:val="18"/>
          <w:highlight w:val="black"/>
        </w:rPr>
        <w:t>'''''''''''''''''</w:t>
      </w:r>
      <w:r w:rsidRPr="00534C5B">
        <w:rPr>
          <w:rFonts w:ascii="Arial Narrow" w:hAnsi="Arial Narrow"/>
          <w:color w:val="000000" w:themeColor="text1"/>
          <w:sz w:val="18"/>
          <w:szCs w:val="18"/>
        </w:rPr>
        <w:t>/</w:t>
      </w:r>
      <w:r w:rsidR="00653477">
        <w:rPr>
          <w:rFonts w:ascii="Arial Narrow" w:hAnsi="Arial Narrow"/>
          <w:noProof/>
          <w:color w:val="000000"/>
          <w:sz w:val="18"/>
          <w:szCs w:val="18"/>
          <w:highlight w:val="black"/>
        </w:rPr>
        <w:t>''''''''''''''''''</w:t>
      </w:r>
      <w:r w:rsidRPr="00534C5B">
        <w:rPr>
          <w:rFonts w:ascii="Arial Narrow" w:hAnsi="Arial Narrow"/>
          <w:color w:val="000000" w:themeColor="text1"/>
          <w:sz w:val="18"/>
          <w:szCs w:val="18"/>
        </w:rPr>
        <w:t>+</w:t>
      </w:r>
      <w:r w:rsidR="00653477">
        <w:rPr>
          <w:rFonts w:ascii="Arial Narrow" w:hAnsi="Arial Narrow"/>
          <w:noProof/>
          <w:color w:val="000000"/>
          <w:sz w:val="18"/>
          <w:szCs w:val="18"/>
          <w:highlight w:val="black"/>
        </w:rPr>
        <w:t>'''''''''''''''</w:t>
      </w:r>
      <w:r w:rsidRPr="00534C5B">
        <w:rPr>
          <w:rFonts w:ascii="Arial Narrow" w:hAnsi="Arial Narrow"/>
          <w:color w:val="000000" w:themeColor="text1"/>
          <w:sz w:val="18"/>
          <w:szCs w:val="18"/>
        </w:rPr>
        <w:t>/</w:t>
      </w:r>
      <w:r w:rsidR="00653477">
        <w:rPr>
          <w:rFonts w:ascii="Arial Narrow" w:hAnsi="Arial Narrow"/>
          <w:noProof/>
          <w:color w:val="000000"/>
          <w:sz w:val="18"/>
          <w:szCs w:val="18"/>
          <w:highlight w:val="black"/>
        </w:rPr>
        <w:t>'''''''''''''''</w:t>
      </w:r>
      <w:r w:rsidRPr="00534C5B">
        <w:rPr>
          <w:rFonts w:ascii="Arial Narrow" w:hAnsi="Arial Narrow"/>
          <w:color w:val="000000" w:themeColor="text1"/>
          <w:sz w:val="18"/>
          <w:szCs w:val="18"/>
        </w:rPr>
        <w:t>+</w:t>
      </w:r>
      <w:r w:rsidR="00653477">
        <w:rPr>
          <w:rFonts w:ascii="Arial Narrow" w:hAnsi="Arial Narrow"/>
          <w:noProof/>
          <w:color w:val="000000"/>
          <w:sz w:val="18"/>
          <w:szCs w:val="18"/>
          <w:highlight w:val="black"/>
        </w:rPr>
        <w:t>'''''''''''''''''</w:t>
      </w:r>
      <w:r w:rsidRPr="00534C5B">
        <w:rPr>
          <w:rFonts w:ascii="Arial Narrow" w:hAnsi="Arial Narrow"/>
          <w:color w:val="000000" w:themeColor="text1"/>
          <w:sz w:val="18"/>
          <w:szCs w:val="18"/>
        </w:rPr>
        <w:t>/</w:t>
      </w:r>
      <w:r w:rsidR="00653477">
        <w:rPr>
          <w:rFonts w:ascii="Arial Narrow" w:hAnsi="Arial Narrow"/>
          <w:noProof/>
          <w:color w:val="000000"/>
          <w:sz w:val="18"/>
          <w:szCs w:val="18"/>
          <w:highlight w:val="black"/>
        </w:rPr>
        <w:t>''''''''''''''''''</w:t>
      </w:r>
      <w:r w:rsidRPr="00534C5B">
        <w:rPr>
          <w:rFonts w:ascii="Arial Narrow" w:hAnsi="Arial Narrow"/>
          <w:color w:val="000000" w:themeColor="text1"/>
          <w:sz w:val="18"/>
          <w:szCs w:val="18"/>
        </w:rPr>
        <w:t xml:space="preserve">) = </w:t>
      </w:r>
      <w:r w:rsidR="00653477">
        <w:rPr>
          <w:rFonts w:ascii="Arial Narrow" w:hAnsi="Arial Narrow"/>
          <w:noProof/>
          <w:color w:val="000000"/>
          <w:sz w:val="18"/>
          <w:szCs w:val="18"/>
          <w:highlight w:val="black"/>
        </w:rPr>
        <w:t>'''''''''''''''''</w:t>
      </w:r>
    </w:p>
    <w:p w:rsidR="00F00DAE" w:rsidRPr="00534C5B" w:rsidRDefault="005E5419" w:rsidP="00EA78A5">
      <w:pPr>
        <w:pStyle w:val="3Bodytext"/>
        <w:numPr>
          <w:ilvl w:val="0"/>
          <w:numId w:val="0"/>
        </w:numPr>
        <w:spacing w:after="0"/>
        <w:rPr>
          <w:rFonts w:ascii="Arial Narrow" w:hAnsi="Arial Narrow"/>
          <w:color w:val="000000" w:themeColor="text1"/>
          <w:sz w:val="18"/>
          <w:szCs w:val="18"/>
        </w:rPr>
      </w:pPr>
      <w:r w:rsidRPr="00534C5B">
        <w:rPr>
          <w:rFonts w:ascii="Arial Narrow" w:hAnsi="Arial Narrow"/>
          <w:color w:val="000000" w:themeColor="text1"/>
          <w:sz w:val="18"/>
          <w:szCs w:val="18"/>
        </w:rPr>
        <w:t xml:space="preserve">AEMP = approved ex-manufacturer price; </w:t>
      </w:r>
      <w:r w:rsidR="00EA78A5" w:rsidRPr="00534C5B">
        <w:rPr>
          <w:rFonts w:ascii="Arial Narrow" w:hAnsi="Arial Narrow"/>
          <w:color w:val="000000" w:themeColor="text1"/>
          <w:sz w:val="18"/>
          <w:szCs w:val="18"/>
        </w:rPr>
        <w:t>MT = mutant melanoma (i.e. BRAF positive); WT = wild type melanoma (i.e. BRAF negative)</w:t>
      </w:r>
    </w:p>
    <w:p w:rsidR="00EA78A5" w:rsidRPr="00534C5B" w:rsidRDefault="00EA78A5" w:rsidP="00EA78A5">
      <w:pPr>
        <w:pStyle w:val="3Bodytext"/>
        <w:numPr>
          <w:ilvl w:val="0"/>
          <w:numId w:val="0"/>
        </w:numPr>
        <w:spacing w:after="0"/>
        <w:rPr>
          <w:rFonts w:ascii="Arial Narrow" w:hAnsi="Arial Narrow"/>
          <w:color w:val="000000" w:themeColor="text1"/>
          <w:sz w:val="18"/>
          <w:szCs w:val="18"/>
        </w:rPr>
      </w:pPr>
      <w:r w:rsidRPr="00534C5B">
        <w:rPr>
          <w:rFonts w:ascii="Arial Narrow" w:hAnsi="Arial Narrow"/>
          <w:color w:val="000000" w:themeColor="text1"/>
          <w:sz w:val="18"/>
          <w:szCs w:val="18"/>
        </w:rPr>
        <w:t xml:space="preserve">Source: Table 1, p1 of the </w:t>
      </w:r>
      <w:r w:rsidR="00376DCD" w:rsidRPr="00534C5B">
        <w:rPr>
          <w:rFonts w:ascii="Arial Narrow" w:hAnsi="Arial Narrow"/>
          <w:color w:val="000000" w:themeColor="text1"/>
          <w:sz w:val="18"/>
          <w:szCs w:val="18"/>
        </w:rPr>
        <w:t xml:space="preserve">August 2019 </w:t>
      </w:r>
      <w:r w:rsidRPr="00534C5B">
        <w:rPr>
          <w:rFonts w:ascii="Arial Narrow" w:hAnsi="Arial Narrow"/>
          <w:color w:val="000000" w:themeColor="text1"/>
          <w:sz w:val="18"/>
          <w:szCs w:val="18"/>
        </w:rPr>
        <w:t>nivolumab proposal</w:t>
      </w:r>
    </w:p>
    <w:p w:rsidR="00EA78A5" w:rsidRPr="00534C5B" w:rsidRDefault="00EA78A5" w:rsidP="00EA78A5"/>
    <w:p w:rsidR="00F873FD" w:rsidRPr="00534C5B" w:rsidRDefault="00F873FD" w:rsidP="00F873FD">
      <w:pPr>
        <w:pStyle w:val="Heading2"/>
        <w:spacing w:before="240" w:after="120"/>
        <w:rPr>
          <w:rFonts w:ascii="Calibri" w:hAnsi="Calibri" w:cs="Calibri"/>
          <w:sz w:val="28"/>
          <w:szCs w:val="28"/>
        </w:rPr>
      </w:pPr>
      <w:r w:rsidRPr="00534C5B">
        <w:rPr>
          <w:rFonts w:ascii="Calibri" w:eastAsiaTheme="majorEastAsia" w:hAnsi="Calibri" w:cs="Calibri"/>
          <w:sz w:val="28"/>
          <w:szCs w:val="28"/>
        </w:rPr>
        <w:t>Estimated PBS usage &amp; financial implications</w:t>
      </w:r>
    </w:p>
    <w:p w:rsidR="005F0130" w:rsidRPr="00534C5B" w:rsidRDefault="005F0130" w:rsidP="00AF0867">
      <w:pPr>
        <w:pStyle w:val="3Bodytext"/>
        <w:numPr>
          <w:ilvl w:val="1"/>
          <w:numId w:val="1"/>
        </w:numPr>
        <w:rPr>
          <w:szCs w:val="24"/>
        </w:rPr>
      </w:pPr>
      <w:r w:rsidRPr="00534C5B">
        <w:rPr>
          <w:szCs w:val="24"/>
        </w:rPr>
        <w:t xml:space="preserve">Noting that a major submission to extend the PBS restrictions </w:t>
      </w:r>
      <w:r w:rsidR="001376F2" w:rsidRPr="00534C5B">
        <w:rPr>
          <w:szCs w:val="24"/>
        </w:rPr>
        <w:t xml:space="preserve">of </w:t>
      </w:r>
      <w:r w:rsidRPr="00534C5B">
        <w:rPr>
          <w:szCs w:val="24"/>
        </w:rPr>
        <w:t xml:space="preserve">nivolumab monotherapy and nivolumab+ipilimumab to allow first-line treatment in BRAF mutant patients in the unresectable or metastatic setting was also considered at the November 2019 meeting, and that both submissions proposed a RSA which incorporated both the adjuvant and unresectable or metastatic settings, the PBAC considered that the adjuvant and unresectable or metastatic populations should be calculated in a consistent manner across the submissions. </w:t>
      </w:r>
    </w:p>
    <w:p w:rsidR="00FA5430" w:rsidRPr="00534C5B" w:rsidRDefault="00C03DB7" w:rsidP="00AF0867">
      <w:pPr>
        <w:pStyle w:val="3Bodytext"/>
        <w:numPr>
          <w:ilvl w:val="1"/>
          <w:numId w:val="1"/>
        </w:numPr>
        <w:rPr>
          <w:szCs w:val="24"/>
        </w:rPr>
      </w:pPr>
      <w:r w:rsidRPr="00534C5B">
        <w:rPr>
          <w:szCs w:val="24"/>
        </w:rPr>
        <w:t xml:space="preserve">The </w:t>
      </w:r>
      <w:r w:rsidR="008F2ADE" w:rsidRPr="00534C5B">
        <w:rPr>
          <w:szCs w:val="24"/>
        </w:rPr>
        <w:t>sponsor</w:t>
      </w:r>
      <w:r w:rsidRPr="00534C5B">
        <w:rPr>
          <w:szCs w:val="24"/>
        </w:rPr>
        <w:t xml:space="preserve"> provided amended financial estimates. A summary of the key assumptions and r</w:t>
      </w:r>
      <w:r w:rsidR="00EE51D4" w:rsidRPr="00534C5B">
        <w:rPr>
          <w:szCs w:val="24"/>
        </w:rPr>
        <w:t xml:space="preserve">evisions is presented in Table </w:t>
      </w:r>
      <w:r w:rsidR="00AB5085" w:rsidRPr="00534C5B">
        <w:rPr>
          <w:szCs w:val="24"/>
        </w:rPr>
        <w:t>3</w:t>
      </w:r>
      <w:r w:rsidRPr="00534C5B">
        <w:rPr>
          <w:szCs w:val="24"/>
        </w:rPr>
        <w:t>.</w:t>
      </w:r>
    </w:p>
    <w:p w:rsidR="00656439" w:rsidRPr="00534C5B" w:rsidRDefault="00EE51D4" w:rsidP="00B807DF">
      <w:pPr>
        <w:pStyle w:val="3Bodytext"/>
        <w:keepNext/>
        <w:keepLines/>
        <w:numPr>
          <w:ilvl w:val="0"/>
          <w:numId w:val="0"/>
        </w:numPr>
        <w:spacing w:after="0"/>
        <w:rPr>
          <w:rStyle w:val="CommentReference"/>
          <w:rFonts w:ascii="Arial Narrow" w:hAnsi="Arial Narrow"/>
          <w:b/>
          <w:sz w:val="20"/>
          <w:szCs w:val="20"/>
        </w:rPr>
      </w:pPr>
      <w:r w:rsidRPr="00534C5B">
        <w:rPr>
          <w:rStyle w:val="CommentReference"/>
          <w:rFonts w:ascii="Arial Narrow" w:hAnsi="Arial Narrow"/>
          <w:b/>
          <w:sz w:val="20"/>
          <w:szCs w:val="20"/>
        </w:rPr>
        <w:lastRenderedPageBreak/>
        <w:t xml:space="preserve">Table </w:t>
      </w:r>
      <w:r w:rsidR="00AB5085" w:rsidRPr="00534C5B">
        <w:rPr>
          <w:rStyle w:val="CommentReference"/>
          <w:rFonts w:ascii="Arial Narrow" w:hAnsi="Arial Narrow"/>
          <w:b/>
          <w:sz w:val="20"/>
          <w:szCs w:val="20"/>
        </w:rPr>
        <w:t>3</w:t>
      </w:r>
      <w:r w:rsidR="00656439" w:rsidRPr="00534C5B">
        <w:rPr>
          <w:rStyle w:val="CommentReference"/>
          <w:rFonts w:ascii="Arial Narrow" w:hAnsi="Arial Narrow"/>
          <w:b/>
          <w:sz w:val="20"/>
          <w:szCs w:val="20"/>
        </w:rPr>
        <w:t xml:space="preserve">: </w:t>
      </w:r>
      <w:r w:rsidR="00E04BF0" w:rsidRPr="00534C5B">
        <w:rPr>
          <w:rStyle w:val="CommentReference"/>
          <w:rFonts w:ascii="Arial Narrow" w:hAnsi="Arial Narrow"/>
          <w:b/>
          <w:sz w:val="20"/>
          <w:szCs w:val="20"/>
        </w:rPr>
        <w:t>Changes to k</w:t>
      </w:r>
      <w:r w:rsidR="00656439" w:rsidRPr="00534C5B">
        <w:rPr>
          <w:rStyle w:val="CommentReference"/>
          <w:rFonts w:ascii="Arial Narrow" w:hAnsi="Arial Narrow"/>
          <w:b/>
          <w:sz w:val="20"/>
          <w:szCs w:val="20"/>
        </w:rPr>
        <w:t>ey parameters employed in the financial estimates</w:t>
      </w:r>
    </w:p>
    <w:tbl>
      <w:tblPr>
        <w:tblStyle w:val="TableGrid"/>
        <w:tblW w:w="0" w:type="auto"/>
        <w:tblLook w:val="04A0" w:firstRow="1" w:lastRow="0" w:firstColumn="1" w:lastColumn="0" w:noHBand="0" w:noVBand="1"/>
        <w:tblCaption w:val="Table 3: Changes to key parameters employed in the financial estimates"/>
      </w:tblPr>
      <w:tblGrid>
        <w:gridCol w:w="2689"/>
        <w:gridCol w:w="1842"/>
        <w:gridCol w:w="1843"/>
        <w:gridCol w:w="2642"/>
      </w:tblGrid>
      <w:tr w:rsidR="00C03DB7" w:rsidRPr="00534C5B" w:rsidTr="00F15DAD">
        <w:trPr>
          <w:tblHeader/>
        </w:trPr>
        <w:tc>
          <w:tcPr>
            <w:tcW w:w="2689" w:type="dxa"/>
            <w:tcMar>
              <w:left w:w="28" w:type="dxa"/>
              <w:right w:w="28" w:type="dxa"/>
            </w:tcMar>
          </w:tcPr>
          <w:p w:rsidR="00C03DB7" w:rsidRPr="00534C5B" w:rsidRDefault="00C03DB7" w:rsidP="00B807DF">
            <w:pPr>
              <w:pStyle w:val="2Sections"/>
              <w:keepNext/>
              <w:keepLines/>
              <w:numPr>
                <w:ilvl w:val="0"/>
                <w:numId w:val="0"/>
              </w:numPr>
              <w:spacing w:before="0" w:after="0"/>
              <w:rPr>
                <w:rFonts w:ascii="Arial Narrow" w:hAnsi="Arial Narrow"/>
                <w:sz w:val="20"/>
                <w:szCs w:val="20"/>
              </w:rPr>
            </w:pPr>
          </w:p>
        </w:tc>
        <w:tc>
          <w:tcPr>
            <w:tcW w:w="1842" w:type="dxa"/>
            <w:tcMar>
              <w:left w:w="28" w:type="dxa"/>
              <w:right w:w="28" w:type="dxa"/>
            </w:tcMar>
          </w:tcPr>
          <w:p w:rsidR="00C03DB7" w:rsidRPr="00534C5B" w:rsidRDefault="00C03DB7" w:rsidP="00B807DF">
            <w:pPr>
              <w:pStyle w:val="2Sections"/>
              <w:keepNext/>
              <w:keepLines/>
              <w:numPr>
                <w:ilvl w:val="0"/>
                <w:numId w:val="0"/>
              </w:numPr>
              <w:spacing w:before="0" w:after="0"/>
              <w:rPr>
                <w:rFonts w:ascii="Arial Narrow" w:hAnsi="Arial Narrow"/>
                <w:sz w:val="20"/>
                <w:szCs w:val="20"/>
              </w:rPr>
            </w:pPr>
            <w:r w:rsidRPr="00534C5B">
              <w:rPr>
                <w:rFonts w:ascii="Arial Narrow" w:hAnsi="Arial Narrow"/>
                <w:sz w:val="20"/>
                <w:szCs w:val="20"/>
              </w:rPr>
              <w:t>July 2019 minor resubmission</w:t>
            </w:r>
          </w:p>
        </w:tc>
        <w:tc>
          <w:tcPr>
            <w:tcW w:w="1843" w:type="dxa"/>
            <w:tcMar>
              <w:left w:w="28" w:type="dxa"/>
              <w:right w:w="28" w:type="dxa"/>
            </w:tcMar>
          </w:tcPr>
          <w:p w:rsidR="00C03DB7" w:rsidRPr="00534C5B" w:rsidRDefault="005F67A5" w:rsidP="005F67A5">
            <w:pPr>
              <w:pStyle w:val="2Sections"/>
              <w:keepNext/>
              <w:keepLines/>
              <w:numPr>
                <w:ilvl w:val="0"/>
                <w:numId w:val="0"/>
              </w:numPr>
              <w:spacing w:before="0" w:after="0"/>
              <w:rPr>
                <w:rFonts w:ascii="Arial Narrow" w:hAnsi="Arial Narrow"/>
                <w:sz w:val="20"/>
                <w:szCs w:val="20"/>
              </w:rPr>
            </w:pPr>
            <w:r w:rsidRPr="00534C5B">
              <w:rPr>
                <w:rFonts w:ascii="Arial Narrow" w:hAnsi="Arial Narrow"/>
                <w:sz w:val="20"/>
                <w:szCs w:val="20"/>
              </w:rPr>
              <w:t xml:space="preserve">November 2019 </w:t>
            </w:r>
            <w:r w:rsidR="001039A6" w:rsidRPr="00534C5B">
              <w:rPr>
                <w:rFonts w:ascii="Arial Narrow" w:hAnsi="Arial Narrow"/>
                <w:sz w:val="20"/>
                <w:szCs w:val="20"/>
              </w:rPr>
              <w:t xml:space="preserve">deferral </w:t>
            </w:r>
            <w:r w:rsidR="00C03DB7" w:rsidRPr="00534C5B">
              <w:rPr>
                <w:rFonts w:ascii="Arial Narrow" w:hAnsi="Arial Narrow"/>
                <w:sz w:val="20"/>
                <w:szCs w:val="20"/>
              </w:rPr>
              <w:t>proposal</w:t>
            </w:r>
          </w:p>
        </w:tc>
        <w:tc>
          <w:tcPr>
            <w:tcW w:w="2642" w:type="dxa"/>
            <w:tcMar>
              <w:left w:w="28" w:type="dxa"/>
              <w:right w:w="28" w:type="dxa"/>
            </w:tcMar>
          </w:tcPr>
          <w:p w:rsidR="00C03DB7" w:rsidRPr="00534C5B" w:rsidRDefault="00C03DB7" w:rsidP="00B807DF">
            <w:pPr>
              <w:pStyle w:val="2Sections"/>
              <w:keepNext/>
              <w:keepLines/>
              <w:numPr>
                <w:ilvl w:val="0"/>
                <w:numId w:val="0"/>
              </w:numPr>
              <w:spacing w:before="0" w:after="0"/>
              <w:rPr>
                <w:rFonts w:ascii="Arial Narrow" w:hAnsi="Arial Narrow"/>
                <w:sz w:val="20"/>
                <w:szCs w:val="20"/>
              </w:rPr>
            </w:pPr>
            <w:r w:rsidRPr="00534C5B">
              <w:rPr>
                <w:rFonts w:ascii="Arial Narrow" w:hAnsi="Arial Narrow"/>
                <w:sz w:val="20"/>
                <w:szCs w:val="20"/>
              </w:rPr>
              <w:t>Rationale</w:t>
            </w:r>
          </w:p>
        </w:tc>
      </w:tr>
      <w:tr w:rsidR="00C03DB7" w:rsidRPr="00534C5B" w:rsidTr="00F15DAD">
        <w:trPr>
          <w:tblHeader/>
        </w:trPr>
        <w:tc>
          <w:tcPr>
            <w:tcW w:w="2689" w:type="dxa"/>
            <w:tcMar>
              <w:left w:w="28" w:type="dxa"/>
              <w:right w:w="28" w:type="dxa"/>
            </w:tcMar>
          </w:tcPr>
          <w:p w:rsidR="00C03DB7" w:rsidRPr="00534C5B" w:rsidRDefault="00C03DB7" w:rsidP="00B807DF">
            <w:pPr>
              <w:pStyle w:val="2Sections"/>
              <w:keepNext/>
              <w:keepLines/>
              <w:numPr>
                <w:ilvl w:val="0"/>
                <w:numId w:val="0"/>
              </w:numPr>
              <w:spacing w:before="0" w:after="0"/>
              <w:rPr>
                <w:rFonts w:ascii="Arial Narrow" w:hAnsi="Arial Narrow"/>
                <w:b w:val="0"/>
                <w:sz w:val="20"/>
                <w:szCs w:val="20"/>
              </w:rPr>
            </w:pPr>
            <w:r w:rsidRPr="00534C5B">
              <w:rPr>
                <w:rFonts w:ascii="Arial Narrow" w:hAnsi="Arial Narrow"/>
                <w:b w:val="0"/>
                <w:sz w:val="20"/>
                <w:szCs w:val="20"/>
              </w:rPr>
              <w:t>Patients with resectable disease</w:t>
            </w:r>
          </w:p>
        </w:tc>
        <w:tc>
          <w:tcPr>
            <w:tcW w:w="1842" w:type="dxa"/>
            <w:tcMar>
              <w:left w:w="28" w:type="dxa"/>
              <w:right w:w="28" w:type="dxa"/>
            </w:tcMar>
          </w:tcPr>
          <w:p w:rsidR="00C03DB7" w:rsidRPr="00534C5B" w:rsidRDefault="00C03DB7" w:rsidP="00B807DF">
            <w:pPr>
              <w:pStyle w:val="2Sections"/>
              <w:keepNext/>
              <w:keepLines/>
              <w:numPr>
                <w:ilvl w:val="0"/>
                <w:numId w:val="0"/>
              </w:numPr>
              <w:spacing w:before="0" w:after="0"/>
              <w:rPr>
                <w:rFonts w:ascii="Arial Narrow" w:hAnsi="Arial Narrow"/>
                <w:b w:val="0"/>
                <w:sz w:val="20"/>
                <w:szCs w:val="20"/>
              </w:rPr>
            </w:pPr>
            <w:r w:rsidRPr="00534C5B">
              <w:rPr>
                <w:rFonts w:ascii="Arial Narrow" w:hAnsi="Arial Narrow"/>
                <w:b w:val="0"/>
                <w:sz w:val="20"/>
                <w:szCs w:val="20"/>
              </w:rPr>
              <w:t>Stage III: 86%</w:t>
            </w:r>
          </w:p>
          <w:p w:rsidR="00C03DB7" w:rsidRPr="00534C5B" w:rsidRDefault="00C03DB7" w:rsidP="00B807DF">
            <w:pPr>
              <w:pStyle w:val="2Sections"/>
              <w:keepNext/>
              <w:keepLines/>
              <w:numPr>
                <w:ilvl w:val="0"/>
                <w:numId w:val="0"/>
              </w:numPr>
              <w:spacing w:before="0" w:after="0"/>
              <w:rPr>
                <w:rFonts w:ascii="Arial Narrow" w:hAnsi="Arial Narrow"/>
                <w:b w:val="0"/>
                <w:sz w:val="20"/>
                <w:szCs w:val="20"/>
              </w:rPr>
            </w:pPr>
            <w:r w:rsidRPr="00534C5B">
              <w:rPr>
                <w:rFonts w:ascii="Arial Narrow" w:hAnsi="Arial Narrow"/>
                <w:b w:val="0"/>
                <w:sz w:val="20"/>
                <w:szCs w:val="20"/>
              </w:rPr>
              <w:t>Stage IV: 13%</w:t>
            </w:r>
          </w:p>
        </w:tc>
        <w:tc>
          <w:tcPr>
            <w:tcW w:w="1843" w:type="dxa"/>
            <w:tcMar>
              <w:left w:w="28" w:type="dxa"/>
              <w:right w:w="28" w:type="dxa"/>
            </w:tcMar>
          </w:tcPr>
          <w:p w:rsidR="00C03DB7" w:rsidRPr="00534C5B" w:rsidRDefault="00C03DB7" w:rsidP="00B807DF">
            <w:pPr>
              <w:pStyle w:val="2Sections"/>
              <w:keepNext/>
              <w:keepLines/>
              <w:numPr>
                <w:ilvl w:val="0"/>
                <w:numId w:val="0"/>
              </w:numPr>
              <w:spacing w:before="0" w:after="0"/>
              <w:rPr>
                <w:rFonts w:ascii="Arial Narrow" w:hAnsi="Arial Narrow"/>
                <w:b w:val="0"/>
                <w:sz w:val="20"/>
                <w:szCs w:val="20"/>
              </w:rPr>
            </w:pPr>
            <w:r w:rsidRPr="00534C5B">
              <w:rPr>
                <w:rFonts w:ascii="Arial Narrow" w:hAnsi="Arial Narrow"/>
                <w:b w:val="0"/>
                <w:sz w:val="20"/>
                <w:szCs w:val="20"/>
              </w:rPr>
              <w:t>Stage III: 81%</w:t>
            </w:r>
          </w:p>
          <w:p w:rsidR="00C03DB7" w:rsidRPr="00534C5B" w:rsidRDefault="00C03DB7" w:rsidP="00B807DF">
            <w:pPr>
              <w:pStyle w:val="2Sections"/>
              <w:keepNext/>
              <w:keepLines/>
              <w:numPr>
                <w:ilvl w:val="0"/>
                <w:numId w:val="0"/>
              </w:numPr>
              <w:spacing w:before="0" w:after="0"/>
              <w:rPr>
                <w:rFonts w:ascii="Arial Narrow" w:hAnsi="Arial Narrow"/>
                <w:b w:val="0"/>
                <w:sz w:val="20"/>
                <w:szCs w:val="20"/>
              </w:rPr>
            </w:pPr>
            <w:r w:rsidRPr="00534C5B">
              <w:rPr>
                <w:rFonts w:ascii="Arial Narrow" w:hAnsi="Arial Narrow"/>
                <w:b w:val="0"/>
                <w:sz w:val="20"/>
                <w:szCs w:val="20"/>
              </w:rPr>
              <w:t>Stage IV: 13%</w:t>
            </w:r>
          </w:p>
        </w:tc>
        <w:tc>
          <w:tcPr>
            <w:tcW w:w="2642" w:type="dxa"/>
            <w:tcMar>
              <w:left w:w="28" w:type="dxa"/>
              <w:right w:w="28" w:type="dxa"/>
            </w:tcMar>
          </w:tcPr>
          <w:p w:rsidR="00C03DB7" w:rsidRPr="00534C5B" w:rsidRDefault="00E136F0" w:rsidP="00E136F0">
            <w:pPr>
              <w:pStyle w:val="2Sections"/>
              <w:keepNext/>
              <w:keepLines/>
              <w:numPr>
                <w:ilvl w:val="0"/>
                <w:numId w:val="0"/>
              </w:numPr>
              <w:spacing w:before="0" w:after="0"/>
              <w:rPr>
                <w:rFonts w:ascii="Arial Narrow" w:hAnsi="Arial Narrow"/>
                <w:b w:val="0"/>
                <w:sz w:val="20"/>
                <w:szCs w:val="20"/>
              </w:rPr>
            </w:pPr>
            <w:r w:rsidRPr="00534C5B">
              <w:rPr>
                <w:rFonts w:ascii="Arial Narrow" w:hAnsi="Arial Narrow"/>
                <w:b w:val="0"/>
                <w:sz w:val="20"/>
                <w:szCs w:val="20"/>
              </w:rPr>
              <w:t>Reducing the percent of Stage III patients with resectable disease is consistent with</w:t>
            </w:r>
            <w:r w:rsidR="00C03DB7" w:rsidRPr="00534C5B">
              <w:rPr>
                <w:rFonts w:ascii="Arial Narrow" w:hAnsi="Arial Narrow"/>
                <w:b w:val="0"/>
                <w:sz w:val="20"/>
                <w:szCs w:val="20"/>
              </w:rPr>
              <w:t xml:space="preserve"> </w:t>
            </w:r>
            <w:r w:rsidRPr="00534C5B">
              <w:rPr>
                <w:rFonts w:ascii="Arial Narrow" w:hAnsi="Arial Narrow"/>
                <w:b w:val="0"/>
                <w:sz w:val="20"/>
                <w:szCs w:val="20"/>
              </w:rPr>
              <w:t xml:space="preserve">the </w:t>
            </w:r>
            <w:r w:rsidR="00C03DB7" w:rsidRPr="00534C5B">
              <w:rPr>
                <w:rFonts w:ascii="Arial Narrow" w:hAnsi="Arial Narrow"/>
                <w:b w:val="0"/>
                <w:sz w:val="20"/>
                <w:szCs w:val="20"/>
              </w:rPr>
              <w:t>PBAC recommendations</w:t>
            </w:r>
          </w:p>
        </w:tc>
      </w:tr>
      <w:tr w:rsidR="00C03DB7" w:rsidRPr="00534C5B" w:rsidTr="00F15DAD">
        <w:trPr>
          <w:tblHeader/>
        </w:trPr>
        <w:tc>
          <w:tcPr>
            <w:tcW w:w="2689" w:type="dxa"/>
            <w:tcMar>
              <w:left w:w="28" w:type="dxa"/>
              <w:right w:w="28" w:type="dxa"/>
            </w:tcMar>
          </w:tcPr>
          <w:p w:rsidR="00C03DB7" w:rsidRPr="00534C5B" w:rsidRDefault="00C03DB7" w:rsidP="00B807DF">
            <w:pPr>
              <w:pStyle w:val="2Sections"/>
              <w:keepNext/>
              <w:keepLines/>
              <w:numPr>
                <w:ilvl w:val="0"/>
                <w:numId w:val="0"/>
              </w:numPr>
              <w:spacing w:before="0" w:after="0"/>
              <w:rPr>
                <w:rFonts w:ascii="Arial Narrow" w:hAnsi="Arial Narrow"/>
                <w:b w:val="0"/>
                <w:sz w:val="20"/>
                <w:szCs w:val="20"/>
              </w:rPr>
            </w:pPr>
            <w:r w:rsidRPr="00534C5B">
              <w:rPr>
                <w:rFonts w:ascii="Arial Narrow" w:hAnsi="Arial Narrow"/>
                <w:b w:val="0"/>
                <w:sz w:val="20"/>
                <w:szCs w:val="20"/>
              </w:rPr>
              <w:t xml:space="preserve">Patients eligible for adjuvant treatment </w:t>
            </w:r>
          </w:p>
        </w:tc>
        <w:tc>
          <w:tcPr>
            <w:tcW w:w="1842" w:type="dxa"/>
            <w:tcMar>
              <w:left w:w="28" w:type="dxa"/>
              <w:right w:w="28" w:type="dxa"/>
            </w:tcMar>
          </w:tcPr>
          <w:p w:rsidR="00C03DB7" w:rsidRPr="00653477" w:rsidRDefault="00C03DB7" w:rsidP="00B807DF">
            <w:pPr>
              <w:pStyle w:val="2Sections"/>
              <w:keepNext/>
              <w:keepLines/>
              <w:numPr>
                <w:ilvl w:val="0"/>
                <w:numId w:val="0"/>
              </w:numPr>
              <w:spacing w:before="0" w:after="0"/>
              <w:rPr>
                <w:rFonts w:ascii="Arial Narrow" w:hAnsi="Arial Narrow"/>
                <w:b w:val="0"/>
                <w:sz w:val="20"/>
                <w:szCs w:val="20"/>
              </w:rPr>
            </w:pPr>
            <w:r w:rsidRPr="000F177C">
              <w:rPr>
                <w:rFonts w:ascii="Arial Narrow" w:hAnsi="Arial Narrow"/>
                <w:b w:val="0"/>
                <w:sz w:val="20"/>
                <w:szCs w:val="20"/>
              </w:rPr>
              <w:t>2020</w:t>
            </w:r>
            <w:r w:rsidR="00653477">
              <w:rPr>
                <w:rFonts w:ascii="Arial Narrow" w:hAnsi="Arial Narrow"/>
                <w:b w:val="0"/>
                <w:noProof/>
                <w:color w:val="000000"/>
                <w:sz w:val="20"/>
                <w:szCs w:val="20"/>
                <w:highlight w:val="black"/>
              </w:rPr>
              <w:t xml:space="preserve">'' '''''''''''' </w:t>
            </w:r>
          </w:p>
          <w:p w:rsidR="00C03DB7" w:rsidRPr="00653477" w:rsidRDefault="00C03DB7" w:rsidP="00B807DF">
            <w:pPr>
              <w:pStyle w:val="2Sections"/>
              <w:keepNext/>
              <w:keepLines/>
              <w:numPr>
                <w:ilvl w:val="0"/>
                <w:numId w:val="0"/>
              </w:numPr>
              <w:spacing w:before="0" w:after="0"/>
              <w:rPr>
                <w:rFonts w:ascii="Arial Narrow" w:hAnsi="Arial Narrow"/>
                <w:b w:val="0"/>
                <w:sz w:val="20"/>
                <w:szCs w:val="20"/>
              </w:rPr>
            </w:pPr>
            <w:r w:rsidRPr="000F177C">
              <w:rPr>
                <w:rFonts w:ascii="Arial Narrow" w:hAnsi="Arial Narrow"/>
                <w:b w:val="0"/>
                <w:sz w:val="20"/>
                <w:szCs w:val="20"/>
              </w:rPr>
              <w:t>2021</w:t>
            </w:r>
            <w:r w:rsidR="00653477">
              <w:rPr>
                <w:rFonts w:ascii="Arial Narrow" w:hAnsi="Arial Narrow"/>
                <w:b w:val="0"/>
                <w:noProof/>
                <w:color w:val="000000"/>
                <w:sz w:val="20"/>
                <w:szCs w:val="20"/>
                <w:highlight w:val="black"/>
              </w:rPr>
              <w:t>'' ''''''''''''</w:t>
            </w:r>
          </w:p>
          <w:p w:rsidR="00C03DB7" w:rsidRPr="00653477" w:rsidRDefault="00C03DB7" w:rsidP="00B807DF">
            <w:pPr>
              <w:pStyle w:val="2Sections"/>
              <w:keepNext/>
              <w:keepLines/>
              <w:numPr>
                <w:ilvl w:val="0"/>
                <w:numId w:val="0"/>
              </w:numPr>
              <w:spacing w:before="0" w:after="0"/>
              <w:rPr>
                <w:rFonts w:ascii="Arial Narrow" w:hAnsi="Arial Narrow"/>
                <w:b w:val="0"/>
                <w:sz w:val="20"/>
                <w:szCs w:val="20"/>
              </w:rPr>
            </w:pPr>
            <w:r w:rsidRPr="000F177C">
              <w:rPr>
                <w:rFonts w:ascii="Arial Narrow" w:hAnsi="Arial Narrow"/>
                <w:b w:val="0"/>
                <w:sz w:val="20"/>
                <w:szCs w:val="20"/>
              </w:rPr>
              <w:t>2022</w:t>
            </w:r>
            <w:r w:rsidR="00653477">
              <w:rPr>
                <w:rFonts w:ascii="Arial Narrow" w:hAnsi="Arial Narrow"/>
                <w:b w:val="0"/>
                <w:noProof/>
                <w:color w:val="000000"/>
                <w:sz w:val="20"/>
                <w:szCs w:val="20"/>
                <w:highlight w:val="black"/>
              </w:rPr>
              <w:t>'' ''''''''''''</w:t>
            </w:r>
          </w:p>
          <w:p w:rsidR="00C03DB7" w:rsidRPr="00653477" w:rsidRDefault="00C03DB7" w:rsidP="00B807DF">
            <w:pPr>
              <w:pStyle w:val="2Sections"/>
              <w:keepNext/>
              <w:keepLines/>
              <w:numPr>
                <w:ilvl w:val="0"/>
                <w:numId w:val="0"/>
              </w:numPr>
              <w:spacing w:before="0" w:after="0"/>
              <w:rPr>
                <w:rFonts w:ascii="Arial Narrow" w:hAnsi="Arial Narrow"/>
                <w:b w:val="0"/>
                <w:sz w:val="20"/>
                <w:szCs w:val="20"/>
              </w:rPr>
            </w:pPr>
            <w:r w:rsidRPr="000F177C">
              <w:rPr>
                <w:rFonts w:ascii="Arial Narrow" w:hAnsi="Arial Narrow"/>
                <w:b w:val="0"/>
                <w:sz w:val="20"/>
                <w:szCs w:val="20"/>
              </w:rPr>
              <w:t>2023</w:t>
            </w:r>
            <w:r w:rsidR="00653477">
              <w:rPr>
                <w:rFonts w:ascii="Arial Narrow" w:hAnsi="Arial Narrow"/>
                <w:b w:val="0"/>
                <w:noProof/>
                <w:color w:val="000000"/>
                <w:sz w:val="20"/>
                <w:szCs w:val="20"/>
                <w:highlight w:val="black"/>
              </w:rPr>
              <w:t>'' ''''''''''''''</w:t>
            </w:r>
          </w:p>
          <w:p w:rsidR="00C03DB7" w:rsidRPr="00653477" w:rsidRDefault="00C03DB7" w:rsidP="00B807DF">
            <w:pPr>
              <w:pStyle w:val="2Sections"/>
              <w:keepNext/>
              <w:keepLines/>
              <w:numPr>
                <w:ilvl w:val="0"/>
                <w:numId w:val="0"/>
              </w:numPr>
              <w:spacing w:before="0" w:after="0"/>
              <w:rPr>
                <w:rFonts w:ascii="Arial Narrow" w:hAnsi="Arial Narrow"/>
                <w:b w:val="0"/>
                <w:sz w:val="20"/>
                <w:szCs w:val="20"/>
              </w:rPr>
            </w:pPr>
            <w:r w:rsidRPr="000F177C">
              <w:rPr>
                <w:rFonts w:ascii="Arial Narrow" w:hAnsi="Arial Narrow"/>
                <w:b w:val="0"/>
                <w:sz w:val="20"/>
                <w:szCs w:val="20"/>
              </w:rPr>
              <w:t>2024</w:t>
            </w:r>
            <w:r w:rsidR="00653477">
              <w:rPr>
                <w:rFonts w:ascii="Arial Narrow" w:hAnsi="Arial Narrow"/>
                <w:b w:val="0"/>
                <w:noProof/>
                <w:color w:val="000000"/>
                <w:sz w:val="20"/>
                <w:szCs w:val="20"/>
                <w:highlight w:val="black"/>
              </w:rPr>
              <w:t>'' '''''''''''''</w:t>
            </w:r>
          </w:p>
          <w:p w:rsidR="008E3C12" w:rsidRPr="00534C5B" w:rsidRDefault="008E3C12" w:rsidP="00B807DF">
            <w:pPr>
              <w:pStyle w:val="2Sections"/>
              <w:keepNext/>
              <w:keepLines/>
              <w:numPr>
                <w:ilvl w:val="0"/>
                <w:numId w:val="0"/>
              </w:numPr>
              <w:spacing w:before="0" w:after="0"/>
              <w:rPr>
                <w:rFonts w:ascii="Arial Narrow" w:hAnsi="Arial Narrow"/>
                <w:b w:val="0"/>
                <w:sz w:val="20"/>
                <w:szCs w:val="20"/>
              </w:rPr>
            </w:pPr>
            <w:r w:rsidRPr="000F177C">
              <w:rPr>
                <w:rFonts w:ascii="Arial Narrow" w:hAnsi="Arial Narrow"/>
                <w:b w:val="0"/>
                <w:sz w:val="20"/>
                <w:szCs w:val="20"/>
              </w:rPr>
              <w:t>2025</w:t>
            </w:r>
            <w:r w:rsidR="00653477">
              <w:rPr>
                <w:rFonts w:ascii="Arial Narrow" w:hAnsi="Arial Narrow"/>
                <w:b w:val="0"/>
                <w:noProof/>
                <w:color w:val="000000"/>
                <w:sz w:val="20"/>
                <w:szCs w:val="20"/>
                <w:highlight w:val="black"/>
              </w:rPr>
              <w:t>'' ''''''''''''</w:t>
            </w:r>
          </w:p>
        </w:tc>
        <w:tc>
          <w:tcPr>
            <w:tcW w:w="1843" w:type="dxa"/>
            <w:tcMar>
              <w:left w:w="28" w:type="dxa"/>
              <w:right w:w="28" w:type="dxa"/>
            </w:tcMar>
          </w:tcPr>
          <w:p w:rsidR="00C03DB7" w:rsidRPr="00653477" w:rsidRDefault="00C03DB7" w:rsidP="00B807DF">
            <w:pPr>
              <w:pStyle w:val="2Sections"/>
              <w:keepNext/>
              <w:keepLines/>
              <w:numPr>
                <w:ilvl w:val="0"/>
                <w:numId w:val="0"/>
              </w:numPr>
              <w:spacing w:before="0" w:after="0"/>
              <w:rPr>
                <w:rFonts w:ascii="Arial Narrow" w:hAnsi="Arial Narrow"/>
                <w:b w:val="0"/>
                <w:sz w:val="20"/>
                <w:szCs w:val="20"/>
              </w:rPr>
            </w:pPr>
            <w:r w:rsidRPr="000F177C">
              <w:rPr>
                <w:rFonts w:ascii="Arial Narrow" w:hAnsi="Arial Narrow"/>
                <w:b w:val="0"/>
                <w:sz w:val="20"/>
                <w:szCs w:val="20"/>
              </w:rPr>
              <w:t>2020</w:t>
            </w:r>
            <w:r w:rsidR="00653477">
              <w:rPr>
                <w:rFonts w:ascii="Arial Narrow" w:hAnsi="Arial Narrow"/>
                <w:b w:val="0"/>
                <w:noProof/>
                <w:color w:val="000000"/>
                <w:sz w:val="20"/>
                <w:szCs w:val="20"/>
                <w:highlight w:val="black"/>
              </w:rPr>
              <w:t>'' '''''''''''''''</w:t>
            </w:r>
          </w:p>
          <w:p w:rsidR="00C03DB7" w:rsidRPr="00653477" w:rsidRDefault="00C03DB7" w:rsidP="00B807DF">
            <w:pPr>
              <w:pStyle w:val="2Sections"/>
              <w:keepNext/>
              <w:keepLines/>
              <w:numPr>
                <w:ilvl w:val="0"/>
                <w:numId w:val="0"/>
              </w:numPr>
              <w:spacing w:before="0" w:after="0"/>
              <w:rPr>
                <w:rFonts w:ascii="Arial Narrow" w:hAnsi="Arial Narrow"/>
                <w:b w:val="0"/>
                <w:sz w:val="20"/>
                <w:szCs w:val="20"/>
              </w:rPr>
            </w:pPr>
            <w:r w:rsidRPr="000F177C">
              <w:rPr>
                <w:rFonts w:ascii="Arial Narrow" w:hAnsi="Arial Narrow"/>
                <w:b w:val="0"/>
                <w:sz w:val="20"/>
                <w:szCs w:val="20"/>
              </w:rPr>
              <w:t>2021</w:t>
            </w:r>
            <w:r w:rsidR="00653477">
              <w:rPr>
                <w:rFonts w:ascii="Arial Narrow" w:hAnsi="Arial Narrow"/>
                <w:b w:val="0"/>
                <w:noProof/>
                <w:color w:val="000000"/>
                <w:sz w:val="20"/>
                <w:szCs w:val="20"/>
                <w:highlight w:val="black"/>
              </w:rPr>
              <w:t>'' '''''''''''''</w:t>
            </w:r>
          </w:p>
          <w:p w:rsidR="00C03DB7" w:rsidRPr="00653477" w:rsidRDefault="00C03DB7" w:rsidP="00B807DF">
            <w:pPr>
              <w:pStyle w:val="2Sections"/>
              <w:keepNext/>
              <w:keepLines/>
              <w:numPr>
                <w:ilvl w:val="0"/>
                <w:numId w:val="0"/>
              </w:numPr>
              <w:spacing w:before="0" w:after="0"/>
              <w:rPr>
                <w:rFonts w:ascii="Arial Narrow" w:hAnsi="Arial Narrow"/>
                <w:b w:val="0"/>
                <w:sz w:val="20"/>
                <w:szCs w:val="20"/>
              </w:rPr>
            </w:pPr>
            <w:r w:rsidRPr="000F177C">
              <w:rPr>
                <w:rFonts w:ascii="Arial Narrow" w:hAnsi="Arial Narrow"/>
                <w:b w:val="0"/>
                <w:sz w:val="20"/>
                <w:szCs w:val="20"/>
              </w:rPr>
              <w:t>2022</w:t>
            </w:r>
            <w:r w:rsidR="00653477">
              <w:rPr>
                <w:rFonts w:ascii="Arial Narrow" w:hAnsi="Arial Narrow"/>
                <w:b w:val="0"/>
                <w:noProof/>
                <w:color w:val="000000"/>
                <w:sz w:val="20"/>
                <w:szCs w:val="20"/>
                <w:highlight w:val="black"/>
              </w:rPr>
              <w:t>'' '''''''''''''</w:t>
            </w:r>
          </w:p>
          <w:p w:rsidR="00C03DB7" w:rsidRPr="00653477" w:rsidRDefault="00C03DB7" w:rsidP="00B807DF">
            <w:pPr>
              <w:pStyle w:val="2Sections"/>
              <w:keepNext/>
              <w:keepLines/>
              <w:numPr>
                <w:ilvl w:val="0"/>
                <w:numId w:val="0"/>
              </w:numPr>
              <w:spacing w:before="0" w:after="0"/>
              <w:rPr>
                <w:rFonts w:ascii="Arial Narrow" w:hAnsi="Arial Narrow"/>
                <w:b w:val="0"/>
                <w:sz w:val="20"/>
                <w:szCs w:val="20"/>
              </w:rPr>
            </w:pPr>
            <w:r w:rsidRPr="000F177C">
              <w:rPr>
                <w:rFonts w:ascii="Arial Narrow" w:hAnsi="Arial Narrow"/>
                <w:b w:val="0"/>
                <w:sz w:val="20"/>
                <w:szCs w:val="20"/>
              </w:rPr>
              <w:t>2023</w:t>
            </w:r>
            <w:r w:rsidR="00653477">
              <w:rPr>
                <w:rFonts w:ascii="Arial Narrow" w:hAnsi="Arial Narrow"/>
                <w:b w:val="0"/>
                <w:noProof/>
                <w:color w:val="000000"/>
                <w:sz w:val="20"/>
                <w:szCs w:val="20"/>
                <w:highlight w:val="black"/>
              </w:rPr>
              <w:t>'' ''''''''''''''</w:t>
            </w:r>
          </w:p>
          <w:p w:rsidR="00C03DB7" w:rsidRPr="00653477" w:rsidRDefault="00C03DB7" w:rsidP="00B807DF">
            <w:pPr>
              <w:pStyle w:val="2Sections"/>
              <w:keepNext/>
              <w:keepLines/>
              <w:numPr>
                <w:ilvl w:val="0"/>
                <w:numId w:val="0"/>
              </w:numPr>
              <w:spacing w:before="0" w:after="0"/>
              <w:rPr>
                <w:rFonts w:ascii="Arial Narrow" w:hAnsi="Arial Narrow"/>
                <w:b w:val="0"/>
                <w:sz w:val="20"/>
                <w:szCs w:val="20"/>
              </w:rPr>
            </w:pPr>
            <w:r w:rsidRPr="000F177C">
              <w:rPr>
                <w:rFonts w:ascii="Arial Narrow" w:hAnsi="Arial Narrow"/>
                <w:b w:val="0"/>
                <w:sz w:val="20"/>
                <w:szCs w:val="20"/>
              </w:rPr>
              <w:t>2024</w:t>
            </w:r>
            <w:r w:rsidR="00653477">
              <w:rPr>
                <w:rFonts w:ascii="Arial Narrow" w:hAnsi="Arial Narrow"/>
                <w:b w:val="0"/>
                <w:noProof/>
                <w:color w:val="000000"/>
                <w:sz w:val="20"/>
                <w:szCs w:val="20"/>
                <w:highlight w:val="black"/>
              </w:rPr>
              <w:t>'' '''''''''''''''</w:t>
            </w:r>
          </w:p>
          <w:p w:rsidR="008E3C12" w:rsidRPr="00534C5B" w:rsidRDefault="008E3C12" w:rsidP="00B807DF">
            <w:pPr>
              <w:pStyle w:val="2Sections"/>
              <w:keepNext/>
              <w:keepLines/>
              <w:numPr>
                <w:ilvl w:val="0"/>
                <w:numId w:val="0"/>
              </w:numPr>
              <w:spacing w:before="0" w:after="0"/>
              <w:rPr>
                <w:rFonts w:ascii="Arial Narrow" w:hAnsi="Arial Narrow"/>
                <w:b w:val="0"/>
                <w:sz w:val="20"/>
                <w:szCs w:val="20"/>
              </w:rPr>
            </w:pPr>
            <w:r w:rsidRPr="000F177C">
              <w:rPr>
                <w:rFonts w:ascii="Arial Narrow" w:hAnsi="Arial Narrow"/>
                <w:b w:val="0"/>
                <w:sz w:val="20"/>
                <w:szCs w:val="20"/>
              </w:rPr>
              <w:t>2025</w:t>
            </w:r>
            <w:r w:rsidR="00653477">
              <w:rPr>
                <w:rFonts w:ascii="Arial Narrow" w:hAnsi="Arial Narrow"/>
                <w:b w:val="0"/>
                <w:noProof/>
                <w:color w:val="000000"/>
                <w:sz w:val="20"/>
                <w:szCs w:val="20"/>
                <w:highlight w:val="black"/>
              </w:rPr>
              <w:t>'' ''''''''''''</w:t>
            </w:r>
          </w:p>
        </w:tc>
        <w:tc>
          <w:tcPr>
            <w:tcW w:w="2642" w:type="dxa"/>
            <w:tcMar>
              <w:left w:w="28" w:type="dxa"/>
              <w:right w:w="28" w:type="dxa"/>
            </w:tcMar>
          </w:tcPr>
          <w:p w:rsidR="00C03DB7" w:rsidRPr="00534C5B" w:rsidRDefault="003A0FC3" w:rsidP="00F0644D">
            <w:pPr>
              <w:pStyle w:val="2Sections"/>
              <w:keepNext/>
              <w:keepLines/>
              <w:numPr>
                <w:ilvl w:val="0"/>
                <w:numId w:val="0"/>
              </w:numPr>
              <w:spacing w:before="0" w:after="0"/>
              <w:rPr>
                <w:rFonts w:ascii="Arial Narrow" w:hAnsi="Arial Narrow"/>
                <w:b w:val="0"/>
                <w:sz w:val="20"/>
                <w:szCs w:val="20"/>
              </w:rPr>
            </w:pPr>
            <w:r w:rsidRPr="00534C5B">
              <w:rPr>
                <w:rFonts w:ascii="Arial Narrow" w:hAnsi="Arial Narrow"/>
                <w:b w:val="0"/>
                <w:sz w:val="20"/>
                <w:szCs w:val="20"/>
              </w:rPr>
              <w:t>Reduction is due to reducing the percent of patients with resectable disease</w:t>
            </w:r>
            <w:r w:rsidR="00A37ED9" w:rsidRPr="00534C5B">
              <w:rPr>
                <w:rFonts w:ascii="Arial Narrow" w:hAnsi="Arial Narrow"/>
                <w:b w:val="0"/>
                <w:sz w:val="20"/>
                <w:szCs w:val="20"/>
              </w:rPr>
              <w:t xml:space="preserve"> as above</w:t>
            </w:r>
            <w:r w:rsidRPr="00534C5B">
              <w:rPr>
                <w:rFonts w:ascii="Arial Narrow" w:hAnsi="Arial Narrow"/>
                <w:b w:val="0"/>
                <w:sz w:val="20"/>
                <w:szCs w:val="20"/>
              </w:rPr>
              <w:t>.</w:t>
            </w:r>
          </w:p>
        </w:tc>
      </w:tr>
      <w:tr w:rsidR="00656439" w:rsidRPr="00534C5B" w:rsidTr="00F15DAD">
        <w:trPr>
          <w:tblHeader/>
        </w:trPr>
        <w:tc>
          <w:tcPr>
            <w:tcW w:w="2689" w:type="dxa"/>
            <w:tcMar>
              <w:left w:w="28" w:type="dxa"/>
              <w:right w:w="28" w:type="dxa"/>
            </w:tcMar>
          </w:tcPr>
          <w:p w:rsidR="00656439" w:rsidRPr="00534C5B" w:rsidRDefault="00656439" w:rsidP="00B807DF">
            <w:pPr>
              <w:pStyle w:val="2Sections"/>
              <w:keepNext/>
              <w:keepLines/>
              <w:numPr>
                <w:ilvl w:val="0"/>
                <w:numId w:val="0"/>
              </w:numPr>
              <w:spacing w:before="0" w:after="0"/>
              <w:rPr>
                <w:rFonts w:ascii="Arial Narrow" w:hAnsi="Arial Narrow"/>
                <w:b w:val="0"/>
                <w:sz w:val="20"/>
                <w:szCs w:val="20"/>
              </w:rPr>
            </w:pPr>
            <w:r w:rsidRPr="00534C5B">
              <w:rPr>
                <w:rFonts w:ascii="Arial Narrow" w:hAnsi="Arial Narrow"/>
                <w:b w:val="0"/>
                <w:sz w:val="20"/>
                <w:szCs w:val="20"/>
              </w:rPr>
              <w:t>Uptake rate</w:t>
            </w:r>
          </w:p>
        </w:tc>
        <w:tc>
          <w:tcPr>
            <w:tcW w:w="1842" w:type="dxa"/>
            <w:tcMar>
              <w:left w:w="28" w:type="dxa"/>
              <w:right w:w="28" w:type="dxa"/>
            </w:tcMar>
          </w:tcPr>
          <w:p w:rsidR="00656439" w:rsidRPr="00534C5B" w:rsidRDefault="00656439" w:rsidP="00B807DF">
            <w:pPr>
              <w:pStyle w:val="2Sections"/>
              <w:keepNext/>
              <w:keepLines/>
              <w:numPr>
                <w:ilvl w:val="0"/>
                <w:numId w:val="0"/>
              </w:numPr>
              <w:spacing w:before="0" w:after="0"/>
              <w:rPr>
                <w:rFonts w:ascii="Arial Narrow" w:hAnsi="Arial Narrow"/>
                <w:b w:val="0"/>
                <w:sz w:val="20"/>
                <w:szCs w:val="20"/>
              </w:rPr>
            </w:pPr>
            <w:r w:rsidRPr="00534C5B">
              <w:rPr>
                <w:rFonts w:ascii="Arial Narrow" w:hAnsi="Arial Narrow"/>
                <w:b w:val="0"/>
                <w:sz w:val="20"/>
                <w:szCs w:val="20"/>
              </w:rPr>
              <w:t>90%</w:t>
            </w:r>
          </w:p>
        </w:tc>
        <w:tc>
          <w:tcPr>
            <w:tcW w:w="1843" w:type="dxa"/>
            <w:tcMar>
              <w:left w:w="28" w:type="dxa"/>
              <w:right w:w="28" w:type="dxa"/>
            </w:tcMar>
          </w:tcPr>
          <w:p w:rsidR="00656439" w:rsidRPr="00534C5B" w:rsidRDefault="00656439" w:rsidP="00B807DF">
            <w:pPr>
              <w:pStyle w:val="2Sections"/>
              <w:keepNext/>
              <w:keepLines/>
              <w:numPr>
                <w:ilvl w:val="0"/>
                <w:numId w:val="0"/>
              </w:numPr>
              <w:spacing w:before="0" w:after="0"/>
              <w:rPr>
                <w:rFonts w:ascii="Arial Narrow" w:hAnsi="Arial Narrow"/>
                <w:b w:val="0"/>
                <w:sz w:val="20"/>
                <w:szCs w:val="20"/>
              </w:rPr>
            </w:pPr>
            <w:r w:rsidRPr="00534C5B">
              <w:rPr>
                <w:rFonts w:ascii="Arial Narrow" w:hAnsi="Arial Narrow"/>
                <w:b w:val="0"/>
                <w:sz w:val="20"/>
                <w:szCs w:val="20"/>
              </w:rPr>
              <w:t>90%</w:t>
            </w:r>
          </w:p>
        </w:tc>
        <w:tc>
          <w:tcPr>
            <w:tcW w:w="2642" w:type="dxa"/>
            <w:tcMar>
              <w:left w:w="28" w:type="dxa"/>
              <w:right w:w="28" w:type="dxa"/>
            </w:tcMar>
          </w:tcPr>
          <w:p w:rsidR="00656439" w:rsidRPr="00534C5B" w:rsidRDefault="00656439" w:rsidP="00B807DF">
            <w:pPr>
              <w:pStyle w:val="2Sections"/>
              <w:keepNext/>
              <w:keepLines/>
              <w:numPr>
                <w:ilvl w:val="0"/>
                <w:numId w:val="0"/>
              </w:numPr>
              <w:spacing w:before="0" w:after="0"/>
              <w:rPr>
                <w:rFonts w:ascii="Arial Narrow" w:hAnsi="Arial Narrow"/>
                <w:b w:val="0"/>
                <w:sz w:val="20"/>
                <w:szCs w:val="20"/>
              </w:rPr>
            </w:pPr>
            <w:r w:rsidRPr="00534C5B">
              <w:rPr>
                <w:rFonts w:ascii="Arial Narrow" w:hAnsi="Arial Narrow"/>
                <w:b w:val="0"/>
                <w:sz w:val="20"/>
                <w:szCs w:val="20"/>
              </w:rPr>
              <w:t>Assumption</w:t>
            </w:r>
          </w:p>
        </w:tc>
      </w:tr>
      <w:tr w:rsidR="00C03DB7" w:rsidRPr="00534C5B" w:rsidTr="00F15DAD">
        <w:trPr>
          <w:tblHeader/>
        </w:trPr>
        <w:tc>
          <w:tcPr>
            <w:tcW w:w="2689" w:type="dxa"/>
            <w:tcMar>
              <w:left w:w="28" w:type="dxa"/>
              <w:right w:w="28" w:type="dxa"/>
            </w:tcMar>
          </w:tcPr>
          <w:p w:rsidR="00C03DB7" w:rsidRPr="00534C5B" w:rsidRDefault="00C03DB7" w:rsidP="00B807DF">
            <w:pPr>
              <w:pStyle w:val="2Sections"/>
              <w:keepNext/>
              <w:keepLines/>
              <w:numPr>
                <w:ilvl w:val="0"/>
                <w:numId w:val="0"/>
              </w:numPr>
              <w:spacing w:before="0" w:after="0"/>
              <w:rPr>
                <w:rFonts w:ascii="Arial Narrow" w:hAnsi="Arial Narrow"/>
                <w:b w:val="0"/>
                <w:sz w:val="20"/>
                <w:szCs w:val="20"/>
              </w:rPr>
            </w:pPr>
            <w:r w:rsidRPr="00534C5B">
              <w:rPr>
                <w:rFonts w:ascii="Arial Narrow" w:hAnsi="Arial Narrow"/>
                <w:b w:val="0"/>
                <w:sz w:val="20"/>
                <w:szCs w:val="20"/>
              </w:rPr>
              <w:t>BRAF MT patients</w:t>
            </w:r>
          </w:p>
        </w:tc>
        <w:tc>
          <w:tcPr>
            <w:tcW w:w="1842" w:type="dxa"/>
            <w:tcMar>
              <w:left w:w="28" w:type="dxa"/>
              <w:right w:w="28" w:type="dxa"/>
            </w:tcMar>
          </w:tcPr>
          <w:p w:rsidR="00C03DB7" w:rsidRPr="00534C5B" w:rsidRDefault="00C03DB7" w:rsidP="00B807DF">
            <w:pPr>
              <w:pStyle w:val="2Sections"/>
              <w:keepNext/>
              <w:keepLines/>
              <w:numPr>
                <w:ilvl w:val="0"/>
                <w:numId w:val="0"/>
              </w:numPr>
              <w:spacing w:before="0" w:after="0"/>
              <w:rPr>
                <w:rFonts w:ascii="Arial Narrow" w:hAnsi="Arial Narrow"/>
                <w:b w:val="0"/>
                <w:sz w:val="20"/>
                <w:szCs w:val="20"/>
              </w:rPr>
            </w:pPr>
            <w:r w:rsidRPr="00534C5B">
              <w:rPr>
                <w:rFonts w:ascii="Arial Narrow" w:hAnsi="Arial Narrow"/>
                <w:b w:val="0"/>
                <w:sz w:val="20"/>
                <w:szCs w:val="20"/>
              </w:rPr>
              <w:t>-</w:t>
            </w:r>
          </w:p>
        </w:tc>
        <w:tc>
          <w:tcPr>
            <w:tcW w:w="1843" w:type="dxa"/>
            <w:tcMar>
              <w:left w:w="28" w:type="dxa"/>
              <w:right w:w="28" w:type="dxa"/>
            </w:tcMar>
          </w:tcPr>
          <w:p w:rsidR="00C03DB7" w:rsidRPr="00534C5B" w:rsidRDefault="00C03DB7" w:rsidP="00B807DF">
            <w:pPr>
              <w:pStyle w:val="2Sections"/>
              <w:keepNext/>
              <w:keepLines/>
              <w:numPr>
                <w:ilvl w:val="0"/>
                <w:numId w:val="0"/>
              </w:numPr>
              <w:spacing w:before="0" w:after="0"/>
              <w:rPr>
                <w:rFonts w:ascii="Arial Narrow" w:hAnsi="Arial Narrow"/>
                <w:b w:val="0"/>
                <w:sz w:val="20"/>
                <w:szCs w:val="20"/>
              </w:rPr>
            </w:pPr>
            <w:r w:rsidRPr="00534C5B">
              <w:rPr>
                <w:rFonts w:ascii="Arial Narrow" w:hAnsi="Arial Narrow"/>
                <w:b w:val="0"/>
                <w:sz w:val="20"/>
                <w:szCs w:val="20"/>
              </w:rPr>
              <w:t xml:space="preserve">44.5% </w:t>
            </w:r>
          </w:p>
        </w:tc>
        <w:tc>
          <w:tcPr>
            <w:tcW w:w="2642" w:type="dxa"/>
            <w:tcMar>
              <w:left w:w="28" w:type="dxa"/>
              <w:right w:w="28" w:type="dxa"/>
            </w:tcMar>
          </w:tcPr>
          <w:p w:rsidR="00C03DB7" w:rsidRPr="00534C5B" w:rsidRDefault="00C03DB7" w:rsidP="00B807DF">
            <w:pPr>
              <w:pStyle w:val="2Sections"/>
              <w:keepNext/>
              <w:keepLines/>
              <w:numPr>
                <w:ilvl w:val="0"/>
                <w:numId w:val="0"/>
              </w:numPr>
              <w:spacing w:before="0" w:after="0"/>
              <w:rPr>
                <w:rFonts w:ascii="Arial Narrow" w:hAnsi="Arial Narrow"/>
                <w:b w:val="0"/>
                <w:sz w:val="20"/>
                <w:szCs w:val="20"/>
              </w:rPr>
            </w:pPr>
            <w:r w:rsidRPr="00534C5B">
              <w:rPr>
                <w:rFonts w:ascii="Arial Narrow" w:hAnsi="Arial Narrow"/>
                <w:b w:val="0"/>
                <w:sz w:val="20"/>
                <w:szCs w:val="20"/>
              </w:rPr>
              <w:t xml:space="preserve">MSAC </w:t>
            </w:r>
            <w:r w:rsidR="00421461" w:rsidRPr="00534C5B">
              <w:rPr>
                <w:rFonts w:ascii="Arial Narrow" w:hAnsi="Arial Narrow"/>
                <w:b w:val="0"/>
                <w:sz w:val="20"/>
                <w:szCs w:val="20"/>
              </w:rPr>
              <w:t>application 1172, April 2013</w:t>
            </w:r>
          </w:p>
        </w:tc>
      </w:tr>
      <w:tr w:rsidR="00C03DB7" w:rsidRPr="00534C5B" w:rsidTr="00F15DAD">
        <w:trPr>
          <w:tblHeader/>
        </w:trPr>
        <w:tc>
          <w:tcPr>
            <w:tcW w:w="2689" w:type="dxa"/>
            <w:tcMar>
              <w:left w:w="28" w:type="dxa"/>
              <w:right w:w="28" w:type="dxa"/>
            </w:tcMar>
          </w:tcPr>
          <w:p w:rsidR="00C03DB7" w:rsidRPr="00534C5B" w:rsidRDefault="00C03DB7" w:rsidP="00B807DF">
            <w:pPr>
              <w:pStyle w:val="2Sections"/>
              <w:keepNext/>
              <w:keepLines/>
              <w:numPr>
                <w:ilvl w:val="0"/>
                <w:numId w:val="0"/>
              </w:numPr>
              <w:spacing w:before="0" w:after="0"/>
              <w:rPr>
                <w:rFonts w:ascii="Arial Narrow" w:hAnsi="Arial Narrow"/>
                <w:b w:val="0"/>
                <w:sz w:val="20"/>
                <w:szCs w:val="20"/>
              </w:rPr>
            </w:pPr>
            <w:r w:rsidRPr="00534C5B">
              <w:rPr>
                <w:rFonts w:ascii="Arial Narrow" w:hAnsi="Arial Narrow"/>
                <w:b w:val="0"/>
                <w:sz w:val="20"/>
                <w:szCs w:val="20"/>
              </w:rPr>
              <w:t>PD-1 uptake in BRAF MT patients</w:t>
            </w:r>
          </w:p>
        </w:tc>
        <w:tc>
          <w:tcPr>
            <w:tcW w:w="1842" w:type="dxa"/>
            <w:tcMar>
              <w:left w:w="28" w:type="dxa"/>
              <w:right w:w="28" w:type="dxa"/>
            </w:tcMar>
          </w:tcPr>
          <w:p w:rsidR="00C03DB7" w:rsidRPr="00534C5B" w:rsidRDefault="00C03DB7" w:rsidP="00B807DF">
            <w:pPr>
              <w:pStyle w:val="2Sections"/>
              <w:keepNext/>
              <w:keepLines/>
              <w:numPr>
                <w:ilvl w:val="0"/>
                <w:numId w:val="0"/>
              </w:numPr>
              <w:spacing w:before="0" w:after="0"/>
              <w:rPr>
                <w:rFonts w:ascii="Arial Narrow" w:hAnsi="Arial Narrow"/>
                <w:b w:val="0"/>
                <w:sz w:val="20"/>
                <w:szCs w:val="20"/>
              </w:rPr>
            </w:pPr>
            <w:r w:rsidRPr="00534C5B">
              <w:rPr>
                <w:rFonts w:ascii="Arial Narrow" w:hAnsi="Arial Narrow"/>
                <w:b w:val="0"/>
                <w:sz w:val="20"/>
                <w:szCs w:val="20"/>
              </w:rPr>
              <w:t>-</w:t>
            </w:r>
          </w:p>
        </w:tc>
        <w:tc>
          <w:tcPr>
            <w:tcW w:w="1843" w:type="dxa"/>
            <w:tcMar>
              <w:left w:w="28" w:type="dxa"/>
              <w:right w:w="28" w:type="dxa"/>
            </w:tcMar>
          </w:tcPr>
          <w:p w:rsidR="00C03DB7" w:rsidRPr="00534C5B" w:rsidRDefault="00C03DB7" w:rsidP="00B807DF">
            <w:pPr>
              <w:pStyle w:val="2Sections"/>
              <w:keepNext/>
              <w:keepLines/>
              <w:numPr>
                <w:ilvl w:val="0"/>
                <w:numId w:val="0"/>
              </w:numPr>
              <w:spacing w:before="0" w:after="0"/>
              <w:rPr>
                <w:rFonts w:ascii="Arial Narrow" w:hAnsi="Arial Narrow"/>
                <w:b w:val="0"/>
                <w:sz w:val="20"/>
                <w:szCs w:val="20"/>
              </w:rPr>
            </w:pPr>
            <w:r w:rsidRPr="00534C5B">
              <w:rPr>
                <w:rFonts w:ascii="Arial Narrow" w:hAnsi="Arial Narrow"/>
                <w:b w:val="0"/>
                <w:sz w:val="20"/>
                <w:szCs w:val="20"/>
              </w:rPr>
              <w:t>74.1%</w:t>
            </w:r>
          </w:p>
        </w:tc>
        <w:tc>
          <w:tcPr>
            <w:tcW w:w="2642" w:type="dxa"/>
            <w:tcMar>
              <w:left w:w="28" w:type="dxa"/>
              <w:right w:w="28" w:type="dxa"/>
            </w:tcMar>
          </w:tcPr>
          <w:p w:rsidR="00C03DB7" w:rsidRPr="00534C5B" w:rsidRDefault="00C03DB7" w:rsidP="00B807DF">
            <w:pPr>
              <w:pStyle w:val="2Sections"/>
              <w:keepNext/>
              <w:keepLines/>
              <w:numPr>
                <w:ilvl w:val="0"/>
                <w:numId w:val="0"/>
              </w:numPr>
              <w:spacing w:before="0" w:after="0"/>
              <w:rPr>
                <w:rFonts w:ascii="Arial Narrow" w:hAnsi="Arial Narrow"/>
                <w:b w:val="0"/>
                <w:sz w:val="20"/>
                <w:szCs w:val="20"/>
              </w:rPr>
            </w:pPr>
            <w:r w:rsidRPr="00534C5B">
              <w:rPr>
                <w:rFonts w:ascii="Arial Narrow" w:hAnsi="Arial Narrow"/>
                <w:b w:val="0"/>
                <w:sz w:val="20"/>
                <w:szCs w:val="20"/>
              </w:rPr>
              <w:t>Clinician survey</w:t>
            </w:r>
          </w:p>
        </w:tc>
      </w:tr>
      <w:tr w:rsidR="00C03DB7" w:rsidRPr="00534C5B" w:rsidTr="00F15DAD">
        <w:trPr>
          <w:tblHeader/>
        </w:trPr>
        <w:tc>
          <w:tcPr>
            <w:tcW w:w="2689" w:type="dxa"/>
            <w:tcMar>
              <w:left w:w="28" w:type="dxa"/>
              <w:right w:w="28" w:type="dxa"/>
            </w:tcMar>
          </w:tcPr>
          <w:p w:rsidR="00C03DB7" w:rsidRPr="00534C5B" w:rsidRDefault="00C03DB7" w:rsidP="00A37ED9">
            <w:pPr>
              <w:pStyle w:val="2Sections"/>
              <w:keepNext/>
              <w:keepLines/>
              <w:numPr>
                <w:ilvl w:val="0"/>
                <w:numId w:val="0"/>
              </w:numPr>
              <w:spacing w:before="0" w:after="0"/>
              <w:rPr>
                <w:rFonts w:ascii="Arial Narrow" w:hAnsi="Arial Narrow"/>
                <w:b w:val="0"/>
                <w:sz w:val="20"/>
                <w:szCs w:val="20"/>
              </w:rPr>
            </w:pPr>
            <w:r w:rsidRPr="00534C5B">
              <w:rPr>
                <w:rFonts w:ascii="Arial Narrow" w:hAnsi="Arial Narrow"/>
                <w:b w:val="0"/>
                <w:sz w:val="20"/>
                <w:szCs w:val="20"/>
              </w:rPr>
              <w:t>Patients receiving adjuvant treatment</w:t>
            </w:r>
            <w:r w:rsidR="003A0FC3" w:rsidRPr="00534C5B">
              <w:rPr>
                <w:rFonts w:ascii="Arial Narrow" w:hAnsi="Arial Narrow"/>
                <w:b w:val="0"/>
                <w:sz w:val="20"/>
                <w:szCs w:val="20"/>
              </w:rPr>
              <w:t xml:space="preserve"> (</w:t>
            </w:r>
            <w:r w:rsidR="00A37ED9" w:rsidRPr="00534C5B">
              <w:rPr>
                <w:rFonts w:ascii="Arial Narrow" w:hAnsi="Arial Narrow"/>
                <w:b w:val="0"/>
                <w:sz w:val="20"/>
                <w:szCs w:val="20"/>
              </w:rPr>
              <w:t>number of g</w:t>
            </w:r>
            <w:r w:rsidR="003A0FC3" w:rsidRPr="00534C5B">
              <w:rPr>
                <w:rFonts w:ascii="Arial Narrow" w:hAnsi="Arial Narrow"/>
                <w:b w:val="0"/>
                <w:sz w:val="20"/>
                <w:szCs w:val="20"/>
              </w:rPr>
              <w:t>randfather</w:t>
            </w:r>
            <w:r w:rsidR="00A37ED9" w:rsidRPr="00534C5B">
              <w:rPr>
                <w:rFonts w:ascii="Arial Narrow" w:hAnsi="Arial Narrow"/>
                <w:b w:val="0"/>
                <w:sz w:val="20"/>
                <w:szCs w:val="20"/>
              </w:rPr>
              <w:t>ed</w:t>
            </w:r>
            <w:r w:rsidR="003A0FC3" w:rsidRPr="00534C5B">
              <w:rPr>
                <w:rFonts w:ascii="Arial Narrow" w:hAnsi="Arial Narrow"/>
                <w:b w:val="0"/>
                <w:sz w:val="20"/>
                <w:szCs w:val="20"/>
              </w:rPr>
              <w:t xml:space="preserve"> patients</w:t>
            </w:r>
            <w:r w:rsidR="00A37ED9" w:rsidRPr="00534C5B">
              <w:rPr>
                <w:rFonts w:ascii="Arial Narrow" w:hAnsi="Arial Narrow"/>
                <w:b w:val="0"/>
                <w:sz w:val="20"/>
                <w:szCs w:val="20"/>
              </w:rPr>
              <w:t xml:space="preserve"> included</w:t>
            </w:r>
            <w:r w:rsidR="003A0FC3" w:rsidRPr="00534C5B">
              <w:rPr>
                <w:rFonts w:ascii="Arial Narrow" w:hAnsi="Arial Narrow"/>
                <w:b w:val="0"/>
                <w:sz w:val="20"/>
                <w:szCs w:val="20"/>
              </w:rPr>
              <w:t>)</w:t>
            </w:r>
          </w:p>
        </w:tc>
        <w:tc>
          <w:tcPr>
            <w:tcW w:w="1842" w:type="dxa"/>
            <w:tcMar>
              <w:left w:w="28" w:type="dxa"/>
              <w:right w:w="28" w:type="dxa"/>
            </w:tcMar>
          </w:tcPr>
          <w:p w:rsidR="00C03DB7" w:rsidRPr="00653477" w:rsidRDefault="00C03DB7" w:rsidP="00B807DF">
            <w:pPr>
              <w:pStyle w:val="2Sections"/>
              <w:keepNext/>
              <w:keepLines/>
              <w:numPr>
                <w:ilvl w:val="0"/>
                <w:numId w:val="0"/>
              </w:numPr>
              <w:spacing w:before="0" w:after="0"/>
              <w:rPr>
                <w:rFonts w:ascii="Arial Narrow" w:hAnsi="Arial Narrow"/>
                <w:b w:val="0"/>
                <w:sz w:val="20"/>
                <w:szCs w:val="20"/>
              </w:rPr>
            </w:pPr>
            <w:r w:rsidRPr="000F177C">
              <w:rPr>
                <w:rFonts w:ascii="Arial Narrow" w:hAnsi="Arial Narrow"/>
                <w:b w:val="0"/>
                <w:sz w:val="20"/>
                <w:szCs w:val="20"/>
              </w:rPr>
              <w:t>2020</w:t>
            </w:r>
            <w:r w:rsidR="00653477">
              <w:rPr>
                <w:rFonts w:ascii="Arial Narrow" w:hAnsi="Arial Narrow"/>
                <w:b w:val="0"/>
                <w:noProof/>
                <w:color w:val="000000"/>
                <w:sz w:val="20"/>
                <w:szCs w:val="20"/>
                <w:highlight w:val="black"/>
              </w:rPr>
              <w:t>'' ''''''''''''' '''''''''''</w:t>
            </w:r>
          </w:p>
          <w:p w:rsidR="00C03DB7" w:rsidRPr="00653477" w:rsidRDefault="00C03DB7" w:rsidP="00B807DF">
            <w:pPr>
              <w:pStyle w:val="2Sections"/>
              <w:keepNext/>
              <w:keepLines/>
              <w:numPr>
                <w:ilvl w:val="0"/>
                <w:numId w:val="0"/>
              </w:numPr>
              <w:spacing w:before="0" w:after="0"/>
              <w:rPr>
                <w:rFonts w:ascii="Arial Narrow" w:hAnsi="Arial Narrow"/>
                <w:b w:val="0"/>
                <w:sz w:val="20"/>
                <w:szCs w:val="20"/>
              </w:rPr>
            </w:pPr>
            <w:r w:rsidRPr="000F177C">
              <w:rPr>
                <w:rFonts w:ascii="Arial Narrow" w:hAnsi="Arial Narrow"/>
                <w:b w:val="0"/>
                <w:sz w:val="20"/>
                <w:szCs w:val="20"/>
              </w:rPr>
              <w:t>2021</w:t>
            </w:r>
            <w:r w:rsidR="00653477">
              <w:rPr>
                <w:rFonts w:ascii="Arial Narrow" w:hAnsi="Arial Narrow"/>
                <w:b w:val="0"/>
                <w:noProof/>
                <w:color w:val="000000"/>
                <w:sz w:val="20"/>
                <w:szCs w:val="20"/>
                <w:highlight w:val="black"/>
              </w:rPr>
              <w:t>'' '''''''''''''</w:t>
            </w:r>
          </w:p>
          <w:p w:rsidR="00C03DB7" w:rsidRPr="00653477" w:rsidRDefault="00C03DB7" w:rsidP="00B807DF">
            <w:pPr>
              <w:pStyle w:val="2Sections"/>
              <w:keepNext/>
              <w:keepLines/>
              <w:numPr>
                <w:ilvl w:val="0"/>
                <w:numId w:val="0"/>
              </w:numPr>
              <w:spacing w:before="0" w:after="0"/>
              <w:rPr>
                <w:rFonts w:ascii="Arial Narrow" w:hAnsi="Arial Narrow"/>
                <w:b w:val="0"/>
                <w:sz w:val="20"/>
                <w:szCs w:val="20"/>
              </w:rPr>
            </w:pPr>
            <w:r w:rsidRPr="000F177C">
              <w:rPr>
                <w:rFonts w:ascii="Arial Narrow" w:hAnsi="Arial Narrow"/>
                <w:b w:val="0"/>
                <w:sz w:val="20"/>
                <w:szCs w:val="20"/>
              </w:rPr>
              <w:t>2022</w:t>
            </w:r>
            <w:r w:rsidR="00653477">
              <w:rPr>
                <w:rFonts w:ascii="Arial Narrow" w:hAnsi="Arial Narrow"/>
                <w:b w:val="0"/>
                <w:noProof/>
                <w:color w:val="000000"/>
                <w:sz w:val="20"/>
                <w:szCs w:val="20"/>
                <w:highlight w:val="black"/>
              </w:rPr>
              <w:t>'' '''''''''''''''</w:t>
            </w:r>
          </w:p>
          <w:p w:rsidR="00C03DB7" w:rsidRPr="00653477" w:rsidRDefault="00C03DB7" w:rsidP="00B807DF">
            <w:pPr>
              <w:pStyle w:val="2Sections"/>
              <w:keepNext/>
              <w:keepLines/>
              <w:numPr>
                <w:ilvl w:val="0"/>
                <w:numId w:val="0"/>
              </w:numPr>
              <w:spacing w:before="0" w:after="0"/>
              <w:rPr>
                <w:rFonts w:ascii="Arial Narrow" w:hAnsi="Arial Narrow"/>
                <w:b w:val="0"/>
                <w:sz w:val="20"/>
                <w:szCs w:val="20"/>
              </w:rPr>
            </w:pPr>
            <w:r w:rsidRPr="000F177C">
              <w:rPr>
                <w:rFonts w:ascii="Arial Narrow" w:hAnsi="Arial Narrow"/>
                <w:b w:val="0"/>
                <w:sz w:val="20"/>
                <w:szCs w:val="20"/>
              </w:rPr>
              <w:t>2023</w:t>
            </w:r>
            <w:r w:rsidR="00653477">
              <w:rPr>
                <w:rFonts w:ascii="Arial Narrow" w:hAnsi="Arial Narrow"/>
                <w:b w:val="0"/>
                <w:noProof/>
                <w:color w:val="000000"/>
                <w:sz w:val="20"/>
                <w:szCs w:val="20"/>
                <w:highlight w:val="black"/>
              </w:rPr>
              <w:t>'' ''''''''''''''</w:t>
            </w:r>
          </w:p>
          <w:p w:rsidR="00C03DB7" w:rsidRPr="00653477" w:rsidRDefault="00C03DB7" w:rsidP="00B807DF">
            <w:pPr>
              <w:pStyle w:val="2Sections"/>
              <w:keepNext/>
              <w:keepLines/>
              <w:numPr>
                <w:ilvl w:val="0"/>
                <w:numId w:val="0"/>
              </w:numPr>
              <w:spacing w:before="0" w:after="0"/>
              <w:rPr>
                <w:rFonts w:ascii="Arial Narrow" w:hAnsi="Arial Narrow"/>
                <w:b w:val="0"/>
                <w:sz w:val="20"/>
                <w:szCs w:val="20"/>
              </w:rPr>
            </w:pPr>
            <w:r w:rsidRPr="000F177C">
              <w:rPr>
                <w:rFonts w:ascii="Arial Narrow" w:hAnsi="Arial Narrow"/>
                <w:b w:val="0"/>
                <w:sz w:val="20"/>
                <w:szCs w:val="20"/>
              </w:rPr>
              <w:t>2024</w:t>
            </w:r>
            <w:r w:rsidR="00653477">
              <w:rPr>
                <w:rFonts w:ascii="Arial Narrow" w:hAnsi="Arial Narrow"/>
                <w:b w:val="0"/>
                <w:noProof/>
                <w:color w:val="000000"/>
                <w:sz w:val="20"/>
                <w:szCs w:val="20"/>
                <w:highlight w:val="black"/>
              </w:rPr>
              <w:t>'' ''''''''''''</w:t>
            </w:r>
          </w:p>
          <w:p w:rsidR="008E3C12" w:rsidRPr="00534C5B" w:rsidRDefault="008E3C12" w:rsidP="00B807DF">
            <w:pPr>
              <w:pStyle w:val="2Sections"/>
              <w:keepNext/>
              <w:keepLines/>
              <w:numPr>
                <w:ilvl w:val="0"/>
                <w:numId w:val="0"/>
              </w:numPr>
              <w:spacing w:before="0" w:after="0"/>
              <w:rPr>
                <w:rFonts w:ascii="Arial Narrow" w:hAnsi="Arial Narrow"/>
                <w:b w:val="0"/>
                <w:sz w:val="20"/>
                <w:szCs w:val="20"/>
              </w:rPr>
            </w:pPr>
            <w:r w:rsidRPr="000F177C">
              <w:rPr>
                <w:rFonts w:ascii="Arial Narrow" w:hAnsi="Arial Narrow"/>
                <w:b w:val="0"/>
                <w:sz w:val="20"/>
                <w:szCs w:val="20"/>
              </w:rPr>
              <w:t>2025</w:t>
            </w:r>
            <w:r w:rsidR="00653477">
              <w:rPr>
                <w:rFonts w:ascii="Arial Narrow" w:hAnsi="Arial Narrow"/>
                <w:b w:val="0"/>
                <w:noProof/>
                <w:color w:val="000000"/>
                <w:sz w:val="20"/>
                <w:szCs w:val="20"/>
                <w:highlight w:val="black"/>
              </w:rPr>
              <w:t>'' ''''''''''''''</w:t>
            </w:r>
          </w:p>
        </w:tc>
        <w:tc>
          <w:tcPr>
            <w:tcW w:w="1843" w:type="dxa"/>
            <w:tcMar>
              <w:left w:w="28" w:type="dxa"/>
              <w:right w:w="28" w:type="dxa"/>
            </w:tcMar>
          </w:tcPr>
          <w:p w:rsidR="00C03DB7" w:rsidRPr="00653477" w:rsidRDefault="00C03DB7" w:rsidP="00B807DF">
            <w:pPr>
              <w:pStyle w:val="2Sections"/>
              <w:keepNext/>
              <w:keepLines/>
              <w:numPr>
                <w:ilvl w:val="0"/>
                <w:numId w:val="0"/>
              </w:numPr>
              <w:spacing w:before="0" w:after="0"/>
              <w:rPr>
                <w:rFonts w:ascii="Arial Narrow" w:hAnsi="Arial Narrow"/>
                <w:b w:val="0"/>
                <w:sz w:val="20"/>
                <w:szCs w:val="20"/>
              </w:rPr>
            </w:pPr>
            <w:r w:rsidRPr="000F177C">
              <w:rPr>
                <w:rFonts w:ascii="Arial Narrow" w:hAnsi="Arial Narrow"/>
                <w:b w:val="0"/>
                <w:sz w:val="20"/>
                <w:szCs w:val="20"/>
              </w:rPr>
              <w:t>2020</w:t>
            </w:r>
            <w:r w:rsidR="00653477">
              <w:rPr>
                <w:rFonts w:ascii="Arial Narrow" w:hAnsi="Arial Narrow"/>
                <w:b w:val="0"/>
                <w:noProof/>
                <w:color w:val="000000"/>
                <w:sz w:val="20"/>
                <w:szCs w:val="20"/>
                <w:highlight w:val="black"/>
              </w:rPr>
              <w:t>'' ''''''''''''' ''''''''''''</w:t>
            </w:r>
          </w:p>
          <w:p w:rsidR="00C03DB7" w:rsidRPr="00653477" w:rsidRDefault="00C03DB7" w:rsidP="00B807DF">
            <w:pPr>
              <w:pStyle w:val="2Sections"/>
              <w:keepNext/>
              <w:keepLines/>
              <w:numPr>
                <w:ilvl w:val="0"/>
                <w:numId w:val="0"/>
              </w:numPr>
              <w:spacing w:before="0" w:after="0"/>
              <w:rPr>
                <w:rFonts w:ascii="Arial Narrow" w:hAnsi="Arial Narrow"/>
                <w:b w:val="0"/>
                <w:sz w:val="20"/>
                <w:szCs w:val="20"/>
              </w:rPr>
            </w:pPr>
            <w:r w:rsidRPr="000F177C">
              <w:rPr>
                <w:rFonts w:ascii="Arial Narrow" w:hAnsi="Arial Narrow"/>
                <w:b w:val="0"/>
                <w:sz w:val="20"/>
                <w:szCs w:val="20"/>
              </w:rPr>
              <w:t>2021</w:t>
            </w:r>
            <w:r w:rsidR="00653477">
              <w:rPr>
                <w:rFonts w:ascii="Arial Narrow" w:hAnsi="Arial Narrow"/>
                <w:b w:val="0"/>
                <w:noProof/>
                <w:color w:val="000000"/>
                <w:sz w:val="20"/>
                <w:szCs w:val="20"/>
                <w:highlight w:val="black"/>
              </w:rPr>
              <w:t>'' '''''''''''''</w:t>
            </w:r>
          </w:p>
          <w:p w:rsidR="00C03DB7" w:rsidRPr="00653477" w:rsidRDefault="00C03DB7" w:rsidP="00B807DF">
            <w:pPr>
              <w:pStyle w:val="2Sections"/>
              <w:keepNext/>
              <w:keepLines/>
              <w:numPr>
                <w:ilvl w:val="0"/>
                <w:numId w:val="0"/>
              </w:numPr>
              <w:spacing w:before="0" w:after="0"/>
              <w:rPr>
                <w:rFonts w:ascii="Arial Narrow" w:hAnsi="Arial Narrow"/>
                <w:b w:val="0"/>
                <w:sz w:val="20"/>
                <w:szCs w:val="20"/>
              </w:rPr>
            </w:pPr>
            <w:r w:rsidRPr="000F177C">
              <w:rPr>
                <w:rFonts w:ascii="Arial Narrow" w:hAnsi="Arial Narrow"/>
                <w:b w:val="0"/>
                <w:sz w:val="20"/>
                <w:szCs w:val="20"/>
              </w:rPr>
              <w:t>2022</w:t>
            </w:r>
            <w:r w:rsidR="00653477">
              <w:rPr>
                <w:rFonts w:ascii="Arial Narrow" w:hAnsi="Arial Narrow"/>
                <w:b w:val="0"/>
                <w:noProof/>
                <w:color w:val="000000"/>
                <w:sz w:val="20"/>
                <w:szCs w:val="20"/>
                <w:highlight w:val="black"/>
              </w:rPr>
              <w:t>'' ''''''''''''''</w:t>
            </w:r>
          </w:p>
          <w:p w:rsidR="00C03DB7" w:rsidRPr="00653477" w:rsidRDefault="00C03DB7" w:rsidP="00B807DF">
            <w:pPr>
              <w:pStyle w:val="2Sections"/>
              <w:keepNext/>
              <w:keepLines/>
              <w:numPr>
                <w:ilvl w:val="0"/>
                <w:numId w:val="0"/>
              </w:numPr>
              <w:spacing w:before="0" w:after="0"/>
              <w:rPr>
                <w:rFonts w:ascii="Arial Narrow" w:hAnsi="Arial Narrow"/>
                <w:b w:val="0"/>
                <w:sz w:val="20"/>
                <w:szCs w:val="20"/>
              </w:rPr>
            </w:pPr>
            <w:r w:rsidRPr="000F177C">
              <w:rPr>
                <w:rFonts w:ascii="Arial Narrow" w:hAnsi="Arial Narrow"/>
                <w:b w:val="0"/>
                <w:sz w:val="20"/>
                <w:szCs w:val="20"/>
              </w:rPr>
              <w:t>2023</w:t>
            </w:r>
            <w:r w:rsidR="00653477">
              <w:rPr>
                <w:rFonts w:ascii="Arial Narrow" w:hAnsi="Arial Narrow"/>
                <w:b w:val="0"/>
                <w:noProof/>
                <w:color w:val="000000"/>
                <w:sz w:val="20"/>
                <w:szCs w:val="20"/>
                <w:highlight w:val="black"/>
              </w:rPr>
              <w:t>'' '''''''''''''''</w:t>
            </w:r>
          </w:p>
          <w:p w:rsidR="00C03DB7" w:rsidRPr="00653477" w:rsidRDefault="00C03DB7" w:rsidP="00B807DF">
            <w:pPr>
              <w:pStyle w:val="2Sections"/>
              <w:keepNext/>
              <w:keepLines/>
              <w:numPr>
                <w:ilvl w:val="0"/>
                <w:numId w:val="0"/>
              </w:numPr>
              <w:spacing w:before="0" w:after="0"/>
              <w:rPr>
                <w:rFonts w:ascii="Arial Narrow" w:hAnsi="Arial Narrow"/>
                <w:b w:val="0"/>
                <w:sz w:val="20"/>
                <w:szCs w:val="20"/>
              </w:rPr>
            </w:pPr>
            <w:r w:rsidRPr="000F177C">
              <w:rPr>
                <w:rFonts w:ascii="Arial Narrow" w:hAnsi="Arial Narrow"/>
                <w:b w:val="0"/>
                <w:sz w:val="20"/>
                <w:szCs w:val="20"/>
              </w:rPr>
              <w:t>2024</w:t>
            </w:r>
            <w:r w:rsidR="00653477">
              <w:rPr>
                <w:rFonts w:ascii="Arial Narrow" w:hAnsi="Arial Narrow"/>
                <w:b w:val="0"/>
                <w:noProof/>
                <w:color w:val="000000"/>
                <w:sz w:val="20"/>
                <w:szCs w:val="20"/>
                <w:highlight w:val="black"/>
              </w:rPr>
              <w:t>'' '''''''''''''</w:t>
            </w:r>
          </w:p>
          <w:p w:rsidR="008E3C12" w:rsidRPr="00534C5B" w:rsidRDefault="008E3C12" w:rsidP="00B807DF">
            <w:pPr>
              <w:pStyle w:val="2Sections"/>
              <w:keepNext/>
              <w:keepLines/>
              <w:numPr>
                <w:ilvl w:val="0"/>
                <w:numId w:val="0"/>
              </w:numPr>
              <w:spacing w:before="0" w:after="0"/>
              <w:rPr>
                <w:rFonts w:ascii="Arial Narrow" w:hAnsi="Arial Narrow"/>
                <w:b w:val="0"/>
                <w:sz w:val="20"/>
                <w:szCs w:val="20"/>
              </w:rPr>
            </w:pPr>
            <w:r w:rsidRPr="000F177C">
              <w:rPr>
                <w:rFonts w:ascii="Arial Narrow" w:hAnsi="Arial Narrow"/>
                <w:b w:val="0"/>
                <w:sz w:val="20"/>
                <w:szCs w:val="20"/>
              </w:rPr>
              <w:t>2025</w:t>
            </w:r>
            <w:r w:rsidR="00653477">
              <w:rPr>
                <w:rFonts w:ascii="Arial Narrow" w:hAnsi="Arial Narrow"/>
                <w:b w:val="0"/>
                <w:noProof/>
                <w:color w:val="000000"/>
                <w:sz w:val="20"/>
                <w:szCs w:val="20"/>
                <w:highlight w:val="black"/>
              </w:rPr>
              <w:t>'' '''''''''''''</w:t>
            </w:r>
          </w:p>
        </w:tc>
        <w:tc>
          <w:tcPr>
            <w:tcW w:w="2642" w:type="dxa"/>
            <w:tcMar>
              <w:left w:w="28" w:type="dxa"/>
              <w:right w:w="28" w:type="dxa"/>
            </w:tcMar>
          </w:tcPr>
          <w:p w:rsidR="00C03DB7" w:rsidRPr="00534C5B" w:rsidRDefault="00656439" w:rsidP="003A0FC3">
            <w:pPr>
              <w:pStyle w:val="2Sections"/>
              <w:keepNext/>
              <w:keepLines/>
              <w:numPr>
                <w:ilvl w:val="0"/>
                <w:numId w:val="0"/>
              </w:numPr>
              <w:spacing w:before="0" w:after="0"/>
              <w:rPr>
                <w:rFonts w:ascii="Arial Narrow" w:hAnsi="Arial Narrow"/>
                <w:b w:val="0"/>
                <w:sz w:val="20"/>
                <w:szCs w:val="20"/>
              </w:rPr>
            </w:pPr>
            <w:r w:rsidRPr="00534C5B">
              <w:rPr>
                <w:rFonts w:ascii="Arial Narrow" w:hAnsi="Arial Narrow"/>
                <w:b w:val="0"/>
                <w:sz w:val="20"/>
                <w:szCs w:val="20"/>
              </w:rPr>
              <w:t xml:space="preserve">Revised to </w:t>
            </w:r>
            <w:r w:rsidR="003A0FC3" w:rsidRPr="00534C5B">
              <w:rPr>
                <w:rFonts w:ascii="Arial Narrow" w:hAnsi="Arial Narrow"/>
                <w:b w:val="0"/>
                <w:sz w:val="20"/>
                <w:szCs w:val="20"/>
              </w:rPr>
              <w:t xml:space="preserve">exclude </w:t>
            </w:r>
            <w:r w:rsidRPr="00534C5B">
              <w:rPr>
                <w:rFonts w:ascii="Arial Narrow" w:hAnsi="Arial Narrow"/>
                <w:b w:val="0"/>
                <w:sz w:val="20"/>
                <w:szCs w:val="20"/>
              </w:rPr>
              <w:t xml:space="preserve">patients treated with </w:t>
            </w:r>
            <w:r w:rsidR="003A0FC3" w:rsidRPr="00534C5B">
              <w:rPr>
                <w:rFonts w:ascii="Arial Narrow" w:hAnsi="Arial Narrow"/>
                <w:b w:val="0"/>
                <w:sz w:val="20"/>
                <w:szCs w:val="20"/>
              </w:rPr>
              <w:t>DAB+TRAM</w:t>
            </w:r>
          </w:p>
        </w:tc>
      </w:tr>
      <w:tr w:rsidR="00C03DB7" w:rsidRPr="00534C5B" w:rsidTr="00F15DAD">
        <w:trPr>
          <w:tblHeader/>
        </w:trPr>
        <w:tc>
          <w:tcPr>
            <w:tcW w:w="2689" w:type="dxa"/>
            <w:tcMar>
              <w:left w:w="28" w:type="dxa"/>
              <w:right w:w="28" w:type="dxa"/>
            </w:tcMar>
          </w:tcPr>
          <w:p w:rsidR="00C03DB7" w:rsidRPr="00534C5B" w:rsidRDefault="00656439" w:rsidP="00B807DF">
            <w:pPr>
              <w:pStyle w:val="2Sections"/>
              <w:keepNext/>
              <w:keepLines/>
              <w:numPr>
                <w:ilvl w:val="0"/>
                <w:numId w:val="0"/>
              </w:numPr>
              <w:spacing w:before="0" w:after="0"/>
              <w:rPr>
                <w:rFonts w:ascii="Arial Narrow" w:hAnsi="Arial Narrow"/>
                <w:b w:val="0"/>
                <w:sz w:val="20"/>
                <w:szCs w:val="20"/>
              </w:rPr>
            </w:pPr>
            <w:r w:rsidRPr="00534C5B">
              <w:rPr>
                <w:rFonts w:ascii="Arial Narrow" w:hAnsi="Arial Narrow"/>
                <w:b w:val="0"/>
                <w:sz w:val="20"/>
                <w:szCs w:val="20"/>
              </w:rPr>
              <w:t>Nivolumab dosing</w:t>
            </w:r>
          </w:p>
        </w:tc>
        <w:tc>
          <w:tcPr>
            <w:tcW w:w="1842" w:type="dxa"/>
            <w:tcMar>
              <w:left w:w="28" w:type="dxa"/>
              <w:right w:w="28" w:type="dxa"/>
            </w:tcMar>
          </w:tcPr>
          <w:p w:rsidR="00C03DB7" w:rsidRPr="00534C5B" w:rsidRDefault="00656439" w:rsidP="00B807DF">
            <w:pPr>
              <w:pStyle w:val="2Sections"/>
              <w:keepNext/>
              <w:keepLines/>
              <w:numPr>
                <w:ilvl w:val="0"/>
                <w:numId w:val="0"/>
              </w:numPr>
              <w:spacing w:before="0" w:after="0"/>
              <w:rPr>
                <w:rFonts w:ascii="Arial Narrow" w:hAnsi="Arial Narrow"/>
                <w:b w:val="0"/>
                <w:sz w:val="20"/>
                <w:szCs w:val="20"/>
              </w:rPr>
            </w:pPr>
            <w:r w:rsidRPr="00534C5B">
              <w:rPr>
                <w:rFonts w:ascii="Arial Narrow" w:hAnsi="Arial Narrow"/>
                <w:b w:val="0"/>
                <w:sz w:val="20"/>
                <w:szCs w:val="20"/>
              </w:rPr>
              <w:t>3 mg/kg Q2W: 100%</w:t>
            </w:r>
          </w:p>
          <w:p w:rsidR="00656439" w:rsidRPr="00534C5B" w:rsidRDefault="00656439" w:rsidP="00B807DF">
            <w:pPr>
              <w:pStyle w:val="2Sections"/>
              <w:keepNext/>
              <w:keepLines/>
              <w:numPr>
                <w:ilvl w:val="0"/>
                <w:numId w:val="0"/>
              </w:numPr>
              <w:spacing w:before="0" w:after="0"/>
              <w:rPr>
                <w:rFonts w:ascii="Arial Narrow" w:hAnsi="Arial Narrow"/>
                <w:b w:val="0"/>
                <w:sz w:val="20"/>
                <w:szCs w:val="20"/>
              </w:rPr>
            </w:pPr>
            <w:r w:rsidRPr="00534C5B">
              <w:rPr>
                <w:rFonts w:ascii="Arial Narrow" w:hAnsi="Arial Narrow"/>
                <w:b w:val="0"/>
                <w:sz w:val="20"/>
                <w:szCs w:val="20"/>
              </w:rPr>
              <w:t>240 mg Q2W: -</w:t>
            </w:r>
          </w:p>
          <w:p w:rsidR="00656439" w:rsidRPr="00534C5B" w:rsidRDefault="00656439" w:rsidP="00B807DF">
            <w:pPr>
              <w:pStyle w:val="2Sections"/>
              <w:keepNext/>
              <w:keepLines/>
              <w:numPr>
                <w:ilvl w:val="0"/>
                <w:numId w:val="0"/>
              </w:numPr>
              <w:spacing w:before="0" w:after="0"/>
              <w:rPr>
                <w:rFonts w:ascii="Arial Narrow" w:hAnsi="Arial Narrow"/>
                <w:b w:val="0"/>
                <w:sz w:val="20"/>
                <w:szCs w:val="20"/>
              </w:rPr>
            </w:pPr>
            <w:r w:rsidRPr="00534C5B">
              <w:rPr>
                <w:rFonts w:ascii="Arial Narrow" w:hAnsi="Arial Narrow"/>
                <w:b w:val="0"/>
                <w:sz w:val="20"/>
                <w:szCs w:val="20"/>
              </w:rPr>
              <w:t>480 mg Q4W: -</w:t>
            </w:r>
          </w:p>
        </w:tc>
        <w:tc>
          <w:tcPr>
            <w:tcW w:w="1843" w:type="dxa"/>
            <w:tcMar>
              <w:left w:w="28" w:type="dxa"/>
              <w:right w:w="28" w:type="dxa"/>
            </w:tcMar>
          </w:tcPr>
          <w:p w:rsidR="00C03DB7" w:rsidRPr="00534C5B" w:rsidRDefault="00656439" w:rsidP="00B807DF">
            <w:pPr>
              <w:pStyle w:val="2Sections"/>
              <w:keepNext/>
              <w:keepLines/>
              <w:numPr>
                <w:ilvl w:val="0"/>
                <w:numId w:val="0"/>
              </w:numPr>
              <w:spacing w:before="0" w:after="0"/>
              <w:rPr>
                <w:rFonts w:ascii="Arial Narrow" w:hAnsi="Arial Narrow"/>
                <w:b w:val="0"/>
                <w:sz w:val="20"/>
                <w:szCs w:val="20"/>
              </w:rPr>
            </w:pPr>
            <w:r w:rsidRPr="00534C5B">
              <w:rPr>
                <w:rFonts w:ascii="Arial Narrow" w:hAnsi="Arial Narrow"/>
                <w:b w:val="0"/>
                <w:sz w:val="20"/>
                <w:szCs w:val="20"/>
              </w:rPr>
              <w:t xml:space="preserve">3 mg/kg Q2W: </w:t>
            </w:r>
            <w:r w:rsidR="00AF5287" w:rsidRPr="00534C5B">
              <w:rPr>
                <w:rFonts w:ascii="Arial Narrow" w:hAnsi="Arial Narrow"/>
                <w:b w:val="0"/>
                <w:sz w:val="20"/>
                <w:szCs w:val="20"/>
              </w:rPr>
              <w:t>5</w:t>
            </w:r>
            <w:r w:rsidRPr="00534C5B">
              <w:rPr>
                <w:rFonts w:ascii="Arial Narrow" w:hAnsi="Arial Narrow"/>
                <w:b w:val="0"/>
                <w:sz w:val="20"/>
                <w:szCs w:val="20"/>
              </w:rPr>
              <w:t>%</w:t>
            </w:r>
          </w:p>
          <w:p w:rsidR="00656439" w:rsidRPr="00534C5B" w:rsidRDefault="00656439" w:rsidP="00B807DF">
            <w:pPr>
              <w:pStyle w:val="2Sections"/>
              <w:keepNext/>
              <w:keepLines/>
              <w:numPr>
                <w:ilvl w:val="0"/>
                <w:numId w:val="0"/>
              </w:numPr>
              <w:spacing w:before="0" w:after="0"/>
              <w:rPr>
                <w:rFonts w:ascii="Arial Narrow" w:hAnsi="Arial Narrow"/>
                <w:b w:val="0"/>
                <w:sz w:val="20"/>
                <w:szCs w:val="20"/>
              </w:rPr>
            </w:pPr>
            <w:r w:rsidRPr="00534C5B">
              <w:rPr>
                <w:rFonts w:ascii="Arial Narrow" w:hAnsi="Arial Narrow"/>
                <w:b w:val="0"/>
                <w:sz w:val="20"/>
                <w:szCs w:val="20"/>
              </w:rPr>
              <w:t>240 mg Q2W: 47%</w:t>
            </w:r>
          </w:p>
          <w:p w:rsidR="00656439" w:rsidRPr="00534C5B" w:rsidRDefault="00656439" w:rsidP="00AF5287">
            <w:pPr>
              <w:pStyle w:val="2Sections"/>
              <w:keepNext/>
              <w:keepLines/>
              <w:numPr>
                <w:ilvl w:val="0"/>
                <w:numId w:val="0"/>
              </w:numPr>
              <w:spacing w:before="0" w:after="0"/>
              <w:rPr>
                <w:rFonts w:ascii="Arial Narrow" w:hAnsi="Arial Narrow"/>
                <w:b w:val="0"/>
                <w:sz w:val="20"/>
                <w:szCs w:val="20"/>
              </w:rPr>
            </w:pPr>
            <w:r w:rsidRPr="00534C5B">
              <w:rPr>
                <w:rFonts w:ascii="Arial Narrow" w:hAnsi="Arial Narrow"/>
                <w:b w:val="0"/>
                <w:sz w:val="20"/>
                <w:szCs w:val="20"/>
              </w:rPr>
              <w:t xml:space="preserve">480 mg Q4W: </w:t>
            </w:r>
            <w:r w:rsidR="00AF5287" w:rsidRPr="00534C5B">
              <w:rPr>
                <w:rFonts w:ascii="Arial Narrow" w:hAnsi="Arial Narrow"/>
                <w:b w:val="0"/>
                <w:sz w:val="20"/>
                <w:szCs w:val="20"/>
              </w:rPr>
              <w:t>48</w:t>
            </w:r>
            <w:r w:rsidRPr="00534C5B">
              <w:rPr>
                <w:rFonts w:ascii="Arial Narrow" w:hAnsi="Arial Narrow"/>
                <w:b w:val="0"/>
                <w:sz w:val="20"/>
                <w:szCs w:val="20"/>
              </w:rPr>
              <w:t>%</w:t>
            </w:r>
          </w:p>
        </w:tc>
        <w:tc>
          <w:tcPr>
            <w:tcW w:w="2642" w:type="dxa"/>
            <w:tcMar>
              <w:left w:w="28" w:type="dxa"/>
              <w:right w:w="28" w:type="dxa"/>
            </w:tcMar>
          </w:tcPr>
          <w:p w:rsidR="00C03DB7" w:rsidRPr="00534C5B" w:rsidRDefault="00656439" w:rsidP="00B807DF">
            <w:pPr>
              <w:pStyle w:val="2Sections"/>
              <w:keepNext/>
              <w:keepLines/>
              <w:numPr>
                <w:ilvl w:val="0"/>
                <w:numId w:val="0"/>
              </w:numPr>
              <w:spacing w:before="0" w:after="0"/>
              <w:rPr>
                <w:rFonts w:ascii="Arial Narrow" w:hAnsi="Arial Narrow"/>
                <w:b w:val="0"/>
                <w:sz w:val="20"/>
                <w:szCs w:val="20"/>
              </w:rPr>
            </w:pPr>
            <w:r w:rsidRPr="00534C5B">
              <w:rPr>
                <w:rFonts w:ascii="Arial Narrow" w:hAnsi="Arial Narrow"/>
                <w:b w:val="0"/>
                <w:sz w:val="20"/>
                <w:szCs w:val="20"/>
              </w:rPr>
              <w:t xml:space="preserve">Revision as per PBAC recommendations. Based on sponsor PAP. </w:t>
            </w:r>
          </w:p>
        </w:tc>
      </w:tr>
    </w:tbl>
    <w:p w:rsidR="00C03DB7" w:rsidRPr="00534C5B" w:rsidRDefault="00E04BF0" w:rsidP="00E04BF0">
      <w:pPr>
        <w:pStyle w:val="TableFooter"/>
      </w:pPr>
      <w:r w:rsidRPr="00534C5B">
        <w:t xml:space="preserve">MSAC = Medicare Benefits Advisory Committee; </w:t>
      </w:r>
      <w:r w:rsidR="00376DCD" w:rsidRPr="00534C5B">
        <w:t xml:space="preserve">MT = mutant melanoma (i.e. BRAF positive); </w:t>
      </w:r>
      <w:r w:rsidR="009711A1" w:rsidRPr="00534C5B">
        <w:t xml:space="preserve">PAP = patient access program; </w:t>
      </w:r>
      <w:r w:rsidRPr="00534C5B">
        <w:t>PBAC = Pharmaceutical Benefits Advisory Committee; PD-1 = programmed cell death 1 inhibitor; Q2W = every two weeks; Q4W = every four weeks</w:t>
      </w:r>
    </w:p>
    <w:p w:rsidR="00376DCD" w:rsidRPr="00534C5B" w:rsidRDefault="00376DCD" w:rsidP="00E04BF0">
      <w:pPr>
        <w:pStyle w:val="TableFooter"/>
      </w:pPr>
      <w:r w:rsidRPr="00534C5B">
        <w:t>Source: Table 2, p3 of the August 2019 nivolumab proposal</w:t>
      </w:r>
    </w:p>
    <w:p w:rsidR="00E04BF0" w:rsidRPr="00534C5B" w:rsidRDefault="00E04BF0" w:rsidP="00E04BF0"/>
    <w:p w:rsidR="00F0644D" w:rsidRPr="00534C5B" w:rsidRDefault="00421461" w:rsidP="00243A0A">
      <w:pPr>
        <w:pStyle w:val="3Bodytext"/>
        <w:numPr>
          <w:ilvl w:val="1"/>
          <w:numId w:val="1"/>
        </w:numPr>
        <w:rPr>
          <w:szCs w:val="24"/>
        </w:rPr>
      </w:pPr>
      <w:r w:rsidRPr="00534C5B">
        <w:rPr>
          <w:szCs w:val="24"/>
        </w:rPr>
        <w:t xml:space="preserve">The </w:t>
      </w:r>
      <w:r w:rsidR="005F67A5" w:rsidRPr="00534C5B">
        <w:rPr>
          <w:szCs w:val="24"/>
        </w:rPr>
        <w:t>sponsor</w:t>
      </w:r>
      <w:r w:rsidRPr="00534C5B">
        <w:rPr>
          <w:szCs w:val="24"/>
        </w:rPr>
        <w:t xml:space="preserve"> provided an amended estimate of the proportion of Stage III patients with resectable disease. Although stating that the original estimate of 86%</w:t>
      </w:r>
      <w:r w:rsidR="00517B57" w:rsidRPr="00534C5B">
        <w:rPr>
          <w:szCs w:val="24"/>
        </w:rPr>
        <w:t>, which was based on a clinician survey,</w:t>
      </w:r>
      <w:r w:rsidRPr="00534C5B">
        <w:rPr>
          <w:szCs w:val="24"/>
        </w:rPr>
        <w:t xml:space="preserve"> was reasonable and supported by SEER data that indicated that 89% of Stage III patients were resectable, a revised estimate of 81% was proposed.</w:t>
      </w:r>
      <w:r w:rsidR="00243A0A" w:rsidRPr="00534C5B">
        <w:rPr>
          <w:szCs w:val="24"/>
        </w:rPr>
        <w:t xml:space="preserve"> The PBAC considered that the revised estimate of 81% was</w:t>
      </w:r>
      <w:r w:rsidR="00F0644D" w:rsidRPr="00534C5B">
        <w:rPr>
          <w:szCs w:val="24"/>
        </w:rPr>
        <w:t xml:space="preserve"> a reasonable estimate of the proportion of Stage III patients with resectable disease.</w:t>
      </w:r>
    </w:p>
    <w:p w:rsidR="00243A0A" w:rsidRPr="00534C5B" w:rsidRDefault="008F2ADE" w:rsidP="00AF0867">
      <w:pPr>
        <w:pStyle w:val="3Bodytext"/>
        <w:numPr>
          <w:ilvl w:val="1"/>
          <w:numId w:val="1"/>
        </w:numPr>
        <w:rPr>
          <w:szCs w:val="24"/>
        </w:rPr>
      </w:pPr>
      <w:r w:rsidRPr="00534C5B">
        <w:t>Based on a previous MSAC consideration for BRAF mutation testing (Application 1172 PSC, April 2013 MSAC meeting) it was estimated that 44.5% of patients are BRAF mutant.</w:t>
      </w:r>
      <w:r w:rsidR="00243A0A" w:rsidRPr="00534C5B">
        <w:t xml:space="preserve"> The PBAC considered that it would be more reasonable to assume that 3</w:t>
      </w:r>
      <w:r w:rsidR="00872F96" w:rsidRPr="00534C5B">
        <w:t>7.7</w:t>
      </w:r>
      <w:r w:rsidR="00243A0A" w:rsidRPr="00534C5B">
        <w:t>% of patients were BRAF mutant</w:t>
      </w:r>
      <w:r w:rsidR="00872F96" w:rsidRPr="00534C5B">
        <w:t>, based on the results of an Australian cohort study</w:t>
      </w:r>
      <w:r w:rsidR="00872F96" w:rsidRPr="00534C5B">
        <w:rPr>
          <w:rStyle w:val="FootnoteReference"/>
        </w:rPr>
        <w:footnoteReference w:id="1"/>
      </w:r>
      <w:r w:rsidR="00243A0A" w:rsidRPr="00534C5B">
        <w:t xml:space="preserve">. </w:t>
      </w:r>
    </w:p>
    <w:p w:rsidR="00421461" w:rsidRPr="00534C5B" w:rsidRDefault="00421461" w:rsidP="00AF0867">
      <w:pPr>
        <w:pStyle w:val="3Bodytext"/>
        <w:numPr>
          <w:ilvl w:val="1"/>
          <w:numId w:val="1"/>
        </w:numPr>
        <w:rPr>
          <w:szCs w:val="24"/>
        </w:rPr>
      </w:pPr>
      <w:r w:rsidRPr="00534C5B">
        <w:rPr>
          <w:szCs w:val="24"/>
        </w:rPr>
        <w:t xml:space="preserve">The uptake of PD-1 inhibitors in BRAF </w:t>
      </w:r>
      <w:r w:rsidR="008F2ADE" w:rsidRPr="00534C5B">
        <w:rPr>
          <w:szCs w:val="24"/>
        </w:rPr>
        <w:t>mutant</w:t>
      </w:r>
      <w:r w:rsidRPr="00534C5B">
        <w:rPr>
          <w:szCs w:val="24"/>
        </w:rPr>
        <w:t xml:space="preserve"> patients was estimated to be 74.1%, based on the results of a survey of </w:t>
      </w:r>
      <w:r w:rsidR="00CE204C" w:rsidRPr="00534C5B">
        <w:rPr>
          <w:szCs w:val="24"/>
        </w:rPr>
        <w:t xml:space="preserve">143 medical oncologists, of which </w:t>
      </w:r>
      <w:r w:rsidRPr="00534C5B">
        <w:rPr>
          <w:szCs w:val="24"/>
        </w:rPr>
        <w:t xml:space="preserve">32 </w:t>
      </w:r>
      <w:r w:rsidR="00CE204C" w:rsidRPr="00534C5B">
        <w:rPr>
          <w:szCs w:val="24"/>
        </w:rPr>
        <w:t>(22%) clinicians responded.</w:t>
      </w:r>
      <w:r w:rsidRPr="00534C5B">
        <w:rPr>
          <w:szCs w:val="24"/>
        </w:rPr>
        <w:t xml:space="preserve"> </w:t>
      </w:r>
      <w:r w:rsidR="00F0644D" w:rsidRPr="00534C5B">
        <w:rPr>
          <w:szCs w:val="24"/>
        </w:rPr>
        <w:t xml:space="preserve">The </w:t>
      </w:r>
      <w:r w:rsidR="00CE204C" w:rsidRPr="00534C5B">
        <w:rPr>
          <w:szCs w:val="24"/>
        </w:rPr>
        <w:t xml:space="preserve">low response rate was </w:t>
      </w:r>
      <w:r w:rsidR="00F0644D" w:rsidRPr="00534C5B">
        <w:rPr>
          <w:szCs w:val="24"/>
        </w:rPr>
        <w:t xml:space="preserve">considered by </w:t>
      </w:r>
      <w:r w:rsidR="009433F7">
        <w:rPr>
          <w:szCs w:val="24"/>
        </w:rPr>
        <w:t xml:space="preserve">the </w:t>
      </w:r>
      <w:r w:rsidR="009433F7" w:rsidRPr="00167BA5">
        <w:rPr>
          <w:rFonts w:cstheme="minorHAnsi"/>
        </w:rPr>
        <w:t>Economics Sub-Committee</w:t>
      </w:r>
      <w:r w:rsidR="009433F7" w:rsidRPr="00534C5B">
        <w:rPr>
          <w:szCs w:val="24"/>
        </w:rPr>
        <w:t xml:space="preserve"> </w:t>
      </w:r>
      <w:r w:rsidR="009433F7">
        <w:rPr>
          <w:szCs w:val="24"/>
        </w:rPr>
        <w:t>(</w:t>
      </w:r>
      <w:r w:rsidR="00F0644D" w:rsidRPr="00534C5B">
        <w:rPr>
          <w:szCs w:val="24"/>
        </w:rPr>
        <w:t>ESC</w:t>
      </w:r>
      <w:r w:rsidR="009433F7">
        <w:rPr>
          <w:szCs w:val="24"/>
        </w:rPr>
        <w:t>)</w:t>
      </w:r>
      <w:r w:rsidR="00F0644D" w:rsidRPr="00534C5B">
        <w:rPr>
          <w:szCs w:val="24"/>
        </w:rPr>
        <w:t xml:space="preserve"> to </w:t>
      </w:r>
      <w:r w:rsidR="00CE204C" w:rsidRPr="00534C5B">
        <w:rPr>
          <w:szCs w:val="24"/>
        </w:rPr>
        <w:t xml:space="preserve">affect the representativeness of the sample and the generalisability to inform market shares. </w:t>
      </w:r>
      <w:r w:rsidR="001E7654" w:rsidRPr="00534C5B">
        <w:rPr>
          <w:szCs w:val="24"/>
        </w:rPr>
        <w:t>T</w:t>
      </w:r>
      <w:r w:rsidRPr="00534C5B">
        <w:rPr>
          <w:szCs w:val="24"/>
        </w:rPr>
        <w:t xml:space="preserve">he PBAC previously considered that the </w:t>
      </w:r>
      <w:r w:rsidRPr="00534C5B">
        <w:rPr>
          <w:szCs w:val="24"/>
        </w:rPr>
        <w:lastRenderedPageBreak/>
        <w:t xml:space="preserve">toxicity of </w:t>
      </w:r>
      <w:r w:rsidR="008F2ADE" w:rsidRPr="00534C5B">
        <w:rPr>
          <w:szCs w:val="24"/>
        </w:rPr>
        <w:t>DAB+TRAM</w:t>
      </w:r>
      <w:r w:rsidRPr="00534C5B">
        <w:rPr>
          <w:szCs w:val="24"/>
        </w:rPr>
        <w:t xml:space="preserve"> would affect its</w:t>
      </w:r>
      <w:r w:rsidR="00517B57" w:rsidRPr="00534C5B">
        <w:rPr>
          <w:szCs w:val="24"/>
        </w:rPr>
        <w:t xml:space="preserve"> uptake, especially in patients with a relatively low risk of recurrence (paragraph 6.70, Dabrafenib+trametinib PSD, March 2019).</w:t>
      </w:r>
      <w:r w:rsidR="00CE204C" w:rsidRPr="00534C5B">
        <w:rPr>
          <w:szCs w:val="24"/>
        </w:rPr>
        <w:t xml:space="preserve"> </w:t>
      </w:r>
      <w:r w:rsidR="00AF5287" w:rsidRPr="00534C5B">
        <w:rPr>
          <w:szCs w:val="24"/>
        </w:rPr>
        <w:t>The PBAC considered that the uptake rate of PD-1 inhibitors in BRAF mutant patients of 74.1% was reasonable</w:t>
      </w:r>
      <w:r w:rsidR="00675B91" w:rsidRPr="00534C5B">
        <w:rPr>
          <w:szCs w:val="24"/>
        </w:rPr>
        <w:t xml:space="preserve"> in the adjuvant setting</w:t>
      </w:r>
      <w:r w:rsidR="00AF5287" w:rsidRPr="00534C5B">
        <w:rPr>
          <w:szCs w:val="24"/>
        </w:rPr>
        <w:t>.</w:t>
      </w:r>
    </w:p>
    <w:p w:rsidR="00AF5287" w:rsidRPr="00534C5B" w:rsidRDefault="00AF5287" w:rsidP="00AF0867">
      <w:pPr>
        <w:pStyle w:val="3Bodytext"/>
        <w:numPr>
          <w:ilvl w:val="1"/>
          <w:numId w:val="1"/>
        </w:numPr>
        <w:rPr>
          <w:szCs w:val="24"/>
        </w:rPr>
      </w:pPr>
      <w:r w:rsidRPr="00534C5B">
        <w:rPr>
          <w:szCs w:val="24"/>
        </w:rPr>
        <w:t xml:space="preserve">The PBAC noted that the nivolumab dosing assumptions were based on </w:t>
      </w:r>
      <w:r w:rsidR="00784FFD" w:rsidRPr="00534C5B">
        <w:rPr>
          <w:szCs w:val="24"/>
        </w:rPr>
        <w:t>patient</w:t>
      </w:r>
      <w:r w:rsidR="005F57EC" w:rsidRPr="00534C5B">
        <w:rPr>
          <w:szCs w:val="24"/>
        </w:rPr>
        <w:t xml:space="preserve"> data (27</w:t>
      </w:r>
      <w:r w:rsidR="006A411C" w:rsidRPr="00534C5B">
        <w:rPr>
          <w:szCs w:val="24"/>
        </w:rPr>
        <w:t xml:space="preserve"> June 2019) from the nivolumab P</w:t>
      </w:r>
      <w:r w:rsidR="005F57EC" w:rsidRPr="00534C5B">
        <w:rPr>
          <w:szCs w:val="24"/>
        </w:rPr>
        <w:t xml:space="preserve">atient </w:t>
      </w:r>
      <w:r w:rsidR="006A411C" w:rsidRPr="00534C5B">
        <w:rPr>
          <w:szCs w:val="24"/>
        </w:rPr>
        <w:t>A</w:t>
      </w:r>
      <w:r w:rsidR="005F57EC" w:rsidRPr="00534C5B">
        <w:rPr>
          <w:szCs w:val="24"/>
        </w:rPr>
        <w:t xml:space="preserve">ccess </w:t>
      </w:r>
      <w:r w:rsidR="006A411C" w:rsidRPr="00534C5B">
        <w:rPr>
          <w:szCs w:val="24"/>
        </w:rPr>
        <w:t>P</w:t>
      </w:r>
      <w:r w:rsidR="005F57EC" w:rsidRPr="00534C5B">
        <w:rPr>
          <w:szCs w:val="24"/>
        </w:rPr>
        <w:t xml:space="preserve">rogram presented in the </w:t>
      </w:r>
      <w:r w:rsidRPr="00534C5B">
        <w:rPr>
          <w:szCs w:val="24"/>
        </w:rPr>
        <w:t>July 2019 pre-PBAC response</w:t>
      </w:r>
      <w:r w:rsidR="00011088" w:rsidRPr="00534C5B">
        <w:rPr>
          <w:szCs w:val="24"/>
        </w:rPr>
        <w:t>. Although this was requested by the PBAC in July 2019 (paragraph 5.13, Nivolumab PSD, July 2019), on reconsideration, t</w:t>
      </w:r>
      <w:r w:rsidR="005F57EC" w:rsidRPr="00534C5B">
        <w:rPr>
          <w:szCs w:val="24"/>
        </w:rPr>
        <w:t xml:space="preserve">he PBAC </w:t>
      </w:r>
      <w:r w:rsidR="00011088" w:rsidRPr="00534C5B">
        <w:rPr>
          <w:szCs w:val="24"/>
        </w:rPr>
        <w:t>determined</w:t>
      </w:r>
      <w:r w:rsidR="005F57EC" w:rsidRPr="00534C5B">
        <w:rPr>
          <w:szCs w:val="24"/>
        </w:rPr>
        <w:t xml:space="preserve"> that the four weekly dosing schedule would be the most highly utilised and that it would be more appropriate to use the estimates provided in the nivolumab flat dosing submission</w:t>
      </w:r>
      <w:r w:rsidR="001376F2" w:rsidRPr="00534C5B">
        <w:rPr>
          <w:szCs w:val="24"/>
        </w:rPr>
        <w:t xml:space="preserve"> in</w:t>
      </w:r>
      <w:r w:rsidR="005F57EC" w:rsidRPr="00534C5B">
        <w:rPr>
          <w:szCs w:val="24"/>
        </w:rPr>
        <w:t xml:space="preserve"> March 2019 which assumed that 3.0% of patients would receive 3 mg/kg every two weeks, 9.0% would receive 240 mg every two weeks and 88.0% would receive 480 mg every four weeks.</w:t>
      </w:r>
    </w:p>
    <w:p w:rsidR="008E3C12" w:rsidRPr="00534C5B" w:rsidRDefault="008E3C12" w:rsidP="00AF0867">
      <w:pPr>
        <w:pStyle w:val="3Bodytext"/>
        <w:numPr>
          <w:ilvl w:val="1"/>
          <w:numId w:val="1"/>
        </w:numPr>
        <w:rPr>
          <w:szCs w:val="24"/>
        </w:rPr>
      </w:pPr>
      <w:r w:rsidRPr="00534C5B">
        <w:rPr>
          <w:szCs w:val="24"/>
        </w:rPr>
        <w:t>The adjusted number of grandfathered patients (</w:t>
      </w:r>
      <w:r w:rsidR="000F63EA">
        <w:rPr>
          <w:szCs w:val="24"/>
        </w:rPr>
        <w:t>less than 500</w:t>
      </w:r>
      <w:r w:rsidRPr="00534C5B">
        <w:rPr>
          <w:szCs w:val="24"/>
        </w:rPr>
        <w:t>) was based on the number of infusions yet to be received by each monthly cohort of patients and the average number of infusions per patient per treatment course.</w:t>
      </w:r>
      <w:r w:rsidR="008F2ADE" w:rsidRPr="00534C5B">
        <w:rPr>
          <w:szCs w:val="24"/>
        </w:rPr>
        <w:t xml:space="preserve"> </w:t>
      </w:r>
      <w:r w:rsidR="008F2ADE" w:rsidRPr="00534C5B">
        <w:t xml:space="preserve">A total of </w:t>
      </w:r>
      <w:r w:rsidR="000F63EA">
        <w:t>500 – 5,000</w:t>
      </w:r>
      <w:r w:rsidR="000F63EA" w:rsidRPr="00534C5B">
        <w:t xml:space="preserve"> </w:t>
      </w:r>
      <w:r w:rsidR="008F2ADE" w:rsidRPr="00534C5B">
        <w:t>patients have received adjuvant treatment with nivolumab in the 12 months since the Patient Access Program opened and it was anticipated that all those who were still receiving treatment at the time of PBS listing would be grandfathered onto the PBS.</w:t>
      </w:r>
    </w:p>
    <w:p w:rsidR="008E3C12" w:rsidRPr="00534C5B" w:rsidRDefault="008E3C12" w:rsidP="00AF0867">
      <w:pPr>
        <w:pStyle w:val="3Bodytext"/>
        <w:keepNext/>
        <w:keepLines/>
        <w:numPr>
          <w:ilvl w:val="1"/>
          <w:numId w:val="1"/>
        </w:numPr>
        <w:rPr>
          <w:szCs w:val="24"/>
        </w:rPr>
      </w:pPr>
      <w:r w:rsidRPr="00534C5B">
        <w:rPr>
          <w:szCs w:val="24"/>
        </w:rPr>
        <w:t>The estimated financial impact of listing nivolumab on the</w:t>
      </w:r>
      <w:r w:rsidR="00EE51D4" w:rsidRPr="00534C5B">
        <w:rPr>
          <w:szCs w:val="24"/>
        </w:rPr>
        <w:t xml:space="preserve"> PBS/RPBS </w:t>
      </w:r>
      <w:r w:rsidR="001E7654" w:rsidRPr="00534C5B">
        <w:rPr>
          <w:szCs w:val="24"/>
        </w:rPr>
        <w:t xml:space="preserve">presented in the </w:t>
      </w:r>
      <w:r w:rsidR="0099397D" w:rsidRPr="00534C5B">
        <w:rPr>
          <w:szCs w:val="24"/>
        </w:rPr>
        <w:t>deferral</w:t>
      </w:r>
      <w:r w:rsidR="001E7654" w:rsidRPr="00534C5B">
        <w:rPr>
          <w:szCs w:val="24"/>
        </w:rPr>
        <w:t xml:space="preserve"> </w:t>
      </w:r>
      <w:r w:rsidR="0099397D" w:rsidRPr="00534C5B">
        <w:rPr>
          <w:szCs w:val="24"/>
        </w:rPr>
        <w:t xml:space="preserve">proposal </w:t>
      </w:r>
      <w:r w:rsidR="00EE51D4" w:rsidRPr="00534C5B">
        <w:rPr>
          <w:szCs w:val="24"/>
        </w:rPr>
        <w:t xml:space="preserve">is provided in Table </w:t>
      </w:r>
      <w:r w:rsidR="00AB5085" w:rsidRPr="00534C5B">
        <w:rPr>
          <w:szCs w:val="24"/>
        </w:rPr>
        <w:t>4</w:t>
      </w:r>
      <w:r w:rsidRPr="00534C5B">
        <w:rPr>
          <w:szCs w:val="24"/>
        </w:rPr>
        <w:t>.</w:t>
      </w:r>
      <w:r w:rsidR="000131BF" w:rsidRPr="00534C5B">
        <w:rPr>
          <w:szCs w:val="24"/>
        </w:rPr>
        <w:t xml:space="preserve"> </w:t>
      </w:r>
    </w:p>
    <w:p w:rsidR="007A62F2" w:rsidRPr="00534C5B" w:rsidRDefault="00EE51D4" w:rsidP="00B807DF">
      <w:pPr>
        <w:pStyle w:val="3Bodytext"/>
        <w:keepNext/>
        <w:keepLines/>
        <w:numPr>
          <w:ilvl w:val="0"/>
          <w:numId w:val="0"/>
        </w:numPr>
        <w:spacing w:after="0"/>
        <w:rPr>
          <w:rFonts w:ascii="Arial Narrow" w:hAnsi="Arial Narrow"/>
          <w:b/>
          <w:sz w:val="20"/>
          <w:szCs w:val="20"/>
        </w:rPr>
      </w:pPr>
      <w:r w:rsidRPr="00534C5B">
        <w:rPr>
          <w:rFonts w:ascii="Arial Narrow" w:hAnsi="Arial Narrow"/>
          <w:b/>
          <w:sz w:val="20"/>
          <w:szCs w:val="20"/>
        </w:rPr>
        <w:t xml:space="preserve">Table </w:t>
      </w:r>
      <w:r w:rsidR="00AB5085" w:rsidRPr="00534C5B">
        <w:rPr>
          <w:rFonts w:ascii="Arial Narrow" w:hAnsi="Arial Narrow"/>
          <w:b/>
          <w:sz w:val="20"/>
          <w:szCs w:val="20"/>
        </w:rPr>
        <w:t>4</w:t>
      </w:r>
      <w:r w:rsidR="007A62F2" w:rsidRPr="00534C5B">
        <w:rPr>
          <w:rFonts w:ascii="Arial Narrow" w:hAnsi="Arial Narrow"/>
          <w:b/>
          <w:sz w:val="20"/>
          <w:szCs w:val="20"/>
        </w:rPr>
        <w:t>: Estimated use and financial impact of nivolumab</w:t>
      </w:r>
    </w:p>
    <w:tbl>
      <w:tblPr>
        <w:tblStyle w:val="TableGrid"/>
        <w:tblW w:w="0" w:type="auto"/>
        <w:tblLook w:val="04A0" w:firstRow="1" w:lastRow="0" w:firstColumn="1" w:lastColumn="0" w:noHBand="0" w:noVBand="1"/>
        <w:tblCaption w:val="Table 4: Estimated use and financial impact of nivolumab"/>
      </w:tblPr>
      <w:tblGrid>
        <w:gridCol w:w="2508"/>
        <w:gridCol w:w="1031"/>
        <w:gridCol w:w="1134"/>
        <w:gridCol w:w="1134"/>
        <w:gridCol w:w="1134"/>
        <w:gridCol w:w="1008"/>
        <w:gridCol w:w="1067"/>
      </w:tblGrid>
      <w:tr w:rsidR="001529B6" w:rsidRPr="00534C5B" w:rsidTr="00F15DAD">
        <w:trPr>
          <w:tblHeader/>
        </w:trPr>
        <w:tc>
          <w:tcPr>
            <w:tcW w:w="2508" w:type="dxa"/>
            <w:tcMar>
              <w:left w:w="28" w:type="dxa"/>
              <w:right w:w="28" w:type="dxa"/>
            </w:tcMar>
          </w:tcPr>
          <w:p w:rsidR="008E3C12" w:rsidRPr="00534C5B" w:rsidRDefault="008E3C12" w:rsidP="00B807DF">
            <w:pPr>
              <w:pStyle w:val="3Bodytext"/>
              <w:keepNext/>
              <w:keepLines/>
              <w:numPr>
                <w:ilvl w:val="0"/>
                <w:numId w:val="0"/>
              </w:numPr>
              <w:spacing w:after="0"/>
              <w:jc w:val="left"/>
              <w:rPr>
                <w:rFonts w:ascii="Arial Narrow" w:hAnsi="Arial Narrow"/>
                <w:sz w:val="20"/>
                <w:szCs w:val="20"/>
              </w:rPr>
            </w:pPr>
          </w:p>
        </w:tc>
        <w:tc>
          <w:tcPr>
            <w:tcW w:w="1031" w:type="dxa"/>
            <w:tcMar>
              <w:left w:w="28" w:type="dxa"/>
              <w:right w:w="28" w:type="dxa"/>
            </w:tcMar>
          </w:tcPr>
          <w:p w:rsidR="008E3C12" w:rsidRPr="00534C5B" w:rsidRDefault="008E3C12" w:rsidP="00B807DF">
            <w:pPr>
              <w:pStyle w:val="3Bodytext"/>
              <w:keepNext/>
              <w:keepLines/>
              <w:numPr>
                <w:ilvl w:val="0"/>
                <w:numId w:val="0"/>
              </w:numPr>
              <w:spacing w:after="0"/>
              <w:jc w:val="center"/>
              <w:rPr>
                <w:rFonts w:ascii="Arial Narrow" w:hAnsi="Arial Narrow"/>
                <w:b/>
                <w:sz w:val="20"/>
                <w:szCs w:val="20"/>
              </w:rPr>
            </w:pPr>
            <w:r w:rsidRPr="00534C5B">
              <w:rPr>
                <w:rFonts w:ascii="Arial Narrow" w:hAnsi="Arial Narrow"/>
                <w:b/>
                <w:sz w:val="20"/>
                <w:szCs w:val="20"/>
              </w:rPr>
              <w:t>2020</w:t>
            </w:r>
          </w:p>
        </w:tc>
        <w:tc>
          <w:tcPr>
            <w:tcW w:w="1134" w:type="dxa"/>
            <w:tcMar>
              <w:left w:w="28" w:type="dxa"/>
              <w:right w:w="28" w:type="dxa"/>
            </w:tcMar>
          </w:tcPr>
          <w:p w:rsidR="008E3C12" w:rsidRPr="00534C5B" w:rsidRDefault="008E3C12" w:rsidP="00B807DF">
            <w:pPr>
              <w:pStyle w:val="3Bodytext"/>
              <w:keepNext/>
              <w:keepLines/>
              <w:numPr>
                <w:ilvl w:val="0"/>
                <w:numId w:val="0"/>
              </w:numPr>
              <w:spacing w:after="0"/>
              <w:jc w:val="center"/>
              <w:rPr>
                <w:rFonts w:ascii="Arial Narrow" w:hAnsi="Arial Narrow"/>
                <w:b/>
                <w:sz w:val="20"/>
                <w:szCs w:val="20"/>
              </w:rPr>
            </w:pPr>
            <w:r w:rsidRPr="00534C5B">
              <w:rPr>
                <w:rFonts w:ascii="Arial Narrow" w:hAnsi="Arial Narrow"/>
                <w:b/>
                <w:sz w:val="20"/>
                <w:szCs w:val="20"/>
              </w:rPr>
              <w:t>2021</w:t>
            </w:r>
          </w:p>
        </w:tc>
        <w:tc>
          <w:tcPr>
            <w:tcW w:w="1134" w:type="dxa"/>
            <w:tcMar>
              <w:left w:w="28" w:type="dxa"/>
              <w:right w:w="28" w:type="dxa"/>
            </w:tcMar>
          </w:tcPr>
          <w:p w:rsidR="008E3C12" w:rsidRPr="00534C5B" w:rsidRDefault="008E3C12" w:rsidP="00B807DF">
            <w:pPr>
              <w:pStyle w:val="3Bodytext"/>
              <w:keepNext/>
              <w:keepLines/>
              <w:numPr>
                <w:ilvl w:val="0"/>
                <w:numId w:val="0"/>
              </w:numPr>
              <w:spacing w:after="0"/>
              <w:jc w:val="center"/>
              <w:rPr>
                <w:rFonts w:ascii="Arial Narrow" w:hAnsi="Arial Narrow"/>
                <w:b/>
                <w:sz w:val="20"/>
                <w:szCs w:val="20"/>
              </w:rPr>
            </w:pPr>
            <w:r w:rsidRPr="00534C5B">
              <w:rPr>
                <w:rFonts w:ascii="Arial Narrow" w:hAnsi="Arial Narrow"/>
                <w:b/>
                <w:sz w:val="20"/>
                <w:szCs w:val="20"/>
              </w:rPr>
              <w:t>2022</w:t>
            </w:r>
          </w:p>
        </w:tc>
        <w:tc>
          <w:tcPr>
            <w:tcW w:w="1134" w:type="dxa"/>
            <w:tcMar>
              <w:left w:w="28" w:type="dxa"/>
              <w:right w:w="28" w:type="dxa"/>
            </w:tcMar>
          </w:tcPr>
          <w:p w:rsidR="008E3C12" w:rsidRPr="00534C5B" w:rsidRDefault="008E3C12" w:rsidP="00B807DF">
            <w:pPr>
              <w:pStyle w:val="3Bodytext"/>
              <w:keepNext/>
              <w:keepLines/>
              <w:numPr>
                <w:ilvl w:val="0"/>
                <w:numId w:val="0"/>
              </w:numPr>
              <w:spacing w:after="0"/>
              <w:jc w:val="center"/>
              <w:rPr>
                <w:rFonts w:ascii="Arial Narrow" w:hAnsi="Arial Narrow"/>
                <w:b/>
                <w:sz w:val="20"/>
                <w:szCs w:val="20"/>
              </w:rPr>
            </w:pPr>
            <w:r w:rsidRPr="00534C5B">
              <w:rPr>
                <w:rFonts w:ascii="Arial Narrow" w:hAnsi="Arial Narrow"/>
                <w:b/>
                <w:sz w:val="20"/>
                <w:szCs w:val="20"/>
              </w:rPr>
              <w:t>2023</w:t>
            </w:r>
          </w:p>
        </w:tc>
        <w:tc>
          <w:tcPr>
            <w:tcW w:w="1008" w:type="dxa"/>
            <w:tcMar>
              <w:left w:w="28" w:type="dxa"/>
              <w:right w:w="28" w:type="dxa"/>
            </w:tcMar>
          </w:tcPr>
          <w:p w:rsidR="008E3C12" w:rsidRPr="00534C5B" w:rsidRDefault="008E3C12" w:rsidP="00B807DF">
            <w:pPr>
              <w:pStyle w:val="3Bodytext"/>
              <w:keepNext/>
              <w:keepLines/>
              <w:numPr>
                <w:ilvl w:val="0"/>
                <w:numId w:val="0"/>
              </w:numPr>
              <w:spacing w:after="0"/>
              <w:jc w:val="center"/>
              <w:rPr>
                <w:rFonts w:ascii="Arial Narrow" w:hAnsi="Arial Narrow"/>
                <w:b/>
                <w:sz w:val="20"/>
                <w:szCs w:val="20"/>
              </w:rPr>
            </w:pPr>
            <w:r w:rsidRPr="00534C5B">
              <w:rPr>
                <w:rFonts w:ascii="Arial Narrow" w:hAnsi="Arial Narrow"/>
                <w:b/>
                <w:sz w:val="20"/>
                <w:szCs w:val="20"/>
              </w:rPr>
              <w:t>2024</w:t>
            </w:r>
          </w:p>
        </w:tc>
        <w:tc>
          <w:tcPr>
            <w:tcW w:w="1067" w:type="dxa"/>
            <w:tcMar>
              <w:left w:w="28" w:type="dxa"/>
              <w:right w:w="28" w:type="dxa"/>
            </w:tcMar>
          </w:tcPr>
          <w:p w:rsidR="008E3C12" w:rsidRPr="00534C5B" w:rsidRDefault="008E3C12" w:rsidP="00B807DF">
            <w:pPr>
              <w:pStyle w:val="3Bodytext"/>
              <w:keepNext/>
              <w:keepLines/>
              <w:numPr>
                <w:ilvl w:val="0"/>
                <w:numId w:val="0"/>
              </w:numPr>
              <w:spacing w:after="0"/>
              <w:jc w:val="center"/>
              <w:rPr>
                <w:rFonts w:ascii="Arial Narrow" w:hAnsi="Arial Narrow"/>
                <w:b/>
                <w:sz w:val="20"/>
                <w:szCs w:val="20"/>
              </w:rPr>
            </w:pPr>
            <w:r w:rsidRPr="00534C5B">
              <w:rPr>
                <w:rFonts w:ascii="Arial Narrow" w:hAnsi="Arial Narrow"/>
                <w:b/>
                <w:sz w:val="20"/>
                <w:szCs w:val="20"/>
              </w:rPr>
              <w:t>2025</w:t>
            </w:r>
          </w:p>
        </w:tc>
      </w:tr>
      <w:tr w:rsidR="008E3C12" w:rsidRPr="00534C5B" w:rsidTr="00F15DAD">
        <w:trPr>
          <w:tblHeader/>
        </w:trPr>
        <w:tc>
          <w:tcPr>
            <w:tcW w:w="9016" w:type="dxa"/>
            <w:gridSpan w:val="7"/>
            <w:tcMar>
              <w:left w:w="28" w:type="dxa"/>
              <w:right w:w="28" w:type="dxa"/>
            </w:tcMar>
          </w:tcPr>
          <w:p w:rsidR="008E3C12" w:rsidRPr="00534C5B" w:rsidRDefault="008E3C12" w:rsidP="00B807DF">
            <w:pPr>
              <w:pStyle w:val="3Bodytext"/>
              <w:keepNext/>
              <w:keepLines/>
              <w:numPr>
                <w:ilvl w:val="0"/>
                <w:numId w:val="0"/>
              </w:numPr>
              <w:spacing w:after="0"/>
              <w:jc w:val="left"/>
              <w:rPr>
                <w:rFonts w:ascii="Arial Narrow" w:hAnsi="Arial Narrow"/>
                <w:b/>
                <w:sz w:val="20"/>
                <w:szCs w:val="20"/>
              </w:rPr>
            </w:pPr>
            <w:r w:rsidRPr="00534C5B">
              <w:rPr>
                <w:rFonts w:ascii="Arial Narrow" w:hAnsi="Arial Narrow"/>
                <w:b/>
                <w:sz w:val="20"/>
                <w:szCs w:val="20"/>
              </w:rPr>
              <w:t>July 2019 minor resubmission</w:t>
            </w:r>
          </w:p>
        </w:tc>
      </w:tr>
      <w:tr w:rsidR="001529B6" w:rsidRPr="00534C5B" w:rsidTr="00F15DAD">
        <w:trPr>
          <w:tblHeader/>
        </w:trPr>
        <w:tc>
          <w:tcPr>
            <w:tcW w:w="2508" w:type="dxa"/>
            <w:tcMar>
              <w:left w:w="28" w:type="dxa"/>
              <w:right w:w="28" w:type="dxa"/>
            </w:tcMar>
          </w:tcPr>
          <w:p w:rsidR="000131BF" w:rsidRPr="00534C5B" w:rsidRDefault="000131BF" w:rsidP="00B807DF">
            <w:pPr>
              <w:pStyle w:val="3Bodytext"/>
              <w:keepNext/>
              <w:keepLines/>
              <w:numPr>
                <w:ilvl w:val="0"/>
                <w:numId w:val="0"/>
              </w:numPr>
              <w:spacing w:after="0"/>
              <w:jc w:val="left"/>
              <w:rPr>
                <w:rFonts w:ascii="Arial Narrow" w:hAnsi="Arial Narrow"/>
                <w:sz w:val="20"/>
                <w:szCs w:val="20"/>
              </w:rPr>
            </w:pPr>
            <w:r w:rsidRPr="00534C5B">
              <w:rPr>
                <w:rFonts w:ascii="Arial Narrow" w:hAnsi="Arial Narrow"/>
                <w:sz w:val="20"/>
                <w:szCs w:val="20"/>
              </w:rPr>
              <w:t>Patients treated</w:t>
            </w:r>
          </w:p>
        </w:tc>
        <w:tc>
          <w:tcPr>
            <w:tcW w:w="1031" w:type="dxa"/>
            <w:tcMar>
              <w:left w:w="28" w:type="dxa"/>
              <w:right w:w="28" w:type="dxa"/>
            </w:tcMar>
          </w:tcPr>
          <w:p w:rsidR="008E3C12" w:rsidRPr="00653477" w:rsidRDefault="00653477" w:rsidP="00B807DF">
            <w:pPr>
              <w:pStyle w:val="3Bodytext"/>
              <w:keepNext/>
              <w:keepLines/>
              <w:numPr>
                <w:ilvl w:val="0"/>
                <w:numId w:val="0"/>
              </w:numPr>
              <w:spacing w:after="0"/>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134" w:type="dxa"/>
            <w:tcMar>
              <w:left w:w="28" w:type="dxa"/>
              <w:right w:w="28" w:type="dxa"/>
            </w:tcMar>
          </w:tcPr>
          <w:p w:rsidR="008E3C12" w:rsidRPr="00653477" w:rsidRDefault="00653477" w:rsidP="00B807DF">
            <w:pPr>
              <w:pStyle w:val="3Bodytext"/>
              <w:keepNext/>
              <w:keepLines/>
              <w:numPr>
                <w:ilvl w:val="0"/>
                <w:numId w:val="0"/>
              </w:numPr>
              <w:spacing w:after="0"/>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134" w:type="dxa"/>
            <w:tcMar>
              <w:left w:w="28" w:type="dxa"/>
              <w:right w:w="28" w:type="dxa"/>
            </w:tcMar>
          </w:tcPr>
          <w:p w:rsidR="008E3C12" w:rsidRPr="00653477" w:rsidRDefault="00653477" w:rsidP="00B807DF">
            <w:pPr>
              <w:pStyle w:val="3Bodytext"/>
              <w:keepNext/>
              <w:keepLines/>
              <w:numPr>
                <w:ilvl w:val="0"/>
                <w:numId w:val="0"/>
              </w:numPr>
              <w:spacing w:after="0"/>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134" w:type="dxa"/>
            <w:tcMar>
              <w:left w:w="28" w:type="dxa"/>
              <w:right w:w="28" w:type="dxa"/>
            </w:tcMar>
          </w:tcPr>
          <w:p w:rsidR="008E3C12" w:rsidRPr="00653477" w:rsidRDefault="00653477" w:rsidP="00B807DF">
            <w:pPr>
              <w:pStyle w:val="3Bodytext"/>
              <w:keepNext/>
              <w:keepLines/>
              <w:numPr>
                <w:ilvl w:val="0"/>
                <w:numId w:val="0"/>
              </w:numPr>
              <w:spacing w:after="0"/>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008" w:type="dxa"/>
            <w:tcMar>
              <w:left w:w="28" w:type="dxa"/>
              <w:right w:w="28" w:type="dxa"/>
            </w:tcMar>
          </w:tcPr>
          <w:p w:rsidR="008E3C12" w:rsidRPr="00653477" w:rsidRDefault="00653477" w:rsidP="00B807DF">
            <w:pPr>
              <w:pStyle w:val="3Bodytext"/>
              <w:keepNext/>
              <w:keepLines/>
              <w:numPr>
                <w:ilvl w:val="0"/>
                <w:numId w:val="0"/>
              </w:numPr>
              <w:spacing w:after="0"/>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067" w:type="dxa"/>
            <w:tcMar>
              <w:left w:w="28" w:type="dxa"/>
              <w:right w:w="28" w:type="dxa"/>
            </w:tcMar>
          </w:tcPr>
          <w:p w:rsidR="008E3C12" w:rsidRPr="00653477" w:rsidRDefault="00653477" w:rsidP="00B807DF">
            <w:pPr>
              <w:pStyle w:val="3Bodytext"/>
              <w:keepNext/>
              <w:keepLines/>
              <w:numPr>
                <w:ilvl w:val="0"/>
                <w:numId w:val="0"/>
              </w:numPr>
              <w:spacing w:after="0"/>
              <w:jc w:val="center"/>
              <w:rPr>
                <w:rFonts w:ascii="Arial Narrow" w:hAnsi="Arial Narrow"/>
                <w:sz w:val="20"/>
                <w:szCs w:val="20"/>
                <w:highlight w:val="black"/>
              </w:rPr>
            </w:pPr>
            <w:r>
              <w:rPr>
                <w:rFonts w:ascii="Arial Narrow" w:hAnsi="Arial Narrow"/>
                <w:noProof/>
                <w:color w:val="000000"/>
                <w:sz w:val="20"/>
                <w:szCs w:val="20"/>
                <w:highlight w:val="black"/>
              </w:rPr>
              <w:t>''''''''''''''</w:t>
            </w:r>
          </w:p>
        </w:tc>
      </w:tr>
      <w:tr w:rsidR="001529B6" w:rsidRPr="00534C5B" w:rsidTr="00F15DAD">
        <w:trPr>
          <w:tblHeader/>
        </w:trPr>
        <w:tc>
          <w:tcPr>
            <w:tcW w:w="2508" w:type="dxa"/>
            <w:tcMar>
              <w:left w:w="28" w:type="dxa"/>
              <w:right w:w="28" w:type="dxa"/>
            </w:tcMar>
          </w:tcPr>
          <w:p w:rsidR="008E3C12" w:rsidRPr="00534C5B" w:rsidRDefault="000131BF" w:rsidP="00B807DF">
            <w:pPr>
              <w:pStyle w:val="3Bodytext"/>
              <w:keepNext/>
              <w:keepLines/>
              <w:numPr>
                <w:ilvl w:val="0"/>
                <w:numId w:val="0"/>
              </w:numPr>
              <w:spacing w:after="0"/>
              <w:jc w:val="left"/>
              <w:rPr>
                <w:rFonts w:ascii="Arial Narrow" w:hAnsi="Arial Narrow"/>
                <w:sz w:val="20"/>
                <w:szCs w:val="20"/>
              </w:rPr>
            </w:pPr>
            <w:r w:rsidRPr="00534C5B">
              <w:rPr>
                <w:rFonts w:ascii="Arial Narrow" w:hAnsi="Arial Narrow"/>
                <w:sz w:val="20"/>
                <w:szCs w:val="20"/>
              </w:rPr>
              <w:t>Net effective cost to PBS/RPBS</w:t>
            </w:r>
            <w:r w:rsidRPr="00534C5B">
              <w:rPr>
                <w:rFonts w:ascii="Arial Narrow" w:hAnsi="Arial Narrow"/>
                <w:sz w:val="20"/>
                <w:szCs w:val="20"/>
                <w:vertAlign w:val="superscript"/>
              </w:rPr>
              <w:t>a</w:t>
            </w:r>
          </w:p>
        </w:tc>
        <w:tc>
          <w:tcPr>
            <w:tcW w:w="1031" w:type="dxa"/>
            <w:tcMar>
              <w:left w:w="28" w:type="dxa"/>
              <w:right w:w="28" w:type="dxa"/>
            </w:tcMar>
            <w:vAlign w:val="center"/>
          </w:tcPr>
          <w:p w:rsidR="008E3C12" w:rsidRPr="00653477" w:rsidRDefault="00653477" w:rsidP="00B807DF">
            <w:pPr>
              <w:pStyle w:val="3Bodytext"/>
              <w:keepNext/>
              <w:keepLines/>
              <w:numPr>
                <w:ilvl w:val="0"/>
                <w:numId w:val="0"/>
              </w:numPr>
              <w:spacing w:after="0"/>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134" w:type="dxa"/>
            <w:tcMar>
              <w:left w:w="28" w:type="dxa"/>
              <w:right w:w="28" w:type="dxa"/>
            </w:tcMar>
            <w:vAlign w:val="center"/>
          </w:tcPr>
          <w:p w:rsidR="008E3C12" w:rsidRPr="00653477" w:rsidRDefault="00653477" w:rsidP="00B807DF">
            <w:pPr>
              <w:pStyle w:val="3Bodytext"/>
              <w:keepNext/>
              <w:keepLines/>
              <w:numPr>
                <w:ilvl w:val="0"/>
                <w:numId w:val="0"/>
              </w:numPr>
              <w:spacing w:after="0"/>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134" w:type="dxa"/>
            <w:tcMar>
              <w:left w:w="28" w:type="dxa"/>
              <w:right w:w="28" w:type="dxa"/>
            </w:tcMar>
            <w:vAlign w:val="center"/>
          </w:tcPr>
          <w:p w:rsidR="008E3C12" w:rsidRPr="00653477" w:rsidRDefault="00653477" w:rsidP="00B807DF">
            <w:pPr>
              <w:pStyle w:val="3Bodytext"/>
              <w:keepNext/>
              <w:keepLines/>
              <w:numPr>
                <w:ilvl w:val="0"/>
                <w:numId w:val="0"/>
              </w:numPr>
              <w:spacing w:after="0"/>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134" w:type="dxa"/>
            <w:tcMar>
              <w:left w:w="28" w:type="dxa"/>
              <w:right w:w="28" w:type="dxa"/>
            </w:tcMar>
            <w:vAlign w:val="center"/>
          </w:tcPr>
          <w:p w:rsidR="008E3C12" w:rsidRPr="00653477" w:rsidRDefault="00653477" w:rsidP="00B807DF">
            <w:pPr>
              <w:pStyle w:val="3Bodytext"/>
              <w:keepNext/>
              <w:keepLines/>
              <w:numPr>
                <w:ilvl w:val="0"/>
                <w:numId w:val="0"/>
              </w:numPr>
              <w:spacing w:after="0"/>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008" w:type="dxa"/>
            <w:tcMar>
              <w:left w:w="28" w:type="dxa"/>
              <w:right w:w="28" w:type="dxa"/>
            </w:tcMar>
            <w:vAlign w:val="center"/>
          </w:tcPr>
          <w:p w:rsidR="008E3C12" w:rsidRPr="00653477" w:rsidRDefault="00653477" w:rsidP="00B807DF">
            <w:pPr>
              <w:pStyle w:val="3Bodytext"/>
              <w:keepNext/>
              <w:keepLines/>
              <w:numPr>
                <w:ilvl w:val="0"/>
                <w:numId w:val="0"/>
              </w:numPr>
              <w:spacing w:after="0"/>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067" w:type="dxa"/>
            <w:tcMar>
              <w:left w:w="28" w:type="dxa"/>
              <w:right w:w="28" w:type="dxa"/>
            </w:tcMar>
            <w:vAlign w:val="center"/>
          </w:tcPr>
          <w:p w:rsidR="008E3C12" w:rsidRPr="00653477" w:rsidRDefault="00653477" w:rsidP="00B807DF">
            <w:pPr>
              <w:pStyle w:val="3Bodytext"/>
              <w:keepNext/>
              <w:keepLines/>
              <w:numPr>
                <w:ilvl w:val="0"/>
                <w:numId w:val="0"/>
              </w:numPr>
              <w:spacing w:after="0"/>
              <w:jc w:val="center"/>
              <w:rPr>
                <w:rFonts w:ascii="Arial Narrow" w:hAnsi="Arial Narrow"/>
                <w:sz w:val="20"/>
                <w:szCs w:val="20"/>
                <w:highlight w:val="black"/>
              </w:rPr>
            </w:pPr>
            <w:r>
              <w:rPr>
                <w:rFonts w:ascii="Arial Narrow" w:hAnsi="Arial Narrow"/>
                <w:noProof/>
                <w:color w:val="000000"/>
                <w:sz w:val="20"/>
                <w:szCs w:val="20"/>
                <w:highlight w:val="black"/>
              </w:rPr>
              <w:t>'''''''''''''''''''''''''''''</w:t>
            </w:r>
          </w:p>
        </w:tc>
      </w:tr>
      <w:tr w:rsidR="008E3C12" w:rsidRPr="00534C5B" w:rsidTr="00F15DAD">
        <w:trPr>
          <w:tblHeader/>
        </w:trPr>
        <w:tc>
          <w:tcPr>
            <w:tcW w:w="9016" w:type="dxa"/>
            <w:gridSpan w:val="7"/>
            <w:tcMar>
              <w:left w:w="28" w:type="dxa"/>
              <w:right w:w="28" w:type="dxa"/>
            </w:tcMar>
          </w:tcPr>
          <w:p w:rsidR="008E3C12" w:rsidRPr="00534C5B" w:rsidRDefault="005F67A5" w:rsidP="005F67A5">
            <w:pPr>
              <w:pStyle w:val="3Bodytext"/>
              <w:keepNext/>
              <w:keepLines/>
              <w:numPr>
                <w:ilvl w:val="0"/>
                <w:numId w:val="0"/>
              </w:numPr>
              <w:spacing w:after="0"/>
              <w:jc w:val="left"/>
              <w:rPr>
                <w:rFonts w:ascii="Arial Narrow" w:hAnsi="Arial Narrow"/>
                <w:b/>
                <w:sz w:val="20"/>
                <w:szCs w:val="20"/>
              </w:rPr>
            </w:pPr>
            <w:r w:rsidRPr="00534C5B">
              <w:rPr>
                <w:rFonts w:ascii="Arial Narrow" w:hAnsi="Arial Narrow"/>
                <w:b/>
                <w:sz w:val="20"/>
                <w:szCs w:val="20"/>
              </w:rPr>
              <w:t xml:space="preserve">November </w:t>
            </w:r>
            <w:r w:rsidR="008E3C12" w:rsidRPr="00534C5B">
              <w:rPr>
                <w:rFonts w:ascii="Arial Narrow" w:hAnsi="Arial Narrow"/>
                <w:b/>
                <w:sz w:val="20"/>
                <w:szCs w:val="20"/>
              </w:rPr>
              <w:t xml:space="preserve">2019 </w:t>
            </w:r>
            <w:r w:rsidR="001039A6" w:rsidRPr="00534C5B">
              <w:rPr>
                <w:rFonts w:ascii="Arial Narrow" w:hAnsi="Arial Narrow"/>
                <w:b/>
                <w:sz w:val="20"/>
                <w:szCs w:val="20"/>
              </w:rPr>
              <w:t xml:space="preserve">deferral </w:t>
            </w:r>
            <w:r w:rsidR="008E3C12" w:rsidRPr="00534C5B">
              <w:rPr>
                <w:rFonts w:ascii="Arial Narrow" w:hAnsi="Arial Narrow"/>
                <w:b/>
                <w:sz w:val="20"/>
                <w:szCs w:val="20"/>
              </w:rPr>
              <w:t>proposal</w:t>
            </w:r>
          </w:p>
        </w:tc>
      </w:tr>
      <w:tr w:rsidR="001529B6" w:rsidRPr="00534C5B" w:rsidTr="00F15DAD">
        <w:trPr>
          <w:tblHeader/>
        </w:trPr>
        <w:tc>
          <w:tcPr>
            <w:tcW w:w="2508" w:type="dxa"/>
            <w:tcMar>
              <w:left w:w="28" w:type="dxa"/>
              <w:right w:w="28" w:type="dxa"/>
            </w:tcMar>
          </w:tcPr>
          <w:p w:rsidR="000131BF" w:rsidRPr="00534C5B" w:rsidRDefault="000131BF" w:rsidP="00B807DF">
            <w:pPr>
              <w:pStyle w:val="3Bodytext"/>
              <w:keepNext/>
              <w:keepLines/>
              <w:numPr>
                <w:ilvl w:val="0"/>
                <w:numId w:val="0"/>
              </w:numPr>
              <w:spacing w:after="0"/>
              <w:jc w:val="left"/>
              <w:rPr>
                <w:rFonts w:ascii="Arial Narrow" w:hAnsi="Arial Narrow"/>
                <w:sz w:val="20"/>
                <w:szCs w:val="20"/>
              </w:rPr>
            </w:pPr>
            <w:r w:rsidRPr="00534C5B">
              <w:rPr>
                <w:rFonts w:ascii="Arial Narrow" w:hAnsi="Arial Narrow"/>
                <w:sz w:val="20"/>
                <w:szCs w:val="20"/>
              </w:rPr>
              <w:t>Patients treated</w:t>
            </w:r>
          </w:p>
        </w:tc>
        <w:tc>
          <w:tcPr>
            <w:tcW w:w="1031" w:type="dxa"/>
            <w:tcMar>
              <w:left w:w="28" w:type="dxa"/>
              <w:right w:w="28" w:type="dxa"/>
            </w:tcMar>
          </w:tcPr>
          <w:p w:rsidR="000131BF" w:rsidRPr="00653477" w:rsidRDefault="00653477" w:rsidP="00B807DF">
            <w:pPr>
              <w:pStyle w:val="3Bodytext"/>
              <w:keepNext/>
              <w:keepLines/>
              <w:numPr>
                <w:ilvl w:val="0"/>
                <w:numId w:val="0"/>
              </w:numPr>
              <w:spacing w:after="0"/>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134" w:type="dxa"/>
            <w:tcMar>
              <w:left w:w="28" w:type="dxa"/>
              <w:right w:w="28" w:type="dxa"/>
            </w:tcMar>
          </w:tcPr>
          <w:p w:rsidR="000131BF" w:rsidRPr="00653477" w:rsidRDefault="00653477" w:rsidP="00B807DF">
            <w:pPr>
              <w:pStyle w:val="3Bodytext"/>
              <w:keepNext/>
              <w:keepLines/>
              <w:numPr>
                <w:ilvl w:val="0"/>
                <w:numId w:val="0"/>
              </w:numPr>
              <w:spacing w:after="0"/>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134" w:type="dxa"/>
            <w:tcMar>
              <w:left w:w="28" w:type="dxa"/>
              <w:right w:w="28" w:type="dxa"/>
            </w:tcMar>
          </w:tcPr>
          <w:p w:rsidR="000131BF" w:rsidRPr="00653477" w:rsidRDefault="00653477" w:rsidP="00B807DF">
            <w:pPr>
              <w:pStyle w:val="3Bodytext"/>
              <w:keepNext/>
              <w:keepLines/>
              <w:numPr>
                <w:ilvl w:val="0"/>
                <w:numId w:val="0"/>
              </w:numPr>
              <w:spacing w:after="0"/>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134" w:type="dxa"/>
            <w:tcMar>
              <w:left w:w="28" w:type="dxa"/>
              <w:right w:w="28" w:type="dxa"/>
            </w:tcMar>
          </w:tcPr>
          <w:p w:rsidR="000131BF" w:rsidRPr="00653477" w:rsidRDefault="00653477" w:rsidP="00B807DF">
            <w:pPr>
              <w:pStyle w:val="3Bodytext"/>
              <w:keepNext/>
              <w:keepLines/>
              <w:numPr>
                <w:ilvl w:val="0"/>
                <w:numId w:val="0"/>
              </w:numPr>
              <w:spacing w:after="0"/>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008" w:type="dxa"/>
            <w:tcMar>
              <w:left w:w="28" w:type="dxa"/>
              <w:right w:w="28" w:type="dxa"/>
            </w:tcMar>
          </w:tcPr>
          <w:p w:rsidR="000131BF" w:rsidRPr="00653477" w:rsidRDefault="00653477" w:rsidP="00B807DF">
            <w:pPr>
              <w:pStyle w:val="3Bodytext"/>
              <w:keepNext/>
              <w:keepLines/>
              <w:numPr>
                <w:ilvl w:val="0"/>
                <w:numId w:val="0"/>
              </w:numPr>
              <w:spacing w:after="0"/>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067" w:type="dxa"/>
            <w:tcMar>
              <w:left w:w="28" w:type="dxa"/>
              <w:right w:w="28" w:type="dxa"/>
            </w:tcMar>
          </w:tcPr>
          <w:p w:rsidR="000131BF" w:rsidRPr="00653477" w:rsidRDefault="00653477" w:rsidP="00B807DF">
            <w:pPr>
              <w:pStyle w:val="3Bodytext"/>
              <w:keepNext/>
              <w:keepLines/>
              <w:numPr>
                <w:ilvl w:val="0"/>
                <w:numId w:val="0"/>
              </w:numPr>
              <w:spacing w:after="0"/>
              <w:jc w:val="center"/>
              <w:rPr>
                <w:rFonts w:ascii="Arial Narrow" w:hAnsi="Arial Narrow"/>
                <w:sz w:val="20"/>
                <w:szCs w:val="20"/>
                <w:highlight w:val="black"/>
              </w:rPr>
            </w:pPr>
            <w:r>
              <w:rPr>
                <w:rFonts w:ascii="Arial Narrow" w:hAnsi="Arial Narrow"/>
                <w:noProof/>
                <w:color w:val="000000"/>
                <w:sz w:val="20"/>
                <w:szCs w:val="20"/>
                <w:highlight w:val="black"/>
              </w:rPr>
              <w:t>''''''''''''''</w:t>
            </w:r>
          </w:p>
        </w:tc>
      </w:tr>
      <w:tr w:rsidR="001529B6" w:rsidRPr="00534C5B" w:rsidTr="00F15DAD">
        <w:trPr>
          <w:tblHeader/>
        </w:trPr>
        <w:tc>
          <w:tcPr>
            <w:tcW w:w="2508" w:type="dxa"/>
            <w:tcMar>
              <w:left w:w="28" w:type="dxa"/>
              <w:right w:w="28" w:type="dxa"/>
            </w:tcMar>
          </w:tcPr>
          <w:p w:rsidR="000131BF" w:rsidRPr="00534C5B" w:rsidRDefault="000131BF" w:rsidP="00B807DF">
            <w:pPr>
              <w:pStyle w:val="3Bodytext"/>
              <w:keepNext/>
              <w:keepLines/>
              <w:numPr>
                <w:ilvl w:val="0"/>
                <w:numId w:val="0"/>
              </w:numPr>
              <w:spacing w:after="0"/>
              <w:jc w:val="left"/>
              <w:rPr>
                <w:rFonts w:ascii="Arial Narrow" w:hAnsi="Arial Narrow"/>
                <w:sz w:val="20"/>
                <w:szCs w:val="20"/>
              </w:rPr>
            </w:pPr>
            <w:r w:rsidRPr="00534C5B">
              <w:rPr>
                <w:rFonts w:ascii="Arial Narrow" w:hAnsi="Arial Narrow"/>
                <w:sz w:val="20"/>
                <w:szCs w:val="20"/>
              </w:rPr>
              <w:t>Net effective cost to PBS/RPBS</w:t>
            </w:r>
            <w:r w:rsidRPr="00534C5B">
              <w:rPr>
                <w:rFonts w:ascii="Arial Narrow" w:hAnsi="Arial Narrow"/>
                <w:sz w:val="20"/>
                <w:szCs w:val="20"/>
                <w:vertAlign w:val="superscript"/>
              </w:rPr>
              <w:t>b</w:t>
            </w:r>
          </w:p>
        </w:tc>
        <w:tc>
          <w:tcPr>
            <w:tcW w:w="1031" w:type="dxa"/>
            <w:tcMar>
              <w:left w:w="28" w:type="dxa"/>
              <w:right w:w="28" w:type="dxa"/>
            </w:tcMar>
            <w:vAlign w:val="center"/>
          </w:tcPr>
          <w:p w:rsidR="000131BF" w:rsidRPr="00653477" w:rsidRDefault="00653477" w:rsidP="00B807DF">
            <w:pPr>
              <w:pStyle w:val="3Bodytext"/>
              <w:keepNext/>
              <w:keepLines/>
              <w:numPr>
                <w:ilvl w:val="0"/>
                <w:numId w:val="0"/>
              </w:numPr>
              <w:spacing w:after="0"/>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134" w:type="dxa"/>
            <w:tcMar>
              <w:left w:w="28" w:type="dxa"/>
              <w:right w:w="28" w:type="dxa"/>
            </w:tcMar>
            <w:vAlign w:val="center"/>
          </w:tcPr>
          <w:p w:rsidR="000131BF" w:rsidRPr="00653477" w:rsidRDefault="00653477" w:rsidP="00B807DF">
            <w:pPr>
              <w:pStyle w:val="3Bodytext"/>
              <w:keepNext/>
              <w:keepLines/>
              <w:numPr>
                <w:ilvl w:val="0"/>
                <w:numId w:val="0"/>
              </w:numPr>
              <w:spacing w:after="0"/>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134" w:type="dxa"/>
            <w:tcMar>
              <w:left w:w="28" w:type="dxa"/>
              <w:right w:w="28" w:type="dxa"/>
            </w:tcMar>
            <w:vAlign w:val="center"/>
          </w:tcPr>
          <w:p w:rsidR="000131BF" w:rsidRPr="00653477" w:rsidRDefault="00653477" w:rsidP="00B807DF">
            <w:pPr>
              <w:pStyle w:val="3Bodytext"/>
              <w:keepNext/>
              <w:keepLines/>
              <w:numPr>
                <w:ilvl w:val="0"/>
                <w:numId w:val="0"/>
              </w:numPr>
              <w:spacing w:after="0"/>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134" w:type="dxa"/>
            <w:tcMar>
              <w:left w:w="28" w:type="dxa"/>
              <w:right w:w="28" w:type="dxa"/>
            </w:tcMar>
            <w:vAlign w:val="center"/>
          </w:tcPr>
          <w:p w:rsidR="000131BF" w:rsidRPr="00653477" w:rsidRDefault="00653477" w:rsidP="00B807DF">
            <w:pPr>
              <w:pStyle w:val="3Bodytext"/>
              <w:keepNext/>
              <w:keepLines/>
              <w:numPr>
                <w:ilvl w:val="0"/>
                <w:numId w:val="0"/>
              </w:numPr>
              <w:spacing w:after="0"/>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008" w:type="dxa"/>
            <w:tcMar>
              <w:left w:w="28" w:type="dxa"/>
              <w:right w:w="28" w:type="dxa"/>
            </w:tcMar>
            <w:vAlign w:val="center"/>
          </w:tcPr>
          <w:p w:rsidR="000131BF" w:rsidRPr="00653477" w:rsidRDefault="00653477" w:rsidP="00B807DF">
            <w:pPr>
              <w:pStyle w:val="3Bodytext"/>
              <w:keepNext/>
              <w:keepLines/>
              <w:numPr>
                <w:ilvl w:val="0"/>
                <w:numId w:val="0"/>
              </w:numPr>
              <w:spacing w:after="0"/>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067" w:type="dxa"/>
            <w:tcMar>
              <w:left w:w="28" w:type="dxa"/>
              <w:right w:w="28" w:type="dxa"/>
            </w:tcMar>
            <w:vAlign w:val="center"/>
          </w:tcPr>
          <w:p w:rsidR="000131BF" w:rsidRPr="00653477" w:rsidRDefault="00653477" w:rsidP="00B807DF">
            <w:pPr>
              <w:pStyle w:val="3Bodytext"/>
              <w:keepNext/>
              <w:keepLines/>
              <w:numPr>
                <w:ilvl w:val="0"/>
                <w:numId w:val="0"/>
              </w:numPr>
              <w:spacing w:after="0"/>
              <w:jc w:val="center"/>
              <w:rPr>
                <w:rFonts w:ascii="Arial Narrow" w:hAnsi="Arial Narrow"/>
                <w:sz w:val="20"/>
                <w:szCs w:val="20"/>
                <w:highlight w:val="black"/>
              </w:rPr>
            </w:pPr>
            <w:r>
              <w:rPr>
                <w:rFonts w:ascii="Arial Narrow" w:hAnsi="Arial Narrow"/>
                <w:noProof/>
                <w:color w:val="000000"/>
                <w:sz w:val="20"/>
                <w:szCs w:val="20"/>
                <w:highlight w:val="black"/>
              </w:rPr>
              <w:t>''''''''''''''''''''''''''''''</w:t>
            </w:r>
          </w:p>
        </w:tc>
      </w:tr>
    </w:tbl>
    <w:p w:rsidR="008E3C12" w:rsidRPr="00534C5B" w:rsidRDefault="000131BF" w:rsidP="000131BF">
      <w:pPr>
        <w:pStyle w:val="3Bodytext"/>
        <w:numPr>
          <w:ilvl w:val="0"/>
          <w:numId w:val="0"/>
        </w:numPr>
        <w:spacing w:after="0"/>
        <w:rPr>
          <w:rFonts w:ascii="Arial Narrow" w:hAnsi="Arial Narrow"/>
          <w:sz w:val="18"/>
          <w:szCs w:val="18"/>
        </w:rPr>
      </w:pPr>
      <w:r w:rsidRPr="00534C5B">
        <w:rPr>
          <w:rFonts w:ascii="Arial Narrow" w:hAnsi="Arial Narrow"/>
          <w:sz w:val="18"/>
          <w:szCs w:val="18"/>
        </w:rPr>
        <w:t>PBS = Pharmaceutical Benefits Advisory Committee; RPBS = Repatriation Pharmaceutical Benefits Advisory Committee</w:t>
      </w:r>
    </w:p>
    <w:p w:rsidR="000131BF" w:rsidRPr="00534C5B" w:rsidRDefault="000131BF" w:rsidP="000131BF">
      <w:pPr>
        <w:pStyle w:val="3Bodytext"/>
        <w:numPr>
          <w:ilvl w:val="0"/>
          <w:numId w:val="0"/>
        </w:numPr>
        <w:spacing w:after="0"/>
        <w:rPr>
          <w:rFonts w:ascii="Arial Narrow" w:hAnsi="Arial Narrow"/>
          <w:sz w:val="18"/>
          <w:szCs w:val="18"/>
        </w:rPr>
      </w:pPr>
      <w:r w:rsidRPr="00534C5B">
        <w:rPr>
          <w:rFonts w:ascii="Arial Narrow" w:hAnsi="Arial Narrow"/>
          <w:sz w:val="18"/>
          <w:szCs w:val="18"/>
          <w:vertAlign w:val="superscript"/>
        </w:rPr>
        <w:t>a</w:t>
      </w:r>
      <w:r w:rsidRPr="00534C5B">
        <w:rPr>
          <w:rFonts w:ascii="Arial Narrow" w:hAnsi="Arial Narrow"/>
          <w:sz w:val="18"/>
          <w:szCs w:val="18"/>
        </w:rPr>
        <w:t xml:space="preserve"> Based on a mean dose per infusion of 253.99 mg</w:t>
      </w:r>
    </w:p>
    <w:p w:rsidR="000131BF" w:rsidRPr="00534C5B" w:rsidRDefault="000131BF" w:rsidP="000131BF">
      <w:pPr>
        <w:pStyle w:val="3Bodytext"/>
        <w:numPr>
          <w:ilvl w:val="0"/>
          <w:numId w:val="0"/>
        </w:numPr>
        <w:spacing w:after="0"/>
        <w:rPr>
          <w:rFonts w:ascii="Arial Narrow" w:hAnsi="Arial Narrow"/>
          <w:sz w:val="18"/>
          <w:szCs w:val="18"/>
        </w:rPr>
      </w:pPr>
      <w:r w:rsidRPr="00534C5B">
        <w:rPr>
          <w:rFonts w:ascii="Arial Narrow" w:hAnsi="Arial Narrow"/>
          <w:sz w:val="18"/>
          <w:szCs w:val="18"/>
          <w:vertAlign w:val="superscript"/>
        </w:rPr>
        <w:t xml:space="preserve">b </w:t>
      </w:r>
      <w:r w:rsidRPr="00534C5B">
        <w:rPr>
          <w:rFonts w:ascii="Arial Narrow" w:hAnsi="Arial Narrow"/>
          <w:sz w:val="18"/>
          <w:szCs w:val="18"/>
        </w:rPr>
        <w:t>Based on 5% of patients receiving 3 mg/kg (mean dose of 253.99 mg) Q2W, 47% receiving 240 mg Q2W and 48% receiving 480 mg Q4W</w:t>
      </w:r>
    </w:p>
    <w:p w:rsidR="001529B6" w:rsidRDefault="000131BF" w:rsidP="005F7EFA">
      <w:pPr>
        <w:pStyle w:val="3Bodytext"/>
        <w:numPr>
          <w:ilvl w:val="0"/>
          <w:numId w:val="0"/>
        </w:numPr>
        <w:spacing w:after="0"/>
        <w:rPr>
          <w:rFonts w:ascii="Arial Narrow" w:hAnsi="Arial Narrow"/>
          <w:sz w:val="18"/>
          <w:szCs w:val="18"/>
        </w:rPr>
      </w:pPr>
      <w:r w:rsidRPr="00534C5B">
        <w:rPr>
          <w:rFonts w:ascii="Arial Narrow" w:hAnsi="Arial Narrow"/>
          <w:sz w:val="18"/>
          <w:szCs w:val="18"/>
        </w:rPr>
        <w:t>Sou</w:t>
      </w:r>
      <w:r w:rsidR="001529B6" w:rsidRPr="00534C5B">
        <w:rPr>
          <w:rFonts w:ascii="Arial Narrow" w:hAnsi="Arial Narrow"/>
          <w:sz w:val="18"/>
          <w:szCs w:val="18"/>
        </w:rPr>
        <w:t>r</w:t>
      </w:r>
      <w:r w:rsidRPr="00534C5B">
        <w:rPr>
          <w:rFonts w:ascii="Arial Narrow" w:hAnsi="Arial Narrow"/>
          <w:sz w:val="18"/>
          <w:szCs w:val="18"/>
        </w:rPr>
        <w:t>ce: Table 6, p5 of the August 2019 nivolumab proposal</w:t>
      </w:r>
    </w:p>
    <w:p w:rsidR="00F355C9" w:rsidRDefault="00F355C9" w:rsidP="005F7EFA">
      <w:pPr>
        <w:pStyle w:val="3Bodytext"/>
        <w:numPr>
          <w:ilvl w:val="0"/>
          <w:numId w:val="0"/>
        </w:numPr>
        <w:spacing w:after="0"/>
        <w:rPr>
          <w:rFonts w:cstheme="minorHAnsi"/>
          <w:szCs w:val="24"/>
        </w:rPr>
      </w:pPr>
    </w:p>
    <w:p w:rsidR="00F355C9" w:rsidRPr="00963809" w:rsidRDefault="00F355C9" w:rsidP="00963809">
      <w:pPr>
        <w:jc w:val="both"/>
        <w:rPr>
          <w:rFonts w:asciiTheme="minorHAnsi" w:hAnsiTheme="minorHAnsi" w:cs="Arial"/>
        </w:rPr>
      </w:pPr>
      <w:r w:rsidRPr="00F355C9">
        <w:rPr>
          <w:rFonts w:asciiTheme="minorHAnsi" w:hAnsiTheme="minorHAnsi" w:cs="Arial"/>
        </w:rPr>
        <w:t>The redacted table shows that at Year 6, the estimat</w:t>
      </w:r>
      <w:r>
        <w:rPr>
          <w:rFonts w:asciiTheme="minorHAnsi" w:hAnsiTheme="minorHAnsi" w:cs="Arial"/>
        </w:rPr>
        <w:t xml:space="preserve">ed number of patients was </w:t>
      </w:r>
      <w:r w:rsidRPr="00F355C9">
        <w:rPr>
          <w:rFonts w:asciiTheme="minorHAnsi" w:hAnsiTheme="minorHAnsi" w:cs="Arial"/>
        </w:rPr>
        <w:t xml:space="preserve"> </w:t>
      </w:r>
      <w:r>
        <w:rPr>
          <w:rFonts w:asciiTheme="minorHAnsi" w:hAnsiTheme="minorHAnsi" w:cs="Arial"/>
        </w:rPr>
        <w:t xml:space="preserve">500 – 5,000 </w:t>
      </w:r>
      <w:r w:rsidRPr="00F355C9">
        <w:rPr>
          <w:rFonts w:asciiTheme="minorHAnsi" w:hAnsiTheme="minorHAnsi" w:cs="Arial"/>
        </w:rPr>
        <w:t>and th</w:t>
      </w:r>
      <w:r>
        <w:rPr>
          <w:rFonts w:asciiTheme="minorHAnsi" w:hAnsiTheme="minorHAnsi" w:cs="Arial"/>
        </w:rPr>
        <w:t>e net cost to the PBS would be $60 - $70 million (July 2019 minor submission) and $40</w:t>
      </w:r>
      <w:r w:rsidR="00963809">
        <w:rPr>
          <w:rFonts w:asciiTheme="minorHAnsi" w:hAnsiTheme="minorHAnsi" w:cs="Arial"/>
        </w:rPr>
        <w:t xml:space="preserve"> - $50 million (November 2019).</w:t>
      </w:r>
    </w:p>
    <w:p w:rsidR="005F7EFA" w:rsidRPr="00534C5B" w:rsidRDefault="005F7EFA" w:rsidP="005F7EFA">
      <w:pPr>
        <w:pStyle w:val="Heading2"/>
        <w:spacing w:before="240" w:after="120"/>
        <w:rPr>
          <w:rFonts w:asciiTheme="minorHAnsi" w:hAnsiTheme="minorHAnsi" w:cstheme="minorHAnsi"/>
          <w:sz w:val="28"/>
          <w:szCs w:val="28"/>
        </w:rPr>
      </w:pPr>
      <w:r w:rsidRPr="00534C5B">
        <w:rPr>
          <w:rFonts w:asciiTheme="minorHAnsi" w:hAnsiTheme="minorHAnsi" w:cstheme="minorHAnsi"/>
          <w:sz w:val="28"/>
          <w:szCs w:val="28"/>
        </w:rPr>
        <w:t>Risk Sharing Arrangement</w:t>
      </w:r>
    </w:p>
    <w:p w:rsidR="00ED4D62" w:rsidRPr="00534C5B" w:rsidRDefault="003326BA" w:rsidP="00AF0867">
      <w:pPr>
        <w:pStyle w:val="3Bodytext"/>
        <w:numPr>
          <w:ilvl w:val="1"/>
          <w:numId w:val="1"/>
        </w:numPr>
        <w:rPr>
          <w:szCs w:val="24"/>
        </w:rPr>
      </w:pPr>
      <w:r w:rsidRPr="00534C5B">
        <w:rPr>
          <w:szCs w:val="24"/>
        </w:rPr>
        <w:t>As recommended in July 2019, t</w:t>
      </w:r>
      <w:r w:rsidR="00ED4D62" w:rsidRPr="00534C5B">
        <w:rPr>
          <w:szCs w:val="24"/>
        </w:rPr>
        <w:t xml:space="preserve">he </w:t>
      </w:r>
      <w:r w:rsidR="00D8260F" w:rsidRPr="00534C5B">
        <w:rPr>
          <w:szCs w:val="24"/>
        </w:rPr>
        <w:t>sponsor</w:t>
      </w:r>
      <w:r w:rsidR="00ED4D62" w:rsidRPr="00534C5B">
        <w:rPr>
          <w:szCs w:val="24"/>
        </w:rPr>
        <w:t xml:space="preserve"> presented a revised RSA that encompasse</w:t>
      </w:r>
      <w:r w:rsidR="00B807DF" w:rsidRPr="00534C5B">
        <w:rPr>
          <w:szCs w:val="24"/>
        </w:rPr>
        <w:t>d</w:t>
      </w:r>
      <w:r w:rsidR="00ED4D62" w:rsidRPr="00534C5B">
        <w:rPr>
          <w:szCs w:val="24"/>
        </w:rPr>
        <w:t xml:space="preserve"> adjuvant and unresectable or metastatic use of the PD-1 inhibitors</w:t>
      </w:r>
      <w:r w:rsidRPr="00534C5B">
        <w:rPr>
          <w:szCs w:val="24"/>
        </w:rPr>
        <w:t xml:space="preserve"> (i.e. nivolumab and pembrolizumab)</w:t>
      </w:r>
      <w:r w:rsidR="00ED4D62" w:rsidRPr="00534C5B">
        <w:rPr>
          <w:szCs w:val="24"/>
        </w:rPr>
        <w:t xml:space="preserve">. </w:t>
      </w:r>
      <w:r w:rsidR="007F6635" w:rsidRPr="00534C5B">
        <w:rPr>
          <w:szCs w:val="24"/>
        </w:rPr>
        <w:t xml:space="preserve">Any use beyond the </w:t>
      </w:r>
      <w:r w:rsidR="00ED4D62" w:rsidRPr="00534C5B">
        <w:rPr>
          <w:szCs w:val="24"/>
        </w:rPr>
        <w:t>proposed annual subsidisation caps</w:t>
      </w:r>
      <w:r w:rsidR="007F6635" w:rsidRPr="00534C5B">
        <w:rPr>
          <w:szCs w:val="24"/>
        </w:rPr>
        <w:t xml:space="preserve"> would result in the application of a </w:t>
      </w:r>
      <w:r w:rsidR="00653477">
        <w:rPr>
          <w:noProof/>
          <w:color w:val="000000"/>
          <w:szCs w:val="24"/>
          <w:highlight w:val="black"/>
        </w:rPr>
        <w:t>'''''''</w:t>
      </w:r>
      <w:r w:rsidR="00ED4D62" w:rsidRPr="00534C5B">
        <w:rPr>
          <w:szCs w:val="24"/>
        </w:rPr>
        <w:t xml:space="preserve">% </w:t>
      </w:r>
      <w:r w:rsidR="00B807DF" w:rsidRPr="00534C5B">
        <w:rPr>
          <w:szCs w:val="24"/>
        </w:rPr>
        <w:t>rebate</w:t>
      </w:r>
      <w:r w:rsidR="00ED4D62" w:rsidRPr="00534C5B">
        <w:rPr>
          <w:szCs w:val="24"/>
        </w:rPr>
        <w:t>.</w:t>
      </w:r>
    </w:p>
    <w:p w:rsidR="00D72496" w:rsidRPr="00534C5B" w:rsidRDefault="00D72496" w:rsidP="00AF0867">
      <w:pPr>
        <w:pStyle w:val="3Bodytext"/>
        <w:numPr>
          <w:ilvl w:val="1"/>
          <w:numId w:val="1"/>
        </w:numPr>
        <w:rPr>
          <w:szCs w:val="24"/>
        </w:rPr>
      </w:pPr>
      <w:r w:rsidRPr="00534C5B">
        <w:rPr>
          <w:szCs w:val="24"/>
        </w:rPr>
        <w:lastRenderedPageBreak/>
        <w:t>The unresectable or metastatic comp</w:t>
      </w:r>
      <w:r w:rsidR="007F6635" w:rsidRPr="00534C5B">
        <w:rPr>
          <w:szCs w:val="24"/>
        </w:rPr>
        <w:t>onent of the subsidisation cap wa</w:t>
      </w:r>
      <w:r w:rsidRPr="00534C5B">
        <w:rPr>
          <w:szCs w:val="24"/>
        </w:rPr>
        <w:t xml:space="preserve">s based on extrapolation of Commonwealth Expenditure, as per the current Deed of Agreement for PD-1 </w:t>
      </w:r>
      <w:r w:rsidR="0009325B" w:rsidRPr="00534C5B">
        <w:rPr>
          <w:szCs w:val="24"/>
        </w:rPr>
        <w:t xml:space="preserve">inhibitor </w:t>
      </w:r>
      <w:r w:rsidRPr="00534C5B">
        <w:rPr>
          <w:szCs w:val="24"/>
        </w:rPr>
        <w:t>t</w:t>
      </w:r>
      <w:r w:rsidR="00EE51D4" w:rsidRPr="00534C5B">
        <w:rPr>
          <w:szCs w:val="24"/>
        </w:rPr>
        <w:t>herapies</w:t>
      </w:r>
      <w:r w:rsidR="00D8260F" w:rsidRPr="00534C5B">
        <w:rPr>
          <w:szCs w:val="24"/>
        </w:rPr>
        <w:t xml:space="preserve"> and which expires in August 2020</w:t>
      </w:r>
      <w:r w:rsidR="00EE51D4" w:rsidRPr="00534C5B">
        <w:rPr>
          <w:szCs w:val="24"/>
        </w:rPr>
        <w:t xml:space="preserve">, as outlined in Table </w:t>
      </w:r>
      <w:r w:rsidR="00AB5085" w:rsidRPr="00534C5B">
        <w:rPr>
          <w:szCs w:val="24"/>
        </w:rPr>
        <w:t>5</w:t>
      </w:r>
      <w:r w:rsidRPr="00534C5B">
        <w:rPr>
          <w:szCs w:val="24"/>
        </w:rPr>
        <w:t>.</w:t>
      </w:r>
    </w:p>
    <w:p w:rsidR="00CF2647" w:rsidRPr="00534C5B" w:rsidRDefault="00EE51D4" w:rsidP="00B807DF">
      <w:pPr>
        <w:pStyle w:val="3Bodytext"/>
        <w:keepNext/>
        <w:keepLines/>
        <w:numPr>
          <w:ilvl w:val="0"/>
          <w:numId w:val="0"/>
        </w:numPr>
        <w:spacing w:after="0"/>
        <w:rPr>
          <w:rFonts w:ascii="Arial Narrow" w:hAnsi="Arial Narrow"/>
          <w:b/>
          <w:sz w:val="20"/>
          <w:szCs w:val="20"/>
        </w:rPr>
      </w:pPr>
      <w:r w:rsidRPr="00534C5B">
        <w:rPr>
          <w:rFonts w:ascii="Arial Narrow" w:hAnsi="Arial Narrow"/>
          <w:b/>
          <w:sz w:val="20"/>
          <w:szCs w:val="20"/>
        </w:rPr>
        <w:t xml:space="preserve">Table </w:t>
      </w:r>
      <w:r w:rsidR="00AB5085" w:rsidRPr="00534C5B">
        <w:rPr>
          <w:rFonts w:ascii="Arial Narrow" w:hAnsi="Arial Narrow"/>
          <w:b/>
          <w:sz w:val="20"/>
          <w:szCs w:val="20"/>
        </w:rPr>
        <w:t>5</w:t>
      </w:r>
      <w:r w:rsidR="00CF2647" w:rsidRPr="00534C5B">
        <w:rPr>
          <w:rFonts w:ascii="Arial Narrow" w:hAnsi="Arial Narrow"/>
          <w:b/>
          <w:sz w:val="20"/>
          <w:szCs w:val="20"/>
        </w:rPr>
        <w:t xml:space="preserve">: Current PD-1 </w:t>
      </w:r>
      <w:r w:rsidR="0009325B" w:rsidRPr="00534C5B">
        <w:rPr>
          <w:rFonts w:ascii="Arial Narrow" w:hAnsi="Arial Narrow"/>
          <w:b/>
          <w:sz w:val="20"/>
          <w:szCs w:val="20"/>
        </w:rPr>
        <w:t xml:space="preserve">inhibitor </w:t>
      </w:r>
      <w:r w:rsidR="00CF2647" w:rsidRPr="00534C5B">
        <w:rPr>
          <w:rFonts w:ascii="Arial Narrow" w:hAnsi="Arial Narrow"/>
          <w:b/>
          <w:sz w:val="20"/>
          <w:szCs w:val="20"/>
        </w:rPr>
        <w:t xml:space="preserve">subsidisation caps for unresectable or metastatic </w:t>
      </w:r>
      <w:r w:rsidR="000A5A40" w:rsidRPr="00534C5B">
        <w:rPr>
          <w:rFonts w:ascii="Arial Narrow" w:hAnsi="Arial Narrow"/>
          <w:b/>
          <w:sz w:val="20"/>
          <w:szCs w:val="20"/>
        </w:rPr>
        <w:t>melanoma</w:t>
      </w:r>
    </w:p>
    <w:tbl>
      <w:tblPr>
        <w:tblStyle w:val="TableGrid"/>
        <w:tblW w:w="0" w:type="auto"/>
        <w:tblLook w:val="04A0" w:firstRow="1" w:lastRow="0" w:firstColumn="1" w:lastColumn="0" w:noHBand="0" w:noVBand="1"/>
        <w:tblCaption w:val="Table 5: Current PD-1 inhibitor subsidisation caps for unresectable or metastatic melanoma"/>
      </w:tblPr>
      <w:tblGrid>
        <w:gridCol w:w="1980"/>
        <w:gridCol w:w="1417"/>
        <w:gridCol w:w="1418"/>
        <w:gridCol w:w="1417"/>
        <w:gridCol w:w="1418"/>
        <w:gridCol w:w="1366"/>
      </w:tblGrid>
      <w:tr w:rsidR="00D72496" w:rsidRPr="00534C5B" w:rsidTr="00F15DAD">
        <w:trPr>
          <w:tblHeader/>
        </w:trPr>
        <w:tc>
          <w:tcPr>
            <w:tcW w:w="1980" w:type="dxa"/>
            <w:tcMar>
              <w:left w:w="28" w:type="dxa"/>
              <w:right w:w="28" w:type="dxa"/>
            </w:tcMar>
          </w:tcPr>
          <w:p w:rsidR="00D72496" w:rsidRPr="00534C5B" w:rsidRDefault="00D72496" w:rsidP="00B807DF">
            <w:pPr>
              <w:pStyle w:val="3Bodytext"/>
              <w:keepNext/>
              <w:keepLines/>
              <w:numPr>
                <w:ilvl w:val="0"/>
                <w:numId w:val="0"/>
              </w:numPr>
              <w:spacing w:after="0"/>
              <w:rPr>
                <w:rFonts w:ascii="Arial Narrow" w:hAnsi="Arial Narrow"/>
                <w:sz w:val="20"/>
                <w:szCs w:val="20"/>
              </w:rPr>
            </w:pPr>
          </w:p>
        </w:tc>
        <w:tc>
          <w:tcPr>
            <w:tcW w:w="1417" w:type="dxa"/>
            <w:tcMar>
              <w:left w:w="28" w:type="dxa"/>
              <w:right w:w="28" w:type="dxa"/>
            </w:tcMar>
          </w:tcPr>
          <w:p w:rsidR="00D72496" w:rsidRPr="00534C5B" w:rsidRDefault="00D72496" w:rsidP="00B807DF">
            <w:pPr>
              <w:pStyle w:val="3Bodytext"/>
              <w:keepNext/>
              <w:keepLines/>
              <w:numPr>
                <w:ilvl w:val="0"/>
                <w:numId w:val="0"/>
              </w:numPr>
              <w:spacing w:after="0"/>
              <w:jc w:val="center"/>
              <w:rPr>
                <w:rFonts w:ascii="Arial Narrow" w:hAnsi="Arial Narrow"/>
                <w:b/>
                <w:sz w:val="20"/>
                <w:szCs w:val="20"/>
              </w:rPr>
            </w:pPr>
            <w:r w:rsidRPr="00534C5B">
              <w:rPr>
                <w:rFonts w:ascii="Arial Narrow" w:hAnsi="Arial Narrow"/>
                <w:b/>
                <w:sz w:val="20"/>
                <w:szCs w:val="20"/>
              </w:rPr>
              <w:t>Sep 15 – Aug 16</w:t>
            </w:r>
          </w:p>
        </w:tc>
        <w:tc>
          <w:tcPr>
            <w:tcW w:w="1418" w:type="dxa"/>
            <w:tcMar>
              <w:left w:w="28" w:type="dxa"/>
              <w:right w:w="28" w:type="dxa"/>
            </w:tcMar>
          </w:tcPr>
          <w:p w:rsidR="00D72496" w:rsidRPr="00534C5B" w:rsidRDefault="00D72496" w:rsidP="00B807DF">
            <w:pPr>
              <w:pStyle w:val="3Bodytext"/>
              <w:keepNext/>
              <w:keepLines/>
              <w:numPr>
                <w:ilvl w:val="0"/>
                <w:numId w:val="0"/>
              </w:numPr>
              <w:spacing w:after="0"/>
              <w:jc w:val="center"/>
              <w:rPr>
                <w:rFonts w:ascii="Arial Narrow" w:hAnsi="Arial Narrow"/>
                <w:b/>
                <w:sz w:val="20"/>
                <w:szCs w:val="20"/>
              </w:rPr>
            </w:pPr>
            <w:r w:rsidRPr="00534C5B">
              <w:rPr>
                <w:rFonts w:ascii="Arial Narrow" w:hAnsi="Arial Narrow"/>
                <w:b/>
                <w:sz w:val="20"/>
                <w:szCs w:val="20"/>
              </w:rPr>
              <w:t>Sep 16 – Aug 17</w:t>
            </w:r>
          </w:p>
        </w:tc>
        <w:tc>
          <w:tcPr>
            <w:tcW w:w="1417" w:type="dxa"/>
            <w:tcMar>
              <w:left w:w="28" w:type="dxa"/>
              <w:right w:w="28" w:type="dxa"/>
            </w:tcMar>
          </w:tcPr>
          <w:p w:rsidR="00D72496" w:rsidRPr="00534C5B" w:rsidRDefault="00D72496" w:rsidP="00B807DF">
            <w:pPr>
              <w:pStyle w:val="3Bodytext"/>
              <w:keepNext/>
              <w:keepLines/>
              <w:numPr>
                <w:ilvl w:val="0"/>
                <w:numId w:val="0"/>
              </w:numPr>
              <w:spacing w:after="0"/>
              <w:jc w:val="center"/>
              <w:rPr>
                <w:rFonts w:ascii="Arial Narrow" w:hAnsi="Arial Narrow"/>
                <w:b/>
                <w:sz w:val="20"/>
                <w:szCs w:val="20"/>
              </w:rPr>
            </w:pPr>
            <w:r w:rsidRPr="00534C5B">
              <w:rPr>
                <w:rFonts w:ascii="Arial Narrow" w:hAnsi="Arial Narrow"/>
                <w:b/>
                <w:sz w:val="20"/>
                <w:szCs w:val="20"/>
              </w:rPr>
              <w:t>Sep 17 – Aug 18</w:t>
            </w:r>
          </w:p>
        </w:tc>
        <w:tc>
          <w:tcPr>
            <w:tcW w:w="1418" w:type="dxa"/>
            <w:tcMar>
              <w:left w:w="28" w:type="dxa"/>
              <w:right w:w="28" w:type="dxa"/>
            </w:tcMar>
          </w:tcPr>
          <w:p w:rsidR="00D72496" w:rsidRPr="00534C5B" w:rsidRDefault="00D72496" w:rsidP="00B807DF">
            <w:pPr>
              <w:pStyle w:val="3Bodytext"/>
              <w:keepNext/>
              <w:keepLines/>
              <w:numPr>
                <w:ilvl w:val="0"/>
                <w:numId w:val="0"/>
              </w:numPr>
              <w:spacing w:after="0"/>
              <w:jc w:val="center"/>
              <w:rPr>
                <w:rFonts w:ascii="Arial Narrow" w:hAnsi="Arial Narrow"/>
                <w:b/>
                <w:sz w:val="20"/>
                <w:szCs w:val="20"/>
              </w:rPr>
            </w:pPr>
            <w:r w:rsidRPr="00534C5B">
              <w:rPr>
                <w:rFonts w:ascii="Arial Narrow" w:hAnsi="Arial Narrow"/>
                <w:b/>
                <w:sz w:val="20"/>
                <w:szCs w:val="20"/>
              </w:rPr>
              <w:t>Sep 18 – Aug 19</w:t>
            </w:r>
          </w:p>
        </w:tc>
        <w:tc>
          <w:tcPr>
            <w:tcW w:w="1366" w:type="dxa"/>
            <w:tcMar>
              <w:left w:w="28" w:type="dxa"/>
              <w:right w:w="28" w:type="dxa"/>
            </w:tcMar>
          </w:tcPr>
          <w:p w:rsidR="00D72496" w:rsidRPr="00534C5B" w:rsidRDefault="00D72496" w:rsidP="00B807DF">
            <w:pPr>
              <w:pStyle w:val="3Bodytext"/>
              <w:keepNext/>
              <w:keepLines/>
              <w:numPr>
                <w:ilvl w:val="0"/>
                <w:numId w:val="0"/>
              </w:numPr>
              <w:spacing w:after="0"/>
              <w:jc w:val="center"/>
              <w:rPr>
                <w:rFonts w:ascii="Arial Narrow" w:hAnsi="Arial Narrow"/>
                <w:b/>
                <w:sz w:val="20"/>
                <w:szCs w:val="20"/>
              </w:rPr>
            </w:pPr>
            <w:r w:rsidRPr="00534C5B">
              <w:rPr>
                <w:rFonts w:ascii="Arial Narrow" w:hAnsi="Arial Narrow"/>
                <w:b/>
                <w:sz w:val="20"/>
                <w:szCs w:val="20"/>
              </w:rPr>
              <w:t>Sep 19 – Aug 20</w:t>
            </w:r>
          </w:p>
        </w:tc>
      </w:tr>
      <w:tr w:rsidR="00D72496" w:rsidRPr="00534C5B" w:rsidTr="00F15DAD">
        <w:trPr>
          <w:tblHeader/>
        </w:trPr>
        <w:tc>
          <w:tcPr>
            <w:tcW w:w="1980" w:type="dxa"/>
            <w:tcMar>
              <w:left w:w="28" w:type="dxa"/>
              <w:right w:w="28" w:type="dxa"/>
            </w:tcMar>
          </w:tcPr>
          <w:p w:rsidR="00D72496" w:rsidRPr="00534C5B" w:rsidRDefault="00D72496" w:rsidP="00B807DF">
            <w:pPr>
              <w:pStyle w:val="3Bodytext"/>
              <w:keepNext/>
              <w:keepLines/>
              <w:numPr>
                <w:ilvl w:val="0"/>
                <w:numId w:val="0"/>
              </w:numPr>
              <w:spacing w:after="0"/>
              <w:rPr>
                <w:rFonts w:ascii="Arial Narrow" w:hAnsi="Arial Narrow"/>
                <w:sz w:val="20"/>
                <w:szCs w:val="20"/>
              </w:rPr>
            </w:pPr>
            <w:r w:rsidRPr="00534C5B">
              <w:rPr>
                <w:rFonts w:ascii="Arial Narrow" w:hAnsi="Arial Narrow"/>
                <w:sz w:val="20"/>
                <w:szCs w:val="20"/>
              </w:rPr>
              <w:t>PD-1 subsidisation caps</w:t>
            </w:r>
          </w:p>
        </w:tc>
        <w:tc>
          <w:tcPr>
            <w:tcW w:w="1417" w:type="dxa"/>
            <w:tcMar>
              <w:left w:w="28" w:type="dxa"/>
              <w:right w:w="28" w:type="dxa"/>
            </w:tcMar>
          </w:tcPr>
          <w:p w:rsidR="00D72496" w:rsidRPr="00653477" w:rsidRDefault="00D72496" w:rsidP="00B807DF">
            <w:pPr>
              <w:pStyle w:val="3Bodytext"/>
              <w:keepNext/>
              <w:keepLines/>
              <w:numPr>
                <w:ilvl w:val="0"/>
                <w:numId w:val="0"/>
              </w:numPr>
              <w:spacing w:after="0"/>
              <w:jc w:val="center"/>
              <w:rPr>
                <w:rFonts w:ascii="Arial Narrow" w:hAnsi="Arial Narrow"/>
                <w:sz w:val="20"/>
                <w:szCs w:val="20"/>
              </w:rPr>
            </w:pPr>
            <w:r w:rsidRPr="00765A48">
              <w:rPr>
                <w:rFonts w:ascii="Arial Narrow" w:hAnsi="Arial Narrow"/>
                <w:sz w:val="20"/>
                <w:szCs w:val="20"/>
              </w:rPr>
              <w:t>$</w:t>
            </w:r>
            <w:r w:rsidR="00653477">
              <w:rPr>
                <w:rFonts w:ascii="Arial Narrow" w:hAnsi="Arial Narrow"/>
                <w:noProof/>
                <w:color w:val="000000"/>
                <w:sz w:val="20"/>
                <w:szCs w:val="20"/>
                <w:highlight w:val="black"/>
              </w:rPr>
              <w:t>''''''''''''''''''''''''</w:t>
            </w:r>
          </w:p>
        </w:tc>
        <w:tc>
          <w:tcPr>
            <w:tcW w:w="1418" w:type="dxa"/>
            <w:tcMar>
              <w:left w:w="28" w:type="dxa"/>
              <w:right w:w="28" w:type="dxa"/>
            </w:tcMar>
          </w:tcPr>
          <w:p w:rsidR="00D72496" w:rsidRPr="00653477" w:rsidRDefault="00D72496" w:rsidP="00B807DF">
            <w:pPr>
              <w:pStyle w:val="3Bodytext"/>
              <w:keepNext/>
              <w:keepLines/>
              <w:numPr>
                <w:ilvl w:val="0"/>
                <w:numId w:val="0"/>
              </w:numPr>
              <w:spacing w:after="0"/>
              <w:jc w:val="center"/>
              <w:rPr>
                <w:rFonts w:ascii="Arial Narrow" w:hAnsi="Arial Narrow"/>
                <w:sz w:val="20"/>
                <w:szCs w:val="20"/>
              </w:rPr>
            </w:pPr>
            <w:r w:rsidRPr="00765A48">
              <w:rPr>
                <w:rFonts w:ascii="Arial Narrow" w:hAnsi="Arial Narrow"/>
                <w:sz w:val="20"/>
                <w:szCs w:val="20"/>
              </w:rPr>
              <w:t>$</w:t>
            </w:r>
            <w:r w:rsidR="00653477">
              <w:rPr>
                <w:rFonts w:ascii="Arial Narrow" w:hAnsi="Arial Narrow"/>
                <w:noProof/>
                <w:color w:val="000000"/>
                <w:sz w:val="20"/>
                <w:szCs w:val="20"/>
                <w:highlight w:val="black"/>
              </w:rPr>
              <w:t>''''''''''''''''''''''''''''</w:t>
            </w:r>
          </w:p>
        </w:tc>
        <w:tc>
          <w:tcPr>
            <w:tcW w:w="1417" w:type="dxa"/>
            <w:tcMar>
              <w:left w:w="28" w:type="dxa"/>
              <w:right w:w="28" w:type="dxa"/>
            </w:tcMar>
          </w:tcPr>
          <w:p w:rsidR="00D72496" w:rsidRPr="00653477" w:rsidRDefault="00D72496" w:rsidP="00B807DF">
            <w:pPr>
              <w:pStyle w:val="3Bodytext"/>
              <w:keepNext/>
              <w:keepLines/>
              <w:numPr>
                <w:ilvl w:val="0"/>
                <w:numId w:val="0"/>
              </w:numPr>
              <w:spacing w:after="0"/>
              <w:jc w:val="center"/>
              <w:rPr>
                <w:rFonts w:ascii="Arial Narrow" w:hAnsi="Arial Narrow"/>
                <w:sz w:val="20"/>
                <w:szCs w:val="20"/>
              </w:rPr>
            </w:pPr>
            <w:r w:rsidRPr="00765A48">
              <w:rPr>
                <w:rFonts w:ascii="Arial Narrow" w:hAnsi="Arial Narrow"/>
                <w:sz w:val="20"/>
                <w:szCs w:val="20"/>
              </w:rPr>
              <w:t>$</w:t>
            </w:r>
            <w:r w:rsidR="00653477">
              <w:rPr>
                <w:rFonts w:ascii="Arial Narrow" w:hAnsi="Arial Narrow"/>
                <w:noProof/>
                <w:color w:val="000000"/>
                <w:sz w:val="20"/>
                <w:szCs w:val="20"/>
                <w:highlight w:val="black"/>
              </w:rPr>
              <w:t>''''''''''''''''''''''''''''</w:t>
            </w:r>
          </w:p>
        </w:tc>
        <w:tc>
          <w:tcPr>
            <w:tcW w:w="1418" w:type="dxa"/>
            <w:tcMar>
              <w:left w:w="28" w:type="dxa"/>
              <w:right w:w="28" w:type="dxa"/>
            </w:tcMar>
          </w:tcPr>
          <w:p w:rsidR="00D72496" w:rsidRPr="00653477" w:rsidRDefault="00D72496" w:rsidP="00B807DF">
            <w:pPr>
              <w:pStyle w:val="3Bodytext"/>
              <w:keepNext/>
              <w:keepLines/>
              <w:numPr>
                <w:ilvl w:val="0"/>
                <w:numId w:val="0"/>
              </w:numPr>
              <w:spacing w:after="0"/>
              <w:jc w:val="center"/>
              <w:rPr>
                <w:rFonts w:ascii="Arial Narrow" w:hAnsi="Arial Narrow"/>
                <w:sz w:val="20"/>
                <w:szCs w:val="20"/>
              </w:rPr>
            </w:pPr>
            <w:r w:rsidRPr="00765A48">
              <w:rPr>
                <w:rFonts w:ascii="Arial Narrow" w:hAnsi="Arial Narrow"/>
                <w:sz w:val="20"/>
                <w:szCs w:val="20"/>
              </w:rPr>
              <w:t>$</w:t>
            </w:r>
            <w:r w:rsidR="00653477">
              <w:rPr>
                <w:rFonts w:ascii="Arial Narrow" w:hAnsi="Arial Narrow"/>
                <w:noProof/>
                <w:color w:val="000000"/>
                <w:sz w:val="20"/>
                <w:szCs w:val="20"/>
                <w:highlight w:val="black"/>
              </w:rPr>
              <w:t>'''''''''''''''''''''''</w:t>
            </w:r>
          </w:p>
        </w:tc>
        <w:tc>
          <w:tcPr>
            <w:tcW w:w="1366" w:type="dxa"/>
            <w:tcMar>
              <w:left w:w="28" w:type="dxa"/>
              <w:right w:w="28" w:type="dxa"/>
            </w:tcMar>
          </w:tcPr>
          <w:p w:rsidR="00D72496" w:rsidRPr="00653477" w:rsidRDefault="00D72496" w:rsidP="00B807DF">
            <w:pPr>
              <w:pStyle w:val="3Bodytext"/>
              <w:keepNext/>
              <w:keepLines/>
              <w:numPr>
                <w:ilvl w:val="0"/>
                <w:numId w:val="0"/>
              </w:numPr>
              <w:spacing w:after="0"/>
              <w:jc w:val="center"/>
              <w:rPr>
                <w:rFonts w:ascii="Arial Narrow" w:hAnsi="Arial Narrow"/>
                <w:sz w:val="20"/>
                <w:szCs w:val="20"/>
              </w:rPr>
            </w:pPr>
            <w:r w:rsidRPr="00765A48">
              <w:rPr>
                <w:rFonts w:ascii="Arial Narrow" w:hAnsi="Arial Narrow"/>
                <w:sz w:val="20"/>
                <w:szCs w:val="20"/>
              </w:rPr>
              <w:t>$</w:t>
            </w:r>
            <w:r w:rsidR="00653477">
              <w:rPr>
                <w:rFonts w:ascii="Arial Narrow" w:hAnsi="Arial Narrow"/>
                <w:noProof/>
                <w:color w:val="000000"/>
                <w:sz w:val="20"/>
                <w:szCs w:val="20"/>
                <w:highlight w:val="black"/>
              </w:rPr>
              <w:t>''''''''''''''''''''''''''''</w:t>
            </w:r>
          </w:p>
        </w:tc>
      </w:tr>
      <w:tr w:rsidR="00D72496" w:rsidRPr="00534C5B" w:rsidTr="00F15DAD">
        <w:trPr>
          <w:tblHeader/>
        </w:trPr>
        <w:tc>
          <w:tcPr>
            <w:tcW w:w="1980" w:type="dxa"/>
            <w:tcMar>
              <w:left w:w="28" w:type="dxa"/>
              <w:right w:w="28" w:type="dxa"/>
            </w:tcMar>
          </w:tcPr>
          <w:p w:rsidR="00D72496" w:rsidRPr="00534C5B" w:rsidRDefault="00D72496" w:rsidP="00B807DF">
            <w:pPr>
              <w:pStyle w:val="3Bodytext"/>
              <w:keepNext/>
              <w:keepLines/>
              <w:numPr>
                <w:ilvl w:val="0"/>
                <w:numId w:val="0"/>
              </w:numPr>
              <w:spacing w:after="0"/>
              <w:rPr>
                <w:rFonts w:ascii="Arial Narrow" w:hAnsi="Arial Narrow"/>
                <w:sz w:val="20"/>
                <w:szCs w:val="20"/>
              </w:rPr>
            </w:pPr>
            <w:r w:rsidRPr="00534C5B">
              <w:rPr>
                <w:rFonts w:ascii="Arial Narrow" w:hAnsi="Arial Narrow"/>
                <w:sz w:val="20"/>
                <w:szCs w:val="20"/>
              </w:rPr>
              <w:t>Annual growth</w:t>
            </w:r>
          </w:p>
        </w:tc>
        <w:tc>
          <w:tcPr>
            <w:tcW w:w="1417" w:type="dxa"/>
            <w:tcMar>
              <w:left w:w="28" w:type="dxa"/>
              <w:right w:w="28" w:type="dxa"/>
            </w:tcMar>
          </w:tcPr>
          <w:p w:rsidR="00D72496" w:rsidRPr="00534C5B" w:rsidRDefault="00D72496" w:rsidP="00B807DF">
            <w:pPr>
              <w:pStyle w:val="3Bodytext"/>
              <w:keepNext/>
              <w:keepLines/>
              <w:numPr>
                <w:ilvl w:val="0"/>
                <w:numId w:val="0"/>
              </w:numPr>
              <w:spacing w:after="0"/>
              <w:jc w:val="center"/>
              <w:rPr>
                <w:rFonts w:ascii="Arial Narrow" w:hAnsi="Arial Narrow"/>
                <w:sz w:val="20"/>
                <w:szCs w:val="20"/>
              </w:rPr>
            </w:pPr>
            <w:r w:rsidRPr="00534C5B">
              <w:rPr>
                <w:rFonts w:ascii="Arial Narrow" w:hAnsi="Arial Narrow"/>
                <w:sz w:val="20"/>
                <w:szCs w:val="20"/>
              </w:rPr>
              <w:t>-</w:t>
            </w:r>
          </w:p>
        </w:tc>
        <w:tc>
          <w:tcPr>
            <w:tcW w:w="1418" w:type="dxa"/>
            <w:tcMar>
              <w:left w:w="28" w:type="dxa"/>
              <w:right w:w="28" w:type="dxa"/>
            </w:tcMar>
          </w:tcPr>
          <w:p w:rsidR="00D72496" w:rsidRPr="00534C5B" w:rsidRDefault="00D72496" w:rsidP="00B807DF">
            <w:pPr>
              <w:pStyle w:val="3Bodytext"/>
              <w:keepNext/>
              <w:keepLines/>
              <w:numPr>
                <w:ilvl w:val="0"/>
                <w:numId w:val="0"/>
              </w:numPr>
              <w:spacing w:after="0"/>
              <w:jc w:val="center"/>
              <w:rPr>
                <w:rFonts w:ascii="Arial Narrow" w:hAnsi="Arial Narrow"/>
                <w:sz w:val="20"/>
                <w:szCs w:val="20"/>
              </w:rPr>
            </w:pPr>
            <w:r w:rsidRPr="00534C5B">
              <w:rPr>
                <w:rFonts w:ascii="Arial Narrow" w:hAnsi="Arial Narrow"/>
                <w:sz w:val="20"/>
                <w:szCs w:val="20"/>
              </w:rPr>
              <w:t>-</w:t>
            </w:r>
          </w:p>
        </w:tc>
        <w:tc>
          <w:tcPr>
            <w:tcW w:w="1417" w:type="dxa"/>
            <w:tcMar>
              <w:left w:w="28" w:type="dxa"/>
              <w:right w:w="28" w:type="dxa"/>
            </w:tcMar>
          </w:tcPr>
          <w:p w:rsidR="00D72496" w:rsidRPr="00534C5B" w:rsidRDefault="00653477" w:rsidP="00B807DF">
            <w:pPr>
              <w:pStyle w:val="3Bodytext"/>
              <w:keepNext/>
              <w:keepLines/>
              <w:numPr>
                <w:ilvl w:val="0"/>
                <w:numId w:val="0"/>
              </w:numPr>
              <w:spacing w:after="0"/>
              <w:jc w:val="center"/>
              <w:rPr>
                <w:rFonts w:ascii="Arial Narrow" w:hAnsi="Arial Narrow"/>
                <w:sz w:val="20"/>
                <w:szCs w:val="20"/>
              </w:rPr>
            </w:pPr>
            <w:r>
              <w:rPr>
                <w:rFonts w:ascii="Arial Narrow" w:hAnsi="Arial Narrow"/>
                <w:noProof/>
                <w:color w:val="000000"/>
                <w:sz w:val="20"/>
                <w:szCs w:val="20"/>
                <w:highlight w:val="black"/>
              </w:rPr>
              <w:t>''''''''''</w:t>
            </w:r>
            <w:r w:rsidR="00D72496" w:rsidRPr="00534C5B">
              <w:rPr>
                <w:rFonts w:ascii="Arial Narrow" w:hAnsi="Arial Narrow"/>
                <w:sz w:val="20"/>
                <w:szCs w:val="20"/>
              </w:rPr>
              <w:t>%</w:t>
            </w:r>
          </w:p>
        </w:tc>
        <w:tc>
          <w:tcPr>
            <w:tcW w:w="1418" w:type="dxa"/>
            <w:tcMar>
              <w:left w:w="28" w:type="dxa"/>
              <w:right w:w="28" w:type="dxa"/>
            </w:tcMar>
          </w:tcPr>
          <w:p w:rsidR="00D72496" w:rsidRPr="00534C5B" w:rsidRDefault="00653477" w:rsidP="00B807DF">
            <w:pPr>
              <w:pStyle w:val="3Bodytext"/>
              <w:keepNext/>
              <w:keepLines/>
              <w:numPr>
                <w:ilvl w:val="0"/>
                <w:numId w:val="0"/>
              </w:numPr>
              <w:spacing w:after="0"/>
              <w:jc w:val="center"/>
              <w:rPr>
                <w:rFonts w:ascii="Arial Narrow" w:hAnsi="Arial Narrow"/>
                <w:sz w:val="20"/>
                <w:szCs w:val="20"/>
              </w:rPr>
            </w:pPr>
            <w:r>
              <w:rPr>
                <w:rFonts w:ascii="Arial Narrow" w:hAnsi="Arial Narrow"/>
                <w:noProof/>
                <w:color w:val="000000"/>
                <w:sz w:val="20"/>
                <w:szCs w:val="20"/>
                <w:highlight w:val="black"/>
              </w:rPr>
              <w:t>''''''''''</w:t>
            </w:r>
            <w:r w:rsidR="00D72496" w:rsidRPr="00534C5B">
              <w:rPr>
                <w:rFonts w:ascii="Arial Narrow" w:hAnsi="Arial Narrow"/>
                <w:sz w:val="20"/>
                <w:szCs w:val="20"/>
              </w:rPr>
              <w:t>%</w:t>
            </w:r>
          </w:p>
        </w:tc>
        <w:tc>
          <w:tcPr>
            <w:tcW w:w="1366" w:type="dxa"/>
            <w:tcMar>
              <w:left w:w="28" w:type="dxa"/>
              <w:right w:w="28" w:type="dxa"/>
            </w:tcMar>
          </w:tcPr>
          <w:p w:rsidR="00D72496" w:rsidRPr="00534C5B" w:rsidRDefault="00653477" w:rsidP="00B807DF">
            <w:pPr>
              <w:pStyle w:val="3Bodytext"/>
              <w:keepNext/>
              <w:keepLines/>
              <w:numPr>
                <w:ilvl w:val="0"/>
                <w:numId w:val="0"/>
              </w:numPr>
              <w:spacing w:after="0"/>
              <w:jc w:val="center"/>
              <w:rPr>
                <w:rFonts w:ascii="Arial Narrow" w:hAnsi="Arial Narrow"/>
                <w:sz w:val="20"/>
                <w:szCs w:val="20"/>
              </w:rPr>
            </w:pPr>
            <w:r>
              <w:rPr>
                <w:rFonts w:ascii="Arial Narrow" w:hAnsi="Arial Narrow"/>
                <w:noProof/>
                <w:color w:val="000000"/>
                <w:sz w:val="20"/>
                <w:szCs w:val="20"/>
                <w:highlight w:val="black"/>
              </w:rPr>
              <w:t>'''''''''''</w:t>
            </w:r>
            <w:r w:rsidR="00D72496" w:rsidRPr="00534C5B">
              <w:rPr>
                <w:rFonts w:ascii="Arial Narrow" w:hAnsi="Arial Narrow"/>
                <w:sz w:val="20"/>
                <w:szCs w:val="20"/>
              </w:rPr>
              <w:t>%</w:t>
            </w:r>
          </w:p>
        </w:tc>
      </w:tr>
    </w:tbl>
    <w:p w:rsidR="00D72496" w:rsidRPr="00534C5B" w:rsidRDefault="00CF2647" w:rsidP="00CF2647">
      <w:pPr>
        <w:pStyle w:val="3Bodytext"/>
        <w:numPr>
          <w:ilvl w:val="0"/>
          <w:numId w:val="0"/>
        </w:numPr>
        <w:spacing w:after="0"/>
        <w:rPr>
          <w:rFonts w:ascii="Arial Narrow" w:hAnsi="Arial Narrow"/>
          <w:sz w:val="18"/>
          <w:szCs w:val="18"/>
        </w:rPr>
      </w:pPr>
      <w:r w:rsidRPr="00534C5B">
        <w:rPr>
          <w:rFonts w:ascii="Arial Narrow" w:hAnsi="Arial Narrow"/>
          <w:sz w:val="18"/>
          <w:szCs w:val="18"/>
        </w:rPr>
        <w:t>PD-1 = programmed death-1 inhibitor</w:t>
      </w:r>
    </w:p>
    <w:p w:rsidR="00CF2647" w:rsidRPr="00534C5B" w:rsidRDefault="00CF2647" w:rsidP="00CF2647">
      <w:pPr>
        <w:pStyle w:val="3Bodytext"/>
        <w:numPr>
          <w:ilvl w:val="0"/>
          <w:numId w:val="0"/>
        </w:numPr>
        <w:spacing w:after="0"/>
        <w:rPr>
          <w:rFonts w:ascii="Arial Narrow" w:hAnsi="Arial Narrow"/>
          <w:sz w:val="18"/>
          <w:szCs w:val="18"/>
        </w:rPr>
      </w:pPr>
      <w:r w:rsidRPr="00534C5B">
        <w:rPr>
          <w:rFonts w:ascii="Arial Narrow" w:hAnsi="Arial Narrow"/>
          <w:sz w:val="18"/>
          <w:szCs w:val="18"/>
        </w:rPr>
        <w:t>Source: Table 7, p6 of the August 2019 nivolumab proposal</w:t>
      </w:r>
    </w:p>
    <w:p w:rsidR="00CF2647" w:rsidRPr="00534C5B" w:rsidRDefault="00CF2647" w:rsidP="00CF2647"/>
    <w:p w:rsidR="00D72496" w:rsidRPr="00534C5B" w:rsidRDefault="00D72496" w:rsidP="00AF0867">
      <w:pPr>
        <w:pStyle w:val="3Bodytext"/>
        <w:numPr>
          <w:ilvl w:val="1"/>
          <w:numId w:val="1"/>
        </w:numPr>
        <w:rPr>
          <w:szCs w:val="24"/>
        </w:rPr>
      </w:pPr>
      <w:r w:rsidRPr="00534C5B">
        <w:rPr>
          <w:szCs w:val="24"/>
        </w:rPr>
        <w:t xml:space="preserve">The mean annual expenditure growth rate in the current expenditure caps for Years 3 to </w:t>
      </w:r>
      <w:r w:rsidRPr="005F742A">
        <w:rPr>
          <w:szCs w:val="24"/>
        </w:rPr>
        <w:t xml:space="preserve">5 is </w:t>
      </w:r>
      <w:r w:rsidR="00653477">
        <w:rPr>
          <w:noProof/>
          <w:color w:val="000000"/>
          <w:szCs w:val="24"/>
          <w:highlight w:val="black"/>
        </w:rPr>
        <w:t>'''''''''</w:t>
      </w:r>
      <w:r w:rsidRPr="005F742A">
        <w:rPr>
          <w:szCs w:val="24"/>
        </w:rPr>
        <w:t>%. This has</w:t>
      </w:r>
      <w:r w:rsidRPr="00534C5B">
        <w:rPr>
          <w:szCs w:val="24"/>
        </w:rPr>
        <w:t xml:space="preserve"> been applied over the 6-year forecast period (pe</w:t>
      </w:r>
      <w:r w:rsidR="00EE51D4" w:rsidRPr="00534C5B">
        <w:rPr>
          <w:szCs w:val="24"/>
        </w:rPr>
        <w:t xml:space="preserve">r calendar year), as per Table </w:t>
      </w:r>
      <w:r w:rsidR="00AB5085" w:rsidRPr="00534C5B">
        <w:rPr>
          <w:szCs w:val="24"/>
        </w:rPr>
        <w:t>6</w:t>
      </w:r>
      <w:r w:rsidRPr="00534C5B">
        <w:rPr>
          <w:szCs w:val="24"/>
        </w:rPr>
        <w:t>.</w:t>
      </w:r>
    </w:p>
    <w:p w:rsidR="00EC05D6" w:rsidRPr="00534C5B" w:rsidRDefault="00EC05D6" w:rsidP="00E76635">
      <w:pPr>
        <w:pStyle w:val="Tabletitles"/>
        <w:spacing w:after="0"/>
        <w:rPr>
          <w:rStyle w:val="CommentReference"/>
          <w:sz w:val="20"/>
          <w:szCs w:val="20"/>
        </w:rPr>
      </w:pPr>
      <w:r w:rsidRPr="00534C5B">
        <w:rPr>
          <w:rStyle w:val="CommentReference"/>
          <w:sz w:val="20"/>
          <w:szCs w:val="20"/>
        </w:rPr>
        <w:t xml:space="preserve">Table </w:t>
      </w:r>
      <w:r w:rsidR="00AB5085" w:rsidRPr="00534C5B">
        <w:rPr>
          <w:rStyle w:val="CommentReference"/>
          <w:sz w:val="20"/>
          <w:szCs w:val="20"/>
        </w:rPr>
        <w:t>6</w:t>
      </w:r>
      <w:r w:rsidRPr="00534C5B">
        <w:rPr>
          <w:rStyle w:val="CommentReference"/>
          <w:sz w:val="20"/>
          <w:szCs w:val="20"/>
        </w:rPr>
        <w:t xml:space="preserve">: Estimated future PD-1 </w:t>
      </w:r>
      <w:r w:rsidR="001C71C5" w:rsidRPr="00534C5B">
        <w:rPr>
          <w:rStyle w:val="CommentReference"/>
          <w:sz w:val="20"/>
          <w:szCs w:val="20"/>
        </w:rPr>
        <w:t xml:space="preserve">inhibitor </w:t>
      </w:r>
      <w:r w:rsidRPr="00534C5B">
        <w:rPr>
          <w:rStyle w:val="CommentReference"/>
          <w:sz w:val="20"/>
          <w:szCs w:val="20"/>
        </w:rPr>
        <w:t>subsidisation caps for unresectable or metastatic melanoma, by calendar year</w:t>
      </w:r>
    </w:p>
    <w:tbl>
      <w:tblPr>
        <w:tblStyle w:val="TableGrid"/>
        <w:tblW w:w="0" w:type="auto"/>
        <w:tblLook w:val="04A0" w:firstRow="1" w:lastRow="0" w:firstColumn="1" w:lastColumn="0" w:noHBand="0" w:noVBand="1"/>
        <w:tblCaption w:val="Table 6: Estimated future PD-1 inhibitor subsidisation caps for unresectable or metastatic melanoma, by calendar year"/>
      </w:tblPr>
      <w:tblGrid>
        <w:gridCol w:w="1402"/>
        <w:gridCol w:w="985"/>
        <w:gridCol w:w="1157"/>
        <w:gridCol w:w="1064"/>
        <w:gridCol w:w="1094"/>
        <w:gridCol w:w="1094"/>
        <w:gridCol w:w="1157"/>
        <w:gridCol w:w="1063"/>
      </w:tblGrid>
      <w:tr w:rsidR="00EC05D6" w:rsidRPr="00534C5B" w:rsidTr="00F15DAD">
        <w:trPr>
          <w:tblHeader/>
        </w:trPr>
        <w:tc>
          <w:tcPr>
            <w:tcW w:w="1555" w:type="dxa"/>
            <w:tcMar>
              <w:left w:w="28" w:type="dxa"/>
              <w:right w:w="28" w:type="dxa"/>
            </w:tcMar>
          </w:tcPr>
          <w:p w:rsidR="00EC05D6" w:rsidRPr="00534C5B" w:rsidRDefault="00EC05D6" w:rsidP="00675B91">
            <w:pPr>
              <w:pStyle w:val="3Bodytext"/>
              <w:keepNext/>
              <w:keepLines/>
              <w:numPr>
                <w:ilvl w:val="0"/>
                <w:numId w:val="0"/>
              </w:numPr>
              <w:spacing w:after="0"/>
              <w:rPr>
                <w:rFonts w:ascii="Arial Narrow" w:hAnsi="Arial Narrow"/>
                <w:sz w:val="20"/>
                <w:szCs w:val="20"/>
              </w:rPr>
            </w:pPr>
          </w:p>
        </w:tc>
        <w:tc>
          <w:tcPr>
            <w:tcW w:w="992" w:type="dxa"/>
            <w:tcMar>
              <w:left w:w="28" w:type="dxa"/>
              <w:right w:w="28" w:type="dxa"/>
            </w:tcMar>
          </w:tcPr>
          <w:p w:rsidR="00EC05D6" w:rsidRPr="00534C5B" w:rsidRDefault="00EC05D6" w:rsidP="00675B91">
            <w:pPr>
              <w:pStyle w:val="3Bodytext"/>
              <w:keepNext/>
              <w:keepLines/>
              <w:numPr>
                <w:ilvl w:val="0"/>
                <w:numId w:val="0"/>
              </w:numPr>
              <w:spacing w:after="0"/>
              <w:jc w:val="center"/>
              <w:rPr>
                <w:rFonts w:ascii="Arial Narrow" w:hAnsi="Arial Narrow"/>
                <w:b/>
                <w:sz w:val="20"/>
                <w:szCs w:val="20"/>
              </w:rPr>
            </w:pPr>
            <w:r w:rsidRPr="00534C5B">
              <w:rPr>
                <w:rFonts w:ascii="Arial Narrow" w:hAnsi="Arial Narrow"/>
                <w:b/>
                <w:sz w:val="20"/>
                <w:szCs w:val="20"/>
              </w:rPr>
              <w:t>2019</w:t>
            </w:r>
          </w:p>
        </w:tc>
        <w:tc>
          <w:tcPr>
            <w:tcW w:w="1134" w:type="dxa"/>
            <w:tcMar>
              <w:left w:w="28" w:type="dxa"/>
              <w:right w:w="28" w:type="dxa"/>
            </w:tcMar>
          </w:tcPr>
          <w:p w:rsidR="00EC05D6" w:rsidRPr="00534C5B" w:rsidRDefault="00EC05D6" w:rsidP="00675B91">
            <w:pPr>
              <w:pStyle w:val="3Bodytext"/>
              <w:keepNext/>
              <w:keepLines/>
              <w:numPr>
                <w:ilvl w:val="0"/>
                <w:numId w:val="0"/>
              </w:numPr>
              <w:spacing w:after="0"/>
              <w:jc w:val="center"/>
              <w:rPr>
                <w:rFonts w:ascii="Arial Narrow" w:hAnsi="Arial Narrow"/>
                <w:b/>
                <w:sz w:val="20"/>
                <w:szCs w:val="20"/>
              </w:rPr>
            </w:pPr>
            <w:r w:rsidRPr="00534C5B">
              <w:rPr>
                <w:rFonts w:ascii="Arial Narrow" w:hAnsi="Arial Narrow"/>
                <w:b/>
                <w:sz w:val="20"/>
                <w:szCs w:val="20"/>
              </w:rPr>
              <w:t>2020</w:t>
            </w:r>
          </w:p>
        </w:tc>
        <w:tc>
          <w:tcPr>
            <w:tcW w:w="1089" w:type="dxa"/>
            <w:tcMar>
              <w:left w:w="28" w:type="dxa"/>
              <w:right w:w="28" w:type="dxa"/>
            </w:tcMar>
          </w:tcPr>
          <w:p w:rsidR="00EC05D6" w:rsidRPr="00534C5B" w:rsidRDefault="00EC05D6" w:rsidP="00675B91">
            <w:pPr>
              <w:pStyle w:val="3Bodytext"/>
              <w:keepNext/>
              <w:keepLines/>
              <w:numPr>
                <w:ilvl w:val="0"/>
                <w:numId w:val="0"/>
              </w:numPr>
              <w:spacing w:after="0"/>
              <w:jc w:val="center"/>
              <w:rPr>
                <w:rFonts w:ascii="Arial Narrow" w:hAnsi="Arial Narrow"/>
                <w:b/>
                <w:sz w:val="20"/>
                <w:szCs w:val="20"/>
              </w:rPr>
            </w:pPr>
            <w:r w:rsidRPr="00534C5B">
              <w:rPr>
                <w:rFonts w:ascii="Arial Narrow" w:hAnsi="Arial Narrow"/>
                <w:b/>
                <w:sz w:val="20"/>
                <w:szCs w:val="20"/>
              </w:rPr>
              <w:t>2021</w:t>
            </w:r>
          </w:p>
        </w:tc>
        <w:tc>
          <w:tcPr>
            <w:tcW w:w="1066" w:type="dxa"/>
            <w:tcMar>
              <w:left w:w="28" w:type="dxa"/>
              <w:right w:w="28" w:type="dxa"/>
            </w:tcMar>
          </w:tcPr>
          <w:p w:rsidR="00EC05D6" w:rsidRPr="00534C5B" w:rsidRDefault="00EC05D6" w:rsidP="00675B91">
            <w:pPr>
              <w:pStyle w:val="3Bodytext"/>
              <w:keepNext/>
              <w:keepLines/>
              <w:numPr>
                <w:ilvl w:val="0"/>
                <w:numId w:val="0"/>
              </w:numPr>
              <w:spacing w:after="0"/>
              <w:jc w:val="center"/>
              <w:rPr>
                <w:rFonts w:ascii="Arial Narrow" w:hAnsi="Arial Narrow"/>
                <w:b/>
                <w:sz w:val="20"/>
                <w:szCs w:val="20"/>
              </w:rPr>
            </w:pPr>
            <w:r w:rsidRPr="00534C5B">
              <w:rPr>
                <w:rFonts w:ascii="Arial Narrow" w:hAnsi="Arial Narrow"/>
                <w:b/>
                <w:sz w:val="20"/>
                <w:szCs w:val="20"/>
              </w:rPr>
              <w:t>2022</w:t>
            </w:r>
          </w:p>
        </w:tc>
        <w:tc>
          <w:tcPr>
            <w:tcW w:w="1060" w:type="dxa"/>
            <w:tcMar>
              <w:left w:w="28" w:type="dxa"/>
              <w:right w:w="28" w:type="dxa"/>
            </w:tcMar>
          </w:tcPr>
          <w:p w:rsidR="00EC05D6" w:rsidRPr="00534C5B" w:rsidRDefault="00EC05D6" w:rsidP="00675B91">
            <w:pPr>
              <w:pStyle w:val="3Bodytext"/>
              <w:keepNext/>
              <w:keepLines/>
              <w:numPr>
                <w:ilvl w:val="0"/>
                <w:numId w:val="0"/>
              </w:numPr>
              <w:spacing w:after="0"/>
              <w:jc w:val="center"/>
              <w:rPr>
                <w:rFonts w:ascii="Arial Narrow" w:hAnsi="Arial Narrow"/>
                <w:b/>
                <w:sz w:val="20"/>
                <w:szCs w:val="20"/>
              </w:rPr>
            </w:pPr>
            <w:r w:rsidRPr="00534C5B">
              <w:rPr>
                <w:rFonts w:ascii="Arial Narrow" w:hAnsi="Arial Narrow"/>
                <w:b/>
                <w:sz w:val="20"/>
                <w:szCs w:val="20"/>
              </w:rPr>
              <w:t>2023</w:t>
            </w:r>
          </w:p>
        </w:tc>
        <w:tc>
          <w:tcPr>
            <w:tcW w:w="1060" w:type="dxa"/>
            <w:tcMar>
              <w:left w:w="28" w:type="dxa"/>
              <w:right w:w="28" w:type="dxa"/>
            </w:tcMar>
          </w:tcPr>
          <w:p w:rsidR="00EC05D6" w:rsidRPr="00534C5B" w:rsidRDefault="00EC05D6" w:rsidP="00675B91">
            <w:pPr>
              <w:pStyle w:val="3Bodytext"/>
              <w:keepNext/>
              <w:keepLines/>
              <w:numPr>
                <w:ilvl w:val="0"/>
                <w:numId w:val="0"/>
              </w:numPr>
              <w:spacing w:after="0"/>
              <w:jc w:val="center"/>
              <w:rPr>
                <w:rFonts w:ascii="Arial Narrow" w:hAnsi="Arial Narrow"/>
                <w:b/>
                <w:sz w:val="20"/>
                <w:szCs w:val="20"/>
              </w:rPr>
            </w:pPr>
            <w:r w:rsidRPr="00534C5B">
              <w:rPr>
                <w:rFonts w:ascii="Arial Narrow" w:hAnsi="Arial Narrow"/>
                <w:b/>
                <w:sz w:val="20"/>
                <w:szCs w:val="20"/>
              </w:rPr>
              <w:t>2024</w:t>
            </w:r>
          </w:p>
        </w:tc>
        <w:tc>
          <w:tcPr>
            <w:tcW w:w="1060" w:type="dxa"/>
            <w:tcMar>
              <w:left w:w="28" w:type="dxa"/>
              <w:right w:w="28" w:type="dxa"/>
            </w:tcMar>
          </w:tcPr>
          <w:p w:rsidR="00EC05D6" w:rsidRPr="00534C5B" w:rsidRDefault="00EC05D6" w:rsidP="00675B91">
            <w:pPr>
              <w:pStyle w:val="3Bodytext"/>
              <w:keepNext/>
              <w:keepLines/>
              <w:numPr>
                <w:ilvl w:val="0"/>
                <w:numId w:val="0"/>
              </w:numPr>
              <w:spacing w:after="0"/>
              <w:jc w:val="center"/>
              <w:rPr>
                <w:rFonts w:ascii="Arial Narrow" w:hAnsi="Arial Narrow"/>
                <w:b/>
                <w:sz w:val="20"/>
                <w:szCs w:val="20"/>
              </w:rPr>
            </w:pPr>
            <w:r w:rsidRPr="00534C5B">
              <w:rPr>
                <w:rFonts w:ascii="Arial Narrow" w:hAnsi="Arial Narrow"/>
                <w:b/>
                <w:sz w:val="20"/>
                <w:szCs w:val="20"/>
              </w:rPr>
              <w:t>2025</w:t>
            </w:r>
          </w:p>
        </w:tc>
      </w:tr>
      <w:tr w:rsidR="00EC05D6" w:rsidRPr="00534C5B" w:rsidTr="00F15DAD">
        <w:trPr>
          <w:tblHeader/>
        </w:trPr>
        <w:tc>
          <w:tcPr>
            <w:tcW w:w="1555" w:type="dxa"/>
            <w:tcMar>
              <w:left w:w="28" w:type="dxa"/>
              <w:right w:w="28" w:type="dxa"/>
            </w:tcMar>
          </w:tcPr>
          <w:p w:rsidR="00EC05D6" w:rsidRPr="00534C5B" w:rsidRDefault="00EC05D6" w:rsidP="00675B91">
            <w:pPr>
              <w:pStyle w:val="3Bodytext"/>
              <w:keepNext/>
              <w:keepLines/>
              <w:numPr>
                <w:ilvl w:val="0"/>
                <w:numId w:val="0"/>
              </w:numPr>
              <w:spacing w:after="0"/>
              <w:jc w:val="left"/>
              <w:rPr>
                <w:rFonts w:ascii="Arial Narrow" w:hAnsi="Arial Narrow"/>
                <w:sz w:val="20"/>
                <w:szCs w:val="20"/>
              </w:rPr>
            </w:pPr>
            <w:r w:rsidRPr="00534C5B">
              <w:rPr>
                <w:rFonts w:ascii="Arial Narrow" w:hAnsi="Arial Narrow"/>
                <w:sz w:val="20"/>
                <w:szCs w:val="20"/>
              </w:rPr>
              <w:t>PD-1 subsidisation caps</w:t>
            </w:r>
          </w:p>
        </w:tc>
        <w:tc>
          <w:tcPr>
            <w:tcW w:w="992" w:type="dxa"/>
            <w:tcMar>
              <w:left w:w="28" w:type="dxa"/>
              <w:right w:w="28" w:type="dxa"/>
            </w:tcMar>
            <w:vAlign w:val="center"/>
          </w:tcPr>
          <w:p w:rsidR="00EC05D6" w:rsidRPr="00653477" w:rsidRDefault="00653477" w:rsidP="00675B91">
            <w:pPr>
              <w:pStyle w:val="3Bodytext"/>
              <w:keepNext/>
              <w:keepLines/>
              <w:numPr>
                <w:ilvl w:val="0"/>
                <w:numId w:val="0"/>
              </w:numPr>
              <w:spacing w:after="0"/>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134" w:type="dxa"/>
            <w:tcMar>
              <w:left w:w="28" w:type="dxa"/>
              <w:right w:w="28" w:type="dxa"/>
            </w:tcMar>
            <w:vAlign w:val="center"/>
          </w:tcPr>
          <w:p w:rsidR="00EC05D6" w:rsidRPr="00653477" w:rsidRDefault="00653477" w:rsidP="00675B91">
            <w:pPr>
              <w:pStyle w:val="3Bodytext"/>
              <w:keepNext/>
              <w:keepLines/>
              <w:numPr>
                <w:ilvl w:val="0"/>
                <w:numId w:val="0"/>
              </w:numPr>
              <w:spacing w:after="0"/>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089" w:type="dxa"/>
            <w:tcMar>
              <w:left w:w="28" w:type="dxa"/>
              <w:right w:w="28" w:type="dxa"/>
            </w:tcMar>
            <w:vAlign w:val="center"/>
          </w:tcPr>
          <w:p w:rsidR="00EC05D6" w:rsidRPr="00653477" w:rsidRDefault="00653477" w:rsidP="00675B91">
            <w:pPr>
              <w:pStyle w:val="3Bodytext"/>
              <w:keepNext/>
              <w:keepLines/>
              <w:numPr>
                <w:ilvl w:val="0"/>
                <w:numId w:val="0"/>
              </w:numPr>
              <w:spacing w:after="0"/>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066" w:type="dxa"/>
            <w:tcMar>
              <w:left w:w="28" w:type="dxa"/>
              <w:right w:w="28" w:type="dxa"/>
            </w:tcMar>
            <w:vAlign w:val="center"/>
          </w:tcPr>
          <w:p w:rsidR="00EC05D6" w:rsidRPr="00653477" w:rsidRDefault="00653477" w:rsidP="00675B91">
            <w:pPr>
              <w:pStyle w:val="3Bodytext"/>
              <w:keepNext/>
              <w:keepLines/>
              <w:numPr>
                <w:ilvl w:val="0"/>
                <w:numId w:val="0"/>
              </w:numPr>
              <w:spacing w:after="0"/>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060" w:type="dxa"/>
            <w:tcMar>
              <w:left w:w="28" w:type="dxa"/>
              <w:right w:w="28" w:type="dxa"/>
            </w:tcMar>
            <w:vAlign w:val="center"/>
          </w:tcPr>
          <w:p w:rsidR="00EC05D6" w:rsidRPr="00653477" w:rsidRDefault="00653477" w:rsidP="00675B91">
            <w:pPr>
              <w:pStyle w:val="3Bodytext"/>
              <w:keepNext/>
              <w:keepLines/>
              <w:numPr>
                <w:ilvl w:val="0"/>
                <w:numId w:val="0"/>
              </w:numPr>
              <w:spacing w:after="0"/>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060" w:type="dxa"/>
            <w:tcMar>
              <w:left w:w="28" w:type="dxa"/>
              <w:right w:w="28" w:type="dxa"/>
            </w:tcMar>
            <w:vAlign w:val="center"/>
          </w:tcPr>
          <w:p w:rsidR="00EC05D6" w:rsidRPr="00653477" w:rsidRDefault="00653477" w:rsidP="00675B91">
            <w:pPr>
              <w:pStyle w:val="3Bodytext"/>
              <w:keepNext/>
              <w:keepLines/>
              <w:numPr>
                <w:ilvl w:val="0"/>
                <w:numId w:val="0"/>
              </w:numPr>
              <w:spacing w:after="0"/>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060" w:type="dxa"/>
            <w:tcMar>
              <w:left w:w="28" w:type="dxa"/>
              <w:right w:w="28" w:type="dxa"/>
            </w:tcMar>
            <w:vAlign w:val="center"/>
          </w:tcPr>
          <w:p w:rsidR="00EC05D6" w:rsidRPr="00653477" w:rsidRDefault="00653477" w:rsidP="00675B91">
            <w:pPr>
              <w:pStyle w:val="3Bodytext"/>
              <w:keepNext/>
              <w:keepLines/>
              <w:numPr>
                <w:ilvl w:val="0"/>
                <w:numId w:val="0"/>
              </w:numPr>
              <w:spacing w:after="0"/>
              <w:jc w:val="center"/>
              <w:rPr>
                <w:rFonts w:ascii="Arial Narrow" w:hAnsi="Arial Narrow"/>
                <w:sz w:val="20"/>
                <w:szCs w:val="20"/>
                <w:highlight w:val="black"/>
              </w:rPr>
            </w:pPr>
            <w:r>
              <w:rPr>
                <w:rFonts w:ascii="Arial Narrow" w:hAnsi="Arial Narrow"/>
                <w:noProof/>
                <w:color w:val="000000"/>
                <w:sz w:val="20"/>
                <w:szCs w:val="20"/>
                <w:highlight w:val="black"/>
              </w:rPr>
              <w:t>''''''''''''''''''''''''''''''''</w:t>
            </w:r>
          </w:p>
        </w:tc>
      </w:tr>
    </w:tbl>
    <w:p w:rsidR="00EC05D6" w:rsidRPr="00534C5B" w:rsidRDefault="00EC05D6" w:rsidP="00EC05D6">
      <w:pPr>
        <w:pStyle w:val="TableFooter"/>
      </w:pPr>
      <w:r w:rsidRPr="00534C5B">
        <w:t>PD-1 = programmed death-1 inhibitor</w:t>
      </w:r>
    </w:p>
    <w:p w:rsidR="00EC05D6" w:rsidRPr="00534C5B" w:rsidRDefault="00EC05D6" w:rsidP="00EC05D6">
      <w:pPr>
        <w:pStyle w:val="TableFooter"/>
      </w:pPr>
      <w:r w:rsidRPr="00534C5B">
        <w:t>Source: Table 8, p6 of the August 2019 nivolumab proposal</w:t>
      </w:r>
    </w:p>
    <w:p w:rsidR="00EC05D6" w:rsidRPr="00534C5B" w:rsidRDefault="00EC05D6" w:rsidP="00E76635"/>
    <w:p w:rsidR="00D8260F" w:rsidRPr="00534C5B" w:rsidRDefault="00D8260F" w:rsidP="00AF0867">
      <w:pPr>
        <w:pStyle w:val="3Bodytext"/>
        <w:numPr>
          <w:ilvl w:val="1"/>
          <w:numId w:val="1"/>
        </w:numPr>
        <w:rPr>
          <w:szCs w:val="24"/>
        </w:rPr>
      </w:pPr>
      <w:r w:rsidRPr="00534C5B">
        <w:rPr>
          <w:szCs w:val="24"/>
        </w:rPr>
        <w:t xml:space="preserve">The sponsor considered that the annual growth rate of </w:t>
      </w:r>
      <w:r w:rsidR="00653477">
        <w:rPr>
          <w:noProof/>
          <w:color w:val="000000"/>
          <w:szCs w:val="24"/>
          <w:highlight w:val="black"/>
        </w:rPr>
        <w:t>''''''''</w:t>
      </w:r>
      <w:r w:rsidRPr="00534C5B">
        <w:rPr>
          <w:szCs w:val="24"/>
        </w:rPr>
        <w:t>% was conservative compared with a predicted growth of 6.9%, based on DUSC’s reported number of incident patients commencing PBS treatment for the period 2014 to 2017</w:t>
      </w:r>
      <w:r w:rsidR="003326BA" w:rsidRPr="00534C5B">
        <w:rPr>
          <w:rStyle w:val="FootnoteReference"/>
          <w:szCs w:val="24"/>
        </w:rPr>
        <w:footnoteReference w:id="2"/>
      </w:r>
      <w:r w:rsidRPr="00534C5B">
        <w:rPr>
          <w:szCs w:val="24"/>
        </w:rPr>
        <w:t xml:space="preserve">. </w:t>
      </w:r>
      <w:r w:rsidRPr="00534C5B">
        <w:t>The Secretariat noted that over the period from 2014 to 2017 a number of new treatments became available which may have impacted on the growth rate, as only ipilimumab and dabrafenib were available in 2014.</w:t>
      </w:r>
    </w:p>
    <w:p w:rsidR="00D8260F" w:rsidRPr="00534C5B" w:rsidRDefault="00D8260F" w:rsidP="00AF0867">
      <w:pPr>
        <w:pStyle w:val="3Bodytext"/>
        <w:numPr>
          <w:ilvl w:val="1"/>
          <w:numId w:val="1"/>
        </w:numPr>
        <w:rPr>
          <w:szCs w:val="24"/>
        </w:rPr>
      </w:pPr>
      <w:r w:rsidRPr="00534C5B">
        <w:t xml:space="preserve">The sponsor also noted the assumed growth rate of </w:t>
      </w:r>
      <w:r w:rsidR="00653477">
        <w:rPr>
          <w:noProof/>
          <w:color w:val="000000"/>
          <w:highlight w:val="black"/>
        </w:rPr>
        <w:t>''''''''</w:t>
      </w:r>
      <w:r w:rsidRPr="00534C5B">
        <w:t xml:space="preserve">% was substantially lower than the actual growth in PD-1 </w:t>
      </w:r>
      <w:r w:rsidR="001C71C5" w:rsidRPr="00534C5B">
        <w:t xml:space="preserve">inhibitor </w:t>
      </w:r>
      <w:r w:rsidRPr="00534C5B">
        <w:t xml:space="preserve">expenditure for unresectable melanoma prior to rebates being applied (15.1% growth in Sep 2017 </w:t>
      </w:r>
      <w:r w:rsidR="003326BA" w:rsidRPr="00534C5B">
        <w:t>to</w:t>
      </w:r>
      <w:r w:rsidRPr="00534C5B">
        <w:t xml:space="preserve"> Aug 2018 and 17.8% growth in Sep 2018 </w:t>
      </w:r>
      <w:r w:rsidR="003326BA" w:rsidRPr="00534C5B">
        <w:t>to</w:t>
      </w:r>
      <w:r w:rsidRPr="00534C5B">
        <w:t xml:space="preserve"> Aug 2019). </w:t>
      </w:r>
    </w:p>
    <w:p w:rsidR="005D093C" w:rsidRPr="00534C5B" w:rsidRDefault="00A70144" w:rsidP="005D093C">
      <w:pPr>
        <w:pStyle w:val="3Bodytext"/>
        <w:numPr>
          <w:ilvl w:val="1"/>
          <w:numId w:val="1"/>
        </w:numPr>
        <w:rPr>
          <w:szCs w:val="24"/>
        </w:rPr>
      </w:pPr>
      <w:r w:rsidRPr="00534C5B">
        <w:t xml:space="preserve">The PBAC noted that the incidence of melanoma in Australia was increasing at a rate lower than </w:t>
      </w:r>
      <w:r w:rsidR="00653477">
        <w:rPr>
          <w:noProof/>
          <w:color w:val="000000"/>
          <w:highlight w:val="black"/>
        </w:rPr>
        <w:t>'''''''''</w:t>
      </w:r>
      <w:r w:rsidRPr="00534C5B">
        <w:t xml:space="preserve">% - see Table </w:t>
      </w:r>
      <w:r w:rsidR="00AB5085" w:rsidRPr="00534C5B">
        <w:t>7</w:t>
      </w:r>
      <w:r w:rsidRPr="00534C5B">
        <w:t>.</w:t>
      </w:r>
      <w:r w:rsidR="005D093C" w:rsidRPr="00534C5B">
        <w:t xml:space="preserve"> The PBAC considered that a </w:t>
      </w:r>
      <w:r w:rsidR="006A411C" w:rsidRPr="00534C5B">
        <w:t xml:space="preserve">growth </w:t>
      </w:r>
      <w:r w:rsidR="005D093C" w:rsidRPr="00534C5B">
        <w:t xml:space="preserve">rate of </w:t>
      </w:r>
      <w:r w:rsidR="00653477">
        <w:rPr>
          <w:noProof/>
          <w:color w:val="000000"/>
          <w:highlight w:val="black"/>
        </w:rPr>
        <w:t>'''''''''</w:t>
      </w:r>
      <w:r w:rsidR="005D093C" w:rsidRPr="00534C5B">
        <w:t>%, which was the assumed annual growth rate of the unresectable or metastatic BRAF/MEK inhibitor treated population in the July 2019 minor resubmission</w:t>
      </w:r>
      <w:r w:rsidR="001E7654" w:rsidRPr="00534C5B">
        <w:t xml:space="preserve"> and which was based on PBS data from January to June 2018</w:t>
      </w:r>
      <w:r w:rsidR="005D093C" w:rsidRPr="00534C5B">
        <w:t>, applied to the 6-year forecast would be more appropriate.</w:t>
      </w:r>
    </w:p>
    <w:p w:rsidR="005D093C" w:rsidRPr="00534C5B" w:rsidRDefault="00AB5085" w:rsidP="00063764">
      <w:pPr>
        <w:pStyle w:val="3Bodytext"/>
        <w:keepNext/>
        <w:keepLines/>
        <w:numPr>
          <w:ilvl w:val="0"/>
          <w:numId w:val="0"/>
        </w:numPr>
        <w:spacing w:after="0"/>
        <w:rPr>
          <w:szCs w:val="24"/>
        </w:rPr>
      </w:pPr>
      <w:r w:rsidRPr="00534C5B">
        <w:rPr>
          <w:rFonts w:ascii="Arial Narrow" w:hAnsi="Arial Narrow"/>
          <w:b/>
          <w:sz w:val="20"/>
          <w:szCs w:val="20"/>
        </w:rPr>
        <w:lastRenderedPageBreak/>
        <w:t>Table 7</w:t>
      </w:r>
      <w:r w:rsidR="005D093C" w:rsidRPr="00534C5B">
        <w:rPr>
          <w:rFonts w:ascii="Arial Narrow" w:hAnsi="Arial Narrow"/>
          <w:b/>
          <w:sz w:val="20"/>
          <w:szCs w:val="20"/>
        </w:rPr>
        <w:t>: Incidence of melanoma in Australia</w:t>
      </w:r>
    </w:p>
    <w:tbl>
      <w:tblPr>
        <w:tblStyle w:val="TableGrid"/>
        <w:tblW w:w="0" w:type="auto"/>
        <w:tblLook w:val="04A0" w:firstRow="1" w:lastRow="0" w:firstColumn="1" w:lastColumn="0" w:noHBand="0" w:noVBand="1"/>
        <w:tblCaption w:val="Table 7: Incidence of melanoma in Australia"/>
      </w:tblPr>
      <w:tblGrid>
        <w:gridCol w:w="3005"/>
        <w:gridCol w:w="3005"/>
        <w:gridCol w:w="3006"/>
      </w:tblGrid>
      <w:tr w:rsidR="00A70144" w:rsidRPr="00534C5B" w:rsidTr="00F15DAD">
        <w:trPr>
          <w:tblHeader/>
        </w:trPr>
        <w:tc>
          <w:tcPr>
            <w:tcW w:w="3005" w:type="dxa"/>
          </w:tcPr>
          <w:p w:rsidR="00A70144" w:rsidRPr="00534C5B" w:rsidRDefault="00A70144" w:rsidP="00063764">
            <w:pPr>
              <w:pStyle w:val="3Bodytext"/>
              <w:keepNext/>
              <w:keepLines/>
              <w:numPr>
                <w:ilvl w:val="0"/>
                <w:numId w:val="0"/>
              </w:numPr>
              <w:spacing w:after="0"/>
              <w:jc w:val="left"/>
              <w:rPr>
                <w:rFonts w:ascii="Arial Narrow" w:hAnsi="Arial Narrow"/>
                <w:b/>
                <w:sz w:val="20"/>
                <w:szCs w:val="20"/>
              </w:rPr>
            </w:pPr>
            <w:r w:rsidRPr="00534C5B">
              <w:rPr>
                <w:rFonts w:ascii="Arial Narrow" w:hAnsi="Arial Narrow"/>
                <w:b/>
                <w:sz w:val="20"/>
                <w:szCs w:val="20"/>
              </w:rPr>
              <w:t>Year</w:t>
            </w:r>
          </w:p>
        </w:tc>
        <w:tc>
          <w:tcPr>
            <w:tcW w:w="3005" w:type="dxa"/>
          </w:tcPr>
          <w:p w:rsidR="00A70144" w:rsidRPr="00534C5B" w:rsidRDefault="00A70144" w:rsidP="00063764">
            <w:pPr>
              <w:pStyle w:val="3Bodytext"/>
              <w:keepNext/>
              <w:keepLines/>
              <w:numPr>
                <w:ilvl w:val="0"/>
                <w:numId w:val="0"/>
              </w:numPr>
              <w:spacing w:after="0"/>
              <w:jc w:val="center"/>
              <w:rPr>
                <w:rFonts w:ascii="Arial Narrow" w:hAnsi="Arial Narrow"/>
                <w:b/>
                <w:sz w:val="20"/>
                <w:szCs w:val="20"/>
              </w:rPr>
            </w:pPr>
            <w:r w:rsidRPr="00534C5B">
              <w:rPr>
                <w:rFonts w:ascii="Arial Narrow" w:hAnsi="Arial Narrow"/>
                <w:b/>
                <w:sz w:val="20"/>
                <w:szCs w:val="20"/>
              </w:rPr>
              <w:t>Incident cases</w:t>
            </w:r>
          </w:p>
        </w:tc>
        <w:tc>
          <w:tcPr>
            <w:tcW w:w="3006" w:type="dxa"/>
          </w:tcPr>
          <w:p w:rsidR="00A70144" w:rsidRPr="00534C5B" w:rsidRDefault="00A70144" w:rsidP="00063764">
            <w:pPr>
              <w:pStyle w:val="3Bodytext"/>
              <w:keepNext/>
              <w:keepLines/>
              <w:numPr>
                <w:ilvl w:val="0"/>
                <w:numId w:val="0"/>
              </w:numPr>
              <w:spacing w:after="0"/>
              <w:jc w:val="center"/>
              <w:rPr>
                <w:rFonts w:ascii="Arial Narrow" w:hAnsi="Arial Narrow"/>
                <w:b/>
                <w:sz w:val="20"/>
                <w:szCs w:val="20"/>
              </w:rPr>
            </w:pPr>
            <w:r w:rsidRPr="00534C5B">
              <w:rPr>
                <w:rFonts w:ascii="Arial Narrow" w:hAnsi="Arial Narrow"/>
                <w:b/>
                <w:sz w:val="20"/>
                <w:szCs w:val="20"/>
              </w:rPr>
              <w:t>Growth</w:t>
            </w:r>
          </w:p>
        </w:tc>
      </w:tr>
      <w:tr w:rsidR="00A70144" w:rsidRPr="00534C5B" w:rsidTr="00F15DAD">
        <w:trPr>
          <w:tblHeader/>
        </w:trPr>
        <w:tc>
          <w:tcPr>
            <w:tcW w:w="3005" w:type="dxa"/>
          </w:tcPr>
          <w:p w:rsidR="00A70144" w:rsidRPr="00534C5B" w:rsidRDefault="00A70144" w:rsidP="00063764">
            <w:pPr>
              <w:pStyle w:val="3Bodytext"/>
              <w:keepNext/>
              <w:keepLines/>
              <w:numPr>
                <w:ilvl w:val="0"/>
                <w:numId w:val="0"/>
              </w:numPr>
              <w:spacing w:after="0"/>
              <w:jc w:val="left"/>
              <w:rPr>
                <w:rFonts w:ascii="Arial Narrow" w:hAnsi="Arial Narrow"/>
                <w:sz w:val="20"/>
                <w:szCs w:val="20"/>
              </w:rPr>
            </w:pPr>
            <w:r w:rsidRPr="00534C5B">
              <w:rPr>
                <w:rFonts w:ascii="Arial Narrow" w:hAnsi="Arial Narrow"/>
                <w:sz w:val="20"/>
                <w:szCs w:val="20"/>
              </w:rPr>
              <w:t>2010</w:t>
            </w:r>
          </w:p>
        </w:tc>
        <w:tc>
          <w:tcPr>
            <w:tcW w:w="3005" w:type="dxa"/>
          </w:tcPr>
          <w:p w:rsidR="00A70144" w:rsidRPr="00534C5B" w:rsidRDefault="00A70144" w:rsidP="00063764">
            <w:pPr>
              <w:pStyle w:val="3Bodytext"/>
              <w:keepNext/>
              <w:keepLines/>
              <w:numPr>
                <w:ilvl w:val="0"/>
                <w:numId w:val="0"/>
              </w:numPr>
              <w:spacing w:after="0"/>
              <w:jc w:val="center"/>
              <w:rPr>
                <w:rFonts w:ascii="Arial Narrow" w:hAnsi="Arial Narrow"/>
                <w:sz w:val="20"/>
                <w:szCs w:val="20"/>
              </w:rPr>
            </w:pPr>
            <w:r w:rsidRPr="00534C5B">
              <w:rPr>
                <w:rFonts w:ascii="Arial Narrow" w:hAnsi="Arial Narrow"/>
                <w:sz w:val="20"/>
                <w:szCs w:val="20"/>
              </w:rPr>
              <w:t>11,509</w:t>
            </w:r>
          </w:p>
        </w:tc>
        <w:tc>
          <w:tcPr>
            <w:tcW w:w="3006" w:type="dxa"/>
          </w:tcPr>
          <w:p w:rsidR="00A70144" w:rsidRPr="00534C5B" w:rsidRDefault="00A70144" w:rsidP="00063764">
            <w:pPr>
              <w:pStyle w:val="3Bodytext"/>
              <w:keepNext/>
              <w:keepLines/>
              <w:numPr>
                <w:ilvl w:val="0"/>
                <w:numId w:val="0"/>
              </w:numPr>
              <w:spacing w:after="0"/>
              <w:jc w:val="center"/>
              <w:rPr>
                <w:rFonts w:ascii="Arial Narrow" w:hAnsi="Arial Narrow"/>
                <w:sz w:val="20"/>
                <w:szCs w:val="20"/>
              </w:rPr>
            </w:pPr>
            <w:r w:rsidRPr="00534C5B">
              <w:rPr>
                <w:rFonts w:ascii="Arial Narrow" w:hAnsi="Arial Narrow"/>
                <w:sz w:val="20"/>
                <w:szCs w:val="20"/>
              </w:rPr>
              <w:t>-</w:t>
            </w:r>
          </w:p>
        </w:tc>
      </w:tr>
      <w:tr w:rsidR="00A70144" w:rsidRPr="00534C5B" w:rsidTr="00F15DAD">
        <w:trPr>
          <w:tblHeader/>
        </w:trPr>
        <w:tc>
          <w:tcPr>
            <w:tcW w:w="3005" w:type="dxa"/>
          </w:tcPr>
          <w:p w:rsidR="00A70144" w:rsidRPr="00534C5B" w:rsidRDefault="00A70144" w:rsidP="00063764">
            <w:pPr>
              <w:pStyle w:val="3Bodytext"/>
              <w:keepNext/>
              <w:keepLines/>
              <w:numPr>
                <w:ilvl w:val="0"/>
                <w:numId w:val="0"/>
              </w:numPr>
              <w:spacing w:after="0"/>
              <w:jc w:val="left"/>
              <w:rPr>
                <w:rFonts w:ascii="Arial Narrow" w:hAnsi="Arial Narrow"/>
                <w:sz w:val="20"/>
                <w:szCs w:val="20"/>
              </w:rPr>
            </w:pPr>
            <w:r w:rsidRPr="00534C5B">
              <w:rPr>
                <w:rFonts w:ascii="Arial Narrow" w:hAnsi="Arial Narrow"/>
                <w:sz w:val="20"/>
                <w:szCs w:val="20"/>
              </w:rPr>
              <w:t>2011</w:t>
            </w:r>
          </w:p>
        </w:tc>
        <w:tc>
          <w:tcPr>
            <w:tcW w:w="3005" w:type="dxa"/>
          </w:tcPr>
          <w:p w:rsidR="00A70144" w:rsidRPr="00534C5B" w:rsidRDefault="00A70144" w:rsidP="00063764">
            <w:pPr>
              <w:pStyle w:val="3Bodytext"/>
              <w:keepNext/>
              <w:keepLines/>
              <w:numPr>
                <w:ilvl w:val="0"/>
                <w:numId w:val="0"/>
              </w:numPr>
              <w:spacing w:after="0"/>
              <w:jc w:val="center"/>
              <w:rPr>
                <w:rFonts w:ascii="Arial Narrow" w:hAnsi="Arial Narrow"/>
                <w:sz w:val="20"/>
                <w:szCs w:val="20"/>
              </w:rPr>
            </w:pPr>
            <w:r w:rsidRPr="00534C5B">
              <w:rPr>
                <w:rFonts w:ascii="Arial Narrow" w:hAnsi="Arial Narrow"/>
                <w:sz w:val="20"/>
                <w:szCs w:val="20"/>
              </w:rPr>
              <w:t>11,663</w:t>
            </w:r>
          </w:p>
        </w:tc>
        <w:tc>
          <w:tcPr>
            <w:tcW w:w="3006" w:type="dxa"/>
          </w:tcPr>
          <w:p w:rsidR="00A70144" w:rsidRPr="00534C5B" w:rsidRDefault="00A70144" w:rsidP="00063764">
            <w:pPr>
              <w:pStyle w:val="3Bodytext"/>
              <w:keepNext/>
              <w:keepLines/>
              <w:numPr>
                <w:ilvl w:val="0"/>
                <w:numId w:val="0"/>
              </w:numPr>
              <w:spacing w:after="0"/>
              <w:jc w:val="center"/>
              <w:rPr>
                <w:rFonts w:ascii="Arial Narrow" w:hAnsi="Arial Narrow"/>
                <w:sz w:val="20"/>
                <w:szCs w:val="20"/>
              </w:rPr>
            </w:pPr>
            <w:r w:rsidRPr="00534C5B">
              <w:rPr>
                <w:rFonts w:ascii="Arial Narrow" w:hAnsi="Arial Narrow"/>
                <w:sz w:val="20"/>
                <w:szCs w:val="20"/>
              </w:rPr>
              <w:t>1.34%</w:t>
            </w:r>
          </w:p>
        </w:tc>
      </w:tr>
      <w:tr w:rsidR="00A70144" w:rsidRPr="00534C5B" w:rsidTr="00F15DAD">
        <w:trPr>
          <w:tblHeader/>
        </w:trPr>
        <w:tc>
          <w:tcPr>
            <w:tcW w:w="3005" w:type="dxa"/>
          </w:tcPr>
          <w:p w:rsidR="00A70144" w:rsidRPr="00534C5B" w:rsidRDefault="00A70144" w:rsidP="00063764">
            <w:pPr>
              <w:pStyle w:val="3Bodytext"/>
              <w:keepNext/>
              <w:keepLines/>
              <w:numPr>
                <w:ilvl w:val="0"/>
                <w:numId w:val="0"/>
              </w:numPr>
              <w:spacing w:after="0"/>
              <w:jc w:val="left"/>
              <w:rPr>
                <w:rFonts w:ascii="Arial Narrow" w:hAnsi="Arial Narrow"/>
                <w:sz w:val="20"/>
                <w:szCs w:val="20"/>
              </w:rPr>
            </w:pPr>
            <w:r w:rsidRPr="00534C5B">
              <w:rPr>
                <w:rFonts w:ascii="Arial Narrow" w:hAnsi="Arial Narrow"/>
                <w:sz w:val="20"/>
                <w:szCs w:val="20"/>
              </w:rPr>
              <w:t>2012</w:t>
            </w:r>
          </w:p>
        </w:tc>
        <w:tc>
          <w:tcPr>
            <w:tcW w:w="3005" w:type="dxa"/>
          </w:tcPr>
          <w:p w:rsidR="00A70144" w:rsidRPr="00534C5B" w:rsidRDefault="00A70144" w:rsidP="00063764">
            <w:pPr>
              <w:pStyle w:val="3Bodytext"/>
              <w:keepNext/>
              <w:keepLines/>
              <w:numPr>
                <w:ilvl w:val="0"/>
                <w:numId w:val="0"/>
              </w:numPr>
              <w:spacing w:after="0"/>
              <w:jc w:val="center"/>
              <w:rPr>
                <w:rFonts w:ascii="Arial Narrow" w:hAnsi="Arial Narrow"/>
                <w:sz w:val="20"/>
                <w:szCs w:val="20"/>
              </w:rPr>
            </w:pPr>
            <w:r w:rsidRPr="00534C5B">
              <w:rPr>
                <w:rFonts w:ascii="Arial Narrow" w:hAnsi="Arial Narrow"/>
                <w:sz w:val="20"/>
                <w:szCs w:val="20"/>
              </w:rPr>
              <w:t>12,270</w:t>
            </w:r>
          </w:p>
        </w:tc>
        <w:tc>
          <w:tcPr>
            <w:tcW w:w="3006" w:type="dxa"/>
          </w:tcPr>
          <w:p w:rsidR="00A70144" w:rsidRPr="00534C5B" w:rsidRDefault="00A70144" w:rsidP="00063764">
            <w:pPr>
              <w:pStyle w:val="3Bodytext"/>
              <w:keepNext/>
              <w:keepLines/>
              <w:numPr>
                <w:ilvl w:val="0"/>
                <w:numId w:val="0"/>
              </w:numPr>
              <w:spacing w:after="0"/>
              <w:jc w:val="center"/>
              <w:rPr>
                <w:rFonts w:ascii="Arial Narrow" w:hAnsi="Arial Narrow"/>
                <w:sz w:val="20"/>
                <w:szCs w:val="20"/>
              </w:rPr>
            </w:pPr>
            <w:r w:rsidRPr="00534C5B">
              <w:rPr>
                <w:rFonts w:ascii="Arial Narrow" w:hAnsi="Arial Narrow"/>
                <w:sz w:val="20"/>
                <w:szCs w:val="20"/>
              </w:rPr>
              <w:t>5.20%</w:t>
            </w:r>
          </w:p>
        </w:tc>
      </w:tr>
      <w:tr w:rsidR="00A70144" w:rsidRPr="00534C5B" w:rsidTr="00F15DAD">
        <w:trPr>
          <w:tblHeader/>
        </w:trPr>
        <w:tc>
          <w:tcPr>
            <w:tcW w:w="3005" w:type="dxa"/>
          </w:tcPr>
          <w:p w:rsidR="00A70144" w:rsidRPr="00534C5B" w:rsidRDefault="00A70144" w:rsidP="00063764">
            <w:pPr>
              <w:pStyle w:val="3Bodytext"/>
              <w:keepNext/>
              <w:keepLines/>
              <w:numPr>
                <w:ilvl w:val="0"/>
                <w:numId w:val="0"/>
              </w:numPr>
              <w:spacing w:after="0"/>
              <w:jc w:val="left"/>
              <w:rPr>
                <w:rFonts w:ascii="Arial Narrow" w:hAnsi="Arial Narrow"/>
                <w:sz w:val="20"/>
                <w:szCs w:val="20"/>
              </w:rPr>
            </w:pPr>
            <w:r w:rsidRPr="00534C5B">
              <w:rPr>
                <w:rFonts w:ascii="Arial Narrow" w:hAnsi="Arial Narrow"/>
                <w:sz w:val="20"/>
                <w:szCs w:val="20"/>
              </w:rPr>
              <w:t>2013</w:t>
            </w:r>
          </w:p>
        </w:tc>
        <w:tc>
          <w:tcPr>
            <w:tcW w:w="3005" w:type="dxa"/>
          </w:tcPr>
          <w:p w:rsidR="00A70144" w:rsidRPr="00534C5B" w:rsidRDefault="00A70144" w:rsidP="00063764">
            <w:pPr>
              <w:pStyle w:val="3Bodytext"/>
              <w:keepNext/>
              <w:keepLines/>
              <w:numPr>
                <w:ilvl w:val="0"/>
                <w:numId w:val="0"/>
              </w:numPr>
              <w:spacing w:after="0"/>
              <w:jc w:val="center"/>
              <w:rPr>
                <w:rFonts w:ascii="Arial Narrow" w:hAnsi="Arial Narrow"/>
                <w:sz w:val="20"/>
                <w:szCs w:val="20"/>
              </w:rPr>
            </w:pPr>
            <w:r w:rsidRPr="00534C5B">
              <w:rPr>
                <w:rFonts w:ascii="Arial Narrow" w:hAnsi="Arial Narrow"/>
                <w:sz w:val="20"/>
                <w:szCs w:val="20"/>
              </w:rPr>
              <w:t>12,892</w:t>
            </w:r>
          </w:p>
        </w:tc>
        <w:tc>
          <w:tcPr>
            <w:tcW w:w="3006" w:type="dxa"/>
          </w:tcPr>
          <w:p w:rsidR="00A70144" w:rsidRPr="00534C5B" w:rsidRDefault="005D093C" w:rsidP="00063764">
            <w:pPr>
              <w:pStyle w:val="3Bodytext"/>
              <w:keepNext/>
              <w:keepLines/>
              <w:numPr>
                <w:ilvl w:val="0"/>
                <w:numId w:val="0"/>
              </w:numPr>
              <w:spacing w:after="0"/>
              <w:jc w:val="center"/>
              <w:rPr>
                <w:rFonts w:ascii="Arial Narrow" w:hAnsi="Arial Narrow"/>
                <w:sz w:val="20"/>
                <w:szCs w:val="20"/>
              </w:rPr>
            </w:pPr>
            <w:r w:rsidRPr="00534C5B">
              <w:rPr>
                <w:rFonts w:ascii="Arial Narrow" w:hAnsi="Arial Narrow"/>
                <w:sz w:val="20"/>
                <w:szCs w:val="20"/>
              </w:rPr>
              <w:t>5</w:t>
            </w:r>
            <w:r w:rsidR="00A70144" w:rsidRPr="00534C5B">
              <w:rPr>
                <w:rFonts w:ascii="Arial Narrow" w:hAnsi="Arial Narrow"/>
                <w:sz w:val="20"/>
                <w:szCs w:val="20"/>
              </w:rPr>
              <w:t>.07%</w:t>
            </w:r>
          </w:p>
        </w:tc>
      </w:tr>
      <w:tr w:rsidR="00A70144" w:rsidRPr="00534C5B" w:rsidTr="00F15DAD">
        <w:trPr>
          <w:tblHeader/>
        </w:trPr>
        <w:tc>
          <w:tcPr>
            <w:tcW w:w="3005" w:type="dxa"/>
          </w:tcPr>
          <w:p w:rsidR="00A70144" w:rsidRPr="00534C5B" w:rsidRDefault="00A70144" w:rsidP="00063764">
            <w:pPr>
              <w:pStyle w:val="3Bodytext"/>
              <w:keepNext/>
              <w:keepLines/>
              <w:numPr>
                <w:ilvl w:val="0"/>
                <w:numId w:val="0"/>
              </w:numPr>
              <w:spacing w:after="0"/>
              <w:jc w:val="left"/>
              <w:rPr>
                <w:rFonts w:ascii="Arial Narrow" w:hAnsi="Arial Narrow"/>
                <w:sz w:val="20"/>
                <w:szCs w:val="20"/>
              </w:rPr>
            </w:pPr>
            <w:r w:rsidRPr="00534C5B">
              <w:rPr>
                <w:rFonts w:ascii="Arial Narrow" w:hAnsi="Arial Narrow"/>
                <w:sz w:val="20"/>
                <w:szCs w:val="20"/>
              </w:rPr>
              <w:t>2014</w:t>
            </w:r>
          </w:p>
        </w:tc>
        <w:tc>
          <w:tcPr>
            <w:tcW w:w="3005" w:type="dxa"/>
          </w:tcPr>
          <w:p w:rsidR="00A70144" w:rsidRPr="00534C5B" w:rsidRDefault="00A70144" w:rsidP="00063764">
            <w:pPr>
              <w:pStyle w:val="3Bodytext"/>
              <w:keepNext/>
              <w:keepLines/>
              <w:numPr>
                <w:ilvl w:val="0"/>
                <w:numId w:val="0"/>
              </w:numPr>
              <w:spacing w:after="0"/>
              <w:jc w:val="center"/>
              <w:rPr>
                <w:rFonts w:ascii="Arial Narrow" w:hAnsi="Arial Narrow"/>
                <w:sz w:val="20"/>
                <w:szCs w:val="20"/>
              </w:rPr>
            </w:pPr>
            <w:r w:rsidRPr="00534C5B">
              <w:rPr>
                <w:rFonts w:ascii="Arial Narrow" w:hAnsi="Arial Narrow"/>
                <w:sz w:val="20"/>
                <w:szCs w:val="20"/>
              </w:rPr>
              <w:t>13,215</w:t>
            </w:r>
          </w:p>
        </w:tc>
        <w:tc>
          <w:tcPr>
            <w:tcW w:w="3006" w:type="dxa"/>
          </w:tcPr>
          <w:p w:rsidR="00A70144" w:rsidRPr="00534C5B" w:rsidRDefault="005D093C" w:rsidP="00063764">
            <w:pPr>
              <w:pStyle w:val="3Bodytext"/>
              <w:keepNext/>
              <w:keepLines/>
              <w:numPr>
                <w:ilvl w:val="0"/>
                <w:numId w:val="0"/>
              </w:numPr>
              <w:spacing w:after="0"/>
              <w:jc w:val="center"/>
              <w:rPr>
                <w:rFonts w:ascii="Arial Narrow" w:hAnsi="Arial Narrow"/>
                <w:sz w:val="20"/>
                <w:szCs w:val="20"/>
              </w:rPr>
            </w:pPr>
            <w:r w:rsidRPr="00534C5B">
              <w:rPr>
                <w:rFonts w:ascii="Arial Narrow" w:hAnsi="Arial Narrow"/>
                <w:sz w:val="20"/>
                <w:szCs w:val="20"/>
              </w:rPr>
              <w:t>2.51%</w:t>
            </w:r>
          </w:p>
        </w:tc>
      </w:tr>
      <w:tr w:rsidR="00A70144" w:rsidRPr="00534C5B" w:rsidTr="00F15DAD">
        <w:trPr>
          <w:tblHeader/>
        </w:trPr>
        <w:tc>
          <w:tcPr>
            <w:tcW w:w="3005" w:type="dxa"/>
          </w:tcPr>
          <w:p w:rsidR="00A70144" w:rsidRPr="00534C5B" w:rsidRDefault="00A70144" w:rsidP="00063764">
            <w:pPr>
              <w:pStyle w:val="3Bodytext"/>
              <w:keepNext/>
              <w:keepLines/>
              <w:numPr>
                <w:ilvl w:val="0"/>
                <w:numId w:val="0"/>
              </w:numPr>
              <w:spacing w:after="0"/>
              <w:jc w:val="left"/>
              <w:rPr>
                <w:rFonts w:ascii="Arial Narrow" w:hAnsi="Arial Narrow"/>
                <w:sz w:val="20"/>
                <w:szCs w:val="20"/>
              </w:rPr>
            </w:pPr>
            <w:r w:rsidRPr="00534C5B">
              <w:rPr>
                <w:rFonts w:ascii="Arial Narrow" w:hAnsi="Arial Narrow"/>
                <w:sz w:val="20"/>
                <w:szCs w:val="20"/>
              </w:rPr>
              <w:t>2015</w:t>
            </w:r>
          </w:p>
        </w:tc>
        <w:tc>
          <w:tcPr>
            <w:tcW w:w="3005" w:type="dxa"/>
          </w:tcPr>
          <w:p w:rsidR="00A70144" w:rsidRPr="00534C5B" w:rsidRDefault="00A70144" w:rsidP="00063764">
            <w:pPr>
              <w:pStyle w:val="3Bodytext"/>
              <w:keepNext/>
              <w:keepLines/>
              <w:numPr>
                <w:ilvl w:val="0"/>
                <w:numId w:val="0"/>
              </w:numPr>
              <w:spacing w:after="0"/>
              <w:jc w:val="center"/>
              <w:rPr>
                <w:rFonts w:ascii="Arial Narrow" w:hAnsi="Arial Narrow"/>
                <w:sz w:val="20"/>
                <w:szCs w:val="20"/>
              </w:rPr>
            </w:pPr>
            <w:r w:rsidRPr="00534C5B">
              <w:rPr>
                <w:rFonts w:ascii="Arial Narrow" w:hAnsi="Arial Narrow"/>
                <w:sz w:val="20"/>
                <w:szCs w:val="20"/>
              </w:rPr>
              <w:t>13,694</w:t>
            </w:r>
          </w:p>
        </w:tc>
        <w:tc>
          <w:tcPr>
            <w:tcW w:w="3006" w:type="dxa"/>
          </w:tcPr>
          <w:p w:rsidR="00A70144" w:rsidRPr="00534C5B" w:rsidRDefault="005D093C" w:rsidP="00063764">
            <w:pPr>
              <w:pStyle w:val="3Bodytext"/>
              <w:keepNext/>
              <w:keepLines/>
              <w:numPr>
                <w:ilvl w:val="0"/>
                <w:numId w:val="0"/>
              </w:numPr>
              <w:spacing w:after="0"/>
              <w:jc w:val="center"/>
              <w:rPr>
                <w:rFonts w:ascii="Arial Narrow" w:hAnsi="Arial Narrow"/>
                <w:sz w:val="20"/>
                <w:szCs w:val="20"/>
              </w:rPr>
            </w:pPr>
            <w:r w:rsidRPr="00534C5B">
              <w:rPr>
                <w:rFonts w:ascii="Arial Narrow" w:hAnsi="Arial Narrow"/>
                <w:sz w:val="20"/>
                <w:szCs w:val="20"/>
              </w:rPr>
              <w:t>3.62%</w:t>
            </w:r>
          </w:p>
        </w:tc>
      </w:tr>
      <w:tr w:rsidR="00A70144" w:rsidRPr="00534C5B" w:rsidTr="00F15DAD">
        <w:trPr>
          <w:tblHeader/>
        </w:trPr>
        <w:tc>
          <w:tcPr>
            <w:tcW w:w="3005" w:type="dxa"/>
          </w:tcPr>
          <w:p w:rsidR="00A70144" w:rsidRPr="00534C5B" w:rsidRDefault="00A70144" w:rsidP="00063764">
            <w:pPr>
              <w:pStyle w:val="3Bodytext"/>
              <w:keepNext/>
              <w:keepLines/>
              <w:numPr>
                <w:ilvl w:val="0"/>
                <w:numId w:val="0"/>
              </w:numPr>
              <w:spacing w:after="0"/>
              <w:jc w:val="left"/>
              <w:rPr>
                <w:rFonts w:ascii="Arial Narrow" w:hAnsi="Arial Narrow"/>
                <w:sz w:val="20"/>
                <w:szCs w:val="20"/>
              </w:rPr>
            </w:pPr>
            <w:r w:rsidRPr="00534C5B">
              <w:rPr>
                <w:rFonts w:ascii="Arial Narrow" w:hAnsi="Arial Narrow"/>
                <w:sz w:val="20"/>
                <w:szCs w:val="20"/>
              </w:rPr>
              <w:t>2016</w:t>
            </w:r>
          </w:p>
        </w:tc>
        <w:tc>
          <w:tcPr>
            <w:tcW w:w="3005" w:type="dxa"/>
          </w:tcPr>
          <w:p w:rsidR="00A70144" w:rsidRPr="00534C5B" w:rsidRDefault="00A70144" w:rsidP="00063764">
            <w:pPr>
              <w:pStyle w:val="3Bodytext"/>
              <w:keepNext/>
              <w:keepLines/>
              <w:numPr>
                <w:ilvl w:val="0"/>
                <w:numId w:val="0"/>
              </w:numPr>
              <w:spacing w:after="0"/>
              <w:jc w:val="center"/>
              <w:rPr>
                <w:rFonts w:ascii="Arial Narrow" w:hAnsi="Arial Narrow"/>
                <w:sz w:val="20"/>
                <w:szCs w:val="20"/>
              </w:rPr>
            </w:pPr>
            <w:r w:rsidRPr="00534C5B">
              <w:rPr>
                <w:rFonts w:ascii="Arial Narrow" w:hAnsi="Arial Narrow"/>
                <w:sz w:val="20"/>
                <w:szCs w:val="20"/>
              </w:rPr>
              <w:t>13,816</w:t>
            </w:r>
          </w:p>
        </w:tc>
        <w:tc>
          <w:tcPr>
            <w:tcW w:w="3006" w:type="dxa"/>
          </w:tcPr>
          <w:p w:rsidR="00A70144" w:rsidRPr="00534C5B" w:rsidRDefault="005D093C" w:rsidP="00063764">
            <w:pPr>
              <w:pStyle w:val="3Bodytext"/>
              <w:keepNext/>
              <w:keepLines/>
              <w:numPr>
                <w:ilvl w:val="0"/>
                <w:numId w:val="0"/>
              </w:numPr>
              <w:spacing w:after="0"/>
              <w:jc w:val="center"/>
              <w:rPr>
                <w:rFonts w:ascii="Arial Narrow" w:hAnsi="Arial Narrow"/>
                <w:sz w:val="20"/>
                <w:szCs w:val="20"/>
              </w:rPr>
            </w:pPr>
            <w:r w:rsidRPr="00534C5B">
              <w:rPr>
                <w:rFonts w:ascii="Arial Narrow" w:hAnsi="Arial Narrow"/>
                <w:sz w:val="20"/>
                <w:szCs w:val="20"/>
              </w:rPr>
              <w:t>0.89%</w:t>
            </w:r>
          </w:p>
        </w:tc>
      </w:tr>
      <w:tr w:rsidR="00A70144" w:rsidRPr="00534C5B" w:rsidTr="00F15DAD">
        <w:trPr>
          <w:tblHeader/>
        </w:trPr>
        <w:tc>
          <w:tcPr>
            <w:tcW w:w="3005" w:type="dxa"/>
          </w:tcPr>
          <w:p w:rsidR="00A70144" w:rsidRPr="00534C5B" w:rsidRDefault="00A70144" w:rsidP="00063764">
            <w:pPr>
              <w:pStyle w:val="3Bodytext"/>
              <w:keepNext/>
              <w:keepLines/>
              <w:numPr>
                <w:ilvl w:val="0"/>
                <w:numId w:val="0"/>
              </w:numPr>
              <w:spacing w:after="0"/>
              <w:jc w:val="left"/>
              <w:rPr>
                <w:rFonts w:ascii="Arial Narrow" w:hAnsi="Arial Narrow"/>
                <w:sz w:val="20"/>
                <w:szCs w:val="20"/>
              </w:rPr>
            </w:pPr>
            <w:r w:rsidRPr="00534C5B">
              <w:rPr>
                <w:rFonts w:ascii="Arial Narrow" w:hAnsi="Arial Narrow"/>
                <w:sz w:val="20"/>
                <w:szCs w:val="20"/>
              </w:rPr>
              <w:t>2017</w:t>
            </w:r>
          </w:p>
        </w:tc>
        <w:tc>
          <w:tcPr>
            <w:tcW w:w="3005" w:type="dxa"/>
          </w:tcPr>
          <w:p w:rsidR="00A70144" w:rsidRPr="00534C5B" w:rsidRDefault="00A70144" w:rsidP="00063764">
            <w:pPr>
              <w:pStyle w:val="3Bodytext"/>
              <w:keepNext/>
              <w:keepLines/>
              <w:numPr>
                <w:ilvl w:val="0"/>
                <w:numId w:val="0"/>
              </w:numPr>
              <w:spacing w:after="0"/>
              <w:jc w:val="center"/>
              <w:rPr>
                <w:rFonts w:ascii="Arial Narrow" w:hAnsi="Arial Narrow"/>
                <w:sz w:val="20"/>
                <w:szCs w:val="20"/>
              </w:rPr>
            </w:pPr>
            <w:r w:rsidRPr="00534C5B">
              <w:rPr>
                <w:rFonts w:ascii="Arial Narrow" w:hAnsi="Arial Narrow"/>
                <w:sz w:val="20"/>
                <w:szCs w:val="20"/>
              </w:rPr>
              <w:t>14,241</w:t>
            </w:r>
          </w:p>
        </w:tc>
        <w:tc>
          <w:tcPr>
            <w:tcW w:w="3006" w:type="dxa"/>
          </w:tcPr>
          <w:p w:rsidR="00A70144" w:rsidRPr="00534C5B" w:rsidRDefault="005D093C" w:rsidP="00063764">
            <w:pPr>
              <w:pStyle w:val="3Bodytext"/>
              <w:keepNext/>
              <w:keepLines/>
              <w:numPr>
                <w:ilvl w:val="0"/>
                <w:numId w:val="0"/>
              </w:numPr>
              <w:spacing w:after="0"/>
              <w:jc w:val="center"/>
              <w:rPr>
                <w:rFonts w:ascii="Arial Narrow" w:hAnsi="Arial Narrow"/>
                <w:sz w:val="20"/>
                <w:szCs w:val="20"/>
              </w:rPr>
            </w:pPr>
            <w:r w:rsidRPr="00534C5B">
              <w:rPr>
                <w:rFonts w:ascii="Arial Narrow" w:hAnsi="Arial Narrow"/>
                <w:sz w:val="20"/>
                <w:szCs w:val="20"/>
              </w:rPr>
              <w:t>3.08%</w:t>
            </w:r>
          </w:p>
        </w:tc>
      </w:tr>
      <w:tr w:rsidR="00A70144" w:rsidRPr="00534C5B" w:rsidTr="00F15DAD">
        <w:trPr>
          <w:tblHeader/>
        </w:trPr>
        <w:tc>
          <w:tcPr>
            <w:tcW w:w="3005" w:type="dxa"/>
          </w:tcPr>
          <w:p w:rsidR="00A70144" w:rsidRPr="00534C5B" w:rsidRDefault="00A70144" w:rsidP="00063764">
            <w:pPr>
              <w:pStyle w:val="3Bodytext"/>
              <w:keepNext/>
              <w:keepLines/>
              <w:numPr>
                <w:ilvl w:val="0"/>
                <w:numId w:val="0"/>
              </w:numPr>
              <w:spacing w:after="0"/>
              <w:jc w:val="left"/>
              <w:rPr>
                <w:rFonts w:ascii="Arial Narrow" w:hAnsi="Arial Narrow"/>
                <w:sz w:val="20"/>
                <w:szCs w:val="20"/>
              </w:rPr>
            </w:pPr>
            <w:r w:rsidRPr="00534C5B">
              <w:rPr>
                <w:rFonts w:ascii="Arial Narrow" w:hAnsi="Arial Narrow"/>
                <w:sz w:val="20"/>
                <w:szCs w:val="20"/>
              </w:rPr>
              <w:t>2018</w:t>
            </w:r>
          </w:p>
        </w:tc>
        <w:tc>
          <w:tcPr>
            <w:tcW w:w="3005" w:type="dxa"/>
          </w:tcPr>
          <w:p w:rsidR="00A70144" w:rsidRPr="00534C5B" w:rsidRDefault="00A70144" w:rsidP="00063764">
            <w:pPr>
              <w:pStyle w:val="3Bodytext"/>
              <w:keepNext/>
              <w:keepLines/>
              <w:numPr>
                <w:ilvl w:val="0"/>
                <w:numId w:val="0"/>
              </w:numPr>
              <w:spacing w:after="0"/>
              <w:jc w:val="center"/>
              <w:rPr>
                <w:rFonts w:ascii="Arial Narrow" w:hAnsi="Arial Narrow"/>
                <w:sz w:val="20"/>
                <w:szCs w:val="20"/>
              </w:rPr>
            </w:pPr>
            <w:r w:rsidRPr="00534C5B">
              <w:rPr>
                <w:rFonts w:ascii="Arial Narrow" w:hAnsi="Arial Narrow"/>
                <w:sz w:val="20"/>
                <w:szCs w:val="20"/>
              </w:rPr>
              <w:t>14,778</w:t>
            </w:r>
          </w:p>
        </w:tc>
        <w:tc>
          <w:tcPr>
            <w:tcW w:w="3006" w:type="dxa"/>
          </w:tcPr>
          <w:p w:rsidR="00A70144" w:rsidRPr="00534C5B" w:rsidRDefault="005D093C" w:rsidP="00063764">
            <w:pPr>
              <w:pStyle w:val="3Bodytext"/>
              <w:keepNext/>
              <w:keepLines/>
              <w:numPr>
                <w:ilvl w:val="0"/>
                <w:numId w:val="0"/>
              </w:numPr>
              <w:spacing w:after="0"/>
              <w:jc w:val="center"/>
              <w:rPr>
                <w:rFonts w:ascii="Arial Narrow" w:hAnsi="Arial Narrow"/>
                <w:sz w:val="20"/>
                <w:szCs w:val="20"/>
              </w:rPr>
            </w:pPr>
            <w:r w:rsidRPr="00534C5B">
              <w:rPr>
                <w:rFonts w:ascii="Arial Narrow" w:hAnsi="Arial Narrow"/>
                <w:sz w:val="20"/>
                <w:szCs w:val="20"/>
              </w:rPr>
              <w:t>3.77%</w:t>
            </w:r>
          </w:p>
        </w:tc>
      </w:tr>
      <w:tr w:rsidR="00A70144" w:rsidRPr="00534C5B" w:rsidTr="00F15DAD">
        <w:trPr>
          <w:tblHeader/>
        </w:trPr>
        <w:tc>
          <w:tcPr>
            <w:tcW w:w="3005" w:type="dxa"/>
          </w:tcPr>
          <w:p w:rsidR="00A70144" w:rsidRPr="00534C5B" w:rsidRDefault="00A70144" w:rsidP="00063764">
            <w:pPr>
              <w:pStyle w:val="3Bodytext"/>
              <w:keepNext/>
              <w:keepLines/>
              <w:numPr>
                <w:ilvl w:val="0"/>
                <w:numId w:val="0"/>
              </w:numPr>
              <w:spacing w:after="0"/>
              <w:jc w:val="left"/>
              <w:rPr>
                <w:rFonts w:ascii="Arial Narrow" w:hAnsi="Arial Narrow"/>
                <w:sz w:val="20"/>
                <w:szCs w:val="20"/>
              </w:rPr>
            </w:pPr>
            <w:r w:rsidRPr="00534C5B">
              <w:rPr>
                <w:rFonts w:ascii="Arial Narrow" w:hAnsi="Arial Narrow"/>
                <w:sz w:val="20"/>
                <w:szCs w:val="20"/>
              </w:rPr>
              <w:t>2019</w:t>
            </w:r>
          </w:p>
        </w:tc>
        <w:tc>
          <w:tcPr>
            <w:tcW w:w="3005" w:type="dxa"/>
          </w:tcPr>
          <w:p w:rsidR="00A70144" w:rsidRPr="00534C5B" w:rsidRDefault="00A70144" w:rsidP="00063764">
            <w:pPr>
              <w:pStyle w:val="3Bodytext"/>
              <w:keepNext/>
              <w:keepLines/>
              <w:numPr>
                <w:ilvl w:val="0"/>
                <w:numId w:val="0"/>
              </w:numPr>
              <w:spacing w:after="0"/>
              <w:jc w:val="center"/>
              <w:rPr>
                <w:rFonts w:ascii="Arial Narrow" w:hAnsi="Arial Narrow"/>
                <w:sz w:val="20"/>
                <w:szCs w:val="20"/>
              </w:rPr>
            </w:pPr>
            <w:r w:rsidRPr="00534C5B">
              <w:rPr>
                <w:rFonts w:ascii="Arial Narrow" w:hAnsi="Arial Narrow"/>
                <w:sz w:val="20"/>
                <w:szCs w:val="20"/>
              </w:rPr>
              <w:t>15,229</w:t>
            </w:r>
          </w:p>
        </w:tc>
        <w:tc>
          <w:tcPr>
            <w:tcW w:w="3006" w:type="dxa"/>
          </w:tcPr>
          <w:p w:rsidR="00A70144" w:rsidRPr="00534C5B" w:rsidRDefault="005D093C" w:rsidP="00063764">
            <w:pPr>
              <w:pStyle w:val="3Bodytext"/>
              <w:keepNext/>
              <w:keepLines/>
              <w:numPr>
                <w:ilvl w:val="0"/>
                <w:numId w:val="0"/>
              </w:numPr>
              <w:spacing w:after="0"/>
              <w:jc w:val="center"/>
              <w:rPr>
                <w:rFonts w:ascii="Arial Narrow" w:hAnsi="Arial Narrow"/>
                <w:sz w:val="20"/>
                <w:szCs w:val="20"/>
              </w:rPr>
            </w:pPr>
            <w:r w:rsidRPr="00534C5B">
              <w:rPr>
                <w:rFonts w:ascii="Arial Narrow" w:hAnsi="Arial Narrow"/>
                <w:sz w:val="20"/>
                <w:szCs w:val="20"/>
              </w:rPr>
              <w:t>3.05%</w:t>
            </w:r>
          </w:p>
        </w:tc>
      </w:tr>
      <w:tr w:rsidR="005D093C" w:rsidRPr="00534C5B" w:rsidTr="00F15DAD">
        <w:trPr>
          <w:tblHeader/>
        </w:trPr>
        <w:tc>
          <w:tcPr>
            <w:tcW w:w="6010" w:type="dxa"/>
            <w:gridSpan w:val="2"/>
          </w:tcPr>
          <w:p w:rsidR="005D093C" w:rsidRPr="00534C5B" w:rsidRDefault="005D093C" w:rsidP="00063764">
            <w:pPr>
              <w:pStyle w:val="3Bodytext"/>
              <w:keepNext/>
              <w:keepLines/>
              <w:numPr>
                <w:ilvl w:val="0"/>
                <w:numId w:val="0"/>
              </w:numPr>
              <w:spacing w:after="0"/>
              <w:jc w:val="left"/>
              <w:rPr>
                <w:rFonts w:ascii="Arial Narrow" w:hAnsi="Arial Narrow"/>
                <w:b/>
                <w:sz w:val="20"/>
                <w:szCs w:val="20"/>
              </w:rPr>
            </w:pPr>
            <w:r w:rsidRPr="00534C5B">
              <w:rPr>
                <w:rFonts w:ascii="Arial Narrow" w:hAnsi="Arial Narrow"/>
                <w:b/>
                <w:sz w:val="20"/>
                <w:szCs w:val="20"/>
              </w:rPr>
              <w:t>Average growth</w:t>
            </w:r>
          </w:p>
        </w:tc>
        <w:tc>
          <w:tcPr>
            <w:tcW w:w="3006" w:type="dxa"/>
          </w:tcPr>
          <w:p w:rsidR="005D093C" w:rsidRPr="00534C5B" w:rsidRDefault="005D093C" w:rsidP="00063764">
            <w:pPr>
              <w:pStyle w:val="3Bodytext"/>
              <w:keepNext/>
              <w:keepLines/>
              <w:numPr>
                <w:ilvl w:val="0"/>
                <w:numId w:val="0"/>
              </w:numPr>
              <w:spacing w:after="0"/>
              <w:jc w:val="center"/>
              <w:rPr>
                <w:rFonts w:ascii="Arial Narrow" w:hAnsi="Arial Narrow"/>
                <w:b/>
                <w:sz w:val="20"/>
                <w:szCs w:val="20"/>
              </w:rPr>
            </w:pPr>
            <w:r w:rsidRPr="00534C5B">
              <w:rPr>
                <w:rFonts w:ascii="Arial Narrow" w:hAnsi="Arial Narrow"/>
                <w:b/>
                <w:sz w:val="20"/>
                <w:szCs w:val="20"/>
              </w:rPr>
              <w:t>3.17%</w:t>
            </w:r>
          </w:p>
        </w:tc>
      </w:tr>
    </w:tbl>
    <w:p w:rsidR="005D093C" w:rsidRPr="00534C5B" w:rsidRDefault="005D093C" w:rsidP="00063764">
      <w:pPr>
        <w:pStyle w:val="3Bodytext"/>
        <w:keepNext/>
        <w:keepLines/>
        <w:numPr>
          <w:ilvl w:val="0"/>
          <w:numId w:val="0"/>
        </w:numPr>
        <w:spacing w:after="0"/>
        <w:rPr>
          <w:rFonts w:ascii="Arial Narrow" w:hAnsi="Arial Narrow"/>
          <w:sz w:val="18"/>
          <w:szCs w:val="18"/>
        </w:rPr>
      </w:pPr>
      <w:r w:rsidRPr="00534C5B">
        <w:rPr>
          <w:rFonts w:ascii="Arial Narrow" w:hAnsi="Arial Narrow"/>
          <w:sz w:val="18"/>
          <w:szCs w:val="18"/>
        </w:rPr>
        <w:t xml:space="preserve">Source: National Cancer Control Indicators for melanoma, published 13 Sep 2019. Available from: </w:t>
      </w:r>
    </w:p>
    <w:p w:rsidR="00A70144" w:rsidRPr="00534C5B" w:rsidRDefault="001376F2" w:rsidP="00063764">
      <w:pPr>
        <w:pStyle w:val="3Bodytext"/>
        <w:keepNext/>
        <w:keepLines/>
        <w:numPr>
          <w:ilvl w:val="0"/>
          <w:numId w:val="0"/>
        </w:numPr>
        <w:spacing w:after="0"/>
        <w:rPr>
          <w:rFonts w:ascii="Arial Narrow" w:hAnsi="Arial Narrow"/>
          <w:sz w:val="18"/>
          <w:szCs w:val="18"/>
        </w:rPr>
      </w:pPr>
      <w:r w:rsidRPr="002319C5">
        <w:rPr>
          <w:rFonts w:ascii="Arial Narrow" w:hAnsi="Arial Narrow"/>
          <w:sz w:val="18"/>
          <w:szCs w:val="18"/>
        </w:rPr>
        <w:t>https://ncci.canceraustralia.gov.au/diagnosis/cancer-incidence/cancer-incidence</w:t>
      </w:r>
    </w:p>
    <w:p w:rsidR="005D093C" w:rsidRPr="00534C5B" w:rsidRDefault="005D093C" w:rsidP="005D093C"/>
    <w:p w:rsidR="00E74896" w:rsidRPr="00534C5B" w:rsidRDefault="00E74896" w:rsidP="00AF0867">
      <w:pPr>
        <w:pStyle w:val="3Bodytext"/>
        <w:numPr>
          <w:ilvl w:val="1"/>
          <w:numId w:val="1"/>
        </w:numPr>
        <w:rPr>
          <w:szCs w:val="24"/>
        </w:rPr>
      </w:pPr>
      <w:r w:rsidRPr="00534C5B">
        <w:rPr>
          <w:szCs w:val="24"/>
        </w:rPr>
        <w:t xml:space="preserve">The </w:t>
      </w:r>
      <w:r w:rsidR="00541C6F" w:rsidRPr="00534C5B">
        <w:rPr>
          <w:szCs w:val="24"/>
        </w:rPr>
        <w:t xml:space="preserve">PBAC </w:t>
      </w:r>
      <w:r w:rsidR="005F0130" w:rsidRPr="00534C5B">
        <w:rPr>
          <w:szCs w:val="24"/>
        </w:rPr>
        <w:t xml:space="preserve">considered </w:t>
      </w:r>
      <w:r w:rsidR="00541C6F" w:rsidRPr="00534C5B">
        <w:rPr>
          <w:szCs w:val="24"/>
        </w:rPr>
        <w:t>that that availability of BRAF+MEK and PD-1 inhibitors in the adjuvant setting was likely to result in a</w:t>
      </w:r>
      <w:r w:rsidR="005F0130" w:rsidRPr="00534C5B">
        <w:rPr>
          <w:szCs w:val="24"/>
        </w:rPr>
        <w:t xml:space="preserve"> relative</w:t>
      </w:r>
      <w:r w:rsidR="00541C6F" w:rsidRPr="00534C5B">
        <w:rPr>
          <w:szCs w:val="24"/>
        </w:rPr>
        <w:t xml:space="preserve"> increase in usage of BRAF+MEK inhibitors </w:t>
      </w:r>
      <w:r w:rsidR="001376F2" w:rsidRPr="00534C5B">
        <w:rPr>
          <w:szCs w:val="24"/>
        </w:rPr>
        <w:t xml:space="preserve">compared to PD-1 inhibitors </w:t>
      </w:r>
      <w:r w:rsidR="00541C6F" w:rsidRPr="00534C5B">
        <w:rPr>
          <w:szCs w:val="24"/>
        </w:rPr>
        <w:t xml:space="preserve">as first-line treatment in BRAF mutant patients in the unresectable and metastatic setting. This would be driven by the smaller proportion of patients receiving BRAF+MEK inhibitor adjuvant therapy (i.e. 100% - 74.1% = 23.9%). Based on the results of the clinician survey, the sponsor estimated that 63% to 70% of </w:t>
      </w:r>
      <w:r w:rsidR="00F934C9" w:rsidRPr="00534C5B">
        <w:rPr>
          <w:szCs w:val="24"/>
        </w:rPr>
        <w:t xml:space="preserve">the </w:t>
      </w:r>
      <w:r w:rsidR="00541C6F" w:rsidRPr="00534C5B">
        <w:rPr>
          <w:szCs w:val="24"/>
        </w:rPr>
        <w:t xml:space="preserve">BRAF mutant </w:t>
      </w:r>
      <w:r w:rsidR="00F934C9" w:rsidRPr="00534C5B">
        <w:rPr>
          <w:szCs w:val="24"/>
        </w:rPr>
        <w:t>unresectable or metastatic population</w:t>
      </w:r>
      <w:r w:rsidR="00541C6F" w:rsidRPr="00534C5B">
        <w:rPr>
          <w:szCs w:val="24"/>
        </w:rPr>
        <w:t xml:space="preserve"> would receive a PD-1 inhibitor (either as monotherapy or </w:t>
      </w:r>
      <w:r w:rsidR="00675B91" w:rsidRPr="00534C5B">
        <w:rPr>
          <w:szCs w:val="24"/>
        </w:rPr>
        <w:t xml:space="preserve">as </w:t>
      </w:r>
      <w:r w:rsidR="00541C6F" w:rsidRPr="00534C5B">
        <w:rPr>
          <w:szCs w:val="24"/>
        </w:rPr>
        <w:t xml:space="preserve">nivolumab in combination with ipilimumab) </w:t>
      </w:r>
      <w:r w:rsidR="00F934C9" w:rsidRPr="00534C5B">
        <w:rPr>
          <w:szCs w:val="24"/>
        </w:rPr>
        <w:t xml:space="preserve">as first-line treatment. </w:t>
      </w:r>
      <w:r w:rsidR="006A411C" w:rsidRPr="00534C5B">
        <w:rPr>
          <w:szCs w:val="24"/>
        </w:rPr>
        <w:t>However, b</w:t>
      </w:r>
      <w:r w:rsidR="00675B91" w:rsidRPr="00534C5B">
        <w:rPr>
          <w:szCs w:val="24"/>
        </w:rPr>
        <w:t xml:space="preserve">ased on the proposed </w:t>
      </w:r>
      <w:r w:rsidR="001376F2" w:rsidRPr="00534C5B">
        <w:rPr>
          <w:szCs w:val="24"/>
        </w:rPr>
        <w:t xml:space="preserve">74.1% </w:t>
      </w:r>
      <w:r w:rsidR="00675B91" w:rsidRPr="00534C5B">
        <w:rPr>
          <w:szCs w:val="24"/>
        </w:rPr>
        <w:t xml:space="preserve">rate of </w:t>
      </w:r>
      <w:r w:rsidR="001376F2" w:rsidRPr="00534C5B">
        <w:rPr>
          <w:szCs w:val="24"/>
        </w:rPr>
        <w:t xml:space="preserve">adjuvant </w:t>
      </w:r>
      <w:r w:rsidR="00675B91" w:rsidRPr="00534C5B">
        <w:rPr>
          <w:szCs w:val="24"/>
        </w:rPr>
        <w:t xml:space="preserve">PD-1 </w:t>
      </w:r>
      <w:r w:rsidR="00FE2AEC" w:rsidRPr="00534C5B">
        <w:rPr>
          <w:szCs w:val="24"/>
        </w:rPr>
        <w:t xml:space="preserve">inhibitor </w:t>
      </w:r>
      <w:r w:rsidR="00675B91" w:rsidRPr="00534C5B">
        <w:rPr>
          <w:szCs w:val="24"/>
        </w:rPr>
        <w:t xml:space="preserve">use in </w:t>
      </w:r>
      <w:r w:rsidR="001376F2" w:rsidRPr="00534C5B">
        <w:rPr>
          <w:szCs w:val="24"/>
        </w:rPr>
        <w:t>BRAF mutant patients</w:t>
      </w:r>
      <w:r w:rsidR="00675B91" w:rsidRPr="00534C5B">
        <w:rPr>
          <w:szCs w:val="24"/>
        </w:rPr>
        <w:t>, t</w:t>
      </w:r>
      <w:r w:rsidR="00F934C9" w:rsidRPr="00534C5B">
        <w:rPr>
          <w:szCs w:val="24"/>
        </w:rPr>
        <w:t xml:space="preserve">he PBAC considered that the sponsor’s estimate </w:t>
      </w:r>
      <w:r w:rsidR="00675B91" w:rsidRPr="00534C5B">
        <w:rPr>
          <w:szCs w:val="24"/>
        </w:rPr>
        <w:t xml:space="preserve">for PD-1 </w:t>
      </w:r>
      <w:r w:rsidR="00FE2AEC" w:rsidRPr="00534C5B">
        <w:rPr>
          <w:szCs w:val="24"/>
        </w:rPr>
        <w:t xml:space="preserve">inhibitor </w:t>
      </w:r>
      <w:r w:rsidR="00675B91" w:rsidRPr="00534C5B">
        <w:rPr>
          <w:szCs w:val="24"/>
        </w:rPr>
        <w:t xml:space="preserve">use </w:t>
      </w:r>
      <w:r w:rsidR="003C3717" w:rsidRPr="00534C5B">
        <w:rPr>
          <w:szCs w:val="24"/>
        </w:rPr>
        <w:t xml:space="preserve">(either as monotherapy or as nivolumab+ipilimumab) </w:t>
      </w:r>
      <w:r w:rsidR="00675B91" w:rsidRPr="00534C5B">
        <w:rPr>
          <w:szCs w:val="24"/>
        </w:rPr>
        <w:t xml:space="preserve">in the unresectable or metastatic setting </w:t>
      </w:r>
      <w:r w:rsidR="00F934C9" w:rsidRPr="00534C5B">
        <w:rPr>
          <w:szCs w:val="24"/>
        </w:rPr>
        <w:t>was overestimated</w:t>
      </w:r>
      <w:r w:rsidR="00686D4D" w:rsidRPr="00534C5B">
        <w:rPr>
          <w:szCs w:val="24"/>
        </w:rPr>
        <w:t>. The PBAC considered</w:t>
      </w:r>
      <w:r w:rsidR="00F934C9" w:rsidRPr="00534C5B">
        <w:rPr>
          <w:szCs w:val="24"/>
        </w:rPr>
        <w:t xml:space="preserve"> </w:t>
      </w:r>
      <w:r w:rsidR="00D70A4A" w:rsidRPr="00534C5B">
        <w:rPr>
          <w:szCs w:val="24"/>
        </w:rPr>
        <w:t xml:space="preserve">that </w:t>
      </w:r>
      <w:r w:rsidR="00686D4D" w:rsidRPr="00534C5B">
        <w:rPr>
          <w:szCs w:val="24"/>
        </w:rPr>
        <w:t xml:space="preserve">an estimate of </w:t>
      </w:r>
      <w:r w:rsidR="00F934C9" w:rsidRPr="00534C5B">
        <w:rPr>
          <w:szCs w:val="24"/>
        </w:rPr>
        <w:t>50% to 60% of BRAF mutant unresectable or metastatic patients receiv</w:t>
      </w:r>
      <w:r w:rsidR="00686D4D" w:rsidRPr="00534C5B">
        <w:rPr>
          <w:szCs w:val="24"/>
        </w:rPr>
        <w:t>ing</w:t>
      </w:r>
      <w:r w:rsidR="00F934C9" w:rsidRPr="00534C5B">
        <w:rPr>
          <w:szCs w:val="24"/>
        </w:rPr>
        <w:t xml:space="preserve"> PD-1 inhibitor treatment first-line</w:t>
      </w:r>
      <w:r w:rsidR="00686D4D" w:rsidRPr="00534C5B">
        <w:rPr>
          <w:szCs w:val="24"/>
        </w:rPr>
        <w:t xml:space="preserve"> was more appropriate</w:t>
      </w:r>
      <w:r w:rsidR="00F934C9" w:rsidRPr="00534C5B">
        <w:rPr>
          <w:szCs w:val="24"/>
        </w:rPr>
        <w:t xml:space="preserve">. </w:t>
      </w:r>
    </w:p>
    <w:p w:rsidR="00307762" w:rsidRPr="00534C5B" w:rsidRDefault="00307762" w:rsidP="00AF0867">
      <w:pPr>
        <w:pStyle w:val="3Bodytext"/>
        <w:numPr>
          <w:ilvl w:val="1"/>
          <w:numId w:val="1"/>
        </w:numPr>
        <w:rPr>
          <w:szCs w:val="24"/>
        </w:rPr>
      </w:pPr>
      <w:r w:rsidRPr="00534C5B">
        <w:t xml:space="preserve">The PBAC previously considered that </w:t>
      </w:r>
      <w:r w:rsidR="00FE2AEC" w:rsidRPr="00534C5B">
        <w:t xml:space="preserve">the introduction of adjuvant therapy would result in </w:t>
      </w:r>
      <w:r w:rsidRPr="00534C5B">
        <w:t xml:space="preserve">a reduction </w:t>
      </w:r>
      <w:r w:rsidR="00FE2AEC" w:rsidRPr="00534C5B">
        <w:t xml:space="preserve">in the number of patient treated in the unresectable or metastatic setting as they would avoid unresectable or metastatic recurrence (i.e. they would be cured). </w:t>
      </w:r>
      <w:r w:rsidRPr="00534C5B">
        <w:t>The PBAC considered that any reduction in use in the unresectable or metastatic setting was unlikely to be observed in the first year of the adjuvant listing</w:t>
      </w:r>
      <w:r w:rsidR="00686D4D" w:rsidRPr="00534C5B">
        <w:t xml:space="preserve"> but would be expected from the second year of adjuvant listing</w:t>
      </w:r>
      <w:r w:rsidRPr="00534C5B">
        <w:rPr>
          <w:szCs w:val="24"/>
        </w:rPr>
        <w:t xml:space="preserve"> (paragraph 4.40, Nivolumab </w:t>
      </w:r>
      <w:r w:rsidR="007F570E">
        <w:rPr>
          <w:szCs w:val="24"/>
        </w:rPr>
        <w:t>PSD</w:t>
      </w:r>
      <w:r w:rsidRPr="00534C5B">
        <w:rPr>
          <w:szCs w:val="24"/>
        </w:rPr>
        <w:t>, July 2019).</w:t>
      </w:r>
    </w:p>
    <w:p w:rsidR="00DA6EBF" w:rsidRPr="00534C5B" w:rsidRDefault="00AF0875" w:rsidP="00AF0867">
      <w:pPr>
        <w:pStyle w:val="3Bodytext"/>
        <w:numPr>
          <w:ilvl w:val="1"/>
          <w:numId w:val="1"/>
        </w:numPr>
        <w:rPr>
          <w:szCs w:val="24"/>
        </w:rPr>
      </w:pPr>
      <w:r w:rsidRPr="00534C5B">
        <w:rPr>
          <w:szCs w:val="24"/>
        </w:rPr>
        <w:t xml:space="preserve">As per the July 2019 minor resubmission, the </w:t>
      </w:r>
      <w:r w:rsidR="00D8260F" w:rsidRPr="00534C5B">
        <w:rPr>
          <w:szCs w:val="24"/>
        </w:rPr>
        <w:t>sponsor</w:t>
      </w:r>
      <w:r w:rsidRPr="00534C5B">
        <w:rPr>
          <w:szCs w:val="24"/>
        </w:rPr>
        <w:t xml:space="preserve"> reduced the unresectable or metastatic subsidisation </w:t>
      </w:r>
      <w:r w:rsidRPr="00690627">
        <w:rPr>
          <w:szCs w:val="24"/>
        </w:rPr>
        <w:t xml:space="preserve">cap by </w:t>
      </w:r>
      <w:r w:rsidR="00653477">
        <w:rPr>
          <w:noProof/>
          <w:color w:val="000000"/>
          <w:szCs w:val="24"/>
          <w:highlight w:val="black"/>
        </w:rPr>
        <w:t>'''''''</w:t>
      </w:r>
      <w:r w:rsidRPr="00690627">
        <w:rPr>
          <w:szCs w:val="24"/>
        </w:rPr>
        <w:t xml:space="preserve">% per annum </w:t>
      </w:r>
      <w:r w:rsidR="00DA6EBF" w:rsidRPr="00690627">
        <w:rPr>
          <w:szCs w:val="24"/>
        </w:rPr>
        <w:t>(</w:t>
      </w:r>
      <w:r w:rsidR="00653477">
        <w:rPr>
          <w:noProof/>
          <w:color w:val="000000"/>
          <w:szCs w:val="24"/>
          <w:highlight w:val="black"/>
        </w:rPr>
        <w:t>'''''</w:t>
      </w:r>
      <w:r w:rsidR="00DA6EBF" w:rsidRPr="00690627">
        <w:rPr>
          <w:szCs w:val="24"/>
        </w:rPr>
        <w:t xml:space="preserve">% x </w:t>
      </w:r>
      <w:r w:rsidR="00653477">
        <w:rPr>
          <w:noProof/>
          <w:color w:val="000000"/>
          <w:szCs w:val="24"/>
          <w:highlight w:val="black"/>
        </w:rPr>
        <w:t>'''''</w:t>
      </w:r>
      <w:r w:rsidR="00DA6EBF" w:rsidRPr="00690627">
        <w:rPr>
          <w:szCs w:val="24"/>
        </w:rPr>
        <w:t>% - see</w:t>
      </w:r>
      <w:r w:rsidR="00DA6EBF" w:rsidRPr="00534C5B">
        <w:rPr>
          <w:szCs w:val="24"/>
        </w:rPr>
        <w:t xml:space="preserve"> below) </w:t>
      </w:r>
      <w:r w:rsidRPr="00534C5B">
        <w:rPr>
          <w:szCs w:val="24"/>
        </w:rPr>
        <w:t>from Year 2</w:t>
      </w:r>
      <w:r w:rsidR="00AE696B" w:rsidRPr="00534C5B">
        <w:rPr>
          <w:szCs w:val="24"/>
        </w:rPr>
        <w:t xml:space="preserve"> to account for patients who do not have a </w:t>
      </w:r>
      <w:r w:rsidR="0043741B" w:rsidRPr="00534C5B">
        <w:rPr>
          <w:szCs w:val="24"/>
        </w:rPr>
        <w:t>recurrence</w:t>
      </w:r>
      <w:r w:rsidRPr="00534C5B">
        <w:rPr>
          <w:szCs w:val="24"/>
        </w:rPr>
        <w:t>.</w:t>
      </w:r>
      <w:r w:rsidR="004D35CE" w:rsidRPr="00534C5B">
        <w:rPr>
          <w:szCs w:val="24"/>
        </w:rPr>
        <w:t xml:space="preserve"> </w:t>
      </w:r>
    </w:p>
    <w:p w:rsidR="00675B91" w:rsidRPr="00534C5B" w:rsidRDefault="004D35CE" w:rsidP="00307762">
      <w:pPr>
        <w:pStyle w:val="3Bodytext"/>
        <w:numPr>
          <w:ilvl w:val="1"/>
          <w:numId w:val="1"/>
        </w:numPr>
        <w:rPr>
          <w:szCs w:val="24"/>
        </w:rPr>
      </w:pPr>
      <w:r w:rsidRPr="00534C5B">
        <w:t xml:space="preserve">The July 2019 minor resubmission used data from New South Wales Cancer Statistics to estimate that approximately 66% of patients who died from melanoma had an </w:t>
      </w:r>
      <w:r w:rsidRPr="00534C5B">
        <w:lastRenderedPageBreak/>
        <w:t xml:space="preserve">initial diagnosis of local or regional disease. </w:t>
      </w:r>
      <w:r w:rsidR="00675B91" w:rsidRPr="00534C5B">
        <w:t>The PBAC considered that this was reasonable.</w:t>
      </w:r>
      <w:r w:rsidR="00307762" w:rsidRPr="00534C5B">
        <w:t xml:space="preserve"> </w:t>
      </w:r>
    </w:p>
    <w:p w:rsidR="00F00B56" w:rsidRPr="00534C5B" w:rsidRDefault="00675B91" w:rsidP="00675B91">
      <w:pPr>
        <w:pStyle w:val="3Bodytext"/>
        <w:numPr>
          <w:ilvl w:val="1"/>
          <w:numId w:val="1"/>
        </w:numPr>
        <w:rPr>
          <w:szCs w:val="24"/>
        </w:rPr>
      </w:pPr>
      <w:r w:rsidRPr="00534C5B">
        <w:t>T</w:t>
      </w:r>
      <w:r w:rsidR="00307762" w:rsidRPr="00534C5B">
        <w:t>he</w:t>
      </w:r>
      <w:r w:rsidR="00F00B56" w:rsidRPr="00534C5B">
        <w:t xml:space="preserve"> modelled economic evaluation in July 2019 found that </w:t>
      </w:r>
      <w:r w:rsidR="00307762" w:rsidRPr="00534C5B">
        <w:t>the difference in distant metastases free survival at 10 years was 11%</w:t>
      </w:r>
      <w:r w:rsidR="00F00B56" w:rsidRPr="00534C5B">
        <w:t xml:space="preserve">. </w:t>
      </w:r>
      <w:r w:rsidR="00DD55A5" w:rsidRPr="00534C5B">
        <w:rPr>
          <w:szCs w:val="24"/>
        </w:rPr>
        <w:t>The PBAC noted that the distant metastas</w:t>
      </w:r>
      <w:r w:rsidR="00686D4D" w:rsidRPr="00534C5B">
        <w:rPr>
          <w:szCs w:val="24"/>
        </w:rPr>
        <w:t>i</w:t>
      </w:r>
      <w:r w:rsidR="00DD55A5" w:rsidRPr="00534C5B">
        <w:rPr>
          <w:szCs w:val="24"/>
        </w:rPr>
        <w:t xml:space="preserve">s free survival difference did not include </w:t>
      </w:r>
      <w:r w:rsidR="00E10412" w:rsidRPr="00534C5B">
        <w:rPr>
          <w:szCs w:val="24"/>
        </w:rPr>
        <w:t xml:space="preserve">patients who were also free of </w:t>
      </w:r>
      <w:r w:rsidR="00DD55A5" w:rsidRPr="00534C5B">
        <w:rPr>
          <w:szCs w:val="24"/>
        </w:rPr>
        <w:t>local unresectable recurrence</w:t>
      </w:r>
      <w:r w:rsidR="00DA6EBF" w:rsidRPr="00534C5B">
        <w:rPr>
          <w:szCs w:val="24"/>
        </w:rPr>
        <w:t>.</w:t>
      </w:r>
      <w:r w:rsidR="00FE2AEC" w:rsidRPr="00534C5B">
        <w:rPr>
          <w:szCs w:val="24"/>
        </w:rPr>
        <w:t xml:space="preserve"> In addition, the PBAC considered </w:t>
      </w:r>
      <w:r w:rsidR="00D70A4A" w:rsidRPr="00534C5B">
        <w:rPr>
          <w:szCs w:val="24"/>
        </w:rPr>
        <w:t xml:space="preserve">given the timeframe of the financial estimates </w:t>
      </w:r>
      <w:r w:rsidR="00FE2AEC" w:rsidRPr="00534C5B">
        <w:rPr>
          <w:szCs w:val="24"/>
        </w:rPr>
        <w:t xml:space="preserve">that </w:t>
      </w:r>
      <w:r w:rsidR="00D70A4A" w:rsidRPr="00534C5B">
        <w:rPr>
          <w:szCs w:val="24"/>
        </w:rPr>
        <w:t xml:space="preserve">it would be more appropriate to use </w:t>
      </w:r>
      <w:r w:rsidR="00FE2AEC" w:rsidRPr="00534C5B">
        <w:rPr>
          <w:szCs w:val="24"/>
        </w:rPr>
        <w:t xml:space="preserve">the difference in </w:t>
      </w:r>
      <w:r w:rsidR="00686D4D" w:rsidRPr="00534C5B">
        <w:rPr>
          <w:szCs w:val="24"/>
        </w:rPr>
        <w:t xml:space="preserve">recurrence free and/or distant metastasis free </w:t>
      </w:r>
      <w:r w:rsidR="00FE2AEC" w:rsidRPr="00534C5B">
        <w:rPr>
          <w:szCs w:val="24"/>
        </w:rPr>
        <w:t xml:space="preserve">survival </w:t>
      </w:r>
      <w:r w:rsidR="00D70A4A" w:rsidRPr="00534C5B">
        <w:rPr>
          <w:szCs w:val="24"/>
        </w:rPr>
        <w:t>over</w:t>
      </w:r>
      <w:r w:rsidR="00FE2AEC" w:rsidRPr="00534C5B">
        <w:rPr>
          <w:szCs w:val="24"/>
        </w:rPr>
        <w:t xml:space="preserve"> </w:t>
      </w:r>
      <w:r w:rsidR="00D70A4A" w:rsidRPr="00534C5B">
        <w:rPr>
          <w:szCs w:val="24"/>
        </w:rPr>
        <w:t>2</w:t>
      </w:r>
      <w:r w:rsidR="00A35429" w:rsidRPr="00534C5B">
        <w:rPr>
          <w:szCs w:val="24"/>
        </w:rPr>
        <w:t xml:space="preserve"> to </w:t>
      </w:r>
      <w:r w:rsidR="00D70A4A" w:rsidRPr="00534C5B">
        <w:rPr>
          <w:szCs w:val="24"/>
        </w:rPr>
        <w:t>5</w:t>
      </w:r>
      <w:r w:rsidR="00FE2AEC" w:rsidRPr="00534C5B">
        <w:rPr>
          <w:szCs w:val="24"/>
        </w:rPr>
        <w:t xml:space="preserve"> years. Using the </w:t>
      </w:r>
      <w:r w:rsidRPr="00534C5B">
        <w:rPr>
          <w:szCs w:val="24"/>
        </w:rPr>
        <w:t xml:space="preserve">July 2019 </w:t>
      </w:r>
      <w:r w:rsidR="00DA6EBF" w:rsidRPr="00534C5B">
        <w:rPr>
          <w:szCs w:val="24"/>
        </w:rPr>
        <w:t>economic model</w:t>
      </w:r>
      <w:r w:rsidRPr="00534C5B">
        <w:rPr>
          <w:szCs w:val="24"/>
        </w:rPr>
        <w:t xml:space="preserve"> </w:t>
      </w:r>
      <w:r w:rsidR="00B82BE0" w:rsidRPr="00534C5B">
        <w:rPr>
          <w:szCs w:val="24"/>
        </w:rPr>
        <w:t xml:space="preserve">and differences at 2 and 5 years, the </w:t>
      </w:r>
      <w:r w:rsidRPr="00534C5B">
        <w:rPr>
          <w:szCs w:val="24"/>
        </w:rPr>
        <w:t xml:space="preserve">PBAC </w:t>
      </w:r>
      <w:r w:rsidR="00DA6EBF" w:rsidRPr="00534C5B">
        <w:rPr>
          <w:szCs w:val="24"/>
        </w:rPr>
        <w:t xml:space="preserve">considered that it would be more reasonable to assume that </w:t>
      </w:r>
      <w:r w:rsidR="00653477">
        <w:rPr>
          <w:noProof/>
          <w:color w:val="000000"/>
          <w:szCs w:val="24"/>
          <w:highlight w:val="black"/>
        </w:rPr>
        <w:t>'''''''''</w:t>
      </w:r>
      <w:r w:rsidR="00307762" w:rsidRPr="00534C5B">
        <w:rPr>
          <w:szCs w:val="24"/>
        </w:rPr>
        <w:t xml:space="preserve">% to </w:t>
      </w:r>
      <w:r w:rsidR="00653477">
        <w:rPr>
          <w:noProof/>
          <w:color w:val="000000"/>
          <w:szCs w:val="24"/>
          <w:highlight w:val="black"/>
        </w:rPr>
        <w:t>''''''''</w:t>
      </w:r>
      <w:r w:rsidR="00DA6EBF" w:rsidRPr="00534C5B">
        <w:rPr>
          <w:szCs w:val="24"/>
        </w:rPr>
        <w:t xml:space="preserve">% of patients </w:t>
      </w:r>
      <w:r w:rsidR="00B82BE0" w:rsidRPr="00534C5B">
        <w:rPr>
          <w:szCs w:val="24"/>
        </w:rPr>
        <w:t>would avoid</w:t>
      </w:r>
      <w:r w:rsidR="00DA6EBF" w:rsidRPr="00534C5B">
        <w:rPr>
          <w:szCs w:val="24"/>
        </w:rPr>
        <w:t xml:space="preserve"> </w:t>
      </w:r>
      <w:r w:rsidR="001E3624" w:rsidRPr="00534C5B">
        <w:rPr>
          <w:szCs w:val="24"/>
        </w:rPr>
        <w:t>unresectable</w:t>
      </w:r>
      <w:r w:rsidR="00DA6EBF" w:rsidRPr="00534C5B">
        <w:rPr>
          <w:szCs w:val="24"/>
        </w:rPr>
        <w:t xml:space="preserve"> or metastatic recurrence (local and/or distant) – see </w:t>
      </w:r>
      <w:r w:rsidR="00AB5085" w:rsidRPr="00534C5B">
        <w:rPr>
          <w:szCs w:val="24"/>
        </w:rPr>
        <w:t>Table 8</w:t>
      </w:r>
      <w:r w:rsidR="00DA6EBF" w:rsidRPr="00534C5B">
        <w:rPr>
          <w:szCs w:val="24"/>
        </w:rPr>
        <w:t>.</w:t>
      </w:r>
      <w:r w:rsidR="00DB732B" w:rsidRPr="00534C5B">
        <w:rPr>
          <w:szCs w:val="24"/>
        </w:rPr>
        <w:t xml:space="preserve"> </w:t>
      </w:r>
      <w:r w:rsidR="00307762" w:rsidRPr="00534C5B">
        <w:rPr>
          <w:szCs w:val="24"/>
        </w:rPr>
        <w:t>Therefore, the PBA</w:t>
      </w:r>
      <w:r w:rsidR="00E74896" w:rsidRPr="00534C5B">
        <w:rPr>
          <w:szCs w:val="24"/>
        </w:rPr>
        <w:t>C considered that it would be m</w:t>
      </w:r>
      <w:r w:rsidRPr="00534C5B">
        <w:rPr>
          <w:szCs w:val="24"/>
        </w:rPr>
        <w:t>o</w:t>
      </w:r>
      <w:r w:rsidR="00307762" w:rsidRPr="00534C5B">
        <w:rPr>
          <w:szCs w:val="24"/>
        </w:rPr>
        <w:t xml:space="preserve">re reasonable to reduce the unresectable or metastatic subsidisation cap by </w:t>
      </w:r>
      <w:r w:rsidR="00653477">
        <w:rPr>
          <w:noProof/>
          <w:color w:val="000000"/>
          <w:szCs w:val="24"/>
          <w:highlight w:val="black"/>
        </w:rPr>
        <w:t>''''''''</w:t>
      </w:r>
      <w:r w:rsidR="00686D4D" w:rsidRPr="00534C5B">
        <w:rPr>
          <w:szCs w:val="24"/>
        </w:rPr>
        <w:t xml:space="preserve">% to </w:t>
      </w:r>
      <w:r w:rsidR="00653477">
        <w:rPr>
          <w:noProof/>
          <w:color w:val="000000"/>
          <w:szCs w:val="24"/>
          <w:highlight w:val="black"/>
        </w:rPr>
        <w:t>'''''''''</w:t>
      </w:r>
      <w:r w:rsidR="00686D4D" w:rsidRPr="00534C5B">
        <w:rPr>
          <w:szCs w:val="24"/>
        </w:rPr>
        <w:t>% to account for the patients avoiding unresectable or metastatic recurrence due to receiving adjuvant treatment.</w:t>
      </w:r>
    </w:p>
    <w:p w:rsidR="00DB732B" w:rsidRPr="00534C5B" w:rsidRDefault="00AB5085" w:rsidP="0071307E">
      <w:pPr>
        <w:pStyle w:val="3Bodytext"/>
        <w:keepNext/>
        <w:keepLines/>
        <w:numPr>
          <w:ilvl w:val="0"/>
          <w:numId w:val="0"/>
        </w:numPr>
        <w:spacing w:after="0"/>
        <w:rPr>
          <w:rFonts w:ascii="Arial Narrow" w:hAnsi="Arial Narrow"/>
          <w:b/>
          <w:sz w:val="20"/>
          <w:szCs w:val="20"/>
        </w:rPr>
      </w:pPr>
      <w:r w:rsidRPr="00534C5B">
        <w:rPr>
          <w:rFonts w:ascii="Arial Narrow" w:hAnsi="Arial Narrow"/>
          <w:b/>
          <w:sz w:val="20"/>
          <w:szCs w:val="20"/>
        </w:rPr>
        <w:t>Table 8</w:t>
      </w:r>
      <w:r w:rsidR="00DB732B" w:rsidRPr="00534C5B">
        <w:rPr>
          <w:rFonts w:ascii="Arial Narrow" w:hAnsi="Arial Narrow"/>
          <w:b/>
          <w:sz w:val="20"/>
          <w:szCs w:val="20"/>
        </w:rPr>
        <w:t xml:space="preserve">: Comparison of </w:t>
      </w:r>
      <w:r w:rsidR="00307762" w:rsidRPr="00534C5B">
        <w:rPr>
          <w:rFonts w:ascii="Arial Narrow" w:hAnsi="Arial Narrow"/>
          <w:b/>
          <w:sz w:val="20"/>
          <w:szCs w:val="20"/>
        </w:rPr>
        <w:t>distant metastase</w:t>
      </w:r>
      <w:r w:rsidR="00DB732B" w:rsidRPr="00534C5B">
        <w:rPr>
          <w:rFonts w:ascii="Arial Narrow" w:hAnsi="Arial Narrow"/>
          <w:b/>
          <w:sz w:val="20"/>
          <w:szCs w:val="20"/>
        </w:rPr>
        <w:t xml:space="preserve">s free and recurrence free survival rates at 2, 5 and 10 </w:t>
      </w:r>
      <w:r w:rsidR="001B21C7" w:rsidRPr="001B21C7">
        <w:rPr>
          <w:rFonts w:ascii="Arial Narrow" w:hAnsi="Arial Narrow"/>
          <w:b/>
          <w:sz w:val="20"/>
          <w:szCs w:val="20"/>
        </w:rPr>
        <w:t>years</w:t>
      </w:r>
    </w:p>
    <w:tbl>
      <w:tblPr>
        <w:tblStyle w:val="TableGrid"/>
        <w:tblW w:w="9067" w:type="dxa"/>
        <w:tblLook w:val="04A0" w:firstRow="1" w:lastRow="0" w:firstColumn="1" w:lastColumn="0" w:noHBand="0" w:noVBand="1"/>
        <w:tblCaption w:val="Table 8: Comparison of distant metastases free and recurrence free survival rates at 2, 5 and 10 years"/>
      </w:tblPr>
      <w:tblGrid>
        <w:gridCol w:w="2830"/>
        <w:gridCol w:w="3261"/>
        <w:gridCol w:w="2976"/>
      </w:tblGrid>
      <w:tr w:rsidR="00DA6EBF" w:rsidRPr="00534C5B" w:rsidTr="00F15DAD">
        <w:trPr>
          <w:tblHeader/>
        </w:trPr>
        <w:tc>
          <w:tcPr>
            <w:tcW w:w="2830" w:type="dxa"/>
          </w:tcPr>
          <w:p w:rsidR="00DA6EBF" w:rsidRPr="00534C5B" w:rsidRDefault="00DA6EBF" w:rsidP="0071307E">
            <w:pPr>
              <w:pStyle w:val="3Bodytext"/>
              <w:keepNext/>
              <w:keepLines/>
              <w:numPr>
                <w:ilvl w:val="0"/>
                <w:numId w:val="0"/>
              </w:numPr>
              <w:spacing w:after="0"/>
              <w:rPr>
                <w:rFonts w:ascii="Arial Narrow" w:hAnsi="Arial Narrow"/>
                <w:b/>
                <w:sz w:val="20"/>
                <w:szCs w:val="20"/>
              </w:rPr>
            </w:pPr>
          </w:p>
        </w:tc>
        <w:tc>
          <w:tcPr>
            <w:tcW w:w="3261" w:type="dxa"/>
          </w:tcPr>
          <w:p w:rsidR="00DA6EBF" w:rsidRPr="00534C5B" w:rsidRDefault="00DA6EBF" w:rsidP="0071307E">
            <w:pPr>
              <w:pStyle w:val="3Bodytext"/>
              <w:keepNext/>
              <w:keepLines/>
              <w:numPr>
                <w:ilvl w:val="0"/>
                <w:numId w:val="0"/>
              </w:numPr>
              <w:spacing w:after="0"/>
              <w:jc w:val="center"/>
              <w:rPr>
                <w:rFonts w:ascii="Arial Narrow" w:hAnsi="Arial Narrow"/>
                <w:b/>
                <w:sz w:val="20"/>
                <w:szCs w:val="20"/>
              </w:rPr>
            </w:pPr>
            <w:r w:rsidRPr="00534C5B">
              <w:rPr>
                <w:rFonts w:ascii="Arial Narrow" w:hAnsi="Arial Narrow"/>
                <w:b/>
                <w:sz w:val="20"/>
                <w:szCs w:val="20"/>
              </w:rPr>
              <w:t>DMFS model</w:t>
            </w:r>
          </w:p>
        </w:tc>
        <w:tc>
          <w:tcPr>
            <w:tcW w:w="2976" w:type="dxa"/>
          </w:tcPr>
          <w:p w:rsidR="00DA6EBF" w:rsidRPr="00534C5B" w:rsidRDefault="00DB732B" w:rsidP="0071307E">
            <w:pPr>
              <w:pStyle w:val="3Bodytext"/>
              <w:keepNext/>
              <w:keepLines/>
              <w:numPr>
                <w:ilvl w:val="0"/>
                <w:numId w:val="0"/>
              </w:numPr>
              <w:spacing w:after="0"/>
              <w:jc w:val="center"/>
              <w:rPr>
                <w:rFonts w:ascii="Arial Narrow" w:hAnsi="Arial Narrow"/>
                <w:b/>
                <w:sz w:val="20"/>
                <w:szCs w:val="20"/>
              </w:rPr>
            </w:pPr>
            <w:r w:rsidRPr="00534C5B">
              <w:rPr>
                <w:rFonts w:ascii="Arial Narrow" w:hAnsi="Arial Narrow"/>
                <w:b/>
                <w:sz w:val="20"/>
                <w:szCs w:val="20"/>
              </w:rPr>
              <w:t>Difference in survival</w:t>
            </w:r>
          </w:p>
        </w:tc>
      </w:tr>
      <w:tr w:rsidR="00DA6EBF" w:rsidRPr="00534C5B" w:rsidTr="00F15DAD">
        <w:trPr>
          <w:tblHeader/>
        </w:trPr>
        <w:tc>
          <w:tcPr>
            <w:tcW w:w="2830" w:type="dxa"/>
          </w:tcPr>
          <w:p w:rsidR="00DA6EBF" w:rsidRPr="00534C5B" w:rsidRDefault="00DA6EBF" w:rsidP="0071307E">
            <w:pPr>
              <w:pStyle w:val="3Bodytext"/>
              <w:keepNext/>
              <w:keepLines/>
              <w:numPr>
                <w:ilvl w:val="0"/>
                <w:numId w:val="0"/>
              </w:numPr>
              <w:spacing w:after="0"/>
              <w:rPr>
                <w:rFonts w:ascii="Arial Narrow" w:hAnsi="Arial Narrow"/>
                <w:sz w:val="20"/>
                <w:szCs w:val="20"/>
              </w:rPr>
            </w:pPr>
            <w:r w:rsidRPr="00534C5B">
              <w:rPr>
                <w:rFonts w:ascii="Arial Narrow" w:hAnsi="Arial Narrow"/>
                <w:sz w:val="20"/>
                <w:szCs w:val="20"/>
              </w:rPr>
              <w:t>2 years</w:t>
            </w:r>
          </w:p>
        </w:tc>
        <w:tc>
          <w:tcPr>
            <w:tcW w:w="3261" w:type="dxa"/>
          </w:tcPr>
          <w:p w:rsidR="00DA6EBF" w:rsidRPr="00534C5B" w:rsidRDefault="00653477" w:rsidP="0071307E">
            <w:pPr>
              <w:pStyle w:val="3Bodytext"/>
              <w:keepNext/>
              <w:keepLines/>
              <w:numPr>
                <w:ilvl w:val="0"/>
                <w:numId w:val="0"/>
              </w:numPr>
              <w:spacing w:after="0"/>
              <w:jc w:val="center"/>
              <w:rPr>
                <w:rFonts w:ascii="Arial Narrow" w:hAnsi="Arial Narrow"/>
                <w:sz w:val="20"/>
                <w:szCs w:val="20"/>
              </w:rPr>
            </w:pPr>
            <w:r>
              <w:rPr>
                <w:rFonts w:ascii="Arial Narrow" w:hAnsi="Arial Narrow"/>
                <w:noProof/>
                <w:color w:val="000000"/>
                <w:sz w:val="20"/>
                <w:szCs w:val="20"/>
                <w:highlight w:val="black"/>
              </w:rPr>
              <w:t>'''''''''''</w:t>
            </w:r>
            <w:r w:rsidR="00DA6EBF" w:rsidRPr="00534C5B">
              <w:rPr>
                <w:rFonts w:ascii="Arial Narrow" w:hAnsi="Arial Narrow"/>
                <w:sz w:val="20"/>
                <w:szCs w:val="20"/>
              </w:rPr>
              <w:t xml:space="preserve">% NIVO vs </w:t>
            </w:r>
            <w:r>
              <w:rPr>
                <w:rFonts w:ascii="Arial Narrow" w:hAnsi="Arial Narrow"/>
                <w:noProof/>
                <w:color w:val="000000"/>
                <w:sz w:val="20"/>
                <w:szCs w:val="20"/>
                <w:highlight w:val="black"/>
              </w:rPr>
              <w:t>''''''''''</w:t>
            </w:r>
            <w:r w:rsidR="00DA6EBF" w:rsidRPr="00534C5B">
              <w:rPr>
                <w:rFonts w:ascii="Arial Narrow" w:hAnsi="Arial Narrow"/>
                <w:sz w:val="20"/>
                <w:szCs w:val="20"/>
              </w:rPr>
              <w:t>% SOC</w:t>
            </w:r>
          </w:p>
        </w:tc>
        <w:tc>
          <w:tcPr>
            <w:tcW w:w="2976" w:type="dxa"/>
          </w:tcPr>
          <w:p w:rsidR="00DA6EBF" w:rsidRPr="00534C5B" w:rsidRDefault="00DB732B" w:rsidP="0071307E">
            <w:pPr>
              <w:pStyle w:val="3Bodytext"/>
              <w:keepNext/>
              <w:keepLines/>
              <w:numPr>
                <w:ilvl w:val="0"/>
                <w:numId w:val="0"/>
              </w:numPr>
              <w:spacing w:after="0"/>
              <w:jc w:val="center"/>
              <w:rPr>
                <w:rFonts w:ascii="Arial Narrow" w:hAnsi="Arial Narrow"/>
                <w:sz w:val="20"/>
                <w:szCs w:val="20"/>
              </w:rPr>
            </w:pPr>
            <w:r w:rsidRPr="00534C5B">
              <w:rPr>
                <w:rFonts w:ascii="Arial Narrow" w:hAnsi="Arial Narrow"/>
                <w:sz w:val="20"/>
                <w:szCs w:val="20"/>
              </w:rPr>
              <w:t>16.1%</w:t>
            </w:r>
          </w:p>
        </w:tc>
      </w:tr>
      <w:tr w:rsidR="00DA6EBF" w:rsidRPr="00534C5B" w:rsidTr="00F15DAD">
        <w:trPr>
          <w:tblHeader/>
        </w:trPr>
        <w:tc>
          <w:tcPr>
            <w:tcW w:w="2830" w:type="dxa"/>
          </w:tcPr>
          <w:p w:rsidR="00DA6EBF" w:rsidRPr="00534C5B" w:rsidRDefault="00DA6EBF" w:rsidP="0071307E">
            <w:pPr>
              <w:pStyle w:val="3Bodytext"/>
              <w:keepNext/>
              <w:keepLines/>
              <w:numPr>
                <w:ilvl w:val="0"/>
                <w:numId w:val="0"/>
              </w:numPr>
              <w:spacing w:after="0"/>
              <w:rPr>
                <w:rFonts w:ascii="Arial Narrow" w:hAnsi="Arial Narrow"/>
                <w:sz w:val="20"/>
                <w:szCs w:val="20"/>
              </w:rPr>
            </w:pPr>
            <w:r w:rsidRPr="00534C5B">
              <w:rPr>
                <w:rFonts w:ascii="Arial Narrow" w:hAnsi="Arial Narrow"/>
                <w:sz w:val="20"/>
                <w:szCs w:val="20"/>
              </w:rPr>
              <w:t>5 years</w:t>
            </w:r>
          </w:p>
        </w:tc>
        <w:tc>
          <w:tcPr>
            <w:tcW w:w="3261" w:type="dxa"/>
          </w:tcPr>
          <w:p w:rsidR="00DA6EBF" w:rsidRPr="00534C5B" w:rsidRDefault="00653477" w:rsidP="0071307E">
            <w:pPr>
              <w:pStyle w:val="3Bodytext"/>
              <w:keepNext/>
              <w:keepLines/>
              <w:numPr>
                <w:ilvl w:val="0"/>
                <w:numId w:val="0"/>
              </w:numPr>
              <w:spacing w:after="0"/>
              <w:jc w:val="center"/>
              <w:rPr>
                <w:rFonts w:ascii="Arial Narrow" w:hAnsi="Arial Narrow"/>
                <w:sz w:val="20"/>
                <w:szCs w:val="20"/>
              </w:rPr>
            </w:pPr>
            <w:r>
              <w:rPr>
                <w:rFonts w:ascii="Arial Narrow" w:hAnsi="Arial Narrow"/>
                <w:noProof/>
                <w:color w:val="000000"/>
                <w:sz w:val="20"/>
                <w:szCs w:val="20"/>
                <w:highlight w:val="black"/>
              </w:rPr>
              <w:t>'''''''''''</w:t>
            </w:r>
            <w:r w:rsidR="00DB732B" w:rsidRPr="00534C5B">
              <w:rPr>
                <w:rFonts w:ascii="Arial Narrow" w:hAnsi="Arial Narrow"/>
                <w:sz w:val="20"/>
                <w:szCs w:val="20"/>
              </w:rPr>
              <w:t xml:space="preserve">% NIVO vs </w:t>
            </w:r>
            <w:r>
              <w:rPr>
                <w:rFonts w:ascii="Arial Narrow" w:hAnsi="Arial Narrow"/>
                <w:noProof/>
                <w:color w:val="000000"/>
                <w:sz w:val="20"/>
                <w:szCs w:val="20"/>
                <w:highlight w:val="black"/>
              </w:rPr>
              <w:t>''''''''''</w:t>
            </w:r>
            <w:r w:rsidR="00DB732B" w:rsidRPr="00534C5B">
              <w:rPr>
                <w:rFonts w:ascii="Arial Narrow" w:hAnsi="Arial Narrow"/>
                <w:sz w:val="20"/>
                <w:szCs w:val="20"/>
              </w:rPr>
              <w:t>% SOC</w:t>
            </w:r>
          </w:p>
        </w:tc>
        <w:tc>
          <w:tcPr>
            <w:tcW w:w="2976" w:type="dxa"/>
          </w:tcPr>
          <w:p w:rsidR="00DA6EBF" w:rsidRPr="00534C5B" w:rsidRDefault="00DB732B" w:rsidP="0071307E">
            <w:pPr>
              <w:pStyle w:val="3Bodytext"/>
              <w:keepNext/>
              <w:keepLines/>
              <w:numPr>
                <w:ilvl w:val="0"/>
                <w:numId w:val="0"/>
              </w:numPr>
              <w:spacing w:after="0"/>
              <w:jc w:val="center"/>
              <w:rPr>
                <w:rFonts w:ascii="Arial Narrow" w:hAnsi="Arial Narrow"/>
                <w:sz w:val="20"/>
                <w:szCs w:val="20"/>
              </w:rPr>
            </w:pPr>
            <w:r w:rsidRPr="00534C5B">
              <w:rPr>
                <w:rFonts w:ascii="Arial Narrow" w:hAnsi="Arial Narrow"/>
                <w:sz w:val="20"/>
                <w:szCs w:val="20"/>
              </w:rPr>
              <w:t>15.5%</w:t>
            </w:r>
          </w:p>
        </w:tc>
      </w:tr>
      <w:tr w:rsidR="00DA6EBF" w:rsidRPr="00534C5B" w:rsidTr="00F15DAD">
        <w:trPr>
          <w:tblHeader/>
        </w:trPr>
        <w:tc>
          <w:tcPr>
            <w:tcW w:w="2830" w:type="dxa"/>
          </w:tcPr>
          <w:p w:rsidR="00DA6EBF" w:rsidRPr="00534C5B" w:rsidRDefault="00DA6EBF" w:rsidP="0071307E">
            <w:pPr>
              <w:pStyle w:val="3Bodytext"/>
              <w:keepNext/>
              <w:keepLines/>
              <w:numPr>
                <w:ilvl w:val="0"/>
                <w:numId w:val="0"/>
              </w:numPr>
              <w:spacing w:after="0"/>
              <w:rPr>
                <w:rFonts w:ascii="Arial Narrow" w:hAnsi="Arial Narrow"/>
                <w:sz w:val="20"/>
                <w:szCs w:val="20"/>
              </w:rPr>
            </w:pPr>
            <w:r w:rsidRPr="00534C5B">
              <w:rPr>
                <w:rFonts w:ascii="Arial Narrow" w:hAnsi="Arial Narrow"/>
                <w:sz w:val="20"/>
                <w:szCs w:val="20"/>
              </w:rPr>
              <w:t>10 years</w:t>
            </w:r>
          </w:p>
        </w:tc>
        <w:tc>
          <w:tcPr>
            <w:tcW w:w="3261" w:type="dxa"/>
          </w:tcPr>
          <w:p w:rsidR="00DA6EBF" w:rsidRPr="00534C5B" w:rsidRDefault="00653477" w:rsidP="0071307E">
            <w:pPr>
              <w:pStyle w:val="3Bodytext"/>
              <w:keepNext/>
              <w:keepLines/>
              <w:numPr>
                <w:ilvl w:val="0"/>
                <w:numId w:val="0"/>
              </w:numPr>
              <w:spacing w:after="0"/>
              <w:jc w:val="center"/>
              <w:rPr>
                <w:rFonts w:ascii="Arial Narrow" w:hAnsi="Arial Narrow"/>
                <w:sz w:val="20"/>
                <w:szCs w:val="20"/>
              </w:rPr>
            </w:pPr>
            <w:r>
              <w:rPr>
                <w:rFonts w:ascii="Arial Narrow" w:hAnsi="Arial Narrow"/>
                <w:noProof/>
                <w:color w:val="000000"/>
                <w:sz w:val="20"/>
                <w:szCs w:val="20"/>
                <w:highlight w:val="black"/>
              </w:rPr>
              <w:t>''''''''''</w:t>
            </w:r>
            <w:r w:rsidR="00DB732B" w:rsidRPr="00534C5B">
              <w:rPr>
                <w:rFonts w:ascii="Arial Narrow" w:hAnsi="Arial Narrow"/>
                <w:sz w:val="20"/>
                <w:szCs w:val="20"/>
              </w:rPr>
              <w:t xml:space="preserve">% NIVO vs </w:t>
            </w:r>
            <w:r>
              <w:rPr>
                <w:rFonts w:ascii="Arial Narrow" w:hAnsi="Arial Narrow"/>
                <w:noProof/>
                <w:color w:val="000000"/>
                <w:sz w:val="20"/>
                <w:szCs w:val="20"/>
                <w:highlight w:val="black"/>
              </w:rPr>
              <w:t>''''''''''</w:t>
            </w:r>
            <w:r w:rsidR="00DB732B" w:rsidRPr="00534C5B">
              <w:rPr>
                <w:rFonts w:ascii="Arial Narrow" w:hAnsi="Arial Narrow"/>
                <w:sz w:val="20"/>
                <w:szCs w:val="20"/>
              </w:rPr>
              <w:t>% SOC</w:t>
            </w:r>
          </w:p>
        </w:tc>
        <w:tc>
          <w:tcPr>
            <w:tcW w:w="2976" w:type="dxa"/>
          </w:tcPr>
          <w:p w:rsidR="00DA6EBF" w:rsidRPr="00534C5B" w:rsidRDefault="00DB732B" w:rsidP="0071307E">
            <w:pPr>
              <w:pStyle w:val="3Bodytext"/>
              <w:keepNext/>
              <w:keepLines/>
              <w:numPr>
                <w:ilvl w:val="0"/>
                <w:numId w:val="0"/>
              </w:numPr>
              <w:spacing w:after="0"/>
              <w:jc w:val="center"/>
              <w:rPr>
                <w:rFonts w:ascii="Arial Narrow" w:hAnsi="Arial Narrow"/>
                <w:sz w:val="20"/>
                <w:szCs w:val="20"/>
              </w:rPr>
            </w:pPr>
            <w:r w:rsidRPr="00534C5B">
              <w:rPr>
                <w:rFonts w:ascii="Arial Narrow" w:hAnsi="Arial Narrow"/>
                <w:sz w:val="20"/>
                <w:szCs w:val="20"/>
              </w:rPr>
              <w:t>10.6%</w:t>
            </w:r>
          </w:p>
        </w:tc>
      </w:tr>
      <w:tr w:rsidR="00DA6EBF" w:rsidRPr="00534C5B" w:rsidTr="00F15DAD">
        <w:trPr>
          <w:tblHeader/>
        </w:trPr>
        <w:tc>
          <w:tcPr>
            <w:tcW w:w="2830" w:type="dxa"/>
          </w:tcPr>
          <w:p w:rsidR="00DA6EBF" w:rsidRPr="00534C5B" w:rsidRDefault="00DA6EBF" w:rsidP="0071307E">
            <w:pPr>
              <w:pStyle w:val="3Bodytext"/>
              <w:keepNext/>
              <w:keepLines/>
              <w:numPr>
                <w:ilvl w:val="0"/>
                <w:numId w:val="0"/>
              </w:numPr>
              <w:spacing w:after="0"/>
              <w:rPr>
                <w:rFonts w:ascii="Arial Narrow" w:hAnsi="Arial Narrow"/>
                <w:b/>
                <w:sz w:val="20"/>
                <w:szCs w:val="20"/>
              </w:rPr>
            </w:pPr>
          </w:p>
        </w:tc>
        <w:tc>
          <w:tcPr>
            <w:tcW w:w="3261" w:type="dxa"/>
          </w:tcPr>
          <w:p w:rsidR="00DA6EBF" w:rsidRPr="00534C5B" w:rsidRDefault="00DA6EBF" w:rsidP="0071307E">
            <w:pPr>
              <w:pStyle w:val="3Bodytext"/>
              <w:keepNext/>
              <w:keepLines/>
              <w:numPr>
                <w:ilvl w:val="0"/>
                <w:numId w:val="0"/>
              </w:numPr>
              <w:spacing w:after="0"/>
              <w:jc w:val="center"/>
              <w:rPr>
                <w:rFonts w:ascii="Arial Narrow" w:hAnsi="Arial Narrow"/>
                <w:b/>
                <w:sz w:val="20"/>
                <w:szCs w:val="20"/>
              </w:rPr>
            </w:pPr>
            <w:r w:rsidRPr="00534C5B">
              <w:rPr>
                <w:rFonts w:ascii="Arial Narrow" w:hAnsi="Arial Narrow"/>
                <w:b/>
                <w:sz w:val="20"/>
                <w:szCs w:val="20"/>
              </w:rPr>
              <w:t>RFS model</w:t>
            </w:r>
          </w:p>
        </w:tc>
        <w:tc>
          <w:tcPr>
            <w:tcW w:w="2976" w:type="dxa"/>
          </w:tcPr>
          <w:p w:rsidR="00DA6EBF" w:rsidRPr="00534C5B" w:rsidRDefault="00DA6EBF" w:rsidP="0071307E">
            <w:pPr>
              <w:pStyle w:val="3Bodytext"/>
              <w:keepNext/>
              <w:keepLines/>
              <w:numPr>
                <w:ilvl w:val="0"/>
                <w:numId w:val="0"/>
              </w:numPr>
              <w:spacing w:after="0"/>
              <w:jc w:val="center"/>
              <w:rPr>
                <w:rFonts w:ascii="Arial Narrow" w:hAnsi="Arial Narrow"/>
                <w:b/>
                <w:sz w:val="20"/>
                <w:szCs w:val="20"/>
              </w:rPr>
            </w:pPr>
          </w:p>
        </w:tc>
      </w:tr>
      <w:tr w:rsidR="00DA6EBF" w:rsidRPr="00534C5B" w:rsidTr="00F15DAD">
        <w:trPr>
          <w:tblHeader/>
        </w:trPr>
        <w:tc>
          <w:tcPr>
            <w:tcW w:w="2830" w:type="dxa"/>
          </w:tcPr>
          <w:p w:rsidR="00DA6EBF" w:rsidRPr="00534C5B" w:rsidRDefault="00DA6EBF" w:rsidP="0071307E">
            <w:pPr>
              <w:pStyle w:val="3Bodytext"/>
              <w:keepNext/>
              <w:keepLines/>
              <w:numPr>
                <w:ilvl w:val="0"/>
                <w:numId w:val="0"/>
              </w:numPr>
              <w:spacing w:after="0"/>
              <w:rPr>
                <w:rFonts w:ascii="Arial Narrow" w:hAnsi="Arial Narrow"/>
                <w:sz w:val="20"/>
                <w:szCs w:val="20"/>
              </w:rPr>
            </w:pPr>
            <w:r w:rsidRPr="00534C5B">
              <w:rPr>
                <w:rFonts w:ascii="Arial Narrow" w:hAnsi="Arial Narrow"/>
                <w:sz w:val="20"/>
                <w:szCs w:val="20"/>
              </w:rPr>
              <w:t>2 years</w:t>
            </w:r>
          </w:p>
        </w:tc>
        <w:tc>
          <w:tcPr>
            <w:tcW w:w="3261" w:type="dxa"/>
          </w:tcPr>
          <w:p w:rsidR="00DA6EBF" w:rsidRPr="00534C5B" w:rsidRDefault="00653477" w:rsidP="0071307E">
            <w:pPr>
              <w:pStyle w:val="3Bodytext"/>
              <w:keepNext/>
              <w:keepLines/>
              <w:numPr>
                <w:ilvl w:val="0"/>
                <w:numId w:val="0"/>
              </w:numPr>
              <w:spacing w:after="0"/>
              <w:jc w:val="center"/>
              <w:rPr>
                <w:rFonts w:ascii="Arial Narrow" w:hAnsi="Arial Narrow"/>
                <w:sz w:val="20"/>
                <w:szCs w:val="20"/>
              </w:rPr>
            </w:pPr>
            <w:r>
              <w:rPr>
                <w:rFonts w:ascii="Arial Narrow" w:hAnsi="Arial Narrow"/>
                <w:noProof/>
                <w:color w:val="000000"/>
                <w:sz w:val="20"/>
                <w:szCs w:val="20"/>
                <w:highlight w:val="black"/>
              </w:rPr>
              <w:t>'''''''''''</w:t>
            </w:r>
            <w:r w:rsidR="00DB732B" w:rsidRPr="00534C5B">
              <w:rPr>
                <w:rFonts w:ascii="Arial Narrow" w:hAnsi="Arial Narrow"/>
                <w:sz w:val="20"/>
                <w:szCs w:val="20"/>
              </w:rPr>
              <w:t xml:space="preserve">% NIVO vs </w:t>
            </w:r>
            <w:r>
              <w:rPr>
                <w:rFonts w:ascii="Arial Narrow" w:hAnsi="Arial Narrow"/>
                <w:noProof/>
                <w:color w:val="000000"/>
                <w:sz w:val="20"/>
                <w:szCs w:val="20"/>
                <w:highlight w:val="black"/>
              </w:rPr>
              <w:t>''''''''''</w:t>
            </w:r>
            <w:r w:rsidR="00DB732B" w:rsidRPr="00534C5B">
              <w:rPr>
                <w:rFonts w:ascii="Arial Narrow" w:hAnsi="Arial Narrow"/>
                <w:sz w:val="20"/>
                <w:szCs w:val="20"/>
              </w:rPr>
              <w:t>% SOC</w:t>
            </w:r>
          </w:p>
        </w:tc>
        <w:tc>
          <w:tcPr>
            <w:tcW w:w="2976" w:type="dxa"/>
          </w:tcPr>
          <w:p w:rsidR="00DA6EBF" w:rsidRPr="00534C5B" w:rsidRDefault="00DB732B" w:rsidP="0071307E">
            <w:pPr>
              <w:pStyle w:val="3Bodytext"/>
              <w:keepNext/>
              <w:keepLines/>
              <w:numPr>
                <w:ilvl w:val="0"/>
                <w:numId w:val="0"/>
              </w:numPr>
              <w:spacing w:after="0"/>
              <w:jc w:val="center"/>
              <w:rPr>
                <w:rFonts w:ascii="Arial Narrow" w:hAnsi="Arial Narrow"/>
                <w:sz w:val="20"/>
                <w:szCs w:val="20"/>
              </w:rPr>
            </w:pPr>
            <w:r w:rsidRPr="00534C5B">
              <w:rPr>
                <w:rFonts w:ascii="Arial Narrow" w:hAnsi="Arial Narrow"/>
                <w:sz w:val="20"/>
                <w:szCs w:val="20"/>
              </w:rPr>
              <w:t>22.4%</w:t>
            </w:r>
          </w:p>
        </w:tc>
      </w:tr>
      <w:tr w:rsidR="00DA6EBF" w:rsidRPr="00534C5B" w:rsidTr="00F15DAD">
        <w:trPr>
          <w:tblHeader/>
        </w:trPr>
        <w:tc>
          <w:tcPr>
            <w:tcW w:w="2830" w:type="dxa"/>
          </w:tcPr>
          <w:p w:rsidR="00DA6EBF" w:rsidRPr="00534C5B" w:rsidRDefault="00DA6EBF" w:rsidP="0071307E">
            <w:pPr>
              <w:pStyle w:val="3Bodytext"/>
              <w:keepNext/>
              <w:keepLines/>
              <w:numPr>
                <w:ilvl w:val="0"/>
                <w:numId w:val="0"/>
              </w:numPr>
              <w:spacing w:after="0"/>
              <w:rPr>
                <w:rFonts w:ascii="Arial Narrow" w:hAnsi="Arial Narrow"/>
                <w:sz w:val="20"/>
                <w:szCs w:val="20"/>
              </w:rPr>
            </w:pPr>
            <w:r w:rsidRPr="00534C5B">
              <w:rPr>
                <w:rFonts w:ascii="Arial Narrow" w:hAnsi="Arial Narrow"/>
                <w:sz w:val="20"/>
                <w:szCs w:val="20"/>
              </w:rPr>
              <w:t>5 years</w:t>
            </w:r>
          </w:p>
        </w:tc>
        <w:tc>
          <w:tcPr>
            <w:tcW w:w="3261" w:type="dxa"/>
          </w:tcPr>
          <w:p w:rsidR="00DA6EBF" w:rsidRPr="00534C5B" w:rsidRDefault="00653477" w:rsidP="0071307E">
            <w:pPr>
              <w:pStyle w:val="3Bodytext"/>
              <w:keepNext/>
              <w:keepLines/>
              <w:numPr>
                <w:ilvl w:val="0"/>
                <w:numId w:val="0"/>
              </w:numPr>
              <w:spacing w:after="0"/>
              <w:jc w:val="center"/>
              <w:rPr>
                <w:rFonts w:ascii="Arial Narrow" w:hAnsi="Arial Narrow"/>
                <w:sz w:val="20"/>
                <w:szCs w:val="20"/>
              </w:rPr>
            </w:pPr>
            <w:r>
              <w:rPr>
                <w:rFonts w:ascii="Arial Narrow" w:hAnsi="Arial Narrow"/>
                <w:noProof/>
                <w:color w:val="000000"/>
                <w:sz w:val="20"/>
                <w:szCs w:val="20"/>
                <w:highlight w:val="black"/>
              </w:rPr>
              <w:t>''''''''''</w:t>
            </w:r>
            <w:r w:rsidR="00DB732B" w:rsidRPr="00534C5B">
              <w:rPr>
                <w:rFonts w:ascii="Arial Narrow" w:hAnsi="Arial Narrow"/>
                <w:sz w:val="20"/>
                <w:szCs w:val="20"/>
              </w:rPr>
              <w:t xml:space="preserve">% NIVO vs </w:t>
            </w:r>
            <w:r>
              <w:rPr>
                <w:rFonts w:ascii="Arial Narrow" w:hAnsi="Arial Narrow"/>
                <w:noProof/>
                <w:color w:val="000000"/>
                <w:sz w:val="20"/>
                <w:szCs w:val="20"/>
                <w:highlight w:val="black"/>
              </w:rPr>
              <w:t>''''''''''</w:t>
            </w:r>
            <w:r w:rsidR="00DB732B" w:rsidRPr="00534C5B">
              <w:rPr>
                <w:rFonts w:ascii="Arial Narrow" w:hAnsi="Arial Narrow"/>
                <w:sz w:val="20"/>
                <w:szCs w:val="20"/>
              </w:rPr>
              <w:t>% SOC</w:t>
            </w:r>
          </w:p>
        </w:tc>
        <w:tc>
          <w:tcPr>
            <w:tcW w:w="2976" w:type="dxa"/>
          </w:tcPr>
          <w:p w:rsidR="00DA6EBF" w:rsidRPr="00534C5B" w:rsidRDefault="00DB732B" w:rsidP="0071307E">
            <w:pPr>
              <w:pStyle w:val="3Bodytext"/>
              <w:keepNext/>
              <w:keepLines/>
              <w:numPr>
                <w:ilvl w:val="0"/>
                <w:numId w:val="0"/>
              </w:numPr>
              <w:spacing w:after="0"/>
              <w:jc w:val="center"/>
              <w:rPr>
                <w:rFonts w:ascii="Arial Narrow" w:hAnsi="Arial Narrow"/>
                <w:sz w:val="20"/>
                <w:szCs w:val="20"/>
              </w:rPr>
            </w:pPr>
            <w:r w:rsidRPr="00534C5B">
              <w:rPr>
                <w:rFonts w:ascii="Arial Narrow" w:hAnsi="Arial Narrow"/>
                <w:sz w:val="20"/>
                <w:szCs w:val="20"/>
              </w:rPr>
              <w:t>20.4%</w:t>
            </w:r>
          </w:p>
        </w:tc>
      </w:tr>
      <w:tr w:rsidR="00DA6EBF" w:rsidRPr="00534C5B" w:rsidTr="00F15DAD">
        <w:trPr>
          <w:tblHeader/>
        </w:trPr>
        <w:tc>
          <w:tcPr>
            <w:tcW w:w="2830" w:type="dxa"/>
          </w:tcPr>
          <w:p w:rsidR="00DA6EBF" w:rsidRPr="00534C5B" w:rsidRDefault="00DA6EBF" w:rsidP="0071307E">
            <w:pPr>
              <w:pStyle w:val="3Bodytext"/>
              <w:keepNext/>
              <w:keepLines/>
              <w:numPr>
                <w:ilvl w:val="0"/>
                <w:numId w:val="0"/>
              </w:numPr>
              <w:spacing w:after="0"/>
              <w:rPr>
                <w:rFonts w:ascii="Arial Narrow" w:hAnsi="Arial Narrow"/>
                <w:sz w:val="20"/>
                <w:szCs w:val="20"/>
              </w:rPr>
            </w:pPr>
            <w:r w:rsidRPr="00534C5B">
              <w:rPr>
                <w:rFonts w:ascii="Arial Narrow" w:hAnsi="Arial Narrow"/>
                <w:sz w:val="20"/>
                <w:szCs w:val="20"/>
              </w:rPr>
              <w:t>10 years</w:t>
            </w:r>
          </w:p>
        </w:tc>
        <w:tc>
          <w:tcPr>
            <w:tcW w:w="3261" w:type="dxa"/>
          </w:tcPr>
          <w:p w:rsidR="00DA6EBF" w:rsidRPr="00534C5B" w:rsidRDefault="00653477" w:rsidP="0071307E">
            <w:pPr>
              <w:pStyle w:val="3Bodytext"/>
              <w:keepNext/>
              <w:keepLines/>
              <w:numPr>
                <w:ilvl w:val="0"/>
                <w:numId w:val="0"/>
              </w:numPr>
              <w:spacing w:after="0"/>
              <w:jc w:val="center"/>
              <w:rPr>
                <w:rFonts w:ascii="Arial Narrow" w:hAnsi="Arial Narrow"/>
                <w:sz w:val="20"/>
                <w:szCs w:val="20"/>
              </w:rPr>
            </w:pPr>
            <w:r>
              <w:rPr>
                <w:rFonts w:ascii="Arial Narrow" w:hAnsi="Arial Narrow"/>
                <w:noProof/>
                <w:color w:val="000000"/>
                <w:sz w:val="20"/>
                <w:szCs w:val="20"/>
                <w:highlight w:val="black"/>
              </w:rPr>
              <w:t>''''''''''</w:t>
            </w:r>
            <w:r w:rsidR="00DB732B" w:rsidRPr="00534C5B">
              <w:rPr>
                <w:rFonts w:ascii="Arial Narrow" w:hAnsi="Arial Narrow"/>
                <w:sz w:val="20"/>
                <w:szCs w:val="20"/>
              </w:rPr>
              <w:t xml:space="preserve">% NIVO vs </w:t>
            </w:r>
            <w:r>
              <w:rPr>
                <w:rFonts w:ascii="Arial Narrow" w:hAnsi="Arial Narrow"/>
                <w:noProof/>
                <w:color w:val="000000"/>
                <w:sz w:val="20"/>
                <w:szCs w:val="20"/>
                <w:highlight w:val="black"/>
              </w:rPr>
              <w:t>'''''''''''</w:t>
            </w:r>
            <w:r w:rsidR="00DB732B" w:rsidRPr="00534C5B">
              <w:rPr>
                <w:rFonts w:ascii="Arial Narrow" w:hAnsi="Arial Narrow"/>
                <w:sz w:val="20"/>
                <w:szCs w:val="20"/>
              </w:rPr>
              <w:t>% SOC</w:t>
            </w:r>
          </w:p>
        </w:tc>
        <w:tc>
          <w:tcPr>
            <w:tcW w:w="2976" w:type="dxa"/>
          </w:tcPr>
          <w:p w:rsidR="00DA6EBF" w:rsidRPr="00534C5B" w:rsidRDefault="00DB732B" w:rsidP="0071307E">
            <w:pPr>
              <w:pStyle w:val="3Bodytext"/>
              <w:keepNext/>
              <w:keepLines/>
              <w:numPr>
                <w:ilvl w:val="0"/>
                <w:numId w:val="0"/>
              </w:numPr>
              <w:spacing w:after="0"/>
              <w:jc w:val="center"/>
              <w:rPr>
                <w:rFonts w:ascii="Arial Narrow" w:hAnsi="Arial Narrow"/>
                <w:sz w:val="20"/>
                <w:szCs w:val="20"/>
              </w:rPr>
            </w:pPr>
            <w:r w:rsidRPr="00534C5B">
              <w:rPr>
                <w:rFonts w:ascii="Arial Narrow" w:hAnsi="Arial Narrow"/>
                <w:sz w:val="20"/>
                <w:szCs w:val="20"/>
              </w:rPr>
              <w:t>13.2%</w:t>
            </w:r>
          </w:p>
        </w:tc>
      </w:tr>
    </w:tbl>
    <w:p w:rsidR="00DA6EBF" w:rsidRPr="00534C5B" w:rsidRDefault="00DB732B" w:rsidP="0071307E">
      <w:pPr>
        <w:pStyle w:val="TableFooter"/>
        <w:keepNext/>
        <w:keepLines/>
      </w:pPr>
      <w:r w:rsidRPr="00534C5B">
        <w:t>DMFS = distant met</w:t>
      </w:r>
      <w:r w:rsidR="00307762" w:rsidRPr="00534C5B">
        <w:t>astase</w:t>
      </w:r>
      <w:r w:rsidRPr="00534C5B">
        <w:t>s free survival; NIVO = nivolumab; RFS = recurrence free survival; SOC = standard of care</w:t>
      </w:r>
    </w:p>
    <w:p w:rsidR="00DB732B" w:rsidRPr="00534C5B" w:rsidRDefault="00DB732B" w:rsidP="0071307E">
      <w:pPr>
        <w:pStyle w:val="TableFooter"/>
        <w:keepNext/>
        <w:keepLines/>
      </w:pPr>
      <w:r w:rsidRPr="00534C5B">
        <w:t>Source: Attachment 1_Section 3 economic model_Jul19, MarkovModel_NIVvBSC tab</w:t>
      </w:r>
    </w:p>
    <w:p w:rsidR="00DB732B" w:rsidRPr="00534C5B" w:rsidRDefault="00DB732B" w:rsidP="00DB732B"/>
    <w:p w:rsidR="00B31680" w:rsidRPr="00534C5B" w:rsidRDefault="00B31680" w:rsidP="00905AF7">
      <w:pPr>
        <w:pStyle w:val="3Bodytext"/>
        <w:numPr>
          <w:ilvl w:val="1"/>
          <w:numId w:val="1"/>
        </w:numPr>
        <w:rPr>
          <w:szCs w:val="24"/>
        </w:rPr>
      </w:pPr>
      <w:r w:rsidRPr="00534C5B">
        <w:rPr>
          <w:szCs w:val="24"/>
        </w:rPr>
        <w:t xml:space="preserve">Based on Figure 1 above, the deferral proposal estimated that 61% of patients complete 12 months of adjuvant PD-1 inhibitor therapy and 27% discontinue due to recurrence whilst on treatment. The PBAC therefore considered that at least 30% to 40% of patients would relapse whilst on, or within six months of completing, adjuvant therapy. Noting that </w:t>
      </w:r>
      <w:r w:rsidR="007558F4">
        <w:rPr>
          <w:szCs w:val="24"/>
        </w:rPr>
        <w:t xml:space="preserve">66% of patients who died from melanoma had an initial diagnosis of local or regional disease (paragraph 4.30), </w:t>
      </w:r>
      <w:r w:rsidRPr="00534C5B">
        <w:rPr>
          <w:szCs w:val="24"/>
        </w:rPr>
        <w:t xml:space="preserve">37.7% of </w:t>
      </w:r>
      <w:r w:rsidR="00905AF7" w:rsidRPr="00534C5B">
        <w:rPr>
          <w:szCs w:val="24"/>
        </w:rPr>
        <w:t>patients</w:t>
      </w:r>
      <w:r w:rsidRPr="00534C5B">
        <w:rPr>
          <w:szCs w:val="24"/>
        </w:rPr>
        <w:t xml:space="preserve"> would be BRAF mutant and 74.1% of BRAF mutant patients would receive a PD-1 inhibitor as adjuvant therapy, the PBAC estimated that </w:t>
      </w:r>
      <w:r w:rsidR="00653477">
        <w:rPr>
          <w:noProof/>
          <w:color w:val="000000"/>
          <w:szCs w:val="24"/>
          <w:highlight w:val="black"/>
        </w:rPr>
        <w:t>''''''</w:t>
      </w:r>
      <w:r w:rsidRPr="00534C5B">
        <w:rPr>
          <w:szCs w:val="24"/>
        </w:rPr>
        <w:t>% (</w:t>
      </w:r>
      <w:r w:rsidR="00653477">
        <w:rPr>
          <w:noProof/>
          <w:color w:val="000000"/>
          <w:szCs w:val="24"/>
          <w:highlight w:val="black"/>
        </w:rPr>
        <w:t>''''''</w:t>
      </w:r>
      <w:r w:rsidRPr="00534C5B">
        <w:rPr>
          <w:szCs w:val="24"/>
        </w:rPr>
        <w:t xml:space="preserve"> x </w:t>
      </w:r>
      <w:r w:rsidR="00653477">
        <w:rPr>
          <w:noProof/>
          <w:color w:val="000000"/>
          <w:szCs w:val="24"/>
          <w:highlight w:val="black"/>
        </w:rPr>
        <w:t>''''''''</w:t>
      </w:r>
      <w:r w:rsidR="007558F4">
        <w:rPr>
          <w:szCs w:val="24"/>
        </w:rPr>
        <w:t xml:space="preserve"> x </w:t>
      </w:r>
      <w:r w:rsidR="00653477">
        <w:rPr>
          <w:noProof/>
          <w:color w:val="000000"/>
          <w:szCs w:val="24"/>
          <w:highlight w:val="black"/>
        </w:rPr>
        <w:t>''''''''''</w:t>
      </w:r>
      <w:r w:rsidRPr="00534C5B">
        <w:rPr>
          <w:szCs w:val="24"/>
        </w:rPr>
        <w:t xml:space="preserve"> x </w:t>
      </w:r>
      <w:r w:rsidR="00653477">
        <w:rPr>
          <w:noProof/>
          <w:color w:val="000000"/>
          <w:szCs w:val="24"/>
          <w:highlight w:val="black"/>
        </w:rPr>
        <w:t>'''''''''''</w:t>
      </w:r>
      <w:r w:rsidRPr="00534C5B">
        <w:rPr>
          <w:szCs w:val="24"/>
        </w:rPr>
        <w:t xml:space="preserve">) to </w:t>
      </w:r>
      <w:r w:rsidR="00653477">
        <w:rPr>
          <w:noProof/>
          <w:color w:val="000000"/>
          <w:szCs w:val="24"/>
          <w:highlight w:val="black"/>
        </w:rPr>
        <w:t>''''''</w:t>
      </w:r>
      <w:r w:rsidRPr="00534C5B">
        <w:rPr>
          <w:szCs w:val="24"/>
        </w:rPr>
        <w:t>% (</w:t>
      </w:r>
      <w:r w:rsidR="00653477">
        <w:rPr>
          <w:noProof/>
          <w:color w:val="000000"/>
          <w:szCs w:val="24"/>
          <w:highlight w:val="black"/>
        </w:rPr>
        <w:t>''''''</w:t>
      </w:r>
      <w:r w:rsidRPr="00534C5B">
        <w:rPr>
          <w:szCs w:val="24"/>
        </w:rPr>
        <w:t xml:space="preserve"> x </w:t>
      </w:r>
      <w:r w:rsidR="00653477">
        <w:rPr>
          <w:noProof/>
          <w:color w:val="000000"/>
          <w:szCs w:val="24"/>
          <w:highlight w:val="black"/>
        </w:rPr>
        <w:t>'''''''''</w:t>
      </w:r>
      <w:r w:rsidR="007558F4">
        <w:rPr>
          <w:szCs w:val="24"/>
        </w:rPr>
        <w:t xml:space="preserve"> </w:t>
      </w:r>
      <w:r w:rsidR="003C14DD" w:rsidRPr="00E94DCC">
        <w:rPr>
          <w:szCs w:val="24"/>
        </w:rPr>
        <w:t>x</w:t>
      </w:r>
      <w:r w:rsidR="007558F4">
        <w:rPr>
          <w:szCs w:val="24"/>
        </w:rPr>
        <w:t xml:space="preserve"> </w:t>
      </w:r>
      <w:r w:rsidR="00653477">
        <w:rPr>
          <w:noProof/>
          <w:color w:val="000000"/>
          <w:szCs w:val="24"/>
          <w:highlight w:val="black"/>
        </w:rPr>
        <w:t>''''''''''</w:t>
      </w:r>
      <w:r w:rsidRPr="00534C5B">
        <w:rPr>
          <w:szCs w:val="24"/>
        </w:rPr>
        <w:t xml:space="preserve"> x </w:t>
      </w:r>
      <w:r w:rsidR="00653477">
        <w:rPr>
          <w:noProof/>
          <w:color w:val="000000"/>
          <w:szCs w:val="24"/>
          <w:highlight w:val="black"/>
        </w:rPr>
        <w:t>'''''''''''</w:t>
      </w:r>
      <w:r w:rsidRPr="00534C5B">
        <w:rPr>
          <w:szCs w:val="24"/>
        </w:rPr>
        <w:t xml:space="preserve">) of the unresectable or metastatic </w:t>
      </w:r>
      <w:r w:rsidR="00976785">
        <w:rPr>
          <w:szCs w:val="24"/>
        </w:rPr>
        <w:t>population would be ineligible to receive PD-1 inhibitor therapy</w:t>
      </w:r>
      <w:r w:rsidRPr="00534C5B">
        <w:rPr>
          <w:szCs w:val="24"/>
        </w:rPr>
        <w:t xml:space="preserve">. For the remaining 62.3% of BRAF wild type patients, </w:t>
      </w:r>
      <w:r w:rsidR="00653477">
        <w:rPr>
          <w:noProof/>
          <w:color w:val="000000"/>
          <w:szCs w:val="24"/>
          <w:highlight w:val="black"/>
        </w:rPr>
        <w:t>'''''''''</w:t>
      </w:r>
      <w:r w:rsidRPr="00534C5B">
        <w:rPr>
          <w:szCs w:val="24"/>
        </w:rPr>
        <w:t>% (</w:t>
      </w:r>
      <w:r w:rsidR="00653477">
        <w:rPr>
          <w:noProof/>
          <w:color w:val="000000"/>
          <w:szCs w:val="24"/>
          <w:highlight w:val="black"/>
        </w:rPr>
        <w:t>''''''</w:t>
      </w:r>
      <w:r w:rsidRPr="00534C5B">
        <w:rPr>
          <w:szCs w:val="24"/>
        </w:rPr>
        <w:t xml:space="preserve"> x </w:t>
      </w:r>
      <w:r w:rsidR="00653477">
        <w:rPr>
          <w:noProof/>
          <w:color w:val="000000"/>
          <w:szCs w:val="24"/>
          <w:highlight w:val="black"/>
        </w:rPr>
        <w:t>''''''''</w:t>
      </w:r>
      <w:r w:rsidR="007558F4">
        <w:rPr>
          <w:szCs w:val="24"/>
        </w:rPr>
        <w:t xml:space="preserve"> x </w:t>
      </w:r>
      <w:r w:rsidR="00653477">
        <w:rPr>
          <w:noProof/>
          <w:color w:val="000000"/>
          <w:szCs w:val="24"/>
          <w:highlight w:val="black"/>
        </w:rPr>
        <w:t>''''''''''''</w:t>
      </w:r>
      <w:r w:rsidRPr="00534C5B">
        <w:rPr>
          <w:szCs w:val="24"/>
        </w:rPr>
        <w:t xml:space="preserve">) to </w:t>
      </w:r>
      <w:r w:rsidR="00653477">
        <w:rPr>
          <w:noProof/>
          <w:color w:val="000000"/>
          <w:szCs w:val="24"/>
          <w:highlight w:val="black"/>
        </w:rPr>
        <w:t>''''''''</w:t>
      </w:r>
      <w:r w:rsidRPr="00534C5B">
        <w:rPr>
          <w:szCs w:val="24"/>
        </w:rPr>
        <w:t>% (</w:t>
      </w:r>
      <w:r w:rsidR="00653477">
        <w:rPr>
          <w:noProof/>
          <w:color w:val="000000"/>
          <w:szCs w:val="24"/>
          <w:highlight w:val="black"/>
        </w:rPr>
        <w:t>''''''</w:t>
      </w:r>
      <w:r w:rsidRPr="00534C5B">
        <w:rPr>
          <w:szCs w:val="24"/>
        </w:rPr>
        <w:t xml:space="preserve"> x </w:t>
      </w:r>
      <w:r w:rsidR="00653477">
        <w:rPr>
          <w:noProof/>
          <w:color w:val="000000"/>
          <w:szCs w:val="24"/>
          <w:highlight w:val="black"/>
        </w:rPr>
        <w:t>''''''''</w:t>
      </w:r>
      <w:r w:rsidR="007558F4">
        <w:rPr>
          <w:szCs w:val="24"/>
        </w:rPr>
        <w:t xml:space="preserve"> x </w:t>
      </w:r>
      <w:r w:rsidR="00653477">
        <w:rPr>
          <w:noProof/>
          <w:color w:val="000000"/>
          <w:szCs w:val="24"/>
          <w:highlight w:val="black"/>
        </w:rPr>
        <w:t>''''''''''</w:t>
      </w:r>
      <w:r w:rsidRPr="00534C5B">
        <w:rPr>
          <w:szCs w:val="24"/>
        </w:rPr>
        <w:t xml:space="preserve">) would be ineligible to receive </w:t>
      </w:r>
      <w:r w:rsidR="00976785">
        <w:rPr>
          <w:szCs w:val="24"/>
        </w:rPr>
        <w:t xml:space="preserve">PD-1 inhibitor </w:t>
      </w:r>
      <w:r w:rsidRPr="00534C5B">
        <w:rPr>
          <w:szCs w:val="24"/>
        </w:rPr>
        <w:t>treatment in the unresectable setting. Thus</w:t>
      </w:r>
      <w:r w:rsidR="00905AF7" w:rsidRPr="00534C5B">
        <w:rPr>
          <w:szCs w:val="24"/>
        </w:rPr>
        <w:t>, in total</w:t>
      </w:r>
      <w:r w:rsidRPr="00534C5B">
        <w:rPr>
          <w:szCs w:val="24"/>
        </w:rPr>
        <w:t xml:space="preserve">, </w:t>
      </w:r>
      <w:r w:rsidR="00653477">
        <w:rPr>
          <w:noProof/>
          <w:color w:val="000000"/>
          <w:szCs w:val="24"/>
          <w:highlight w:val="black"/>
        </w:rPr>
        <w:t>''''''''</w:t>
      </w:r>
      <w:r w:rsidR="00905AF7" w:rsidRPr="00534C5B">
        <w:rPr>
          <w:szCs w:val="24"/>
        </w:rPr>
        <w:t xml:space="preserve">% to </w:t>
      </w:r>
      <w:r w:rsidR="00653477">
        <w:rPr>
          <w:noProof/>
          <w:color w:val="000000"/>
          <w:szCs w:val="24"/>
          <w:highlight w:val="black"/>
        </w:rPr>
        <w:t>'''''''''</w:t>
      </w:r>
      <w:r w:rsidR="00905AF7" w:rsidRPr="00534C5B">
        <w:rPr>
          <w:szCs w:val="24"/>
        </w:rPr>
        <w:t xml:space="preserve">% of </w:t>
      </w:r>
      <w:r w:rsidR="00976785">
        <w:rPr>
          <w:szCs w:val="24"/>
        </w:rPr>
        <w:t xml:space="preserve">the unresectable or metastatic population </w:t>
      </w:r>
      <w:r w:rsidR="007558F4">
        <w:rPr>
          <w:szCs w:val="24"/>
        </w:rPr>
        <w:t xml:space="preserve">would be ineligible to receive </w:t>
      </w:r>
      <w:r w:rsidR="00976785">
        <w:rPr>
          <w:szCs w:val="24"/>
        </w:rPr>
        <w:t>PD-1 inhibitor therapy</w:t>
      </w:r>
      <w:r w:rsidR="00905AF7" w:rsidRPr="00534C5B">
        <w:rPr>
          <w:szCs w:val="24"/>
        </w:rPr>
        <w:t>.</w:t>
      </w:r>
    </w:p>
    <w:p w:rsidR="00231618" w:rsidRPr="00534C5B" w:rsidRDefault="00F15FDC" w:rsidP="00231618">
      <w:pPr>
        <w:pStyle w:val="3Bodytext"/>
        <w:numPr>
          <w:ilvl w:val="1"/>
          <w:numId w:val="1"/>
        </w:numPr>
        <w:rPr>
          <w:szCs w:val="24"/>
        </w:rPr>
      </w:pPr>
      <w:r w:rsidRPr="00534C5B">
        <w:rPr>
          <w:szCs w:val="24"/>
        </w:rPr>
        <w:t>The proposed RSA subsidisation caps</w:t>
      </w:r>
      <w:r w:rsidR="00231618" w:rsidRPr="00534C5B">
        <w:rPr>
          <w:szCs w:val="24"/>
        </w:rPr>
        <w:t>, as provided in the deferral proposal,</w:t>
      </w:r>
      <w:r w:rsidRPr="00534C5B">
        <w:rPr>
          <w:szCs w:val="24"/>
        </w:rPr>
        <w:t xml:space="preserve"> incorporated both the adjuvant and unresectable or metastatic settings, as shown in </w:t>
      </w:r>
      <w:r w:rsidRPr="00534C5B">
        <w:rPr>
          <w:szCs w:val="24"/>
        </w:rPr>
        <w:lastRenderedPageBreak/>
        <w:t xml:space="preserve">Table 9. </w:t>
      </w:r>
      <w:r w:rsidR="00AF0875" w:rsidRPr="00534C5B">
        <w:rPr>
          <w:szCs w:val="24"/>
        </w:rPr>
        <w:t>The adjuvant compo</w:t>
      </w:r>
      <w:r w:rsidR="007F6635" w:rsidRPr="00534C5B">
        <w:rPr>
          <w:szCs w:val="24"/>
        </w:rPr>
        <w:t>nent of the subsidisation caps wa</w:t>
      </w:r>
      <w:r w:rsidR="00AF0875" w:rsidRPr="00534C5B">
        <w:rPr>
          <w:szCs w:val="24"/>
        </w:rPr>
        <w:t>s based on the cost to the</w:t>
      </w:r>
      <w:r w:rsidR="0082470D" w:rsidRPr="00534C5B">
        <w:rPr>
          <w:szCs w:val="24"/>
        </w:rPr>
        <w:t xml:space="preserve"> PBS/RPBS as proposed </w:t>
      </w:r>
      <w:r w:rsidR="00B82BE0" w:rsidRPr="00534C5B">
        <w:rPr>
          <w:szCs w:val="24"/>
        </w:rPr>
        <w:t xml:space="preserve">by the submission </w:t>
      </w:r>
      <w:r w:rsidR="0082470D" w:rsidRPr="00976785">
        <w:rPr>
          <w:szCs w:val="24"/>
        </w:rPr>
        <w:t xml:space="preserve">in Table </w:t>
      </w:r>
      <w:r w:rsidR="00AB5085" w:rsidRPr="00976785">
        <w:rPr>
          <w:szCs w:val="24"/>
        </w:rPr>
        <w:t>4</w:t>
      </w:r>
      <w:r w:rsidR="00AF0875" w:rsidRPr="00976785">
        <w:rPr>
          <w:szCs w:val="24"/>
        </w:rPr>
        <w:t xml:space="preserve"> above</w:t>
      </w:r>
      <w:r w:rsidR="00AF0875" w:rsidRPr="00534C5B">
        <w:rPr>
          <w:szCs w:val="24"/>
        </w:rPr>
        <w:t>.</w:t>
      </w:r>
      <w:r w:rsidR="00305EF3" w:rsidRPr="00534C5B">
        <w:rPr>
          <w:szCs w:val="24"/>
        </w:rPr>
        <w:t xml:space="preserve"> </w:t>
      </w:r>
    </w:p>
    <w:p w:rsidR="00231618" w:rsidRPr="00534C5B" w:rsidRDefault="00231618" w:rsidP="00231618">
      <w:pPr>
        <w:pStyle w:val="Tabletitles"/>
        <w:spacing w:after="0"/>
      </w:pPr>
      <w:r w:rsidRPr="00534C5B">
        <w:t>Table 9: Proposed RSA subsidisation caps for the PD-1 inhibitors across the adjuvant and unresectable or metastatic settings</w:t>
      </w:r>
    </w:p>
    <w:tbl>
      <w:tblPr>
        <w:tblStyle w:val="TableGrid"/>
        <w:tblW w:w="0" w:type="auto"/>
        <w:tblLook w:val="04A0" w:firstRow="1" w:lastRow="0" w:firstColumn="1" w:lastColumn="0" w:noHBand="0" w:noVBand="1"/>
        <w:tblCaption w:val="Table 9: Proposed RSA subsidisation caps for the PD-1 inhibitors across the adjuvant and unresectable or metastatic settings"/>
      </w:tblPr>
      <w:tblGrid>
        <w:gridCol w:w="2136"/>
        <w:gridCol w:w="1157"/>
        <w:gridCol w:w="1126"/>
        <w:gridCol w:w="1157"/>
        <w:gridCol w:w="1157"/>
        <w:gridCol w:w="1157"/>
        <w:gridCol w:w="1126"/>
      </w:tblGrid>
      <w:tr w:rsidR="00231618" w:rsidRPr="00534C5B" w:rsidTr="00F15DAD">
        <w:trPr>
          <w:tblHeader/>
        </w:trPr>
        <w:tc>
          <w:tcPr>
            <w:tcW w:w="2547" w:type="dxa"/>
            <w:tcMar>
              <w:left w:w="28" w:type="dxa"/>
              <w:right w:w="28" w:type="dxa"/>
            </w:tcMar>
          </w:tcPr>
          <w:p w:rsidR="00231618" w:rsidRPr="00534C5B" w:rsidRDefault="00231618" w:rsidP="00C870B4">
            <w:pPr>
              <w:pStyle w:val="3Bodytext"/>
              <w:keepNext/>
              <w:keepLines/>
              <w:numPr>
                <w:ilvl w:val="0"/>
                <w:numId w:val="0"/>
              </w:numPr>
              <w:spacing w:after="0"/>
              <w:jc w:val="left"/>
              <w:rPr>
                <w:rFonts w:ascii="Arial Narrow" w:hAnsi="Arial Narrow"/>
                <w:b/>
                <w:sz w:val="20"/>
                <w:szCs w:val="20"/>
              </w:rPr>
            </w:pPr>
          </w:p>
        </w:tc>
        <w:tc>
          <w:tcPr>
            <w:tcW w:w="1134" w:type="dxa"/>
            <w:tcMar>
              <w:left w:w="28" w:type="dxa"/>
              <w:right w:w="28" w:type="dxa"/>
            </w:tcMar>
          </w:tcPr>
          <w:p w:rsidR="00231618" w:rsidRPr="00534C5B" w:rsidRDefault="00231618" w:rsidP="00C870B4">
            <w:pPr>
              <w:pStyle w:val="3Bodytext"/>
              <w:keepNext/>
              <w:keepLines/>
              <w:numPr>
                <w:ilvl w:val="0"/>
                <w:numId w:val="0"/>
              </w:numPr>
              <w:spacing w:after="0"/>
              <w:jc w:val="center"/>
              <w:rPr>
                <w:rFonts w:ascii="Arial Narrow" w:hAnsi="Arial Narrow"/>
                <w:b/>
                <w:sz w:val="20"/>
                <w:szCs w:val="20"/>
              </w:rPr>
            </w:pPr>
            <w:r w:rsidRPr="00534C5B">
              <w:rPr>
                <w:rFonts w:ascii="Arial Narrow" w:hAnsi="Arial Narrow"/>
                <w:b/>
                <w:sz w:val="20"/>
                <w:szCs w:val="20"/>
              </w:rPr>
              <w:t>2020</w:t>
            </w:r>
          </w:p>
        </w:tc>
        <w:tc>
          <w:tcPr>
            <w:tcW w:w="1089" w:type="dxa"/>
            <w:tcMar>
              <w:left w:w="28" w:type="dxa"/>
              <w:right w:w="28" w:type="dxa"/>
            </w:tcMar>
          </w:tcPr>
          <w:p w:rsidR="00231618" w:rsidRPr="00534C5B" w:rsidRDefault="00231618" w:rsidP="00C870B4">
            <w:pPr>
              <w:pStyle w:val="3Bodytext"/>
              <w:keepNext/>
              <w:keepLines/>
              <w:numPr>
                <w:ilvl w:val="0"/>
                <w:numId w:val="0"/>
              </w:numPr>
              <w:spacing w:after="0"/>
              <w:jc w:val="center"/>
              <w:rPr>
                <w:rFonts w:ascii="Arial Narrow" w:hAnsi="Arial Narrow"/>
                <w:b/>
                <w:sz w:val="20"/>
                <w:szCs w:val="20"/>
              </w:rPr>
            </w:pPr>
            <w:r w:rsidRPr="00534C5B">
              <w:rPr>
                <w:rFonts w:ascii="Arial Narrow" w:hAnsi="Arial Narrow"/>
                <w:b/>
                <w:sz w:val="20"/>
                <w:szCs w:val="20"/>
              </w:rPr>
              <w:t>2021</w:t>
            </w:r>
          </w:p>
        </w:tc>
        <w:tc>
          <w:tcPr>
            <w:tcW w:w="1066" w:type="dxa"/>
            <w:tcMar>
              <w:left w:w="28" w:type="dxa"/>
              <w:right w:w="28" w:type="dxa"/>
            </w:tcMar>
          </w:tcPr>
          <w:p w:rsidR="00231618" w:rsidRPr="00534C5B" w:rsidRDefault="00231618" w:rsidP="00C870B4">
            <w:pPr>
              <w:pStyle w:val="3Bodytext"/>
              <w:keepNext/>
              <w:keepLines/>
              <w:numPr>
                <w:ilvl w:val="0"/>
                <w:numId w:val="0"/>
              </w:numPr>
              <w:spacing w:after="0"/>
              <w:jc w:val="center"/>
              <w:rPr>
                <w:rFonts w:ascii="Arial Narrow" w:hAnsi="Arial Narrow"/>
                <w:b/>
                <w:sz w:val="20"/>
                <w:szCs w:val="20"/>
              </w:rPr>
            </w:pPr>
            <w:r w:rsidRPr="00534C5B">
              <w:rPr>
                <w:rFonts w:ascii="Arial Narrow" w:hAnsi="Arial Narrow"/>
                <w:b/>
                <w:sz w:val="20"/>
                <w:szCs w:val="20"/>
              </w:rPr>
              <w:t>2022</w:t>
            </w:r>
          </w:p>
        </w:tc>
        <w:tc>
          <w:tcPr>
            <w:tcW w:w="1060" w:type="dxa"/>
            <w:tcMar>
              <w:left w:w="28" w:type="dxa"/>
              <w:right w:w="28" w:type="dxa"/>
            </w:tcMar>
          </w:tcPr>
          <w:p w:rsidR="00231618" w:rsidRPr="00534C5B" w:rsidRDefault="00231618" w:rsidP="00C870B4">
            <w:pPr>
              <w:pStyle w:val="3Bodytext"/>
              <w:keepNext/>
              <w:keepLines/>
              <w:numPr>
                <w:ilvl w:val="0"/>
                <w:numId w:val="0"/>
              </w:numPr>
              <w:spacing w:after="0"/>
              <w:jc w:val="center"/>
              <w:rPr>
                <w:rFonts w:ascii="Arial Narrow" w:hAnsi="Arial Narrow"/>
                <w:b/>
                <w:sz w:val="20"/>
                <w:szCs w:val="20"/>
              </w:rPr>
            </w:pPr>
            <w:r w:rsidRPr="00534C5B">
              <w:rPr>
                <w:rFonts w:ascii="Arial Narrow" w:hAnsi="Arial Narrow"/>
                <w:b/>
                <w:sz w:val="20"/>
                <w:szCs w:val="20"/>
              </w:rPr>
              <w:t>2023</w:t>
            </w:r>
          </w:p>
        </w:tc>
        <w:tc>
          <w:tcPr>
            <w:tcW w:w="1060" w:type="dxa"/>
            <w:tcMar>
              <w:left w:w="28" w:type="dxa"/>
              <w:right w:w="28" w:type="dxa"/>
            </w:tcMar>
          </w:tcPr>
          <w:p w:rsidR="00231618" w:rsidRPr="00534C5B" w:rsidRDefault="00231618" w:rsidP="00C870B4">
            <w:pPr>
              <w:pStyle w:val="3Bodytext"/>
              <w:keepNext/>
              <w:keepLines/>
              <w:numPr>
                <w:ilvl w:val="0"/>
                <w:numId w:val="0"/>
              </w:numPr>
              <w:spacing w:after="0"/>
              <w:jc w:val="center"/>
              <w:rPr>
                <w:rFonts w:ascii="Arial Narrow" w:hAnsi="Arial Narrow"/>
                <w:b/>
                <w:sz w:val="20"/>
                <w:szCs w:val="20"/>
              </w:rPr>
            </w:pPr>
            <w:r w:rsidRPr="00534C5B">
              <w:rPr>
                <w:rFonts w:ascii="Arial Narrow" w:hAnsi="Arial Narrow"/>
                <w:b/>
                <w:sz w:val="20"/>
                <w:szCs w:val="20"/>
              </w:rPr>
              <w:t>2024</w:t>
            </w:r>
          </w:p>
        </w:tc>
        <w:tc>
          <w:tcPr>
            <w:tcW w:w="1060" w:type="dxa"/>
            <w:tcMar>
              <w:left w:w="28" w:type="dxa"/>
              <w:right w:w="28" w:type="dxa"/>
            </w:tcMar>
          </w:tcPr>
          <w:p w:rsidR="00231618" w:rsidRPr="00534C5B" w:rsidRDefault="00231618" w:rsidP="00C870B4">
            <w:pPr>
              <w:pStyle w:val="3Bodytext"/>
              <w:keepNext/>
              <w:keepLines/>
              <w:numPr>
                <w:ilvl w:val="0"/>
                <w:numId w:val="0"/>
              </w:numPr>
              <w:spacing w:after="0"/>
              <w:jc w:val="center"/>
              <w:rPr>
                <w:rFonts w:ascii="Arial Narrow" w:hAnsi="Arial Narrow"/>
                <w:b/>
                <w:sz w:val="20"/>
                <w:szCs w:val="20"/>
              </w:rPr>
            </w:pPr>
            <w:r w:rsidRPr="00534C5B">
              <w:rPr>
                <w:rFonts w:ascii="Arial Narrow" w:hAnsi="Arial Narrow"/>
                <w:b/>
                <w:sz w:val="20"/>
                <w:szCs w:val="20"/>
              </w:rPr>
              <w:t>2025</w:t>
            </w:r>
          </w:p>
        </w:tc>
      </w:tr>
      <w:tr w:rsidR="00231618" w:rsidRPr="00534C5B" w:rsidTr="00F15DAD">
        <w:trPr>
          <w:tblHeader/>
        </w:trPr>
        <w:tc>
          <w:tcPr>
            <w:tcW w:w="9016" w:type="dxa"/>
            <w:gridSpan w:val="7"/>
            <w:tcMar>
              <w:left w:w="28" w:type="dxa"/>
              <w:right w:w="28" w:type="dxa"/>
            </w:tcMar>
          </w:tcPr>
          <w:p w:rsidR="00231618" w:rsidRPr="00534C5B" w:rsidRDefault="00231618" w:rsidP="00C870B4">
            <w:pPr>
              <w:pStyle w:val="3Bodytext"/>
              <w:keepNext/>
              <w:keepLines/>
              <w:numPr>
                <w:ilvl w:val="0"/>
                <w:numId w:val="0"/>
              </w:numPr>
              <w:spacing w:after="0"/>
              <w:jc w:val="left"/>
              <w:rPr>
                <w:rFonts w:ascii="Arial Narrow" w:hAnsi="Arial Narrow"/>
                <w:b/>
                <w:sz w:val="20"/>
                <w:szCs w:val="20"/>
              </w:rPr>
            </w:pPr>
            <w:r w:rsidRPr="00534C5B">
              <w:rPr>
                <w:rFonts w:ascii="Arial Narrow" w:hAnsi="Arial Narrow"/>
                <w:b/>
                <w:sz w:val="20"/>
                <w:szCs w:val="20"/>
              </w:rPr>
              <w:t>Unresectable or metastatic setting</w:t>
            </w:r>
          </w:p>
        </w:tc>
      </w:tr>
      <w:tr w:rsidR="00231618" w:rsidRPr="00534C5B" w:rsidTr="00F15DAD">
        <w:trPr>
          <w:tblHeader/>
        </w:trPr>
        <w:tc>
          <w:tcPr>
            <w:tcW w:w="2547" w:type="dxa"/>
            <w:tcMar>
              <w:left w:w="28" w:type="dxa"/>
              <w:right w:w="28" w:type="dxa"/>
            </w:tcMar>
          </w:tcPr>
          <w:p w:rsidR="00231618" w:rsidRPr="00534C5B" w:rsidRDefault="00231618" w:rsidP="00C870B4">
            <w:pPr>
              <w:pStyle w:val="3Bodytext"/>
              <w:keepNext/>
              <w:keepLines/>
              <w:numPr>
                <w:ilvl w:val="0"/>
                <w:numId w:val="0"/>
              </w:numPr>
              <w:spacing w:after="0"/>
              <w:jc w:val="left"/>
              <w:rPr>
                <w:rFonts w:ascii="Arial Narrow" w:hAnsi="Arial Narrow"/>
                <w:sz w:val="20"/>
                <w:szCs w:val="20"/>
              </w:rPr>
            </w:pPr>
            <w:r w:rsidRPr="00534C5B">
              <w:rPr>
                <w:rFonts w:ascii="Arial Narrow" w:hAnsi="Arial Narrow"/>
                <w:sz w:val="20"/>
                <w:szCs w:val="20"/>
              </w:rPr>
              <w:t>PD-1 subsidisation expenditure</w:t>
            </w:r>
          </w:p>
        </w:tc>
        <w:tc>
          <w:tcPr>
            <w:tcW w:w="1134" w:type="dxa"/>
            <w:tcMar>
              <w:left w:w="28" w:type="dxa"/>
              <w:right w:w="28" w:type="dxa"/>
            </w:tcMar>
            <w:vAlign w:val="center"/>
          </w:tcPr>
          <w:p w:rsidR="00231618" w:rsidRPr="00653477" w:rsidRDefault="00653477" w:rsidP="00C870B4">
            <w:pPr>
              <w:pStyle w:val="3Bodytext"/>
              <w:keepNext/>
              <w:keepLines/>
              <w:numPr>
                <w:ilvl w:val="0"/>
                <w:numId w:val="0"/>
              </w:numPr>
              <w:spacing w:after="0"/>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089" w:type="dxa"/>
            <w:tcMar>
              <w:left w:w="28" w:type="dxa"/>
              <w:right w:w="28" w:type="dxa"/>
            </w:tcMar>
            <w:vAlign w:val="center"/>
          </w:tcPr>
          <w:p w:rsidR="00231618" w:rsidRPr="00653477" w:rsidRDefault="00653477" w:rsidP="00C870B4">
            <w:pPr>
              <w:pStyle w:val="3Bodytext"/>
              <w:keepNext/>
              <w:keepLines/>
              <w:numPr>
                <w:ilvl w:val="0"/>
                <w:numId w:val="0"/>
              </w:numPr>
              <w:spacing w:after="0"/>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066" w:type="dxa"/>
            <w:tcMar>
              <w:left w:w="28" w:type="dxa"/>
              <w:right w:w="28" w:type="dxa"/>
            </w:tcMar>
            <w:vAlign w:val="center"/>
          </w:tcPr>
          <w:p w:rsidR="00231618" w:rsidRPr="00653477" w:rsidRDefault="00653477" w:rsidP="00C870B4">
            <w:pPr>
              <w:pStyle w:val="3Bodytext"/>
              <w:keepNext/>
              <w:keepLines/>
              <w:numPr>
                <w:ilvl w:val="0"/>
                <w:numId w:val="0"/>
              </w:numPr>
              <w:spacing w:after="0"/>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060" w:type="dxa"/>
            <w:tcMar>
              <w:left w:w="28" w:type="dxa"/>
              <w:right w:w="28" w:type="dxa"/>
            </w:tcMar>
            <w:vAlign w:val="center"/>
          </w:tcPr>
          <w:p w:rsidR="00231618" w:rsidRPr="00653477" w:rsidRDefault="00653477" w:rsidP="00C870B4">
            <w:pPr>
              <w:pStyle w:val="3Bodytext"/>
              <w:keepNext/>
              <w:keepLines/>
              <w:numPr>
                <w:ilvl w:val="0"/>
                <w:numId w:val="0"/>
              </w:numPr>
              <w:spacing w:after="0"/>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060" w:type="dxa"/>
            <w:tcMar>
              <w:left w:w="28" w:type="dxa"/>
              <w:right w:w="28" w:type="dxa"/>
            </w:tcMar>
            <w:vAlign w:val="center"/>
          </w:tcPr>
          <w:p w:rsidR="00231618" w:rsidRPr="00653477" w:rsidRDefault="00653477" w:rsidP="00C870B4">
            <w:pPr>
              <w:pStyle w:val="3Bodytext"/>
              <w:keepNext/>
              <w:keepLines/>
              <w:numPr>
                <w:ilvl w:val="0"/>
                <w:numId w:val="0"/>
              </w:numPr>
              <w:spacing w:after="0"/>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060" w:type="dxa"/>
            <w:tcMar>
              <w:left w:w="28" w:type="dxa"/>
              <w:right w:w="28" w:type="dxa"/>
            </w:tcMar>
            <w:vAlign w:val="center"/>
          </w:tcPr>
          <w:p w:rsidR="00231618" w:rsidRPr="00653477" w:rsidRDefault="00653477" w:rsidP="00C870B4">
            <w:pPr>
              <w:pStyle w:val="3Bodytext"/>
              <w:keepNext/>
              <w:keepLines/>
              <w:numPr>
                <w:ilvl w:val="0"/>
                <w:numId w:val="0"/>
              </w:numPr>
              <w:spacing w:after="0"/>
              <w:jc w:val="center"/>
              <w:rPr>
                <w:rFonts w:ascii="Arial Narrow" w:hAnsi="Arial Narrow"/>
                <w:sz w:val="20"/>
                <w:szCs w:val="20"/>
                <w:highlight w:val="black"/>
              </w:rPr>
            </w:pPr>
            <w:r>
              <w:rPr>
                <w:rFonts w:ascii="Arial Narrow" w:hAnsi="Arial Narrow"/>
                <w:noProof/>
                <w:color w:val="000000"/>
                <w:sz w:val="20"/>
                <w:szCs w:val="20"/>
                <w:highlight w:val="black"/>
              </w:rPr>
              <w:t>'''''''''''''''''''''''''''''''''</w:t>
            </w:r>
          </w:p>
        </w:tc>
      </w:tr>
      <w:tr w:rsidR="00231618" w:rsidRPr="00534C5B" w:rsidTr="00F15DAD">
        <w:trPr>
          <w:tblHeader/>
        </w:trPr>
        <w:tc>
          <w:tcPr>
            <w:tcW w:w="2547" w:type="dxa"/>
            <w:tcMar>
              <w:left w:w="28" w:type="dxa"/>
              <w:right w:w="28" w:type="dxa"/>
            </w:tcMar>
          </w:tcPr>
          <w:p w:rsidR="00231618" w:rsidRPr="00534C5B" w:rsidRDefault="00231618" w:rsidP="00C870B4">
            <w:pPr>
              <w:pStyle w:val="3Bodytext"/>
              <w:keepNext/>
              <w:keepLines/>
              <w:numPr>
                <w:ilvl w:val="0"/>
                <w:numId w:val="0"/>
              </w:numPr>
              <w:spacing w:after="0"/>
              <w:jc w:val="left"/>
              <w:rPr>
                <w:rFonts w:ascii="Arial Narrow" w:hAnsi="Arial Narrow"/>
                <w:sz w:val="20"/>
                <w:szCs w:val="20"/>
              </w:rPr>
            </w:pPr>
            <w:r w:rsidRPr="00534C5B">
              <w:rPr>
                <w:rFonts w:ascii="Arial Narrow" w:hAnsi="Arial Narrow"/>
                <w:sz w:val="20"/>
                <w:szCs w:val="20"/>
              </w:rPr>
              <w:t>Reduction in use</w:t>
            </w:r>
          </w:p>
        </w:tc>
        <w:tc>
          <w:tcPr>
            <w:tcW w:w="1134" w:type="dxa"/>
            <w:tcMar>
              <w:left w:w="28" w:type="dxa"/>
              <w:right w:w="28" w:type="dxa"/>
            </w:tcMar>
            <w:vAlign w:val="center"/>
          </w:tcPr>
          <w:p w:rsidR="00231618" w:rsidRPr="00FA4311" w:rsidRDefault="00231618" w:rsidP="00C870B4">
            <w:pPr>
              <w:pStyle w:val="3Bodytext"/>
              <w:keepNext/>
              <w:keepLines/>
              <w:numPr>
                <w:ilvl w:val="0"/>
                <w:numId w:val="0"/>
              </w:numPr>
              <w:spacing w:after="0"/>
              <w:jc w:val="center"/>
              <w:rPr>
                <w:rFonts w:ascii="Arial Narrow" w:hAnsi="Arial Narrow"/>
                <w:sz w:val="20"/>
                <w:szCs w:val="20"/>
              </w:rPr>
            </w:pPr>
            <w:r w:rsidRPr="00FA4311">
              <w:rPr>
                <w:rFonts w:ascii="Arial Narrow" w:hAnsi="Arial Narrow"/>
                <w:sz w:val="20"/>
                <w:szCs w:val="20"/>
              </w:rPr>
              <w:t>0.0%</w:t>
            </w:r>
          </w:p>
        </w:tc>
        <w:tc>
          <w:tcPr>
            <w:tcW w:w="1089" w:type="dxa"/>
            <w:tcMar>
              <w:left w:w="28" w:type="dxa"/>
              <w:right w:w="28" w:type="dxa"/>
            </w:tcMar>
            <w:vAlign w:val="center"/>
          </w:tcPr>
          <w:p w:rsidR="00231618" w:rsidRPr="00FA4311" w:rsidRDefault="00653477" w:rsidP="00C870B4">
            <w:pPr>
              <w:pStyle w:val="3Bodytext"/>
              <w:keepNext/>
              <w:keepLines/>
              <w:numPr>
                <w:ilvl w:val="0"/>
                <w:numId w:val="0"/>
              </w:numPr>
              <w:spacing w:after="0"/>
              <w:jc w:val="center"/>
              <w:rPr>
                <w:rFonts w:ascii="Arial Narrow" w:hAnsi="Arial Narrow"/>
                <w:sz w:val="20"/>
                <w:szCs w:val="20"/>
              </w:rPr>
            </w:pPr>
            <w:r>
              <w:rPr>
                <w:rFonts w:ascii="Arial Narrow" w:hAnsi="Arial Narrow"/>
                <w:noProof/>
                <w:color w:val="000000"/>
                <w:sz w:val="20"/>
                <w:szCs w:val="20"/>
                <w:highlight w:val="black"/>
              </w:rPr>
              <w:t>'''''''</w:t>
            </w:r>
            <w:r w:rsidR="00231618" w:rsidRPr="00FA4311">
              <w:rPr>
                <w:rFonts w:ascii="Arial Narrow" w:hAnsi="Arial Narrow"/>
                <w:sz w:val="20"/>
                <w:szCs w:val="20"/>
              </w:rPr>
              <w:t>%</w:t>
            </w:r>
          </w:p>
        </w:tc>
        <w:tc>
          <w:tcPr>
            <w:tcW w:w="1066" w:type="dxa"/>
            <w:tcMar>
              <w:left w:w="28" w:type="dxa"/>
              <w:right w:w="28" w:type="dxa"/>
            </w:tcMar>
            <w:vAlign w:val="center"/>
          </w:tcPr>
          <w:p w:rsidR="00231618" w:rsidRPr="00FA4311" w:rsidRDefault="00653477" w:rsidP="00C870B4">
            <w:pPr>
              <w:pStyle w:val="3Bodytext"/>
              <w:keepNext/>
              <w:keepLines/>
              <w:numPr>
                <w:ilvl w:val="0"/>
                <w:numId w:val="0"/>
              </w:numPr>
              <w:spacing w:after="0"/>
              <w:jc w:val="center"/>
              <w:rPr>
                <w:rFonts w:ascii="Arial Narrow" w:hAnsi="Arial Narrow"/>
                <w:sz w:val="20"/>
                <w:szCs w:val="20"/>
              </w:rPr>
            </w:pPr>
            <w:r>
              <w:rPr>
                <w:rFonts w:ascii="Arial Narrow" w:hAnsi="Arial Narrow"/>
                <w:noProof/>
                <w:color w:val="000000"/>
                <w:sz w:val="20"/>
                <w:szCs w:val="20"/>
                <w:highlight w:val="black"/>
              </w:rPr>
              <w:t>''''''''</w:t>
            </w:r>
            <w:r w:rsidR="00231618" w:rsidRPr="00FA4311">
              <w:rPr>
                <w:rFonts w:ascii="Arial Narrow" w:hAnsi="Arial Narrow"/>
                <w:sz w:val="20"/>
                <w:szCs w:val="20"/>
              </w:rPr>
              <w:t>%</w:t>
            </w:r>
          </w:p>
        </w:tc>
        <w:tc>
          <w:tcPr>
            <w:tcW w:w="1060" w:type="dxa"/>
            <w:tcMar>
              <w:left w:w="28" w:type="dxa"/>
              <w:right w:w="28" w:type="dxa"/>
            </w:tcMar>
            <w:vAlign w:val="center"/>
          </w:tcPr>
          <w:p w:rsidR="00231618" w:rsidRPr="00FA4311" w:rsidRDefault="00653477" w:rsidP="00C870B4">
            <w:pPr>
              <w:pStyle w:val="3Bodytext"/>
              <w:keepNext/>
              <w:keepLines/>
              <w:numPr>
                <w:ilvl w:val="0"/>
                <w:numId w:val="0"/>
              </w:numPr>
              <w:spacing w:after="0"/>
              <w:jc w:val="center"/>
              <w:rPr>
                <w:rFonts w:ascii="Arial Narrow" w:hAnsi="Arial Narrow"/>
                <w:sz w:val="20"/>
                <w:szCs w:val="20"/>
              </w:rPr>
            </w:pPr>
            <w:r>
              <w:rPr>
                <w:rFonts w:ascii="Arial Narrow" w:hAnsi="Arial Narrow"/>
                <w:noProof/>
                <w:color w:val="000000"/>
                <w:sz w:val="20"/>
                <w:szCs w:val="20"/>
                <w:highlight w:val="black"/>
              </w:rPr>
              <w:t>'''''''''</w:t>
            </w:r>
            <w:r w:rsidR="00231618" w:rsidRPr="00FA4311">
              <w:rPr>
                <w:rFonts w:ascii="Arial Narrow" w:hAnsi="Arial Narrow"/>
                <w:sz w:val="20"/>
                <w:szCs w:val="20"/>
              </w:rPr>
              <w:t>%</w:t>
            </w:r>
          </w:p>
        </w:tc>
        <w:tc>
          <w:tcPr>
            <w:tcW w:w="1060" w:type="dxa"/>
            <w:tcMar>
              <w:left w:w="28" w:type="dxa"/>
              <w:right w:w="28" w:type="dxa"/>
            </w:tcMar>
            <w:vAlign w:val="center"/>
          </w:tcPr>
          <w:p w:rsidR="00231618" w:rsidRPr="00FA4311" w:rsidRDefault="00653477" w:rsidP="00C870B4">
            <w:pPr>
              <w:pStyle w:val="3Bodytext"/>
              <w:keepNext/>
              <w:keepLines/>
              <w:numPr>
                <w:ilvl w:val="0"/>
                <w:numId w:val="0"/>
              </w:numPr>
              <w:spacing w:after="0"/>
              <w:jc w:val="center"/>
              <w:rPr>
                <w:rFonts w:ascii="Arial Narrow" w:hAnsi="Arial Narrow"/>
                <w:sz w:val="20"/>
                <w:szCs w:val="20"/>
              </w:rPr>
            </w:pPr>
            <w:r>
              <w:rPr>
                <w:rFonts w:ascii="Arial Narrow" w:hAnsi="Arial Narrow"/>
                <w:noProof/>
                <w:color w:val="000000"/>
                <w:sz w:val="20"/>
                <w:szCs w:val="20"/>
                <w:highlight w:val="black"/>
              </w:rPr>
              <w:t>''''''''</w:t>
            </w:r>
            <w:r w:rsidR="00231618" w:rsidRPr="00FA4311">
              <w:rPr>
                <w:rFonts w:ascii="Arial Narrow" w:hAnsi="Arial Narrow"/>
                <w:sz w:val="20"/>
                <w:szCs w:val="20"/>
              </w:rPr>
              <w:t>%</w:t>
            </w:r>
          </w:p>
        </w:tc>
        <w:tc>
          <w:tcPr>
            <w:tcW w:w="1060" w:type="dxa"/>
            <w:tcMar>
              <w:left w:w="28" w:type="dxa"/>
              <w:right w:w="28" w:type="dxa"/>
            </w:tcMar>
            <w:vAlign w:val="center"/>
          </w:tcPr>
          <w:p w:rsidR="00231618" w:rsidRPr="00FA4311" w:rsidRDefault="00653477" w:rsidP="00C870B4">
            <w:pPr>
              <w:pStyle w:val="3Bodytext"/>
              <w:keepNext/>
              <w:keepLines/>
              <w:numPr>
                <w:ilvl w:val="0"/>
                <w:numId w:val="0"/>
              </w:numPr>
              <w:spacing w:after="0"/>
              <w:jc w:val="center"/>
              <w:rPr>
                <w:rFonts w:ascii="Arial Narrow" w:hAnsi="Arial Narrow"/>
                <w:sz w:val="20"/>
                <w:szCs w:val="20"/>
              </w:rPr>
            </w:pPr>
            <w:r>
              <w:rPr>
                <w:rFonts w:ascii="Arial Narrow" w:hAnsi="Arial Narrow"/>
                <w:noProof/>
                <w:color w:val="000000"/>
                <w:sz w:val="20"/>
                <w:szCs w:val="20"/>
                <w:highlight w:val="black"/>
              </w:rPr>
              <w:t>''''''''</w:t>
            </w:r>
            <w:r w:rsidR="00231618" w:rsidRPr="00FA4311">
              <w:rPr>
                <w:rFonts w:ascii="Arial Narrow" w:hAnsi="Arial Narrow"/>
                <w:sz w:val="20"/>
                <w:szCs w:val="20"/>
              </w:rPr>
              <w:t>%</w:t>
            </w:r>
          </w:p>
        </w:tc>
      </w:tr>
      <w:tr w:rsidR="00231618" w:rsidRPr="00534C5B" w:rsidTr="00F15DAD">
        <w:trPr>
          <w:tblHeader/>
        </w:trPr>
        <w:tc>
          <w:tcPr>
            <w:tcW w:w="2547" w:type="dxa"/>
            <w:tcMar>
              <w:left w:w="28" w:type="dxa"/>
              <w:right w:w="28" w:type="dxa"/>
            </w:tcMar>
          </w:tcPr>
          <w:p w:rsidR="00231618" w:rsidRPr="00534C5B" w:rsidRDefault="00231618" w:rsidP="00C870B4">
            <w:pPr>
              <w:pStyle w:val="3Bodytext"/>
              <w:keepNext/>
              <w:keepLines/>
              <w:numPr>
                <w:ilvl w:val="0"/>
                <w:numId w:val="0"/>
              </w:numPr>
              <w:spacing w:after="0"/>
              <w:jc w:val="left"/>
              <w:rPr>
                <w:rFonts w:ascii="Arial Narrow" w:hAnsi="Arial Narrow"/>
                <w:sz w:val="20"/>
                <w:szCs w:val="20"/>
              </w:rPr>
            </w:pPr>
            <w:r w:rsidRPr="00534C5B">
              <w:rPr>
                <w:rFonts w:ascii="Arial Narrow" w:hAnsi="Arial Narrow"/>
                <w:sz w:val="20"/>
                <w:szCs w:val="20"/>
              </w:rPr>
              <w:t>Expected reduction</w:t>
            </w:r>
          </w:p>
        </w:tc>
        <w:tc>
          <w:tcPr>
            <w:tcW w:w="1134" w:type="dxa"/>
            <w:tcMar>
              <w:left w:w="28" w:type="dxa"/>
              <w:right w:w="28" w:type="dxa"/>
            </w:tcMar>
            <w:vAlign w:val="center"/>
          </w:tcPr>
          <w:p w:rsidR="00231618" w:rsidRPr="00534C5B" w:rsidRDefault="00231618" w:rsidP="00C870B4">
            <w:pPr>
              <w:pStyle w:val="3Bodytext"/>
              <w:keepNext/>
              <w:keepLines/>
              <w:numPr>
                <w:ilvl w:val="0"/>
                <w:numId w:val="0"/>
              </w:numPr>
              <w:spacing w:after="0"/>
              <w:jc w:val="center"/>
              <w:rPr>
                <w:rFonts w:ascii="Arial Narrow" w:hAnsi="Arial Narrow"/>
                <w:sz w:val="20"/>
                <w:szCs w:val="20"/>
              </w:rPr>
            </w:pPr>
            <w:r w:rsidRPr="00534C5B">
              <w:rPr>
                <w:rFonts w:ascii="Arial Narrow" w:hAnsi="Arial Narrow"/>
                <w:sz w:val="20"/>
                <w:szCs w:val="20"/>
              </w:rPr>
              <w:t>-</w:t>
            </w:r>
          </w:p>
        </w:tc>
        <w:tc>
          <w:tcPr>
            <w:tcW w:w="1089" w:type="dxa"/>
            <w:tcMar>
              <w:left w:w="28" w:type="dxa"/>
              <w:right w:w="28" w:type="dxa"/>
            </w:tcMar>
            <w:vAlign w:val="center"/>
          </w:tcPr>
          <w:p w:rsidR="00231618" w:rsidRPr="00653477" w:rsidRDefault="00653477" w:rsidP="00C870B4">
            <w:pPr>
              <w:pStyle w:val="3Bodytext"/>
              <w:keepNext/>
              <w:keepLines/>
              <w:numPr>
                <w:ilvl w:val="0"/>
                <w:numId w:val="0"/>
              </w:numPr>
              <w:spacing w:after="0"/>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066" w:type="dxa"/>
            <w:tcMar>
              <w:left w:w="28" w:type="dxa"/>
              <w:right w:w="28" w:type="dxa"/>
            </w:tcMar>
            <w:vAlign w:val="center"/>
          </w:tcPr>
          <w:p w:rsidR="00231618" w:rsidRPr="00653477" w:rsidRDefault="00653477" w:rsidP="00C870B4">
            <w:pPr>
              <w:pStyle w:val="3Bodytext"/>
              <w:keepNext/>
              <w:keepLines/>
              <w:numPr>
                <w:ilvl w:val="0"/>
                <w:numId w:val="0"/>
              </w:numPr>
              <w:spacing w:after="0"/>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060" w:type="dxa"/>
            <w:tcMar>
              <w:left w:w="28" w:type="dxa"/>
              <w:right w:w="28" w:type="dxa"/>
            </w:tcMar>
            <w:vAlign w:val="center"/>
          </w:tcPr>
          <w:p w:rsidR="00231618" w:rsidRPr="00653477" w:rsidRDefault="00653477" w:rsidP="00C870B4">
            <w:pPr>
              <w:pStyle w:val="3Bodytext"/>
              <w:keepNext/>
              <w:keepLines/>
              <w:numPr>
                <w:ilvl w:val="0"/>
                <w:numId w:val="0"/>
              </w:numPr>
              <w:spacing w:after="0"/>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060" w:type="dxa"/>
            <w:tcMar>
              <w:left w:w="28" w:type="dxa"/>
              <w:right w:w="28" w:type="dxa"/>
            </w:tcMar>
            <w:vAlign w:val="center"/>
          </w:tcPr>
          <w:p w:rsidR="00231618" w:rsidRPr="00653477" w:rsidRDefault="00653477" w:rsidP="00C870B4">
            <w:pPr>
              <w:pStyle w:val="3Bodytext"/>
              <w:keepNext/>
              <w:keepLines/>
              <w:numPr>
                <w:ilvl w:val="0"/>
                <w:numId w:val="0"/>
              </w:numPr>
              <w:spacing w:after="0"/>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060" w:type="dxa"/>
            <w:tcMar>
              <w:left w:w="28" w:type="dxa"/>
              <w:right w:w="28" w:type="dxa"/>
            </w:tcMar>
            <w:vAlign w:val="center"/>
          </w:tcPr>
          <w:p w:rsidR="00231618" w:rsidRPr="00653477" w:rsidRDefault="00653477" w:rsidP="00C870B4">
            <w:pPr>
              <w:pStyle w:val="3Bodytext"/>
              <w:keepNext/>
              <w:keepLines/>
              <w:numPr>
                <w:ilvl w:val="0"/>
                <w:numId w:val="0"/>
              </w:numPr>
              <w:spacing w:after="0"/>
              <w:jc w:val="center"/>
              <w:rPr>
                <w:rFonts w:ascii="Arial Narrow" w:hAnsi="Arial Narrow"/>
                <w:sz w:val="20"/>
                <w:szCs w:val="20"/>
                <w:highlight w:val="black"/>
              </w:rPr>
            </w:pPr>
            <w:r>
              <w:rPr>
                <w:rFonts w:ascii="Arial Narrow" w:hAnsi="Arial Narrow"/>
                <w:noProof/>
                <w:color w:val="000000"/>
                <w:sz w:val="20"/>
                <w:szCs w:val="20"/>
                <w:highlight w:val="black"/>
              </w:rPr>
              <w:t>'''''''''''''''''''''''''''''</w:t>
            </w:r>
          </w:p>
        </w:tc>
      </w:tr>
      <w:tr w:rsidR="00231618" w:rsidRPr="00534C5B" w:rsidTr="00F15DAD">
        <w:trPr>
          <w:tblHeader/>
        </w:trPr>
        <w:tc>
          <w:tcPr>
            <w:tcW w:w="2547" w:type="dxa"/>
            <w:tcMar>
              <w:left w:w="28" w:type="dxa"/>
              <w:right w:w="28" w:type="dxa"/>
            </w:tcMar>
          </w:tcPr>
          <w:p w:rsidR="00231618" w:rsidRPr="00534C5B" w:rsidRDefault="00231618" w:rsidP="00C870B4">
            <w:pPr>
              <w:pStyle w:val="3Bodytext"/>
              <w:keepNext/>
              <w:keepLines/>
              <w:numPr>
                <w:ilvl w:val="0"/>
                <w:numId w:val="0"/>
              </w:numPr>
              <w:spacing w:after="0"/>
              <w:jc w:val="left"/>
              <w:rPr>
                <w:rFonts w:ascii="Arial Narrow" w:hAnsi="Arial Narrow"/>
                <w:sz w:val="20"/>
                <w:szCs w:val="20"/>
              </w:rPr>
            </w:pPr>
            <w:r w:rsidRPr="00534C5B">
              <w:rPr>
                <w:rFonts w:ascii="Arial Narrow" w:hAnsi="Arial Narrow"/>
                <w:sz w:val="20"/>
                <w:szCs w:val="20"/>
              </w:rPr>
              <w:t>Total expenditure</w:t>
            </w:r>
          </w:p>
        </w:tc>
        <w:tc>
          <w:tcPr>
            <w:tcW w:w="1134" w:type="dxa"/>
            <w:tcMar>
              <w:left w:w="28" w:type="dxa"/>
              <w:right w:w="28" w:type="dxa"/>
            </w:tcMar>
            <w:vAlign w:val="center"/>
          </w:tcPr>
          <w:p w:rsidR="00231618" w:rsidRPr="00653477" w:rsidRDefault="00653477" w:rsidP="00C870B4">
            <w:pPr>
              <w:pStyle w:val="3Bodytext"/>
              <w:keepNext/>
              <w:keepLines/>
              <w:numPr>
                <w:ilvl w:val="0"/>
                <w:numId w:val="0"/>
              </w:numPr>
              <w:spacing w:after="0"/>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089" w:type="dxa"/>
            <w:tcMar>
              <w:left w:w="28" w:type="dxa"/>
              <w:right w:w="28" w:type="dxa"/>
            </w:tcMar>
            <w:vAlign w:val="center"/>
          </w:tcPr>
          <w:p w:rsidR="00231618" w:rsidRPr="00653477" w:rsidRDefault="00653477" w:rsidP="00C870B4">
            <w:pPr>
              <w:pStyle w:val="3Bodytext"/>
              <w:keepNext/>
              <w:keepLines/>
              <w:numPr>
                <w:ilvl w:val="0"/>
                <w:numId w:val="0"/>
              </w:numPr>
              <w:spacing w:after="0"/>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066" w:type="dxa"/>
            <w:tcMar>
              <w:left w:w="28" w:type="dxa"/>
              <w:right w:w="28" w:type="dxa"/>
            </w:tcMar>
            <w:vAlign w:val="center"/>
          </w:tcPr>
          <w:p w:rsidR="00231618" w:rsidRPr="00653477" w:rsidRDefault="00653477" w:rsidP="00C870B4">
            <w:pPr>
              <w:pStyle w:val="3Bodytext"/>
              <w:keepNext/>
              <w:keepLines/>
              <w:numPr>
                <w:ilvl w:val="0"/>
                <w:numId w:val="0"/>
              </w:numPr>
              <w:spacing w:after="0"/>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060" w:type="dxa"/>
            <w:tcMar>
              <w:left w:w="28" w:type="dxa"/>
              <w:right w:w="28" w:type="dxa"/>
            </w:tcMar>
            <w:vAlign w:val="center"/>
          </w:tcPr>
          <w:p w:rsidR="00231618" w:rsidRPr="00653477" w:rsidRDefault="00653477" w:rsidP="00C870B4">
            <w:pPr>
              <w:pStyle w:val="3Bodytext"/>
              <w:keepNext/>
              <w:keepLines/>
              <w:numPr>
                <w:ilvl w:val="0"/>
                <w:numId w:val="0"/>
              </w:numPr>
              <w:spacing w:after="0"/>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060" w:type="dxa"/>
            <w:tcMar>
              <w:left w:w="28" w:type="dxa"/>
              <w:right w:w="28" w:type="dxa"/>
            </w:tcMar>
            <w:vAlign w:val="center"/>
          </w:tcPr>
          <w:p w:rsidR="00231618" w:rsidRPr="00653477" w:rsidRDefault="00653477" w:rsidP="00C870B4">
            <w:pPr>
              <w:pStyle w:val="3Bodytext"/>
              <w:keepNext/>
              <w:keepLines/>
              <w:numPr>
                <w:ilvl w:val="0"/>
                <w:numId w:val="0"/>
              </w:numPr>
              <w:spacing w:after="0"/>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060" w:type="dxa"/>
            <w:tcMar>
              <w:left w:w="28" w:type="dxa"/>
              <w:right w:w="28" w:type="dxa"/>
            </w:tcMar>
            <w:vAlign w:val="center"/>
          </w:tcPr>
          <w:p w:rsidR="00231618" w:rsidRPr="00653477" w:rsidRDefault="00653477" w:rsidP="00C870B4">
            <w:pPr>
              <w:pStyle w:val="3Bodytext"/>
              <w:keepNext/>
              <w:keepLines/>
              <w:numPr>
                <w:ilvl w:val="0"/>
                <w:numId w:val="0"/>
              </w:numPr>
              <w:spacing w:after="0"/>
              <w:jc w:val="center"/>
              <w:rPr>
                <w:rFonts w:ascii="Arial Narrow" w:hAnsi="Arial Narrow"/>
                <w:sz w:val="20"/>
                <w:szCs w:val="20"/>
                <w:highlight w:val="black"/>
              </w:rPr>
            </w:pPr>
            <w:r>
              <w:rPr>
                <w:rFonts w:ascii="Arial Narrow" w:hAnsi="Arial Narrow"/>
                <w:noProof/>
                <w:color w:val="000000"/>
                <w:sz w:val="20"/>
                <w:szCs w:val="20"/>
                <w:highlight w:val="black"/>
              </w:rPr>
              <w:t>'''''''''''''''''''''''''''''''</w:t>
            </w:r>
          </w:p>
        </w:tc>
      </w:tr>
      <w:tr w:rsidR="00231618" w:rsidRPr="00534C5B" w:rsidTr="00F15DAD">
        <w:trPr>
          <w:tblHeader/>
        </w:trPr>
        <w:tc>
          <w:tcPr>
            <w:tcW w:w="9016" w:type="dxa"/>
            <w:gridSpan w:val="7"/>
            <w:tcMar>
              <w:left w:w="28" w:type="dxa"/>
              <w:right w:w="28" w:type="dxa"/>
            </w:tcMar>
          </w:tcPr>
          <w:p w:rsidR="00231618" w:rsidRPr="00534C5B" w:rsidRDefault="00231618" w:rsidP="00C870B4">
            <w:pPr>
              <w:pStyle w:val="3Bodytext"/>
              <w:keepNext/>
              <w:keepLines/>
              <w:numPr>
                <w:ilvl w:val="0"/>
                <w:numId w:val="0"/>
              </w:numPr>
              <w:spacing w:after="0"/>
              <w:jc w:val="left"/>
              <w:rPr>
                <w:rFonts w:ascii="Arial Narrow" w:hAnsi="Arial Narrow"/>
                <w:b/>
                <w:sz w:val="20"/>
                <w:szCs w:val="20"/>
              </w:rPr>
            </w:pPr>
            <w:r w:rsidRPr="00534C5B">
              <w:rPr>
                <w:rFonts w:ascii="Arial Narrow" w:hAnsi="Arial Narrow"/>
                <w:b/>
                <w:sz w:val="20"/>
                <w:szCs w:val="20"/>
              </w:rPr>
              <w:t>Adjuvant setting</w:t>
            </w:r>
          </w:p>
        </w:tc>
      </w:tr>
      <w:tr w:rsidR="00231618" w:rsidRPr="00534C5B" w:rsidTr="00F15DAD">
        <w:trPr>
          <w:tblHeader/>
        </w:trPr>
        <w:tc>
          <w:tcPr>
            <w:tcW w:w="2547" w:type="dxa"/>
            <w:tcMar>
              <w:left w:w="28" w:type="dxa"/>
              <w:right w:w="28" w:type="dxa"/>
            </w:tcMar>
          </w:tcPr>
          <w:p w:rsidR="00231618" w:rsidRPr="00534C5B" w:rsidRDefault="00231618" w:rsidP="00C870B4">
            <w:pPr>
              <w:pStyle w:val="3Bodytext"/>
              <w:keepNext/>
              <w:keepLines/>
              <w:numPr>
                <w:ilvl w:val="0"/>
                <w:numId w:val="0"/>
              </w:numPr>
              <w:spacing w:after="0"/>
              <w:jc w:val="left"/>
              <w:rPr>
                <w:rFonts w:ascii="Arial Narrow" w:hAnsi="Arial Narrow"/>
                <w:sz w:val="20"/>
                <w:szCs w:val="20"/>
              </w:rPr>
            </w:pPr>
            <w:r w:rsidRPr="00534C5B">
              <w:rPr>
                <w:rFonts w:ascii="Arial Narrow" w:hAnsi="Arial Narrow"/>
                <w:sz w:val="20"/>
                <w:szCs w:val="20"/>
              </w:rPr>
              <w:t>Total expenditure</w:t>
            </w:r>
          </w:p>
        </w:tc>
        <w:tc>
          <w:tcPr>
            <w:tcW w:w="1134" w:type="dxa"/>
            <w:tcMar>
              <w:left w:w="28" w:type="dxa"/>
              <w:right w:w="28" w:type="dxa"/>
            </w:tcMar>
            <w:vAlign w:val="center"/>
          </w:tcPr>
          <w:p w:rsidR="00231618" w:rsidRPr="00653477" w:rsidRDefault="00653477" w:rsidP="00C870B4">
            <w:pPr>
              <w:pStyle w:val="3Bodytext"/>
              <w:keepNext/>
              <w:keepLines/>
              <w:numPr>
                <w:ilvl w:val="0"/>
                <w:numId w:val="0"/>
              </w:numPr>
              <w:spacing w:after="0"/>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089" w:type="dxa"/>
            <w:tcMar>
              <w:left w:w="28" w:type="dxa"/>
              <w:right w:w="28" w:type="dxa"/>
            </w:tcMar>
            <w:vAlign w:val="center"/>
          </w:tcPr>
          <w:p w:rsidR="00231618" w:rsidRPr="00653477" w:rsidRDefault="00653477" w:rsidP="00C870B4">
            <w:pPr>
              <w:pStyle w:val="3Bodytext"/>
              <w:keepNext/>
              <w:keepLines/>
              <w:numPr>
                <w:ilvl w:val="0"/>
                <w:numId w:val="0"/>
              </w:numPr>
              <w:spacing w:after="0"/>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066" w:type="dxa"/>
            <w:tcMar>
              <w:left w:w="28" w:type="dxa"/>
              <w:right w:w="28" w:type="dxa"/>
            </w:tcMar>
            <w:vAlign w:val="center"/>
          </w:tcPr>
          <w:p w:rsidR="00231618" w:rsidRPr="00653477" w:rsidRDefault="00653477" w:rsidP="00C870B4">
            <w:pPr>
              <w:pStyle w:val="3Bodytext"/>
              <w:keepNext/>
              <w:keepLines/>
              <w:numPr>
                <w:ilvl w:val="0"/>
                <w:numId w:val="0"/>
              </w:numPr>
              <w:spacing w:after="0"/>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060" w:type="dxa"/>
            <w:tcMar>
              <w:left w:w="28" w:type="dxa"/>
              <w:right w:w="28" w:type="dxa"/>
            </w:tcMar>
            <w:vAlign w:val="center"/>
          </w:tcPr>
          <w:p w:rsidR="00231618" w:rsidRPr="00653477" w:rsidRDefault="00653477" w:rsidP="00C870B4">
            <w:pPr>
              <w:pStyle w:val="3Bodytext"/>
              <w:keepNext/>
              <w:keepLines/>
              <w:numPr>
                <w:ilvl w:val="0"/>
                <w:numId w:val="0"/>
              </w:numPr>
              <w:spacing w:after="0"/>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060" w:type="dxa"/>
            <w:tcMar>
              <w:left w:w="28" w:type="dxa"/>
              <w:right w:w="28" w:type="dxa"/>
            </w:tcMar>
            <w:vAlign w:val="center"/>
          </w:tcPr>
          <w:p w:rsidR="00231618" w:rsidRPr="00653477" w:rsidRDefault="00653477" w:rsidP="00C870B4">
            <w:pPr>
              <w:pStyle w:val="3Bodytext"/>
              <w:keepNext/>
              <w:keepLines/>
              <w:numPr>
                <w:ilvl w:val="0"/>
                <w:numId w:val="0"/>
              </w:numPr>
              <w:spacing w:after="0"/>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060" w:type="dxa"/>
            <w:tcMar>
              <w:left w:w="28" w:type="dxa"/>
              <w:right w:w="28" w:type="dxa"/>
            </w:tcMar>
            <w:vAlign w:val="center"/>
          </w:tcPr>
          <w:p w:rsidR="00231618" w:rsidRPr="00653477" w:rsidRDefault="00653477" w:rsidP="00C870B4">
            <w:pPr>
              <w:pStyle w:val="3Bodytext"/>
              <w:keepNext/>
              <w:keepLines/>
              <w:numPr>
                <w:ilvl w:val="0"/>
                <w:numId w:val="0"/>
              </w:numPr>
              <w:spacing w:after="0"/>
              <w:jc w:val="center"/>
              <w:rPr>
                <w:rFonts w:ascii="Arial Narrow" w:hAnsi="Arial Narrow"/>
                <w:sz w:val="20"/>
                <w:szCs w:val="20"/>
                <w:highlight w:val="black"/>
              </w:rPr>
            </w:pPr>
            <w:r>
              <w:rPr>
                <w:rFonts w:ascii="Arial Narrow" w:hAnsi="Arial Narrow"/>
                <w:noProof/>
                <w:color w:val="000000"/>
                <w:sz w:val="20"/>
                <w:szCs w:val="20"/>
                <w:highlight w:val="black"/>
              </w:rPr>
              <w:t>''''''''''''''''''''''''''''''''</w:t>
            </w:r>
          </w:p>
        </w:tc>
      </w:tr>
      <w:tr w:rsidR="00231618" w:rsidRPr="00534C5B" w:rsidTr="00F15DAD">
        <w:trPr>
          <w:tblHeader/>
        </w:trPr>
        <w:tc>
          <w:tcPr>
            <w:tcW w:w="9016" w:type="dxa"/>
            <w:gridSpan w:val="7"/>
            <w:tcMar>
              <w:left w:w="28" w:type="dxa"/>
              <w:right w:w="28" w:type="dxa"/>
            </w:tcMar>
          </w:tcPr>
          <w:p w:rsidR="00231618" w:rsidRPr="00534C5B" w:rsidRDefault="00231618" w:rsidP="00C870B4">
            <w:pPr>
              <w:pStyle w:val="3Bodytext"/>
              <w:keepNext/>
              <w:keepLines/>
              <w:numPr>
                <w:ilvl w:val="0"/>
                <w:numId w:val="0"/>
              </w:numPr>
              <w:spacing w:after="0"/>
              <w:jc w:val="left"/>
              <w:rPr>
                <w:rFonts w:ascii="Arial Narrow" w:hAnsi="Arial Narrow"/>
                <w:b/>
                <w:sz w:val="20"/>
                <w:szCs w:val="20"/>
              </w:rPr>
            </w:pPr>
            <w:r w:rsidRPr="00534C5B">
              <w:rPr>
                <w:rFonts w:ascii="Arial Narrow" w:hAnsi="Arial Narrow"/>
                <w:b/>
                <w:sz w:val="20"/>
                <w:szCs w:val="20"/>
              </w:rPr>
              <w:t>Proposed PD-1 subsidisation cap</w:t>
            </w:r>
          </w:p>
        </w:tc>
      </w:tr>
      <w:tr w:rsidR="00231618" w:rsidRPr="00534C5B" w:rsidTr="00F15DAD">
        <w:trPr>
          <w:tblHeader/>
        </w:trPr>
        <w:tc>
          <w:tcPr>
            <w:tcW w:w="2547" w:type="dxa"/>
            <w:tcMar>
              <w:left w:w="28" w:type="dxa"/>
              <w:right w:w="28" w:type="dxa"/>
            </w:tcMar>
          </w:tcPr>
          <w:p w:rsidR="00231618" w:rsidRPr="00534C5B" w:rsidRDefault="00231618" w:rsidP="00C870B4">
            <w:pPr>
              <w:pStyle w:val="3Bodytext"/>
              <w:keepNext/>
              <w:keepLines/>
              <w:numPr>
                <w:ilvl w:val="0"/>
                <w:numId w:val="0"/>
              </w:numPr>
              <w:spacing w:after="0"/>
              <w:jc w:val="left"/>
              <w:rPr>
                <w:rFonts w:ascii="Arial Narrow" w:hAnsi="Arial Narrow"/>
                <w:sz w:val="20"/>
                <w:szCs w:val="20"/>
              </w:rPr>
            </w:pPr>
            <w:r w:rsidRPr="00534C5B">
              <w:rPr>
                <w:rFonts w:ascii="Arial Narrow" w:hAnsi="Arial Narrow"/>
                <w:sz w:val="20"/>
                <w:szCs w:val="20"/>
              </w:rPr>
              <w:t>PD-1 subsidisation cap</w:t>
            </w:r>
          </w:p>
        </w:tc>
        <w:tc>
          <w:tcPr>
            <w:tcW w:w="1134" w:type="dxa"/>
            <w:tcMar>
              <w:left w:w="28" w:type="dxa"/>
              <w:right w:w="28" w:type="dxa"/>
            </w:tcMar>
            <w:vAlign w:val="center"/>
          </w:tcPr>
          <w:p w:rsidR="00231618" w:rsidRPr="00653477" w:rsidRDefault="00653477" w:rsidP="00C870B4">
            <w:pPr>
              <w:pStyle w:val="3Bodytext"/>
              <w:keepNext/>
              <w:keepLines/>
              <w:numPr>
                <w:ilvl w:val="0"/>
                <w:numId w:val="0"/>
              </w:numPr>
              <w:spacing w:after="0"/>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089" w:type="dxa"/>
            <w:tcMar>
              <w:left w:w="28" w:type="dxa"/>
              <w:right w:w="28" w:type="dxa"/>
            </w:tcMar>
            <w:vAlign w:val="center"/>
          </w:tcPr>
          <w:p w:rsidR="00231618" w:rsidRPr="00653477" w:rsidRDefault="00653477" w:rsidP="00C870B4">
            <w:pPr>
              <w:pStyle w:val="3Bodytext"/>
              <w:keepNext/>
              <w:keepLines/>
              <w:numPr>
                <w:ilvl w:val="0"/>
                <w:numId w:val="0"/>
              </w:numPr>
              <w:spacing w:after="0"/>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066" w:type="dxa"/>
            <w:tcMar>
              <w:left w:w="28" w:type="dxa"/>
              <w:right w:w="28" w:type="dxa"/>
            </w:tcMar>
            <w:vAlign w:val="center"/>
          </w:tcPr>
          <w:p w:rsidR="00231618" w:rsidRPr="00653477" w:rsidRDefault="00653477" w:rsidP="00C870B4">
            <w:pPr>
              <w:pStyle w:val="3Bodytext"/>
              <w:keepNext/>
              <w:keepLines/>
              <w:numPr>
                <w:ilvl w:val="0"/>
                <w:numId w:val="0"/>
              </w:numPr>
              <w:spacing w:after="0"/>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060" w:type="dxa"/>
            <w:tcMar>
              <w:left w:w="28" w:type="dxa"/>
              <w:right w:w="28" w:type="dxa"/>
            </w:tcMar>
            <w:vAlign w:val="center"/>
          </w:tcPr>
          <w:p w:rsidR="00231618" w:rsidRPr="00653477" w:rsidRDefault="00653477" w:rsidP="00C870B4">
            <w:pPr>
              <w:pStyle w:val="3Bodytext"/>
              <w:keepNext/>
              <w:keepLines/>
              <w:numPr>
                <w:ilvl w:val="0"/>
                <w:numId w:val="0"/>
              </w:numPr>
              <w:spacing w:after="0"/>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060" w:type="dxa"/>
            <w:tcMar>
              <w:left w:w="28" w:type="dxa"/>
              <w:right w:w="28" w:type="dxa"/>
            </w:tcMar>
            <w:vAlign w:val="center"/>
          </w:tcPr>
          <w:p w:rsidR="00231618" w:rsidRPr="00653477" w:rsidRDefault="00653477" w:rsidP="00C870B4">
            <w:pPr>
              <w:pStyle w:val="3Bodytext"/>
              <w:keepNext/>
              <w:keepLines/>
              <w:numPr>
                <w:ilvl w:val="0"/>
                <w:numId w:val="0"/>
              </w:numPr>
              <w:spacing w:after="0"/>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060" w:type="dxa"/>
            <w:tcMar>
              <w:left w:w="28" w:type="dxa"/>
              <w:right w:w="28" w:type="dxa"/>
            </w:tcMar>
            <w:vAlign w:val="center"/>
          </w:tcPr>
          <w:p w:rsidR="00231618" w:rsidRPr="00653477" w:rsidRDefault="00653477" w:rsidP="00C870B4">
            <w:pPr>
              <w:pStyle w:val="3Bodytext"/>
              <w:keepNext/>
              <w:keepLines/>
              <w:numPr>
                <w:ilvl w:val="0"/>
                <w:numId w:val="0"/>
              </w:numPr>
              <w:spacing w:after="0"/>
              <w:jc w:val="center"/>
              <w:rPr>
                <w:rFonts w:ascii="Arial Narrow" w:hAnsi="Arial Narrow"/>
                <w:sz w:val="20"/>
                <w:szCs w:val="20"/>
                <w:highlight w:val="black"/>
              </w:rPr>
            </w:pPr>
            <w:r>
              <w:rPr>
                <w:rFonts w:ascii="Arial Narrow" w:hAnsi="Arial Narrow"/>
                <w:noProof/>
                <w:color w:val="000000"/>
                <w:sz w:val="20"/>
                <w:szCs w:val="20"/>
                <w:highlight w:val="black"/>
              </w:rPr>
              <w:t>''''''''''''''''''''''''''''''''''</w:t>
            </w:r>
          </w:p>
        </w:tc>
      </w:tr>
    </w:tbl>
    <w:p w:rsidR="00231618" w:rsidRPr="00534C5B" w:rsidRDefault="00231618" w:rsidP="00231618">
      <w:pPr>
        <w:pStyle w:val="TableFooter"/>
      </w:pPr>
      <w:r w:rsidRPr="00534C5B">
        <w:t>PD-1 = programmed death-1 inhibitor</w:t>
      </w:r>
    </w:p>
    <w:p w:rsidR="00231618" w:rsidRPr="00534C5B" w:rsidRDefault="00231618" w:rsidP="00231618">
      <w:pPr>
        <w:pStyle w:val="TableFooter"/>
      </w:pPr>
      <w:r w:rsidRPr="00534C5B">
        <w:t>Source: Table 11, p7 of the August 2019 nivolumab proposal</w:t>
      </w:r>
    </w:p>
    <w:p w:rsidR="00231618" w:rsidRPr="00534C5B" w:rsidRDefault="00231618" w:rsidP="00231618"/>
    <w:p w:rsidR="0022605C" w:rsidRPr="00534C5B" w:rsidRDefault="00305EF3" w:rsidP="00AF0867">
      <w:pPr>
        <w:pStyle w:val="3Bodytext"/>
        <w:numPr>
          <w:ilvl w:val="1"/>
          <w:numId w:val="1"/>
        </w:numPr>
        <w:rPr>
          <w:szCs w:val="24"/>
        </w:rPr>
      </w:pPr>
      <w:r w:rsidRPr="00534C5B">
        <w:rPr>
          <w:szCs w:val="24"/>
        </w:rPr>
        <w:t xml:space="preserve">The PBAC considered that the </w:t>
      </w:r>
      <w:r w:rsidR="00B82BE0" w:rsidRPr="00534C5B">
        <w:rPr>
          <w:szCs w:val="24"/>
        </w:rPr>
        <w:t xml:space="preserve">adjuvant setting </w:t>
      </w:r>
      <w:r w:rsidRPr="00534C5B">
        <w:rPr>
          <w:szCs w:val="24"/>
        </w:rPr>
        <w:t>figures should be revised as per paragraphs</w:t>
      </w:r>
      <w:r w:rsidR="00B82BE0" w:rsidRPr="00534C5B">
        <w:rPr>
          <w:szCs w:val="24"/>
        </w:rPr>
        <w:t xml:space="preserve"> 4.16 and 4.18 and the unresectable or metastatic setting figures should be revised as per paragraph </w:t>
      </w:r>
      <w:r w:rsidRPr="00534C5B">
        <w:rPr>
          <w:szCs w:val="24"/>
        </w:rPr>
        <w:t>4.</w:t>
      </w:r>
      <w:r w:rsidR="00B82BE0" w:rsidRPr="00534C5B">
        <w:rPr>
          <w:szCs w:val="24"/>
        </w:rPr>
        <w:t>26, 4.27, 4.31</w:t>
      </w:r>
      <w:r w:rsidRPr="00534C5B">
        <w:rPr>
          <w:szCs w:val="24"/>
        </w:rPr>
        <w:t xml:space="preserve"> and 4.</w:t>
      </w:r>
      <w:r w:rsidR="00231618" w:rsidRPr="00534C5B">
        <w:rPr>
          <w:szCs w:val="24"/>
        </w:rPr>
        <w:t xml:space="preserve">32. </w:t>
      </w:r>
    </w:p>
    <w:p w:rsidR="0022605C" w:rsidRPr="00534C5B" w:rsidRDefault="00231618" w:rsidP="00AF0867">
      <w:pPr>
        <w:pStyle w:val="3Bodytext"/>
        <w:numPr>
          <w:ilvl w:val="1"/>
          <w:numId w:val="1"/>
        </w:numPr>
        <w:rPr>
          <w:szCs w:val="24"/>
        </w:rPr>
      </w:pPr>
      <w:r w:rsidRPr="00534C5B">
        <w:rPr>
          <w:szCs w:val="24"/>
        </w:rPr>
        <w:t xml:space="preserve">Approximate </w:t>
      </w:r>
      <w:r w:rsidR="0022605C" w:rsidRPr="00534C5B">
        <w:rPr>
          <w:szCs w:val="24"/>
        </w:rPr>
        <w:t xml:space="preserve">numbers of patients receiving PD-1 inhibitors, using the PBAC proposed revisions, </w:t>
      </w:r>
      <w:r w:rsidRPr="00534C5B">
        <w:rPr>
          <w:szCs w:val="24"/>
        </w:rPr>
        <w:t xml:space="preserve">are presented in Table 10. </w:t>
      </w:r>
    </w:p>
    <w:p w:rsidR="00AF0875" w:rsidRPr="00534C5B" w:rsidRDefault="0022605C" w:rsidP="00AF0867">
      <w:pPr>
        <w:pStyle w:val="3Bodytext"/>
        <w:numPr>
          <w:ilvl w:val="1"/>
          <w:numId w:val="1"/>
        </w:numPr>
        <w:rPr>
          <w:szCs w:val="24"/>
        </w:rPr>
      </w:pPr>
      <w:r w:rsidRPr="00534C5B">
        <w:rPr>
          <w:szCs w:val="24"/>
        </w:rPr>
        <w:t xml:space="preserve">Approximate </w:t>
      </w:r>
      <w:r w:rsidR="00143D70" w:rsidRPr="00534C5B">
        <w:rPr>
          <w:szCs w:val="24"/>
        </w:rPr>
        <w:t>financial estimates</w:t>
      </w:r>
      <w:r w:rsidRPr="00534C5B">
        <w:rPr>
          <w:szCs w:val="24"/>
        </w:rPr>
        <w:t>, using the PBAC proposed revisions, are presented in Table 11.</w:t>
      </w:r>
    </w:p>
    <w:p w:rsidR="00231618" w:rsidRPr="00534C5B" w:rsidRDefault="00231618" w:rsidP="00231618">
      <w:pPr>
        <w:pStyle w:val="Tabletitles"/>
        <w:keepNext/>
        <w:spacing w:after="0"/>
      </w:pPr>
      <w:r w:rsidRPr="000F63EA">
        <w:t xml:space="preserve">Table 10: </w:t>
      </w:r>
      <w:r w:rsidR="00D43370" w:rsidRPr="000F63EA">
        <w:t xml:space="preserve">Patients receiving PD-1 inhibitors </w:t>
      </w:r>
      <w:r w:rsidRPr="000F63EA">
        <w:t>across the adjuvant and unresectable or metastatic settings</w:t>
      </w:r>
      <w:r w:rsidR="00D43370" w:rsidRPr="000F63EA">
        <w:t>, as per the PBAC recommendations</w:t>
      </w:r>
    </w:p>
    <w:tbl>
      <w:tblPr>
        <w:tblStyle w:val="TableGrid"/>
        <w:tblW w:w="0" w:type="auto"/>
        <w:tblLook w:val="04A0" w:firstRow="1" w:lastRow="0" w:firstColumn="1" w:lastColumn="0" w:noHBand="0" w:noVBand="1"/>
        <w:tblCaption w:val="Table 10: Patients receiving PD-1 inhibitors across the adjuvant and unresectable or metastatic settings, as per the PBAC recommendations"/>
      </w:tblPr>
      <w:tblGrid>
        <w:gridCol w:w="279"/>
        <w:gridCol w:w="2302"/>
        <w:gridCol w:w="1383"/>
        <w:gridCol w:w="851"/>
        <w:gridCol w:w="850"/>
        <w:gridCol w:w="851"/>
        <w:gridCol w:w="850"/>
        <w:gridCol w:w="851"/>
        <w:gridCol w:w="799"/>
      </w:tblGrid>
      <w:tr w:rsidR="00C870B4" w:rsidRPr="00534C5B" w:rsidTr="00F15DAD">
        <w:trPr>
          <w:tblHeader/>
        </w:trPr>
        <w:tc>
          <w:tcPr>
            <w:tcW w:w="2581" w:type="dxa"/>
            <w:gridSpan w:val="2"/>
            <w:tcMar>
              <w:left w:w="28" w:type="dxa"/>
              <w:right w:w="28" w:type="dxa"/>
            </w:tcMar>
          </w:tcPr>
          <w:p w:rsidR="00C870B4" w:rsidRPr="00534C5B" w:rsidRDefault="00C870B4" w:rsidP="00231618">
            <w:pPr>
              <w:pStyle w:val="3Bodytext"/>
              <w:keepNext/>
              <w:keepLines/>
              <w:numPr>
                <w:ilvl w:val="0"/>
                <w:numId w:val="0"/>
              </w:numPr>
              <w:spacing w:after="0"/>
              <w:jc w:val="left"/>
              <w:rPr>
                <w:rFonts w:ascii="Arial Narrow" w:hAnsi="Arial Narrow"/>
                <w:b/>
                <w:sz w:val="20"/>
                <w:szCs w:val="20"/>
              </w:rPr>
            </w:pPr>
          </w:p>
        </w:tc>
        <w:tc>
          <w:tcPr>
            <w:tcW w:w="1383" w:type="dxa"/>
            <w:tcMar>
              <w:left w:w="28" w:type="dxa"/>
              <w:right w:w="28" w:type="dxa"/>
            </w:tcMar>
          </w:tcPr>
          <w:p w:rsidR="00C870B4" w:rsidRPr="00534C5B" w:rsidRDefault="00C870B4" w:rsidP="00231618">
            <w:pPr>
              <w:pStyle w:val="3Bodytext"/>
              <w:keepNext/>
              <w:keepLines/>
              <w:numPr>
                <w:ilvl w:val="0"/>
                <w:numId w:val="0"/>
              </w:numPr>
              <w:spacing w:after="0"/>
              <w:jc w:val="center"/>
              <w:rPr>
                <w:rFonts w:ascii="Arial Narrow" w:hAnsi="Arial Narrow"/>
                <w:b/>
                <w:sz w:val="20"/>
                <w:szCs w:val="20"/>
              </w:rPr>
            </w:pPr>
            <w:r w:rsidRPr="00534C5B">
              <w:rPr>
                <w:rFonts w:ascii="Arial Narrow" w:hAnsi="Arial Narrow"/>
                <w:b/>
                <w:sz w:val="20"/>
                <w:szCs w:val="20"/>
              </w:rPr>
              <w:t>Method</w:t>
            </w:r>
          </w:p>
        </w:tc>
        <w:tc>
          <w:tcPr>
            <w:tcW w:w="851" w:type="dxa"/>
            <w:tcMar>
              <w:left w:w="28" w:type="dxa"/>
              <w:right w:w="28" w:type="dxa"/>
            </w:tcMar>
          </w:tcPr>
          <w:p w:rsidR="00C870B4" w:rsidRPr="00534C5B" w:rsidRDefault="00C870B4" w:rsidP="00231618">
            <w:pPr>
              <w:pStyle w:val="3Bodytext"/>
              <w:keepNext/>
              <w:keepLines/>
              <w:numPr>
                <w:ilvl w:val="0"/>
                <w:numId w:val="0"/>
              </w:numPr>
              <w:spacing w:after="0"/>
              <w:jc w:val="center"/>
              <w:rPr>
                <w:rFonts w:ascii="Arial Narrow" w:hAnsi="Arial Narrow"/>
                <w:b/>
                <w:sz w:val="20"/>
                <w:szCs w:val="20"/>
              </w:rPr>
            </w:pPr>
            <w:r w:rsidRPr="00534C5B">
              <w:rPr>
                <w:rFonts w:ascii="Arial Narrow" w:hAnsi="Arial Narrow"/>
                <w:b/>
                <w:sz w:val="20"/>
                <w:szCs w:val="20"/>
              </w:rPr>
              <w:t>2020</w:t>
            </w:r>
          </w:p>
        </w:tc>
        <w:tc>
          <w:tcPr>
            <w:tcW w:w="850" w:type="dxa"/>
            <w:tcMar>
              <w:left w:w="28" w:type="dxa"/>
              <w:right w:w="28" w:type="dxa"/>
            </w:tcMar>
          </w:tcPr>
          <w:p w:rsidR="00C870B4" w:rsidRPr="00534C5B" w:rsidRDefault="00C870B4" w:rsidP="00231618">
            <w:pPr>
              <w:pStyle w:val="3Bodytext"/>
              <w:keepNext/>
              <w:keepLines/>
              <w:numPr>
                <w:ilvl w:val="0"/>
                <w:numId w:val="0"/>
              </w:numPr>
              <w:spacing w:after="0"/>
              <w:jc w:val="center"/>
              <w:rPr>
                <w:rFonts w:ascii="Arial Narrow" w:hAnsi="Arial Narrow"/>
                <w:b/>
                <w:sz w:val="20"/>
                <w:szCs w:val="20"/>
              </w:rPr>
            </w:pPr>
            <w:r w:rsidRPr="00534C5B">
              <w:rPr>
                <w:rFonts w:ascii="Arial Narrow" w:hAnsi="Arial Narrow"/>
                <w:b/>
                <w:sz w:val="20"/>
                <w:szCs w:val="20"/>
              </w:rPr>
              <w:t>2021</w:t>
            </w:r>
          </w:p>
        </w:tc>
        <w:tc>
          <w:tcPr>
            <w:tcW w:w="851" w:type="dxa"/>
            <w:tcMar>
              <w:left w:w="28" w:type="dxa"/>
              <w:right w:w="28" w:type="dxa"/>
            </w:tcMar>
          </w:tcPr>
          <w:p w:rsidR="00C870B4" w:rsidRPr="00534C5B" w:rsidRDefault="00C870B4" w:rsidP="00231618">
            <w:pPr>
              <w:pStyle w:val="3Bodytext"/>
              <w:keepNext/>
              <w:keepLines/>
              <w:numPr>
                <w:ilvl w:val="0"/>
                <w:numId w:val="0"/>
              </w:numPr>
              <w:spacing w:after="0"/>
              <w:jc w:val="center"/>
              <w:rPr>
                <w:rFonts w:ascii="Arial Narrow" w:hAnsi="Arial Narrow"/>
                <w:b/>
                <w:sz w:val="20"/>
                <w:szCs w:val="20"/>
              </w:rPr>
            </w:pPr>
            <w:r w:rsidRPr="00534C5B">
              <w:rPr>
                <w:rFonts w:ascii="Arial Narrow" w:hAnsi="Arial Narrow"/>
                <w:b/>
                <w:sz w:val="20"/>
                <w:szCs w:val="20"/>
              </w:rPr>
              <w:t>2022</w:t>
            </w:r>
          </w:p>
        </w:tc>
        <w:tc>
          <w:tcPr>
            <w:tcW w:w="850" w:type="dxa"/>
            <w:tcMar>
              <w:left w:w="28" w:type="dxa"/>
              <w:right w:w="28" w:type="dxa"/>
            </w:tcMar>
          </w:tcPr>
          <w:p w:rsidR="00C870B4" w:rsidRPr="00534C5B" w:rsidRDefault="00C870B4" w:rsidP="00231618">
            <w:pPr>
              <w:pStyle w:val="3Bodytext"/>
              <w:keepNext/>
              <w:keepLines/>
              <w:numPr>
                <w:ilvl w:val="0"/>
                <w:numId w:val="0"/>
              </w:numPr>
              <w:spacing w:after="0"/>
              <w:jc w:val="center"/>
              <w:rPr>
                <w:rFonts w:ascii="Arial Narrow" w:hAnsi="Arial Narrow"/>
                <w:b/>
                <w:sz w:val="20"/>
                <w:szCs w:val="20"/>
              </w:rPr>
            </w:pPr>
            <w:r w:rsidRPr="00534C5B">
              <w:rPr>
                <w:rFonts w:ascii="Arial Narrow" w:hAnsi="Arial Narrow"/>
                <w:b/>
                <w:sz w:val="20"/>
                <w:szCs w:val="20"/>
              </w:rPr>
              <w:t>2023</w:t>
            </w:r>
          </w:p>
        </w:tc>
        <w:tc>
          <w:tcPr>
            <w:tcW w:w="851" w:type="dxa"/>
            <w:tcMar>
              <w:left w:w="28" w:type="dxa"/>
              <w:right w:w="28" w:type="dxa"/>
            </w:tcMar>
          </w:tcPr>
          <w:p w:rsidR="00C870B4" w:rsidRPr="00534C5B" w:rsidRDefault="00C870B4" w:rsidP="00231618">
            <w:pPr>
              <w:pStyle w:val="3Bodytext"/>
              <w:keepNext/>
              <w:keepLines/>
              <w:numPr>
                <w:ilvl w:val="0"/>
                <w:numId w:val="0"/>
              </w:numPr>
              <w:spacing w:after="0"/>
              <w:jc w:val="center"/>
              <w:rPr>
                <w:rFonts w:ascii="Arial Narrow" w:hAnsi="Arial Narrow"/>
                <w:b/>
                <w:sz w:val="20"/>
                <w:szCs w:val="20"/>
              </w:rPr>
            </w:pPr>
            <w:r w:rsidRPr="00534C5B">
              <w:rPr>
                <w:rFonts w:ascii="Arial Narrow" w:hAnsi="Arial Narrow"/>
                <w:b/>
                <w:sz w:val="20"/>
                <w:szCs w:val="20"/>
              </w:rPr>
              <w:t>2024</w:t>
            </w:r>
          </w:p>
        </w:tc>
        <w:tc>
          <w:tcPr>
            <w:tcW w:w="799" w:type="dxa"/>
            <w:tcMar>
              <w:left w:w="28" w:type="dxa"/>
              <w:right w:w="28" w:type="dxa"/>
            </w:tcMar>
          </w:tcPr>
          <w:p w:rsidR="00C870B4" w:rsidRPr="00534C5B" w:rsidRDefault="00C870B4" w:rsidP="00231618">
            <w:pPr>
              <w:pStyle w:val="3Bodytext"/>
              <w:keepNext/>
              <w:keepLines/>
              <w:numPr>
                <w:ilvl w:val="0"/>
                <w:numId w:val="0"/>
              </w:numPr>
              <w:spacing w:after="0"/>
              <w:jc w:val="center"/>
              <w:rPr>
                <w:rFonts w:ascii="Arial Narrow" w:hAnsi="Arial Narrow"/>
                <w:b/>
                <w:sz w:val="20"/>
                <w:szCs w:val="20"/>
              </w:rPr>
            </w:pPr>
            <w:r w:rsidRPr="00534C5B">
              <w:rPr>
                <w:rFonts w:ascii="Arial Narrow" w:hAnsi="Arial Narrow"/>
                <w:b/>
                <w:sz w:val="20"/>
                <w:szCs w:val="20"/>
              </w:rPr>
              <w:t>2025</w:t>
            </w:r>
          </w:p>
        </w:tc>
      </w:tr>
      <w:tr w:rsidR="00C870B4" w:rsidRPr="00534C5B" w:rsidTr="00F15DAD">
        <w:trPr>
          <w:tblHeader/>
        </w:trPr>
        <w:tc>
          <w:tcPr>
            <w:tcW w:w="9016" w:type="dxa"/>
            <w:gridSpan w:val="9"/>
            <w:tcMar>
              <w:left w:w="28" w:type="dxa"/>
              <w:right w:w="28" w:type="dxa"/>
            </w:tcMar>
          </w:tcPr>
          <w:p w:rsidR="00C870B4" w:rsidRPr="00534C5B" w:rsidRDefault="00C870B4" w:rsidP="00C870B4">
            <w:pPr>
              <w:pStyle w:val="3Bodytext"/>
              <w:keepNext/>
              <w:keepLines/>
              <w:numPr>
                <w:ilvl w:val="0"/>
                <w:numId w:val="0"/>
              </w:numPr>
              <w:spacing w:after="0"/>
              <w:jc w:val="left"/>
              <w:rPr>
                <w:rFonts w:ascii="Arial Narrow" w:hAnsi="Arial Narrow"/>
                <w:b/>
                <w:sz w:val="20"/>
                <w:szCs w:val="20"/>
              </w:rPr>
            </w:pPr>
            <w:r w:rsidRPr="00534C5B">
              <w:rPr>
                <w:rFonts w:ascii="Arial Narrow" w:hAnsi="Arial Narrow"/>
                <w:b/>
                <w:sz w:val="20"/>
                <w:szCs w:val="20"/>
              </w:rPr>
              <w:t>Adjuvant setting</w:t>
            </w:r>
          </w:p>
        </w:tc>
      </w:tr>
      <w:tr w:rsidR="00C870B4" w:rsidRPr="00534C5B" w:rsidTr="00F15DAD">
        <w:trPr>
          <w:tblHeader/>
        </w:trPr>
        <w:tc>
          <w:tcPr>
            <w:tcW w:w="279" w:type="dxa"/>
            <w:tcMar>
              <w:left w:w="28" w:type="dxa"/>
              <w:right w:w="28" w:type="dxa"/>
            </w:tcMar>
            <w:vAlign w:val="center"/>
          </w:tcPr>
          <w:p w:rsidR="007229A1" w:rsidRPr="00534C5B" w:rsidRDefault="007229A1" w:rsidP="00C870B4">
            <w:pPr>
              <w:pStyle w:val="3Bodytext"/>
              <w:keepNext/>
              <w:keepLines/>
              <w:numPr>
                <w:ilvl w:val="0"/>
                <w:numId w:val="0"/>
              </w:numPr>
              <w:spacing w:after="0"/>
              <w:jc w:val="center"/>
              <w:rPr>
                <w:rFonts w:ascii="Arial Narrow" w:hAnsi="Arial Narrow"/>
                <w:sz w:val="20"/>
                <w:szCs w:val="20"/>
              </w:rPr>
            </w:pPr>
            <w:r w:rsidRPr="00534C5B">
              <w:rPr>
                <w:rFonts w:ascii="Arial Narrow" w:hAnsi="Arial Narrow"/>
                <w:sz w:val="20"/>
                <w:szCs w:val="20"/>
              </w:rPr>
              <w:t>A</w:t>
            </w:r>
          </w:p>
        </w:tc>
        <w:tc>
          <w:tcPr>
            <w:tcW w:w="2302" w:type="dxa"/>
            <w:tcMar>
              <w:left w:w="28" w:type="dxa"/>
              <w:right w:w="28" w:type="dxa"/>
            </w:tcMar>
          </w:tcPr>
          <w:p w:rsidR="007229A1" w:rsidRPr="00534C5B" w:rsidRDefault="007229A1" w:rsidP="007229A1">
            <w:pPr>
              <w:pStyle w:val="3Bodytext"/>
              <w:keepNext/>
              <w:keepLines/>
              <w:numPr>
                <w:ilvl w:val="0"/>
                <w:numId w:val="0"/>
              </w:numPr>
              <w:spacing w:after="0"/>
              <w:jc w:val="left"/>
              <w:rPr>
                <w:rFonts w:ascii="Arial Narrow" w:hAnsi="Arial Narrow"/>
                <w:sz w:val="20"/>
                <w:szCs w:val="20"/>
              </w:rPr>
            </w:pPr>
            <w:r w:rsidRPr="00534C5B">
              <w:rPr>
                <w:rFonts w:ascii="Arial Narrow" w:hAnsi="Arial Narrow"/>
                <w:sz w:val="20"/>
                <w:szCs w:val="20"/>
              </w:rPr>
              <w:t>Eligible patients</w:t>
            </w:r>
          </w:p>
        </w:tc>
        <w:tc>
          <w:tcPr>
            <w:tcW w:w="1383" w:type="dxa"/>
            <w:tcMar>
              <w:left w:w="28" w:type="dxa"/>
              <w:right w:w="28" w:type="dxa"/>
            </w:tcMar>
          </w:tcPr>
          <w:p w:rsidR="007229A1" w:rsidRPr="00534C5B" w:rsidRDefault="00C870B4" w:rsidP="007229A1">
            <w:pPr>
              <w:pStyle w:val="3Bodytext"/>
              <w:keepNext/>
              <w:keepLines/>
              <w:numPr>
                <w:ilvl w:val="0"/>
                <w:numId w:val="0"/>
              </w:numPr>
              <w:spacing w:after="0"/>
              <w:jc w:val="center"/>
              <w:rPr>
                <w:rFonts w:ascii="Arial Narrow" w:hAnsi="Arial Narrow"/>
                <w:sz w:val="20"/>
                <w:szCs w:val="20"/>
              </w:rPr>
            </w:pPr>
            <w:r w:rsidRPr="00534C5B">
              <w:rPr>
                <w:rFonts w:ascii="Arial Narrow" w:hAnsi="Arial Narrow"/>
                <w:sz w:val="20"/>
                <w:szCs w:val="20"/>
              </w:rPr>
              <w:t>-</w:t>
            </w:r>
          </w:p>
        </w:tc>
        <w:tc>
          <w:tcPr>
            <w:tcW w:w="851" w:type="dxa"/>
            <w:tcMar>
              <w:left w:w="28" w:type="dxa"/>
              <w:right w:w="28" w:type="dxa"/>
            </w:tcMar>
            <w:vAlign w:val="bottom"/>
          </w:tcPr>
          <w:p w:rsidR="007229A1" w:rsidRPr="00653477" w:rsidRDefault="00653477" w:rsidP="007229A1">
            <w:pPr>
              <w:pStyle w:val="3Bodytext"/>
              <w:keepNext/>
              <w:keepLines/>
              <w:numPr>
                <w:ilvl w:val="0"/>
                <w:numId w:val="0"/>
              </w:numPr>
              <w:spacing w:after="0"/>
              <w:jc w:val="center"/>
              <w:rPr>
                <w:rFonts w:ascii="Arial Narrow" w:hAnsi="Arial Narrow"/>
                <w:sz w:val="20"/>
                <w:szCs w:val="20"/>
                <w:highlight w:val="black"/>
              </w:rPr>
            </w:pPr>
            <w:r>
              <w:rPr>
                <w:rFonts w:ascii="Arial Narrow" w:hAnsi="Arial Narrow" w:cs="Calibri"/>
                <w:noProof/>
                <w:color w:val="000000"/>
                <w:sz w:val="20"/>
                <w:szCs w:val="20"/>
                <w:highlight w:val="black"/>
              </w:rPr>
              <w:t>''''''''''''''</w:t>
            </w:r>
          </w:p>
        </w:tc>
        <w:tc>
          <w:tcPr>
            <w:tcW w:w="850" w:type="dxa"/>
            <w:tcMar>
              <w:left w:w="28" w:type="dxa"/>
              <w:right w:w="28" w:type="dxa"/>
            </w:tcMar>
            <w:vAlign w:val="bottom"/>
          </w:tcPr>
          <w:p w:rsidR="007229A1" w:rsidRPr="00653477" w:rsidRDefault="00653477" w:rsidP="007229A1">
            <w:pPr>
              <w:pStyle w:val="3Bodytext"/>
              <w:keepNext/>
              <w:keepLines/>
              <w:numPr>
                <w:ilvl w:val="0"/>
                <w:numId w:val="0"/>
              </w:numPr>
              <w:spacing w:after="0"/>
              <w:jc w:val="center"/>
              <w:rPr>
                <w:rFonts w:ascii="Arial Narrow" w:hAnsi="Arial Narrow"/>
                <w:sz w:val="20"/>
                <w:szCs w:val="20"/>
                <w:highlight w:val="black"/>
              </w:rPr>
            </w:pPr>
            <w:r>
              <w:rPr>
                <w:rFonts w:ascii="Arial Narrow" w:hAnsi="Arial Narrow" w:cs="Calibri"/>
                <w:noProof/>
                <w:color w:val="000000"/>
                <w:sz w:val="20"/>
                <w:szCs w:val="20"/>
                <w:highlight w:val="black"/>
              </w:rPr>
              <w:t>'''''''''''''''</w:t>
            </w:r>
          </w:p>
        </w:tc>
        <w:tc>
          <w:tcPr>
            <w:tcW w:w="851" w:type="dxa"/>
            <w:tcMar>
              <w:left w:w="28" w:type="dxa"/>
              <w:right w:w="28" w:type="dxa"/>
            </w:tcMar>
            <w:vAlign w:val="bottom"/>
          </w:tcPr>
          <w:p w:rsidR="007229A1" w:rsidRPr="00653477" w:rsidRDefault="00653477" w:rsidP="007229A1">
            <w:pPr>
              <w:pStyle w:val="3Bodytext"/>
              <w:keepNext/>
              <w:keepLines/>
              <w:numPr>
                <w:ilvl w:val="0"/>
                <w:numId w:val="0"/>
              </w:numPr>
              <w:spacing w:after="0"/>
              <w:jc w:val="center"/>
              <w:rPr>
                <w:rFonts w:ascii="Arial Narrow" w:hAnsi="Arial Narrow"/>
                <w:sz w:val="20"/>
                <w:szCs w:val="20"/>
                <w:highlight w:val="black"/>
              </w:rPr>
            </w:pPr>
            <w:r>
              <w:rPr>
                <w:rFonts w:ascii="Arial Narrow" w:hAnsi="Arial Narrow" w:cs="Calibri"/>
                <w:noProof/>
                <w:color w:val="000000"/>
                <w:sz w:val="20"/>
                <w:szCs w:val="20"/>
                <w:highlight w:val="black"/>
              </w:rPr>
              <w:t>'''''''''''''''</w:t>
            </w:r>
          </w:p>
        </w:tc>
        <w:tc>
          <w:tcPr>
            <w:tcW w:w="850" w:type="dxa"/>
            <w:tcMar>
              <w:left w:w="28" w:type="dxa"/>
              <w:right w:w="28" w:type="dxa"/>
            </w:tcMar>
            <w:vAlign w:val="bottom"/>
          </w:tcPr>
          <w:p w:rsidR="007229A1" w:rsidRPr="00653477" w:rsidRDefault="00653477" w:rsidP="007229A1">
            <w:pPr>
              <w:pStyle w:val="3Bodytext"/>
              <w:keepNext/>
              <w:keepLines/>
              <w:numPr>
                <w:ilvl w:val="0"/>
                <w:numId w:val="0"/>
              </w:numPr>
              <w:spacing w:after="0"/>
              <w:jc w:val="center"/>
              <w:rPr>
                <w:rFonts w:ascii="Arial Narrow" w:hAnsi="Arial Narrow"/>
                <w:sz w:val="20"/>
                <w:szCs w:val="20"/>
                <w:highlight w:val="black"/>
              </w:rPr>
            </w:pPr>
            <w:r>
              <w:rPr>
                <w:rFonts w:ascii="Arial Narrow" w:hAnsi="Arial Narrow" w:cs="Calibri"/>
                <w:noProof/>
                <w:color w:val="000000"/>
                <w:sz w:val="20"/>
                <w:szCs w:val="20"/>
                <w:highlight w:val="black"/>
              </w:rPr>
              <w:t>'''''''''''''</w:t>
            </w:r>
          </w:p>
        </w:tc>
        <w:tc>
          <w:tcPr>
            <w:tcW w:w="851" w:type="dxa"/>
            <w:tcMar>
              <w:left w:w="28" w:type="dxa"/>
              <w:right w:w="28" w:type="dxa"/>
            </w:tcMar>
            <w:vAlign w:val="bottom"/>
          </w:tcPr>
          <w:p w:rsidR="007229A1" w:rsidRPr="00653477" w:rsidRDefault="00653477" w:rsidP="007229A1">
            <w:pPr>
              <w:pStyle w:val="3Bodytext"/>
              <w:keepNext/>
              <w:keepLines/>
              <w:numPr>
                <w:ilvl w:val="0"/>
                <w:numId w:val="0"/>
              </w:numPr>
              <w:spacing w:after="0"/>
              <w:jc w:val="center"/>
              <w:rPr>
                <w:rFonts w:ascii="Arial Narrow" w:hAnsi="Arial Narrow"/>
                <w:sz w:val="20"/>
                <w:szCs w:val="20"/>
                <w:highlight w:val="black"/>
              </w:rPr>
            </w:pPr>
            <w:r>
              <w:rPr>
                <w:rFonts w:ascii="Arial Narrow" w:hAnsi="Arial Narrow" w:cs="Calibri"/>
                <w:noProof/>
                <w:color w:val="000000"/>
                <w:sz w:val="20"/>
                <w:szCs w:val="20"/>
                <w:highlight w:val="black"/>
              </w:rPr>
              <w:t>''''''''''''</w:t>
            </w:r>
          </w:p>
        </w:tc>
        <w:tc>
          <w:tcPr>
            <w:tcW w:w="799" w:type="dxa"/>
            <w:tcMar>
              <w:left w:w="28" w:type="dxa"/>
              <w:right w:w="28" w:type="dxa"/>
            </w:tcMar>
            <w:vAlign w:val="bottom"/>
          </w:tcPr>
          <w:p w:rsidR="007229A1" w:rsidRPr="00653477" w:rsidRDefault="00653477" w:rsidP="007229A1">
            <w:pPr>
              <w:pStyle w:val="3Bodytext"/>
              <w:keepNext/>
              <w:keepLines/>
              <w:numPr>
                <w:ilvl w:val="0"/>
                <w:numId w:val="0"/>
              </w:numPr>
              <w:spacing w:after="0"/>
              <w:jc w:val="center"/>
              <w:rPr>
                <w:rFonts w:ascii="Arial Narrow" w:hAnsi="Arial Narrow"/>
                <w:sz w:val="20"/>
                <w:szCs w:val="20"/>
                <w:highlight w:val="black"/>
              </w:rPr>
            </w:pPr>
            <w:r>
              <w:rPr>
                <w:rFonts w:ascii="Arial Narrow" w:hAnsi="Arial Narrow" w:cs="Calibri"/>
                <w:noProof/>
                <w:color w:val="000000"/>
                <w:sz w:val="20"/>
                <w:szCs w:val="20"/>
                <w:highlight w:val="black"/>
              </w:rPr>
              <w:t>'''''''''''''</w:t>
            </w:r>
          </w:p>
        </w:tc>
      </w:tr>
      <w:tr w:rsidR="00C870B4" w:rsidRPr="00534C5B" w:rsidTr="00F15DAD">
        <w:trPr>
          <w:tblHeader/>
        </w:trPr>
        <w:tc>
          <w:tcPr>
            <w:tcW w:w="279" w:type="dxa"/>
            <w:tcMar>
              <w:left w:w="28" w:type="dxa"/>
              <w:right w:w="28" w:type="dxa"/>
            </w:tcMar>
            <w:vAlign w:val="center"/>
          </w:tcPr>
          <w:p w:rsidR="007229A1" w:rsidRPr="00534C5B" w:rsidRDefault="007229A1" w:rsidP="00C870B4">
            <w:pPr>
              <w:pStyle w:val="3Bodytext"/>
              <w:keepNext/>
              <w:keepLines/>
              <w:numPr>
                <w:ilvl w:val="0"/>
                <w:numId w:val="0"/>
              </w:numPr>
              <w:spacing w:after="0"/>
              <w:jc w:val="center"/>
              <w:rPr>
                <w:rFonts w:ascii="Arial Narrow" w:hAnsi="Arial Narrow"/>
                <w:sz w:val="20"/>
                <w:szCs w:val="20"/>
              </w:rPr>
            </w:pPr>
            <w:r w:rsidRPr="00534C5B">
              <w:rPr>
                <w:rFonts w:ascii="Arial Narrow" w:hAnsi="Arial Narrow"/>
                <w:sz w:val="20"/>
                <w:szCs w:val="20"/>
              </w:rPr>
              <w:t>B</w:t>
            </w:r>
          </w:p>
        </w:tc>
        <w:tc>
          <w:tcPr>
            <w:tcW w:w="2302" w:type="dxa"/>
            <w:tcMar>
              <w:left w:w="28" w:type="dxa"/>
              <w:right w:w="28" w:type="dxa"/>
            </w:tcMar>
          </w:tcPr>
          <w:p w:rsidR="007229A1" w:rsidRPr="00534C5B" w:rsidRDefault="007229A1" w:rsidP="00804378">
            <w:pPr>
              <w:pStyle w:val="3Bodytext"/>
              <w:keepNext/>
              <w:keepLines/>
              <w:numPr>
                <w:ilvl w:val="0"/>
                <w:numId w:val="0"/>
              </w:numPr>
              <w:spacing w:after="0"/>
              <w:jc w:val="left"/>
              <w:rPr>
                <w:rFonts w:ascii="Arial Narrow" w:hAnsi="Arial Narrow"/>
                <w:sz w:val="20"/>
                <w:szCs w:val="20"/>
              </w:rPr>
            </w:pPr>
            <w:r w:rsidRPr="00534C5B">
              <w:rPr>
                <w:rFonts w:ascii="Arial Narrow" w:hAnsi="Arial Narrow"/>
                <w:sz w:val="20"/>
                <w:szCs w:val="20"/>
              </w:rPr>
              <w:t xml:space="preserve">BRAF </w:t>
            </w:r>
            <w:r w:rsidR="00804378" w:rsidRPr="00534C5B">
              <w:rPr>
                <w:rFonts w:ascii="Arial Narrow" w:hAnsi="Arial Narrow"/>
                <w:sz w:val="20"/>
                <w:szCs w:val="20"/>
              </w:rPr>
              <w:t>MT</w:t>
            </w:r>
            <w:r w:rsidRPr="00534C5B">
              <w:rPr>
                <w:rFonts w:ascii="Arial Narrow" w:hAnsi="Arial Narrow"/>
                <w:sz w:val="20"/>
                <w:szCs w:val="20"/>
              </w:rPr>
              <w:t xml:space="preserve"> patients</w:t>
            </w:r>
          </w:p>
        </w:tc>
        <w:tc>
          <w:tcPr>
            <w:tcW w:w="1383" w:type="dxa"/>
            <w:tcMar>
              <w:left w:w="28" w:type="dxa"/>
              <w:right w:w="28" w:type="dxa"/>
            </w:tcMar>
          </w:tcPr>
          <w:p w:rsidR="007229A1" w:rsidRPr="00534C5B" w:rsidRDefault="007229A1" w:rsidP="007229A1">
            <w:pPr>
              <w:pStyle w:val="3Bodytext"/>
              <w:keepNext/>
              <w:keepLines/>
              <w:numPr>
                <w:ilvl w:val="0"/>
                <w:numId w:val="0"/>
              </w:numPr>
              <w:spacing w:after="0"/>
              <w:jc w:val="center"/>
              <w:rPr>
                <w:rFonts w:ascii="Arial Narrow" w:hAnsi="Arial Narrow"/>
                <w:sz w:val="20"/>
                <w:szCs w:val="20"/>
              </w:rPr>
            </w:pPr>
            <w:r w:rsidRPr="00534C5B">
              <w:rPr>
                <w:rFonts w:ascii="Arial Narrow" w:hAnsi="Arial Narrow"/>
                <w:sz w:val="20"/>
                <w:szCs w:val="20"/>
              </w:rPr>
              <w:t>A x 37.7%</w:t>
            </w:r>
          </w:p>
        </w:tc>
        <w:tc>
          <w:tcPr>
            <w:tcW w:w="851" w:type="dxa"/>
            <w:tcMar>
              <w:left w:w="28" w:type="dxa"/>
              <w:right w:w="28" w:type="dxa"/>
            </w:tcMar>
            <w:vAlign w:val="bottom"/>
          </w:tcPr>
          <w:p w:rsidR="007229A1" w:rsidRPr="00653477" w:rsidRDefault="00653477" w:rsidP="007229A1">
            <w:pPr>
              <w:pStyle w:val="3Bodytext"/>
              <w:keepNext/>
              <w:keepLines/>
              <w:numPr>
                <w:ilvl w:val="0"/>
                <w:numId w:val="0"/>
              </w:numPr>
              <w:spacing w:after="0"/>
              <w:jc w:val="center"/>
              <w:rPr>
                <w:rFonts w:ascii="Arial Narrow" w:hAnsi="Arial Narrow"/>
                <w:sz w:val="20"/>
                <w:szCs w:val="20"/>
                <w:highlight w:val="black"/>
              </w:rPr>
            </w:pPr>
            <w:r>
              <w:rPr>
                <w:rFonts w:ascii="Arial Narrow" w:hAnsi="Arial Narrow" w:cs="Calibri"/>
                <w:noProof/>
                <w:color w:val="000000"/>
                <w:sz w:val="20"/>
                <w:szCs w:val="20"/>
                <w:highlight w:val="black"/>
              </w:rPr>
              <w:t>''''''''''</w:t>
            </w:r>
          </w:p>
        </w:tc>
        <w:tc>
          <w:tcPr>
            <w:tcW w:w="850" w:type="dxa"/>
            <w:tcMar>
              <w:left w:w="28" w:type="dxa"/>
              <w:right w:w="28" w:type="dxa"/>
            </w:tcMar>
            <w:vAlign w:val="bottom"/>
          </w:tcPr>
          <w:p w:rsidR="007229A1" w:rsidRPr="00653477" w:rsidRDefault="00653477" w:rsidP="007229A1">
            <w:pPr>
              <w:pStyle w:val="3Bodytext"/>
              <w:keepNext/>
              <w:keepLines/>
              <w:numPr>
                <w:ilvl w:val="0"/>
                <w:numId w:val="0"/>
              </w:numPr>
              <w:spacing w:after="0"/>
              <w:jc w:val="center"/>
              <w:rPr>
                <w:rFonts w:ascii="Arial Narrow" w:hAnsi="Arial Narrow"/>
                <w:sz w:val="20"/>
                <w:szCs w:val="20"/>
                <w:highlight w:val="black"/>
              </w:rPr>
            </w:pPr>
            <w:r>
              <w:rPr>
                <w:rFonts w:ascii="Arial Narrow" w:hAnsi="Arial Narrow" w:cs="Calibri"/>
                <w:noProof/>
                <w:color w:val="000000"/>
                <w:sz w:val="20"/>
                <w:szCs w:val="20"/>
                <w:highlight w:val="black"/>
              </w:rPr>
              <w:t>''''''''''</w:t>
            </w:r>
          </w:p>
        </w:tc>
        <w:tc>
          <w:tcPr>
            <w:tcW w:w="851" w:type="dxa"/>
            <w:tcMar>
              <w:left w:w="28" w:type="dxa"/>
              <w:right w:w="28" w:type="dxa"/>
            </w:tcMar>
            <w:vAlign w:val="bottom"/>
          </w:tcPr>
          <w:p w:rsidR="007229A1" w:rsidRPr="00653477" w:rsidRDefault="00653477" w:rsidP="007229A1">
            <w:pPr>
              <w:pStyle w:val="3Bodytext"/>
              <w:keepNext/>
              <w:keepLines/>
              <w:numPr>
                <w:ilvl w:val="0"/>
                <w:numId w:val="0"/>
              </w:numPr>
              <w:spacing w:after="0"/>
              <w:jc w:val="center"/>
              <w:rPr>
                <w:rFonts w:ascii="Arial Narrow" w:hAnsi="Arial Narrow"/>
                <w:sz w:val="20"/>
                <w:szCs w:val="20"/>
                <w:highlight w:val="black"/>
              </w:rPr>
            </w:pPr>
            <w:r>
              <w:rPr>
                <w:rFonts w:ascii="Arial Narrow" w:hAnsi="Arial Narrow" w:cs="Calibri"/>
                <w:noProof/>
                <w:color w:val="000000"/>
                <w:sz w:val="20"/>
                <w:szCs w:val="20"/>
                <w:highlight w:val="black"/>
              </w:rPr>
              <w:t>''''''''''</w:t>
            </w:r>
          </w:p>
        </w:tc>
        <w:tc>
          <w:tcPr>
            <w:tcW w:w="850" w:type="dxa"/>
            <w:tcMar>
              <w:left w:w="28" w:type="dxa"/>
              <w:right w:w="28" w:type="dxa"/>
            </w:tcMar>
            <w:vAlign w:val="bottom"/>
          </w:tcPr>
          <w:p w:rsidR="007229A1" w:rsidRPr="00653477" w:rsidRDefault="00653477" w:rsidP="007229A1">
            <w:pPr>
              <w:pStyle w:val="3Bodytext"/>
              <w:keepNext/>
              <w:keepLines/>
              <w:numPr>
                <w:ilvl w:val="0"/>
                <w:numId w:val="0"/>
              </w:numPr>
              <w:spacing w:after="0"/>
              <w:jc w:val="center"/>
              <w:rPr>
                <w:rFonts w:ascii="Arial Narrow" w:hAnsi="Arial Narrow"/>
                <w:sz w:val="20"/>
                <w:szCs w:val="20"/>
                <w:highlight w:val="black"/>
              </w:rPr>
            </w:pPr>
            <w:r>
              <w:rPr>
                <w:rFonts w:ascii="Arial Narrow" w:hAnsi="Arial Narrow" w:cs="Calibri"/>
                <w:noProof/>
                <w:color w:val="000000"/>
                <w:sz w:val="20"/>
                <w:szCs w:val="20"/>
                <w:highlight w:val="black"/>
              </w:rPr>
              <w:t>'''''''''</w:t>
            </w:r>
          </w:p>
        </w:tc>
        <w:tc>
          <w:tcPr>
            <w:tcW w:w="851" w:type="dxa"/>
            <w:tcMar>
              <w:left w:w="28" w:type="dxa"/>
              <w:right w:w="28" w:type="dxa"/>
            </w:tcMar>
            <w:vAlign w:val="bottom"/>
          </w:tcPr>
          <w:p w:rsidR="007229A1" w:rsidRPr="00653477" w:rsidRDefault="00653477" w:rsidP="007229A1">
            <w:pPr>
              <w:pStyle w:val="3Bodytext"/>
              <w:keepNext/>
              <w:keepLines/>
              <w:numPr>
                <w:ilvl w:val="0"/>
                <w:numId w:val="0"/>
              </w:numPr>
              <w:spacing w:after="0"/>
              <w:jc w:val="center"/>
              <w:rPr>
                <w:rFonts w:ascii="Arial Narrow" w:hAnsi="Arial Narrow"/>
                <w:sz w:val="20"/>
                <w:szCs w:val="20"/>
                <w:highlight w:val="black"/>
              </w:rPr>
            </w:pPr>
            <w:r>
              <w:rPr>
                <w:rFonts w:ascii="Arial Narrow" w:hAnsi="Arial Narrow" w:cs="Calibri"/>
                <w:noProof/>
                <w:color w:val="000000"/>
                <w:sz w:val="20"/>
                <w:szCs w:val="20"/>
                <w:highlight w:val="black"/>
              </w:rPr>
              <w:t>''''''''''</w:t>
            </w:r>
          </w:p>
        </w:tc>
        <w:tc>
          <w:tcPr>
            <w:tcW w:w="799" w:type="dxa"/>
            <w:tcMar>
              <w:left w:w="28" w:type="dxa"/>
              <w:right w:w="28" w:type="dxa"/>
            </w:tcMar>
            <w:vAlign w:val="bottom"/>
          </w:tcPr>
          <w:p w:rsidR="007229A1" w:rsidRPr="00653477" w:rsidRDefault="00653477" w:rsidP="007229A1">
            <w:pPr>
              <w:pStyle w:val="3Bodytext"/>
              <w:keepNext/>
              <w:keepLines/>
              <w:numPr>
                <w:ilvl w:val="0"/>
                <w:numId w:val="0"/>
              </w:numPr>
              <w:spacing w:after="0"/>
              <w:jc w:val="center"/>
              <w:rPr>
                <w:rFonts w:ascii="Arial Narrow" w:hAnsi="Arial Narrow"/>
                <w:sz w:val="20"/>
                <w:szCs w:val="20"/>
                <w:highlight w:val="black"/>
              </w:rPr>
            </w:pPr>
            <w:r>
              <w:rPr>
                <w:rFonts w:ascii="Arial Narrow" w:hAnsi="Arial Narrow" w:cs="Calibri"/>
                <w:noProof/>
                <w:color w:val="000000"/>
                <w:sz w:val="20"/>
                <w:szCs w:val="20"/>
                <w:highlight w:val="black"/>
              </w:rPr>
              <w:t>''''''''''</w:t>
            </w:r>
          </w:p>
        </w:tc>
      </w:tr>
      <w:tr w:rsidR="00C870B4" w:rsidRPr="00534C5B" w:rsidTr="00F15DAD">
        <w:trPr>
          <w:tblHeader/>
        </w:trPr>
        <w:tc>
          <w:tcPr>
            <w:tcW w:w="279" w:type="dxa"/>
            <w:tcMar>
              <w:left w:w="28" w:type="dxa"/>
              <w:right w:w="28" w:type="dxa"/>
            </w:tcMar>
            <w:vAlign w:val="center"/>
          </w:tcPr>
          <w:p w:rsidR="007229A1" w:rsidRPr="00534C5B" w:rsidRDefault="007229A1" w:rsidP="00C870B4">
            <w:pPr>
              <w:pStyle w:val="3Bodytext"/>
              <w:keepNext/>
              <w:keepLines/>
              <w:numPr>
                <w:ilvl w:val="0"/>
                <w:numId w:val="0"/>
              </w:numPr>
              <w:spacing w:after="0"/>
              <w:jc w:val="center"/>
              <w:rPr>
                <w:rFonts w:ascii="Arial Narrow" w:hAnsi="Arial Narrow"/>
                <w:sz w:val="20"/>
                <w:szCs w:val="20"/>
              </w:rPr>
            </w:pPr>
            <w:r w:rsidRPr="00534C5B">
              <w:rPr>
                <w:rFonts w:ascii="Arial Narrow" w:hAnsi="Arial Narrow"/>
                <w:sz w:val="20"/>
                <w:szCs w:val="20"/>
              </w:rPr>
              <w:t>C</w:t>
            </w:r>
          </w:p>
        </w:tc>
        <w:tc>
          <w:tcPr>
            <w:tcW w:w="2302" w:type="dxa"/>
            <w:tcMar>
              <w:left w:w="28" w:type="dxa"/>
              <w:right w:w="28" w:type="dxa"/>
            </w:tcMar>
          </w:tcPr>
          <w:p w:rsidR="007229A1" w:rsidRPr="00534C5B" w:rsidRDefault="007229A1" w:rsidP="00804378">
            <w:pPr>
              <w:pStyle w:val="3Bodytext"/>
              <w:keepNext/>
              <w:keepLines/>
              <w:numPr>
                <w:ilvl w:val="0"/>
                <w:numId w:val="0"/>
              </w:numPr>
              <w:spacing w:after="0"/>
              <w:jc w:val="left"/>
              <w:rPr>
                <w:rFonts w:ascii="Arial Narrow" w:hAnsi="Arial Narrow"/>
                <w:sz w:val="20"/>
                <w:szCs w:val="20"/>
              </w:rPr>
            </w:pPr>
            <w:r w:rsidRPr="00534C5B">
              <w:rPr>
                <w:rFonts w:ascii="Arial Narrow" w:hAnsi="Arial Narrow"/>
                <w:sz w:val="20"/>
                <w:szCs w:val="20"/>
              </w:rPr>
              <w:t xml:space="preserve">BRAF </w:t>
            </w:r>
            <w:r w:rsidR="00804378" w:rsidRPr="00534C5B">
              <w:rPr>
                <w:rFonts w:ascii="Arial Narrow" w:hAnsi="Arial Narrow"/>
                <w:sz w:val="20"/>
                <w:szCs w:val="20"/>
              </w:rPr>
              <w:t>MT</w:t>
            </w:r>
            <w:r w:rsidRPr="00534C5B">
              <w:rPr>
                <w:rFonts w:ascii="Arial Narrow" w:hAnsi="Arial Narrow"/>
                <w:sz w:val="20"/>
                <w:szCs w:val="20"/>
              </w:rPr>
              <w:t xml:space="preserve"> patients receiving PD-1</w:t>
            </w:r>
          </w:p>
        </w:tc>
        <w:tc>
          <w:tcPr>
            <w:tcW w:w="1383" w:type="dxa"/>
            <w:tcMar>
              <w:left w:w="28" w:type="dxa"/>
              <w:right w:w="28" w:type="dxa"/>
            </w:tcMar>
            <w:vAlign w:val="center"/>
          </w:tcPr>
          <w:p w:rsidR="007229A1" w:rsidRPr="00534C5B" w:rsidRDefault="007229A1" w:rsidP="00C870B4">
            <w:pPr>
              <w:pStyle w:val="3Bodytext"/>
              <w:keepNext/>
              <w:keepLines/>
              <w:numPr>
                <w:ilvl w:val="0"/>
                <w:numId w:val="0"/>
              </w:numPr>
              <w:spacing w:after="0"/>
              <w:jc w:val="center"/>
              <w:rPr>
                <w:rFonts w:ascii="Arial Narrow" w:hAnsi="Arial Narrow"/>
                <w:sz w:val="20"/>
                <w:szCs w:val="20"/>
              </w:rPr>
            </w:pPr>
            <w:r w:rsidRPr="00534C5B">
              <w:rPr>
                <w:rFonts w:ascii="Arial Narrow" w:hAnsi="Arial Narrow"/>
                <w:sz w:val="20"/>
                <w:szCs w:val="20"/>
              </w:rPr>
              <w:t>B x 74.1%</w:t>
            </w:r>
          </w:p>
        </w:tc>
        <w:tc>
          <w:tcPr>
            <w:tcW w:w="851" w:type="dxa"/>
            <w:tcMar>
              <w:left w:w="28" w:type="dxa"/>
              <w:right w:w="28" w:type="dxa"/>
            </w:tcMar>
            <w:vAlign w:val="center"/>
          </w:tcPr>
          <w:p w:rsidR="007229A1" w:rsidRPr="00653477" w:rsidRDefault="00653477" w:rsidP="00C870B4">
            <w:pPr>
              <w:pStyle w:val="3Bodytext"/>
              <w:keepNext/>
              <w:keepLines/>
              <w:numPr>
                <w:ilvl w:val="0"/>
                <w:numId w:val="0"/>
              </w:numPr>
              <w:spacing w:after="0"/>
              <w:jc w:val="center"/>
              <w:rPr>
                <w:rFonts w:ascii="Arial Narrow" w:hAnsi="Arial Narrow"/>
                <w:sz w:val="20"/>
                <w:szCs w:val="20"/>
                <w:highlight w:val="black"/>
              </w:rPr>
            </w:pPr>
            <w:r>
              <w:rPr>
                <w:rFonts w:ascii="Arial Narrow" w:hAnsi="Arial Narrow" w:cs="Calibri"/>
                <w:noProof/>
                <w:color w:val="000000"/>
                <w:sz w:val="20"/>
                <w:szCs w:val="20"/>
                <w:highlight w:val="black"/>
              </w:rPr>
              <w:t>''''''''''</w:t>
            </w:r>
          </w:p>
        </w:tc>
        <w:tc>
          <w:tcPr>
            <w:tcW w:w="850" w:type="dxa"/>
            <w:tcMar>
              <w:left w:w="28" w:type="dxa"/>
              <w:right w:w="28" w:type="dxa"/>
            </w:tcMar>
            <w:vAlign w:val="center"/>
          </w:tcPr>
          <w:p w:rsidR="007229A1" w:rsidRPr="00653477" w:rsidRDefault="00653477" w:rsidP="00C870B4">
            <w:pPr>
              <w:pStyle w:val="3Bodytext"/>
              <w:keepNext/>
              <w:keepLines/>
              <w:numPr>
                <w:ilvl w:val="0"/>
                <w:numId w:val="0"/>
              </w:numPr>
              <w:spacing w:after="0"/>
              <w:jc w:val="center"/>
              <w:rPr>
                <w:rFonts w:ascii="Arial Narrow" w:hAnsi="Arial Narrow"/>
                <w:sz w:val="20"/>
                <w:szCs w:val="20"/>
                <w:highlight w:val="black"/>
              </w:rPr>
            </w:pPr>
            <w:r>
              <w:rPr>
                <w:rFonts w:ascii="Arial Narrow" w:hAnsi="Arial Narrow" w:cs="Calibri"/>
                <w:noProof/>
                <w:color w:val="000000"/>
                <w:sz w:val="20"/>
                <w:szCs w:val="20"/>
                <w:highlight w:val="black"/>
              </w:rPr>
              <w:t>''''''''''</w:t>
            </w:r>
          </w:p>
        </w:tc>
        <w:tc>
          <w:tcPr>
            <w:tcW w:w="851" w:type="dxa"/>
            <w:tcMar>
              <w:left w:w="28" w:type="dxa"/>
              <w:right w:w="28" w:type="dxa"/>
            </w:tcMar>
            <w:vAlign w:val="center"/>
          </w:tcPr>
          <w:p w:rsidR="007229A1" w:rsidRPr="00653477" w:rsidRDefault="00653477" w:rsidP="00C870B4">
            <w:pPr>
              <w:pStyle w:val="3Bodytext"/>
              <w:keepNext/>
              <w:keepLines/>
              <w:numPr>
                <w:ilvl w:val="0"/>
                <w:numId w:val="0"/>
              </w:numPr>
              <w:spacing w:after="0"/>
              <w:jc w:val="center"/>
              <w:rPr>
                <w:rFonts w:ascii="Arial Narrow" w:hAnsi="Arial Narrow"/>
                <w:sz w:val="20"/>
                <w:szCs w:val="20"/>
                <w:highlight w:val="black"/>
              </w:rPr>
            </w:pPr>
            <w:r>
              <w:rPr>
                <w:rFonts w:ascii="Arial Narrow" w:hAnsi="Arial Narrow" w:cs="Calibri"/>
                <w:noProof/>
                <w:color w:val="000000"/>
                <w:sz w:val="20"/>
                <w:szCs w:val="20"/>
                <w:highlight w:val="black"/>
              </w:rPr>
              <w:t>''''''''''</w:t>
            </w:r>
          </w:p>
        </w:tc>
        <w:tc>
          <w:tcPr>
            <w:tcW w:w="850" w:type="dxa"/>
            <w:tcMar>
              <w:left w:w="28" w:type="dxa"/>
              <w:right w:w="28" w:type="dxa"/>
            </w:tcMar>
            <w:vAlign w:val="center"/>
          </w:tcPr>
          <w:p w:rsidR="007229A1" w:rsidRPr="00653477" w:rsidRDefault="00653477" w:rsidP="00C870B4">
            <w:pPr>
              <w:pStyle w:val="3Bodytext"/>
              <w:keepNext/>
              <w:keepLines/>
              <w:numPr>
                <w:ilvl w:val="0"/>
                <w:numId w:val="0"/>
              </w:numPr>
              <w:spacing w:after="0"/>
              <w:jc w:val="center"/>
              <w:rPr>
                <w:rFonts w:ascii="Arial Narrow" w:hAnsi="Arial Narrow"/>
                <w:sz w:val="20"/>
                <w:szCs w:val="20"/>
                <w:highlight w:val="black"/>
              </w:rPr>
            </w:pPr>
            <w:r>
              <w:rPr>
                <w:rFonts w:ascii="Arial Narrow" w:hAnsi="Arial Narrow" w:cs="Calibri"/>
                <w:noProof/>
                <w:color w:val="000000"/>
                <w:sz w:val="20"/>
                <w:szCs w:val="20"/>
                <w:highlight w:val="black"/>
              </w:rPr>
              <w:t>''''''''''</w:t>
            </w:r>
          </w:p>
        </w:tc>
        <w:tc>
          <w:tcPr>
            <w:tcW w:w="851" w:type="dxa"/>
            <w:tcMar>
              <w:left w:w="28" w:type="dxa"/>
              <w:right w:w="28" w:type="dxa"/>
            </w:tcMar>
            <w:vAlign w:val="center"/>
          </w:tcPr>
          <w:p w:rsidR="007229A1" w:rsidRPr="00653477" w:rsidRDefault="00653477" w:rsidP="00C870B4">
            <w:pPr>
              <w:pStyle w:val="3Bodytext"/>
              <w:keepNext/>
              <w:keepLines/>
              <w:numPr>
                <w:ilvl w:val="0"/>
                <w:numId w:val="0"/>
              </w:numPr>
              <w:spacing w:after="0"/>
              <w:jc w:val="center"/>
              <w:rPr>
                <w:rFonts w:ascii="Arial Narrow" w:hAnsi="Arial Narrow"/>
                <w:sz w:val="20"/>
                <w:szCs w:val="20"/>
                <w:highlight w:val="black"/>
              </w:rPr>
            </w:pPr>
            <w:r>
              <w:rPr>
                <w:rFonts w:ascii="Arial Narrow" w:hAnsi="Arial Narrow" w:cs="Calibri"/>
                <w:noProof/>
                <w:color w:val="000000"/>
                <w:sz w:val="20"/>
                <w:szCs w:val="20"/>
                <w:highlight w:val="black"/>
              </w:rPr>
              <w:t>''''''''''</w:t>
            </w:r>
          </w:p>
        </w:tc>
        <w:tc>
          <w:tcPr>
            <w:tcW w:w="799" w:type="dxa"/>
            <w:tcMar>
              <w:left w:w="28" w:type="dxa"/>
              <w:right w:w="28" w:type="dxa"/>
            </w:tcMar>
            <w:vAlign w:val="center"/>
          </w:tcPr>
          <w:p w:rsidR="007229A1" w:rsidRPr="00653477" w:rsidRDefault="00653477" w:rsidP="00C870B4">
            <w:pPr>
              <w:pStyle w:val="3Bodytext"/>
              <w:keepNext/>
              <w:keepLines/>
              <w:numPr>
                <w:ilvl w:val="0"/>
                <w:numId w:val="0"/>
              </w:numPr>
              <w:spacing w:after="0"/>
              <w:jc w:val="center"/>
              <w:rPr>
                <w:rFonts w:ascii="Arial Narrow" w:hAnsi="Arial Narrow"/>
                <w:sz w:val="20"/>
                <w:szCs w:val="20"/>
                <w:highlight w:val="black"/>
              </w:rPr>
            </w:pPr>
            <w:r>
              <w:rPr>
                <w:rFonts w:ascii="Arial Narrow" w:hAnsi="Arial Narrow" w:cs="Calibri"/>
                <w:noProof/>
                <w:color w:val="000000"/>
                <w:sz w:val="20"/>
                <w:szCs w:val="20"/>
                <w:highlight w:val="black"/>
              </w:rPr>
              <w:t>''''''''''</w:t>
            </w:r>
          </w:p>
        </w:tc>
      </w:tr>
      <w:tr w:rsidR="00C870B4" w:rsidRPr="00534C5B" w:rsidTr="00F15DAD">
        <w:trPr>
          <w:tblHeader/>
        </w:trPr>
        <w:tc>
          <w:tcPr>
            <w:tcW w:w="279" w:type="dxa"/>
            <w:tcMar>
              <w:left w:w="28" w:type="dxa"/>
              <w:right w:w="28" w:type="dxa"/>
            </w:tcMar>
            <w:vAlign w:val="center"/>
          </w:tcPr>
          <w:p w:rsidR="007229A1" w:rsidRPr="00534C5B" w:rsidRDefault="007229A1" w:rsidP="00C870B4">
            <w:pPr>
              <w:pStyle w:val="3Bodytext"/>
              <w:keepNext/>
              <w:keepLines/>
              <w:numPr>
                <w:ilvl w:val="0"/>
                <w:numId w:val="0"/>
              </w:numPr>
              <w:spacing w:after="0"/>
              <w:jc w:val="center"/>
              <w:rPr>
                <w:rFonts w:ascii="Arial Narrow" w:hAnsi="Arial Narrow"/>
                <w:sz w:val="20"/>
                <w:szCs w:val="20"/>
              </w:rPr>
            </w:pPr>
            <w:r w:rsidRPr="00534C5B">
              <w:rPr>
                <w:rFonts w:ascii="Arial Narrow" w:hAnsi="Arial Narrow"/>
                <w:sz w:val="20"/>
                <w:szCs w:val="20"/>
              </w:rPr>
              <w:t>D</w:t>
            </w:r>
          </w:p>
        </w:tc>
        <w:tc>
          <w:tcPr>
            <w:tcW w:w="2302" w:type="dxa"/>
            <w:tcMar>
              <w:left w:w="28" w:type="dxa"/>
              <w:right w:w="28" w:type="dxa"/>
            </w:tcMar>
          </w:tcPr>
          <w:p w:rsidR="007229A1" w:rsidRPr="00534C5B" w:rsidRDefault="007229A1" w:rsidP="007E0D23">
            <w:pPr>
              <w:pStyle w:val="3Bodytext"/>
              <w:keepNext/>
              <w:keepLines/>
              <w:numPr>
                <w:ilvl w:val="0"/>
                <w:numId w:val="0"/>
              </w:numPr>
              <w:spacing w:after="0"/>
              <w:jc w:val="left"/>
              <w:rPr>
                <w:rFonts w:ascii="Arial Narrow" w:hAnsi="Arial Narrow"/>
                <w:sz w:val="20"/>
                <w:szCs w:val="20"/>
              </w:rPr>
            </w:pPr>
            <w:r w:rsidRPr="00534C5B">
              <w:rPr>
                <w:rFonts w:ascii="Arial Narrow" w:hAnsi="Arial Narrow"/>
                <w:sz w:val="20"/>
                <w:szCs w:val="20"/>
              </w:rPr>
              <w:t xml:space="preserve">BRAF </w:t>
            </w:r>
            <w:r w:rsidR="00804378" w:rsidRPr="00534C5B">
              <w:rPr>
                <w:rFonts w:ascii="Arial Narrow" w:hAnsi="Arial Narrow"/>
                <w:sz w:val="20"/>
                <w:szCs w:val="20"/>
              </w:rPr>
              <w:t>MT</w:t>
            </w:r>
            <w:r w:rsidRPr="00534C5B">
              <w:rPr>
                <w:rFonts w:ascii="Arial Narrow" w:hAnsi="Arial Narrow"/>
                <w:sz w:val="20"/>
                <w:szCs w:val="20"/>
              </w:rPr>
              <w:t xml:space="preserve"> grandfather patients</w:t>
            </w:r>
          </w:p>
        </w:tc>
        <w:tc>
          <w:tcPr>
            <w:tcW w:w="1383" w:type="dxa"/>
            <w:tcMar>
              <w:left w:w="28" w:type="dxa"/>
              <w:right w:w="28" w:type="dxa"/>
            </w:tcMar>
            <w:vAlign w:val="center"/>
          </w:tcPr>
          <w:p w:rsidR="007229A1" w:rsidRPr="00534C5B" w:rsidRDefault="007229A1" w:rsidP="00C870B4">
            <w:pPr>
              <w:pStyle w:val="3Bodytext"/>
              <w:keepNext/>
              <w:keepLines/>
              <w:numPr>
                <w:ilvl w:val="0"/>
                <w:numId w:val="0"/>
              </w:numPr>
              <w:spacing w:after="0"/>
              <w:jc w:val="center"/>
              <w:rPr>
                <w:rFonts w:ascii="Arial Narrow" w:hAnsi="Arial Narrow"/>
                <w:sz w:val="20"/>
                <w:szCs w:val="20"/>
              </w:rPr>
            </w:pPr>
            <w:r w:rsidRPr="00534C5B">
              <w:rPr>
                <w:rFonts w:ascii="Arial Narrow" w:hAnsi="Arial Narrow"/>
                <w:sz w:val="20"/>
                <w:szCs w:val="20"/>
              </w:rPr>
              <w:t>-</w:t>
            </w:r>
          </w:p>
        </w:tc>
        <w:tc>
          <w:tcPr>
            <w:tcW w:w="851" w:type="dxa"/>
            <w:tcMar>
              <w:left w:w="28" w:type="dxa"/>
              <w:right w:w="28" w:type="dxa"/>
            </w:tcMar>
            <w:vAlign w:val="center"/>
          </w:tcPr>
          <w:p w:rsidR="007229A1" w:rsidRPr="00653477" w:rsidRDefault="00653477" w:rsidP="00C870B4">
            <w:pPr>
              <w:pStyle w:val="3Bodytext"/>
              <w:keepNext/>
              <w:keepLines/>
              <w:numPr>
                <w:ilvl w:val="0"/>
                <w:numId w:val="0"/>
              </w:numPr>
              <w:spacing w:after="0"/>
              <w:jc w:val="center"/>
              <w:rPr>
                <w:rFonts w:ascii="Arial Narrow" w:hAnsi="Arial Narrow" w:cs="Calibri"/>
                <w:color w:val="000000"/>
                <w:sz w:val="20"/>
                <w:szCs w:val="20"/>
                <w:highlight w:val="black"/>
              </w:rPr>
            </w:pPr>
            <w:r>
              <w:rPr>
                <w:rFonts w:ascii="Arial Narrow" w:hAnsi="Arial Narrow" w:cs="Calibri"/>
                <w:noProof/>
                <w:color w:val="000000"/>
                <w:sz w:val="20"/>
                <w:szCs w:val="20"/>
                <w:highlight w:val="black"/>
              </w:rPr>
              <w:t>''''''</w:t>
            </w:r>
          </w:p>
        </w:tc>
        <w:tc>
          <w:tcPr>
            <w:tcW w:w="850" w:type="dxa"/>
            <w:tcMar>
              <w:left w:w="28" w:type="dxa"/>
              <w:right w:w="28" w:type="dxa"/>
            </w:tcMar>
            <w:vAlign w:val="center"/>
          </w:tcPr>
          <w:p w:rsidR="007229A1" w:rsidRPr="00653477" w:rsidRDefault="00653477" w:rsidP="00C870B4">
            <w:pPr>
              <w:pStyle w:val="3Bodytext"/>
              <w:keepNext/>
              <w:keepLines/>
              <w:numPr>
                <w:ilvl w:val="0"/>
                <w:numId w:val="0"/>
              </w:numPr>
              <w:spacing w:after="0"/>
              <w:jc w:val="center"/>
              <w:rPr>
                <w:rFonts w:ascii="Arial Narrow" w:hAnsi="Arial Narrow" w:cs="Calibri"/>
                <w:color w:val="000000"/>
                <w:sz w:val="20"/>
                <w:szCs w:val="20"/>
                <w:highlight w:val="black"/>
              </w:rPr>
            </w:pPr>
            <w:r>
              <w:rPr>
                <w:rFonts w:ascii="Arial Narrow" w:hAnsi="Arial Narrow" w:cs="Calibri"/>
                <w:noProof/>
                <w:color w:val="000000"/>
                <w:sz w:val="20"/>
                <w:szCs w:val="20"/>
                <w:highlight w:val="black"/>
              </w:rPr>
              <w:t>''</w:t>
            </w:r>
          </w:p>
        </w:tc>
        <w:tc>
          <w:tcPr>
            <w:tcW w:w="851" w:type="dxa"/>
            <w:tcMar>
              <w:left w:w="28" w:type="dxa"/>
              <w:right w:w="28" w:type="dxa"/>
            </w:tcMar>
            <w:vAlign w:val="center"/>
          </w:tcPr>
          <w:p w:rsidR="007229A1" w:rsidRPr="00653477" w:rsidRDefault="00653477" w:rsidP="00C870B4">
            <w:pPr>
              <w:pStyle w:val="3Bodytext"/>
              <w:keepNext/>
              <w:keepLines/>
              <w:numPr>
                <w:ilvl w:val="0"/>
                <w:numId w:val="0"/>
              </w:numPr>
              <w:spacing w:after="0"/>
              <w:jc w:val="center"/>
              <w:rPr>
                <w:rFonts w:ascii="Arial Narrow" w:hAnsi="Arial Narrow" w:cs="Calibri"/>
                <w:color w:val="000000"/>
                <w:sz w:val="20"/>
                <w:szCs w:val="20"/>
                <w:highlight w:val="black"/>
              </w:rPr>
            </w:pPr>
            <w:r>
              <w:rPr>
                <w:rFonts w:ascii="Arial Narrow" w:hAnsi="Arial Narrow" w:cs="Calibri"/>
                <w:noProof/>
                <w:color w:val="000000"/>
                <w:sz w:val="20"/>
                <w:szCs w:val="20"/>
                <w:highlight w:val="black"/>
              </w:rPr>
              <w:t>''</w:t>
            </w:r>
          </w:p>
        </w:tc>
        <w:tc>
          <w:tcPr>
            <w:tcW w:w="850" w:type="dxa"/>
            <w:tcMar>
              <w:left w:w="28" w:type="dxa"/>
              <w:right w:w="28" w:type="dxa"/>
            </w:tcMar>
            <w:vAlign w:val="center"/>
          </w:tcPr>
          <w:p w:rsidR="007229A1" w:rsidRPr="00653477" w:rsidRDefault="00653477" w:rsidP="00C870B4">
            <w:pPr>
              <w:pStyle w:val="3Bodytext"/>
              <w:keepNext/>
              <w:keepLines/>
              <w:numPr>
                <w:ilvl w:val="0"/>
                <w:numId w:val="0"/>
              </w:numPr>
              <w:spacing w:after="0"/>
              <w:jc w:val="center"/>
              <w:rPr>
                <w:rFonts w:ascii="Arial Narrow" w:hAnsi="Arial Narrow" w:cs="Calibri"/>
                <w:color w:val="000000"/>
                <w:sz w:val="20"/>
                <w:szCs w:val="20"/>
                <w:highlight w:val="black"/>
              </w:rPr>
            </w:pPr>
            <w:r>
              <w:rPr>
                <w:rFonts w:ascii="Arial Narrow" w:hAnsi="Arial Narrow" w:cs="Calibri"/>
                <w:noProof/>
                <w:color w:val="000000"/>
                <w:sz w:val="20"/>
                <w:szCs w:val="20"/>
                <w:highlight w:val="black"/>
              </w:rPr>
              <w:t>''</w:t>
            </w:r>
          </w:p>
        </w:tc>
        <w:tc>
          <w:tcPr>
            <w:tcW w:w="851" w:type="dxa"/>
            <w:tcMar>
              <w:left w:w="28" w:type="dxa"/>
              <w:right w:w="28" w:type="dxa"/>
            </w:tcMar>
            <w:vAlign w:val="center"/>
          </w:tcPr>
          <w:p w:rsidR="007229A1" w:rsidRPr="00653477" w:rsidRDefault="00653477" w:rsidP="00C870B4">
            <w:pPr>
              <w:pStyle w:val="3Bodytext"/>
              <w:keepNext/>
              <w:keepLines/>
              <w:numPr>
                <w:ilvl w:val="0"/>
                <w:numId w:val="0"/>
              </w:numPr>
              <w:spacing w:after="0"/>
              <w:jc w:val="center"/>
              <w:rPr>
                <w:rFonts w:ascii="Arial Narrow" w:hAnsi="Arial Narrow" w:cs="Calibri"/>
                <w:color w:val="000000"/>
                <w:sz w:val="20"/>
                <w:szCs w:val="20"/>
                <w:highlight w:val="black"/>
              </w:rPr>
            </w:pPr>
            <w:r>
              <w:rPr>
                <w:rFonts w:ascii="Arial Narrow" w:hAnsi="Arial Narrow" w:cs="Calibri"/>
                <w:noProof/>
                <w:color w:val="000000"/>
                <w:sz w:val="20"/>
                <w:szCs w:val="20"/>
                <w:highlight w:val="black"/>
              </w:rPr>
              <w:t>''</w:t>
            </w:r>
          </w:p>
        </w:tc>
        <w:tc>
          <w:tcPr>
            <w:tcW w:w="799" w:type="dxa"/>
            <w:tcMar>
              <w:left w:w="28" w:type="dxa"/>
              <w:right w:w="28" w:type="dxa"/>
            </w:tcMar>
            <w:vAlign w:val="center"/>
          </w:tcPr>
          <w:p w:rsidR="007229A1" w:rsidRPr="00653477" w:rsidRDefault="00653477" w:rsidP="00C870B4">
            <w:pPr>
              <w:pStyle w:val="3Bodytext"/>
              <w:keepNext/>
              <w:keepLines/>
              <w:numPr>
                <w:ilvl w:val="0"/>
                <w:numId w:val="0"/>
              </w:numPr>
              <w:spacing w:after="0"/>
              <w:jc w:val="center"/>
              <w:rPr>
                <w:rFonts w:ascii="Arial Narrow" w:hAnsi="Arial Narrow" w:cs="Calibri"/>
                <w:color w:val="000000"/>
                <w:sz w:val="20"/>
                <w:szCs w:val="20"/>
                <w:highlight w:val="black"/>
              </w:rPr>
            </w:pPr>
            <w:r>
              <w:rPr>
                <w:rFonts w:ascii="Arial Narrow" w:hAnsi="Arial Narrow" w:cs="Calibri"/>
                <w:noProof/>
                <w:color w:val="000000"/>
                <w:sz w:val="20"/>
                <w:szCs w:val="20"/>
                <w:highlight w:val="black"/>
              </w:rPr>
              <w:t>''</w:t>
            </w:r>
          </w:p>
        </w:tc>
      </w:tr>
      <w:tr w:rsidR="00C870B4" w:rsidRPr="00534C5B" w:rsidTr="00F15DAD">
        <w:trPr>
          <w:tblHeader/>
        </w:trPr>
        <w:tc>
          <w:tcPr>
            <w:tcW w:w="279" w:type="dxa"/>
            <w:tcMar>
              <w:left w:w="28" w:type="dxa"/>
              <w:right w:w="28" w:type="dxa"/>
            </w:tcMar>
            <w:vAlign w:val="center"/>
          </w:tcPr>
          <w:p w:rsidR="007229A1" w:rsidRPr="00534C5B" w:rsidRDefault="00C870B4" w:rsidP="00C870B4">
            <w:pPr>
              <w:pStyle w:val="3Bodytext"/>
              <w:keepNext/>
              <w:keepLines/>
              <w:numPr>
                <w:ilvl w:val="0"/>
                <w:numId w:val="0"/>
              </w:numPr>
              <w:spacing w:after="0"/>
              <w:jc w:val="center"/>
              <w:rPr>
                <w:rFonts w:ascii="Arial Narrow" w:hAnsi="Arial Narrow"/>
                <w:sz w:val="20"/>
                <w:szCs w:val="20"/>
              </w:rPr>
            </w:pPr>
            <w:r w:rsidRPr="00534C5B">
              <w:rPr>
                <w:rFonts w:ascii="Arial Narrow" w:hAnsi="Arial Narrow"/>
                <w:sz w:val="20"/>
                <w:szCs w:val="20"/>
              </w:rPr>
              <w:t>E</w:t>
            </w:r>
          </w:p>
        </w:tc>
        <w:tc>
          <w:tcPr>
            <w:tcW w:w="2302" w:type="dxa"/>
            <w:tcMar>
              <w:left w:w="28" w:type="dxa"/>
              <w:right w:w="28" w:type="dxa"/>
            </w:tcMar>
          </w:tcPr>
          <w:p w:rsidR="007229A1" w:rsidRPr="00534C5B" w:rsidRDefault="007229A1" w:rsidP="00804378">
            <w:pPr>
              <w:pStyle w:val="3Bodytext"/>
              <w:keepNext/>
              <w:keepLines/>
              <w:numPr>
                <w:ilvl w:val="0"/>
                <w:numId w:val="0"/>
              </w:numPr>
              <w:spacing w:after="0"/>
              <w:jc w:val="left"/>
              <w:rPr>
                <w:rFonts w:ascii="Arial Narrow" w:hAnsi="Arial Narrow"/>
                <w:sz w:val="20"/>
                <w:szCs w:val="20"/>
              </w:rPr>
            </w:pPr>
            <w:r w:rsidRPr="00534C5B">
              <w:rPr>
                <w:rFonts w:ascii="Arial Narrow" w:hAnsi="Arial Narrow"/>
                <w:sz w:val="20"/>
                <w:szCs w:val="20"/>
              </w:rPr>
              <w:t xml:space="preserve">BRAF </w:t>
            </w:r>
            <w:r w:rsidR="00804378" w:rsidRPr="00534C5B">
              <w:rPr>
                <w:rFonts w:ascii="Arial Narrow" w:hAnsi="Arial Narrow"/>
                <w:sz w:val="20"/>
                <w:szCs w:val="20"/>
              </w:rPr>
              <w:t>WT</w:t>
            </w:r>
            <w:r w:rsidRPr="00534C5B">
              <w:rPr>
                <w:rFonts w:ascii="Arial Narrow" w:hAnsi="Arial Narrow"/>
                <w:sz w:val="20"/>
                <w:szCs w:val="20"/>
              </w:rPr>
              <w:t xml:space="preserve"> patients</w:t>
            </w:r>
          </w:p>
        </w:tc>
        <w:tc>
          <w:tcPr>
            <w:tcW w:w="1383" w:type="dxa"/>
            <w:tcMar>
              <w:left w:w="28" w:type="dxa"/>
              <w:right w:w="28" w:type="dxa"/>
            </w:tcMar>
            <w:vAlign w:val="center"/>
          </w:tcPr>
          <w:p w:rsidR="007229A1" w:rsidRPr="00534C5B" w:rsidRDefault="007229A1" w:rsidP="00C870B4">
            <w:pPr>
              <w:pStyle w:val="3Bodytext"/>
              <w:keepNext/>
              <w:keepLines/>
              <w:numPr>
                <w:ilvl w:val="0"/>
                <w:numId w:val="0"/>
              </w:numPr>
              <w:spacing w:after="0"/>
              <w:jc w:val="center"/>
              <w:rPr>
                <w:rFonts w:ascii="Arial Narrow" w:hAnsi="Arial Narrow"/>
                <w:sz w:val="20"/>
                <w:szCs w:val="20"/>
              </w:rPr>
            </w:pPr>
            <w:r w:rsidRPr="00534C5B">
              <w:rPr>
                <w:rFonts w:ascii="Arial Narrow" w:hAnsi="Arial Narrow"/>
                <w:sz w:val="20"/>
                <w:szCs w:val="20"/>
              </w:rPr>
              <w:t>A x (1 -</w:t>
            </w:r>
            <w:r w:rsidR="00D43370" w:rsidRPr="00534C5B">
              <w:rPr>
                <w:rFonts w:ascii="Arial Narrow" w:hAnsi="Arial Narrow"/>
                <w:sz w:val="20"/>
                <w:szCs w:val="20"/>
              </w:rPr>
              <w:t xml:space="preserve"> </w:t>
            </w:r>
            <w:r w:rsidRPr="00534C5B">
              <w:rPr>
                <w:rFonts w:ascii="Arial Narrow" w:hAnsi="Arial Narrow"/>
                <w:sz w:val="20"/>
                <w:szCs w:val="20"/>
              </w:rPr>
              <w:t>37.7%)</w:t>
            </w:r>
          </w:p>
        </w:tc>
        <w:tc>
          <w:tcPr>
            <w:tcW w:w="851" w:type="dxa"/>
            <w:tcMar>
              <w:left w:w="28" w:type="dxa"/>
              <w:right w:w="28" w:type="dxa"/>
            </w:tcMar>
            <w:vAlign w:val="center"/>
          </w:tcPr>
          <w:p w:rsidR="007229A1" w:rsidRPr="00653477" w:rsidRDefault="00653477" w:rsidP="00C870B4">
            <w:pPr>
              <w:pStyle w:val="3Bodytext"/>
              <w:keepNext/>
              <w:keepLines/>
              <w:numPr>
                <w:ilvl w:val="0"/>
                <w:numId w:val="0"/>
              </w:numPr>
              <w:spacing w:after="0"/>
              <w:jc w:val="center"/>
              <w:rPr>
                <w:rFonts w:ascii="Arial Narrow" w:hAnsi="Arial Narrow" w:cs="Calibri"/>
                <w:color w:val="000000"/>
                <w:sz w:val="20"/>
                <w:szCs w:val="20"/>
                <w:highlight w:val="black"/>
              </w:rPr>
            </w:pPr>
            <w:r>
              <w:rPr>
                <w:rFonts w:ascii="Arial Narrow" w:hAnsi="Arial Narrow" w:cs="Calibri"/>
                <w:noProof/>
                <w:color w:val="000000"/>
                <w:sz w:val="20"/>
                <w:szCs w:val="20"/>
                <w:highlight w:val="black"/>
              </w:rPr>
              <w:t>''''''''''</w:t>
            </w:r>
          </w:p>
        </w:tc>
        <w:tc>
          <w:tcPr>
            <w:tcW w:w="850" w:type="dxa"/>
            <w:tcMar>
              <w:left w:w="28" w:type="dxa"/>
              <w:right w:w="28" w:type="dxa"/>
            </w:tcMar>
            <w:vAlign w:val="center"/>
          </w:tcPr>
          <w:p w:rsidR="007229A1" w:rsidRPr="00653477" w:rsidRDefault="00653477" w:rsidP="00C870B4">
            <w:pPr>
              <w:pStyle w:val="3Bodytext"/>
              <w:keepNext/>
              <w:keepLines/>
              <w:numPr>
                <w:ilvl w:val="0"/>
                <w:numId w:val="0"/>
              </w:numPr>
              <w:spacing w:after="0"/>
              <w:jc w:val="center"/>
              <w:rPr>
                <w:rFonts w:ascii="Arial Narrow" w:hAnsi="Arial Narrow" w:cs="Calibri"/>
                <w:color w:val="000000"/>
                <w:sz w:val="20"/>
                <w:szCs w:val="20"/>
                <w:highlight w:val="black"/>
              </w:rPr>
            </w:pPr>
            <w:r>
              <w:rPr>
                <w:rFonts w:ascii="Arial Narrow" w:hAnsi="Arial Narrow" w:cs="Calibri"/>
                <w:noProof/>
                <w:color w:val="000000"/>
                <w:sz w:val="20"/>
                <w:szCs w:val="20"/>
                <w:highlight w:val="black"/>
              </w:rPr>
              <w:t>''''''''''''''</w:t>
            </w:r>
          </w:p>
        </w:tc>
        <w:tc>
          <w:tcPr>
            <w:tcW w:w="851" w:type="dxa"/>
            <w:tcMar>
              <w:left w:w="28" w:type="dxa"/>
              <w:right w:w="28" w:type="dxa"/>
            </w:tcMar>
            <w:vAlign w:val="center"/>
          </w:tcPr>
          <w:p w:rsidR="007229A1" w:rsidRPr="00653477" w:rsidRDefault="00653477" w:rsidP="00C870B4">
            <w:pPr>
              <w:pStyle w:val="3Bodytext"/>
              <w:keepNext/>
              <w:keepLines/>
              <w:numPr>
                <w:ilvl w:val="0"/>
                <w:numId w:val="0"/>
              </w:numPr>
              <w:spacing w:after="0"/>
              <w:jc w:val="center"/>
              <w:rPr>
                <w:rFonts w:ascii="Arial Narrow" w:hAnsi="Arial Narrow" w:cs="Calibri"/>
                <w:color w:val="000000"/>
                <w:sz w:val="20"/>
                <w:szCs w:val="20"/>
                <w:highlight w:val="black"/>
              </w:rPr>
            </w:pPr>
            <w:r>
              <w:rPr>
                <w:rFonts w:ascii="Arial Narrow" w:hAnsi="Arial Narrow" w:cs="Calibri"/>
                <w:noProof/>
                <w:color w:val="000000"/>
                <w:sz w:val="20"/>
                <w:szCs w:val="20"/>
                <w:highlight w:val="black"/>
              </w:rPr>
              <w:t>''''''''''''</w:t>
            </w:r>
          </w:p>
        </w:tc>
        <w:tc>
          <w:tcPr>
            <w:tcW w:w="850" w:type="dxa"/>
            <w:tcMar>
              <w:left w:w="28" w:type="dxa"/>
              <w:right w:w="28" w:type="dxa"/>
            </w:tcMar>
            <w:vAlign w:val="center"/>
          </w:tcPr>
          <w:p w:rsidR="007229A1" w:rsidRPr="00653477" w:rsidRDefault="00653477" w:rsidP="00C870B4">
            <w:pPr>
              <w:pStyle w:val="3Bodytext"/>
              <w:keepNext/>
              <w:keepLines/>
              <w:numPr>
                <w:ilvl w:val="0"/>
                <w:numId w:val="0"/>
              </w:numPr>
              <w:spacing w:after="0"/>
              <w:jc w:val="center"/>
              <w:rPr>
                <w:rFonts w:ascii="Arial Narrow" w:hAnsi="Arial Narrow" w:cs="Calibri"/>
                <w:color w:val="000000"/>
                <w:sz w:val="20"/>
                <w:szCs w:val="20"/>
                <w:highlight w:val="black"/>
              </w:rPr>
            </w:pPr>
            <w:r>
              <w:rPr>
                <w:rFonts w:ascii="Arial Narrow" w:hAnsi="Arial Narrow" w:cs="Calibri"/>
                <w:noProof/>
                <w:color w:val="000000"/>
                <w:sz w:val="20"/>
                <w:szCs w:val="20"/>
                <w:highlight w:val="black"/>
              </w:rPr>
              <w:t>''''''''''''</w:t>
            </w:r>
          </w:p>
        </w:tc>
        <w:tc>
          <w:tcPr>
            <w:tcW w:w="851" w:type="dxa"/>
            <w:tcMar>
              <w:left w:w="28" w:type="dxa"/>
              <w:right w:w="28" w:type="dxa"/>
            </w:tcMar>
            <w:vAlign w:val="center"/>
          </w:tcPr>
          <w:p w:rsidR="007229A1" w:rsidRPr="00653477" w:rsidRDefault="00653477" w:rsidP="00C870B4">
            <w:pPr>
              <w:pStyle w:val="3Bodytext"/>
              <w:keepNext/>
              <w:keepLines/>
              <w:numPr>
                <w:ilvl w:val="0"/>
                <w:numId w:val="0"/>
              </w:numPr>
              <w:spacing w:after="0"/>
              <w:jc w:val="center"/>
              <w:rPr>
                <w:rFonts w:ascii="Arial Narrow" w:hAnsi="Arial Narrow" w:cs="Calibri"/>
                <w:color w:val="000000"/>
                <w:sz w:val="20"/>
                <w:szCs w:val="20"/>
                <w:highlight w:val="black"/>
              </w:rPr>
            </w:pPr>
            <w:r>
              <w:rPr>
                <w:rFonts w:ascii="Arial Narrow" w:hAnsi="Arial Narrow" w:cs="Calibri"/>
                <w:noProof/>
                <w:color w:val="000000"/>
                <w:sz w:val="20"/>
                <w:szCs w:val="20"/>
                <w:highlight w:val="black"/>
              </w:rPr>
              <w:t>'''''''''''''</w:t>
            </w:r>
          </w:p>
        </w:tc>
        <w:tc>
          <w:tcPr>
            <w:tcW w:w="799" w:type="dxa"/>
            <w:tcMar>
              <w:left w:w="28" w:type="dxa"/>
              <w:right w:w="28" w:type="dxa"/>
            </w:tcMar>
            <w:vAlign w:val="center"/>
          </w:tcPr>
          <w:p w:rsidR="007229A1" w:rsidRPr="00653477" w:rsidRDefault="00653477" w:rsidP="00C870B4">
            <w:pPr>
              <w:pStyle w:val="3Bodytext"/>
              <w:keepNext/>
              <w:keepLines/>
              <w:numPr>
                <w:ilvl w:val="0"/>
                <w:numId w:val="0"/>
              </w:numPr>
              <w:spacing w:after="0"/>
              <w:jc w:val="center"/>
              <w:rPr>
                <w:rFonts w:ascii="Arial Narrow" w:hAnsi="Arial Narrow" w:cs="Calibri"/>
                <w:color w:val="000000"/>
                <w:sz w:val="20"/>
                <w:szCs w:val="20"/>
                <w:highlight w:val="black"/>
              </w:rPr>
            </w:pPr>
            <w:r>
              <w:rPr>
                <w:rFonts w:ascii="Arial Narrow" w:hAnsi="Arial Narrow" w:cs="Calibri"/>
                <w:noProof/>
                <w:color w:val="000000"/>
                <w:sz w:val="20"/>
                <w:szCs w:val="20"/>
                <w:highlight w:val="black"/>
              </w:rPr>
              <w:t>''''''''''''''</w:t>
            </w:r>
          </w:p>
        </w:tc>
      </w:tr>
      <w:tr w:rsidR="00C870B4" w:rsidRPr="00534C5B" w:rsidTr="00F15DAD">
        <w:trPr>
          <w:tblHeader/>
        </w:trPr>
        <w:tc>
          <w:tcPr>
            <w:tcW w:w="279" w:type="dxa"/>
            <w:tcMar>
              <w:left w:w="28" w:type="dxa"/>
              <w:right w:w="28" w:type="dxa"/>
            </w:tcMar>
            <w:vAlign w:val="center"/>
          </w:tcPr>
          <w:p w:rsidR="00C870B4" w:rsidRPr="00534C5B" w:rsidRDefault="00C870B4" w:rsidP="00C870B4">
            <w:pPr>
              <w:pStyle w:val="3Bodytext"/>
              <w:keepNext/>
              <w:keepLines/>
              <w:numPr>
                <w:ilvl w:val="0"/>
                <w:numId w:val="0"/>
              </w:numPr>
              <w:spacing w:after="0"/>
              <w:jc w:val="center"/>
              <w:rPr>
                <w:rFonts w:ascii="Arial Narrow" w:hAnsi="Arial Narrow"/>
                <w:sz w:val="20"/>
                <w:szCs w:val="20"/>
              </w:rPr>
            </w:pPr>
            <w:r w:rsidRPr="00534C5B">
              <w:rPr>
                <w:rFonts w:ascii="Arial Narrow" w:hAnsi="Arial Narrow"/>
                <w:sz w:val="20"/>
                <w:szCs w:val="20"/>
              </w:rPr>
              <w:t>F</w:t>
            </w:r>
          </w:p>
        </w:tc>
        <w:tc>
          <w:tcPr>
            <w:tcW w:w="2302" w:type="dxa"/>
            <w:tcMar>
              <w:left w:w="28" w:type="dxa"/>
              <w:right w:w="28" w:type="dxa"/>
            </w:tcMar>
          </w:tcPr>
          <w:p w:rsidR="00C870B4" w:rsidRPr="00534C5B" w:rsidRDefault="00C870B4" w:rsidP="007E0D23">
            <w:pPr>
              <w:pStyle w:val="3Bodytext"/>
              <w:keepNext/>
              <w:keepLines/>
              <w:numPr>
                <w:ilvl w:val="0"/>
                <w:numId w:val="0"/>
              </w:numPr>
              <w:spacing w:after="0"/>
              <w:jc w:val="left"/>
              <w:rPr>
                <w:rFonts w:ascii="Arial Narrow" w:hAnsi="Arial Narrow"/>
                <w:sz w:val="20"/>
                <w:szCs w:val="20"/>
              </w:rPr>
            </w:pPr>
            <w:r w:rsidRPr="00534C5B">
              <w:rPr>
                <w:rFonts w:ascii="Arial Narrow" w:hAnsi="Arial Narrow"/>
                <w:sz w:val="20"/>
                <w:szCs w:val="20"/>
              </w:rPr>
              <w:t xml:space="preserve">BRAF </w:t>
            </w:r>
            <w:r w:rsidR="00804378" w:rsidRPr="00534C5B">
              <w:rPr>
                <w:rFonts w:ascii="Arial Narrow" w:hAnsi="Arial Narrow"/>
                <w:sz w:val="20"/>
                <w:szCs w:val="20"/>
              </w:rPr>
              <w:t>WT</w:t>
            </w:r>
            <w:r w:rsidRPr="00534C5B">
              <w:rPr>
                <w:rFonts w:ascii="Arial Narrow" w:hAnsi="Arial Narrow"/>
                <w:sz w:val="20"/>
                <w:szCs w:val="20"/>
              </w:rPr>
              <w:t xml:space="preserve"> grandfather patients</w:t>
            </w:r>
          </w:p>
        </w:tc>
        <w:tc>
          <w:tcPr>
            <w:tcW w:w="1383" w:type="dxa"/>
            <w:tcMar>
              <w:left w:w="28" w:type="dxa"/>
              <w:right w:w="28" w:type="dxa"/>
            </w:tcMar>
            <w:vAlign w:val="center"/>
          </w:tcPr>
          <w:p w:rsidR="00C870B4" w:rsidRPr="00534C5B" w:rsidRDefault="00C870B4" w:rsidP="00C870B4">
            <w:pPr>
              <w:pStyle w:val="3Bodytext"/>
              <w:keepNext/>
              <w:keepLines/>
              <w:numPr>
                <w:ilvl w:val="0"/>
                <w:numId w:val="0"/>
              </w:numPr>
              <w:spacing w:after="0"/>
              <w:jc w:val="center"/>
              <w:rPr>
                <w:rFonts w:ascii="Arial Narrow" w:hAnsi="Arial Narrow"/>
                <w:sz w:val="20"/>
                <w:szCs w:val="20"/>
              </w:rPr>
            </w:pPr>
            <w:r w:rsidRPr="00534C5B">
              <w:rPr>
                <w:rFonts w:ascii="Arial Narrow" w:hAnsi="Arial Narrow"/>
                <w:sz w:val="20"/>
                <w:szCs w:val="20"/>
              </w:rPr>
              <w:t>-</w:t>
            </w:r>
          </w:p>
        </w:tc>
        <w:tc>
          <w:tcPr>
            <w:tcW w:w="851" w:type="dxa"/>
            <w:tcMar>
              <w:left w:w="28" w:type="dxa"/>
              <w:right w:w="28" w:type="dxa"/>
            </w:tcMar>
            <w:vAlign w:val="center"/>
          </w:tcPr>
          <w:p w:rsidR="00C870B4" w:rsidRPr="00653477" w:rsidRDefault="00653477" w:rsidP="00C870B4">
            <w:pPr>
              <w:pStyle w:val="3Bodytext"/>
              <w:keepNext/>
              <w:keepLines/>
              <w:numPr>
                <w:ilvl w:val="0"/>
                <w:numId w:val="0"/>
              </w:numPr>
              <w:spacing w:after="0"/>
              <w:jc w:val="center"/>
              <w:rPr>
                <w:rFonts w:ascii="Arial Narrow" w:hAnsi="Arial Narrow" w:cs="Calibri"/>
                <w:color w:val="000000"/>
                <w:sz w:val="20"/>
                <w:szCs w:val="20"/>
                <w:highlight w:val="black"/>
              </w:rPr>
            </w:pPr>
            <w:r>
              <w:rPr>
                <w:rFonts w:ascii="Arial Narrow" w:hAnsi="Arial Narrow" w:cs="Calibri"/>
                <w:noProof/>
                <w:color w:val="000000"/>
                <w:sz w:val="20"/>
                <w:szCs w:val="20"/>
                <w:highlight w:val="black"/>
              </w:rPr>
              <w:t>'''''''''</w:t>
            </w:r>
          </w:p>
        </w:tc>
        <w:tc>
          <w:tcPr>
            <w:tcW w:w="850" w:type="dxa"/>
            <w:tcMar>
              <w:left w:w="28" w:type="dxa"/>
              <w:right w:w="28" w:type="dxa"/>
            </w:tcMar>
            <w:vAlign w:val="center"/>
          </w:tcPr>
          <w:p w:rsidR="00C870B4" w:rsidRPr="00653477" w:rsidRDefault="00653477" w:rsidP="00C870B4">
            <w:pPr>
              <w:pStyle w:val="3Bodytext"/>
              <w:keepNext/>
              <w:keepLines/>
              <w:numPr>
                <w:ilvl w:val="0"/>
                <w:numId w:val="0"/>
              </w:numPr>
              <w:spacing w:after="0"/>
              <w:jc w:val="center"/>
              <w:rPr>
                <w:rFonts w:ascii="Arial Narrow" w:hAnsi="Arial Narrow" w:cs="Calibri"/>
                <w:color w:val="000000"/>
                <w:sz w:val="20"/>
                <w:szCs w:val="20"/>
                <w:highlight w:val="black"/>
              </w:rPr>
            </w:pPr>
            <w:r>
              <w:rPr>
                <w:rFonts w:ascii="Arial Narrow" w:hAnsi="Arial Narrow" w:cs="Calibri"/>
                <w:noProof/>
                <w:color w:val="000000"/>
                <w:sz w:val="20"/>
                <w:szCs w:val="20"/>
                <w:highlight w:val="black"/>
              </w:rPr>
              <w:t>'''</w:t>
            </w:r>
          </w:p>
        </w:tc>
        <w:tc>
          <w:tcPr>
            <w:tcW w:w="851" w:type="dxa"/>
            <w:tcMar>
              <w:left w:w="28" w:type="dxa"/>
              <w:right w:w="28" w:type="dxa"/>
            </w:tcMar>
            <w:vAlign w:val="center"/>
          </w:tcPr>
          <w:p w:rsidR="00C870B4" w:rsidRPr="00653477" w:rsidRDefault="00653477" w:rsidP="00C870B4">
            <w:pPr>
              <w:pStyle w:val="3Bodytext"/>
              <w:keepNext/>
              <w:keepLines/>
              <w:numPr>
                <w:ilvl w:val="0"/>
                <w:numId w:val="0"/>
              </w:numPr>
              <w:spacing w:after="0"/>
              <w:jc w:val="center"/>
              <w:rPr>
                <w:rFonts w:ascii="Arial Narrow" w:hAnsi="Arial Narrow" w:cs="Calibri"/>
                <w:color w:val="000000"/>
                <w:sz w:val="20"/>
                <w:szCs w:val="20"/>
                <w:highlight w:val="black"/>
              </w:rPr>
            </w:pPr>
            <w:r>
              <w:rPr>
                <w:rFonts w:ascii="Arial Narrow" w:hAnsi="Arial Narrow" w:cs="Calibri"/>
                <w:noProof/>
                <w:color w:val="000000"/>
                <w:sz w:val="20"/>
                <w:szCs w:val="20"/>
                <w:highlight w:val="black"/>
              </w:rPr>
              <w:t>'''</w:t>
            </w:r>
          </w:p>
        </w:tc>
        <w:tc>
          <w:tcPr>
            <w:tcW w:w="850" w:type="dxa"/>
            <w:tcMar>
              <w:left w:w="28" w:type="dxa"/>
              <w:right w:w="28" w:type="dxa"/>
            </w:tcMar>
            <w:vAlign w:val="center"/>
          </w:tcPr>
          <w:p w:rsidR="00C870B4" w:rsidRPr="00653477" w:rsidRDefault="00653477" w:rsidP="00C870B4">
            <w:pPr>
              <w:pStyle w:val="3Bodytext"/>
              <w:keepNext/>
              <w:keepLines/>
              <w:numPr>
                <w:ilvl w:val="0"/>
                <w:numId w:val="0"/>
              </w:numPr>
              <w:spacing w:after="0"/>
              <w:jc w:val="center"/>
              <w:rPr>
                <w:rFonts w:ascii="Arial Narrow" w:hAnsi="Arial Narrow" w:cs="Calibri"/>
                <w:color w:val="000000"/>
                <w:sz w:val="20"/>
                <w:szCs w:val="20"/>
                <w:highlight w:val="black"/>
              </w:rPr>
            </w:pPr>
            <w:r>
              <w:rPr>
                <w:rFonts w:ascii="Arial Narrow" w:hAnsi="Arial Narrow" w:cs="Calibri"/>
                <w:noProof/>
                <w:color w:val="000000"/>
                <w:sz w:val="20"/>
                <w:szCs w:val="20"/>
                <w:highlight w:val="black"/>
              </w:rPr>
              <w:t>'''</w:t>
            </w:r>
          </w:p>
        </w:tc>
        <w:tc>
          <w:tcPr>
            <w:tcW w:w="851" w:type="dxa"/>
            <w:tcMar>
              <w:left w:w="28" w:type="dxa"/>
              <w:right w:w="28" w:type="dxa"/>
            </w:tcMar>
            <w:vAlign w:val="center"/>
          </w:tcPr>
          <w:p w:rsidR="00C870B4" w:rsidRPr="00653477" w:rsidRDefault="00653477" w:rsidP="00C870B4">
            <w:pPr>
              <w:pStyle w:val="3Bodytext"/>
              <w:keepNext/>
              <w:keepLines/>
              <w:numPr>
                <w:ilvl w:val="0"/>
                <w:numId w:val="0"/>
              </w:numPr>
              <w:spacing w:after="0"/>
              <w:jc w:val="center"/>
              <w:rPr>
                <w:rFonts w:ascii="Arial Narrow" w:hAnsi="Arial Narrow" w:cs="Calibri"/>
                <w:color w:val="000000"/>
                <w:sz w:val="20"/>
                <w:szCs w:val="20"/>
                <w:highlight w:val="black"/>
              </w:rPr>
            </w:pPr>
            <w:r>
              <w:rPr>
                <w:rFonts w:ascii="Arial Narrow" w:hAnsi="Arial Narrow" w:cs="Calibri"/>
                <w:noProof/>
                <w:color w:val="000000"/>
                <w:sz w:val="20"/>
                <w:szCs w:val="20"/>
                <w:highlight w:val="black"/>
              </w:rPr>
              <w:t>''</w:t>
            </w:r>
          </w:p>
        </w:tc>
        <w:tc>
          <w:tcPr>
            <w:tcW w:w="799" w:type="dxa"/>
            <w:tcMar>
              <w:left w:w="28" w:type="dxa"/>
              <w:right w:w="28" w:type="dxa"/>
            </w:tcMar>
            <w:vAlign w:val="center"/>
          </w:tcPr>
          <w:p w:rsidR="00C870B4" w:rsidRPr="00653477" w:rsidRDefault="00653477" w:rsidP="00C870B4">
            <w:pPr>
              <w:pStyle w:val="3Bodytext"/>
              <w:keepNext/>
              <w:keepLines/>
              <w:numPr>
                <w:ilvl w:val="0"/>
                <w:numId w:val="0"/>
              </w:numPr>
              <w:spacing w:after="0"/>
              <w:jc w:val="center"/>
              <w:rPr>
                <w:rFonts w:ascii="Arial Narrow" w:hAnsi="Arial Narrow" w:cs="Calibri"/>
                <w:color w:val="000000"/>
                <w:sz w:val="20"/>
                <w:szCs w:val="20"/>
                <w:highlight w:val="black"/>
              </w:rPr>
            </w:pPr>
            <w:r>
              <w:rPr>
                <w:rFonts w:ascii="Arial Narrow" w:hAnsi="Arial Narrow" w:cs="Calibri"/>
                <w:noProof/>
                <w:color w:val="000000"/>
                <w:sz w:val="20"/>
                <w:szCs w:val="20"/>
                <w:highlight w:val="black"/>
              </w:rPr>
              <w:t>'''</w:t>
            </w:r>
          </w:p>
        </w:tc>
      </w:tr>
      <w:tr w:rsidR="00C870B4" w:rsidRPr="00534C5B" w:rsidTr="00F15DAD">
        <w:trPr>
          <w:tblHeader/>
        </w:trPr>
        <w:tc>
          <w:tcPr>
            <w:tcW w:w="279" w:type="dxa"/>
            <w:tcMar>
              <w:left w:w="28" w:type="dxa"/>
              <w:right w:w="28" w:type="dxa"/>
            </w:tcMar>
            <w:vAlign w:val="center"/>
          </w:tcPr>
          <w:p w:rsidR="00C870B4" w:rsidRPr="00534C5B" w:rsidRDefault="00C870B4" w:rsidP="00C870B4">
            <w:pPr>
              <w:pStyle w:val="3Bodytext"/>
              <w:keepNext/>
              <w:keepLines/>
              <w:numPr>
                <w:ilvl w:val="0"/>
                <w:numId w:val="0"/>
              </w:numPr>
              <w:spacing w:after="0"/>
              <w:jc w:val="center"/>
              <w:rPr>
                <w:rFonts w:ascii="Arial Narrow" w:hAnsi="Arial Narrow"/>
                <w:sz w:val="20"/>
                <w:szCs w:val="20"/>
              </w:rPr>
            </w:pPr>
            <w:r w:rsidRPr="00534C5B">
              <w:rPr>
                <w:rFonts w:ascii="Arial Narrow" w:hAnsi="Arial Narrow"/>
                <w:sz w:val="20"/>
                <w:szCs w:val="20"/>
              </w:rPr>
              <w:t>G</w:t>
            </w:r>
          </w:p>
        </w:tc>
        <w:tc>
          <w:tcPr>
            <w:tcW w:w="2302" w:type="dxa"/>
            <w:tcMar>
              <w:left w:w="28" w:type="dxa"/>
              <w:right w:w="28" w:type="dxa"/>
            </w:tcMar>
          </w:tcPr>
          <w:p w:rsidR="00C870B4" w:rsidRPr="00534C5B" w:rsidRDefault="00C870B4" w:rsidP="00C870B4">
            <w:pPr>
              <w:pStyle w:val="3Bodytext"/>
              <w:keepNext/>
              <w:keepLines/>
              <w:numPr>
                <w:ilvl w:val="0"/>
                <w:numId w:val="0"/>
              </w:numPr>
              <w:spacing w:after="0"/>
              <w:jc w:val="left"/>
              <w:rPr>
                <w:rFonts w:ascii="Arial Narrow" w:hAnsi="Arial Narrow"/>
                <w:sz w:val="20"/>
                <w:szCs w:val="20"/>
              </w:rPr>
            </w:pPr>
            <w:r w:rsidRPr="00534C5B">
              <w:rPr>
                <w:rFonts w:ascii="Arial Narrow" w:hAnsi="Arial Narrow"/>
                <w:sz w:val="20"/>
                <w:szCs w:val="20"/>
              </w:rPr>
              <w:t>Total receiving PD-1</w:t>
            </w:r>
          </w:p>
        </w:tc>
        <w:tc>
          <w:tcPr>
            <w:tcW w:w="1383" w:type="dxa"/>
            <w:tcMar>
              <w:left w:w="28" w:type="dxa"/>
              <w:right w:w="28" w:type="dxa"/>
            </w:tcMar>
            <w:vAlign w:val="center"/>
          </w:tcPr>
          <w:p w:rsidR="00C870B4" w:rsidRPr="00534C5B" w:rsidRDefault="00C870B4" w:rsidP="00C870B4">
            <w:pPr>
              <w:pStyle w:val="3Bodytext"/>
              <w:keepNext/>
              <w:keepLines/>
              <w:numPr>
                <w:ilvl w:val="0"/>
                <w:numId w:val="0"/>
              </w:numPr>
              <w:spacing w:after="0"/>
              <w:jc w:val="center"/>
              <w:rPr>
                <w:rFonts w:ascii="Arial Narrow" w:hAnsi="Arial Narrow"/>
                <w:sz w:val="20"/>
                <w:szCs w:val="20"/>
              </w:rPr>
            </w:pPr>
            <w:r w:rsidRPr="00534C5B">
              <w:rPr>
                <w:rFonts w:ascii="Arial Narrow" w:hAnsi="Arial Narrow"/>
                <w:sz w:val="20"/>
                <w:szCs w:val="20"/>
              </w:rPr>
              <w:t>C</w:t>
            </w:r>
            <w:r w:rsidR="00D43370" w:rsidRPr="00534C5B">
              <w:rPr>
                <w:rFonts w:ascii="Arial Narrow" w:hAnsi="Arial Narrow"/>
                <w:sz w:val="20"/>
                <w:szCs w:val="20"/>
              </w:rPr>
              <w:t xml:space="preserve"> </w:t>
            </w:r>
            <w:r w:rsidRPr="00534C5B">
              <w:rPr>
                <w:rFonts w:ascii="Arial Narrow" w:hAnsi="Arial Narrow"/>
                <w:sz w:val="20"/>
                <w:szCs w:val="20"/>
              </w:rPr>
              <w:t>+</w:t>
            </w:r>
            <w:r w:rsidR="00D43370" w:rsidRPr="00534C5B">
              <w:rPr>
                <w:rFonts w:ascii="Arial Narrow" w:hAnsi="Arial Narrow"/>
                <w:sz w:val="20"/>
                <w:szCs w:val="20"/>
              </w:rPr>
              <w:t xml:space="preserve"> </w:t>
            </w:r>
            <w:r w:rsidRPr="00534C5B">
              <w:rPr>
                <w:rFonts w:ascii="Arial Narrow" w:hAnsi="Arial Narrow"/>
                <w:sz w:val="20"/>
                <w:szCs w:val="20"/>
              </w:rPr>
              <w:t>D</w:t>
            </w:r>
            <w:r w:rsidR="00D43370" w:rsidRPr="00534C5B">
              <w:rPr>
                <w:rFonts w:ascii="Arial Narrow" w:hAnsi="Arial Narrow"/>
                <w:sz w:val="20"/>
                <w:szCs w:val="20"/>
              </w:rPr>
              <w:t xml:space="preserve"> </w:t>
            </w:r>
            <w:r w:rsidRPr="00534C5B">
              <w:rPr>
                <w:rFonts w:ascii="Arial Narrow" w:hAnsi="Arial Narrow"/>
                <w:sz w:val="20"/>
                <w:szCs w:val="20"/>
              </w:rPr>
              <w:t>+</w:t>
            </w:r>
            <w:r w:rsidR="00D43370" w:rsidRPr="00534C5B">
              <w:rPr>
                <w:rFonts w:ascii="Arial Narrow" w:hAnsi="Arial Narrow"/>
                <w:sz w:val="20"/>
                <w:szCs w:val="20"/>
              </w:rPr>
              <w:t xml:space="preserve"> </w:t>
            </w:r>
            <w:r w:rsidRPr="00534C5B">
              <w:rPr>
                <w:rFonts w:ascii="Arial Narrow" w:hAnsi="Arial Narrow"/>
                <w:sz w:val="20"/>
                <w:szCs w:val="20"/>
              </w:rPr>
              <w:t>E</w:t>
            </w:r>
            <w:r w:rsidR="00D43370" w:rsidRPr="00534C5B">
              <w:rPr>
                <w:rFonts w:ascii="Arial Narrow" w:hAnsi="Arial Narrow"/>
                <w:sz w:val="20"/>
                <w:szCs w:val="20"/>
              </w:rPr>
              <w:t xml:space="preserve"> </w:t>
            </w:r>
            <w:r w:rsidRPr="00534C5B">
              <w:rPr>
                <w:rFonts w:ascii="Arial Narrow" w:hAnsi="Arial Narrow"/>
                <w:sz w:val="20"/>
                <w:szCs w:val="20"/>
              </w:rPr>
              <w:t>+</w:t>
            </w:r>
            <w:r w:rsidR="00D43370" w:rsidRPr="00534C5B">
              <w:rPr>
                <w:rFonts w:ascii="Arial Narrow" w:hAnsi="Arial Narrow"/>
                <w:sz w:val="20"/>
                <w:szCs w:val="20"/>
              </w:rPr>
              <w:t xml:space="preserve"> </w:t>
            </w:r>
            <w:r w:rsidRPr="00534C5B">
              <w:rPr>
                <w:rFonts w:ascii="Arial Narrow" w:hAnsi="Arial Narrow"/>
                <w:sz w:val="20"/>
                <w:szCs w:val="20"/>
              </w:rPr>
              <w:t>F</w:t>
            </w:r>
          </w:p>
        </w:tc>
        <w:tc>
          <w:tcPr>
            <w:tcW w:w="851" w:type="dxa"/>
            <w:tcMar>
              <w:left w:w="28" w:type="dxa"/>
              <w:right w:w="28" w:type="dxa"/>
            </w:tcMar>
            <w:vAlign w:val="center"/>
          </w:tcPr>
          <w:p w:rsidR="00C870B4" w:rsidRPr="00653477" w:rsidRDefault="00653477" w:rsidP="00C870B4">
            <w:pPr>
              <w:pStyle w:val="3Bodytext"/>
              <w:keepNext/>
              <w:keepLines/>
              <w:numPr>
                <w:ilvl w:val="0"/>
                <w:numId w:val="0"/>
              </w:numPr>
              <w:spacing w:after="0"/>
              <w:jc w:val="center"/>
              <w:rPr>
                <w:rFonts w:ascii="Arial Narrow" w:hAnsi="Arial Narrow" w:cs="Calibri"/>
                <w:color w:val="000000"/>
                <w:sz w:val="20"/>
                <w:szCs w:val="20"/>
                <w:highlight w:val="black"/>
              </w:rPr>
            </w:pPr>
            <w:r>
              <w:rPr>
                <w:rFonts w:ascii="Arial Narrow" w:hAnsi="Arial Narrow" w:cs="Calibri"/>
                <w:bCs/>
                <w:noProof/>
                <w:color w:val="000000"/>
                <w:sz w:val="20"/>
                <w:szCs w:val="20"/>
                <w:highlight w:val="black"/>
              </w:rPr>
              <w:t>'''''''''''''</w:t>
            </w:r>
          </w:p>
        </w:tc>
        <w:tc>
          <w:tcPr>
            <w:tcW w:w="850" w:type="dxa"/>
            <w:tcMar>
              <w:left w:w="28" w:type="dxa"/>
              <w:right w:w="28" w:type="dxa"/>
            </w:tcMar>
            <w:vAlign w:val="center"/>
          </w:tcPr>
          <w:p w:rsidR="00C870B4" w:rsidRPr="00653477" w:rsidRDefault="00653477" w:rsidP="00C870B4">
            <w:pPr>
              <w:pStyle w:val="3Bodytext"/>
              <w:keepNext/>
              <w:keepLines/>
              <w:numPr>
                <w:ilvl w:val="0"/>
                <w:numId w:val="0"/>
              </w:numPr>
              <w:spacing w:after="0"/>
              <w:jc w:val="center"/>
              <w:rPr>
                <w:rFonts w:ascii="Arial Narrow" w:hAnsi="Arial Narrow" w:cs="Calibri"/>
                <w:color w:val="000000"/>
                <w:sz w:val="20"/>
                <w:szCs w:val="20"/>
                <w:highlight w:val="black"/>
              </w:rPr>
            </w:pPr>
            <w:r>
              <w:rPr>
                <w:rFonts w:ascii="Arial Narrow" w:hAnsi="Arial Narrow" w:cs="Calibri"/>
                <w:bCs/>
                <w:noProof/>
                <w:color w:val="000000"/>
                <w:sz w:val="20"/>
                <w:szCs w:val="20"/>
                <w:highlight w:val="black"/>
              </w:rPr>
              <w:t>'''''''''''''</w:t>
            </w:r>
          </w:p>
        </w:tc>
        <w:tc>
          <w:tcPr>
            <w:tcW w:w="851" w:type="dxa"/>
            <w:tcMar>
              <w:left w:w="28" w:type="dxa"/>
              <w:right w:w="28" w:type="dxa"/>
            </w:tcMar>
            <w:vAlign w:val="center"/>
          </w:tcPr>
          <w:p w:rsidR="00C870B4" w:rsidRPr="00653477" w:rsidRDefault="00653477" w:rsidP="00C870B4">
            <w:pPr>
              <w:pStyle w:val="3Bodytext"/>
              <w:keepNext/>
              <w:keepLines/>
              <w:numPr>
                <w:ilvl w:val="0"/>
                <w:numId w:val="0"/>
              </w:numPr>
              <w:spacing w:after="0"/>
              <w:jc w:val="center"/>
              <w:rPr>
                <w:rFonts w:ascii="Arial Narrow" w:hAnsi="Arial Narrow" w:cs="Calibri"/>
                <w:color w:val="000000"/>
                <w:sz w:val="20"/>
                <w:szCs w:val="20"/>
                <w:highlight w:val="black"/>
              </w:rPr>
            </w:pPr>
            <w:r>
              <w:rPr>
                <w:rFonts w:ascii="Arial Narrow" w:hAnsi="Arial Narrow" w:cs="Calibri"/>
                <w:bCs/>
                <w:noProof/>
                <w:color w:val="000000"/>
                <w:sz w:val="20"/>
                <w:szCs w:val="20"/>
                <w:highlight w:val="black"/>
              </w:rPr>
              <w:t>''''''''''''''</w:t>
            </w:r>
          </w:p>
        </w:tc>
        <w:tc>
          <w:tcPr>
            <w:tcW w:w="850" w:type="dxa"/>
            <w:tcMar>
              <w:left w:w="28" w:type="dxa"/>
              <w:right w:w="28" w:type="dxa"/>
            </w:tcMar>
            <w:vAlign w:val="center"/>
          </w:tcPr>
          <w:p w:rsidR="00C870B4" w:rsidRPr="00653477" w:rsidRDefault="00653477" w:rsidP="00C870B4">
            <w:pPr>
              <w:pStyle w:val="3Bodytext"/>
              <w:keepNext/>
              <w:keepLines/>
              <w:numPr>
                <w:ilvl w:val="0"/>
                <w:numId w:val="0"/>
              </w:numPr>
              <w:spacing w:after="0"/>
              <w:jc w:val="center"/>
              <w:rPr>
                <w:rFonts w:ascii="Arial Narrow" w:hAnsi="Arial Narrow" w:cs="Calibri"/>
                <w:color w:val="000000"/>
                <w:sz w:val="20"/>
                <w:szCs w:val="20"/>
                <w:highlight w:val="black"/>
              </w:rPr>
            </w:pPr>
            <w:r>
              <w:rPr>
                <w:rFonts w:ascii="Arial Narrow" w:hAnsi="Arial Narrow" w:cs="Calibri"/>
                <w:bCs/>
                <w:noProof/>
                <w:color w:val="000000"/>
                <w:sz w:val="20"/>
                <w:szCs w:val="20"/>
                <w:highlight w:val="black"/>
              </w:rPr>
              <w:t>'''''''''''''</w:t>
            </w:r>
          </w:p>
        </w:tc>
        <w:tc>
          <w:tcPr>
            <w:tcW w:w="851" w:type="dxa"/>
            <w:tcMar>
              <w:left w:w="28" w:type="dxa"/>
              <w:right w:w="28" w:type="dxa"/>
            </w:tcMar>
            <w:vAlign w:val="center"/>
          </w:tcPr>
          <w:p w:rsidR="00C870B4" w:rsidRPr="00653477" w:rsidRDefault="00653477" w:rsidP="00C870B4">
            <w:pPr>
              <w:pStyle w:val="3Bodytext"/>
              <w:keepNext/>
              <w:keepLines/>
              <w:numPr>
                <w:ilvl w:val="0"/>
                <w:numId w:val="0"/>
              </w:numPr>
              <w:spacing w:after="0"/>
              <w:jc w:val="center"/>
              <w:rPr>
                <w:rFonts w:ascii="Arial Narrow" w:hAnsi="Arial Narrow" w:cs="Calibri"/>
                <w:color w:val="000000"/>
                <w:sz w:val="20"/>
                <w:szCs w:val="20"/>
                <w:highlight w:val="black"/>
              </w:rPr>
            </w:pPr>
            <w:r>
              <w:rPr>
                <w:rFonts w:ascii="Arial Narrow" w:hAnsi="Arial Narrow" w:cs="Calibri"/>
                <w:bCs/>
                <w:noProof/>
                <w:color w:val="000000"/>
                <w:sz w:val="20"/>
                <w:szCs w:val="20"/>
                <w:highlight w:val="black"/>
              </w:rPr>
              <w:t>''''''''''''''</w:t>
            </w:r>
          </w:p>
        </w:tc>
        <w:tc>
          <w:tcPr>
            <w:tcW w:w="799" w:type="dxa"/>
            <w:tcMar>
              <w:left w:w="28" w:type="dxa"/>
              <w:right w:w="28" w:type="dxa"/>
            </w:tcMar>
            <w:vAlign w:val="center"/>
          </w:tcPr>
          <w:p w:rsidR="00C870B4" w:rsidRPr="00653477" w:rsidRDefault="00653477" w:rsidP="00C870B4">
            <w:pPr>
              <w:pStyle w:val="3Bodytext"/>
              <w:keepNext/>
              <w:keepLines/>
              <w:numPr>
                <w:ilvl w:val="0"/>
                <w:numId w:val="0"/>
              </w:numPr>
              <w:spacing w:after="0"/>
              <w:jc w:val="center"/>
              <w:rPr>
                <w:rFonts w:ascii="Arial Narrow" w:hAnsi="Arial Narrow" w:cs="Calibri"/>
                <w:color w:val="000000"/>
                <w:sz w:val="20"/>
                <w:szCs w:val="20"/>
                <w:highlight w:val="black"/>
              </w:rPr>
            </w:pPr>
            <w:r>
              <w:rPr>
                <w:rFonts w:ascii="Arial Narrow" w:hAnsi="Arial Narrow" w:cs="Calibri"/>
                <w:bCs/>
                <w:noProof/>
                <w:color w:val="000000"/>
                <w:sz w:val="20"/>
                <w:szCs w:val="20"/>
                <w:highlight w:val="black"/>
              </w:rPr>
              <w:t>'''''''''''''</w:t>
            </w:r>
          </w:p>
        </w:tc>
      </w:tr>
      <w:tr w:rsidR="00D43370" w:rsidRPr="00534C5B" w:rsidTr="00F15DAD">
        <w:trPr>
          <w:tblHeader/>
        </w:trPr>
        <w:tc>
          <w:tcPr>
            <w:tcW w:w="9016" w:type="dxa"/>
            <w:gridSpan w:val="9"/>
            <w:tcMar>
              <w:left w:w="28" w:type="dxa"/>
              <w:right w:w="28" w:type="dxa"/>
            </w:tcMar>
            <w:vAlign w:val="center"/>
          </w:tcPr>
          <w:p w:rsidR="00D43370" w:rsidRPr="00534C5B" w:rsidRDefault="00D43370" w:rsidP="00D43370">
            <w:pPr>
              <w:pStyle w:val="3Bodytext"/>
              <w:keepNext/>
              <w:keepLines/>
              <w:numPr>
                <w:ilvl w:val="0"/>
                <w:numId w:val="0"/>
              </w:numPr>
              <w:spacing w:after="0"/>
              <w:jc w:val="left"/>
              <w:rPr>
                <w:rFonts w:ascii="Arial Narrow" w:hAnsi="Arial Narrow" w:cs="Calibri"/>
                <w:b/>
                <w:bCs/>
                <w:color w:val="000000"/>
                <w:sz w:val="20"/>
                <w:szCs w:val="20"/>
              </w:rPr>
            </w:pPr>
            <w:r w:rsidRPr="00534C5B">
              <w:rPr>
                <w:rFonts w:ascii="Arial Narrow" w:hAnsi="Arial Narrow" w:cs="Calibri"/>
                <w:b/>
                <w:bCs/>
                <w:color w:val="000000"/>
                <w:sz w:val="20"/>
                <w:szCs w:val="20"/>
              </w:rPr>
              <w:t>Unresectable setting</w:t>
            </w:r>
          </w:p>
        </w:tc>
      </w:tr>
      <w:tr w:rsidR="00967927" w:rsidRPr="00534C5B" w:rsidTr="00F15DAD">
        <w:trPr>
          <w:trHeight w:val="53"/>
          <w:tblHeader/>
        </w:trPr>
        <w:tc>
          <w:tcPr>
            <w:tcW w:w="279" w:type="dxa"/>
            <w:tcMar>
              <w:left w:w="28" w:type="dxa"/>
              <w:right w:w="28" w:type="dxa"/>
            </w:tcMar>
            <w:vAlign w:val="center"/>
          </w:tcPr>
          <w:p w:rsidR="00967927" w:rsidRPr="00534C5B" w:rsidRDefault="00967927" w:rsidP="00D43370">
            <w:pPr>
              <w:pStyle w:val="3Bodytext"/>
              <w:keepNext/>
              <w:keepLines/>
              <w:numPr>
                <w:ilvl w:val="0"/>
                <w:numId w:val="0"/>
              </w:numPr>
              <w:spacing w:after="0"/>
              <w:jc w:val="center"/>
              <w:rPr>
                <w:rFonts w:ascii="Arial Narrow" w:hAnsi="Arial Narrow"/>
                <w:sz w:val="20"/>
                <w:szCs w:val="20"/>
              </w:rPr>
            </w:pPr>
            <w:r w:rsidRPr="00534C5B">
              <w:rPr>
                <w:rFonts w:ascii="Arial Narrow" w:hAnsi="Arial Narrow"/>
                <w:sz w:val="20"/>
                <w:szCs w:val="20"/>
              </w:rPr>
              <w:t>H</w:t>
            </w:r>
          </w:p>
        </w:tc>
        <w:tc>
          <w:tcPr>
            <w:tcW w:w="2302" w:type="dxa"/>
            <w:tcMar>
              <w:left w:w="28" w:type="dxa"/>
              <w:right w:w="28" w:type="dxa"/>
            </w:tcMar>
            <w:vAlign w:val="center"/>
          </w:tcPr>
          <w:p w:rsidR="00967927" w:rsidRPr="00534C5B" w:rsidRDefault="00967927" w:rsidP="0022605C">
            <w:pPr>
              <w:pStyle w:val="3Bodytext"/>
              <w:keepNext/>
              <w:keepLines/>
              <w:numPr>
                <w:ilvl w:val="0"/>
                <w:numId w:val="0"/>
              </w:numPr>
              <w:spacing w:after="0"/>
              <w:jc w:val="left"/>
              <w:rPr>
                <w:rFonts w:ascii="Arial Narrow" w:hAnsi="Arial Narrow"/>
                <w:sz w:val="20"/>
                <w:szCs w:val="20"/>
              </w:rPr>
            </w:pPr>
            <w:r w:rsidRPr="00534C5B">
              <w:rPr>
                <w:rFonts w:ascii="Arial Narrow" w:hAnsi="Arial Narrow"/>
                <w:sz w:val="20"/>
                <w:szCs w:val="20"/>
              </w:rPr>
              <w:t>2019 eligible patients</w:t>
            </w:r>
          </w:p>
        </w:tc>
        <w:tc>
          <w:tcPr>
            <w:tcW w:w="1383" w:type="dxa"/>
            <w:tcMar>
              <w:left w:w="28" w:type="dxa"/>
              <w:right w:w="28" w:type="dxa"/>
            </w:tcMar>
            <w:vAlign w:val="center"/>
          </w:tcPr>
          <w:p w:rsidR="00967927" w:rsidRPr="00534C5B" w:rsidRDefault="00967927" w:rsidP="00D43370">
            <w:pPr>
              <w:pStyle w:val="3Bodytext"/>
              <w:keepNext/>
              <w:keepLines/>
              <w:numPr>
                <w:ilvl w:val="0"/>
                <w:numId w:val="0"/>
              </w:numPr>
              <w:spacing w:after="0"/>
              <w:jc w:val="center"/>
              <w:rPr>
                <w:rFonts w:ascii="Arial Narrow" w:hAnsi="Arial Narrow"/>
                <w:sz w:val="20"/>
                <w:szCs w:val="20"/>
              </w:rPr>
            </w:pPr>
            <w:r w:rsidRPr="00534C5B">
              <w:rPr>
                <w:rFonts w:ascii="Arial Narrow" w:hAnsi="Arial Narrow"/>
                <w:sz w:val="20"/>
                <w:szCs w:val="20"/>
              </w:rPr>
              <w:t>2,188</w:t>
            </w:r>
          </w:p>
        </w:tc>
        <w:tc>
          <w:tcPr>
            <w:tcW w:w="851" w:type="dxa"/>
            <w:tcMar>
              <w:left w:w="28" w:type="dxa"/>
              <w:right w:w="28" w:type="dxa"/>
            </w:tcMar>
            <w:vAlign w:val="bottom"/>
          </w:tcPr>
          <w:p w:rsidR="00967927" w:rsidRPr="00534C5B" w:rsidRDefault="00967927" w:rsidP="00D43370">
            <w:pPr>
              <w:pStyle w:val="3Bodytext"/>
              <w:keepNext/>
              <w:keepLines/>
              <w:numPr>
                <w:ilvl w:val="0"/>
                <w:numId w:val="0"/>
              </w:numPr>
              <w:spacing w:after="0"/>
              <w:jc w:val="center"/>
              <w:rPr>
                <w:rFonts w:ascii="Calibri" w:hAnsi="Calibri" w:cs="Calibri"/>
                <w:color w:val="000000"/>
                <w:sz w:val="22"/>
              </w:rPr>
            </w:pPr>
            <w:r w:rsidRPr="00534C5B">
              <w:rPr>
                <w:rFonts w:ascii="Calibri" w:hAnsi="Calibri" w:cs="Calibri"/>
                <w:color w:val="000000"/>
                <w:sz w:val="22"/>
              </w:rPr>
              <w:t>-</w:t>
            </w:r>
          </w:p>
        </w:tc>
        <w:tc>
          <w:tcPr>
            <w:tcW w:w="850" w:type="dxa"/>
            <w:tcMar>
              <w:left w:w="28" w:type="dxa"/>
              <w:right w:w="28" w:type="dxa"/>
            </w:tcMar>
            <w:vAlign w:val="bottom"/>
          </w:tcPr>
          <w:p w:rsidR="00967927" w:rsidRPr="00534C5B" w:rsidRDefault="00967927" w:rsidP="00D43370">
            <w:pPr>
              <w:pStyle w:val="3Bodytext"/>
              <w:keepNext/>
              <w:keepLines/>
              <w:numPr>
                <w:ilvl w:val="0"/>
                <w:numId w:val="0"/>
              </w:numPr>
              <w:spacing w:after="0"/>
              <w:jc w:val="center"/>
              <w:rPr>
                <w:rFonts w:ascii="Calibri" w:hAnsi="Calibri" w:cs="Calibri"/>
                <w:color w:val="000000"/>
                <w:sz w:val="22"/>
              </w:rPr>
            </w:pPr>
            <w:r w:rsidRPr="00534C5B">
              <w:rPr>
                <w:rFonts w:ascii="Calibri" w:hAnsi="Calibri" w:cs="Calibri"/>
                <w:color w:val="000000"/>
                <w:sz w:val="22"/>
              </w:rPr>
              <w:t>-</w:t>
            </w:r>
          </w:p>
        </w:tc>
        <w:tc>
          <w:tcPr>
            <w:tcW w:w="851" w:type="dxa"/>
            <w:tcMar>
              <w:left w:w="28" w:type="dxa"/>
              <w:right w:w="28" w:type="dxa"/>
            </w:tcMar>
            <w:vAlign w:val="bottom"/>
          </w:tcPr>
          <w:p w:rsidR="00967927" w:rsidRPr="00534C5B" w:rsidRDefault="00967927" w:rsidP="00D43370">
            <w:pPr>
              <w:pStyle w:val="3Bodytext"/>
              <w:keepNext/>
              <w:keepLines/>
              <w:numPr>
                <w:ilvl w:val="0"/>
                <w:numId w:val="0"/>
              </w:numPr>
              <w:spacing w:after="0"/>
              <w:jc w:val="center"/>
              <w:rPr>
                <w:rFonts w:ascii="Calibri" w:hAnsi="Calibri" w:cs="Calibri"/>
                <w:color w:val="000000"/>
                <w:sz w:val="22"/>
              </w:rPr>
            </w:pPr>
            <w:r w:rsidRPr="00534C5B">
              <w:rPr>
                <w:rFonts w:ascii="Calibri" w:hAnsi="Calibri" w:cs="Calibri"/>
                <w:color w:val="000000"/>
                <w:sz w:val="22"/>
              </w:rPr>
              <w:t>-</w:t>
            </w:r>
          </w:p>
        </w:tc>
        <w:tc>
          <w:tcPr>
            <w:tcW w:w="850" w:type="dxa"/>
            <w:tcMar>
              <w:left w:w="28" w:type="dxa"/>
              <w:right w:w="28" w:type="dxa"/>
            </w:tcMar>
            <w:vAlign w:val="bottom"/>
          </w:tcPr>
          <w:p w:rsidR="00967927" w:rsidRPr="00534C5B" w:rsidRDefault="00967927" w:rsidP="00D43370">
            <w:pPr>
              <w:pStyle w:val="3Bodytext"/>
              <w:keepNext/>
              <w:keepLines/>
              <w:numPr>
                <w:ilvl w:val="0"/>
                <w:numId w:val="0"/>
              </w:numPr>
              <w:spacing w:after="0"/>
              <w:jc w:val="center"/>
              <w:rPr>
                <w:rFonts w:ascii="Calibri" w:hAnsi="Calibri" w:cs="Calibri"/>
                <w:color w:val="000000"/>
                <w:sz w:val="22"/>
              </w:rPr>
            </w:pPr>
            <w:r w:rsidRPr="00534C5B">
              <w:rPr>
                <w:rFonts w:ascii="Calibri" w:hAnsi="Calibri" w:cs="Calibri"/>
                <w:color w:val="000000"/>
                <w:sz w:val="22"/>
              </w:rPr>
              <w:t>-</w:t>
            </w:r>
          </w:p>
        </w:tc>
        <w:tc>
          <w:tcPr>
            <w:tcW w:w="851" w:type="dxa"/>
            <w:tcMar>
              <w:left w:w="28" w:type="dxa"/>
              <w:right w:w="28" w:type="dxa"/>
            </w:tcMar>
            <w:vAlign w:val="bottom"/>
          </w:tcPr>
          <w:p w:rsidR="00967927" w:rsidRPr="00534C5B" w:rsidRDefault="00967927" w:rsidP="00D43370">
            <w:pPr>
              <w:pStyle w:val="3Bodytext"/>
              <w:keepNext/>
              <w:keepLines/>
              <w:numPr>
                <w:ilvl w:val="0"/>
                <w:numId w:val="0"/>
              </w:numPr>
              <w:spacing w:after="0"/>
              <w:jc w:val="center"/>
              <w:rPr>
                <w:rFonts w:ascii="Calibri" w:hAnsi="Calibri" w:cs="Calibri"/>
                <w:color w:val="000000"/>
                <w:sz w:val="22"/>
              </w:rPr>
            </w:pPr>
            <w:r w:rsidRPr="00534C5B">
              <w:rPr>
                <w:rFonts w:ascii="Calibri" w:hAnsi="Calibri" w:cs="Calibri"/>
                <w:color w:val="000000"/>
                <w:sz w:val="22"/>
              </w:rPr>
              <w:t>-</w:t>
            </w:r>
          </w:p>
        </w:tc>
        <w:tc>
          <w:tcPr>
            <w:tcW w:w="799" w:type="dxa"/>
            <w:tcMar>
              <w:left w:w="28" w:type="dxa"/>
              <w:right w:w="28" w:type="dxa"/>
            </w:tcMar>
            <w:vAlign w:val="bottom"/>
          </w:tcPr>
          <w:p w:rsidR="00967927" w:rsidRPr="00534C5B" w:rsidRDefault="00967927" w:rsidP="00D43370">
            <w:pPr>
              <w:pStyle w:val="3Bodytext"/>
              <w:keepNext/>
              <w:keepLines/>
              <w:numPr>
                <w:ilvl w:val="0"/>
                <w:numId w:val="0"/>
              </w:numPr>
              <w:spacing w:after="0"/>
              <w:jc w:val="center"/>
              <w:rPr>
                <w:rFonts w:ascii="Calibri" w:hAnsi="Calibri" w:cs="Calibri"/>
                <w:color w:val="000000"/>
                <w:sz w:val="22"/>
              </w:rPr>
            </w:pPr>
            <w:r w:rsidRPr="00534C5B">
              <w:rPr>
                <w:rFonts w:ascii="Calibri" w:hAnsi="Calibri" w:cs="Calibri"/>
                <w:color w:val="000000"/>
                <w:sz w:val="22"/>
              </w:rPr>
              <w:t>-</w:t>
            </w:r>
          </w:p>
        </w:tc>
      </w:tr>
      <w:tr w:rsidR="00D43370" w:rsidRPr="00534C5B" w:rsidTr="00F15DAD">
        <w:trPr>
          <w:tblHeader/>
        </w:trPr>
        <w:tc>
          <w:tcPr>
            <w:tcW w:w="279" w:type="dxa"/>
            <w:tcMar>
              <w:left w:w="28" w:type="dxa"/>
              <w:right w:w="28" w:type="dxa"/>
            </w:tcMar>
            <w:vAlign w:val="center"/>
          </w:tcPr>
          <w:p w:rsidR="00D43370" w:rsidRPr="00534C5B" w:rsidRDefault="00967927" w:rsidP="00D43370">
            <w:pPr>
              <w:pStyle w:val="3Bodytext"/>
              <w:keepNext/>
              <w:keepLines/>
              <w:numPr>
                <w:ilvl w:val="0"/>
                <w:numId w:val="0"/>
              </w:numPr>
              <w:spacing w:after="0"/>
              <w:jc w:val="center"/>
              <w:rPr>
                <w:rFonts w:ascii="Arial Narrow" w:hAnsi="Arial Narrow"/>
                <w:sz w:val="20"/>
                <w:szCs w:val="20"/>
              </w:rPr>
            </w:pPr>
            <w:r w:rsidRPr="00534C5B">
              <w:rPr>
                <w:rFonts w:ascii="Arial Narrow" w:hAnsi="Arial Narrow"/>
                <w:sz w:val="20"/>
                <w:szCs w:val="20"/>
              </w:rPr>
              <w:t>I</w:t>
            </w:r>
          </w:p>
        </w:tc>
        <w:tc>
          <w:tcPr>
            <w:tcW w:w="2302" w:type="dxa"/>
            <w:tcMar>
              <w:left w:w="28" w:type="dxa"/>
              <w:right w:w="28" w:type="dxa"/>
            </w:tcMar>
            <w:vAlign w:val="center"/>
          </w:tcPr>
          <w:p w:rsidR="00D43370" w:rsidRPr="00534C5B" w:rsidRDefault="00967927" w:rsidP="0022605C">
            <w:pPr>
              <w:pStyle w:val="3Bodytext"/>
              <w:keepNext/>
              <w:keepLines/>
              <w:numPr>
                <w:ilvl w:val="0"/>
                <w:numId w:val="0"/>
              </w:numPr>
              <w:spacing w:after="0"/>
              <w:jc w:val="left"/>
              <w:rPr>
                <w:rFonts w:ascii="Arial Narrow" w:hAnsi="Arial Narrow"/>
                <w:sz w:val="20"/>
                <w:szCs w:val="20"/>
              </w:rPr>
            </w:pPr>
            <w:r w:rsidRPr="00534C5B">
              <w:rPr>
                <w:rFonts w:ascii="Arial Narrow" w:hAnsi="Arial Narrow"/>
                <w:sz w:val="20"/>
                <w:szCs w:val="20"/>
              </w:rPr>
              <w:t>Eligible patients</w:t>
            </w:r>
          </w:p>
        </w:tc>
        <w:tc>
          <w:tcPr>
            <w:tcW w:w="1383" w:type="dxa"/>
            <w:tcMar>
              <w:left w:w="28" w:type="dxa"/>
              <w:right w:w="28" w:type="dxa"/>
            </w:tcMar>
            <w:vAlign w:val="center"/>
          </w:tcPr>
          <w:p w:rsidR="00D43370" w:rsidRPr="00534C5B" w:rsidRDefault="00967927" w:rsidP="00967927">
            <w:pPr>
              <w:pStyle w:val="3Bodytext"/>
              <w:keepNext/>
              <w:keepLines/>
              <w:numPr>
                <w:ilvl w:val="0"/>
                <w:numId w:val="0"/>
              </w:numPr>
              <w:spacing w:after="0"/>
              <w:jc w:val="center"/>
              <w:rPr>
                <w:rFonts w:ascii="Arial Narrow" w:hAnsi="Arial Narrow"/>
                <w:sz w:val="20"/>
                <w:szCs w:val="20"/>
              </w:rPr>
            </w:pPr>
            <w:r w:rsidRPr="00534C5B">
              <w:rPr>
                <w:rFonts w:ascii="Arial Narrow" w:hAnsi="Arial Narrow"/>
                <w:sz w:val="20"/>
                <w:szCs w:val="20"/>
              </w:rPr>
              <w:t>#</w:t>
            </w:r>
            <w:r w:rsidRPr="00534C5B">
              <w:rPr>
                <w:rFonts w:ascii="Arial Narrow" w:hAnsi="Arial Narrow"/>
                <w:sz w:val="20"/>
                <w:szCs w:val="20"/>
                <w:vertAlign w:val="subscript"/>
              </w:rPr>
              <w:t xml:space="preserve">(t-1) </w:t>
            </w:r>
            <w:r w:rsidRPr="00534C5B">
              <w:rPr>
                <w:rFonts w:ascii="Arial Narrow" w:hAnsi="Arial Narrow"/>
                <w:sz w:val="20"/>
                <w:szCs w:val="20"/>
              </w:rPr>
              <w:t>x (1 + 4.56%)</w:t>
            </w:r>
          </w:p>
        </w:tc>
        <w:tc>
          <w:tcPr>
            <w:tcW w:w="851" w:type="dxa"/>
            <w:tcMar>
              <w:left w:w="28" w:type="dxa"/>
              <w:right w:w="28" w:type="dxa"/>
            </w:tcMar>
            <w:vAlign w:val="bottom"/>
          </w:tcPr>
          <w:p w:rsidR="00D43370" w:rsidRPr="00653477" w:rsidRDefault="00653477" w:rsidP="00D43370">
            <w:pPr>
              <w:pStyle w:val="3Bodytext"/>
              <w:keepNext/>
              <w:keepLines/>
              <w:numPr>
                <w:ilvl w:val="0"/>
                <w:numId w:val="0"/>
              </w:numPr>
              <w:spacing w:after="0"/>
              <w:jc w:val="center"/>
              <w:rPr>
                <w:rFonts w:ascii="Arial Narrow" w:hAnsi="Arial Narrow" w:cs="Calibri"/>
                <w:bCs/>
                <w:color w:val="000000"/>
                <w:sz w:val="20"/>
                <w:szCs w:val="20"/>
                <w:highlight w:val="black"/>
              </w:rPr>
            </w:pPr>
            <w:r>
              <w:rPr>
                <w:rFonts w:ascii="Arial Narrow" w:hAnsi="Arial Narrow" w:cs="Calibri"/>
                <w:noProof/>
                <w:color w:val="000000"/>
                <w:sz w:val="20"/>
                <w:szCs w:val="20"/>
                <w:highlight w:val="black"/>
              </w:rPr>
              <w:t>''''''''''''</w:t>
            </w:r>
          </w:p>
        </w:tc>
        <w:tc>
          <w:tcPr>
            <w:tcW w:w="850" w:type="dxa"/>
            <w:tcMar>
              <w:left w:w="28" w:type="dxa"/>
              <w:right w:w="28" w:type="dxa"/>
            </w:tcMar>
            <w:vAlign w:val="bottom"/>
          </w:tcPr>
          <w:p w:rsidR="00D43370" w:rsidRPr="00653477" w:rsidRDefault="00653477" w:rsidP="00D43370">
            <w:pPr>
              <w:pStyle w:val="3Bodytext"/>
              <w:keepNext/>
              <w:keepLines/>
              <w:numPr>
                <w:ilvl w:val="0"/>
                <w:numId w:val="0"/>
              </w:numPr>
              <w:spacing w:after="0"/>
              <w:jc w:val="center"/>
              <w:rPr>
                <w:rFonts w:ascii="Arial Narrow" w:hAnsi="Arial Narrow" w:cs="Calibri"/>
                <w:bCs/>
                <w:color w:val="000000"/>
                <w:sz w:val="20"/>
                <w:szCs w:val="20"/>
                <w:highlight w:val="black"/>
              </w:rPr>
            </w:pPr>
            <w:r>
              <w:rPr>
                <w:rFonts w:ascii="Arial Narrow" w:hAnsi="Arial Narrow" w:cs="Calibri"/>
                <w:noProof/>
                <w:color w:val="000000"/>
                <w:sz w:val="20"/>
                <w:szCs w:val="20"/>
                <w:highlight w:val="black"/>
              </w:rPr>
              <w:t>''''''''''''''</w:t>
            </w:r>
          </w:p>
        </w:tc>
        <w:tc>
          <w:tcPr>
            <w:tcW w:w="851" w:type="dxa"/>
            <w:tcMar>
              <w:left w:w="28" w:type="dxa"/>
              <w:right w:w="28" w:type="dxa"/>
            </w:tcMar>
            <w:vAlign w:val="bottom"/>
          </w:tcPr>
          <w:p w:rsidR="00D43370" w:rsidRPr="00653477" w:rsidRDefault="00653477" w:rsidP="00D43370">
            <w:pPr>
              <w:pStyle w:val="3Bodytext"/>
              <w:keepNext/>
              <w:keepLines/>
              <w:numPr>
                <w:ilvl w:val="0"/>
                <w:numId w:val="0"/>
              </w:numPr>
              <w:spacing w:after="0"/>
              <w:jc w:val="center"/>
              <w:rPr>
                <w:rFonts w:ascii="Arial Narrow" w:hAnsi="Arial Narrow" w:cs="Calibri"/>
                <w:bCs/>
                <w:color w:val="000000"/>
                <w:sz w:val="20"/>
                <w:szCs w:val="20"/>
                <w:highlight w:val="black"/>
              </w:rPr>
            </w:pPr>
            <w:r>
              <w:rPr>
                <w:rFonts w:ascii="Arial Narrow" w:hAnsi="Arial Narrow" w:cs="Calibri"/>
                <w:noProof/>
                <w:color w:val="000000"/>
                <w:sz w:val="20"/>
                <w:szCs w:val="20"/>
                <w:highlight w:val="black"/>
              </w:rPr>
              <w:t>'''''''''''''</w:t>
            </w:r>
          </w:p>
        </w:tc>
        <w:tc>
          <w:tcPr>
            <w:tcW w:w="850" w:type="dxa"/>
            <w:tcMar>
              <w:left w:w="28" w:type="dxa"/>
              <w:right w:w="28" w:type="dxa"/>
            </w:tcMar>
            <w:vAlign w:val="bottom"/>
          </w:tcPr>
          <w:p w:rsidR="00D43370" w:rsidRPr="00653477" w:rsidRDefault="00653477" w:rsidP="00D43370">
            <w:pPr>
              <w:pStyle w:val="3Bodytext"/>
              <w:keepNext/>
              <w:keepLines/>
              <w:numPr>
                <w:ilvl w:val="0"/>
                <w:numId w:val="0"/>
              </w:numPr>
              <w:spacing w:after="0"/>
              <w:jc w:val="center"/>
              <w:rPr>
                <w:rFonts w:ascii="Arial Narrow" w:hAnsi="Arial Narrow" w:cs="Calibri"/>
                <w:bCs/>
                <w:color w:val="000000"/>
                <w:sz w:val="20"/>
                <w:szCs w:val="20"/>
                <w:highlight w:val="black"/>
              </w:rPr>
            </w:pPr>
            <w:r>
              <w:rPr>
                <w:rFonts w:ascii="Arial Narrow" w:hAnsi="Arial Narrow" w:cs="Calibri"/>
                <w:noProof/>
                <w:color w:val="000000"/>
                <w:sz w:val="20"/>
                <w:szCs w:val="20"/>
                <w:highlight w:val="black"/>
              </w:rPr>
              <w:t>'''''''''''''''</w:t>
            </w:r>
          </w:p>
        </w:tc>
        <w:tc>
          <w:tcPr>
            <w:tcW w:w="851" w:type="dxa"/>
            <w:tcMar>
              <w:left w:w="28" w:type="dxa"/>
              <w:right w:w="28" w:type="dxa"/>
            </w:tcMar>
            <w:vAlign w:val="bottom"/>
          </w:tcPr>
          <w:p w:rsidR="00D43370" w:rsidRPr="00653477" w:rsidRDefault="00653477" w:rsidP="00D43370">
            <w:pPr>
              <w:pStyle w:val="3Bodytext"/>
              <w:keepNext/>
              <w:keepLines/>
              <w:numPr>
                <w:ilvl w:val="0"/>
                <w:numId w:val="0"/>
              </w:numPr>
              <w:spacing w:after="0"/>
              <w:jc w:val="center"/>
              <w:rPr>
                <w:rFonts w:ascii="Arial Narrow" w:hAnsi="Arial Narrow" w:cs="Calibri"/>
                <w:bCs/>
                <w:color w:val="000000"/>
                <w:sz w:val="20"/>
                <w:szCs w:val="20"/>
                <w:highlight w:val="black"/>
              </w:rPr>
            </w:pPr>
            <w:r>
              <w:rPr>
                <w:rFonts w:ascii="Arial Narrow" w:hAnsi="Arial Narrow" w:cs="Calibri"/>
                <w:noProof/>
                <w:color w:val="000000"/>
                <w:sz w:val="20"/>
                <w:szCs w:val="20"/>
                <w:highlight w:val="black"/>
              </w:rPr>
              <w:t>''''''''''''''</w:t>
            </w:r>
          </w:p>
        </w:tc>
        <w:tc>
          <w:tcPr>
            <w:tcW w:w="799" w:type="dxa"/>
            <w:tcMar>
              <w:left w:w="28" w:type="dxa"/>
              <w:right w:w="28" w:type="dxa"/>
            </w:tcMar>
            <w:vAlign w:val="bottom"/>
          </w:tcPr>
          <w:p w:rsidR="00D43370" w:rsidRPr="00653477" w:rsidRDefault="00653477" w:rsidP="00D43370">
            <w:pPr>
              <w:pStyle w:val="3Bodytext"/>
              <w:keepNext/>
              <w:keepLines/>
              <w:numPr>
                <w:ilvl w:val="0"/>
                <w:numId w:val="0"/>
              </w:numPr>
              <w:spacing w:after="0"/>
              <w:jc w:val="center"/>
              <w:rPr>
                <w:rFonts w:ascii="Arial Narrow" w:hAnsi="Arial Narrow" w:cs="Calibri"/>
                <w:bCs/>
                <w:color w:val="000000"/>
                <w:sz w:val="20"/>
                <w:szCs w:val="20"/>
                <w:highlight w:val="black"/>
              </w:rPr>
            </w:pPr>
            <w:r>
              <w:rPr>
                <w:rFonts w:ascii="Arial Narrow" w:hAnsi="Arial Narrow" w:cs="Calibri"/>
                <w:noProof/>
                <w:color w:val="000000"/>
                <w:sz w:val="20"/>
                <w:szCs w:val="20"/>
                <w:highlight w:val="black"/>
              </w:rPr>
              <w:t>''''''''''''''</w:t>
            </w:r>
          </w:p>
        </w:tc>
      </w:tr>
      <w:tr w:rsidR="0054077E" w:rsidRPr="00534C5B" w:rsidTr="00F15DAD">
        <w:trPr>
          <w:tblHeader/>
        </w:trPr>
        <w:tc>
          <w:tcPr>
            <w:tcW w:w="279" w:type="dxa"/>
            <w:tcMar>
              <w:left w:w="28" w:type="dxa"/>
              <w:right w:w="28" w:type="dxa"/>
            </w:tcMar>
            <w:vAlign w:val="center"/>
          </w:tcPr>
          <w:p w:rsidR="0054077E" w:rsidRPr="00534C5B" w:rsidDel="0054077E" w:rsidRDefault="0054077E" w:rsidP="00967927">
            <w:pPr>
              <w:pStyle w:val="3Bodytext"/>
              <w:keepNext/>
              <w:keepLines/>
              <w:numPr>
                <w:ilvl w:val="0"/>
                <w:numId w:val="0"/>
              </w:numPr>
              <w:spacing w:after="0"/>
              <w:jc w:val="center"/>
              <w:rPr>
                <w:rFonts w:ascii="Arial Narrow" w:hAnsi="Arial Narrow"/>
                <w:sz w:val="20"/>
                <w:szCs w:val="20"/>
              </w:rPr>
            </w:pPr>
            <w:r w:rsidRPr="00534C5B">
              <w:rPr>
                <w:rFonts w:ascii="Arial Narrow" w:hAnsi="Arial Narrow"/>
                <w:sz w:val="20"/>
                <w:szCs w:val="20"/>
              </w:rPr>
              <w:t>J</w:t>
            </w:r>
          </w:p>
        </w:tc>
        <w:tc>
          <w:tcPr>
            <w:tcW w:w="2302" w:type="dxa"/>
            <w:tcMar>
              <w:left w:w="28" w:type="dxa"/>
              <w:right w:w="28" w:type="dxa"/>
            </w:tcMar>
            <w:vAlign w:val="center"/>
          </w:tcPr>
          <w:p w:rsidR="0054077E" w:rsidRPr="00534C5B" w:rsidDel="0054077E" w:rsidRDefault="0054077E" w:rsidP="0051336A">
            <w:pPr>
              <w:pStyle w:val="3Bodytext"/>
              <w:keepNext/>
              <w:keepLines/>
              <w:numPr>
                <w:ilvl w:val="0"/>
                <w:numId w:val="0"/>
              </w:numPr>
              <w:spacing w:after="0"/>
              <w:jc w:val="left"/>
              <w:rPr>
                <w:rFonts w:ascii="Arial Narrow" w:hAnsi="Arial Narrow"/>
                <w:sz w:val="20"/>
                <w:szCs w:val="20"/>
              </w:rPr>
            </w:pPr>
            <w:r w:rsidRPr="00534C5B">
              <w:rPr>
                <w:rFonts w:ascii="Arial Narrow" w:hAnsi="Arial Narrow"/>
                <w:sz w:val="20"/>
                <w:szCs w:val="20"/>
              </w:rPr>
              <w:t>BRAF MT first</w:t>
            </w:r>
            <w:r w:rsidR="0051336A" w:rsidRPr="00534C5B">
              <w:rPr>
                <w:rFonts w:ascii="Arial Narrow" w:hAnsi="Arial Narrow"/>
                <w:sz w:val="20"/>
                <w:szCs w:val="20"/>
              </w:rPr>
              <w:t>-</w:t>
            </w:r>
            <w:r w:rsidRPr="00534C5B">
              <w:rPr>
                <w:rFonts w:ascii="Arial Narrow" w:hAnsi="Arial Narrow"/>
                <w:sz w:val="20"/>
                <w:szCs w:val="20"/>
              </w:rPr>
              <w:t>line patients</w:t>
            </w:r>
          </w:p>
        </w:tc>
        <w:tc>
          <w:tcPr>
            <w:tcW w:w="6435" w:type="dxa"/>
            <w:gridSpan w:val="7"/>
            <w:tcMar>
              <w:left w:w="28" w:type="dxa"/>
              <w:right w:w="28" w:type="dxa"/>
            </w:tcMar>
            <w:vAlign w:val="center"/>
          </w:tcPr>
          <w:p w:rsidR="0054077E" w:rsidRPr="00534C5B" w:rsidDel="0054077E" w:rsidRDefault="0054077E" w:rsidP="0051336A">
            <w:pPr>
              <w:pStyle w:val="3Bodytext"/>
              <w:keepNext/>
              <w:keepLines/>
              <w:numPr>
                <w:ilvl w:val="0"/>
                <w:numId w:val="0"/>
              </w:numPr>
              <w:spacing w:after="0"/>
              <w:jc w:val="center"/>
              <w:rPr>
                <w:rFonts w:ascii="Arial Narrow" w:hAnsi="Arial Narrow" w:cs="Calibri"/>
                <w:color w:val="000000"/>
                <w:sz w:val="20"/>
                <w:szCs w:val="20"/>
              </w:rPr>
            </w:pPr>
            <w:r w:rsidRPr="00534C5B">
              <w:rPr>
                <w:rFonts w:ascii="Arial Narrow" w:hAnsi="Arial Narrow" w:cs="Calibri"/>
                <w:color w:val="000000"/>
                <w:sz w:val="20"/>
                <w:szCs w:val="20"/>
              </w:rPr>
              <w:t>As per PBAC submission for first</w:t>
            </w:r>
            <w:r w:rsidR="0051336A" w:rsidRPr="00534C5B">
              <w:rPr>
                <w:rFonts w:ascii="Arial Narrow" w:hAnsi="Arial Narrow" w:cs="Calibri"/>
                <w:color w:val="000000"/>
                <w:sz w:val="20"/>
                <w:szCs w:val="20"/>
              </w:rPr>
              <w:t>-</w:t>
            </w:r>
            <w:r w:rsidRPr="00534C5B">
              <w:rPr>
                <w:rFonts w:ascii="Arial Narrow" w:hAnsi="Arial Narrow" w:cs="Calibri"/>
                <w:color w:val="000000"/>
                <w:sz w:val="20"/>
                <w:szCs w:val="20"/>
              </w:rPr>
              <w:t xml:space="preserve">line treatment for BRAF MT patients </w:t>
            </w:r>
            <w:r w:rsidR="00905AF7" w:rsidRPr="00534C5B">
              <w:rPr>
                <w:rFonts w:ascii="Arial Narrow" w:hAnsi="Arial Narrow" w:cs="Calibri"/>
                <w:color w:val="000000"/>
                <w:sz w:val="20"/>
                <w:szCs w:val="20"/>
              </w:rPr>
              <w:br/>
            </w:r>
            <w:r w:rsidRPr="00534C5B">
              <w:rPr>
                <w:rFonts w:ascii="Arial Narrow" w:hAnsi="Arial Narrow" w:cs="Calibri"/>
                <w:color w:val="000000"/>
                <w:sz w:val="20"/>
                <w:szCs w:val="20"/>
              </w:rPr>
              <w:t>(November 2019 meeting, item 7.07)</w:t>
            </w:r>
          </w:p>
        </w:tc>
      </w:tr>
    </w:tbl>
    <w:p w:rsidR="00231618" w:rsidRPr="00534C5B" w:rsidRDefault="00804378" w:rsidP="00231618">
      <w:pPr>
        <w:pStyle w:val="TableFooter"/>
      </w:pPr>
      <w:r w:rsidRPr="00534C5B">
        <w:t xml:space="preserve">BRAF MT = BRAF mutant; BRAF WT = BRAF wild type; </w:t>
      </w:r>
      <w:r w:rsidR="007E0D23" w:rsidRPr="00534C5B">
        <w:t xml:space="preserve">PBAC = Pharmaceutical Benefits Advisory Committee; </w:t>
      </w:r>
      <w:r w:rsidR="00231618" w:rsidRPr="00534C5B">
        <w:t>PD-1 = programmed death-1 inhibitor</w:t>
      </w:r>
    </w:p>
    <w:p w:rsidR="0071307E" w:rsidRDefault="00231618" w:rsidP="00231618">
      <w:pPr>
        <w:pStyle w:val="TableFooter"/>
      </w:pPr>
      <w:r w:rsidRPr="00534C5B">
        <w:t xml:space="preserve">Source: </w:t>
      </w:r>
      <w:r w:rsidR="004F17E1" w:rsidRPr="00534C5B">
        <w:t>As per PBAC consideration</w:t>
      </w:r>
    </w:p>
    <w:p w:rsidR="0071307E" w:rsidRDefault="0071307E">
      <w:pPr>
        <w:rPr>
          <w:rFonts w:ascii="Arial Narrow" w:hAnsi="Arial Narrow" w:cs="Arial"/>
          <w:snapToGrid w:val="0"/>
          <w:sz w:val="18"/>
          <w:szCs w:val="22"/>
          <w:lang w:eastAsia="en-US"/>
        </w:rPr>
      </w:pPr>
      <w:r>
        <w:br w:type="page"/>
      </w:r>
    </w:p>
    <w:p w:rsidR="007E0D23" w:rsidRPr="00534C5B" w:rsidRDefault="007E0D23" w:rsidP="007E0D23">
      <w:pPr>
        <w:pStyle w:val="ListParagraph"/>
        <w:widowControl/>
        <w:spacing w:after="120"/>
        <w:contextualSpacing w:val="0"/>
        <w:jc w:val="center"/>
        <w:rPr>
          <w:b/>
          <w:szCs w:val="24"/>
          <w:u w:val="single"/>
        </w:rPr>
      </w:pPr>
      <w:r w:rsidRPr="00534C5B">
        <w:rPr>
          <w:b/>
          <w:szCs w:val="24"/>
          <w:u w:val="single"/>
        </w:rPr>
        <w:lastRenderedPageBreak/>
        <w:t>Committee-In-Confidence information</w:t>
      </w:r>
    </w:p>
    <w:p w:rsidR="007E0D23" w:rsidRPr="00534C5B" w:rsidRDefault="007E0D23" w:rsidP="007E0D23">
      <w:pPr>
        <w:rPr>
          <w:rFonts w:eastAsiaTheme="minorHAnsi"/>
        </w:rPr>
      </w:pPr>
    </w:p>
    <w:p w:rsidR="0022605C" w:rsidRPr="00534C5B" w:rsidRDefault="0022605C" w:rsidP="0022605C">
      <w:pPr>
        <w:pStyle w:val="Tabletitles"/>
        <w:keepNext/>
        <w:spacing w:after="0"/>
      </w:pPr>
      <w:r w:rsidRPr="00534C5B">
        <w:t xml:space="preserve">Table 11: </w:t>
      </w:r>
      <w:r w:rsidR="00F331BD" w:rsidRPr="00534C5B">
        <w:t xml:space="preserve">Subsidisation caps </w:t>
      </w:r>
      <w:r w:rsidRPr="00534C5B">
        <w:t>across the adjuvant and unresectable or metastatic settings, as per the PBAC recommendations</w:t>
      </w:r>
    </w:p>
    <w:tbl>
      <w:tblPr>
        <w:tblStyle w:val="TableGrid"/>
        <w:tblW w:w="9167" w:type="dxa"/>
        <w:tblLayout w:type="fixed"/>
        <w:tblLook w:val="04A0" w:firstRow="1" w:lastRow="0" w:firstColumn="1" w:lastColumn="0" w:noHBand="0" w:noVBand="1"/>
        <w:tblCaption w:val="Table 11: Subsidisation caps across the adjuvant and unresectable or metastatic settings, as per the PBAC recommendations"/>
      </w:tblPr>
      <w:tblGrid>
        <w:gridCol w:w="279"/>
        <w:gridCol w:w="1134"/>
        <w:gridCol w:w="1417"/>
        <w:gridCol w:w="1135"/>
        <w:gridCol w:w="1049"/>
        <w:gridCol w:w="1028"/>
        <w:gridCol w:w="1049"/>
        <w:gridCol w:w="1028"/>
        <w:gridCol w:w="1048"/>
      </w:tblGrid>
      <w:tr w:rsidR="00804378" w:rsidRPr="00405BA5" w:rsidTr="00F15DAD">
        <w:trPr>
          <w:tblHeader/>
        </w:trPr>
        <w:tc>
          <w:tcPr>
            <w:tcW w:w="1413" w:type="dxa"/>
            <w:gridSpan w:val="2"/>
            <w:tcMar>
              <w:left w:w="11" w:type="dxa"/>
              <w:right w:w="11" w:type="dxa"/>
            </w:tcMar>
          </w:tcPr>
          <w:p w:rsidR="0022605C" w:rsidRPr="00534C5B" w:rsidRDefault="0022605C" w:rsidP="0054077E">
            <w:pPr>
              <w:pStyle w:val="3Bodytext"/>
              <w:keepNext/>
              <w:keepLines/>
              <w:numPr>
                <w:ilvl w:val="0"/>
                <w:numId w:val="0"/>
              </w:numPr>
              <w:spacing w:after="0"/>
              <w:jc w:val="left"/>
              <w:rPr>
                <w:rFonts w:ascii="Arial Narrow" w:hAnsi="Arial Narrow"/>
                <w:b/>
                <w:sz w:val="20"/>
                <w:szCs w:val="20"/>
              </w:rPr>
            </w:pPr>
          </w:p>
        </w:tc>
        <w:tc>
          <w:tcPr>
            <w:tcW w:w="1417" w:type="dxa"/>
            <w:tcMar>
              <w:left w:w="11" w:type="dxa"/>
              <w:right w:w="11" w:type="dxa"/>
            </w:tcMar>
          </w:tcPr>
          <w:p w:rsidR="0022605C" w:rsidRPr="00405BA5" w:rsidRDefault="0022605C" w:rsidP="0054077E">
            <w:pPr>
              <w:pStyle w:val="3Bodytext"/>
              <w:keepNext/>
              <w:keepLines/>
              <w:numPr>
                <w:ilvl w:val="0"/>
                <w:numId w:val="0"/>
              </w:numPr>
              <w:spacing w:after="0"/>
              <w:jc w:val="center"/>
              <w:rPr>
                <w:rFonts w:ascii="Arial Narrow" w:hAnsi="Arial Narrow"/>
                <w:b/>
                <w:sz w:val="20"/>
                <w:szCs w:val="20"/>
              </w:rPr>
            </w:pPr>
            <w:r w:rsidRPr="00405BA5">
              <w:rPr>
                <w:rFonts w:ascii="Arial Narrow" w:hAnsi="Arial Narrow"/>
                <w:b/>
                <w:sz w:val="20"/>
                <w:szCs w:val="20"/>
              </w:rPr>
              <w:t>Method</w:t>
            </w:r>
          </w:p>
        </w:tc>
        <w:tc>
          <w:tcPr>
            <w:tcW w:w="1135" w:type="dxa"/>
            <w:tcMar>
              <w:left w:w="11" w:type="dxa"/>
              <w:right w:w="11" w:type="dxa"/>
            </w:tcMar>
          </w:tcPr>
          <w:p w:rsidR="0022605C" w:rsidRPr="00405BA5" w:rsidRDefault="0022605C" w:rsidP="0054077E">
            <w:pPr>
              <w:pStyle w:val="3Bodytext"/>
              <w:keepNext/>
              <w:keepLines/>
              <w:numPr>
                <w:ilvl w:val="0"/>
                <w:numId w:val="0"/>
              </w:numPr>
              <w:spacing w:after="0"/>
              <w:jc w:val="center"/>
              <w:rPr>
                <w:rFonts w:ascii="Arial Narrow" w:hAnsi="Arial Narrow"/>
                <w:b/>
                <w:sz w:val="20"/>
                <w:szCs w:val="20"/>
              </w:rPr>
            </w:pPr>
            <w:r w:rsidRPr="00405BA5">
              <w:rPr>
                <w:rFonts w:ascii="Arial Narrow" w:hAnsi="Arial Narrow"/>
                <w:b/>
                <w:sz w:val="20"/>
                <w:szCs w:val="20"/>
              </w:rPr>
              <w:t>2020</w:t>
            </w:r>
          </w:p>
        </w:tc>
        <w:tc>
          <w:tcPr>
            <w:tcW w:w="1049" w:type="dxa"/>
            <w:tcMar>
              <w:left w:w="11" w:type="dxa"/>
              <w:right w:w="11" w:type="dxa"/>
            </w:tcMar>
          </w:tcPr>
          <w:p w:rsidR="0022605C" w:rsidRPr="00405BA5" w:rsidRDefault="0022605C" w:rsidP="0054077E">
            <w:pPr>
              <w:pStyle w:val="3Bodytext"/>
              <w:keepNext/>
              <w:keepLines/>
              <w:numPr>
                <w:ilvl w:val="0"/>
                <w:numId w:val="0"/>
              </w:numPr>
              <w:spacing w:after="0"/>
              <w:jc w:val="center"/>
              <w:rPr>
                <w:rFonts w:ascii="Arial Narrow" w:hAnsi="Arial Narrow"/>
                <w:b/>
                <w:sz w:val="20"/>
                <w:szCs w:val="20"/>
              </w:rPr>
            </w:pPr>
            <w:r w:rsidRPr="00405BA5">
              <w:rPr>
                <w:rFonts w:ascii="Arial Narrow" w:hAnsi="Arial Narrow"/>
                <w:b/>
                <w:sz w:val="20"/>
                <w:szCs w:val="20"/>
              </w:rPr>
              <w:t>2021</w:t>
            </w:r>
          </w:p>
        </w:tc>
        <w:tc>
          <w:tcPr>
            <w:tcW w:w="1028" w:type="dxa"/>
            <w:tcMar>
              <w:left w:w="11" w:type="dxa"/>
              <w:right w:w="11" w:type="dxa"/>
            </w:tcMar>
          </w:tcPr>
          <w:p w:rsidR="0022605C" w:rsidRPr="00405BA5" w:rsidRDefault="0022605C" w:rsidP="0054077E">
            <w:pPr>
              <w:pStyle w:val="3Bodytext"/>
              <w:keepNext/>
              <w:keepLines/>
              <w:numPr>
                <w:ilvl w:val="0"/>
                <w:numId w:val="0"/>
              </w:numPr>
              <w:spacing w:after="0"/>
              <w:jc w:val="center"/>
              <w:rPr>
                <w:rFonts w:ascii="Arial Narrow" w:hAnsi="Arial Narrow"/>
                <w:b/>
                <w:sz w:val="20"/>
                <w:szCs w:val="20"/>
              </w:rPr>
            </w:pPr>
            <w:r w:rsidRPr="00405BA5">
              <w:rPr>
                <w:rFonts w:ascii="Arial Narrow" w:hAnsi="Arial Narrow"/>
                <w:b/>
                <w:sz w:val="20"/>
                <w:szCs w:val="20"/>
              </w:rPr>
              <w:t>2022</w:t>
            </w:r>
          </w:p>
        </w:tc>
        <w:tc>
          <w:tcPr>
            <w:tcW w:w="1049" w:type="dxa"/>
            <w:tcMar>
              <w:left w:w="11" w:type="dxa"/>
              <w:right w:w="11" w:type="dxa"/>
            </w:tcMar>
          </w:tcPr>
          <w:p w:rsidR="0022605C" w:rsidRPr="00405BA5" w:rsidRDefault="0022605C" w:rsidP="0054077E">
            <w:pPr>
              <w:pStyle w:val="3Bodytext"/>
              <w:keepNext/>
              <w:keepLines/>
              <w:numPr>
                <w:ilvl w:val="0"/>
                <w:numId w:val="0"/>
              </w:numPr>
              <w:spacing w:after="0"/>
              <w:jc w:val="center"/>
              <w:rPr>
                <w:rFonts w:ascii="Arial Narrow" w:hAnsi="Arial Narrow"/>
                <w:b/>
                <w:sz w:val="20"/>
                <w:szCs w:val="20"/>
              </w:rPr>
            </w:pPr>
            <w:r w:rsidRPr="00405BA5">
              <w:rPr>
                <w:rFonts w:ascii="Arial Narrow" w:hAnsi="Arial Narrow"/>
                <w:b/>
                <w:sz w:val="20"/>
                <w:szCs w:val="20"/>
              </w:rPr>
              <w:t>2023</w:t>
            </w:r>
          </w:p>
        </w:tc>
        <w:tc>
          <w:tcPr>
            <w:tcW w:w="1028" w:type="dxa"/>
            <w:tcMar>
              <w:left w:w="11" w:type="dxa"/>
              <w:right w:w="11" w:type="dxa"/>
            </w:tcMar>
          </w:tcPr>
          <w:p w:rsidR="0022605C" w:rsidRPr="00405BA5" w:rsidRDefault="0022605C" w:rsidP="0054077E">
            <w:pPr>
              <w:pStyle w:val="3Bodytext"/>
              <w:keepNext/>
              <w:keepLines/>
              <w:numPr>
                <w:ilvl w:val="0"/>
                <w:numId w:val="0"/>
              </w:numPr>
              <w:spacing w:after="0"/>
              <w:jc w:val="center"/>
              <w:rPr>
                <w:rFonts w:ascii="Arial Narrow" w:hAnsi="Arial Narrow"/>
                <w:b/>
                <w:sz w:val="20"/>
                <w:szCs w:val="20"/>
              </w:rPr>
            </w:pPr>
            <w:r w:rsidRPr="00405BA5">
              <w:rPr>
                <w:rFonts w:ascii="Arial Narrow" w:hAnsi="Arial Narrow"/>
                <w:b/>
                <w:sz w:val="20"/>
                <w:szCs w:val="20"/>
              </w:rPr>
              <w:t>2024</w:t>
            </w:r>
          </w:p>
        </w:tc>
        <w:tc>
          <w:tcPr>
            <w:tcW w:w="1048" w:type="dxa"/>
            <w:tcMar>
              <w:left w:w="11" w:type="dxa"/>
              <w:right w:w="11" w:type="dxa"/>
            </w:tcMar>
          </w:tcPr>
          <w:p w:rsidR="0022605C" w:rsidRPr="00405BA5" w:rsidRDefault="0022605C" w:rsidP="0054077E">
            <w:pPr>
              <w:pStyle w:val="3Bodytext"/>
              <w:keepNext/>
              <w:keepLines/>
              <w:numPr>
                <w:ilvl w:val="0"/>
                <w:numId w:val="0"/>
              </w:numPr>
              <w:spacing w:after="0"/>
              <w:jc w:val="center"/>
              <w:rPr>
                <w:rFonts w:ascii="Arial Narrow" w:hAnsi="Arial Narrow"/>
                <w:b/>
                <w:sz w:val="20"/>
                <w:szCs w:val="20"/>
              </w:rPr>
            </w:pPr>
            <w:r w:rsidRPr="00405BA5">
              <w:rPr>
                <w:rFonts w:ascii="Arial Narrow" w:hAnsi="Arial Narrow"/>
                <w:b/>
                <w:sz w:val="20"/>
                <w:szCs w:val="20"/>
              </w:rPr>
              <w:t>2025</w:t>
            </w:r>
          </w:p>
        </w:tc>
      </w:tr>
      <w:tr w:rsidR="0022605C" w:rsidRPr="00405BA5" w:rsidTr="00F15DAD">
        <w:trPr>
          <w:tblHeader/>
        </w:trPr>
        <w:tc>
          <w:tcPr>
            <w:tcW w:w="9167" w:type="dxa"/>
            <w:gridSpan w:val="9"/>
            <w:tcMar>
              <w:left w:w="11" w:type="dxa"/>
              <w:right w:w="11" w:type="dxa"/>
            </w:tcMar>
          </w:tcPr>
          <w:p w:rsidR="0022605C" w:rsidRPr="00405BA5" w:rsidRDefault="0022605C" w:rsidP="0054077E">
            <w:pPr>
              <w:pStyle w:val="3Bodytext"/>
              <w:keepNext/>
              <w:keepLines/>
              <w:numPr>
                <w:ilvl w:val="0"/>
                <w:numId w:val="0"/>
              </w:numPr>
              <w:spacing w:after="0"/>
              <w:jc w:val="left"/>
              <w:rPr>
                <w:rFonts w:ascii="Arial Narrow" w:hAnsi="Arial Narrow"/>
                <w:b/>
                <w:sz w:val="20"/>
                <w:szCs w:val="20"/>
              </w:rPr>
            </w:pPr>
            <w:r w:rsidRPr="00405BA5">
              <w:rPr>
                <w:rFonts w:ascii="Arial Narrow" w:hAnsi="Arial Narrow"/>
                <w:b/>
                <w:sz w:val="20"/>
                <w:szCs w:val="20"/>
              </w:rPr>
              <w:t>Adjuvant setting</w:t>
            </w:r>
          </w:p>
        </w:tc>
      </w:tr>
      <w:tr w:rsidR="00804378" w:rsidRPr="00405BA5" w:rsidTr="00F15DAD">
        <w:trPr>
          <w:tblHeader/>
        </w:trPr>
        <w:tc>
          <w:tcPr>
            <w:tcW w:w="279" w:type="dxa"/>
            <w:tcMar>
              <w:left w:w="11" w:type="dxa"/>
              <w:right w:w="11" w:type="dxa"/>
            </w:tcMar>
            <w:vAlign w:val="center"/>
          </w:tcPr>
          <w:p w:rsidR="00F331BD" w:rsidRPr="00405BA5" w:rsidRDefault="00905AF7" w:rsidP="00F331BD">
            <w:pPr>
              <w:pStyle w:val="3Bodytext"/>
              <w:keepNext/>
              <w:keepLines/>
              <w:numPr>
                <w:ilvl w:val="0"/>
                <w:numId w:val="0"/>
              </w:numPr>
              <w:spacing w:after="0"/>
              <w:jc w:val="center"/>
              <w:rPr>
                <w:rFonts w:ascii="Arial Narrow" w:hAnsi="Arial Narrow"/>
                <w:sz w:val="20"/>
                <w:szCs w:val="20"/>
              </w:rPr>
            </w:pPr>
            <w:r w:rsidRPr="00405BA5">
              <w:rPr>
                <w:rFonts w:ascii="Arial Narrow" w:hAnsi="Arial Narrow"/>
                <w:sz w:val="20"/>
                <w:szCs w:val="20"/>
              </w:rPr>
              <w:t>K</w:t>
            </w:r>
          </w:p>
        </w:tc>
        <w:tc>
          <w:tcPr>
            <w:tcW w:w="1134" w:type="dxa"/>
            <w:tcMar>
              <w:left w:w="11" w:type="dxa"/>
              <w:right w:w="11" w:type="dxa"/>
            </w:tcMar>
          </w:tcPr>
          <w:p w:rsidR="00F331BD" w:rsidRPr="00405BA5" w:rsidRDefault="00804378" w:rsidP="00F331BD">
            <w:pPr>
              <w:pStyle w:val="3Bodytext"/>
              <w:keepNext/>
              <w:keepLines/>
              <w:numPr>
                <w:ilvl w:val="0"/>
                <w:numId w:val="0"/>
              </w:numPr>
              <w:spacing w:after="0"/>
              <w:jc w:val="left"/>
              <w:rPr>
                <w:rFonts w:ascii="Arial Narrow" w:hAnsi="Arial Narrow"/>
                <w:sz w:val="20"/>
                <w:szCs w:val="20"/>
              </w:rPr>
            </w:pPr>
            <w:r w:rsidRPr="00405BA5">
              <w:rPr>
                <w:rFonts w:ascii="Arial Narrow" w:hAnsi="Arial Narrow"/>
                <w:sz w:val="20"/>
                <w:szCs w:val="20"/>
              </w:rPr>
              <w:t xml:space="preserve">BRAF MT </w:t>
            </w:r>
            <w:r w:rsidR="00F331BD" w:rsidRPr="00405BA5">
              <w:rPr>
                <w:rFonts w:ascii="Arial Narrow" w:hAnsi="Arial Narrow"/>
                <w:sz w:val="20"/>
                <w:szCs w:val="20"/>
              </w:rPr>
              <w:t>patients</w:t>
            </w:r>
          </w:p>
        </w:tc>
        <w:tc>
          <w:tcPr>
            <w:tcW w:w="1417" w:type="dxa"/>
            <w:tcMar>
              <w:left w:w="11" w:type="dxa"/>
              <w:right w:w="11" w:type="dxa"/>
            </w:tcMar>
            <w:vAlign w:val="center"/>
          </w:tcPr>
          <w:p w:rsidR="00F331BD" w:rsidRPr="00405BA5" w:rsidRDefault="00F331BD" w:rsidP="00804378">
            <w:pPr>
              <w:pStyle w:val="3Bodytext"/>
              <w:keepNext/>
              <w:keepLines/>
              <w:numPr>
                <w:ilvl w:val="0"/>
                <w:numId w:val="0"/>
              </w:numPr>
              <w:spacing w:after="0"/>
              <w:jc w:val="center"/>
              <w:rPr>
                <w:rFonts w:ascii="Arial Narrow" w:hAnsi="Arial Narrow"/>
                <w:sz w:val="20"/>
                <w:szCs w:val="20"/>
              </w:rPr>
            </w:pPr>
            <w:r w:rsidRPr="00405BA5">
              <w:rPr>
                <w:rFonts w:ascii="Arial Narrow" w:hAnsi="Arial Narrow"/>
                <w:sz w:val="20"/>
                <w:szCs w:val="20"/>
              </w:rPr>
              <w:t xml:space="preserve">(C + D) x </w:t>
            </w:r>
            <w:r w:rsidR="00804378" w:rsidRPr="00405BA5">
              <w:rPr>
                <w:rFonts w:ascii="Arial Narrow" w:hAnsi="Arial Narrow"/>
                <w:sz w:val="20"/>
                <w:szCs w:val="20"/>
              </w:rPr>
              <w:t>$</w:t>
            </w:r>
            <w:r w:rsidR="002319C5">
              <w:rPr>
                <w:rFonts w:ascii="Arial Narrow" w:hAnsi="Arial Narrow"/>
                <w:noProof/>
                <w:color w:val="000000"/>
                <w:sz w:val="20"/>
                <w:szCs w:val="20"/>
                <w:highlight w:val="black"/>
              </w:rPr>
              <w:t>''''''''''''''''</w:t>
            </w:r>
            <w:r w:rsidR="0051336A" w:rsidRPr="00405BA5">
              <w:rPr>
                <w:rFonts w:ascii="Arial Narrow" w:hAnsi="Arial Narrow"/>
                <w:sz w:val="20"/>
                <w:szCs w:val="20"/>
                <w:vertAlign w:val="superscript"/>
              </w:rPr>
              <w:t>a</w:t>
            </w:r>
          </w:p>
        </w:tc>
        <w:tc>
          <w:tcPr>
            <w:tcW w:w="1135" w:type="dxa"/>
            <w:tcMar>
              <w:left w:w="11" w:type="dxa"/>
              <w:right w:w="11" w:type="dxa"/>
            </w:tcMar>
            <w:vAlign w:val="center"/>
          </w:tcPr>
          <w:p w:rsidR="00F331BD" w:rsidRPr="00405BA5" w:rsidRDefault="00A30B1C" w:rsidP="00804378">
            <w:pPr>
              <w:pStyle w:val="3Bodytext"/>
              <w:keepNext/>
              <w:keepLines/>
              <w:numPr>
                <w:ilvl w:val="0"/>
                <w:numId w:val="0"/>
              </w:numPr>
              <w:spacing w:after="0"/>
              <w:jc w:val="center"/>
              <w:rPr>
                <w:rFonts w:ascii="Arial Narrow" w:hAnsi="Arial Narrow"/>
                <w:sz w:val="20"/>
                <w:szCs w:val="20"/>
              </w:rPr>
            </w:pPr>
            <w:r>
              <w:rPr>
                <w:rFonts w:ascii="Arial Narrow" w:hAnsi="Arial Narrow" w:cs="Calibri"/>
                <w:noProof/>
                <w:color w:val="000000"/>
                <w:sz w:val="20"/>
                <w:szCs w:val="20"/>
                <w:highlight w:val="black"/>
              </w:rPr>
              <w:t>'''' ''</w:t>
            </w:r>
            <w:r w:rsidR="002319C5">
              <w:rPr>
                <w:rFonts w:ascii="Arial Narrow" w:hAnsi="Arial Narrow" w:cs="Calibri"/>
                <w:noProof/>
                <w:color w:val="000000"/>
                <w:sz w:val="20"/>
                <w:szCs w:val="20"/>
                <w:highlight w:val="black"/>
              </w:rPr>
              <w:t>''''''''''''''''''''''</w:t>
            </w:r>
          </w:p>
        </w:tc>
        <w:tc>
          <w:tcPr>
            <w:tcW w:w="1049" w:type="dxa"/>
            <w:tcMar>
              <w:left w:w="11" w:type="dxa"/>
              <w:right w:w="11" w:type="dxa"/>
            </w:tcMar>
            <w:vAlign w:val="center"/>
          </w:tcPr>
          <w:p w:rsidR="00F331BD" w:rsidRPr="00405BA5" w:rsidRDefault="00A30B1C" w:rsidP="00804378">
            <w:pPr>
              <w:pStyle w:val="3Bodytext"/>
              <w:keepNext/>
              <w:keepLines/>
              <w:numPr>
                <w:ilvl w:val="0"/>
                <w:numId w:val="0"/>
              </w:numPr>
              <w:spacing w:after="0"/>
              <w:jc w:val="center"/>
              <w:rPr>
                <w:rFonts w:ascii="Arial Narrow" w:hAnsi="Arial Narrow"/>
                <w:sz w:val="20"/>
                <w:szCs w:val="20"/>
              </w:rPr>
            </w:pPr>
            <w:r>
              <w:rPr>
                <w:rFonts w:ascii="Arial Narrow" w:hAnsi="Arial Narrow" w:cs="Calibri"/>
                <w:noProof/>
                <w:color w:val="000000"/>
                <w:sz w:val="20"/>
                <w:szCs w:val="20"/>
                <w:highlight w:val="black"/>
              </w:rPr>
              <w:t>''' ''</w:t>
            </w:r>
            <w:r w:rsidR="002319C5">
              <w:rPr>
                <w:rFonts w:ascii="Arial Narrow" w:hAnsi="Arial Narrow" w:cs="Calibri"/>
                <w:noProof/>
                <w:color w:val="000000"/>
                <w:sz w:val="20"/>
                <w:szCs w:val="20"/>
                <w:highlight w:val="black"/>
              </w:rPr>
              <w:t>'''''''''''''''''''''</w:t>
            </w:r>
          </w:p>
        </w:tc>
        <w:tc>
          <w:tcPr>
            <w:tcW w:w="1028" w:type="dxa"/>
            <w:tcMar>
              <w:left w:w="11" w:type="dxa"/>
              <w:right w:w="11" w:type="dxa"/>
            </w:tcMar>
            <w:vAlign w:val="center"/>
          </w:tcPr>
          <w:p w:rsidR="00F331BD" w:rsidRPr="00A30B1C" w:rsidRDefault="00A30B1C" w:rsidP="00804378">
            <w:pPr>
              <w:pStyle w:val="3Bodytext"/>
              <w:keepNext/>
              <w:keepLines/>
              <w:numPr>
                <w:ilvl w:val="0"/>
                <w:numId w:val="0"/>
              </w:numPr>
              <w:spacing w:after="0"/>
              <w:jc w:val="center"/>
              <w:rPr>
                <w:rFonts w:ascii="Arial Narrow" w:hAnsi="Arial Narrow"/>
                <w:sz w:val="20"/>
                <w:szCs w:val="20"/>
                <w:highlight w:val="black"/>
              </w:rPr>
            </w:pPr>
            <w:r>
              <w:rPr>
                <w:rFonts w:ascii="Arial Narrow" w:hAnsi="Arial Narrow" w:cs="Calibri"/>
                <w:noProof/>
                <w:color w:val="000000"/>
                <w:sz w:val="20"/>
                <w:szCs w:val="20"/>
                <w:highlight w:val="black"/>
              </w:rPr>
              <w:t>''' '''''''''''''''''''''</w:t>
            </w:r>
          </w:p>
        </w:tc>
        <w:tc>
          <w:tcPr>
            <w:tcW w:w="1049" w:type="dxa"/>
            <w:tcMar>
              <w:left w:w="11" w:type="dxa"/>
              <w:right w:w="11" w:type="dxa"/>
            </w:tcMar>
            <w:vAlign w:val="center"/>
          </w:tcPr>
          <w:p w:rsidR="00F331BD" w:rsidRPr="00A30B1C" w:rsidRDefault="00653477" w:rsidP="00804378">
            <w:pPr>
              <w:pStyle w:val="3Bodytext"/>
              <w:keepNext/>
              <w:keepLines/>
              <w:numPr>
                <w:ilvl w:val="0"/>
                <w:numId w:val="0"/>
              </w:numPr>
              <w:spacing w:after="0"/>
              <w:jc w:val="center"/>
              <w:rPr>
                <w:rFonts w:ascii="Arial Narrow" w:hAnsi="Arial Narrow"/>
                <w:sz w:val="20"/>
                <w:szCs w:val="20"/>
                <w:highlight w:val="black"/>
              </w:rPr>
            </w:pPr>
            <w:r>
              <w:rPr>
                <w:rFonts w:ascii="Arial Narrow" w:hAnsi="Arial Narrow" w:cs="Calibri"/>
                <w:noProof/>
                <w:color w:val="000000"/>
                <w:sz w:val="20"/>
                <w:szCs w:val="20"/>
                <w:highlight w:val="black"/>
              </w:rPr>
              <w:t>''''</w:t>
            </w:r>
            <w:r w:rsidR="00A30B1C">
              <w:rPr>
                <w:rFonts w:ascii="Arial Narrow" w:hAnsi="Arial Narrow" w:cs="Calibri"/>
                <w:noProof/>
                <w:color w:val="000000"/>
                <w:sz w:val="20"/>
                <w:szCs w:val="20"/>
                <w:highlight w:val="black"/>
              </w:rPr>
              <w:t>''''''''''''''''''''''''''''</w:t>
            </w:r>
          </w:p>
        </w:tc>
        <w:tc>
          <w:tcPr>
            <w:tcW w:w="1028" w:type="dxa"/>
            <w:tcMar>
              <w:left w:w="11" w:type="dxa"/>
              <w:right w:w="11" w:type="dxa"/>
            </w:tcMar>
            <w:vAlign w:val="center"/>
          </w:tcPr>
          <w:p w:rsidR="00F331BD" w:rsidRPr="00405BA5" w:rsidRDefault="00A30B1C" w:rsidP="00804378">
            <w:pPr>
              <w:pStyle w:val="3Bodytext"/>
              <w:keepNext/>
              <w:keepLines/>
              <w:numPr>
                <w:ilvl w:val="0"/>
                <w:numId w:val="0"/>
              </w:numPr>
              <w:spacing w:after="0"/>
              <w:jc w:val="center"/>
              <w:rPr>
                <w:rFonts w:ascii="Arial Narrow" w:hAnsi="Arial Narrow"/>
                <w:sz w:val="20"/>
                <w:szCs w:val="20"/>
              </w:rPr>
            </w:pPr>
            <w:r>
              <w:rPr>
                <w:rFonts w:ascii="Arial Narrow" w:hAnsi="Arial Narrow" w:cs="Calibri"/>
                <w:noProof/>
                <w:color w:val="000000"/>
                <w:sz w:val="20"/>
                <w:szCs w:val="20"/>
                <w:highlight w:val="black"/>
              </w:rPr>
              <w:t>'''' ''</w:t>
            </w:r>
            <w:r w:rsidR="002319C5">
              <w:rPr>
                <w:rFonts w:ascii="Arial Narrow" w:hAnsi="Arial Narrow" w:cs="Calibri"/>
                <w:noProof/>
                <w:color w:val="000000"/>
                <w:sz w:val="20"/>
                <w:szCs w:val="20"/>
                <w:highlight w:val="black"/>
              </w:rPr>
              <w:t>''''''''''''''''''''</w:t>
            </w:r>
          </w:p>
        </w:tc>
        <w:tc>
          <w:tcPr>
            <w:tcW w:w="1048" w:type="dxa"/>
            <w:tcMar>
              <w:left w:w="11" w:type="dxa"/>
              <w:right w:w="11" w:type="dxa"/>
            </w:tcMar>
            <w:vAlign w:val="center"/>
          </w:tcPr>
          <w:p w:rsidR="00F331BD" w:rsidRPr="00405BA5" w:rsidRDefault="00A30B1C" w:rsidP="00804378">
            <w:pPr>
              <w:pStyle w:val="3Bodytext"/>
              <w:keepNext/>
              <w:keepLines/>
              <w:numPr>
                <w:ilvl w:val="0"/>
                <w:numId w:val="0"/>
              </w:numPr>
              <w:spacing w:after="0"/>
              <w:jc w:val="center"/>
              <w:rPr>
                <w:rFonts w:ascii="Arial Narrow" w:hAnsi="Arial Narrow"/>
                <w:sz w:val="20"/>
                <w:szCs w:val="20"/>
              </w:rPr>
            </w:pPr>
            <w:r>
              <w:rPr>
                <w:rFonts w:ascii="Arial Narrow" w:hAnsi="Arial Narrow" w:cs="Calibri"/>
                <w:noProof/>
                <w:color w:val="000000"/>
                <w:sz w:val="20"/>
                <w:szCs w:val="20"/>
                <w:highlight w:val="black"/>
              </w:rPr>
              <w:t xml:space="preserve">'''' </w:t>
            </w:r>
            <w:r w:rsidR="002319C5">
              <w:rPr>
                <w:rFonts w:ascii="Arial Narrow" w:hAnsi="Arial Narrow" w:cs="Calibri"/>
                <w:noProof/>
                <w:color w:val="000000"/>
                <w:sz w:val="20"/>
                <w:szCs w:val="20"/>
                <w:highlight w:val="black"/>
              </w:rPr>
              <w:t>''''''''''''''''''''''</w:t>
            </w:r>
          </w:p>
        </w:tc>
      </w:tr>
      <w:tr w:rsidR="00804378" w:rsidRPr="00405BA5" w:rsidTr="00F15DAD">
        <w:trPr>
          <w:tblHeader/>
        </w:trPr>
        <w:tc>
          <w:tcPr>
            <w:tcW w:w="279" w:type="dxa"/>
            <w:tcMar>
              <w:left w:w="11" w:type="dxa"/>
              <w:right w:w="11" w:type="dxa"/>
            </w:tcMar>
            <w:vAlign w:val="center"/>
          </w:tcPr>
          <w:p w:rsidR="00F331BD" w:rsidRPr="00405BA5" w:rsidRDefault="00905AF7" w:rsidP="00F331BD">
            <w:pPr>
              <w:pStyle w:val="3Bodytext"/>
              <w:keepNext/>
              <w:keepLines/>
              <w:numPr>
                <w:ilvl w:val="0"/>
                <w:numId w:val="0"/>
              </w:numPr>
              <w:spacing w:after="0"/>
              <w:jc w:val="center"/>
              <w:rPr>
                <w:rFonts w:ascii="Arial Narrow" w:hAnsi="Arial Narrow"/>
                <w:sz w:val="20"/>
                <w:szCs w:val="20"/>
              </w:rPr>
            </w:pPr>
            <w:r w:rsidRPr="00405BA5">
              <w:rPr>
                <w:rFonts w:ascii="Arial Narrow" w:hAnsi="Arial Narrow"/>
                <w:sz w:val="20"/>
                <w:szCs w:val="20"/>
              </w:rPr>
              <w:t>L</w:t>
            </w:r>
          </w:p>
        </w:tc>
        <w:tc>
          <w:tcPr>
            <w:tcW w:w="1134" w:type="dxa"/>
            <w:tcMar>
              <w:left w:w="11" w:type="dxa"/>
              <w:right w:w="11" w:type="dxa"/>
            </w:tcMar>
          </w:tcPr>
          <w:p w:rsidR="00F331BD" w:rsidRPr="00405BA5" w:rsidRDefault="00F331BD" w:rsidP="00804378">
            <w:pPr>
              <w:pStyle w:val="3Bodytext"/>
              <w:keepNext/>
              <w:keepLines/>
              <w:numPr>
                <w:ilvl w:val="0"/>
                <w:numId w:val="0"/>
              </w:numPr>
              <w:spacing w:after="0"/>
              <w:jc w:val="left"/>
              <w:rPr>
                <w:rFonts w:ascii="Arial Narrow" w:hAnsi="Arial Narrow"/>
                <w:sz w:val="20"/>
                <w:szCs w:val="20"/>
              </w:rPr>
            </w:pPr>
            <w:r w:rsidRPr="00405BA5">
              <w:rPr>
                <w:rFonts w:ascii="Arial Narrow" w:hAnsi="Arial Narrow"/>
                <w:sz w:val="20"/>
                <w:szCs w:val="20"/>
              </w:rPr>
              <w:t xml:space="preserve">BRAF </w:t>
            </w:r>
            <w:r w:rsidR="00804378" w:rsidRPr="00405BA5">
              <w:rPr>
                <w:rFonts w:ascii="Arial Narrow" w:hAnsi="Arial Narrow"/>
                <w:sz w:val="20"/>
                <w:szCs w:val="20"/>
              </w:rPr>
              <w:t>WT</w:t>
            </w:r>
            <w:r w:rsidRPr="00405BA5">
              <w:rPr>
                <w:rFonts w:ascii="Arial Narrow" w:hAnsi="Arial Narrow"/>
                <w:sz w:val="20"/>
                <w:szCs w:val="20"/>
              </w:rPr>
              <w:t xml:space="preserve"> patients </w:t>
            </w:r>
          </w:p>
        </w:tc>
        <w:tc>
          <w:tcPr>
            <w:tcW w:w="1417" w:type="dxa"/>
            <w:tcMar>
              <w:left w:w="11" w:type="dxa"/>
              <w:right w:w="11" w:type="dxa"/>
            </w:tcMar>
            <w:vAlign w:val="center"/>
          </w:tcPr>
          <w:p w:rsidR="00F331BD" w:rsidRPr="00405BA5" w:rsidRDefault="00F331BD" w:rsidP="00804378">
            <w:pPr>
              <w:pStyle w:val="3Bodytext"/>
              <w:keepNext/>
              <w:keepLines/>
              <w:numPr>
                <w:ilvl w:val="0"/>
                <w:numId w:val="0"/>
              </w:numPr>
              <w:spacing w:after="0"/>
              <w:jc w:val="center"/>
              <w:rPr>
                <w:rFonts w:ascii="Arial Narrow" w:hAnsi="Arial Narrow"/>
                <w:sz w:val="20"/>
                <w:szCs w:val="20"/>
              </w:rPr>
            </w:pPr>
            <w:r w:rsidRPr="00405BA5">
              <w:rPr>
                <w:rFonts w:ascii="Arial Narrow" w:hAnsi="Arial Narrow"/>
                <w:sz w:val="20"/>
                <w:szCs w:val="20"/>
              </w:rPr>
              <w:t xml:space="preserve">(E + F) x </w:t>
            </w:r>
            <w:r w:rsidR="00804378" w:rsidRPr="00405BA5">
              <w:rPr>
                <w:rFonts w:ascii="Arial Narrow" w:hAnsi="Arial Narrow"/>
                <w:sz w:val="20"/>
                <w:szCs w:val="20"/>
              </w:rPr>
              <w:t>$</w:t>
            </w:r>
            <w:bookmarkStart w:id="0" w:name="_GoBack"/>
            <w:bookmarkEnd w:id="0"/>
            <w:r w:rsidR="00653477">
              <w:rPr>
                <w:rFonts w:ascii="Arial Narrow" w:hAnsi="Arial Narrow"/>
                <w:noProof/>
                <w:color w:val="000000"/>
                <w:sz w:val="20"/>
                <w:szCs w:val="20"/>
                <w:highlight w:val="black"/>
              </w:rPr>
              <w:t>'''''''''''''''</w:t>
            </w:r>
            <w:r w:rsidR="0051336A" w:rsidRPr="00405BA5">
              <w:rPr>
                <w:rFonts w:ascii="Arial Narrow" w:hAnsi="Arial Narrow"/>
                <w:sz w:val="20"/>
                <w:szCs w:val="20"/>
                <w:vertAlign w:val="superscript"/>
              </w:rPr>
              <w:t>b</w:t>
            </w:r>
          </w:p>
        </w:tc>
        <w:tc>
          <w:tcPr>
            <w:tcW w:w="1135" w:type="dxa"/>
            <w:tcMar>
              <w:left w:w="11" w:type="dxa"/>
              <w:right w:w="11" w:type="dxa"/>
            </w:tcMar>
            <w:vAlign w:val="center"/>
          </w:tcPr>
          <w:p w:rsidR="00F331BD" w:rsidRPr="00405BA5" w:rsidRDefault="00F331BD" w:rsidP="00804378">
            <w:pPr>
              <w:pStyle w:val="3Bodytext"/>
              <w:keepNext/>
              <w:keepLines/>
              <w:numPr>
                <w:ilvl w:val="0"/>
                <w:numId w:val="0"/>
              </w:numPr>
              <w:spacing w:after="0"/>
              <w:jc w:val="center"/>
              <w:rPr>
                <w:rFonts w:ascii="Arial Narrow" w:hAnsi="Arial Narrow"/>
                <w:sz w:val="20"/>
                <w:szCs w:val="20"/>
              </w:rPr>
            </w:pPr>
            <w:r w:rsidRPr="00405BA5">
              <w:rPr>
                <w:rFonts w:ascii="Arial Narrow" w:hAnsi="Arial Narrow" w:cs="Calibri"/>
                <w:color w:val="000000"/>
                <w:sz w:val="20"/>
                <w:szCs w:val="20"/>
              </w:rPr>
              <w:t>$</w:t>
            </w:r>
            <w:r w:rsidR="00653477">
              <w:rPr>
                <w:rFonts w:ascii="Arial Narrow" w:hAnsi="Arial Narrow" w:cs="Calibri"/>
                <w:noProof/>
                <w:color w:val="000000"/>
                <w:sz w:val="20"/>
                <w:szCs w:val="20"/>
                <w:highlight w:val="black"/>
              </w:rPr>
              <w:t>'''''''''''''''''''''''''''</w:t>
            </w:r>
          </w:p>
        </w:tc>
        <w:tc>
          <w:tcPr>
            <w:tcW w:w="1049" w:type="dxa"/>
            <w:tcMar>
              <w:left w:w="11" w:type="dxa"/>
              <w:right w:w="11" w:type="dxa"/>
            </w:tcMar>
            <w:vAlign w:val="center"/>
          </w:tcPr>
          <w:p w:rsidR="00F331BD" w:rsidRPr="00405BA5" w:rsidRDefault="00F331BD" w:rsidP="00804378">
            <w:pPr>
              <w:pStyle w:val="3Bodytext"/>
              <w:keepNext/>
              <w:keepLines/>
              <w:numPr>
                <w:ilvl w:val="0"/>
                <w:numId w:val="0"/>
              </w:numPr>
              <w:spacing w:after="0"/>
              <w:jc w:val="center"/>
              <w:rPr>
                <w:rFonts w:ascii="Arial Narrow" w:hAnsi="Arial Narrow"/>
                <w:sz w:val="20"/>
                <w:szCs w:val="20"/>
              </w:rPr>
            </w:pPr>
            <w:r w:rsidRPr="00405BA5">
              <w:rPr>
                <w:rFonts w:ascii="Arial Narrow" w:hAnsi="Arial Narrow" w:cs="Calibri"/>
                <w:color w:val="000000"/>
                <w:sz w:val="20"/>
                <w:szCs w:val="20"/>
              </w:rPr>
              <w:t>$</w:t>
            </w:r>
            <w:r w:rsidR="00653477">
              <w:rPr>
                <w:rFonts w:ascii="Arial Narrow" w:hAnsi="Arial Narrow" w:cs="Calibri"/>
                <w:noProof/>
                <w:color w:val="000000"/>
                <w:sz w:val="20"/>
                <w:szCs w:val="20"/>
                <w:highlight w:val="black"/>
              </w:rPr>
              <w:t>''''''''''''''''''''''''''</w:t>
            </w:r>
          </w:p>
        </w:tc>
        <w:tc>
          <w:tcPr>
            <w:tcW w:w="1028" w:type="dxa"/>
            <w:tcMar>
              <w:left w:w="11" w:type="dxa"/>
              <w:right w:w="11" w:type="dxa"/>
            </w:tcMar>
            <w:vAlign w:val="center"/>
          </w:tcPr>
          <w:p w:rsidR="00F331BD" w:rsidRPr="00405BA5" w:rsidRDefault="00F331BD" w:rsidP="00804378">
            <w:pPr>
              <w:pStyle w:val="3Bodytext"/>
              <w:keepNext/>
              <w:keepLines/>
              <w:numPr>
                <w:ilvl w:val="0"/>
                <w:numId w:val="0"/>
              </w:numPr>
              <w:spacing w:after="0"/>
              <w:jc w:val="center"/>
              <w:rPr>
                <w:rFonts w:ascii="Arial Narrow" w:hAnsi="Arial Narrow"/>
                <w:sz w:val="20"/>
                <w:szCs w:val="20"/>
              </w:rPr>
            </w:pPr>
            <w:r w:rsidRPr="00405BA5">
              <w:rPr>
                <w:rFonts w:ascii="Arial Narrow" w:hAnsi="Arial Narrow" w:cs="Calibri"/>
                <w:color w:val="000000"/>
                <w:sz w:val="20"/>
                <w:szCs w:val="20"/>
              </w:rPr>
              <w:t>$</w:t>
            </w:r>
            <w:r w:rsidR="00653477">
              <w:rPr>
                <w:rFonts w:ascii="Arial Narrow" w:hAnsi="Arial Narrow" w:cs="Calibri"/>
                <w:noProof/>
                <w:color w:val="000000"/>
                <w:sz w:val="20"/>
                <w:szCs w:val="20"/>
                <w:highlight w:val="black"/>
              </w:rPr>
              <w:t>''''''''''''''''''''''''</w:t>
            </w:r>
          </w:p>
        </w:tc>
        <w:tc>
          <w:tcPr>
            <w:tcW w:w="1049" w:type="dxa"/>
            <w:tcMar>
              <w:left w:w="11" w:type="dxa"/>
              <w:right w:w="11" w:type="dxa"/>
            </w:tcMar>
            <w:vAlign w:val="center"/>
          </w:tcPr>
          <w:p w:rsidR="00F331BD" w:rsidRPr="00405BA5" w:rsidRDefault="00F331BD" w:rsidP="00804378">
            <w:pPr>
              <w:pStyle w:val="3Bodytext"/>
              <w:keepNext/>
              <w:keepLines/>
              <w:numPr>
                <w:ilvl w:val="0"/>
                <w:numId w:val="0"/>
              </w:numPr>
              <w:spacing w:after="0"/>
              <w:jc w:val="center"/>
              <w:rPr>
                <w:rFonts w:ascii="Arial Narrow" w:hAnsi="Arial Narrow"/>
                <w:sz w:val="20"/>
                <w:szCs w:val="20"/>
              </w:rPr>
            </w:pPr>
            <w:r w:rsidRPr="00405BA5">
              <w:rPr>
                <w:rFonts w:ascii="Arial Narrow" w:hAnsi="Arial Narrow" w:cs="Calibri"/>
                <w:color w:val="000000"/>
                <w:sz w:val="20"/>
                <w:szCs w:val="20"/>
              </w:rPr>
              <w:t>$</w:t>
            </w:r>
            <w:r w:rsidR="00653477">
              <w:rPr>
                <w:rFonts w:ascii="Arial Narrow" w:hAnsi="Arial Narrow" w:cs="Calibri"/>
                <w:noProof/>
                <w:color w:val="000000"/>
                <w:sz w:val="20"/>
                <w:szCs w:val="20"/>
                <w:highlight w:val="black"/>
              </w:rPr>
              <w:t>''''''''''''''''''''''''</w:t>
            </w:r>
          </w:p>
        </w:tc>
        <w:tc>
          <w:tcPr>
            <w:tcW w:w="1028" w:type="dxa"/>
            <w:tcMar>
              <w:left w:w="11" w:type="dxa"/>
              <w:right w:w="11" w:type="dxa"/>
            </w:tcMar>
            <w:vAlign w:val="center"/>
          </w:tcPr>
          <w:p w:rsidR="00F331BD" w:rsidRPr="00405BA5" w:rsidRDefault="00F331BD" w:rsidP="00804378">
            <w:pPr>
              <w:pStyle w:val="3Bodytext"/>
              <w:keepNext/>
              <w:keepLines/>
              <w:numPr>
                <w:ilvl w:val="0"/>
                <w:numId w:val="0"/>
              </w:numPr>
              <w:spacing w:after="0"/>
              <w:jc w:val="center"/>
              <w:rPr>
                <w:rFonts w:ascii="Arial Narrow" w:hAnsi="Arial Narrow"/>
                <w:sz w:val="20"/>
                <w:szCs w:val="20"/>
              </w:rPr>
            </w:pPr>
            <w:r w:rsidRPr="00405BA5">
              <w:rPr>
                <w:rFonts w:ascii="Arial Narrow" w:hAnsi="Arial Narrow" w:cs="Calibri"/>
                <w:color w:val="000000"/>
                <w:sz w:val="20"/>
                <w:szCs w:val="20"/>
              </w:rPr>
              <w:t>$</w:t>
            </w:r>
            <w:r w:rsidR="00653477">
              <w:rPr>
                <w:rFonts w:ascii="Arial Narrow" w:hAnsi="Arial Narrow" w:cs="Calibri"/>
                <w:noProof/>
                <w:color w:val="000000"/>
                <w:sz w:val="20"/>
                <w:szCs w:val="20"/>
                <w:highlight w:val="black"/>
              </w:rPr>
              <w:t>'''''''''''''''''''''''''</w:t>
            </w:r>
          </w:p>
        </w:tc>
        <w:tc>
          <w:tcPr>
            <w:tcW w:w="1048" w:type="dxa"/>
            <w:tcMar>
              <w:left w:w="11" w:type="dxa"/>
              <w:right w:w="11" w:type="dxa"/>
            </w:tcMar>
            <w:vAlign w:val="center"/>
          </w:tcPr>
          <w:p w:rsidR="00F331BD" w:rsidRPr="00405BA5" w:rsidRDefault="00F331BD" w:rsidP="00804378">
            <w:pPr>
              <w:pStyle w:val="3Bodytext"/>
              <w:keepNext/>
              <w:keepLines/>
              <w:numPr>
                <w:ilvl w:val="0"/>
                <w:numId w:val="0"/>
              </w:numPr>
              <w:spacing w:after="0"/>
              <w:jc w:val="center"/>
              <w:rPr>
                <w:rFonts w:ascii="Arial Narrow" w:hAnsi="Arial Narrow"/>
                <w:sz w:val="20"/>
                <w:szCs w:val="20"/>
              </w:rPr>
            </w:pPr>
            <w:r w:rsidRPr="00405BA5">
              <w:rPr>
                <w:rFonts w:ascii="Arial Narrow" w:hAnsi="Arial Narrow" w:cs="Calibri"/>
                <w:color w:val="000000"/>
                <w:sz w:val="20"/>
                <w:szCs w:val="20"/>
              </w:rPr>
              <w:t>$</w:t>
            </w:r>
            <w:r w:rsidR="00653477">
              <w:rPr>
                <w:rFonts w:ascii="Arial Narrow" w:hAnsi="Arial Narrow" w:cs="Calibri"/>
                <w:noProof/>
                <w:color w:val="000000"/>
                <w:sz w:val="20"/>
                <w:szCs w:val="20"/>
                <w:highlight w:val="black"/>
              </w:rPr>
              <w:t>''''''''''''''''''''''''''</w:t>
            </w:r>
          </w:p>
        </w:tc>
      </w:tr>
      <w:tr w:rsidR="00804378" w:rsidRPr="00405BA5" w:rsidTr="00F15DAD">
        <w:trPr>
          <w:tblHeader/>
        </w:trPr>
        <w:tc>
          <w:tcPr>
            <w:tcW w:w="279" w:type="dxa"/>
            <w:tcMar>
              <w:left w:w="11" w:type="dxa"/>
              <w:right w:w="11" w:type="dxa"/>
            </w:tcMar>
            <w:vAlign w:val="center"/>
          </w:tcPr>
          <w:p w:rsidR="00F331BD" w:rsidRPr="00405BA5" w:rsidRDefault="00905AF7" w:rsidP="00F331BD">
            <w:pPr>
              <w:pStyle w:val="3Bodytext"/>
              <w:keepNext/>
              <w:keepLines/>
              <w:numPr>
                <w:ilvl w:val="0"/>
                <w:numId w:val="0"/>
              </w:numPr>
              <w:spacing w:after="0"/>
              <w:jc w:val="center"/>
              <w:rPr>
                <w:rFonts w:ascii="Arial Narrow" w:hAnsi="Arial Narrow"/>
                <w:sz w:val="20"/>
                <w:szCs w:val="20"/>
              </w:rPr>
            </w:pPr>
            <w:r w:rsidRPr="00405BA5">
              <w:rPr>
                <w:rFonts w:ascii="Arial Narrow" w:hAnsi="Arial Narrow"/>
                <w:sz w:val="20"/>
                <w:szCs w:val="20"/>
              </w:rPr>
              <w:t>M</w:t>
            </w:r>
          </w:p>
        </w:tc>
        <w:tc>
          <w:tcPr>
            <w:tcW w:w="1134" w:type="dxa"/>
            <w:tcMar>
              <w:left w:w="11" w:type="dxa"/>
              <w:right w:w="11" w:type="dxa"/>
            </w:tcMar>
          </w:tcPr>
          <w:p w:rsidR="00F331BD" w:rsidRPr="00405BA5" w:rsidRDefault="00F331BD" w:rsidP="00F331BD">
            <w:pPr>
              <w:pStyle w:val="3Bodytext"/>
              <w:keepNext/>
              <w:keepLines/>
              <w:numPr>
                <w:ilvl w:val="0"/>
                <w:numId w:val="0"/>
              </w:numPr>
              <w:spacing w:after="0"/>
              <w:jc w:val="left"/>
              <w:rPr>
                <w:rFonts w:ascii="Arial Narrow" w:hAnsi="Arial Narrow"/>
                <w:sz w:val="20"/>
                <w:szCs w:val="20"/>
              </w:rPr>
            </w:pPr>
            <w:r w:rsidRPr="00405BA5">
              <w:rPr>
                <w:rFonts w:ascii="Arial Narrow" w:hAnsi="Arial Narrow"/>
                <w:sz w:val="20"/>
                <w:szCs w:val="20"/>
              </w:rPr>
              <w:t>Total cost</w:t>
            </w:r>
          </w:p>
        </w:tc>
        <w:tc>
          <w:tcPr>
            <w:tcW w:w="1417" w:type="dxa"/>
            <w:tcMar>
              <w:left w:w="11" w:type="dxa"/>
              <w:right w:w="11" w:type="dxa"/>
            </w:tcMar>
            <w:vAlign w:val="center"/>
          </w:tcPr>
          <w:p w:rsidR="00F331BD" w:rsidRPr="00405BA5" w:rsidRDefault="00905AF7" w:rsidP="00804378">
            <w:pPr>
              <w:pStyle w:val="3Bodytext"/>
              <w:keepNext/>
              <w:keepLines/>
              <w:numPr>
                <w:ilvl w:val="0"/>
                <w:numId w:val="0"/>
              </w:numPr>
              <w:spacing w:after="0"/>
              <w:jc w:val="center"/>
              <w:rPr>
                <w:rFonts w:ascii="Arial Narrow" w:hAnsi="Arial Narrow"/>
                <w:sz w:val="20"/>
                <w:szCs w:val="20"/>
              </w:rPr>
            </w:pPr>
            <w:r w:rsidRPr="00405BA5">
              <w:rPr>
                <w:rFonts w:ascii="Arial Narrow" w:hAnsi="Arial Narrow"/>
                <w:sz w:val="20"/>
                <w:szCs w:val="20"/>
              </w:rPr>
              <w:t>K + L</w:t>
            </w:r>
          </w:p>
        </w:tc>
        <w:tc>
          <w:tcPr>
            <w:tcW w:w="1135" w:type="dxa"/>
            <w:tcMar>
              <w:left w:w="11" w:type="dxa"/>
              <w:right w:w="11" w:type="dxa"/>
            </w:tcMar>
            <w:vAlign w:val="center"/>
          </w:tcPr>
          <w:p w:rsidR="00F331BD" w:rsidRPr="00405BA5" w:rsidRDefault="00F331BD" w:rsidP="00804378">
            <w:pPr>
              <w:pStyle w:val="3Bodytext"/>
              <w:keepNext/>
              <w:keepLines/>
              <w:numPr>
                <w:ilvl w:val="0"/>
                <w:numId w:val="0"/>
              </w:numPr>
              <w:spacing w:after="0"/>
              <w:jc w:val="center"/>
              <w:rPr>
                <w:rFonts w:ascii="Arial Narrow" w:hAnsi="Arial Narrow"/>
                <w:sz w:val="20"/>
                <w:szCs w:val="20"/>
              </w:rPr>
            </w:pPr>
            <w:r w:rsidRPr="00405BA5">
              <w:rPr>
                <w:rFonts w:ascii="Arial Narrow" w:hAnsi="Arial Narrow" w:cs="Calibri"/>
                <w:bCs/>
                <w:color w:val="000000"/>
                <w:sz w:val="20"/>
                <w:szCs w:val="20"/>
              </w:rPr>
              <w:t>$</w:t>
            </w:r>
            <w:r w:rsidR="002319C5">
              <w:rPr>
                <w:rFonts w:ascii="Arial Narrow" w:hAnsi="Arial Narrow" w:cs="Calibri"/>
                <w:bCs/>
                <w:noProof/>
                <w:color w:val="000000"/>
                <w:sz w:val="20"/>
                <w:szCs w:val="20"/>
                <w:highlight w:val="black"/>
              </w:rPr>
              <w:t>''''''''''''''''''''''''''</w:t>
            </w:r>
          </w:p>
        </w:tc>
        <w:tc>
          <w:tcPr>
            <w:tcW w:w="1049" w:type="dxa"/>
            <w:tcMar>
              <w:left w:w="11" w:type="dxa"/>
              <w:right w:w="11" w:type="dxa"/>
            </w:tcMar>
            <w:vAlign w:val="center"/>
          </w:tcPr>
          <w:p w:rsidR="00F331BD" w:rsidRPr="00405BA5" w:rsidRDefault="00F331BD" w:rsidP="00804378">
            <w:pPr>
              <w:pStyle w:val="3Bodytext"/>
              <w:keepNext/>
              <w:keepLines/>
              <w:numPr>
                <w:ilvl w:val="0"/>
                <w:numId w:val="0"/>
              </w:numPr>
              <w:spacing w:after="0"/>
              <w:jc w:val="center"/>
              <w:rPr>
                <w:rFonts w:ascii="Arial Narrow" w:hAnsi="Arial Narrow"/>
                <w:sz w:val="20"/>
                <w:szCs w:val="20"/>
              </w:rPr>
            </w:pPr>
            <w:r w:rsidRPr="00405BA5">
              <w:rPr>
                <w:rFonts w:ascii="Arial Narrow" w:hAnsi="Arial Narrow" w:cs="Calibri"/>
                <w:bCs/>
                <w:color w:val="000000"/>
                <w:sz w:val="20"/>
                <w:szCs w:val="20"/>
              </w:rPr>
              <w:t>$</w:t>
            </w:r>
            <w:r w:rsidR="002319C5">
              <w:rPr>
                <w:rFonts w:ascii="Arial Narrow" w:hAnsi="Arial Narrow" w:cs="Calibri"/>
                <w:bCs/>
                <w:noProof/>
                <w:color w:val="000000"/>
                <w:sz w:val="20"/>
                <w:szCs w:val="20"/>
                <w:highlight w:val="black"/>
              </w:rPr>
              <w:t>'''''''''''''''''''''''''</w:t>
            </w:r>
          </w:p>
        </w:tc>
        <w:tc>
          <w:tcPr>
            <w:tcW w:w="1028" w:type="dxa"/>
            <w:tcMar>
              <w:left w:w="11" w:type="dxa"/>
              <w:right w:w="11" w:type="dxa"/>
            </w:tcMar>
            <w:vAlign w:val="center"/>
          </w:tcPr>
          <w:p w:rsidR="00F331BD" w:rsidRPr="00405BA5" w:rsidRDefault="00F331BD" w:rsidP="00804378">
            <w:pPr>
              <w:pStyle w:val="3Bodytext"/>
              <w:keepNext/>
              <w:keepLines/>
              <w:numPr>
                <w:ilvl w:val="0"/>
                <w:numId w:val="0"/>
              </w:numPr>
              <w:spacing w:after="0"/>
              <w:jc w:val="center"/>
              <w:rPr>
                <w:rFonts w:ascii="Arial Narrow" w:hAnsi="Arial Narrow"/>
                <w:sz w:val="20"/>
                <w:szCs w:val="20"/>
              </w:rPr>
            </w:pPr>
            <w:r w:rsidRPr="00405BA5">
              <w:rPr>
                <w:rFonts w:ascii="Arial Narrow" w:hAnsi="Arial Narrow" w:cs="Calibri"/>
                <w:bCs/>
                <w:color w:val="000000"/>
                <w:sz w:val="20"/>
                <w:szCs w:val="20"/>
              </w:rPr>
              <w:t>$</w:t>
            </w:r>
            <w:r w:rsidR="002319C5">
              <w:rPr>
                <w:rFonts w:ascii="Arial Narrow" w:hAnsi="Arial Narrow" w:cs="Calibri"/>
                <w:bCs/>
                <w:noProof/>
                <w:color w:val="000000"/>
                <w:sz w:val="20"/>
                <w:szCs w:val="20"/>
                <w:highlight w:val="black"/>
              </w:rPr>
              <w:t>'''''''''''''''''''''''''''</w:t>
            </w:r>
          </w:p>
        </w:tc>
        <w:tc>
          <w:tcPr>
            <w:tcW w:w="1049" w:type="dxa"/>
            <w:tcMar>
              <w:left w:w="11" w:type="dxa"/>
              <w:right w:w="11" w:type="dxa"/>
            </w:tcMar>
            <w:vAlign w:val="center"/>
          </w:tcPr>
          <w:p w:rsidR="00F331BD" w:rsidRPr="00405BA5" w:rsidRDefault="00F331BD" w:rsidP="00804378">
            <w:pPr>
              <w:pStyle w:val="3Bodytext"/>
              <w:keepNext/>
              <w:keepLines/>
              <w:numPr>
                <w:ilvl w:val="0"/>
                <w:numId w:val="0"/>
              </w:numPr>
              <w:spacing w:after="0"/>
              <w:jc w:val="center"/>
              <w:rPr>
                <w:rFonts w:ascii="Arial Narrow" w:hAnsi="Arial Narrow"/>
                <w:sz w:val="20"/>
                <w:szCs w:val="20"/>
              </w:rPr>
            </w:pPr>
            <w:r w:rsidRPr="00405BA5">
              <w:rPr>
                <w:rFonts w:ascii="Arial Narrow" w:hAnsi="Arial Narrow" w:cs="Calibri"/>
                <w:bCs/>
                <w:color w:val="000000"/>
                <w:sz w:val="20"/>
                <w:szCs w:val="20"/>
              </w:rPr>
              <w:t>$</w:t>
            </w:r>
            <w:r w:rsidR="002319C5">
              <w:rPr>
                <w:rFonts w:ascii="Arial Narrow" w:hAnsi="Arial Narrow" w:cs="Calibri"/>
                <w:bCs/>
                <w:noProof/>
                <w:color w:val="000000"/>
                <w:sz w:val="20"/>
                <w:szCs w:val="20"/>
                <w:highlight w:val="black"/>
              </w:rPr>
              <w:t>'''''''''''''''''''''''''</w:t>
            </w:r>
          </w:p>
        </w:tc>
        <w:tc>
          <w:tcPr>
            <w:tcW w:w="1028" w:type="dxa"/>
            <w:tcMar>
              <w:left w:w="11" w:type="dxa"/>
              <w:right w:w="11" w:type="dxa"/>
            </w:tcMar>
            <w:vAlign w:val="center"/>
          </w:tcPr>
          <w:p w:rsidR="00F331BD" w:rsidRPr="00405BA5" w:rsidRDefault="00F331BD" w:rsidP="00804378">
            <w:pPr>
              <w:pStyle w:val="3Bodytext"/>
              <w:keepNext/>
              <w:keepLines/>
              <w:numPr>
                <w:ilvl w:val="0"/>
                <w:numId w:val="0"/>
              </w:numPr>
              <w:spacing w:after="0"/>
              <w:jc w:val="center"/>
              <w:rPr>
                <w:rFonts w:ascii="Arial Narrow" w:hAnsi="Arial Narrow"/>
                <w:sz w:val="20"/>
                <w:szCs w:val="20"/>
              </w:rPr>
            </w:pPr>
            <w:r w:rsidRPr="00405BA5">
              <w:rPr>
                <w:rFonts w:ascii="Arial Narrow" w:hAnsi="Arial Narrow" w:cs="Calibri"/>
                <w:bCs/>
                <w:color w:val="000000"/>
                <w:sz w:val="20"/>
                <w:szCs w:val="20"/>
              </w:rPr>
              <w:t>$</w:t>
            </w:r>
            <w:r w:rsidR="002319C5">
              <w:rPr>
                <w:rFonts w:ascii="Arial Narrow" w:hAnsi="Arial Narrow" w:cs="Calibri"/>
                <w:bCs/>
                <w:noProof/>
                <w:color w:val="000000"/>
                <w:sz w:val="20"/>
                <w:szCs w:val="20"/>
                <w:highlight w:val="black"/>
              </w:rPr>
              <w:t>'''''''''''''''''''''''''''''</w:t>
            </w:r>
          </w:p>
        </w:tc>
        <w:tc>
          <w:tcPr>
            <w:tcW w:w="1048" w:type="dxa"/>
            <w:tcMar>
              <w:left w:w="11" w:type="dxa"/>
              <w:right w:w="11" w:type="dxa"/>
            </w:tcMar>
            <w:vAlign w:val="center"/>
          </w:tcPr>
          <w:p w:rsidR="00F331BD" w:rsidRPr="00405BA5" w:rsidRDefault="00F331BD" w:rsidP="00804378">
            <w:pPr>
              <w:pStyle w:val="3Bodytext"/>
              <w:keepNext/>
              <w:keepLines/>
              <w:numPr>
                <w:ilvl w:val="0"/>
                <w:numId w:val="0"/>
              </w:numPr>
              <w:spacing w:after="0"/>
              <w:jc w:val="center"/>
              <w:rPr>
                <w:rFonts w:ascii="Arial Narrow" w:hAnsi="Arial Narrow"/>
                <w:sz w:val="20"/>
                <w:szCs w:val="20"/>
              </w:rPr>
            </w:pPr>
            <w:r w:rsidRPr="00405BA5">
              <w:rPr>
                <w:rFonts w:ascii="Arial Narrow" w:hAnsi="Arial Narrow" w:cs="Calibri"/>
                <w:bCs/>
                <w:color w:val="000000"/>
                <w:sz w:val="20"/>
                <w:szCs w:val="20"/>
              </w:rPr>
              <w:t>$</w:t>
            </w:r>
            <w:r w:rsidR="002319C5">
              <w:rPr>
                <w:rFonts w:ascii="Arial Narrow" w:hAnsi="Arial Narrow" w:cs="Calibri"/>
                <w:bCs/>
                <w:noProof/>
                <w:color w:val="000000"/>
                <w:sz w:val="20"/>
                <w:szCs w:val="20"/>
                <w:highlight w:val="black"/>
              </w:rPr>
              <w:t>'''''''''''''''''''''''''</w:t>
            </w:r>
          </w:p>
        </w:tc>
      </w:tr>
      <w:tr w:rsidR="0022605C" w:rsidRPr="00405BA5" w:rsidTr="00F15DAD">
        <w:trPr>
          <w:tblHeader/>
        </w:trPr>
        <w:tc>
          <w:tcPr>
            <w:tcW w:w="9167" w:type="dxa"/>
            <w:gridSpan w:val="9"/>
            <w:tcMar>
              <w:left w:w="11" w:type="dxa"/>
              <w:right w:w="11" w:type="dxa"/>
            </w:tcMar>
            <w:vAlign w:val="center"/>
          </w:tcPr>
          <w:p w:rsidR="0022605C" w:rsidRPr="00405BA5" w:rsidRDefault="0022605C" w:rsidP="0054077E">
            <w:pPr>
              <w:pStyle w:val="3Bodytext"/>
              <w:keepNext/>
              <w:keepLines/>
              <w:numPr>
                <w:ilvl w:val="0"/>
                <w:numId w:val="0"/>
              </w:numPr>
              <w:spacing w:after="0"/>
              <w:jc w:val="left"/>
              <w:rPr>
                <w:rFonts w:ascii="Arial Narrow" w:hAnsi="Arial Narrow" w:cs="Calibri"/>
                <w:b/>
                <w:bCs/>
                <w:color w:val="000000"/>
                <w:sz w:val="20"/>
                <w:szCs w:val="20"/>
              </w:rPr>
            </w:pPr>
            <w:r w:rsidRPr="00405BA5">
              <w:rPr>
                <w:rFonts w:ascii="Arial Narrow" w:hAnsi="Arial Narrow" w:cs="Calibri"/>
                <w:b/>
                <w:bCs/>
                <w:color w:val="000000"/>
                <w:sz w:val="20"/>
                <w:szCs w:val="20"/>
              </w:rPr>
              <w:t xml:space="preserve">Unresectable </w:t>
            </w:r>
            <w:r w:rsidR="00804378" w:rsidRPr="00405BA5">
              <w:rPr>
                <w:rFonts w:ascii="Arial Narrow" w:hAnsi="Arial Narrow" w:cs="Calibri"/>
                <w:b/>
                <w:bCs/>
                <w:color w:val="000000"/>
                <w:sz w:val="20"/>
                <w:szCs w:val="20"/>
              </w:rPr>
              <w:t xml:space="preserve">or metastatic </w:t>
            </w:r>
            <w:r w:rsidRPr="00405BA5">
              <w:rPr>
                <w:rFonts w:ascii="Arial Narrow" w:hAnsi="Arial Narrow" w:cs="Calibri"/>
                <w:b/>
                <w:bCs/>
                <w:color w:val="000000"/>
                <w:sz w:val="20"/>
                <w:szCs w:val="20"/>
              </w:rPr>
              <w:t>setting</w:t>
            </w:r>
          </w:p>
        </w:tc>
      </w:tr>
      <w:tr w:rsidR="00804378" w:rsidRPr="00405BA5" w:rsidTr="00F15DAD">
        <w:trPr>
          <w:trHeight w:val="53"/>
          <w:tblHeader/>
        </w:trPr>
        <w:tc>
          <w:tcPr>
            <w:tcW w:w="279" w:type="dxa"/>
            <w:tcMar>
              <w:left w:w="11" w:type="dxa"/>
              <w:right w:w="11" w:type="dxa"/>
            </w:tcMar>
            <w:vAlign w:val="center"/>
          </w:tcPr>
          <w:p w:rsidR="0022605C" w:rsidRPr="00405BA5" w:rsidRDefault="00905AF7" w:rsidP="0054077E">
            <w:pPr>
              <w:pStyle w:val="3Bodytext"/>
              <w:keepNext/>
              <w:keepLines/>
              <w:numPr>
                <w:ilvl w:val="0"/>
                <w:numId w:val="0"/>
              </w:numPr>
              <w:spacing w:after="0"/>
              <w:jc w:val="center"/>
              <w:rPr>
                <w:rFonts w:ascii="Arial Narrow" w:hAnsi="Arial Narrow"/>
                <w:sz w:val="20"/>
                <w:szCs w:val="20"/>
              </w:rPr>
            </w:pPr>
            <w:r w:rsidRPr="00405BA5">
              <w:rPr>
                <w:rFonts w:ascii="Arial Narrow" w:hAnsi="Arial Narrow"/>
                <w:sz w:val="20"/>
                <w:szCs w:val="20"/>
              </w:rPr>
              <w:t>N</w:t>
            </w:r>
          </w:p>
        </w:tc>
        <w:tc>
          <w:tcPr>
            <w:tcW w:w="1134" w:type="dxa"/>
            <w:tcMar>
              <w:left w:w="11" w:type="dxa"/>
              <w:right w:w="11" w:type="dxa"/>
            </w:tcMar>
            <w:vAlign w:val="center"/>
          </w:tcPr>
          <w:p w:rsidR="0022605C" w:rsidRPr="00405BA5" w:rsidRDefault="00F331BD" w:rsidP="0054077E">
            <w:pPr>
              <w:pStyle w:val="3Bodytext"/>
              <w:keepNext/>
              <w:keepLines/>
              <w:numPr>
                <w:ilvl w:val="0"/>
                <w:numId w:val="0"/>
              </w:numPr>
              <w:spacing w:after="0"/>
              <w:jc w:val="left"/>
              <w:rPr>
                <w:rFonts w:ascii="Arial Narrow" w:hAnsi="Arial Narrow"/>
                <w:sz w:val="20"/>
                <w:szCs w:val="20"/>
              </w:rPr>
            </w:pPr>
            <w:r w:rsidRPr="00405BA5">
              <w:rPr>
                <w:rFonts w:ascii="Arial Narrow" w:hAnsi="Arial Narrow"/>
                <w:sz w:val="20"/>
                <w:szCs w:val="20"/>
              </w:rPr>
              <w:t>2019 cap</w:t>
            </w:r>
          </w:p>
        </w:tc>
        <w:tc>
          <w:tcPr>
            <w:tcW w:w="1417" w:type="dxa"/>
            <w:tcMar>
              <w:left w:w="11" w:type="dxa"/>
              <w:right w:w="11" w:type="dxa"/>
            </w:tcMar>
            <w:vAlign w:val="center"/>
          </w:tcPr>
          <w:p w:rsidR="0022605C" w:rsidRPr="00405BA5" w:rsidRDefault="00F331BD" w:rsidP="00804378">
            <w:pPr>
              <w:pStyle w:val="3Bodytext"/>
              <w:keepNext/>
              <w:keepLines/>
              <w:numPr>
                <w:ilvl w:val="0"/>
                <w:numId w:val="0"/>
              </w:numPr>
              <w:spacing w:after="0"/>
              <w:jc w:val="center"/>
              <w:rPr>
                <w:rFonts w:ascii="Arial Narrow" w:hAnsi="Arial Narrow"/>
                <w:sz w:val="20"/>
                <w:szCs w:val="20"/>
              </w:rPr>
            </w:pPr>
            <w:r w:rsidRPr="00405BA5">
              <w:rPr>
                <w:rFonts w:ascii="Arial Narrow" w:hAnsi="Arial Narrow"/>
                <w:sz w:val="20"/>
                <w:szCs w:val="20"/>
              </w:rPr>
              <w:t>$</w:t>
            </w:r>
            <w:r w:rsidR="00653477">
              <w:rPr>
                <w:rFonts w:ascii="Arial Narrow" w:hAnsi="Arial Narrow"/>
                <w:noProof/>
                <w:color w:val="000000"/>
                <w:sz w:val="20"/>
                <w:szCs w:val="20"/>
                <w:highlight w:val="black"/>
              </w:rPr>
              <w:t>''''''''''''''''''''''''''</w:t>
            </w:r>
          </w:p>
        </w:tc>
        <w:tc>
          <w:tcPr>
            <w:tcW w:w="1135" w:type="dxa"/>
            <w:tcMar>
              <w:left w:w="11" w:type="dxa"/>
              <w:right w:w="11" w:type="dxa"/>
            </w:tcMar>
            <w:vAlign w:val="center"/>
          </w:tcPr>
          <w:p w:rsidR="0022605C" w:rsidRPr="00405BA5" w:rsidRDefault="00C1663E" w:rsidP="00804378">
            <w:pPr>
              <w:pStyle w:val="3Bodytext"/>
              <w:keepNext/>
              <w:keepLines/>
              <w:numPr>
                <w:ilvl w:val="0"/>
                <w:numId w:val="0"/>
              </w:numPr>
              <w:spacing w:after="0"/>
              <w:jc w:val="center"/>
              <w:rPr>
                <w:rFonts w:ascii="Arial Narrow" w:hAnsi="Arial Narrow" w:cs="Calibri"/>
                <w:color w:val="000000"/>
                <w:sz w:val="20"/>
                <w:szCs w:val="20"/>
              </w:rPr>
            </w:pPr>
            <w:r w:rsidRPr="00405BA5">
              <w:rPr>
                <w:rFonts w:ascii="Arial Narrow" w:hAnsi="Arial Narrow" w:cs="Calibri"/>
                <w:color w:val="000000"/>
                <w:sz w:val="20"/>
                <w:szCs w:val="20"/>
              </w:rPr>
              <w:t>-</w:t>
            </w:r>
          </w:p>
        </w:tc>
        <w:tc>
          <w:tcPr>
            <w:tcW w:w="1049" w:type="dxa"/>
            <w:tcMar>
              <w:left w:w="11" w:type="dxa"/>
              <w:right w:w="11" w:type="dxa"/>
            </w:tcMar>
            <w:vAlign w:val="center"/>
          </w:tcPr>
          <w:p w:rsidR="0022605C" w:rsidRPr="00405BA5" w:rsidRDefault="00C1663E" w:rsidP="00804378">
            <w:pPr>
              <w:pStyle w:val="3Bodytext"/>
              <w:keepNext/>
              <w:keepLines/>
              <w:numPr>
                <w:ilvl w:val="0"/>
                <w:numId w:val="0"/>
              </w:numPr>
              <w:spacing w:after="0"/>
              <w:jc w:val="center"/>
              <w:rPr>
                <w:rFonts w:ascii="Arial Narrow" w:hAnsi="Arial Narrow" w:cs="Calibri"/>
                <w:color w:val="000000"/>
                <w:sz w:val="20"/>
                <w:szCs w:val="20"/>
              </w:rPr>
            </w:pPr>
            <w:r w:rsidRPr="00405BA5">
              <w:rPr>
                <w:rFonts w:ascii="Arial Narrow" w:hAnsi="Arial Narrow" w:cs="Calibri"/>
                <w:color w:val="000000"/>
                <w:sz w:val="20"/>
                <w:szCs w:val="20"/>
              </w:rPr>
              <w:t>-</w:t>
            </w:r>
          </w:p>
        </w:tc>
        <w:tc>
          <w:tcPr>
            <w:tcW w:w="1028" w:type="dxa"/>
            <w:tcMar>
              <w:left w:w="11" w:type="dxa"/>
              <w:right w:w="11" w:type="dxa"/>
            </w:tcMar>
            <w:vAlign w:val="center"/>
          </w:tcPr>
          <w:p w:rsidR="0022605C" w:rsidRPr="00405BA5" w:rsidRDefault="00C1663E" w:rsidP="00804378">
            <w:pPr>
              <w:pStyle w:val="3Bodytext"/>
              <w:keepNext/>
              <w:keepLines/>
              <w:numPr>
                <w:ilvl w:val="0"/>
                <w:numId w:val="0"/>
              </w:numPr>
              <w:spacing w:after="0"/>
              <w:jc w:val="center"/>
              <w:rPr>
                <w:rFonts w:ascii="Arial Narrow" w:hAnsi="Arial Narrow" w:cs="Calibri"/>
                <w:color w:val="000000"/>
                <w:sz w:val="20"/>
                <w:szCs w:val="20"/>
              </w:rPr>
            </w:pPr>
            <w:r w:rsidRPr="00405BA5">
              <w:rPr>
                <w:rFonts w:ascii="Arial Narrow" w:hAnsi="Arial Narrow" w:cs="Calibri"/>
                <w:color w:val="000000"/>
                <w:sz w:val="20"/>
                <w:szCs w:val="20"/>
              </w:rPr>
              <w:t>-</w:t>
            </w:r>
          </w:p>
        </w:tc>
        <w:tc>
          <w:tcPr>
            <w:tcW w:w="1049" w:type="dxa"/>
            <w:tcMar>
              <w:left w:w="11" w:type="dxa"/>
              <w:right w:w="11" w:type="dxa"/>
            </w:tcMar>
            <w:vAlign w:val="center"/>
          </w:tcPr>
          <w:p w:rsidR="0022605C" w:rsidRPr="00405BA5" w:rsidRDefault="00C1663E" w:rsidP="00804378">
            <w:pPr>
              <w:pStyle w:val="3Bodytext"/>
              <w:keepNext/>
              <w:keepLines/>
              <w:numPr>
                <w:ilvl w:val="0"/>
                <w:numId w:val="0"/>
              </w:numPr>
              <w:spacing w:after="0"/>
              <w:jc w:val="center"/>
              <w:rPr>
                <w:rFonts w:ascii="Arial Narrow" w:hAnsi="Arial Narrow" w:cs="Calibri"/>
                <w:color w:val="000000"/>
                <w:sz w:val="20"/>
                <w:szCs w:val="20"/>
              </w:rPr>
            </w:pPr>
            <w:r w:rsidRPr="00405BA5">
              <w:rPr>
                <w:rFonts w:ascii="Arial Narrow" w:hAnsi="Arial Narrow" w:cs="Calibri"/>
                <w:color w:val="000000"/>
                <w:sz w:val="20"/>
                <w:szCs w:val="20"/>
              </w:rPr>
              <w:t>-</w:t>
            </w:r>
          </w:p>
        </w:tc>
        <w:tc>
          <w:tcPr>
            <w:tcW w:w="1028" w:type="dxa"/>
            <w:tcMar>
              <w:left w:w="11" w:type="dxa"/>
              <w:right w:w="11" w:type="dxa"/>
            </w:tcMar>
            <w:vAlign w:val="center"/>
          </w:tcPr>
          <w:p w:rsidR="0022605C" w:rsidRPr="00405BA5" w:rsidRDefault="00C1663E" w:rsidP="00804378">
            <w:pPr>
              <w:pStyle w:val="3Bodytext"/>
              <w:keepNext/>
              <w:keepLines/>
              <w:numPr>
                <w:ilvl w:val="0"/>
                <w:numId w:val="0"/>
              </w:numPr>
              <w:spacing w:after="0"/>
              <w:jc w:val="center"/>
              <w:rPr>
                <w:rFonts w:ascii="Arial Narrow" w:hAnsi="Arial Narrow" w:cs="Calibri"/>
                <w:color w:val="000000"/>
                <w:sz w:val="20"/>
                <w:szCs w:val="20"/>
              </w:rPr>
            </w:pPr>
            <w:r w:rsidRPr="00405BA5">
              <w:rPr>
                <w:rFonts w:ascii="Arial Narrow" w:hAnsi="Arial Narrow" w:cs="Calibri"/>
                <w:color w:val="000000"/>
                <w:sz w:val="20"/>
                <w:szCs w:val="20"/>
              </w:rPr>
              <w:t>-</w:t>
            </w:r>
          </w:p>
        </w:tc>
        <w:tc>
          <w:tcPr>
            <w:tcW w:w="1048" w:type="dxa"/>
            <w:tcMar>
              <w:left w:w="11" w:type="dxa"/>
              <w:right w:w="11" w:type="dxa"/>
            </w:tcMar>
            <w:vAlign w:val="center"/>
          </w:tcPr>
          <w:p w:rsidR="0022605C" w:rsidRPr="00405BA5" w:rsidRDefault="00C1663E" w:rsidP="00804378">
            <w:pPr>
              <w:pStyle w:val="3Bodytext"/>
              <w:keepNext/>
              <w:keepLines/>
              <w:numPr>
                <w:ilvl w:val="0"/>
                <w:numId w:val="0"/>
              </w:numPr>
              <w:spacing w:after="0"/>
              <w:jc w:val="center"/>
              <w:rPr>
                <w:rFonts w:ascii="Arial Narrow" w:hAnsi="Arial Narrow" w:cs="Calibri"/>
                <w:color w:val="000000"/>
                <w:sz w:val="20"/>
                <w:szCs w:val="20"/>
              </w:rPr>
            </w:pPr>
            <w:r w:rsidRPr="00405BA5">
              <w:rPr>
                <w:rFonts w:ascii="Arial Narrow" w:hAnsi="Arial Narrow" w:cs="Calibri"/>
                <w:color w:val="000000"/>
                <w:sz w:val="20"/>
                <w:szCs w:val="20"/>
              </w:rPr>
              <w:t>-</w:t>
            </w:r>
          </w:p>
        </w:tc>
      </w:tr>
      <w:tr w:rsidR="00804378" w:rsidRPr="00405BA5" w:rsidTr="00F15DAD">
        <w:trPr>
          <w:tblHeader/>
        </w:trPr>
        <w:tc>
          <w:tcPr>
            <w:tcW w:w="279" w:type="dxa"/>
            <w:tcMar>
              <w:left w:w="11" w:type="dxa"/>
              <w:right w:w="11" w:type="dxa"/>
            </w:tcMar>
            <w:vAlign w:val="center"/>
          </w:tcPr>
          <w:p w:rsidR="00F331BD" w:rsidRPr="00405BA5" w:rsidRDefault="00905AF7" w:rsidP="00F331BD">
            <w:pPr>
              <w:pStyle w:val="3Bodytext"/>
              <w:keepNext/>
              <w:keepLines/>
              <w:numPr>
                <w:ilvl w:val="0"/>
                <w:numId w:val="0"/>
              </w:numPr>
              <w:spacing w:after="0"/>
              <w:jc w:val="center"/>
              <w:rPr>
                <w:rFonts w:ascii="Arial Narrow" w:hAnsi="Arial Narrow"/>
                <w:sz w:val="20"/>
                <w:szCs w:val="20"/>
              </w:rPr>
            </w:pPr>
            <w:r w:rsidRPr="00405BA5">
              <w:rPr>
                <w:rFonts w:ascii="Arial Narrow" w:hAnsi="Arial Narrow"/>
                <w:sz w:val="20"/>
                <w:szCs w:val="20"/>
              </w:rPr>
              <w:t>O</w:t>
            </w:r>
          </w:p>
        </w:tc>
        <w:tc>
          <w:tcPr>
            <w:tcW w:w="1134" w:type="dxa"/>
            <w:tcMar>
              <w:left w:w="11" w:type="dxa"/>
              <w:right w:w="11" w:type="dxa"/>
            </w:tcMar>
            <w:vAlign w:val="center"/>
          </w:tcPr>
          <w:p w:rsidR="00F331BD" w:rsidRPr="00405BA5" w:rsidRDefault="00F331BD" w:rsidP="00F331BD">
            <w:pPr>
              <w:pStyle w:val="3Bodytext"/>
              <w:keepNext/>
              <w:keepLines/>
              <w:numPr>
                <w:ilvl w:val="0"/>
                <w:numId w:val="0"/>
              </w:numPr>
              <w:spacing w:after="0"/>
              <w:jc w:val="left"/>
              <w:rPr>
                <w:rFonts w:ascii="Arial Narrow" w:hAnsi="Arial Narrow"/>
                <w:sz w:val="20"/>
                <w:szCs w:val="20"/>
              </w:rPr>
            </w:pPr>
            <w:r w:rsidRPr="00405BA5">
              <w:rPr>
                <w:rFonts w:ascii="Arial Narrow" w:hAnsi="Arial Narrow"/>
                <w:sz w:val="20"/>
                <w:szCs w:val="20"/>
              </w:rPr>
              <w:t xml:space="preserve">Cap growth </w:t>
            </w:r>
          </w:p>
        </w:tc>
        <w:tc>
          <w:tcPr>
            <w:tcW w:w="1417" w:type="dxa"/>
            <w:tcMar>
              <w:left w:w="11" w:type="dxa"/>
              <w:right w:w="11" w:type="dxa"/>
            </w:tcMar>
            <w:vAlign w:val="center"/>
          </w:tcPr>
          <w:p w:rsidR="00F331BD" w:rsidRPr="00405BA5" w:rsidRDefault="00F331BD" w:rsidP="00804378">
            <w:pPr>
              <w:pStyle w:val="3Bodytext"/>
              <w:keepNext/>
              <w:keepLines/>
              <w:numPr>
                <w:ilvl w:val="0"/>
                <w:numId w:val="0"/>
              </w:numPr>
              <w:spacing w:after="0"/>
              <w:jc w:val="center"/>
              <w:rPr>
                <w:rFonts w:ascii="Arial Narrow" w:hAnsi="Arial Narrow"/>
                <w:sz w:val="20"/>
                <w:szCs w:val="20"/>
              </w:rPr>
            </w:pPr>
            <w:r w:rsidRPr="00405BA5">
              <w:rPr>
                <w:rFonts w:ascii="Arial Narrow" w:hAnsi="Arial Narrow"/>
                <w:sz w:val="20"/>
                <w:szCs w:val="20"/>
              </w:rPr>
              <w:t>$</w:t>
            </w:r>
            <w:r w:rsidRPr="00405BA5">
              <w:rPr>
                <w:rFonts w:ascii="Arial Narrow" w:hAnsi="Arial Narrow"/>
                <w:sz w:val="20"/>
                <w:szCs w:val="20"/>
                <w:vertAlign w:val="subscript"/>
              </w:rPr>
              <w:t xml:space="preserve">(t-1) </w:t>
            </w:r>
            <w:r w:rsidRPr="00405BA5">
              <w:rPr>
                <w:rFonts w:ascii="Arial Narrow" w:hAnsi="Arial Narrow"/>
                <w:sz w:val="20"/>
                <w:szCs w:val="20"/>
              </w:rPr>
              <w:t xml:space="preserve">x (1 + </w:t>
            </w:r>
            <w:r w:rsidR="00653477">
              <w:rPr>
                <w:rFonts w:ascii="Arial Narrow" w:hAnsi="Arial Narrow"/>
                <w:noProof/>
                <w:color w:val="000000"/>
                <w:sz w:val="20"/>
                <w:szCs w:val="20"/>
                <w:highlight w:val="black"/>
              </w:rPr>
              <w:t>''''''''''</w:t>
            </w:r>
            <w:r w:rsidRPr="00405BA5">
              <w:rPr>
                <w:rFonts w:ascii="Arial Narrow" w:hAnsi="Arial Narrow"/>
                <w:sz w:val="20"/>
                <w:szCs w:val="20"/>
              </w:rPr>
              <w:t>%)</w:t>
            </w:r>
          </w:p>
        </w:tc>
        <w:tc>
          <w:tcPr>
            <w:tcW w:w="1135" w:type="dxa"/>
            <w:tcMar>
              <w:left w:w="11" w:type="dxa"/>
              <w:right w:w="11" w:type="dxa"/>
            </w:tcMar>
            <w:vAlign w:val="center"/>
          </w:tcPr>
          <w:p w:rsidR="00F331BD" w:rsidRPr="00653477" w:rsidRDefault="00F331BD" w:rsidP="00804378">
            <w:pPr>
              <w:pStyle w:val="3Bodytext"/>
              <w:keepNext/>
              <w:keepLines/>
              <w:numPr>
                <w:ilvl w:val="0"/>
                <w:numId w:val="0"/>
              </w:numPr>
              <w:spacing w:after="0"/>
              <w:jc w:val="center"/>
              <w:rPr>
                <w:rFonts w:ascii="Arial Narrow" w:hAnsi="Arial Narrow" w:cs="Calibri"/>
                <w:bCs/>
                <w:color w:val="000000"/>
                <w:sz w:val="20"/>
                <w:szCs w:val="20"/>
              </w:rPr>
            </w:pPr>
            <w:r w:rsidRPr="00C124F7">
              <w:rPr>
                <w:rFonts w:ascii="Arial Narrow" w:hAnsi="Arial Narrow" w:cs="Calibri"/>
                <w:color w:val="000000"/>
                <w:sz w:val="20"/>
                <w:szCs w:val="20"/>
              </w:rPr>
              <w:t>$</w:t>
            </w:r>
            <w:r w:rsidR="00653477">
              <w:rPr>
                <w:rFonts w:ascii="Arial Narrow" w:hAnsi="Arial Narrow" w:cs="Calibri"/>
                <w:noProof/>
                <w:color w:val="000000"/>
                <w:sz w:val="20"/>
                <w:szCs w:val="20"/>
                <w:highlight w:val="black"/>
              </w:rPr>
              <w:t>'''''''''''''''''''''''''''''</w:t>
            </w:r>
          </w:p>
        </w:tc>
        <w:tc>
          <w:tcPr>
            <w:tcW w:w="1049" w:type="dxa"/>
            <w:tcMar>
              <w:left w:w="11" w:type="dxa"/>
              <w:right w:w="11" w:type="dxa"/>
            </w:tcMar>
            <w:vAlign w:val="center"/>
          </w:tcPr>
          <w:p w:rsidR="00F331BD" w:rsidRPr="00653477" w:rsidRDefault="00F331BD" w:rsidP="00804378">
            <w:pPr>
              <w:pStyle w:val="3Bodytext"/>
              <w:keepNext/>
              <w:keepLines/>
              <w:numPr>
                <w:ilvl w:val="0"/>
                <w:numId w:val="0"/>
              </w:numPr>
              <w:spacing w:after="0"/>
              <w:jc w:val="center"/>
              <w:rPr>
                <w:rFonts w:ascii="Arial Narrow" w:hAnsi="Arial Narrow" w:cs="Calibri"/>
                <w:bCs/>
                <w:color w:val="000000"/>
                <w:sz w:val="20"/>
                <w:szCs w:val="20"/>
              </w:rPr>
            </w:pPr>
            <w:r w:rsidRPr="00C124F7">
              <w:rPr>
                <w:rFonts w:ascii="Arial Narrow" w:hAnsi="Arial Narrow" w:cs="Calibri"/>
                <w:color w:val="000000"/>
                <w:sz w:val="20"/>
                <w:szCs w:val="20"/>
              </w:rPr>
              <w:t>$</w:t>
            </w:r>
            <w:r w:rsidR="00653477">
              <w:rPr>
                <w:rFonts w:ascii="Arial Narrow" w:hAnsi="Arial Narrow" w:cs="Calibri"/>
                <w:noProof/>
                <w:color w:val="000000"/>
                <w:sz w:val="20"/>
                <w:szCs w:val="20"/>
                <w:highlight w:val="black"/>
              </w:rPr>
              <w:t>'''''''''''''''''''''''''''''</w:t>
            </w:r>
          </w:p>
        </w:tc>
        <w:tc>
          <w:tcPr>
            <w:tcW w:w="1028" w:type="dxa"/>
            <w:tcMar>
              <w:left w:w="11" w:type="dxa"/>
              <w:right w:w="11" w:type="dxa"/>
            </w:tcMar>
            <w:vAlign w:val="center"/>
          </w:tcPr>
          <w:p w:rsidR="00F331BD" w:rsidRPr="00653477" w:rsidRDefault="00F331BD" w:rsidP="00804378">
            <w:pPr>
              <w:pStyle w:val="3Bodytext"/>
              <w:keepNext/>
              <w:keepLines/>
              <w:numPr>
                <w:ilvl w:val="0"/>
                <w:numId w:val="0"/>
              </w:numPr>
              <w:spacing w:after="0"/>
              <w:jc w:val="center"/>
              <w:rPr>
                <w:rFonts w:ascii="Arial Narrow" w:hAnsi="Arial Narrow" w:cs="Calibri"/>
                <w:bCs/>
                <w:color w:val="000000"/>
                <w:sz w:val="20"/>
                <w:szCs w:val="20"/>
              </w:rPr>
            </w:pPr>
            <w:r w:rsidRPr="00C124F7">
              <w:rPr>
                <w:rFonts w:ascii="Arial Narrow" w:hAnsi="Arial Narrow" w:cs="Calibri"/>
                <w:color w:val="000000"/>
                <w:sz w:val="20"/>
                <w:szCs w:val="20"/>
              </w:rPr>
              <w:t>$</w:t>
            </w:r>
            <w:r w:rsidR="00653477">
              <w:rPr>
                <w:rFonts w:ascii="Arial Narrow" w:hAnsi="Arial Narrow" w:cs="Calibri"/>
                <w:noProof/>
                <w:color w:val="000000"/>
                <w:sz w:val="20"/>
                <w:szCs w:val="20"/>
                <w:highlight w:val="black"/>
              </w:rPr>
              <w:t>'''''''''''''''''''''''''''''</w:t>
            </w:r>
          </w:p>
        </w:tc>
        <w:tc>
          <w:tcPr>
            <w:tcW w:w="1049" w:type="dxa"/>
            <w:tcMar>
              <w:left w:w="11" w:type="dxa"/>
              <w:right w:w="11" w:type="dxa"/>
            </w:tcMar>
            <w:vAlign w:val="center"/>
          </w:tcPr>
          <w:p w:rsidR="00F331BD" w:rsidRPr="00653477" w:rsidRDefault="00F331BD" w:rsidP="00804378">
            <w:pPr>
              <w:pStyle w:val="3Bodytext"/>
              <w:keepNext/>
              <w:keepLines/>
              <w:numPr>
                <w:ilvl w:val="0"/>
                <w:numId w:val="0"/>
              </w:numPr>
              <w:spacing w:after="0"/>
              <w:jc w:val="center"/>
              <w:rPr>
                <w:rFonts w:ascii="Arial Narrow" w:hAnsi="Arial Narrow" w:cs="Calibri"/>
                <w:bCs/>
                <w:color w:val="000000"/>
                <w:sz w:val="20"/>
                <w:szCs w:val="20"/>
              </w:rPr>
            </w:pPr>
            <w:r w:rsidRPr="00C124F7">
              <w:rPr>
                <w:rFonts w:ascii="Arial Narrow" w:hAnsi="Arial Narrow" w:cs="Calibri"/>
                <w:color w:val="000000"/>
                <w:sz w:val="20"/>
                <w:szCs w:val="20"/>
              </w:rPr>
              <w:t>$</w:t>
            </w:r>
            <w:r w:rsidR="00653477">
              <w:rPr>
                <w:rFonts w:ascii="Arial Narrow" w:hAnsi="Arial Narrow" w:cs="Calibri"/>
                <w:noProof/>
                <w:color w:val="000000"/>
                <w:sz w:val="20"/>
                <w:szCs w:val="20"/>
                <w:highlight w:val="black"/>
              </w:rPr>
              <w:t>'''''''''''''''''''''''''''''</w:t>
            </w:r>
          </w:p>
        </w:tc>
        <w:tc>
          <w:tcPr>
            <w:tcW w:w="1028" w:type="dxa"/>
            <w:tcMar>
              <w:left w:w="11" w:type="dxa"/>
              <w:right w:w="11" w:type="dxa"/>
            </w:tcMar>
            <w:vAlign w:val="center"/>
          </w:tcPr>
          <w:p w:rsidR="00F331BD" w:rsidRPr="00653477" w:rsidRDefault="00F331BD" w:rsidP="00804378">
            <w:pPr>
              <w:pStyle w:val="3Bodytext"/>
              <w:keepNext/>
              <w:keepLines/>
              <w:numPr>
                <w:ilvl w:val="0"/>
                <w:numId w:val="0"/>
              </w:numPr>
              <w:spacing w:after="0"/>
              <w:jc w:val="center"/>
              <w:rPr>
                <w:rFonts w:ascii="Arial Narrow" w:hAnsi="Arial Narrow" w:cs="Calibri"/>
                <w:bCs/>
                <w:color w:val="000000"/>
                <w:sz w:val="20"/>
                <w:szCs w:val="20"/>
              </w:rPr>
            </w:pPr>
            <w:r w:rsidRPr="00C124F7">
              <w:rPr>
                <w:rFonts w:ascii="Arial Narrow" w:hAnsi="Arial Narrow" w:cs="Calibri"/>
                <w:color w:val="000000"/>
                <w:sz w:val="20"/>
                <w:szCs w:val="20"/>
              </w:rPr>
              <w:t>$</w:t>
            </w:r>
            <w:r w:rsidR="00653477">
              <w:rPr>
                <w:rFonts w:ascii="Arial Narrow" w:hAnsi="Arial Narrow" w:cs="Calibri"/>
                <w:noProof/>
                <w:color w:val="000000"/>
                <w:sz w:val="20"/>
                <w:szCs w:val="20"/>
                <w:highlight w:val="black"/>
              </w:rPr>
              <w:t>''''''''''''''''''''''''''''</w:t>
            </w:r>
          </w:p>
        </w:tc>
        <w:tc>
          <w:tcPr>
            <w:tcW w:w="1048" w:type="dxa"/>
            <w:tcMar>
              <w:left w:w="11" w:type="dxa"/>
              <w:right w:w="11" w:type="dxa"/>
            </w:tcMar>
            <w:vAlign w:val="center"/>
          </w:tcPr>
          <w:p w:rsidR="00F331BD" w:rsidRPr="00653477" w:rsidRDefault="00F331BD" w:rsidP="00804378">
            <w:pPr>
              <w:pStyle w:val="3Bodytext"/>
              <w:keepNext/>
              <w:keepLines/>
              <w:numPr>
                <w:ilvl w:val="0"/>
                <w:numId w:val="0"/>
              </w:numPr>
              <w:spacing w:after="0"/>
              <w:jc w:val="center"/>
              <w:rPr>
                <w:rFonts w:ascii="Arial Narrow" w:hAnsi="Arial Narrow" w:cs="Calibri"/>
                <w:bCs/>
                <w:color w:val="000000"/>
                <w:sz w:val="20"/>
                <w:szCs w:val="20"/>
              </w:rPr>
            </w:pPr>
            <w:r w:rsidRPr="00C124F7">
              <w:rPr>
                <w:rFonts w:ascii="Arial Narrow" w:hAnsi="Arial Narrow" w:cs="Calibri"/>
                <w:color w:val="000000"/>
                <w:sz w:val="20"/>
                <w:szCs w:val="20"/>
              </w:rPr>
              <w:t>$</w:t>
            </w:r>
            <w:r w:rsidR="00653477">
              <w:rPr>
                <w:rFonts w:ascii="Arial Narrow" w:hAnsi="Arial Narrow" w:cs="Calibri"/>
                <w:noProof/>
                <w:color w:val="000000"/>
                <w:sz w:val="20"/>
                <w:szCs w:val="20"/>
                <w:highlight w:val="black"/>
              </w:rPr>
              <w:t>''''''''''''''''''''''''''''</w:t>
            </w:r>
          </w:p>
        </w:tc>
      </w:tr>
      <w:tr w:rsidR="00F1760F" w:rsidRPr="00405BA5" w:rsidTr="00F15DAD">
        <w:trPr>
          <w:tblHeader/>
        </w:trPr>
        <w:tc>
          <w:tcPr>
            <w:tcW w:w="279" w:type="dxa"/>
            <w:tcMar>
              <w:left w:w="11" w:type="dxa"/>
              <w:right w:w="11" w:type="dxa"/>
            </w:tcMar>
            <w:vAlign w:val="center"/>
          </w:tcPr>
          <w:p w:rsidR="00F1760F" w:rsidRPr="00405BA5" w:rsidRDefault="0051336A" w:rsidP="00C1663E">
            <w:pPr>
              <w:pStyle w:val="3Bodytext"/>
              <w:keepNext/>
              <w:keepLines/>
              <w:numPr>
                <w:ilvl w:val="0"/>
                <w:numId w:val="0"/>
              </w:numPr>
              <w:spacing w:after="0"/>
              <w:jc w:val="center"/>
              <w:rPr>
                <w:rFonts w:ascii="Arial Narrow" w:hAnsi="Arial Narrow"/>
                <w:sz w:val="20"/>
                <w:szCs w:val="20"/>
              </w:rPr>
            </w:pPr>
            <w:r w:rsidRPr="00405BA5">
              <w:rPr>
                <w:rFonts w:ascii="Arial Narrow" w:hAnsi="Arial Narrow"/>
                <w:sz w:val="20"/>
                <w:szCs w:val="20"/>
              </w:rPr>
              <w:t>P</w:t>
            </w:r>
          </w:p>
        </w:tc>
        <w:tc>
          <w:tcPr>
            <w:tcW w:w="1134" w:type="dxa"/>
            <w:tcMar>
              <w:left w:w="11" w:type="dxa"/>
              <w:right w:w="11" w:type="dxa"/>
            </w:tcMar>
            <w:vAlign w:val="center"/>
          </w:tcPr>
          <w:p w:rsidR="00F1760F" w:rsidRPr="00405BA5" w:rsidRDefault="00F1760F" w:rsidP="00C1663E">
            <w:pPr>
              <w:pStyle w:val="3Bodytext"/>
              <w:keepNext/>
              <w:keepLines/>
              <w:numPr>
                <w:ilvl w:val="0"/>
                <w:numId w:val="0"/>
              </w:numPr>
              <w:spacing w:after="0"/>
              <w:jc w:val="left"/>
              <w:rPr>
                <w:rFonts w:ascii="Arial Narrow" w:hAnsi="Arial Narrow"/>
                <w:sz w:val="20"/>
                <w:szCs w:val="20"/>
              </w:rPr>
            </w:pPr>
            <w:r w:rsidRPr="00405BA5">
              <w:rPr>
                <w:rFonts w:ascii="Arial Narrow" w:hAnsi="Arial Narrow"/>
                <w:sz w:val="20"/>
                <w:szCs w:val="20"/>
              </w:rPr>
              <w:t>BRAF MT first line patients</w:t>
            </w:r>
          </w:p>
        </w:tc>
        <w:tc>
          <w:tcPr>
            <w:tcW w:w="7754" w:type="dxa"/>
            <w:gridSpan w:val="7"/>
            <w:tcMar>
              <w:left w:w="11" w:type="dxa"/>
              <w:right w:w="11" w:type="dxa"/>
            </w:tcMar>
            <w:vAlign w:val="center"/>
          </w:tcPr>
          <w:p w:rsidR="00F1760F" w:rsidRPr="00405BA5" w:rsidDel="00F1760F" w:rsidRDefault="00F1760F" w:rsidP="0051336A">
            <w:pPr>
              <w:pStyle w:val="3Bodytext"/>
              <w:keepNext/>
              <w:keepLines/>
              <w:numPr>
                <w:ilvl w:val="0"/>
                <w:numId w:val="0"/>
              </w:numPr>
              <w:spacing w:after="0"/>
              <w:jc w:val="center"/>
              <w:rPr>
                <w:rFonts w:ascii="Arial Narrow" w:hAnsi="Arial Narrow" w:cs="Calibri"/>
                <w:color w:val="000000"/>
                <w:sz w:val="20"/>
                <w:szCs w:val="20"/>
              </w:rPr>
            </w:pPr>
            <w:r w:rsidRPr="00405BA5">
              <w:rPr>
                <w:rFonts w:ascii="Arial Narrow" w:hAnsi="Arial Narrow" w:cs="Calibri"/>
                <w:color w:val="000000"/>
                <w:sz w:val="20"/>
                <w:szCs w:val="20"/>
              </w:rPr>
              <w:t>As per PBAC submission for first</w:t>
            </w:r>
            <w:r w:rsidR="0051336A" w:rsidRPr="00405BA5">
              <w:rPr>
                <w:rFonts w:ascii="Arial Narrow" w:hAnsi="Arial Narrow" w:cs="Calibri"/>
                <w:color w:val="000000"/>
                <w:sz w:val="20"/>
                <w:szCs w:val="20"/>
              </w:rPr>
              <w:t>-</w:t>
            </w:r>
            <w:r w:rsidRPr="00405BA5">
              <w:rPr>
                <w:rFonts w:ascii="Arial Narrow" w:hAnsi="Arial Narrow" w:cs="Calibri"/>
                <w:color w:val="000000"/>
                <w:sz w:val="20"/>
                <w:szCs w:val="20"/>
              </w:rPr>
              <w:t xml:space="preserve">line treatment for BRAF MT patients </w:t>
            </w:r>
            <w:r w:rsidR="00905AF7" w:rsidRPr="00405BA5">
              <w:rPr>
                <w:rFonts w:ascii="Arial Narrow" w:hAnsi="Arial Narrow" w:cs="Calibri"/>
                <w:color w:val="000000"/>
                <w:sz w:val="20"/>
                <w:szCs w:val="20"/>
              </w:rPr>
              <w:br/>
            </w:r>
            <w:r w:rsidRPr="00405BA5">
              <w:rPr>
                <w:rFonts w:ascii="Arial Narrow" w:hAnsi="Arial Narrow" w:cs="Calibri"/>
                <w:color w:val="000000"/>
                <w:sz w:val="20"/>
                <w:szCs w:val="20"/>
              </w:rPr>
              <w:t>(November 2019 meeting, item 7.07)</w:t>
            </w:r>
          </w:p>
        </w:tc>
      </w:tr>
      <w:tr w:rsidR="004F17E1" w:rsidRPr="00405BA5" w:rsidTr="00F15DAD">
        <w:trPr>
          <w:tblHeader/>
        </w:trPr>
        <w:tc>
          <w:tcPr>
            <w:tcW w:w="279" w:type="dxa"/>
            <w:tcMar>
              <w:left w:w="11" w:type="dxa"/>
              <w:right w:w="11" w:type="dxa"/>
            </w:tcMar>
            <w:vAlign w:val="center"/>
          </w:tcPr>
          <w:p w:rsidR="004F17E1" w:rsidRPr="00405BA5" w:rsidRDefault="0051336A" w:rsidP="00C1663E">
            <w:pPr>
              <w:pStyle w:val="3Bodytext"/>
              <w:keepNext/>
              <w:keepLines/>
              <w:numPr>
                <w:ilvl w:val="0"/>
                <w:numId w:val="0"/>
              </w:numPr>
              <w:spacing w:after="0"/>
              <w:jc w:val="center"/>
              <w:rPr>
                <w:rFonts w:ascii="Arial Narrow" w:hAnsi="Arial Narrow"/>
                <w:sz w:val="20"/>
                <w:szCs w:val="20"/>
              </w:rPr>
            </w:pPr>
            <w:r w:rsidRPr="00405BA5">
              <w:rPr>
                <w:rFonts w:ascii="Arial Narrow" w:hAnsi="Arial Narrow"/>
                <w:sz w:val="20"/>
                <w:szCs w:val="20"/>
              </w:rPr>
              <w:t>Q</w:t>
            </w:r>
          </w:p>
        </w:tc>
        <w:tc>
          <w:tcPr>
            <w:tcW w:w="1134" w:type="dxa"/>
            <w:tcMar>
              <w:left w:w="11" w:type="dxa"/>
              <w:right w:w="11" w:type="dxa"/>
            </w:tcMar>
            <w:vAlign w:val="center"/>
          </w:tcPr>
          <w:p w:rsidR="004F17E1" w:rsidRPr="00405BA5" w:rsidRDefault="004F17E1" w:rsidP="00C1663E">
            <w:pPr>
              <w:pStyle w:val="3Bodytext"/>
              <w:keepNext/>
              <w:keepLines/>
              <w:numPr>
                <w:ilvl w:val="0"/>
                <w:numId w:val="0"/>
              </w:numPr>
              <w:spacing w:after="0"/>
              <w:jc w:val="left"/>
              <w:rPr>
                <w:rFonts w:ascii="Arial Narrow" w:hAnsi="Arial Narrow"/>
                <w:sz w:val="20"/>
                <w:szCs w:val="20"/>
              </w:rPr>
            </w:pPr>
            <w:r w:rsidRPr="00405BA5">
              <w:rPr>
                <w:rFonts w:ascii="Arial Narrow" w:hAnsi="Arial Narrow"/>
                <w:sz w:val="20"/>
                <w:szCs w:val="20"/>
              </w:rPr>
              <w:t>Offset due to adjuvant cure</w:t>
            </w:r>
          </w:p>
        </w:tc>
        <w:tc>
          <w:tcPr>
            <w:tcW w:w="7754" w:type="dxa"/>
            <w:gridSpan w:val="7"/>
            <w:tcMar>
              <w:left w:w="11" w:type="dxa"/>
              <w:right w:w="11" w:type="dxa"/>
            </w:tcMar>
            <w:vAlign w:val="center"/>
          </w:tcPr>
          <w:p w:rsidR="004F17E1" w:rsidRPr="00405BA5" w:rsidRDefault="00653477" w:rsidP="00905AF7">
            <w:pPr>
              <w:pStyle w:val="3Bodytext"/>
              <w:keepNext/>
              <w:keepLines/>
              <w:numPr>
                <w:ilvl w:val="0"/>
                <w:numId w:val="0"/>
              </w:numPr>
              <w:spacing w:after="0"/>
              <w:jc w:val="center"/>
              <w:rPr>
                <w:rFonts w:ascii="Arial Narrow" w:hAnsi="Arial Narrow" w:cs="Calibri"/>
                <w:color w:val="000000"/>
                <w:sz w:val="20"/>
                <w:szCs w:val="20"/>
              </w:rPr>
            </w:pPr>
            <w:r>
              <w:rPr>
                <w:rFonts w:ascii="Arial Narrow" w:hAnsi="Arial Narrow" w:cs="Calibri"/>
                <w:noProof/>
                <w:color w:val="000000"/>
                <w:sz w:val="20"/>
                <w:szCs w:val="20"/>
                <w:highlight w:val="black"/>
              </w:rPr>
              <w:t>'''''''''''</w:t>
            </w:r>
            <w:r w:rsidR="004F17E1" w:rsidRPr="00405BA5">
              <w:rPr>
                <w:rFonts w:ascii="Arial Narrow" w:hAnsi="Arial Narrow" w:cs="Calibri"/>
                <w:color w:val="000000"/>
                <w:sz w:val="20"/>
                <w:szCs w:val="20"/>
              </w:rPr>
              <w:t>%</w:t>
            </w:r>
            <w:r w:rsidR="00905AF7" w:rsidRPr="00405BA5">
              <w:rPr>
                <w:rFonts w:ascii="Arial Narrow" w:hAnsi="Arial Narrow" w:cs="Calibri"/>
                <w:color w:val="000000"/>
                <w:sz w:val="20"/>
                <w:szCs w:val="20"/>
              </w:rPr>
              <w:t xml:space="preserve"> to </w:t>
            </w:r>
            <w:r>
              <w:rPr>
                <w:rFonts w:ascii="Arial Narrow" w:hAnsi="Arial Narrow" w:cs="Calibri"/>
                <w:noProof/>
                <w:color w:val="000000"/>
                <w:sz w:val="20"/>
                <w:szCs w:val="20"/>
                <w:highlight w:val="black"/>
              </w:rPr>
              <w:t>''''''''''</w:t>
            </w:r>
            <w:r w:rsidR="0051788D" w:rsidRPr="00405BA5">
              <w:rPr>
                <w:rFonts w:ascii="Arial Narrow" w:hAnsi="Arial Narrow" w:cs="Calibri"/>
                <w:color w:val="000000"/>
                <w:sz w:val="20"/>
                <w:szCs w:val="20"/>
              </w:rPr>
              <w:t>%</w:t>
            </w:r>
            <w:r w:rsidR="00905AF7" w:rsidRPr="00405BA5">
              <w:rPr>
                <w:rFonts w:ascii="Arial Narrow" w:hAnsi="Arial Narrow" w:cs="Calibri"/>
                <w:color w:val="000000"/>
                <w:sz w:val="20"/>
                <w:szCs w:val="20"/>
              </w:rPr>
              <w:t xml:space="preserve"> from Y</w:t>
            </w:r>
            <w:r w:rsidR="004F17E1" w:rsidRPr="00405BA5">
              <w:rPr>
                <w:rFonts w:ascii="Arial Narrow" w:hAnsi="Arial Narrow" w:cs="Calibri"/>
                <w:color w:val="000000"/>
                <w:sz w:val="20"/>
                <w:szCs w:val="20"/>
              </w:rPr>
              <w:t>ear 2 onwards</w:t>
            </w:r>
          </w:p>
        </w:tc>
      </w:tr>
      <w:tr w:rsidR="004F17E1" w:rsidRPr="00405BA5" w:rsidTr="00F15DAD">
        <w:trPr>
          <w:tblHeader/>
        </w:trPr>
        <w:tc>
          <w:tcPr>
            <w:tcW w:w="279" w:type="dxa"/>
            <w:tcMar>
              <w:left w:w="11" w:type="dxa"/>
              <w:right w:w="11" w:type="dxa"/>
            </w:tcMar>
            <w:vAlign w:val="center"/>
          </w:tcPr>
          <w:p w:rsidR="004F17E1" w:rsidRPr="00405BA5" w:rsidRDefault="0051336A" w:rsidP="00C1663E">
            <w:pPr>
              <w:pStyle w:val="3Bodytext"/>
              <w:keepNext/>
              <w:keepLines/>
              <w:numPr>
                <w:ilvl w:val="0"/>
                <w:numId w:val="0"/>
              </w:numPr>
              <w:spacing w:after="0"/>
              <w:jc w:val="center"/>
              <w:rPr>
                <w:rFonts w:ascii="Arial Narrow" w:hAnsi="Arial Narrow"/>
                <w:sz w:val="20"/>
                <w:szCs w:val="20"/>
              </w:rPr>
            </w:pPr>
            <w:r w:rsidRPr="00405BA5">
              <w:rPr>
                <w:rFonts w:ascii="Arial Narrow" w:hAnsi="Arial Narrow"/>
                <w:sz w:val="20"/>
                <w:szCs w:val="20"/>
              </w:rPr>
              <w:t>R</w:t>
            </w:r>
          </w:p>
        </w:tc>
        <w:tc>
          <w:tcPr>
            <w:tcW w:w="1134" w:type="dxa"/>
            <w:tcMar>
              <w:left w:w="11" w:type="dxa"/>
              <w:right w:w="11" w:type="dxa"/>
            </w:tcMar>
            <w:vAlign w:val="center"/>
          </w:tcPr>
          <w:p w:rsidR="004F17E1" w:rsidRPr="00405BA5" w:rsidRDefault="004F17E1" w:rsidP="00C1663E">
            <w:pPr>
              <w:pStyle w:val="3Bodytext"/>
              <w:keepNext/>
              <w:keepLines/>
              <w:numPr>
                <w:ilvl w:val="0"/>
                <w:numId w:val="0"/>
              </w:numPr>
              <w:spacing w:after="0"/>
              <w:jc w:val="left"/>
              <w:rPr>
                <w:rFonts w:ascii="Arial Narrow" w:hAnsi="Arial Narrow"/>
                <w:sz w:val="20"/>
                <w:szCs w:val="20"/>
              </w:rPr>
            </w:pPr>
            <w:r w:rsidRPr="00405BA5">
              <w:rPr>
                <w:rFonts w:ascii="Arial Narrow" w:hAnsi="Arial Narrow"/>
                <w:sz w:val="20"/>
                <w:szCs w:val="20"/>
              </w:rPr>
              <w:t>Offset due to adjuvant early relapse</w:t>
            </w:r>
          </w:p>
        </w:tc>
        <w:tc>
          <w:tcPr>
            <w:tcW w:w="7754" w:type="dxa"/>
            <w:gridSpan w:val="7"/>
            <w:tcMar>
              <w:left w:w="11" w:type="dxa"/>
              <w:right w:w="11" w:type="dxa"/>
            </w:tcMar>
            <w:vAlign w:val="center"/>
          </w:tcPr>
          <w:p w:rsidR="004F17E1" w:rsidRPr="00405BA5" w:rsidRDefault="00653477" w:rsidP="00905AF7">
            <w:pPr>
              <w:pStyle w:val="3Bodytext"/>
              <w:keepNext/>
              <w:keepLines/>
              <w:numPr>
                <w:ilvl w:val="0"/>
                <w:numId w:val="0"/>
              </w:numPr>
              <w:spacing w:after="0"/>
              <w:jc w:val="center"/>
              <w:rPr>
                <w:rFonts w:ascii="Arial Narrow" w:hAnsi="Arial Narrow" w:cs="Calibri"/>
                <w:color w:val="000000"/>
                <w:sz w:val="20"/>
                <w:szCs w:val="20"/>
              </w:rPr>
            </w:pPr>
            <w:r>
              <w:rPr>
                <w:rFonts w:ascii="Arial Narrow" w:hAnsi="Arial Narrow" w:cs="Calibri"/>
                <w:noProof/>
                <w:color w:val="000000"/>
                <w:sz w:val="20"/>
                <w:szCs w:val="20"/>
                <w:highlight w:val="black"/>
              </w:rPr>
              <w:t>''''''''''</w:t>
            </w:r>
            <w:r w:rsidR="004F17E1" w:rsidRPr="00405BA5">
              <w:rPr>
                <w:rFonts w:ascii="Arial Narrow" w:hAnsi="Arial Narrow" w:cs="Calibri"/>
                <w:color w:val="000000"/>
                <w:sz w:val="20"/>
                <w:szCs w:val="20"/>
              </w:rPr>
              <w:t>%</w:t>
            </w:r>
            <w:r w:rsidR="00905AF7" w:rsidRPr="00405BA5">
              <w:rPr>
                <w:rFonts w:ascii="Arial Narrow" w:hAnsi="Arial Narrow" w:cs="Calibri"/>
                <w:color w:val="000000"/>
                <w:sz w:val="20"/>
                <w:szCs w:val="20"/>
              </w:rPr>
              <w:t xml:space="preserve"> to </w:t>
            </w:r>
            <w:r>
              <w:rPr>
                <w:rFonts w:ascii="Arial Narrow" w:hAnsi="Arial Narrow" w:cs="Calibri"/>
                <w:noProof/>
                <w:color w:val="000000"/>
                <w:sz w:val="20"/>
                <w:szCs w:val="20"/>
                <w:highlight w:val="black"/>
              </w:rPr>
              <w:t>'''''''''''</w:t>
            </w:r>
            <w:r w:rsidR="0051788D" w:rsidRPr="00405BA5">
              <w:rPr>
                <w:rFonts w:ascii="Arial Narrow" w:hAnsi="Arial Narrow" w:cs="Calibri"/>
                <w:color w:val="000000"/>
                <w:sz w:val="20"/>
                <w:szCs w:val="20"/>
              </w:rPr>
              <w:t>%</w:t>
            </w:r>
            <w:r w:rsidR="004F17E1" w:rsidRPr="00405BA5">
              <w:rPr>
                <w:rFonts w:ascii="Arial Narrow" w:hAnsi="Arial Narrow" w:cs="Calibri"/>
                <w:color w:val="000000"/>
                <w:sz w:val="20"/>
                <w:szCs w:val="20"/>
              </w:rPr>
              <w:t xml:space="preserve"> from </w:t>
            </w:r>
            <w:r w:rsidR="00905AF7" w:rsidRPr="00405BA5">
              <w:rPr>
                <w:rFonts w:ascii="Arial Narrow" w:hAnsi="Arial Narrow" w:cs="Calibri"/>
                <w:color w:val="000000"/>
                <w:sz w:val="20"/>
                <w:szCs w:val="20"/>
              </w:rPr>
              <w:t>Y</w:t>
            </w:r>
            <w:r w:rsidR="004F17E1" w:rsidRPr="00405BA5">
              <w:rPr>
                <w:rFonts w:ascii="Arial Narrow" w:hAnsi="Arial Narrow" w:cs="Calibri"/>
                <w:color w:val="000000"/>
                <w:sz w:val="20"/>
                <w:szCs w:val="20"/>
              </w:rPr>
              <w:t>ear 1 onwards</w:t>
            </w:r>
          </w:p>
        </w:tc>
      </w:tr>
      <w:tr w:rsidR="00626C48" w:rsidRPr="00405BA5" w:rsidTr="00F15DAD">
        <w:trPr>
          <w:tblHeader/>
        </w:trPr>
        <w:tc>
          <w:tcPr>
            <w:tcW w:w="9167" w:type="dxa"/>
            <w:gridSpan w:val="9"/>
            <w:tcMar>
              <w:left w:w="11" w:type="dxa"/>
              <w:right w:w="11" w:type="dxa"/>
            </w:tcMar>
            <w:vAlign w:val="center"/>
          </w:tcPr>
          <w:p w:rsidR="00626C48" w:rsidRPr="00405BA5" w:rsidRDefault="00626C48" w:rsidP="00626C48">
            <w:pPr>
              <w:pStyle w:val="3Bodytext"/>
              <w:keepNext/>
              <w:keepLines/>
              <w:numPr>
                <w:ilvl w:val="0"/>
                <w:numId w:val="0"/>
              </w:numPr>
              <w:spacing w:after="0"/>
              <w:jc w:val="left"/>
              <w:rPr>
                <w:rFonts w:ascii="Arial Narrow" w:hAnsi="Arial Narrow" w:cs="Calibri"/>
                <w:b/>
                <w:color w:val="000000"/>
                <w:sz w:val="20"/>
                <w:szCs w:val="20"/>
              </w:rPr>
            </w:pPr>
            <w:r w:rsidRPr="00405BA5">
              <w:rPr>
                <w:rFonts w:ascii="Arial Narrow" w:hAnsi="Arial Narrow" w:cs="Calibri"/>
                <w:b/>
                <w:color w:val="000000"/>
                <w:sz w:val="20"/>
                <w:szCs w:val="20"/>
              </w:rPr>
              <w:t>Combined adjuvant and unresectable or metastatic setting</w:t>
            </w:r>
          </w:p>
        </w:tc>
      </w:tr>
      <w:tr w:rsidR="004F17E1" w:rsidRPr="00534C5B" w:rsidTr="00F15DAD">
        <w:trPr>
          <w:tblHeader/>
        </w:trPr>
        <w:tc>
          <w:tcPr>
            <w:tcW w:w="279" w:type="dxa"/>
            <w:tcMar>
              <w:left w:w="11" w:type="dxa"/>
              <w:right w:w="11" w:type="dxa"/>
            </w:tcMar>
            <w:vAlign w:val="center"/>
          </w:tcPr>
          <w:p w:rsidR="004F17E1" w:rsidRPr="00405BA5" w:rsidRDefault="0051336A" w:rsidP="00804378">
            <w:pPr>
              <w:pStyle w:val="3Bodytext"/>
              <w:keepNext/>
              <w:keepLines/>
              <w:numPr>
                <w:ilvl w:val="0"/>
                <w:numId w:val="0"/>
              </w:numPr>
              <w:spacing w:after="0"/>
              <w:jc w:val="center"/>
              <w:rPr>
                <w:rFonts w:ascii="Arial Narrow" w:hAnsi="Arial Narrow"/>
                <w:sz w:val="20"/>
                <w:szCs w:val="20"/>
              </w:rPr>
            </w:pPr>
            <w:r w:rsidRPr="00405BA5">
              <w:rPr>
                <w:rFonts w:ascii="Arial Narrow" w:hAnsi="Arial Narrow"/>
                <w:sz w:val="20"/>
                <w:szCs w:val="20"/>
              </w:rPr>
              <w:t>S</w:t>
            </w:r>
          </w:p>
        </w:tc>
        <w:tc>
          <w:tcPr>
            <w:tcW w:w="1134" w:type="dxa"/>
            <w:tcMar>
              <w:left w:w="11" w:type="dxa"/>
              <w:right w:w="11" w:type="dxa"/>
            </w:tcMar>
            <w:vAlign w:val="center"/>
          </w:tcPr>
          <w:p w:rsidR="004F17E1" w:rsidRPr="00405BA5" w:rsidRDefault="004F17E1" w:rsidP="00804378">
            <w:pPr>
              <w:pStyle w:val="3Bodytext"/>
              <w:keepNext/>
              <w:keepLines/>
              <w:numPr>
                <w:ilvl w:val="0"/>
                <w:numId w:val="0"/>
              </w:numPr>
              <w:spacing w:after="0"/>
              <w:jc w:val="left"/>
              <w:rPr>
                <w:rFonts w:ascii="Arial Narrow" w:hAnsi="Arial Narrow"/>
                <w:sz w:val="20"/>
                <w:szCs w:val="20"/>
              </w:rPr>
            </w:pPr>
            <w:r w:rsidRPr="00405BA5">
              <w:rPr>
                <w:rFonts w:ascii="Arial Narrow" w:hAnsi="Arial Narrow"/>
                <w:sz w:val="20"/>
                <w:szCs w:val="20"/>
              </w:rPr>
              <w:t>Total cap</w:t>
            </w:r>
          </w:p>
        </w:tc>
        <w:tc>
          <w:tcPr>
            <w:tcW w:w="7754" w:type="dxa"/>
            <w:gridSpan w:val="7"/>
            <w:tcMar>
              <w:left w:w="11" w:type="dxa"/>
              <w:right w:w="11" w:type="dxa"/>
            </w:tcMar>
            <w:vAlign w:val="center"/>
          </w:tcPr>
          <w:p w:rsidR="004F17E1" w:rsidRPr="00534C5B" w:rsidDel="00F1760F" w:rsidRDefault="004F17E1" w:rsidP="00804378">
            <w:pPr>
              <w:pStyle w:val="3Bodytext"/>
              <w:keepNext/>
              <w:keepLines/>
              <w:numPr>
                <w:ilvl w:val="0"/>
                <w:numId w:val="0"/>
              </w:numPr>
              <w:spacing w:after="0"/>
              <w:jc w:val="center"/>
              <w:rPr>
                <w:rFonts w:ascii="Arial Narrow" w:hAnsi="Arial Narrow" w:cs="Calibri"/>
                <w:color w:val="000000"/>
                <w:sz w:val="20"/>
                <w:szCs w:val="20"/>
              </w:rPr>
            </w:pPr>
            <w:r w:rsidRPr="00405BA5">
              <w:rPr>
                <w:rFonts w:ascii="Arial Narrow" w:hAnsi="Arial Narrow" w:cs="Calibri"/>
                <w:color w:val="000000"/>
                <w:sz w:val="20"/>
                <w:szCs w:val="20"/>
              </w:rPr>
              <w:t>Adjuvant melanoma total cost plus unresectable or metastatic total cost</w:t>
            </w:r>
          </w:p>
        </w:tc>
      </w:tr>
    </w:tbl>
    <w:p w:rsidR="0022605C" w:rsidRPr="00534C5B" w:rsidRDefault="0051336A" w:rsidP="0051336A">
      <w:pPr>
        <w:pStyle w:val="TableFooter"/>
      </w:pPr>
      <w:r w:rsidRPr="00534C5B">
        <w:t xml:space="preserve">AEMP = approved ex-manufacturer price; </w:t>
      </w:r>
      <w:r w:rsidR="007E0D23" w:rsidRPr="00534C5B">
        <w:t xml:space="preserve">BRAF MT = BRAF mutant; BRAFT WT = BRAF wild type; </w:t>
      </w:r>
      <w:r w:rsidRPr="00534C5B">
        <w:t xml:space="preserve">DAB+TRAM = dabrafenib+trametinib; DPMA = dispensed price for maximum amount; NIVO = nivolumab; </w:t>
      </w:r>
      <w:r w:rsidR="007E0D23" w:rsidRPr="00534C5B">
        <w:t>PBAC = Pharmaceutical Benefits Advisory Committee</w:t>
      </w:r>
    </w:p>
    <w:p w:rsidR="0051336A" w:rsidRPr="00534C5B" w:rsidRDefault="0051336A" w:rsidP="0022605C">
      <w:pPr>
        <w:pStyle w:val="TableFooter"/>
      </w:pPr>
      <w:r w:rsidRPr="00534C5B">
        <w:rPr>
          <w:vertAlign w:val="superscript"/>
        </w:rPr>
        <w:t>a</w:t>
      </w:r>
      <w:r w:rsidRPr="00534C5B">
        <w:t xml:space="preserve"> DPMA less co-payment, based on AEMP </w:t>
      </w:r>
      <w:r w:rsidRPr="00405BA5">
        <w:t>of $</w:t>
      </w:r>
      <w:r w:rsidR="002319C5">
        <w:rPr>
          <w:noProof/>
          <w:color w:val="000000"/>
          <w:highlight w:val="black"/>
        </w:rPr>
        <w:t>'''''''''''''''</w:t>
      </w:r>
      <w:r w:rsidRPr="00405BA5">
        <w:t xml:space="preserve"> per</w:t>
      </w:r>
      <w:r w:rsidRPr="00534C5B">
        <w:t xml:space="preserve"> 100 mg NIVO as per cost-minimisation versus DAB+TRAM</w:t>
      </w:r>
    </w:p>
    <w:p w:rsidR="0051336A" w:rsidRPr="00534C5B" w:rsidRDefault="0051336A" w:rsidP="0022605C">
      <w:pPr>
        <w:pStyle w:val="TableFooter"/>
      </w:pPr>
      <w:r w:rsidRPr="00534C5B">
        <w:rPr>
          <w:vertAlign w:val="superscript"/>
        </w:rPr>
        <w:t>b</w:t>
      </w:r>
      <w:r w:rsidRPr="00534C5B">
        <w:t xml:space="preserve"> DPMA less co-payment, based on AEMP of $</w:t>
      </w:r>
      <w:r w:rsidR="00653477">
        <w:rPr>
          <w:noProof/>
          <w:color w:val="000000"/>
          <w:highlight w:val="black"/>
        </w:rPr>
        <w:t>''''''''''''''''''</w:t>
      </w:r>
      <w:r w:rsidRPr="00534C5B">
        <w:t xml:space="preserve"> per 100 mg NIVO</w:t>
      </w:r>
    </w:p>
    <w:p w:rsidR="0022605C" w:rsidRPr="00534C5B" w:rsidRDefault="0022605C" w:rsidP="0022605C">
      <w:pPr>
        <w:pStyle w:val="TableFooter"/>
      </w:pPr>
      <w:r w:rsidRPr="00534C5B">
        <w:t xml:space="preserve">Source: </w:t>
      </w:r>
      <w:r w:rsidR="004F17E1" w:rsidRPr="00534C5B">
        <w:t>As per PBAC consideration</w:t>
      </w:r>
    </w:p>
    <w:p w:rsidR="0022605C" w:rsidRPr="00534C5B" w:rsidRDefault="0022605C" w:rsidP="0022605C"/>
    <w:p w:rsidR="007E0D23" w:rsidRPr="00534C5B" w:rsidRDefault="007E0D23" w:rsidP="007E0D23">
      <w:pPr>
        <w:pStyle w:val="ListParagraph"/>
        <w:widowControl/>
        <w:spacing w:after="120"/>
        <w:contextualSpacing w:val="0"/>
        <w:jc w:val="center"/>
        <w:rPr>
          <w:b/>
          <w:szCs w:val="24"/>
          <w:u w:val="single"/>
        </w:rPr>
      </w:pPr>
      <w:r w:rsidRPr="00534C5B">
        <w:rPr>
          <w:b/>
          <w:szCs w:val="24"/>
          <w:u w:val="single"/>
        </w:rPr>
        <w:t>End Committee-in-Confidence information</w:t>
      </w:r>
    </w:p>
    <w:p w:rsidR="00FC709D" w:rsidRPr="00534C5B" w:rsidRDefault="00FC709D" w:rsidP="00FC709D"/>
    <w:p w:rsidR="00FC709D" w:rsidRPr="00534C5B" w:rsidRDefault="00FC709D" w:rsidP="00866AE1">
      <w:pPr>
        <w:pStyle w:val="3Bodytext"/>
        <w:numPr>
          <w:ilvl w:val="0"/>
          <w:numId w:val="0"/>
        </w:numPr>
        <w:rPr>
          <w:i/>
          <w:szCs w:val="24"/>
        </w:rPr>
      </w:pPr>
      <w:r w:rsidRPr="00534C5B">
        <w:rPr>
          <w:szCs w:val="24"/>
        </w:rPr>
        <w:tab/>
      </w:r>
      <w:r w:rsidRPr="00534C5B">
        <w:rPr>
          <w:i/>
          <w:szCs w:val="24"/>
        </w:rPr>
        <w:t>For more detail on PBAC’s view, see section 5 PBAC outcome.</w:t>
      </w:r>
    </w:p>
    <w:p w:rsidR="00AF0867" w:rsidRPr="00534C5B" w:rsidRDefault="00AF0867" w:rsidP="00AF0867">
      <w:pPr>
        <w:pStyle w:val="2Sections"/>
      </w:pPr>
      <w:r w:rsidRPr="00534C5B">
        <w:t>PBAC Outcome</w:t>
      </w:r>
    </w:p>
    <w:p w:rsidR="00E758D3" w:rsidRPr="00534C5B" w:rsidRDefault="00E758D3" w:rsidP="00AF0867">
      <w:pPr>
        <w:widowControl w:val="0"/>
        <w:numPr>
          <w:ilvl w:val="1"/>
          <w:numId w:val="1"/>
        </w:numPr>
        <w:spacing w:after="120"/>
        <w:jc w:val="both"/>
        <w:rPr>
          <w:rFonts w:asciiTheme="minorHAnsi" w:hAnsiTheme="minorHAnsi" w:cs="Arial"/>
          <w:bCs/>
          <w:snapToGrid w:val="0"/>
        </w:rPr>
      </w:pPr>
      <w:r w:rsidRPr="00534C5B">
        <w:rPr>
          <w:rFonts w:asciiTheme="minorHAnsi" w:hAnsiTheme="minorHAnsi" w:cs="Arial"/>
          <w:bCs/>
          <w:snapToGrid w:val="0"/>
        </w:rPr>
        <w:t xml:space="preserve">The PBAC recommended the listing of nivolumab for the </w:t>
      </w:r>
      <w:r w:rsidR="00E84AB0" w:rsidRPr="00534C5B">
        <w:rPr>
          <w:rFonts w:asciiTheme="minorHAnsi" w:hAnsiTheme="minorHAnsi" w:cs="Arial"/>
          <w:bCs/>
          <w:snapToGrid w:val="0"/>
        </w:rPr>
        <w:t xml:space="preserve">adjuvant </w:t>
      </w:r>
      <w:r w:rsidRPr="00534C5B">
        <w:rPr>
          <w:rFonts w:asciiTheme="minorHAnsi" w:hAnsiTheme="minorHAnsi" w:cs="Arial"/>
          <w:bCs/>
          <w:snapToGrid w:val="0"/>
        </w:rPr>
        <w:t>treatment of completely resected Stage IIIB, IIIC, IIID or Stage IV malignant melanoma, on the basis that it should be available under Section 100 – Efficient Funding of Chemotherapy</w:t>
      </w:r>
      <w:r w:rsidR="00E84AB0" w:rsidRPr="00534C5B">
        <w:rPr>
          <w:rFonts w:asciiTheme="minorHAnsi" w:hAnsiTheme="minorHAnsi" w:cs="Arial"/>
          <w:bCs/>
          <w:snapToGrid w:val="0"/>
        </w:rPr>
        <w:t xml:space="preserve">. </w:t>
      </w:r>
      <w:r w:rsidR="001D0CC9" w:rsidRPr="00534C5B">
        <w:rPr>
          <w:rFonts w:asciiTheme="minorHAnsi" w:hAnsiTheme="minorHAnsi" w:cstheme="minorHAnsi"/>
        </w:rPr>
        <w:t xml:space="preserve">The PBAC noted changes made to the economic analysis and considered that the uncertainty surrounding uptake in the adjuvant setting and changes to use in the unresectable or metastatic setting would be managed by subsidisation caps through a Risk Sharing Arrangement (RSA). </w:t>
      </w:r>
    </w:p>
    <w:p w:rsidR="00AF0867" w:rsidRPr="00534C5B" w:rsidRDefault="00AF0867" w:rsidP="00AF0867">
      <w:pPr>
        <w:widowControl w:val="0"/>
        <w:numPr>
          <w:ilvl w:val="1"/>
          <w:numId w:val="1"/>
        </w:numPr>
        <w:spacing w:after="120"/>
        <w:jc w:val="both"/>
        <w:rPr>
          <w:rFonts w:asciiTheme="minorHAnsi" w:hAnsiTheme="minorHAnsi" w:cs="Arial"/>
          <w:bCs/>
          <w:snapToGrid w:val="0"/>
        </w:rPr>
      </w:pPr>
      <w:r w:rsidRPr="00534C5B">
        <w:rPr>
          <w:rFonts w:asciiTheme="minorHAnsi" w:hAnsiTheme="minorHAnsi" w:cs="Arial"/>
          <w:bCs/>
          <w:snapToGrid w:val="0"/>
        </w:rPr>
        <w:t>The PBAC</w:t>
      </w:r>
      <w:r w:rsidR="00E84AB0" w:rsidRPr="00534C5B">
        <w:rPr>
          <w:rFonts w:asciiTheme="minorHAnsi" w:hAnsiTheme="minorHAnsi" w:cs="Arial"/>
          <w:bCs/>
          <w:snapToGrid w:val="0"/>
        </w:rPr>
        <w:t xml:space="preserve"> noted that no additional clinical data was provided, but remained </w:t>
      </w:r>
      <w:r w:rsidRPr="00534C5B">
        <w:rPr>
          <w:rFonts w:asciiTheme="minorHAnsi" w:hAnsiTheme="minorHAnsi" w:cs="Arial"/>
          <w:bCs/>
          <w:snapToGrid w:val="0"/>
        </w:rPr>
        <w:t xml:space="preserve">satisfied that </w:t>
      </w:r>
      <w:r w:rsidR="00E84AB0" w:rsidRPr="00534C5B">
        <w:rPr>
          <w:rFonts w:asciiTheme="minorHAnsi" w:hAnsiTheme="minorHAnsi" w:cs="Arial"/>
          <w:bCs/>
          <w:snapToGrid w:val="0"/>
        </w:rPr>
        <w:t xml:space="preserve">nivolumab </w:t>
      </w:r>
      <w:r w:rsidR="00FB164D" w:rsidRPr="00534C5B">
        <w:rPr>
          <w:rFonts w:asciiTheme="minorHAnsi" w:hAnsiTheme="minorHAnsi" w:cs="Arial"/>
          <w:bCs/>
          <w:snapToGrid w:val="0"/>
        </w:rPr>
        <w:t xml:space="preserve">was non-inferior compared to </w:t>
      </w:r>
      <w:r w:rsidR="002C0526" w:rsidRPr="00534C5B">
        <w:rPr>
          <w:rFonts w:asciiTheme="minorHAnsi" w:hAnsiTheme="minorHAnsi" w:cs="Arial"/>
          <w:bCs/>
          <w:snapToGrid w:val="0"/>
        </w:rPr>
        <w:t>dabrafenib+trametinib (DAB+TRAM) f</w:t>
      </w:r>
      <w:r w:rsidR="00FB164D" w:rsidRPr="00534C5B">
        <w:rPr>
          <w:rFonts w:asciiTheme="minorHAnsi" w:hAnsiTheme="minorHAnsi" w:cs="Arial"/>
          <w:bCs/>
          <w:snapToGrid w:val="0"/>
        </w:rPr>
        <w:t xml:space="preserve">or BRAF mutant patients and superior compared to routine follow-up </w:t>
      </w:r>
      <w:r w:rsidR="002C0526" w:rsidRPr="00534C5B">
        <w:rPr>
          <w:rFonts w:asciiTheme="minorHAnsi" w:hAnsiTheme="minorHAnsi" w:cs="Arial"/>
          <w:bCs/>
          <w:snapToGrid w:val="0"/>
        </w:rPr>
        <w:t xml:space="preserve">for BRAF wild type patients </w:t>
      </w:r>
      <w:r w:rsidR="00E84AB0" w:rsidRPr="00534C5B">
        <w:rPr>
          <w:rFonts w:asciiTheme="minorHAnsi" w:hAnsiTheme="minorHAnsi" w:cs="Arial"/>
          <w:bCs/>
          <w:snapToGrid w:val="0"/>
        </w:rPr>
        <w:t>in terms of recurrence free survival</w:t>
      </w:r>
      <w:r w:rsidR="00FB164D" w:rsidRPr="00534C5B">
        <w:rPr>
          <w:rFonts w:asciiTheme="minorHAnsi" w:hAnsiTheme="minorHAnsi" w:cs="Arial"/>
          <w:bCs/>
          <w:snapToGrid w:val="0"/>
        </w:rPr>
        <w:t xml:space="preserve">. The PBAC noted that there was currently limited overall survival data. </w:t>
      </w:r>
      <w:r w:rsidR="00011088" w:rsidRPr="00534C5B">
        <w:rPr>
          <w:rFonts w:asciiTheme="minorHAnsi" w:hAnsiTheme="minorHAnsi" w:cs="Arial"/>
          <w:bCs/>
          <w:snapToGrid w:val="0"/>
        </w:rPr>
        <w:t xml:space="preserve">In terms of safety, the PBAC recalled that it previously </w:t>
      </w:r>
      <w:r w:rsidR="00011088" w:rsidRPr="00534C5B">
        <w:rPr>
          <w:rFonts w:asciiTheme="minorHAnsi" w:hAnsiTheme="minorHAnsi" w:cs="Arial"/>
          <w:bCs/>
          <w:snapToGrid w:val="0"/>
        </w:rPr>
        <w:lastRenderedPageBreak/>
        <w:t xml:space="preserve">considered that nivolumab was inferior to routine follow-up, and may be better tolerated than </w:t>
      </w:r>
      <w:r w:rsidR="002C0526" w:rsidRPr="00534C5B">
        <w:rPr>
          <w:rFonts w:asciiTheme="minorHAnsi" w:hAnsiTheme="minorHAnsi" w:cs="Arial"/>
          <w:bCs/>
          <w:snapToGrid w:val="0"/>
        </w:rPr>
        <w:t>DAB+TRAM</w:t>
      </w:r>
      <w:r w:rsidR="00011088" w:rsidRPr="00534C5B">
        <w:rPr>
          <w:rFonts w:asciiTheme="minorHAnsi" w:hAnsiTheme="minorHAnsi" w:cs="Arial"/>
          <w:bCs/>
          <w:snapToGrid w:val="0"/>
        </w:rPr>
        <w:t>.</w:t>
      </w:r>
    </w:p>
    <w:p w:rsidR="00E84AB0" w:rsidRPr="00534C5B" w:rsidRDefault="00E84AB0" w:rsidP="00AF0867">
      <w:pPr>
        <w:widowControl w:val="0"/>
        <w:numPr>
          <w:ilvl w:val="1"/>
          <w:numId w:val="1"/>
        </w:numPr>
        <w:spacing w:after="120"/>
        <w:jc w:val="both"/>
        <w:rPr>
          <w:rFonts w:asciiTheme="minorHAnsi" w:hAnsiTheme="minorHAnsi" w:cs="Arial"/>
          <w:bCs/>
          <w:snapToGrid w:val="0"/>
        </w:rPr>
      </w:pPr>
      <w:r w:rsidRPr="00534C5B">
        <w:rPr>
          <w:rFonts w:asciiTheme="minorHAnsi" w:hAnsiTheme="minorHAnsi" w:cs="Arial"/>
          <w:bCs/>
          <w:snapToGrid w:val="0"/>
        </w:rPr>
        <w:t xml:space="preserve">The PBAC </w:t>
      </w:r>
      <w:r w:rsidR="000F394C" w:rsidRPr="00534C5B">
        <w:rPr>
          <w:rFonts w:asciiTheme="minorHAnsi" w:hAnsiTheme="minorHAnsi" w:cs="Arial"/>
          <w:bCs/>
          <w:snapToGrid w:val="0"/>
        </w:rPr>
        <w:t xml:space="preserve">recalled that it </w:t>
      </w:r>
      <w:r w:rsidR="001D0CC9" w:rsidRPr="00534C5B">
        <w:rPr>
          <w:rFonts w:asciiTheme="minorHAnsi" w:hAnsiTheme="minorHAnsi" w:cs="Arial"/>
          <w:bCs/>
          <w:snapToGrid w:val="0"/>
        </w:rPr>
        <w:t xml:space="preserve">had </w:t>
      </w:r>
      <w:r w:rsidR="000F394C" w:rsidRPr="00534C5B">
        <w:rPr>
          <w:rFonts w:asciiTheme="minorHAnsi" w:hAnsiTheme="minorHAnsi" w:cs="Arial"/>
          <w:bCs/>
          <w:snapToGrid w:val="0"/>
        </w:rPr>
        <w:t xml:space="preserve">previously </w:t>
      </w:r>
      <w:r w:rsidR="001D0CC9" w:rsidRPr="00534C5B">
        <w:rPr>
          <w:rFonts w:asciiTheme="minorHAnsi" w:hAnsiTheme="minorHAnsi" w:cs="Arial"/>
          <w:bCs/>
          <w:snapToGrid w:val="0"/>
        </w:rPr>
        <w:t xml:space="preserve">accepted the cost effectiveness analysis of nivolumab in BRAF wild type patients and had </w:t>
      </w:r>
      <w:r w:rsidR="000F394C" w:rsidRPr="00534C5B">
        <w:rPr>
          <w:rFonts w:asciiTheme="minorHAnsi" w:hAnsiTheme="minorHAnsi" w:cs="Arial"/>
          <w:bCs/>
          <w:snapToGrid w:val="0"/>
        </w:rPr>
        <w:t>advised t</w:t>
      </w:r>
      <w:r w:rsidRPr="00534C5B">
        <w:rPr>
          <w:rFonts w:asciiTheme="minorHAnsi" w:hAnsiTheme="minorHAnsi" w:cs="Arial"/>
          <w:bCs/>
          <w:snapToGrid w:val="0"/>
        </w:rPr>
        <w:t xml:space="preserve">hat </w:t>
      </w:r>
      <w:r w:rsidR="000F394C" w:rsidRPr="00534C5B">
        <w:rPr>
          <w:rFonts w:asciiTheme="minorHAnsi" w:hAnsiTheme="minorHAnsi" w:cs="Arial"/>
          <w:bCs/>
          <w:snapToGrid w:val="0"/>
        </w:rPr>
        <w:t>if DAB+TRAM was listed on the PBS for the adjuvant treatment of BRAF mutant melanoma, it would be appropriate for nivolumab to be cost minimised to DAB+TRAM for the proportion of patients that were BRAF mutant positive. The PBAC considered that for BRAF mutant positive patients the equi-effective doses were:</w:t>
      </w:r>
    </w:p>
    <w:p w:rsidR="000F394C" w:rsidRPr="00534C5B" w:rsidRDefault="000F394C" w:rsidP="0027140A">
      <w:pPr>
        <w:widowControl w:val="0"/>
        <w:ind w:left="1440"/>
        <w:jc w:val="both"/>
        <w:rPr>
          <w:rFonts w:asciiTheme="minorHAnsi" w:hAnsiTheme="minorHAnsi" w:cs="Arial"/>
          <w:bCs/>
          <w:snapToGrid w:val="0"/>
        </w:rPr>
      </w:pPr>
      <w:r w:rsidRPr="00534C5B">
        <w:rPr>
          <w:rFonts w:asciiTheme="minorHAnsi" w:hAnsiTheme="minorHAnsi" w:cs="Arial"/>
          <w:bCs/>
          <w:snapToGrid w:val="0"/>
        </w:rPr>
        <w:t xml:space="preserve">Nivolumab 3 mg/kg every two weeks OR 240 mg every two weeks OR 480 mg every four weeks = </w:t>
      </w:r>
    </w:p>
    <w:p w:rsidR="000F394C" w:rsidRPr="00534C5B" w:rsidRDefault="000F394C" w:rsidP="0027140A">
      <w:pPr>
        <w:widowControl w:val="0"/>
        <w:spacing w:after="120"/>
        <w:ind w:left="720" w:firstLine="720"/>
        <w:jc w:val="both"/>
        <w:rPr>
          <w:rFonts w:asciiTheme="minorHAnsi" w:hAnsiTheme="minorHAnsi" w:cs="Arial"/>
          <w:bCs/>
          <w:snapToGrid w:val="0"/>
        </w:rPr>
      </w:pPr>
      <w:r w:rsidRPr="00534C5B">
        <w:rPr>
          <w:rFonts w:asciiTheme="minorHAnsi" w:hAnsiTheme="minorHAnsi" w:cs="Arial"/>
          <w:bCs/>
          <w:snapToGrid w:val="0"/>
        </w:rPr>
        <w:t>Dabrafenib 150 mg twice daily + Trametinib 2 mg on</w:t>
      </w:r>
      <w:r w:rsidR="0027140A" w:rsidRPr="00534C5B">
        <w:rPr>
          <w:rFonts w:asciiTheme="minorHAnsi" w:hAnsiTheme="minorHAnsi" w:cs="Arial"/>
          <w:bCs/>
          <w:snapToGrid w:val="0"/>
        </w:rPr>
        <w:t>c</w:t>
      </w:r>
      <w:r w:rsidRPr="00534C5B">
        <w:rPr>
          <w:rFonts w:asciiTheme="minorHAnsi" w:hAnsiTheme="minorHAnsi" w:cs="Arial"/>
          <w:bCs/>
          <w:snapToGrid w:val="0"/>
        </w:rPr>
        <w:t>e daily</w:t>
      </w:r>
    </w:p>
    <w:p w:rsidR="000F394C" w:rsidRPr="00534C5B" w:rsidRDefault="000F394C" w:rsidP="00AF0867">
      <w:pPr>
        <w:widowControl w:val="0"/>
        <w:numPr>
          <w:ilvl w:val="1"/>
          <w:numId w:val="1"/>
        </w:numPr>
        <w:spacing w:after="120"/>
        <w:jc w:val="both"/>
        <w:rPr>
          <w:rFonts w:asciiTheme="minorHAnsi" w:hAnsiTheme="minorHAnsi" w:cs="Arial"/>
          <w:bCs/>
          <w:snapToGrid w:val="0"/>
        </w:rPr>
      </w:pPr>
      <w:r w:rsidRPr="00534C5B">
        <w:rPr>
          <w:rFonts w:asciiTheme="minorHAnsi" w:hAnsiTheme="minorHAnsi" w:cs="Arial"/>
          <w:bCs/>
          <w:snapToGrid w:val="0"/>
        </w:rPr>
        <w:t xml:space="preserve">The PBAC considered that as adjuvant therapy </w:t>
      </w:r>
      <w:r w:rsidR="00E53360" w:rsidRPr="00534C5B">
        <w:rPr>
          <w:rFonts w:asciiTheme="minorHAnsi" w:hAnsiTheme="minorHAnsi" w:cs="Arial"/>
          <w:bCs/>
          <w:snapToGrid w:val="0"/>
        </w:rPr>
        <w:t xml:space="preserve">with both treatments </w:t>
      </w:r>
      <w:r w:rsidRPr="00534C5B">
        <w:rPr>
          <w:rFonts w:asciiTheme="minorHAnsi" w:hAnsiTheme="minorHAnsi" w:cs="Arial"/>
          <w:bCs/>
          <w:snapToGrid w:val="0"/>
        </w:rPr>
        <w:t xml:space="preserve">is a fixed 12 month course, it was reasonable </w:t>
      </w:r>
      <w:r w:rsidR="00E53360" w:rsidRPr="00534C5B">
        <w:rPr>
          <w:rFonts w:asciiTheme="minorHAnsi" w:hAnsiTheme="minorHAnsi" w:cs="Arial"/>
          <w:bCs/>
          <w:snapToGrid w:val="0"/>
        </w:rPr>
        <w:t xml:space="preserve">for the equi-effective doses to not </w:t>
      </w:r>
      <w:r w:rsidR="00F15FDC" w:rsidRPr="00534C5B">
        <w:rPr>
          <w:rFonts w:asciiTheme="minorHAnsi" w:hAnsiTheme="minorHAnsi" w:cs="Arial"/>
          <w:bCs/>
          <w:snapToGrid w:val="0"/>
        </w:rPr>
        <w:t>reflect</w:t>
      </w:r>
      <w:r w:rsidRPr="00534C5B">
        <w:rPr>
          <w:rFonts w:asciiTheme="minorHAnsi" w:hAnsiTheme="minorHAnsi" w:cs="Arial"/>
          <w:bCs/>
          <w:snapToGrid w:val="0"/>
        </w:rPr>
        <w:t xml:space="preserve"> </w:t>
      </w:r>
      <w:r w:rsidR="00E53360" w:rsidRPr="00534C5B">
        <w:rPr>
          <w:rFonts w:asciiTheme="minorHAnsi" w:hAnsiTheme="minorHAnsi" w:cs="Arial"/>
          <w:bCs/>
          <w:snapToGrid w:val="0"/>
        </w:rPr>
        <w:t xml:space="preserve">the </w:t>
      </w:r>
      <w:r w:rsidR="00F15FDC" w:rsidRPr="00534C5B">
        <w:rPr>
          <w:rFonts w:asciiTheme="minorHAnsi" w:hAnsiTheme="minorHAnsi" w:cs="Arial"/>
          <w:bCs/>
          <w:snapToGrid w:val="0"/>
        </w:rPr>
        <w:t xml:space="preserve">mean </w:t>
      </w:r>
      <w:r w:rsidRPr="00534C5B">
        <w:rPr>
          <w:rFonts w:asciiTheme="minorHAnsi" w:hAnsiTheme="minorHAnsi" w:cs="Arial"/>
          <w:bCs/>
          <w:snapToGrid w:val="0"/>
        </w:rPr>
        <w:t>treatment duration</w:t>
      </w:r>
      <w:r w:rsidR="00E53360" w:rsidRPr="00534C5B">
        <w:rPr>
          <w:rFonts w:asciiTheme="minorHAnsi" w:hAnsiTheme="minorHAnsi" w:cs="Arial"/>
          <w:bCs/>
          <w:snapToGrid w:val="0"/>
        </w:rPr>
        <w:t xml:space="preserve"> from the trials</w:t>
      </w:r>
      <w:r w:rsidRPr="00534C5B">
        <w:rPr>
          <w:rFonts w:asciiTheme="minorHAnsi" w:hAnsiTheme="minorHAnsi" w:cs="Arial"/>
          <w:bCs/>
          <w:snapToGrid w:val="0"/>
        </w:rPr>
        <w:t>.</w:t>
      </w:r>
    </w:p>
    <w:p w:rsidR="001D0CC9" w:rsidRPr="00534C5B" w:rsidRDefault="001D0CC9" w:rsidP="00AF0867">
      <w:pPr>
        <w:widowControl w:val="0"/>
        <w:numPr>
          <w:ilvl w:val="1"/>
          <w:numId w:val="1"/>
        </w:numPr>
        <w:spacing w:after="120"/>
        <w:jc w:val="both"/>
        <w:rPr>
          <w:rFonts w:asciiTheme="minorHAnsi" w:hAnsiTheme="minorHAnsi" w:cs="Arial"/>
          <w:bCs/>
          <w:snapToGrid w:val="0"/>
        </w:rPr>
      </w:pPr>
      <w:r w:rsidRPr="00534C5B">
        <w:rPr>
          <w:rFonts w:asciiTheme="minorHAnsi" w:hAnsiTheme="minorHAnsi" w:cs="Arial"/>
          <w:bCs/>
          <w:snapToGrid w:val="0"/>
        </w:rPr>
        <w:t xml:space="preserve">The PBAC noted that the </w:t>
      </w:r>
      <w:r w:rsidR="001039A6" w:rsidRPr="00534C5B">
        <w:rPr>
          <w:rFonts w:asciiTheme="minorHAnsi" w:hAnsiTheme="minorHAnsi" w:cs="Arial"/>
          <w:bCs/>
          <w:snapToGrid w:val="0"/>
        </w:rPr>
        <w:t xml:space="preserve">deferral </w:t>
      </w:r>
      <w:r w:rsidRPr="00534C5B">
        <w:rPr>
          <w:rFonts w:asciiTheme="minorHAnsi" w:hAnsiTheme="minorHAnsi" w:cs="Arial"/>
          <w:bCs/>
          <w:snapToGrid w:val="0"/>
        </w:rPr>
        <w:t>proposal provided a weighted price for nivolumab across the adjuvant and unresectable or metastatic settings. The PBAC noted that the weighting was based on estimated effective expenditure across the settings and advised that it would be more appropriate to base the weightings on prescription volumes</w:t>
      </w:r>
      <w:r w:rsidR="00FB164D" w:rsidRPr="00534C5B">
        <w:rPr>
          <w:rFonts w:asciiTheme="minorHAnsi" w:hAnsiTheme="minorHAnsi" w:cs="Arial"/>
          <w:bCs/>
          <w:snapToGrid w:val="0"/>
        </w:rPr>
        <w:t>.</w:t>
      </w:r>
      <w:r w:rsidR="005D4294" w:rsidRPr="00534C5B">
        <w:rPr>
          <w:rFonts w:asciiTheme="minorHAnsi" w:hAnsiTheme="minorHAnsi" w:cs="Arial"/>
          <w:bCs/>
          <w:snapToGrid w:val="0"/>
        </w:rPr>
        <w:t xml:space="preserve"> In addition, the PBAC noted that the </w:t>
      </w:r>
      <w:r w:rsidR="001039A6" w:rsidRPr="00534C5B">
        <w:rPr>
          <w:rFonts w:asciiTheme="minorHAnsi" w:hAnsiTheme="minorHAnsi" w:cs="Arial"/>
          <w:bCs/>
          <w:snapToGrid w:val="0"/>
        </w:rPr>
        <w:t xml:space="preserve">weighted </w:t>
      </w:r>
      <w:r w:rsidR="005D4294" w:rsidRPr="00534C5B">
        <w:rPr>
          <w:rFonts w:asciiTheme="minorHAnsi" w:hAnsiTheme="minorHAnsi" w:cs="Arial"/>
          <w:bCs/>
          <w:snapToGrid w:val="0"/>
        </w:rPr>
        <w:t>pricing proposal would have to be updated to include extended use in the first-line unresectable or metastatic setting for BRAF mutant patients associated with the November 2019 application for NIVO monotherapy and NIVO+IPI.</w:t>
      </w:r>
    </w:p>
    <w:p w:rsidR="00011088" w:rsidRPr="00534C5B" w:rsidRDefault="00E53360" w:rsidP="00AF0867">
      <w:pPr>
        <w:widowControl w:val="0"/>
        <w:numPr>
          <w:ilvl w:val="1"/>
          <w:numId w:val="1"/>
        </w:numPr>
        <w:spacing w:after="120"/>
        <w:jc w:val="both"/>
        <w:rPr>
          <w:rFonts w:asciiTheme="minorHAnsi" w:hAnsiTheme="minorHAnsi" w:cs="Arial"/>
          <w:bCs/>
          <w:snapToGrid w:val="0"/>
        </w:rPr>
      </w:pPr>
      <w:r w:rsidRPr="00534C5B">
        <w:rPr>
          <w:rFonts w:asciiTheme="minorHAnsi" w:hAnsiTheme="minorHAnsi" w:cs="Arial"/>
          <w:bCs/>
          <w:snapToGrid w:val="0"/>
        </w:rPr>
        <w:t>The</w:t>
      </w:r>
      <w:r w:rsidR="00011088" w:rsidRPr="00534C5B">
        <w:rPr>
          <w:rFonts w:asciiTheme="minorHAnsi" w:hAnsiTheme="minorHAnsi" w:cs="Arial"/>
          <w:bCs/>
          <w:snapToGrid w:val="0"/>
        </w:rPr>
        <w:t xml:space="preserve"> PBAC noted that the estimated financial implications of listing nivolumab on the PBS for use in adjuvant melanoma had been updated from the July 2019 minor resubmission and considered that</w:t>
      </w:r>
      <w:r w:rsidR="00675B0D" w:rsidRPr="00534C5B">
        <w:rPr>
          <w:rFonts w:asciiTheme="minorHAnsi" w:hAnsiTheme="minorHAnsi" w:cs="Arial"/>
          <w:bCs/>
          <w:snapToGrid w:val="0"/>
        </w:rPr>
        <w:t xml:space="preserve"> the following assumptions were reasonable</w:t>
      </w:r>
      <w:r w:rsidR="00011088" w:rsidRPr="00534C5B">
        <w:rPr>
          <w:rFonts w:asciiTheme="minorHAnsi" w:hAnsiTheme="minorHAnsi" w:cs="Arial"/>
          <w:bCs/>
          <w:snapToGrid w:val="0"/>
        </w:rPr>
        <w:t>:</w:t>
      </w:r>
    </w:p>
    <w:p w:rsidR="00011088" w:rsidRPr="00534C5B" w:rsidRDefault="00011088" w:rsidP="00CA0A12">
      <w:pPr>
        <w:widowControl w:val="0"/>
        <w:numPr>
          <w:ilvl w:val="1"/>
          <w:numId w:val="20"/>
        </w:numPr>
        <w:spacing w:after="120"/>
        <w:ind w:left="1077" w:hanging="357"/>
        <w:jc w:val="both"/>
        <w:rPr>
          <w:rFonts w:asciiTheme="minorHAnsi" w:hAnsiTheme="minorHAnsi" w:cs="Arial"/>
          <w:bCs/>
          <w:snapToGrid w:val="0"/>
        </w:rPr>
      </w:pPr>
      <w:r w:rsidRPr="00534C5B">
        <w:rPr>
          <w:rFonts w:asciiTheme="minorHAnsi" w:hAnsiTheme="minorHAnsi" w:cs="Arial"/>
          <w:bCs/>
          <w:snapToGrid w:val="0"/>
        </w:rPr>
        <w:t>Th</w:t>
      </w:r>
      <w:r w:rsidR="00675B0D" w:rsidRPr="00534C5B">
        <w:rPr>
          <w:rFonts w:asciiTheme="minorHAnsi" w:hAnsiTheme="minorHAnsi" w:cs="Arial"/>
          <w:bCs/>
          <w:snapToGrid w:val="0"/>
        </w:rPr>
        <w:t xml:space="preserve">at </w:t>
      </w:r>
      <w:r w:rsidRPr="00534C5B">
        <w:rPr>
          <w:rFonts w:asciiTheme="minorHAnsi" w:hAnsiTheme="minorHAnsi" w:cs="Arial"/>
          <w:bCs/>
          <w:snapToGrid w:val="0"/>
        </w:rPr>
        <w:t xml:space="preserve">81% of Stage III patients would have </w:t>
      </w:r>
      <w:r w:rsidR="00675B0D" w:rsidRPr="00534C5B">
        <w:rPr>
          <w:rFonts w:asciiTheme="minorHAnsi" w:hAnsiTheme="minorHAnsi" w:cs="Arial"/>
          <w:bCs/>
          <w:snapToGrid w:val="0"/>
        </w:rPr>
        <w:t>resectable disease</w:t>
      </w:r>
      <w:r w:rsidRPr="00534C5B">
        <w:rPr>
          <w:rFonts w:asciiTheme="minorHAnsi" w:hAnsiTheme="minorHAnsi" w:cs="Arial"/>
          <w:bCs/>
          <w:snapToGrid w:val="0"/>
        </w:rPr>
        <w:t>;</w:t>
      </w:r>
    </w:p>
    <w:p w:rsidR="00675B0D" w:rsidRPr="00534C5B" w:rsidRDefault="00675B0D" w:rsidP="00CA0A12">
      <w:pPr>
        <w:widowControl w:val="0"/>
        <w:numPr>
          <w:ilvl w:val="1"/>
          <w:numId w:val="20"/>
        </w:numPr>
        <w:spacing w:after="120"/>
        <w:ind w:left="1077" w:hanging="357"/>
        <w:jc w:val="both"/>
        <w:rPr>
          <w:rFonts w:asciiTheme="minorHAnsi" w:hAnsiTheme="minorHAnsi" w:cs="Arial"/>
          <w:bCs/>
          <w:snapToGrid w:val="0"/>
        </w:rPr>
      </w:pPr>
      <w:r w:rsidRPr="00534C5B">
        <w:rPr>
          <w:rFonts w:asciiTheme="minorHAnsi" w:hAnsiTheme="minorHAnsi" w:cs="Arial"/>
          <w:bCs/>
          <w:snapToGrid w:val="0"/>
        </w:rPr>
        <w:t>That the uptake rate of PD-1 inhibitors in BRAF mutant patients would be 74.1% in the adjuvant setting; and</w:t>
      </w:r>
    </w:p>
    <w:p w:rsidR="00675B0D" w:rsidRPr="00534C5B" w:rsidRDefault="00675B0D" w:rsidP="00CA0A12">
      <w:pPr>
        <w:widowControl w:val="0"/>
        <w:numPr>
          <w:ilvl w:val="1"/>
          <w:numId w:val="20"/>
        </w:numPr>
        <w:spacing w:after="120"/>
        <w:ind w:left="1077" w:hanging="357"/>
        <w:jc w:val="both"/>
        <w:rPr>
          <w:rFonts w:asciiTheme="minorHAnsi" w:hAnsiTheme="minorHAnsi" w:cs="Arial"/>
          <w:bCs/>
          <w:snapToGrid w:val="0"/>
        </w:rPr>
      </w:pPr>
      <w:r w:rsidRPr="00534C5B">
        <w:rPr>
          <w:rFonts w:asciiTheme="minorHAnsi" w:hAnsiTheme="minorHAnsi" w:cs="Arial"/>
          <w:bCs/>
          <w:snapToGrid w:val="0"/>
        </w:rPr>
        <w:t xml:space="preserve">That the </w:t>
      </w:r>
      <w:r w:rsidR="00FB164D" w:rsidRPr="00534C5B">
        <w:rPr>
          <w:rFonts w:asciiTheme="minorHAnsi" w:hAnsiTheme="minorHAnsi" w:cs="Arial"/>
          <w:bCs/>
          <w:snapToGrid w:val="0"/>
        </w:rPr>
        <w:t xml:space="preserve">equivalent </w:t>
      </w:r>
      <w:r w:rsidRPr="00534C5B">
        <w:rPr>
          <w:rFonts w:asciiTheme="minorHAnsi" w:hAnsiTheme="minorHAnsi" w:cs="Arial"/>
          <w:bCs/>
          <w:snapToGrid w:val="0"/>
        </w:rPr>
        <w:t xml:space="preserve">number of grandfathered patients </w:t>
      </w:r>
      <w:r w:rsidR="00FB164D" w:rsidRPr="00534C5B">
        <w:rPr>
          <w:rFonts w:asciiTheme="minorHAnsi" w:hAnsiTheme="minorHAnsi" w:cs="Arial"/>
          <w:bCs/>
          <w:snapToGrid w:val="0"/>
        </w:rPr>
        <w:t>to receive a full course</w:t>
      </w:r>
      <w:r w:rsidR="002F2666" w:rsidRPr="00534C5B">
        <w:rPr>
          <w:rFonts w:asciiTheme="minorHAnsi" w:hAnsiTheme="minorHAnsi" w:cs="Arial"/>
          <w:bCs/>
          <w:snapToGrid w:val="0"/>
        </w:rPr>
        <w:t xml:space="preserve"> of treatment on the PBS </w:t>
      </w:r>
      <w:r w:rsidRPr="00534C5B">
        <w:rPr>
          <w:rFonts w:asciiTheme="minorHAnsi" w:hAnsiTheme="minorHAnsi" w:cs="Arial"/>
          <w:bCs/>
          <w:snapToGrid w:val="0"/>
        </w:rPr>
        <w:t xml:space="preserve">would be </w:t>
      </w:r>
      <w:r w:rsidR="007716BC">
        <w:rPr>
          <w:rFonts w:asciiTheme="minorHAnsi" w:hAnsiTheme="minorHAnsi" w:cs="Arial"/>
          <w:bCs/>
          <w:snapToGrid w:val="0"/>
        </w:rPr>
        <w:t>less than 500</w:t>
      </w:r>
      <w:r w:rsidR="007716BC" w:rsidRPr="00534C5B">
        <w:rPr>
          <w:rFonts w:asciiTheme="minorHAnsi" w:hAnsiTheme="minorHAnsi" w:cs="Arial"/>
          <w:bCs/>
          <w:snapToGrid w:val="0"/>
        </w:rPr>
        <w:t xml:space="preserve"> </w:t>
      </w:r>
      <w:r w:rsidRPr="00534C5B">
        <w:rPr>
          <w:rFonts w:asciiTheme="minorHAnsi" w:hAnsiTheme="minorHAnsi" w:cs="Arial"/>
          <w:bCs/>
          <w:snapToGrid w:val="0"/>
        </w:rPr>
        <w:t>in Year 1 of PBS listing</w:t>
      </w:r>
      <w:r w:rsidR="00F15FDC" w:rsidRPr="00534C5B">
        <w:rPr>
          <w:rFonts w:asciiTheme="minorHAnsi" w:hAnsiTheme="minorHAnsi" w:cs="Arial"/>
          <w:bCs/>
          <w:snapToGrid w:val="0"/>
        </w:rPr>
        <w:t>.</w:t>
      </w:r>
      <w:r w:rsidR="004E1F48" w:rsidRPr="00534C5B">
        <w:rPr>
          <w:rFonts w:asciiTheme="minorHAnsi" w:hAnsiTheme="minorHAnsi" w:cs="Arial"/>
          <w:bCs/>
          <w:snapToGrid w:val="0"/>
        </w:rPr>
        <w:t xml:space="preserve"> </w:t>
      </w:r>
    </w:p>
    <w:p w:rsidR="00011088" w:rsidRPr="00534C5B" w:rsidRDefault="00675B0D" w:rsidP="00AF0867">
      <w:pPr>
        <w:widowControl w:val="0"/>
        <w:numPr>
          <w:ilvl w:val="1"/>
          <w:numId w:val="1"/>
        </w:numPr>
        <w:spacing w:after="120"/>
        <w:jc w:val="both"/>
        <w:rPr>
          <w:rFonts w:asciiTheme="minorHAnsi" w:hAnsiTheme="minorHAnsi" w:cs="Arial"/>
          <w:bCs/>
          <w:snapToGrid w:val="0"/>
        </w:rPr>
      </w:pPr>
      <w:r w:rsidRPr="00534C5B">
        <w:rPr>
          <w:rFonts w:asciiTheme="minorHAnsi" w:hAnsiTheme="minorHAnsi" w:cs="Arial"/>
          <w:bCs/>
          <w:snapToGrid w:val="0"/>
        </w:rPr>
        <w:t xml:space="preserve">The PBAC considered that </w:t>
      </w:r>
      <w:r w:rsidR="00CA0A12" w:rsidRPr="00534C5B">
        <w:rPr>
          <w:rFonts w:asciiTheme="minorHAnsi" w:hAnsiTheme="minorHAnsi" w:cs="Arial"/>
          <w:bCs/>
          <w:snapToGrid w:val="0"/>
        </w:rPr>
        <w:t>it would be m</w:t>
      </w:r>
      <w:r w:rsidRPr="00534C5B">
        <w:rPr>
          <w:rFonts w:asciiTheme="minorHAnsi" w:hAnsiTheme="minorHAnsi" w:cs="Arial"/>
          <w:bCs/>
          <w:snapToGrid w:val="0"/>
        </w:rPr>
        <w:t xml:space="preserve">ore appropriate to </w:t>
      </w:r>
      <w:r w:rsidR="00CA0A12" w:rsidRPr="00534C5B">
        <w:rPr>
          <w:rFonts w:asciiTheme="minorHAnsi" w:hAnsiTheme="minorHAnsi" w:cs="Arial"/>
          <w:bCs/>
          <w:snapToGrid w:val="0"/>
        </w:rPr>
        <w:t>assume that the p</w:t>
      </w:r>
      <w:r w:rsidRPr="00534C5B">
        <w:rPr>
          <w:rFonts w:asciiTheme="minorHAnsi" w:hAnsiTheme="minorHAnsi" w:cs="Arial"/>
          <w:bCs/>
          <w:snapToGrid w:val="0"/>
        </w:rPr>
        <w:t xml:space="preserve">roportion of patients who were BRAF mutant </w:t>
      </w:r>
      <w:r w:rsidR="00CA0A12" w:rsidRPr="00534C5B">
        <w:rPr>
          <w:rFonts w:asciiTheme="minorHAnsi" w:hAnsiTheme="minorHAnsi" w:cs="Arial"/>
          <w:bCs/>
          <w:snapToGrid w:val="0"/>
        </w:rPr>
        <w:t xml:space="preserve">positive was 37.7%, which was based </w:t>
      </w:r>
      <w:r w:rsidRPr="00534C5B">
        <w:rPr>
          <w:rFonts w:asciiTheme="minorHAnsi" w:hAnsiTheme="minorHAnsi" w:cs="Arial"/>
          <w:bCs/>
          <w:snapToGrid w:val="0"/>
        </w:rPr>
        <w:t xml:space="preserve">on the results of </w:t>
      </w:r>
      <w:r w:rsidR="003D15CC" w:rsidRPr="00534C5B">
        <w:rPr>
          <w:rFonts w:asciiTheme="minorHAnsi" w:hAnsiTheme="minorHAnsi" w:cs="Arial"/>
          <w:bCs/>
          <w:snapToGrid w:val="0"/>
        </w:rPr>
        <w:t xml:space="preserve">an </w:t>
      </w:r>
      <w:r w:rsidRPr="00534C5B">
        <w:rPr>
          <w:rFonts w:asciiTheme="minorHAnsi" w:hAnsiTheme="minorHAnsi" w:cs="Arial"/>
          <w:bCs/>
          <w:snapToGrid w:val="0"/>
        </w:rPr>
        <w:t>Australia</w:t>
      </w:r>
      <w:r w:rsidR="003D15CC" w:rsidRPr="00534C5B">
        <w:rPr>
          <w:rFonts w:asciiTheme="minorHAnsi" w:hAnsiTheme="minorHAnsi" w:cs="Arial"/>
          <w:bCs/>
          <w:snapToGrid w:val="0"/>
        </w:rPr>
        <w:t>n</w:t>
      </w:r>
      <w:r w:rsidRPr="00534C5B">
        <w:rPr>
          <w:rFonts w:asciiTheme="minorHAnsi" w:hAnsiTheme="minorHAnsi" w:cs="Arial"/>
          <w:bCs/>
          <w:snapToGrid w:val="0"/>
        </w:rPr>
        <w:t xml:space="preserve"> cohort study by Lyle 2016. </w:t>
      </w:r>
      <w:r w:rsidR="00CA0A12" w:rsidRPr="00534C5B">
        <w:rPr>
          <w:rFonts w:asciiTheme="minorHAnsi" w:hAnsiTheme="minorHAnsi" w:cs="Arial"/>
          <w:bCs/>
          <w:snapToGrid w:val="0"/>
        </w:rPr>
        <w:t xml:space="preserve">In addition, the PBAC considered that the majority of patients would utilise the four weekly dosing schedule and advised that </w:t>
      </w:r>
      <w:r w:rsidR="00CA0A12" w:rsidRPr="00534C5B">
        <w:rPr>
          <w:rFonts w:asciiTheme="minorHAnsi" w:hAnsiTheme="minorHAnsi" w:cstheme="minorHAnsi"/>
        </w:rPr>
        <w:t>it would be more appropriate to use the estimates provided in the nivolumab flat dosing submission, March 2019 which assumed that 3.0% of patients would receive 3 mg/kg every two weeks, 9.0% would receive 240 mg every two weeks and 88.0% would receive 480 mg every four weeks.</w:t>
      </w:r>
    </w:p>
    <w:p w:rsidR="00E10412" w:rsidRPr="00534C5B" w:rsidRDefault="00CA0A12" w:rsidP="00C957F5">
      <w:pPr>
        <w:widowControl w:val="0"/>
        <w:numPr>
          <w:ilvl w:val="1"/>
          <w:numId w:val="1"/>
        </w:numPr>
        <w:spacing w:after="120"/>
        <w:jc w:val="both"/>
        <w:rPr>
          <w:rFonts w:asciiTheme="minorHAnsi" w:hAnsiTheme="minorHAnsi" w:cs="Arial"/>
          <w:bCs/>
          <w:snapToGrid w:val="0"/>
        </w:rPr>
      </w:pPr>
      <w:r w:rsidRPr="00534C5B">
        <w:rPr>
          <w:rFonts w:asciiTheme="minorHAnsi" w:hAnsiTheme="minorHAnsi" w:cs="Arial"/>
          <w:bCs/>
          <w:snapToGrid w:val="0"/>
        </w:rPr>
        <w:lastRenderedPageBreak/>
        <w:t xml:space="preserve">The PBAC considered that the proposal of a RSA consisting of </w:t>
      </w:r>
      <w:r w:rsidR="000232A8" w:rsidRPr="00534C5B">
        <w:rPr>
          <w:rFonts w:asciiTheme="minorHAnsi" w:hAnsiTheme="minorHAnsi" w:cs="Arial"/>
          <w:bCs/>
          <w:snapToGrid w:val="0"/>
        </w:rPr>
        <w:t xml:space="preserve">PD-1 inhibitor </w:t>
      </w:r>
      <w:r w:rsidRPr="00534C5B">
        <w:rPr>
          <w:rFonts w:asciiTheme="minorHAnsi" w:hAnsiTheme="minorHAnsi" w:cs="Arial"/>
          <w:bCs/>
          <w:snapToGrid w:val="0"/>
        </w:rPr>
        <w:t xml:space="preserve">subsidisation caps across both the adjuvant and unresectable or metastatic settings, beyond which </w:t>
      </w:r>
      <w:r w:rsidR="00653477">
        <w:rPr>
          <w:rFonts w:asciiTheme="minorHAnsi" w:hAnsiTheme="minorHAnsi" w:cs="Arial"/>
          <w:bCs/>
          <w:noProof/>
          <w:snapToGrid w:val="0"/>
          <w:color w:val="000000"/>
          <w:highlight w:val="black"/>
        </w:rPr>
        <w:t>''''''''</w:t>
      </w:r>
      <w:r w:rsidRPr="00534C5B">
        <w:rPr>
          <w:rFonts w:asciiTheme="minorHAnsi" w:hAnsiTheme="minorHAnsi" w:cs="Arial"/>
          <w:bCs/>
          <w:snapToGrid w:val="0"/>
        </w:rPr>
        <w:t>% rebates would apply, was appropriate</w:t>
      </w:r>
      <w:r w:rsidR="0091768A" w:rsidRPr="00534C5B">
        <w:rPr>
          <w:rFonts w:asciiTheme="minorHAnsi" w:hAnsiTheme="minorHAnsi" w:cs="Arial"/>
          <w:bCs/>
          <w:snapToGrid w:val="0"/>
        </w:rPr>
        <w:t xml:space="preserve"> to manage the uncertainty </w:t>
      </w:r>
      <w:r w:rsidR="00E53360" w:rsidRPr="00534C5B">
        <w:rPr>
          <w:rFonts w:asciiTheme="minorHAnsi" w:hAnsiTheme="minorHAnsi" w:cs="Arial"/>
          <w:bCs/>
          <w:snapToGrid w:val="0"/>
        </w:rPr>
        <w:t>a</w:t>
      </w:r>
      <w:r w:rsidR="0091768A" w:rsidRPr="00534C5B">
        <w:rPr>
          <w:rFonts w:asciiTheme="minorHAnsi" w:hAnsiTheme="minorHAnsi" w:cs="Arial"/>
          <w:bCs/>
          <w:snapToGrid w:val="0"/>
        </w:rPr>
        <w:t>round uptake in the adjuvant setting and changes to use in the unresectable or metastatic setting</w:t>
      </w:r>
      <w:r w:rsidRPr="00534C5B">
        <w:rPr>
          <w:rFonts w:asciiTheme="minorHAnsi" w:hAnsiTheme="minorHAnsi" w:cs="Arial"/>
          <w:bCs/>
          <w:snapToGrid w:val="0"/>
        </w:rPr>
        <w:t>.</w:t>
      </w:r>
      <w:r w:rsidR="0091768A" w:rsidRPr="00534C5B">
        <w:rPr>
          <w:rFonts w:asciiTheme="minorHAnsi" w:hAnsiTheme="minorHAnsi" w:cs="Arial"/>
          <w:bCs/>
          <w:snapToGrid w:val="0"/>
        </w:rPr>
        <w:t xml:space="preserve"> </w:t>
      </w:r>
      <w:r w:rsidR="00C957F5" w:rsidRPr="00534C5B">
        <w:rPr>
          <w:rFonts w:asciiTheme="minorHAnsi" w:hAnsiTheme="minorHAnsi" w:cs="Arial"/>
          <w:bCs/>
          <w:snapToGrid w:val="0"/>
        </w:rPr>
        <w:t>To reflect likely expected use in the adjuvant setting t</w:t>
      </w:r>
      <w:r w:rsidR="0091768A" w:rsidRPr="00534C5B">
        <w:rPr>
          <w:rFonts w:asciiTheme="minorHAnsi" w:hAnsiTheme="minorHAnsi" w:cs="Arial"/>
          <w:bCs/>
          <w:snapToGrid w:val="0"/>
        </w:rPr>
        <w:t xml:space="preserve">he PBAC </w:t>
      </w:r>
      <w:r w:rsidR="00C957F5" w:rsidRPr="00534C5B">
        <w:rPr>
          <w:rFonts w:asciiTheme="minorHAnsi" w:hAnsiTheme="minorHAnsi" w:cs="Arial"/>
          <w:bCs/>
          <w:snapToGrid w:val="0"/>
        </w:rPr>
        <w:t>advised that estimated use should be revised based on the recommendations provided in paragraph 5.7. In terms of adjustments to the current unresectable or metastatic subsidisation caps the PBAC made the following recommendations</w:t>
      </w:r>
      <w:r w:rsidR="00E10412" w:rsidRPr="00534C5B">
        <w:rPr>
          <w:rFonts w:asciiTheme="minorHAnsi" w:hAnsiTheme="minorHAnsi" w:cs="Arial"/>
          <w:bCs/>
          <w:snapToGrid w:val="0"/>
        </w:rPr>
        <w:t>:</w:t>
      </w:r>
    </w:p>
    <w:p w:rsidR="0091768A" w:rsidRPr="00534C5B" w:rsidRDefault="0091768A" w:rsidP="0027140A">
      <w:pPr>
        <w:widowControl w:val="0"/>
        <w:numPr>
          <w:ilvl w:val="1"/>
          <w:numId w:val="22"/>
        </w:numPr>
        <w:spacing w:after="120"/>
        <w:ind w:left="1077" w:hanging="357"/>
        <w:jc w:val="both"/>
        <w:rPr>
          <w:rFonts w:asciiTheme="minorHAnsi" w:hAnsiTheme="minorHAnsi" w:cs="Arial"/>
          <w:bCs/>
          <w:snapToGrid w:val="0"/>
        </w:rPr>
      </w:pPr>
      <w:r w:rsidRPr="00534C5B">
        <w:rPr>
          <w:rFonts w:asciiTheme="minorHAnsi" w:hAnsiTheme="minorHAnsi" w:cs="Arial"/>
          <w:bCs/>
          <w:snapToGrid w:val="0"/>
        </w:rPr>
        <w:t xml:space="preserve">Assumed growth </w:t>
      </w:r>
      <w:r w:rsidR="009E0B1F" w:rsidRPr="00534C5B">
        <w:rPr>
          <w:rFonts w:asciiTheme="minorHAnsi" w:hAnsiTheme="minorHAnsi" w:cs="Arial"/>
          <w:bCs/>
          <w:snapToGrid w:val="0"/>
        </w:rPr>
        <w:t>of</w:t>
      </w:r>
      <w:r w:rsidRPr="00534C5B">
        <w:rPr>
          <w:rFonts w:asciiTheme="minorHAnsi" w:hAnsiTheme="minorHAnsi" w:cs="Arial"/>
          <w:bCs/>
          <w:snapToGrid w:val="0"/>
        </w:rPr>
        <w:t xml:space="preserve"> the unresectable or metastatic subsidisation caps should be revised from </w:t>
      </w:r>
      <w:r w:rsidR="00653477">
        <w:rPr>
          <w:rFonts w:asciiTheme="minorHAnsi" w:hAnsiTheme="minorHAnsi" w:cs="Arial"/>
          <w:bCs/>
          <w:noProof/>
          <w:snapToGrid w:val="0"/>
          <w:color w:val="000000"/>
          <w:highlight w:val="black"/>
        </w:rPr>
        <w:t>'''''''''</w:t>
      </w:r>
      <w:r w:rsidRPr="00534C5B">
        <w:rPr>
          <w:rFonts w:asciiTheme="minorHAnsi" w:hAnsiTheme="minorHAnsi" w:cs="Arial"/>
          <w:bCs/>
          <w:snapToGrid w:val="0"/>
        </w:rPr>
        <w:t xml:space="preserve">% to </w:t>
      </w:r>
      <w:r w:rsidR="00653477">
        <w:rPr>
          <w:rFonts w:asciiTheme="minorHAnsi" w:hAnsiTheme="minorHAnsi" w:cs="Arial"/>
          <w:bCs/>
          <w:noProof/>
          <w:snapToGrid w:val="0"/>
          <w:color w:val="000000"/>
          <w:highlight w:val="black"/>
        </w:rPr>
        <w:t>''''''''</w:t>
      </w:r>
      <w:r w:rsidRPr="00534C5B">
        <w:rPr>
          <w:rFonts w:asciiTheme="minorHAnsi" w:hAnsiTheme="minorHAnsi" w:cs="Arial"/>
          <w:bCs/>
          <w:snapToGrid w:val="0"/>
        </w:rPr>
        <w:t xml:space="preserve">% per calendar year to more closely align with the </w:t>
      </w:r>
      <w:r w:rsidR="007716BC" w:rsidRPr="00534C5B">
        <w:rPr>
          <w:rFonts w:asciiTheme="minorHAnsi" w:hAnsiTheme="minorHAnsi" w:cs="Arial"/>
          <w:bCs/>
          <w:snapToGrid w:val="0"/>
        </w:rPr>
        <w:t>incidence</w:t>
      </w:r>
      <w:r w:rsidRPr="00534C5B">
        <w:rPr>
          <w:rFonts w:asciiTheme="minorHAnsi" w:hAnsiTheme="minorHAnsi" w:cs="Arial"/>
          <w:bCs/>
          <w:snapToGrid w:val="0"/>
        </w:rPr>
        <w:t xml:space="preserve"> of melanoma in Australia</w:t>
      </w:r>
      <w:r w:rsidR="003E06D9" w:rsidRPr="00534C5B">
        <w:rPr>
          <w:rFonts w:asciiTheme="minorHAnsi" w:hAnsiTheme="minorHAnsi" w:cs="Arial"/>
          <w:bCs/>
          <w:snapToGrid w:val="0"/>
        </w:rPr>
        <w:t xml:space="preserve"> (see paragraph 4.2</w:t>
      </w:r>
      <w:r w:rsidR="002F2666" w:rsidRPr="00534C5B">
        <w:rPr>
          <w:rFonts w:asciiTheme="minorHAnsi" w:hAnsiTheme="minorHAnsi" w:cs="Arial"/>
          <w:bCs/>
          <w:snapToGrid w:val="0"/>
        </w:rPr>
        <w:t>6</w:t>
      </w:r>
      <w:r w:rsidR="003E06D9" w:rsidRPr="00534C5B">
        <w:rPr>
          <w:rFonts w:asciiTheme="minorHAnsi" w:hAnsiTheme="minorHAnsi" w:cs="Arial"/>
          <w:bCs/>
          <w:snapToGrid w:val="0"/>
        </w:rPr>
        <w:t>)</w:t>
      </w:r>
      <w:r w:rsidRPr="00534C5B">
        <w:rPr>
          <w:rFonts w:asciiTheme="minorHAnsi" w:hAnsiTheme="minorHAnsi" w:cs="Arial"/>
          <w:bCs/>
          <w:snapToGrid w:val="0"/>
        </w:rPr>
        <w:t>;</w:t>
      </w:r>
    </w:p>
    <w:p w:rsidR="003D15CC" w:rsidRPr="00534C5B" w:rsidRDefault="003D15CC" w:rsidP="0027140A">
      <w:pPr>
        <w:widowControl w:val="0"/>
        <w:numPr>
          <w:ilvl w:val="1"/>
          <w:numId w:val="22"/>
        </w:numPr>
        <w:spacing w:after="120"/>
        <w:ind w:left="1077" w:hanging="357"/>
        <w:jc w:val="both"/>
        <w:rPr>
          <w:rFonts w:asciiTheme="minorHAnsi" w:hAnsiTheme="minorHAnsi" w:cs="Arial"/>
          <w:bCs/>
          <w:snapToGrid w:val="0"/>
        </w:rPr>
      </w:pPr>
      <w:r w:rsidRPr="00534C5B">
        <w:rPr>
          <w:rFonts w:asciiTheme="minorHAnsi" w:hAnsiTheme="minorHAnsi" w:cs="Arial"/>
          <w:bCs/>
          <w:snapToGrid w:val="0"/>
        </w:rPr>
        <w:t>The proportion of BRAF mutant patients should be 37.7%;</w:t>
      </w:r>
    </w:p>
    <w:p w:rsidR="0091768A" w:rsidRPr="00534C5B" w:rsidRDefault="00E10412" w:rsidP="0027140A">
      <w:pPr>
        <w:widowControl w:val="0"/>
        <w:numPr>
          <w:ilvl w:val="1"/>
          <w:numId w:val="22"/>
        </w:numPr>
        <w:spacing w:after="120"/>
        <w:ind w:left="1077" w:hanging="357"/>
        <w:jc w:val="both"/>
        <w:rPr>
          <w:rFonts w:asciiTheme="minorHAnsi" w:hAnsiTheme="minorHAnsi" w:cs="Arial"/>
          <w:bCs/>
          <w:snapToGrid w:val="0"/>
        </w:rPr>
      </w:pPr>
      <w:r w:rsidRPr="00534C5B">
        <w:rPr>
          <w:rFonts w:asciiTheme="minorHAnsi" w:hAnsiTheme="minorHAnsi" w:cs="Arial"/>
          <w:bCs/>
          <w:snapToGrid w:val="0"/>
        </w:rPr>
        <w:t xml:space="preserve">The estimate of first-line PD-1 inhibitor use </w:t>
      </w:r>
      <w:r w:rsidR="003C3717" w:rsidRPr="00534C5B">
        <w:rPr>
          <w:rFonts w:asciiTheme="minorHAnsi" w:hAnsiTheme="minorHAnsi" w:cs="Arial"/>
          <w:bCs/>
          <w:snapToGrid w:val="0"/>
        </w:rPr>
        <w:t xml:space="preserve">(either as monotherapy or as nivolumab+ipilimumab) </w:t>
      </w:r>
      <w:r w:rsidRPr="00534C5B">
        <w:rPr>
          <w:rFonts w:asciiTheme="minorHAnsi" w:hAnsiTheme="minorHAnsi" w:cs="Arial"/>
          <w:bCs/>
          <w:snapToGrid w:val="0"/>
        </w:rPr>
        <w:t xml:space="preserve">in the unresectable or metastatic setting should be </w:t>
      </w:r>
      <w:r w:rsidR="000E6350" w:rsidRPr="00534C5B">
        <w:rPr>
          <w:rFonts w:asciiTheme="minorHAnsi" w:hAnsiTheme="minorHAnsi" w:cs="Arial"/>
          <w:bCs/>
          <w:snapToGrid w:val="0"/>
        </w:rPr>
        <w:t>50</w:t>
      </w:r>
      <w:r w:rsidR="002F2666" w:rsidRPr="00534C5B">
        <w:rPr>
          <w:rFonts w:asciiTheme="minorHAnsi" w:hAnsiTheme="minorHAnsi" w:cs="Arial"/>
          <w:bCs/>
          <w:snapToGrid w:val="0"/>
        </w:rPr>
        <w:t xml:space="preserve">% to </w:t>
      </w:r>
      <w:r w:rsidRPr="00534C5B">
        <w:rPr>
          <w:rFonts w:asciiTheme="minorHAnsi" w:hAnsiTheme="minorHAnsi" w:cs="Arial"/>
          <w:bCs/>
          <w:snapToGrid w:val="0"/>
        </w:rPr>
        <w:t>60%</w:t>
      </w:r>
      <w:r w:rsidR="0090107B" w:rsidRPr="00534C5B">
        <w:rPr>
          <w:rFonts w:asciiTheme="minorHAnsi" w:hAnsiTheme="minorHAnsi" w:cs="Arial"/>
          <w:bCs/>
          <w:snapToGrid w:val="0"/>
        </w:rPr>
        <w:t>; rather than 63% to 70%</w:t>
      </w:r>
      <w:r w:rsidR="003E06D9" w:rsidRPr="00534C5B">
        <w:rPr>
          <w:rFonts w:asciiTheme="minorHAnsi" w:hAnsiTheme="minorHAnsi" w:cs="Arial"/>
          <w:bCs/>
          <w:snapToGrid w:val="0"/>
        </w:rPr>
        <w:t xml:space="preserve"> (see paragraph 4.2</w:t>
      </w:r>
      <w:r w:rsidR="002F2666" w:rsidRPr="00534C5B">
        <w:rPr>
          <w:rFonts w:asciiTheme="minorHAnsi" w:hAnsiTheme="minorHAnsi" w:cs="Arial"/>
          <w:bCs/>
          <w:snapToGrid w:val="0"/>
        </w:rPr>
        <w:t>7</w:t>
      </w:r>
      <w:r w:rsidR="003E06D9" w:rsidRPr="00534C5B">
        <w:rPr>
          <w:rFonts w:asciiTheme="minorHAnsi" w:hAnsiTheme="minorHAnsi" w:cs="Arial"/>
          <w:bCs/>
          <w:snapToGrid w:val="0"/>
        </w:rPr>
        <w:t>)</w:t>
      </w:r>
      <w:r w:rsidRPr="00534C5B">
        <w:rPr>
          <w:rFonts w:asciiTheme="minorHAnsi" w:hAnsiTheme="minorHAnsi" w:cs="Arial"/>
          <w:bCs/>
          <w:snapToGrid w:val="0"/>
        </w:rPr>
        <w:t>;</w:t>
      </w:r>
    </w:p>
    <w:p w:rsidR="00E10412" w:rsidRPr="00534C5B" w:rsidRDefault="00E10412" w:rsidP="0027140A">
      <w:pPr>
        <w:widowControl w:val="0"/>
        <w:numPr>
          <w:ilvl w:val="1"/>
          <w:numId w:val="22"/>
        </w:numPr>
        <w:spacing w:after="120"/>
        <w:ind w:left="1077" w:hanging="357"/>
        <w:jc w:val="both"/>
        <w:rPr>
          <w:rFonts w:asciiTheme="minorHAnsi" w:hAnsiTheme="minorHAnsi" w:cs="Arial"/>
          <w:bCs/>
          <w:snapToGrid w:val="0"/>
        </w:rPr>
      </w:pPr>
      <w:r w:rsidRPr="00534C5B">
        <w:rPr>
          <w:rFonts w:asciiTheme="minorHAnsi" w:hAnsiTheme="minorHAnsi" w:cs="Arial"/>
          <w:bCs/>
          <w:snapToGrid w:val="0"/>
        </w:rPr>
        <w:t xml:space="preserve">The proportion of patients who </w:t>
      </w:r>
      <w:r w:rsidR="003D15CC" w:rsidRPr="00534C5B">
        <w:rPr>
          <w:rFonts w:asciiTheme="minorHAnsi" w:hAnsiTheme="minorHAnsi" w:cs="Arial"/>
          <w:bCs/>
          <w:snapToGrid w:val="0"/>
        </w:rPr>
        <w:t xml:space="preserve">remain </w:t>
      </w:r>
      <w:r w:rsidRPr="00534C5B">
        <w:rPr>
          <w:rFonts w:asciiTheme="minorHAnsi" w:hAnsiTheme="minorHAnsi" w:cs="Arial"/>
          <w:bCs/>
          <w:snapToGrid w:val="0"/>
        </w:rPr>
        <w:t>recurrence free</w:t>
      </w:r>
      <w:r w:rsidR="0090107B" w:rsidRPr="00534C5B">
        <w:rPr>
          <w:rFonts w:asciiTheme="minorHAnsi" w:hAnsiTheme="minorHAnsi" w:cs="Arial"/>
          <w:bCs/>
          <w:snapToGrid w:val="0"/>
        </w:rPr>
        <w:t>, which was based on the difference in distant metastases free survival rates</w:t>
      </w:r>
      <w:r w:rsidR="00534C5B" w:rsidRPr="00534C5B">
        <w:rPr>
          <w:rFonts w:asciiTheme="minorHAnsi" w:hAnsiTheme="minorHAnsi" w:cs="Arial"/>
          <w:bCs/>
          <w:snapToGrid w:val="0"/>
        </w:rPr>
        <w:t xml:space="preserve"> at 10 years</w:t>
      </w:r>
      <w:r w:rsidR="0090107B" w:rsidRPr="00534C5B">
        <w:rPr>
          <w:rFonts w:asciiTheme="minorHAnsi" w:hAnsiTheme="minorHAnsi" w:cs="Arial"/>
          <w:bCs/>
          <w:snapToGrid w:val="0"/>
        </w:rPr>
        <w:t>,</w:t>
      </w:r>
      <w:r w:rsidR="00534C5B" w:rsidRPr="00534C5B">
        <w:rPr>
          <w:rFonts w:asciiTheme="minorHAnsi" w:hAnsiTheme="minorHAnsi" w:cs="Arial"/>
          <w:bCs/>
          <w:snapToGrid w:val="0"/>
        </w:rPr>
        <w:t xml:space="preserve"> should</w:t>
      </w:r>
      <w:r w:rsidR="0090107B" w:rsidRPr="00534C5B">
        <w:rPr>
          <w:rFonts w:asciiTheme="minorHAnsi" w:hAnsiTheme="minorHAnsi" w:cs="Arial"/>
          <w:bCs/>
          <w:snapToGrid w:val="0"/>
        </w:rPr>
        <w:t xml:space="preserve"> </w:t>
      </w:r>
      <w:r w:rsidRPr="00534C5B">
        <w:rPr>
          <w:rFonts w:asciiTheme="minorHAnsi" w:hAnsiTheme="minorHAnsi" w:cs="Arial"/>
          <w:bCs/>
          <w:snapToGrid w:val="0"/>
        </w:rPr>
        <w:t>include those who are free of local unresectable recurrence</w:t>
      </w:r>
      <w:r w:rsidR="00534C5B" w:rsidRPr="00534C5B">
        <w:rPr>
          <w:rFonts w:asciiTheme="minorHAnsi" w:hAnsiTheme="minorHAnsi" w:cs="Arial"/>
          <w:bCs/>
          <w:snapToGrid w:val="0"/>
        </w:rPr>
        <w:t xml:space="preserve"> at two to five years</w:t>
      </w:r>
      <w:r w:rsidRPr="00534C5B">
        <w:rPr>
          <w:rFonts w:asciiTheme="minorHAnsi" w:hAnsiTheme="minorHAnsi" w:cs="Arial"/>
          <w:bCs/>
          <w:snapToGrid w:val="0"/>
        </w:rPr>
        <w:t>. The PBAC recommended that it would be more reasonable to reduce the unresectable or metastatic subsidisation ca</w:t>
      </w:r>
      <w:r w:rsidR="00C957F5" w:rsidRPr="00534C5B">
        <w:rPr>
          <w:rFonts w:asciiTheme="minorHAnsi" w:hAnsiTheme="minorHAnsi" w:cs="Arial"/>
          <w:bCs/>
          <w:snapToGrid w:val="0"/>
        </w:rPr>
        <w:t>p</w:t>
      </w:r>
      <w:r w:rsidRPr="00534C5B">
        <w:rPr>
          <w:rFonts w:asciiTheme="minorHAnsi" w:hAnsiTheme="minorHAnsi" w:cs="Arial"/>
          <w:bCs/>
          <w:snapToGrid w:val="0"/>
        </w:rPr>
        <w:t xml:space="preserve"> by </w:t>
      </w:r>
      <w:r w:rsidR="00653477">
        <w:rPr>
          <w:rFonts w:asciiTheme="minorHAnsi" w:hAnsiTheme="minorHAnsi" w:cs="Arial"/>
          <w:bCs/>
          <w:noProof/>
          <w:snapToGrid w:val="0"/>
          <w:color w:val="000000"/>
          <w:highlight w:val="black"/>
        </w:rPr>
        <w:t>''''''''</w:t>
      </w:r>
      <w:r w:rsidR="00F15FDC" w:rsidRPr="00534C5B">
        <w:rPr>
          <w:rFonts w:asciiTheme="minorHAnsi" w:hAnsiTheme="minorHAnsi" w:cs="Arial"/>
          <w:bCs/>
          <w:snapToGrid w:val="0"/>
        </w:rPr>
        <w:t>%</w:t>
      </w:r>
      <w:r w:rsidR="002F2666" w:rsidRPr="00534C5B">
        <w:rPr>
          <w:rFonts w:asciiTheme="minorHAnsi" w:hAnsiTheme="minorHAnsi" w:cs="Arial"/>
          <w:bCs/>
          <w:snapToGrid w:val="0"/>
        </w:rPr>
        <w:t xml:space="preserve"> to </w:t>
      </w:r>
      <w:r w:rsidR="00653477">
        <w:rPr>
          <w:rFonts w:asciiTheme="minorHAnsi" w:hAnsiTheme="minorHAnsi" w:cs="Arial"/>
          <w:bCs/>
          <w:noProof/>
          <w:snapToGrid w:val="0"/>
          <w:color w:val="000000"/>
          <w:highlight w:val="black"/>
        </w:rPr>
        <w:t>''''''''</w:t>
      </w:r>
      <w:r w:rsidRPr="00534C5B">
        <w:rPr>
          <w:rFonts w:asciiTheme="minorHAnsi" w:hAnsiTheme="minorHAnsi" w:cs="Arial"/>
          <w:bCs/>
          <w:snapToGrid w:val="0"/>
        </w:rPr>
        <w:t>%</w:t>
      </w:r>
      <w:r w:rsidR="0027140A" w:rsidRPr="00534C5B">
        <w:rPr>
          <w:rFonts w:asciiTheme="minorHAnsi" w:hAnsiTheme="minorHAnsi" w:cs="Arial"/>
          <w:bCs/>
          <w:snapToGrid w:val="0"/>
        </w:rPr>
        <w:t xml:space="preserve"> </w:t>
      </w:r>
      <w:r w:rsidR="002F2666" w:rsidRPr="00534C5B">
        <w:rPr>
          <w:rFonts w:asciiTheme="minorHAnsi" w:hAnsiTheme="minorHAnsi" w:cs="Arial"/>
          <w:bCs/>
          <w:snapToGrid w:val="0"/>
        </w:rPr>
        <w:t xml:space="preserve">from Year 2 onwards </w:t>
      </w:r>
      <w:r w:rsidR="0027140A" w:rsidRPr="00534C5B">
        <w:rPr>
          <w:rFonts w:asciiTheme="minorHAnsi" w:hAnsiTheme="minorHAnsi" w:cs="Arial"/>
          <w:bCs/>
          <w:snapToGrid w:val="0"/>
        </w:rPr>
        <w:t>(</w:t>
      </w:r>
      <w:r w:rsidR="00E76635" w:rsidRPr="00534C5B">
        <w:rPr>
          <w:rFonts w:asciiTheme="minorHAnsi" w:hAnsiTheme="minorHAnsi" w:cs="Arial"/>
          <w:bCs/>
          <w:snapToGrid w:val="0"/>
        </w:rPr>
        <w:t xml:space="preserve">see </w:t>
      </w:r>
      <w:r w:rsidR="0027140A" w:rsidRPr="00534C5B">
        <w:rPr>
          <w:rFonts w:asciiTheme="minorHAnsi" w:hAnsiTheme="minorHAnsi" w:cs="Arial"/>
          <w:bCs/>
          <w:snapToGrid w:val="0"/>
        </w:rPr>
        <w:t>paragraph 4.3</w:t>
      </w:r>
      <w:r w:rsidR="002F2666" w:rsidRPr="00534C5B">
        <w:rPr>
          <w:rFonts w:asciiTheme="minorHAnsi" w:hAnsiTheme="minorHAnsi" w:cs="Arial"/>
          <w:bCs/>
          <w:snapToGrid w:val="0"/>
        </w:rPr>
        <w:t>1</w:t>
      </w:r>
      <w:r w:rsidR="0027140A" w:rsidRPr="00534C5B">
        <w:rPr>
          <w:rFonts w:asciiTheme="minorHAnsi" w:hAnsiTheme="minorHAnsi" w:cs="Arial"/>
          <w:bCs/>
          <w:snapToGrid w:val="0"/>
        </w:rPr>
        <w:t>);</w:t>
      </w:r>
    </w:p>
    <w:p w:rsidR="00C957F5" w:rsidRPr="00534C5B" w:rsidRDefault="00C957F5" w:rsidP="0027140A">
      <w:pPr>
        <w:widowControl w:val="0"/>
        <w:numPr>
          <w:ilvl w:val="1"/>
          <w:numId w:val="22"/>
        </w:numPr>
        <w:spacing w:after="120"/>
        <w:ind w:left="1077" w:hanging="357"/>
        <w:jc w:val="both"/>
        <w:rPr>
          <w:rFonts w:asciiTheme="minorHAnsi" w:hAnsiTheme="minorHAnsi" w:cs="Arial"/>
          <w:bCs/>
          <w:snapToGrid w:val="0"/>
        </w:rPr>
      </w:pPr>
      <w:r w:rsidRPr="00534C5B">
        <w:rPr>
          <w:rFonts w:asciiTheme="minorHAnsi" w:hAnsiTheme="minorHAnsi" w:cs="Arial"/>
          <w:bCs/>
          <w:snapToGrid w:val="0"/>
        </w:rPr>
        <w:t xml:space="preserve">The subsidisation caps should also be reduced to account for patients who recur whilst on, or within six months of completing, adjuvant therapy. The PBAC advised that </w:t>
      </w:r>
      <w:r w:rsidR="00653477">
        <w:rPr>
          <w:rFonts w:asciiTheme="minorHAnsi" w:hAnsiTheme="minorHAnsi" w:cs="Arial"/>
          <w:bCs/>
          <w:noProof/>
          <w:snapToGrid w:val="0"/>
          <w:color w:val="000000"/>
          <w:highlight w:val="black"/>
        </w:rPr>
        <w:t>''''''''</w:t>
      </w:r>
      <w:r w:rsidR="0090107B" w:rsidRPr="00534C5B">
        <w:rPr>
          <w:rFonts w:asciiTheme="minorHAnsi" w:hAnsiTheme="minorHAnsi" w:cs="Arial"/>
          <w:bCs/>
          <w:snapToGrid w:val="0"/>
        </w:rPr>
        <w:t>%</w:t>
      </w:r>
      <w:r w:rsidR="002F2666" w:rsidRPr="00534C5B">
        <w:rPr>
          <w:rFonts w:asciiTheme="minorHAnsi" w:hAnsiTheme="minorHAnsi" w:cs="Arial"/>
          <w:bCs/>
          <w:snapToGrid w:val="0"/>
        </w:rPr>
        <w:t xml:space="preserve"> to </w:t>
      </w:r>
      <w:r w:rsidR="00653477">
        <w:rPr>
          <w:rFonts w:asciiTheme="minorHAnsi" w:hAnsiTheme="minorHAnsi" w:cs="Arial"/>
          <w:bCs/>
          <w:noProof/>
          <w:snapToGrid w:val="0"/>
          <w:color w:val="000000"/>
          <w:highlight w:val="black"/>
        </w:rPr>
        <w:t>''''''''</w:t>
      </w:r>
      <w:r w:rsidR="002F2666" w:rsidRPr="00534C5B">
        <w:rPr>
          <w:rFonts w:asciiTheme="minorHAnsi" w:hAnsiTheme="minorHAnsi" w:cs="Arial"/>
          <w:bCs/>
          <w:snapToGrid w:val="0"/>
        </w:rPr>
        <w:t>%</w:t>
      </w:r>
      <w:r w:rsidRPr="00534C5B">
        <w:rPr>
          <w:rFonts w:asciiTheme="minorHAnsi" w:hAnsiTheme="minorHAnsi" w:cs="Arial"/>
          <w:bCs/>
          <w:snapToGrid w:val="0"/>
        </w:rPr>
        <w:t xml:space="preserve"> of the unresectable or metastatic PD-1 inhibitor population would be ineligible for further PD-1 </w:t>
      </w:r>
      <w:r w:rsidR="001C71C5" w:rsidRPr="00534C5B">
        <w:rPr>
          <w:rFonts w:asciiTheme="minorHAnsi" w:hAnsiTheme="minorHAnsi" w:cs="Arial"/>
          <w:bCs/>
          <w:snapToGrid w:val="0"/>
        </w:rPr>
        <w:t xml:space="preserve">inhibitor </w:t>
      </w:r>
      <w:r w:rsidRPr="00534C5B">
        <w:rPr>
          <w:rFonts w:asciiTheme="minorHAnsi" w:hAnsiTheme="minorHAnsi" w:cs="Arial"/>
          <w:bCs/>
          <w:snapToGrid w:val="0"/>
        </w:rPr>
        <w:t>treatment</w:t>
      </w:r>
      <w:r w:rsidR="0027140A" w:rsidRPr="00534C5B">
        <w:rPr>
          <w:rFonts w:asciiTheme="minorHAnsi" w:hAnsiTheme="minorHAnsi" w:cs="Arial"/>
          <w:bCs/>
          <w:snapToGrid w:val="0"/>
        </w:rPr>
        <w:t xml:space="preserve"> (</w:t>
      </w:r>
      <w:r w:rsidR="00E76635" w:rsidRPr="00534C5B">
        <w:rPr>
          <w:rFonts w:asciiTheme="minorHAnsi" w:hAnsiTheme="minorHAnsi" w:cs="Arial"/>
          <w:bCs/>
          <w:snapToGrid w:val="0"/>
        </w:rPr>
        <w:t xml:space="preserve">see </w:t>
      </w:r>
      <w:r w:rsidR="0027140A" w:rsidRPr="00534C5B">
        <w:rPr>
          <w:rFonts w:asciiTheme="minorHAnsi" w:hAnsiTheme="minorHAnsi" w:cs="Arial"/>
          <w:bCs/>
          <w:snapToGrid w:val="0"/>
        </w:rPr>
        <w:t>paragraph 4.3</w:t>
      </w:r>
      <w:r w:rsidR="002F2666" w:rsidRPr="00534C5B">
        <w:rPr>
          <w:rFonts w:asciiTheme="minorHAnsi" w:hAnsiTheme="minorHAnsi" w:cs="Arial"/>
          <w:bCs/>
          <w:snapToGrid w:val="0"/>
        </w:rPr>
        <w:t>2</w:t>
      </w:r>
      <w:r w:rsidR="0027140A" w:rsidRPr="00534C5B">
        <w:rPr>
          <w:rFonts w:asciiTheme="minorHAnsi" w:hAnsiTheme="minorHAnsi" w:cs="Arial"/>
          <w:bCs/>
          <w:snapToGrid w:val="0"/>
        </w:rPr>
        <w:t>)</w:t>
      </w:r>
      <w:r w:rsidRPr="00534C5B">
        <w:rPr>
          <w:rFonts w:asciiTheme="minorHAnsi" w:hAnsiTheme="minorHAnsi" w:cs="Arial"/>
          <w:bCs/>
          <w:snapToGrid w:val="0"/>
        </w:rPr>
        <w:t>.</w:t>
      </w:r>
    </w:p>
    <w:p w:rsidR="005D4294" w:rsidRPr="00534C5B" w:rsidRDefault="005D4294" w:rsidP="00AF0867">
      <w:pPr>
        <w:widowControl w:val="0"/>
        <w:numPr>
          <w:ilvl w:val="1"/>
          <w:numId w:val="1"/>
        </w:numPr>
        <w:spacing w:after="120"/>
        <w:jc w:val="both"/>
        <w:rPr>
          <w:rFonts w:asciiTheme="minorHAnsi" w:hAnsiTheme="minorHAnsi" w:cs="Arial"/>
          <w:bCs/>
          <w:snapToGrid w:val="0"/>
        </w:rPr>
      </w:pPr>
      <w:r w:rsidRPr="00534C5B">
        <w:rPr>
          <w:rFonts w:asciiTheme="minorHAnsi" w:hAnsiTheme="minorHAnsi" w:cs="Arial"/>
          <w:bCs/>
          <w:snapToGrid w:val="0"/>
        </w:rPr>
        <w:t>The PBAC advised that the above changes to the subsidisation caps in the unresectable or metastatic setting should be made in conjunction with the November 2019 recommendation to extend the listing of NIVO monotherapy and NIVO+IPI to allow first-line use in BRAF mutant patients.</w:t>
      </w:r>
    </w:p>
    <w:p w:rsidR="00E30297" w:rsidRPr="00534C5B" w:rsidRDefault="00E30297" w:rsidP="00AF0867">
      <w:pPr>
        <w:widowControl w:val="0"/>
        <w:numPr>
          <w:ilvl w:val="1"/>
          <w:numId w:val="1"/>
        </w:numPr>
        <w:spacing w:after="120"/>
        <w:jc w:val="both"/>
        <w:rPr>
          <w:rFonts w:asciiTheme="minorHAnsi" w:hAnsiTheme="minorHAnsi" w:cs="Arial"/>
          <w:bCs/>
          <w:snapToGrid w:val="0"/>
        </w:rPr>
      </w:pPr>
      <w:r w:rsidRPr="00534C5B">
        <w:rPr>
          <w:rFonts w:asciiTheme="minorHAnsi" w:hAnsiTheme="minorHAnsi" w:cs="Arial"/>
          <w:bCs/>
          <w:snapToGrid w:val="0"/>
        </w:rPr>
        <w:t>The PBAC considered that it would be more appropriate for the nivolumab restriction for the adjuvant treatment of melanoma to be split into an initial and continuing phase, as per the current restriction for DAB+TRAM in the adjuvant setting.</w:t>
      </w:r>
    </w:p>
    <w:p w:rsidR="00E30297" w:rsidRPr="00534C5B" w:rsidRDefault="00E30297" w:rsidP="00AF0867">
      <w:pPr>
        <w:widowControl w:val="0"/>
        <w:numPr>
          <w:ilvl w:val="1"/>
          <w:numId w:val="1"/>
        </w:numPr>
        <w:spacing w:after="120"/>
        <w:jc w:val="both"/>
        <w:rPr>
          <w:rFonts w:asciiTheme="minorHAnsi" w:hAnsiTheme="minorHAnsi" w:cs="Arial"/>
          <w:bCs/>
          <w:snapToGrid w:val="0"/>
        </w:rPr>
      </w:pPr>
      <w:r w:rsidRPr="00534C5B">
        <w:rPr>
          <w:rFonts w:asciiTheme="minorHAnsi" w:hAnsiTheme="minorHAnsi" w:cs="Arial"/>
          <w:bCs/>
          <w:snapToGrid w:val="0"/>
        </w:rPr>
        <w:t>The PBAC considered that adjuvant treatment should not be delayed for post-surgery recovery and should commence within 12 weeks of complete resection.</w:t>
      </w:r>
    </w:p>
    <w:p w:rsidR="00E30297" w:rsidRPr="00534C5B" w:rsidRDefault="00E30297" w:rsidP="00AF0867">
      <w:pPr>
        <w:widowControl w:val="0"/>
        <w:numPr>
          <w:ilvl w:val="1"/>
          <w:numId w:val="1"/>
        </w:numPr>
        <w:spacing w:after="120"/>
        <w:jc w:val="both"/>
        <w:rPr>
          <w:rFonts w:asciiTheme="minorHAnsi" w:hAnsiTheme="minorHAnsi" w:cs="Arial"/>
          <w:bCs/>
          <w:snapToGrid w:val="0"/>
        </w:rPr>
      </w:pPr>
      <w:r w:rsidRPr="00534C5B">
        <w:rPr>
          <w:rFonts w:asciiTheme="minorHAnsi" w:hAnsiTheme="minorHAnsi" w:cs="Arial"/>
          <w:bCs/>
          <w:snapToGrid w:val="0"/>
        </w:rPr>
        <w:t xml:space="preserve">The PBAC noted the sponsor’s concerns regarding the flow-on restrictions </w:t>
      </w:r>
      <w:r w:rsidR="007C68F9" w:rsidRPr="00534C5B">
        <w:rPr>
          <w:rFonts w:asciiTheme="minorHAnsi" w:hAnsiTheme="minorHAnsi" w:cs="Arial"/>
          <w:bCs/>
          <w:snapToGrid w:val="0"/>
        </w:rPr>
        <w:t xml:space="preserve">for treatments in the unresectable or metastatic setting </w:t>
      </w:r>
      <w:r w:rsidRPr="00534C5B">
        <w:rPr>
          <w:rFonts w:asciiTheme="minorHAnsi" w:hAnsiTheme="minorHAnsi" w:cs="Arial"/>
          <w:bCs/>
          <w:snapToGrid w:val="0"/>
        </w:rPr>
        <w:t>and considered that:</w:t>
      </w:r>
    </w:p>
    <w:p w:rsidR="00E30297" w:rsidRPr="00534C5B" w:rsidRDefault="00E30297" w:rsidP="007C68F9">
      <w:pPr>
        <w:widowControl w:val="0"/>
        <w:numPr>
          <w:ilvl w:val="1"/>
          <w:numId w:val="23"/>
        </w:numPr>
        <w:spacing w:after="120"/>
        <w:ind w:left="1077" w:hanging="357"/>
        <w:jc w:val="both"/>
        <w:rPr>
          <w:rFonts w:asciiTheme="minorHAnsi" w:hAnsiTheme="minorHAnsi" w:cs="Arial"/>
          <w:bCs/>
          <w:snapToGrid w:val="0"/>
        </w:rPr>
      </w:pPr>
      <w:r w:rsidRPr="00534C5B">
        <w:rPr>
          <w:rFonts w:asciiTheme="minorHAnsi" w:hAnsiTheme="minorHAnsi" w:cs="Arial"/>
          <w:bCs/>
          <w:snapToGrid w:val="0"/>
        </w:rPr>
        <w:t xml:space="preserve">Patients who had received a PD-1 inhibitor as adjuvant therapy </w:t>
      </w:r>
      <w:r w:rsidR="002E072E" w:rsidRPr="00534C5B">
        <w:rPr>
          <w:rFonts w:asciiTheme="minorHAnsi" w:hAnsiTheme="minorHAnsi" w:cs="Arial"/>
          <w:bCs/>
          <w:snapToGrid w:val="0"/>
        </w:rPr>
        <w:t xml:space="preserve">and had a recurrence </w:t>
      </w:r>
      <w:r w:rsidR="00F15FDC" w:rsidRPr="00534C5B">
        <w:rPr>
          <w:rFonts w:asciiTheme="minorHAnsi" w:hAnsiTheme="minorHAnsi" w:cs="Arial"/>
          <w:bCs/>
          <w:snapToGrid w:val="0"/>
        </w:rPr>
        <w:t xml:space="preserve">on treatment or </w:t>
      </w:r>
      <w:r w:rsidR="002E072E" w:rsidRPr="00534C5B">
        <w:rPr>
          <w:rFonts w:asciiTheme="minorHAnsi" w:hAnsiTheme="minorHAnsi" w:cs="Arial"/>
          <w:bCs/>
          <w:snapToGrid w:val="0"/>
        </w:rPr>
        <w:t xml:space="preserve">within six months of completing treatment should not </w:t>
      </w:r>
      <w:r w:rsidR="007C68F9" w:rsidRPr="00534C5B">
        <w:rPr>
          <w:rFonts w:asciiTheme="minorHAnsi" w:hAnsiTheme="minorHAnsi" w:cs="Arial"/>
          <w:bCs/>
          <w:snapToGrid w:val="0"/>
        </w:rPr>
        <w:lastRenderedPageBreak/>
        <w:t xml:space="preserve">be able to </w:t>
      </w:r>
      <w:r w:rsidR="002E072E" w:rsidRPr="00534C5B">
        <w:rPr>
          <w:rFonts w:asciiTheme="minorHAnsi" w:hAnsiTheme="minorHAnsi" w:cs="Arial"/>
          <w:bCs/>
          <w:snapToGrid w:val="0"/>
        </w:rPr>
        <w:t xml:space="preserve">receive nivolumab+ipilimumab </w:t>
      </w:r>
      <w:r w:rsidR="00F15FDC" w:rsidRPr="00534C5B">
        <w:rPr>
          <w:rFonts w:asciiTheme="minorHAnsi" w:hAnsiTheme="minorHAnsi" w:cs="Arial"/>
          <w:bCs/>
          <w:snapToGrid w:val="0"/>
        </w:rPr>
        <w:t xml:space="preserve">or PD-1 inhibitor monotherapy </w:t>
      </w:r>
      <w:r w:rsidR="002E072E" w:rsidRPr="00534C5B">
        <w:rPr>
          <w:rFonts w:asciiTheme="minorHAnsi" w:hAnsiTheme="minorHAnsi" w:cs="Arial"/>
          <w:bCs/>
          <w:snapToGrid w:val="0"/>
        </w:rPr>
        <w:t>as first-line treatment in the unresectable or metastatic setting;</w:t>
      </w:r>
    </w:p>
    <w:p w:rsidR="002E072E" w:rsidRPr="00534C5B" w:rsidRDefault="002E072E" w:rsidP="007C68F9">
      <w:pPr>
        <w:widowControl w:val="0"/>
        <w:numPr>
          <w:ilvl w:val="1"/>
          <w:numId w:val="23"/>
        </w:numPr>
        <w:spacing w:after="120"/>
        <w:ind w:left="1077" w:hanging="357"/>
        <w:jc w:val="both"/>
        <w:rPr>
          <w:rFonts w:asciiTheme="minorHAnsi" w:hAnsiTheme="minorHAnsi" w:cs="Arial"/>
          <w:bCs/>
          <w:snapToGrid w:val="0"/>
        </w:rPr>
      </w:pPr>
      <w:r w:rsidRPr="00534C5B">
        <w:rPr>
          <w:rFonts w:asciiTheme="minorHAnsi" w:hAnsiTheme="minorHAnsi" w:cs="Arial"/>
          <w:bCs/>
          <w:snapToGrid w:val="0"/>
        </w:rPr>
        <w:t>Treatment should consist of 12 months of active therapy</w:t>
      </w:r>
      <w:r w:rsidR="00755A6E" w:rsidRPr="00534C5B">
        <w:rPr>
          <w:rFonts w:asciiTheme="minorHAnsi" w:hAnsiTheme="minorHAnsi" w:cs="Arial"/>
          <w:bCs/>
          <w:snapToGrid w:val="0"/>
        </w:rPr>
        <w:t xml:space="preserve">, which </w:t>
      </w:r>
      <w:r w:rsidR="007C68F9" w:rsidRPr="00534C5B">
        <w:rPr>
          <w:rFonts w:asciiTheme="minorHAnsi" w:hAnsiTheme="minorHAnsi" w:cs="Arial"/>
          <w:bCs/>
          <w:snapToGrid w:val="0"/>
        </w:rPr>
        <w:t>could consist of either PBS-subsidised or non-PBS subsidised treatment</w:t>
      </w:r>
      <w:r w:rsidRPr="00534C5B">
        <w:rPr>
          <w:rFonts w:asciiTheme="minorHAnsi" w:hAnsiTheme="minorHAnsi" w:cs="Arial"/>
          <w:bCs/>
          <w:snapToGrid w:val="0"/>
        </w:rPr>
        <w:t>;</w:t>
      </w:r>
      <w:r w:rsidR="007C68F9" w:rsidRPr="00534C5B">
        <w:rPr>
          <w:rFonts w:asciiTheme="minorHAnsi" w:hAnsiTheme="minorHAnsi" w:cs="Arial"/>
          <w:bCs/>
          <w:snapToGrid w:val="0"/>
        </w:rPr>
        <w:t xml:space="preserve"> and</w:t>
      </w:r>
    </w:p>
    <w:p w:rsidR="007C68F9" w:rsidRPr="00534C5B" w:rsidRDefault="007C68F9" w:rsidP="007C68F9">
      <w:pPr>
        <w:widowControl w:val="0"/>
        <w:numPr>
          <w:ilvl w:val="1"/>
          <w:numId w:val="23"/>
        </w:numPr>
        <w:spacing w:after="120"/>
        <w:ind w:left="1077" w:hanging="357"/>
        <w:jc w:val="both"/>
        <w:rPr>
          <w:rFonts w:asciiTheme="minorHAnsi" w:hAnsiTheme="minorHAnsi" w:cs="Arial"/>
          <w:bCs/>
          <w:snapToGrid w:val="0"/>
        </w:rPr>
      </w:pPr>
      <w:r w:rsidRPr="00534C5B">
        <w:rPr>
          <w:rFonts w:asciiTheme="minorHAnsi" w:hAnsiTheme="minorHAnsi" w:cs="Arial"/>
          <w:bCs/>
          <w:snapToGrid w:val="0"/>
        </w:rPr>
        <w:t>Patients who discontinued adjuvant treatment for reasons other than disease progression should not be able to receive the same class of drug first-line in the unresectable or metastatic setting</w:t>
      </w:r>
      <w:r w:rsidR="00F15FDC" w:rsidRPr="00534C5B">
        <w:rPr>
          <w:rFonts w:asciiTheme="minorHAnsi" w:hAnsiTheme="minorHAnsi" w:cs="Arial"/>
          <w:bCs/>
          <w:snapToGrid w:val="0"/>
        </w:rPr>
        <w:t xml:space="preserve"> if they had experienced recurrence within six months of discontinuing adjuvant therapy</w:t>
      </w:r>
      <w:r w:rsidRPr="00534C5B">
        <w:rPr>
          <w:rFonts w:asciiTheme="minorHAnsi" w:hAnsiTheme="minorHAnsi" w:cs="Arial"/>
          <w:bCs/>
          <w:snapToGrid w:val="0"/>
        </w:rPr>
        <w:t>.</w:t>
      </w:r>
    </w:p>
    <w:p w:rsidR="00F02BD7" w:rsidRPr="00534C5B" w:rsidRDefault="00F02BD7" w:rsidP="00AF0867">
      <w:pPr>
        <w:widowControl w:val="0"/>
        <w:numPr>
          <w:ilvl w:val="1"/>
          <w:numId w:val="1"/>
        </w:numPr>
        <w:spacing w:after="120"/>
        <w:jc w:val="both"/>
        <w:rPr>
          <w:rFonts w:asciiTheme="minorHAnsi" w:hAnsiTheme="minorHAnsi" w:cs="Arial"/>
          <w:bCs/>
          <w:snapToGrid w:val="0"/>
        </w:rPr>
      </w:pPr>
      <w:r w:rsidRPr="00534C5B">
        <w:rPr>
          <w:rFonts w:asciiTheme="minorHAnsi" w:hAnsiTheme="minorHAnsi" w:cs="Arial"/>
          <w:bCs/>
          <w:snapToGrid w:val="0"/>
        </w:rPr>
        <w:t>The PBAC advised that</w:t>
      </w:r>
      <w:r w:rsidR="00065576" w:rsidRPr="00534C5B">
        <w:rPr>
          <w:rFonts w:asciiTheme="minorHAnsi" w:hAnsiTheme="minorHAnsi" w:cs="Arial"/>
          <w:bCs/>
          <w:snapToGrid w:val="0"/>
        </w:rPr>
        <w:t xml:space="preserve"> </w:t>
      </w:r>
      <w:r w:rsidRPr="00534C5B">
        <w:rPr>
          <w:rFonts w:asciiTheme="minorHAnsi" w:hAnsiTheme="minorHAnsi" w:cs="Arial"/>
          <w:bCs/>
          <w:snapToGrid w:val="0"/>
        </w:rPr>
        <w:t>the</w:t>
      </w:r>
      <w:r w:rsidR="007C68F9" w:rsidRPr="00534C5B">
        <w:rPr>
          <w:rFonts w:asciiTheme="minorHAnsi" w:hAnsiTheme="minorHAnsi" w:cs="Arial"/>
          <w:bCs/>
          <w:snapToGrid w:val="0"/>
        </w:rPr>
        <w:t xml:space="preserve"> flow-on restriction </w:t>
      </w:r>
      <w:r w:rsidRPr="00534C5B">
        <w:rPr>
          <w:rFonts w:asciiTheme="minorHAnsi" w:hAnsiTheme="minorHAnsi" w:cs="Arial"/>
          <w:bCs/>
          <w:snapToGrid w:val="0"/>
        </w:rPr>
        <w:t xml:space="preserve">changes </w:t>
      </w:r>
      <w:r w:rsidR="008A5DF8" w:rsidRPr="00534C5B">
        <w:rPr>
          <w:rFonts w:asciiTheme="minorHAnsi" w:hAnsiTheme="minorHAnsi" w:cs="Arial"/>
          <w:bCs/>
          <w:snapToGrid w:val="0"/>
        </w:rPr>
        <w:t xml:space="preserve">for nivolumab, ipilimumab and the BRAF inhibitors </w:t>
      </w:r>
      <w:r w:rsidRPr="00534C5B">
        <w:rPr>
          <w:rFonts w:asciiTheme="minorHAnsi" w:hAnsiTheme="minorHAnsi" w:cs="Arial"/>
          <w:bCs/>
          <w:snapToGrid w:val="0"/>
        </w:rPr>
        <w:t xml:space="preserve">should be </w:t>
      </w:r>
      <w:r w:rsidR="0027140A" w:rsidRPr="00534C5B">
        <w:rPr>
          <w:rFonts w:asciiTheme="minorHAnsi" w:hAnsiTheme="minorHAnsi" w:cs="Arial"/>
          <w:bCs/>
          <w:snapToGrid w:val="0"/>
        </w:rPr>
        <w:t>implemented</w:t>
      </w:r>
      <w:r w:rsidRPr="00534C5B">
        <w:rPr>
          <w:rFonts w:asciiTheme="minorHAnsi" w:hAnsiTheme="minorHAnsi" w:cs="Arial"/>
          <w:bCs/>
          <w:snapToGrid w:val="0"/>
        </w:rPr>
        <w:t xml:space="preserve"> in conjunction with the restriction changes resulting from the November 2019 recommendation to extend the listings of nivolumab and nivolumab</w:t>
      </w:r>
      <w:r w:rsidR="008A5DF8" w:rsidRPr="00534C5B">
        <w:rPr>
          <w:rFonts w:asciiTheme="minorHAnsi" w:hAnsiTheme="minorHAnsi" w:cs="Arial"/>
          <w:bCs/>
          <w:snapToGrid w:val="0"/>
        </w:rPr>
        <w:t>+</w:t>
      </w:r>
      <w:r w:rsidRPr="00534C5B">
        <w:rPr>
          <w:rFonts w:asciiTheme="minorHAnsi" w:hAnsiTheme="minorHAnsi" w:cs="Arial"/>
          <w:bCs/>
          <w:snapToGrid w:val="0"/>
        </w:rPr>
        <w:t xml:space="preserve">ipilimumab to allow first-line use in BRAF mutant patients. </w:t>
      </w:r>
    </w:p>
    <w:p w:rsidR="00F02BD7" w:rsidRPr="00534C5B" w:rsidRDefault="00F02BD7" w:rsidP="00AF0867">
      <w:pPr>
        <w:widowControl w:val="0"/>
        <w:numPr>
          <w:ilvl w:val="1"/>
          <w:numId w:val="1"/>
        </w:numPr>
        <w:spacing w:after="120"/>
        <w:jc w:val="both"/>
        <w:rPr>
          <w:rFonts w:asciiTheme="minorHAnsi" w:hAnsiTheme="minorHAnsi" w:cs="Arial"/>
          <w:bCs/>
          <w:snapToGrid w:val="0"/>
        </w:rPr>
      </w:pPr>
      <w:r w:rsidRPr="00534C5B">
        <w:rPr>
          <w:rFonts w:asciiTheme="minorHAnsi" w:hAnsiTheme="minorHAnsi" w:cs="Arial"/>
          <w:bCs/>
          <w:snapToGrid w:val="0"/>
        </w:rPr>
        <w:t>The PBAC noted that there would also be flow-on restriction changes to the current PBS listings of pembrolizumab in the unresectable or metastatic setting.</w:t>
      </w:r>
    </w:p>
    <w:p w:rsidR="00305EF3" w:rsidRPr="00534C5B" w:rsidRDefault="00305EF3" w:rsidP="00305EF3">
      <w:pPr>
        <w:widowControl w:val="0"/>
        <w:numPr>
          <w:ilvl w:val="1"/>
          <w:numId w:val="1"/>
        </w:numPr>
        <w:spacing w:after="120"/>
        <w:jc w:val="both"/>
        <w:rPr>
          <w:rFonts w:asciiTheme="minorHAnsi" w:hAnsiTheme="minorHAnsi" w:cs="Arial"/>
          <w:bCs/>
          <w:snapToGrid w:val="0"/>
        </w:rPr>
      </w:pPr>
      <w:r w:rsidRPr="00534C5B">
        <w:rPr>
          <w:rFonts w:asciiTheme="minorHAnsi" w:hAnsiTheme="minorHAnsi" w:cs="Arial"/>
          <w:bCs/>
          <w:snapToGrid w:val="0"/>
        </w:rPr>
        <w:t xml:space="preserve">The PBAC found that the criteria prescribed by the </w:t>
      </w:r>
      <w:r w:rsidRPr="00534C5B">
        <w:rPr>
          <w:rFonts w:asciiTheme="minorHAnsi" w:hAnsiTheme="minorHAnsi" w:cs="Arial"/>
          <w:bCs/>
          <w:i/>
          <w:snapToGrid w:val="0"/>
        </w:rPr>
        <w:t>National Health (Pharmaceutical and Vaccines – Cost Recovery) Regulations 2009</w:t>
      </w:r>
      <w:r w:rsidRPr="00534C5B">
        <w:rPr>
          <w:rFonts w:asciiTheme="minorHAnsi" w:hAnsiTheme="minorHAnsi" w:cs="Arial"/>
          <w:bCs/>
          <w:snapToGrid w:val="0"/>
        </w:rPr>
        <w:t xml:space="preserve"> for Pricing Pathway A were met. Specifically, the PBAC found that in the circumstances of its recommendation for nivolumab:</w:t>
      </w:r>
    </w:p>
    <w:p w:rsidR="00305EF3" w:rsidRPr="00534C5B" w:rsidRDefault="00305EF3" w:rsidP="00305EF3">
      <w:pPr>
        <w:pStyle w:val="ListParagraph"/>
        <w:numPr>
          <w:ilvl w:val="0"/>
          <w:numId w:val="21"/>
        </w:numPr>
        <w:spacing w:after="120"/>
        <w:rPr>
          <w:rFonts w:asciiTheme="minorHAnsi" w:hAnsiTheme="minorHAnsi"/>
          <w:bCs/>
          <w:sz w:val="24"/>
          <w:szCs w:val="24"/>
        </w:rPr>
      </w:pPr>
      <w:r w:rsidRPr="00534C5B">
        <w:rPr>
          <w:rFonts w:asciiTheme="minorHAnsi" w:hAnsiTheme="minorHAnsi"/>
          <w:bCs/>
          <w:sz w:val="24"/>
          <w:szCs w:val="24"/>
        </w:rPr>
        <w:t>The treatment is expected to provide a substantial and clinically relevant improvement in efficacy over placebo in terms of recurrence free survival;</w:t>
      </w:r>
    </w:p>
    <w:p w:rsidR="00305EF3" w:rsidRPr="00534C5B" w:rsidRDefault="00305EF3" w:rsidP="00305EF3">
      <w:pPr>
        <w:pStyle w:val="ListParagraph"/>
        <w:numPr>
          <w:ilvl w:val="0"/>
          <w:numId w:val="21"/>
        </w:numPr>
        <w:spacing w:after="120"/>
        <w:rPr>
          <w:rFonts w:asciiTheme="minorHAnsi" w:hAnsiTheme="minorHAnsi"/>
          <w:bCs/>
          <w:sz w:val="24"/>
          <w:szCs w:val="24"/>
        </w:rPr>
      </w:pPr>
      <w:r w:rsidRPr="00534C5B">
        <w:rPr>
          <w:rFonts w:asciiTheme="minorHAnsi" w:hAnsiTheme="minorHAnsi"/>
          <w:bCs/>
          <w:sz w:val="24"/>
          <w:szCs w:val="24"/>
        </w:rPr>
        <w:t xml:space="preserve">The treatment is expected to address a high and urgent unmet clinical need as there are currently no medicines for the adjuvant treatment of patients with BRAF wild type melanoma listed on the PBS; and </w:t>
      </w:r>
    </w:p>
    <w:p w:rsidR="00305EF3" w:rsidRPr="00534C5B" w:rsidRDefault="00305EF3" w:rsidP="00305EF3">
      <w:pPr>
        <w:pStyle w:val="ListParagraph"/>
        <w:numPr>
          <w:ilvl w:val="0"/>
          <w:numId w:val="21"/>
        </w:numPr>
        <w:spacing w:after="120"/>
        <w:rPr>
          <w:rFonts w:asciiTheme="minorHAnsi" w:hAnsiTheme="minorHAnsi"/>
          <w:bCs/>
          <w:sz w:val="24"/>
          <w:szCs w:val="24"/>
        </w:rPr>
      </w:pPr>
      <w:r w:rsidRPr="00534C5B">
        <w:rPr>
          <w:rFonts w:asciiTheme="minorHAnsi" w:hAnsiTheme="minorHAnsi"/>
          <w:bCs/>
          <w:sz w:val="24"/>
          <w:szCs w:val="24"/>
        </w:rPr>
        <w:t>It would be in the public interest for the subsequent pricing application to be progresse</w:t>
      </w:r>
      <w:r w:rsidR="00F15FDC" w:rsidRPr="00534C5B">
        <w:rPr>
          <w:rFonts w:asciiTheme="minorHAnsi" w:hAnsiTheme="minorHAnsi"/>
          <w:bCs/>
          <w:sz w:val="24"/>
          <w:szCs w:val="24"/>
        </w:rPr>
        <w:t>d</w:t>
      </w:r>
      <w:r w:rsidRPr="00534C5B">
        <w:rPr>
          <w:rFonts w:asciiTheme="minorHAnsi" w:hAnsiTheme="minorHAnsi"/>
          <w:bCs/>
          <w:sz w:val="24"/>
          <w:szCs w:val="24"/>
        </w:rPr>
        <w:t xml:space="preserve"> under Pricing Pathway A on the basis of the preceding findings.</w:t>
      </w:r>
    </w:p>
    <w:p w:rsidR="00F02BD7" w:rsidRPr="00534C5B" w:rsidRDefault="00F02BD7" w:rsidP="00AF0867">
      <w:pPr>
        <w:widowControl w:val="0"/>
        <w:numPr>
          <w:ilvl w:val="1"/>
          <w:numId w:val="1"/>
        </w:numPr>
        <w:spacing w:after="120"/>
        <w:jc w:val="both"/>
        <w:rPr>
          <w:rFonts w:asciiTheme="minorHAnsi" w:hAnsiTheme="minorHAnsi" w:cs="Arial"/>
          <w:bCs/>
          <w:snapToGrid w:val="0"/>
        </w:rPr>
      </w:pPr>
      <w:r w:rsidRPr="00534C5B">
        <w:rPr>
          <w:rFonts w:asciiTheme="minorHAnsi" w:hAnsiTheme="minorHAnsi" w:cs="Arial"/>
          <w:bCs/>
          <w:snapToGrid w:val="0"/>
        </w:rPr>
        <w:t xml:space="preserve">The PBAC </w:t>
      </w:r>
      <w:r w:rsidR="00305EF3" w:rsidRPr="00534C5B">
        <w:rPr>
          <w:rFonts w:asciiTheme="minorHAnsi" w:hAnsiTheme="minorHAnsi" w:cs="Arial"/>
          <w:bCs/>
          <w:snapToGrid w:val="0"/>
        </w:rPr>
        <w:t xml:space="preserve">recommended </w:t>
      </w:r>
      <w:r w:rsidRPr="00534C5B">
        <w:rPr>
          <w:rFonts w:asciiTheme="minorHAnsi" w:hAnsiTheme="minorHAnsi" w:cs="Arial"/>
          <w:bCs/>
          <w:snapToGrid w:val="0"/>
        </w:rPr>
        <w:t>that nivolumab should not be treated as interchangeable on an individual patient basis with any other drugs.</w:t>
      </w:r>
    </w:p>
    <w:p w:rsidR="00F02BD7" w:rsidRPr="00534C5B" w:rsidRDefault="00F02BD7" w:rsidP="00AF0867">
      <w:pPr>
        <w:widowControl w:val="0"/>
        <w:numPr>
          <w:ilvl w:val="1"/>
          <w:numId w:val="1"/>
        </w:numPr>
        <w:spacing w:after="120"/>
        <w:jc w:val="both"/>
        <w:rPr>
          <w:rFonts w:asciiTheme="minorHAnsi" w:hAnsiTheme="minorHAnsi" w:cs="Arial"/>
          <w:bCs/>
          <w:snapToGrid w:val="0"/>
        </w:rPr>
      </w:pPr>
      <w:r w:rsidRPr="00534C5B">
        <w:rPr>
          <w:rFonts w:asciiTheme="minorHAnsi" w:hAnsiTheme="minorHAnsi" w:cs="Arial"/>
          <w:bCs/>
          <w:snapToGrid w:val="0"/>
        </w:rPr>
        <w:t>The PBAC advised that nivolumab is not suitable for prescribing by nurse practitioners.</w:t>
      </w:r>
    </w:p>
    <w:p w:rsidR="00F02BD7" w:rsidRPr="00534C5B" w:rsidRDefault="00F02BD7" w:rsidP="00AF0867">
      <w:pPr>
        <w:widowControl w:val="0"/>
        <w:numPr>
          <w:ilvl w:val="1"/>
          <w:numId w:val="1"/>
        </w:numPr>
        <w:spacing w:after="120"/>
        <w:jc w:val="both"/>
        <w:rPr>
          <w:rFonts w:asciiTheme="minorHAnsi" w:hAnsiTheme="minorHAnsi" w:cs="Arial"/>
          <w:bCs/>
          <w:snapToGrid w:val="0"/>
        </w:rPr>
      </w:pPr>
      <w:r w:rsidRPr="00534C5B">
        <w:rPr>
          <w:rFonts w:asciiTheme="minorHAnsi" w:hAnsiTheme="minorHAnsi" w:cs="Arial"/>
          <w:bCs/>
          <w:snapToGrid w:val="0"/>
        </w:rPr>
        <w:t xml:space="preserve">The PBAC </w:t>
      </w:r>
      <w:r w:rsidR="00305EF3" w:rsidRPr="00534C5B">
        <w:rPr>
          <w:rFonts w:asciiTheme="minorHAnsi" w:hAnsiTheme="minorHAnsi" w:cs="Arial"/>
          <w:bCs/>
          <w:snapToGrid w:val="0"/>
        </w:rPr>
        <w:t>recommended that the Early S</w:t>
      </w:r>
      <w:r w:rsidRPr="00534C5B">
        <w:rPr>
          <w:rFonts w:asciiTheme="minorHAnsi" w:hAnsiTheme="minorHAnsi" w:cs="Arial"/>
          <w:bCs/>
          <w:snapToGrid w:val="0"/>
        </w:rPr>
        <w:t xml:space="preserve">upply </w:t>
      </w:r>
      <w:r w:rsidR="00305EF3" w:rsidRPr="00534C5B">
        <w:rPr>
          <w:rFonts w:asciiTheme="minorHAnsi" w:hAnsiTheme="minorHAnsi" w:cs="Arial"/>
          <w:bCs/>
          <w:snapToGrid w:val="0"/>
        </w:rPr>
        <w:t>R</w:t>
      </w:r>
      <w:r w:rsidRPr="00534C5B">
        <w:rPr>
          <w:rFonts w:asciiTheme="minorHAnsi" w:hAnsiTheme="minorHAnsi" w:cs="Arial"/>
          <w:bCs/>
          <w:snapToGrid w:val="0"/>
        </w:rPr>
        <w:t>ule should not apply to nivolumab.</w:t>
      </w:r>
    </w:p>
    <w:p w:rsidR="00F02BD7" w:rsidRPr="00534C5B" w:rsidRDefault="00305EF3" w:rsidP="00AF0867">
      <w:pPr>
        <w:widowControl w:val="0"/>
        <w:numPr>
          <w:ilvl w:val="1"/>
          <w:numId w:val="1"/>
        </w:numPr>
        <w:spacing w:after="120"/>
        <w:jc w:val="both"/>
        <w:rPr>
          <w:rFonts w:asciiTheme="minorHAnsi" w:hAnsiTheme="minorHAnsi" w:cs="Arial"/>
          <w:bCs/>
          <w:snapToGrid w:val="0"/>
        </w:rPr>
      </w:pPr>
      <w:r w:rsidRPr="00534C5B">
        <w:rPr>
          <w:rFonts w:asciiTheme="minorHAnsi" w:hAnsiTheme="minorHAnsi" w:cs="Arial"/>
          <w:bCs/>
          <w:snapToGrid w:val="0"/>
        </w:rPr>
        <w:t>The PBAC noted that this submission is not eligible for an Independent Review as it was a positive recommendation.</w:t>
      </w:r>
    </w:p>
    <w:p w:rsidR="00AF0867" w:rsidRPr="00534C5B" w:rsidRDefault="00AF0867" w:rsidP="00AF0867">
      <w:pPr>
        <w:spacing w:before="240"/>
        <w:jc w:val="both"/>
        <w:rPr>
          <w:rFonts w:asciiTheme="minorHAnsi" w:hAnsiTheme="minorHAnsi" w:cs="Arial"/>
          <w:b/>
          <w:bCs/>
          <w:snapToGrid w:val="0"/>
        </w:rPr>
      </w:pPr>
      <w:r w:rsidRPr="00534C5B">
        <w:rPr>
          <w:rFonts w:asciiTheme="minorHAnsi" w:hAnsiTheme="minorHAnsi" w:cs="Arial"/>
          <w:b/>
          <w:bCs/>
          <w:snapToGrid w:val="0"/>
        </w:rPr>
        <w:t>Outcome:</w:t>
      </w:r>
    </w:p>
    <w:p w:rsidR="00AF0867" w:rsidRPr="00534C5B" w:rsidRDefault="00AF0867" w:rsidP="00AF0867">
      <w:pPr>
        <w:jc w:val="both"/>
        <w:rPr>
          <w:rFonts w:asciiTheme="minorHAnsi" w:hAnsiTheme="minorHAnsi" w:cs="Arial"/>
          <w:bCs/>
          <w:snapToGrid w:val="0"/>
        </w:rPr>
      </w:pPr>
      <w:r w:rsidRPr="00534C5B">
        <w:rPr>
          <w:rFonts w:asciiTheme="minorHAnsi" w:hAnsiTheme="minorHAnsi" w:cs="Arial"/>
          <w:bCs/>
          <w:snapToGrid w:val="0"/>
        </w:rPr>
        <w:t xml:space="preserve">Recommended </w:t>
      </w:r>
    </w:p>
    <w:p w:rsidR="00AF0867" w:rsidRPr="00534C5B" w:rsidRDefault="00AF0867" w:rsidP="001C2C3D">
      <w:pPr>
        <w:pStyle w:val="2Sections"/>
        <w:keepNext/>
        <w:keepLines/>
        <w:rPr>
          <w:i/>
        </w:rPr>
      </w:pPr>
      <w:r w:rsidRPr="00534C5B">
        <w:lastRenderedPageBreak/>
        <w:t>Recommended listing</w:t>
      </w:r>
    </w:p>
    <w:p w:rsidR="00AF0867" w:rsidRPr="00534C5B" w:rsidRDefault="00013070" w:rsidP="001C2C3D">
      <w:pPr>
        <w:keepNext/>
        <w:keepLines/>
        <w:widowControl w:val="0"/>
        <w:numPr>
          <w:ilvl w:val="1"/>
          <w:numId w:val="1"/>
        </w:numPr>
        <w:spacing w:after="120"/>
        <w:jc w:val="both"/>
        <w:rPr>
          <w:rFonts w:asciiTheme="minorHAnsi" w:hAnsiTheme="minorHAnsi" w:cs="Arial"/>
          <w:b/>
          <w:bCs/>
          <w:snapToGrid w:val="0"/>
        </w:rPr>
      </w:pPr>
      <w:r w:rsidRPr="00534C5B">
        <w:rPr>
          <w:rFonts w:asciiTheme="minorHAnsi" w:hAnsiTheme="minorHAnsi" w:cs="Arial"/>
          <w:bCs/>
          <w:snapToGrid w:val="0"/>
        </w:rPr>
        <w:t xml:space="preserve">Amend existing listing as follows: </w:t>
      </w:r>
    </w:p>
    <w:p w:rsidR="00AD567A" w:rsidRPr="00534C5B" w:rsidRDefault="00E76635" w:rsidP="00E76635">
      <w:pPr>
        <w:ind w:firstLine="720"/>
        <w:rPr>
          <w:rFonts w:asciiTheme="minorHAnsi" w:hAnsiTheme="minorHAnsi" w:cstheme="minorHAnsi"/>
        </w:rPr>
      </w:pPr>
      <w:r w:rsidRPr="00534C5B">
        <w:rPr>
          <w:rFonts w:asciiTheme="minorHAnsi" w:hAnsiTheme="minorHAnsi" w:cstheme="minorHAnsi"/>
        </w:rPr>
        <w:t xml:space="preserve">- </w:t>
      </w:r>
      <w:r w:rsidR="00AD567A" w:rsidRPr="00534C5B">
        <w:rPr>
          <w:rFonts w:asciiTheme="minorHAnsi" w:hAnsiTheme="minorHAnsi" w:cstheme="minorHAnsi"/>
        </w:rPr>
        <w:t>Add new indication</w:t>
      </w:r>
      <w:r w:rsidRPr="00534C5B">
        <w:rPr>
          <w:rFonts w:asciiTheme="minorHAnsi" w:hAnsiTheme="minorHAnsi" w:cstheme="minorHAnsi"/>
        </w:rPr>
        <w:t>.</w:t>
      </w:r>
    </w:p>
    <w:p w:rsidR="00E76635" w:rsidRPr="00534C5B" w:rsidRDefault="00E76635" w:rsidP="00AD567A">
      <w:pPr>
        <w:rPr>
          <w:rFonts w:asciiTheme="minorHAnsi" w:hAnsiTheme="minorHAnsi" w:cstheme="minorHAnsi"/>
          <w:b/>
          <w:u w:val="single"/>
        </w:rPr>
      </w:pPr>
    </w:p>
    <w:tbl>
      <w:tblPr>
        <w:tblW w:w="8964" w:type="dxa"/>
        <w:tblInd w:w="108" w:type="dxa"/>
        <w:tblLayout w:type="fixed"/>
        <w:tblLook w:val="0000" w:firstRow="0" w:lastRow="0" w:firstColumn="0" w:lastColumn="0" w:noHBand="0" w:noVBand="0"/>
      </w:tblPr>
      <w:tblGrid>
        <w:gridCol w:w="2869"/>
        <w:gridCol w:w="709"/>
        <w:gridCol w:w="1276"/>
        <w:gridCol w:w="1701"/>
        <w:gridCol w:w="850"/>
        <w:gridCol w:w="1559"/>
      </w:tblGrid>
      <w:tr w:rsidR="00AD567A" w:rsidRPr="00534C5B" w:rsidTr="00AD567A">
        <w:trPr>
          <w:cantSplit/>
          <w:trHeight w:val="471"/>
        </w:trPr>
        <w:tc>
          <w:tcPr>
            <w:tcW w:w="2869" w:type="dxa"/>
            <w:tcBorders>
              <w:top w:val="single" w:sz="4" w:space="0" w:color="auto"/>
              <w:bottom w:val="single" w:sz="4" w:space="0" w:color="auto"/>
            </w:tcBorders>
          </w:tcPr>
          <w:p w:rsidR="00AD567A" w:rsidRPr="00534C5B" w:rsidRDefault="00AD567A" w:rsidP="00AD567A">
            <w:pPr>
              <w:keepNext/>
              <w:ind w:left="-108"/>
              <w:rPr>
                <w:rFonts w:ascii="Arial Narrow" w:hAnsi="Arial Narrow" w:cs="Arial"/>
                <w:b/>
                <w:sz w:val="18"/>
                <w:szCs w:val="18"/>
              </w:rPr>
            </w:pPr>
            <w:r w:rsidRPr="00534C5B">
              <w:rPr>
                <w:rFonts w:ascii="Arial Narrow" w:hAnsi="Arial Narrow" w:cs="Arial"/>
                <w:b/>
                <w:sz w:val="18"/>
                <w:szCs w:val="18"/>
              </w:rPr>
              <w:t>Name, Restriction, Manner of administration and form</w:t>
            </w:r>
          </w:p>
        </w:tc>
        <w:tc>
          <w:tcPr>
            <w:tcW w:w="709" w:type="dxa"/>
            <w:tcBorders>
              <w:top w:val="single" w:sz="4" w:space="0" w:color="auto"/>
              <w:bottom w:val="single" w:sz="4" w:space="0" w:color="auto"/>
            </w:tcBorders>
          </w:tcPr>
          <w:p w:rsidR="00AD567A" w:rsidRPr="00534C5B" w:rsidRDefault="00AD567A" w:rsidP="00AD567A">
            <w:pPr>
              <w:keepNext/>
              <w:ind w:left="-108"/>
              <w:jc w:val="center"/>
              <w:rPr>
                <w:rFonts w:ascii="Arial Narrow" w:hAnsi="Arial Narrow" w:cs="Arial"/>
                <w:b/>
                <w:sz w:val="18"/>
                <w:szCs w:val="18"/>
              </w:rPr>
            </w:pPr>
            <w:r w:rsidRPr="00534C5B">
              <w:rPr>
                <w:rFonts w:ascii="Arial Narrow" w:hAnsi="Arial Narrow" w:cs="Arial"/>
                <w:b/>
                <w:sz w:val="18"/>
                <w:szCs w:val="18"/>
              </w:rPr>
              <w:t>Max.</w:t>
            </w:r>
          </w:p>
          <w:p w:rsidR="00AD567A" w:rsidRPr="00534C5B" w:rsidRDefault="00AD567A" w:rsidP="00AD567A">
            <w:pPr>
              <w:keepNext/>
              <w:ind w:left="-108"/>
              <w:jc w:val="center"/>
              <w:rPr>
                <w:rFonts w:ascii="Arial Narrow" w:hAnsi="Arial Narrow" w:cs="Arial"/>
                <w:b/>
                <w:sz w:val="18"/>
                <w:szCs w:val="18"/>
              </w:rPr>
            </w:pPr>
            <w:r w:rsidRPr="00534C5B">
              <w:rPr>
                <w:rFonts w:ascii="Arial Narrow" w:hAnsi="Arial Narrow" w:cs="Arial"/>
                <w:b/>
                <w:sz w:val="18"/>
                <w:szCs w:val="18"/>
              </w:rPr>
              <w:t>amount</w:t>
            </w:r>
          </w:p>
        </w:tc>
        <w:tc>
          <w:tcPr>
            <w:tcW w:w="1276" w:type="dxa"/>
            <w:tcBorders>
              <w:top w:val="single" w:sz="4" w:space="0" w:color="auto"/>
              <w:bottom w:val="single" w:sz="4" w:space="0" w:color="auto"/>
            </w:tcBorders>
          </w:tcPr>
          <w:p w:rsidR="00AD567A" w:rsidRPr="00534C5B" w:rsidRDefault="00AD567A" w:rsidP="00AD567A">
            <w:pPr>
              <w:keepNext/>
              <w:ind w:left="-108"/>
              <w:jc w:val="center"/>
              <w:rPr>
                <w:rFonts w:ascii="Arial Narrow" w:hAnsi="Arial Narrow" w:cs="Arial"/>
                <w:b/>
                <w:sz w:val="18"/>
                <w:szCs w:val="18"/>
              </w:rPr>
            </w:pPr>
            <w:r w:rsidRPr="00534C5B">
              <w:rPr>
                <w:rFonts w:ascii="Arial Narrow" w:hAnsi="Arial Narrow" w:cs="Arial"/>
                <w:b/>
                <w:sz w:val="18"/>
                <w:szCs w:val="18"/>
              </w:rPr>
              <w:t>№.of</w:t>
            </w:r>
          </w:p>
          <w:p w:rsidR="00AD567A" w:rsidRPr="00534C5B" w:rsidRDefault="00AD567A" w:rsidP="00AD567A">
            <w:pPr>
              <w:keepNext/>
              <w:ind w:left="-108"/>
              <w:jc w:val="center"/>
              <w:rPr>
                <w:rFonts w:ascii="Arial Narrow" w:hAnsi="Arial Narrow" w:cs="Arial"/>
                <w:b/>
                <w:sz w:val="18"/>
                <w:szCs w:val="18"/>
              </w:rPr>
            </w:pPr>
            <w:r w:rsidRPr="00534C5B">
              <w:rPr>
                <w:rFonts w:ascii="Arial Narrow" w:hAnsi="Arial Narrow" w:cs="Arial"/>
                <w:b/>
                <w:sz w:val="18"/>
                <w:szCs w:val="18"/>
              </w:rPr>
              <w:t>Rpts</w:t>
            </w:r>
          </w:p>
        </w:tc>
        <w:tc>
          <w:tcPr>
            <w:tcW w:w="1701" w:type="dxa"/>
            <w:tcBorders>
              <w:top w:val="single" w:sz="4" w:space="0" w:color="auto"/>
              <w:bottom w:val="single" w:sz="4" w:space="0" w:color="auto"/>
            </w:tcBorders>
          </w:tcPr>
          <w:p w:rsidR="00AD567A" w:rsidRPr="00534C5B" w:rsidRDefault="00AD567A" w:rsidP="00AD567A">
            <w:pPr>
              <w:keepNext/>
              <w:ind w:left="-108"/>
              <w:jc w:val="center"/>
              <w:rPr>
                <w:rFonts w:ascii="Arial Narrow" w:hAnsi="Arial Narrow" w:cs="Arial"/>
                <w:b/>
                <w:sz w:val="18"/>
                <w:szCs w:val="18"/>
              </w:rPr>
            </w:pPr>
            <w:r w:rsidRPr="00534C5B">
              <w:rPr>
                <w:rFonts w:ascii="Arial Narrow" w:hAnsi="Arial Narrow" w:cs="Arial"/>
                <w:b/>
                <w:sz w:val="18"/>
                <w:szCs w:val="18"/>
              </w:rPr>
              <w:t>PBS item</w:t>
            </w:r>
          </w:p>
          <w:p w:rsidR="00AD567A" w:rsidRPr="00534C5B" w:rsidRDefault="00AD567A" w:rsidP="00AD567A">
            <w:pPr>
              <w:keepNext/>
              <w:ind w:left="-108"/>
              <w:jc w:val="center"/>
              <w:rPr>
                <w:rFonts w:ascii="Arial Narrow" w:hAnsi="Arial Narrow" w:cs="Arial"/>
                <w:b/>
                <w:sz w:val="18"/>
                <w:szCs w:val="18"/>
              </w:rPr>
            </w:pPr>
            <w:r w:rsidRPr="00534C5B">
              <w:rPr>
                <w:rFonts w:ascii="Arial Narrow" w:hAnsi="Arial Narrow" w:cs="Arial"/>
                <w:b/>
                <w:sz w:val="18"/>
                <w:szCs w:val="18"/>
              </w:rPr>
              <w:t>code</w:t>
            </w:r>
          </w:p>
        </w:tc>
        <w:tc>
          <w:tcPr>
            <w:tcW w:w="2409" w:type="dxa"/>
            <w:gridSpan w:val="2"/>
            <w:tcBorders>
              <w:top w:val="single" w:sz="4" w:space="0" w:color="auto"/>
              <w:bottom w:val="single" w:sz="4" w:space="0" w:color="auto"/>
            </w:tcBorders>
            <w:tcMar>
              <w:left w:w="28" w:type="dxa"/>
              <w:right w:w="28" w:type="dxa"/>
            </w:tcMar>
          </w:tcPr>
          <w:p w:rsidR="00AD567A" w:rsidRPr="00534C5B" w:rsidRDefault="00AD567A" w:rsidP="00AD567A">
            <w:pPr>
              <w:keepNext/>
              <w:rPr>
                <w:rFonts w:ascii="Arial Narrow" w:hAnsi="Arial Narrow" w:cs="Arial"/>
                <w:b/>
                <w:sz w:val="18"/>
                <w:szCs w:val="18"/>
              </w:rPr>
            </w:pPr>
            <w:r w:rsidRPr="00534C5B">
              <w:rPr>
                <w:rFonts w:ascii="Arial Narrow" w:hAnsi="Arial Narrow" w:cs="Arial"/>
                <w:b/>
                <w:sz w:val="18"/>
                <w:szCs w:val="18"/>
              </w:rPr>
              <w:t>Proprietary Name and Manufacturer</w:t>
            </w:r>
          </w:p>
        </w:tc>
      </w:tr>
      <w:tr w:rsidR="00AD567A" w:rsidRPr="00534C5B" w:rsidTr="00AD567A">
        <w:trPr>
          <w:cantSplit/>
          <w:trHeight w:val="577"/>
        </w:trPr>
        <w:tc>
          <w:tcPr>
            <w:tcW w:w="2869" w:type="dxa"/>
            <w:tcBorders>
              <w:bottom w:val="single" w:sz="4" w:space="0" w:color="auto"/>
            </w:tcBorders>
          </w:tcPr>
          <w:p w:rsidR="00AD567A" w:rsidRPr="00534C5B" w:rsidRDefault="00AD567A" w:rsidP="00AD567A">
            <w:pPr>
              <w:keepNext/>
              <w:ind w:left="-108"/>
              <w:jc w:val="both"/>
              <w:rPr>
                <w:rFonts w:ascii="Arial Narrow" w:hAnsi="Arial Narrow" w:cs="Arial"/>
                <w:sz w:val="18"/>
                <w:szCs w:val="18"/>
              </w:rPr>
            </w:pPr>
            <w:r w:rsidRPr="00534C5B">
              <w:rPr>
                <w:rFonts w:ascii="Arial Narrow" w:hAnsi="Arial Narrow" w:cs="Arial"/>
                <w:smallCaps/>
                <w:sz w:val="18"/>
                <w:szCs w:val="18"/>
              </w:rPr>
              <w:t>Nivolumab</w:t>
            </w:r>
          </w:p>
          <w:p w:rsidR="00AD567A" w:rsidRPr="00534C5B" w:rsidRDefault="00AD567A" w:rsidP="00AD567A">
            <w:pPr>
              <w:keepNext/>
              <w:ind w:left="-108"/>
              <w:jc w:val="both"/>
              <w:rPr>
                <w:rFonts w:ascii="Arial Narrow" w:hAnsi="Arial Narrow" w:cs="Arial"/>
                <w:sz w:val="18"/>
                <w:szCs w:val="18"/>
              </w:rPr>
            </w:pPr>
            <w:r w:rsidRPr="00534C5B">
              <w:rPr>
                <w:rFonts w:ascii="Arial Narrow" w:hAnsi="Arial Narrow" w:cs="Arial"/>
                <w:sz w:val="18"/>
                <w:szCs w:val="18"/>
              </w:rPr>
              <w:t>40 mg/4 mL injection, 4 mL vial</w:t>
            </w:r>
          </w:p>
          <w:p w:rsidR="00AD567A" w:rsidRPr="00534C5B" w:rsidRDefault="00AD567A" w:rsidP="00AD567A">
            <w:pPr>
              <w:keepNext/>
              <w:ind w:left="-108"/>
              <w:jc w:val="both"/>
              <w:rPr>
                <w:rFonts w:ascii="Arial Narrow" w:hAnsi="Arial Narrow" w:cs="Arial"/>
                <w:color w:val="FF0000"/>
                <w:sz w:val="18"/>
                <w:szCs w:val="18"/>
              </w:rPr>
            </w:pPr>
            <w:r w:rsidRPr="00534C5B">
              <w:rPr>
                <w:rFonts w:ascii="Arial Narrow" w:hAnsi="Arial Narrow" w:cs="Arial"/>
                <w:sz w:val="18"/>
                <w:szCs w:val="18"/>
              </w:rPr>
              <w:t>100 mg/10 mL injection, 10 mg vial</w:t>
            </w:r>
          </w:p>
        </w:tc>
        <w:tc>
          <w:tcPr>
            <w:tcW w:w="709" w:type="dxa"/>
            <w:tcBorders>
              <w:bottom w:val="single" w:sz="4" w:space="0" w:color="auto"/>
            </w:tcBorders>
          </w:tcPr>
          <w:p w:rsidR="00AD567A" w:rsidRPr="00534C5B" w:rsidRDefault="00AD567A" w:rsidP="00AD567A">
            <w:pPr>
              <w:keepNext/>
              <w:ind w:left="-108"/>
              <w:jc w:val="center"/>
              <w:rPr>
                <w:rFonts w:ascii="Arial Narrow" w:hAnsi="Arial Narrow" w:cs="Arial"/>
                <w:sz w:val="18"/>
                <w:szCs w:val="18"/>
              </w:rPr>
            </w:pPr>
          </w:p>
          <w:p w:rsidR="00AD567A" w:rsidRPr="00534C5B" w:rsidRDefault="00AD567A" w:rsidP="00AD567A">
            <w:pPr>
              <w:keepNext/>
              <w:ind w:left="-108"/>
              <w:jc w:val="center"/>
              <w:rPr>
                <w:rFonts w:ascii="Arial Narrow" w:hAnsi="Arial Narrow" w:cs="Arial"/>
                <w:sz w:val="18"/>
                <w:szCs w:val="18"/>
              </w:rPr>
            </w:pPr>
            <w:r w:rsidRPr="00534C5B">
              <w:rPr>
                <w:rFonts w:ascii="Arial Narrow" w:hAnsi="Arial Narrow" w:cs="Arial"/>
                <w:sz w:val="18"/>
                <w:szCs w:val="18"/>
              </w:rPr>
              <w:t>480 mg</w:t>
            </w:r>
          </w:p>
        </w:tc>
        <w:tc>
          <w:tcPr>
            <w:tcW w:w="1276" w:type="dxa"/>
            <w:tcBorders>
              <w:bottom w:val="single" w:sz="4" w:space="0" w:color="auto"/>
            </w:tcBorders>
          </w:tcPr>
          <w:p w:rsidR="00AD567A" w:rsidRPr="00534C5B" w:rsidRDefault="00AD567A" w:rsidP="00AD567A">
            <w:pPr>
              <w:keepNext/>
              <w:ind w:left="-108"/>
              <w:jc w:val="center"/>
              <w:rPr>
                <w:rFonts w:ascii="Arial Narrow" w:hAnsi="Arial Narrow" w:cs="Arial"/>
                <w:sz w:val="18"/>
                <w:szCs w:val="18"/>
              </w:rPr>
            </w:pPr>
          </w:p>
          <w:p w:rsidR="00AD567A" w:rsidRPr="00534C5B" w:rsidRDefault="00AD567A" w:rsidP="00AD567A">
            <w:pPr>
              <w:keepNext/>
              <w:ind w:left="-108"/>
              <w:jc w:val="center"/>
              <w:rPr>
                <w:rFonts w:ascii="Arial Narrow" w:hAnsi="Arial Narrow" w:cs="Arial"/>
                <w:sz w:val="18"/>
                <w:szCs w:val="18"/>
              </w:rPr>
            </w:pPr>
            <w:r w:rsidRPr="00534C5B">
              <w:rPr>
                <w:rFonts w:ascii="Arial Narrow" w:hAnsi="Arial Narrow" w:cs="Arial"/>
                <w:sz w:val="18"/>
                <w:szCs w:val="18"/>
              </w:rPr>
              <w:t>5</w:t>
            </w:r>
          </w:p>
        </w:tc>
        <w:tc>
          <w:tcPr>
            <w:tcW w:w="1701" w:type="dxa"/>
            <w:tcBorders>
              <w:bottom w:val="single" w:sz="4" w:space="0" w:color="auto"/>
            </w:tcBorders>
          </w:tcPr>
          <w:p w:rsidR="00AD567A" w:rsidRPr="00534C5B" w:rsidRDefault="00AD567A" w:rsidP="00AD567A">
            <w:pPr>
              <w:keepNext/>
              <w:ind w:left="-108"/>
              <w:jc w:val="center"/>
              <w:rPr>
                <w:rFonts w:ascii="Arial Narrow" w:hAnsi="Arial Narrow" w:cs="Arial"/>
                <w:sz w:val="18"/>
                <w:szCs w:val="18"/>
              </w:rPr>
            </w:pPr>
          </w:p>
          <w:p w:rsidR="00AD567A" w:rsidRPr="00534C5B" w:rsidRDefault="00AD567A" w:rsidP="00AD567A">
            <w:pPr>
              <w:keepNext/>
              <w:ind w:left="-108"/>
              <w:jc w:val="center"/>
              <w:rPr>
                <w:rFonts w:ascii="Arial Narrow" w:hAnsi="Arial Narrow" w:cs="Arial"/>
                <w:sz w:val="18"/>
                <w:szCs w:val="18"/>
              </w:rPr>
            </w:pPr>
            <w:r w:rsidRPr="00534C5B">
              <w:rPr>
                <w:rFonts w:ascii="Arial Narrow" w:hAnsi="Arial Narrow" w:cs="Arial"/>
                <w:sz w:val="18"/>
                <w:szCs w:val="18"/>
              </w:rPr>
              <w:t>New (Public)</w:t>
            </w:r>
          </w:p>
          <w:p w:rsidR="00AD567A" w:rsidRPr="00534C5B" w:rsidRDefault="00AD567A" w:rsidP="00AD567A">
            <w:pPr>
              <w:keepNext/>
              <w:ind w:left="-108"/>
              <w:jc w:val="center"/>
              <w:rPr>
                <w:rFonts w:ascii="Arial Narrow" w:hAnsi="Arial Narrow" w:cs="Arial"/>
                <w:sz w:val="18"/>
                <w:szCs w:val="18"/>
              </w:rPr>
            </w:pPr>
            <w:r w:rsidRPr="00534C5B">
              <w:rPr>
                <w:rFonts w:ascii="Arial Narrow" w:hAnsi="Arial Narrow" w:cs="Arial"/>
                <w:sz w:val="18"/>
                <w:szCs w:val="18"/>
              </w:rPr>
              <w:t>New (Private)</w:t>
            </w:r>
          </w:p>
        </w:tc>
        <w:tc>
          <w:tcPr>
            <w:tcW w:w="850" w:type="dxa"/>
            <w:tcBorders>
              <w:bottom w:val="single" w:sz="4" w:space="0" w:color="auto"/>
            </w:tcBorders>
            <w:tcMar>
              <w:left w:w="28" w:type="dxa"/>
              <w:right w:w="28" w:type="dxa"/>
            </w:tcMar>
          </w:tcPr>
          <w:p w:rsidR="00AD567A" w:rsidRPr="00534C5B" w:rsidRDefault="00AD567A" w:rsidP="00AD567A">
            <w:pPr>
              <w:keepNext/>
              <w:jc w:val="both"/>
              <w:rPr>
                <w:rFonts w:ascii="Arial Narrow" w:hAnsi="Arial Narrow" w:cs="Arial"/>
                <w:sz w:val="18"/>
                <w:szCs w:val="18"/>
              </w:rPr>
            </w:pPr>
          </w:p>
          <w:p w:rsidR="00AD567A" w:rsidRPr="00534C5B" w:rsidRDefault="00AD567A" w:rsidP="00AD567A">
            <w:pPr>
              <w:keepNext/>
              <w:jc w:val="both"/>
              <w:rPr>
                <w:rFonts w:ascii="Arial Narrow" w:hAnsi="Arial Narrow" w:cs="Arial"/>
                <w:sz w:val="18"/>
                <w:szCs w:val="18"/>
              </w:rPr>
            </w:pPr>
            <w:r w:rsidRPr="00534C5B">
              <w:rPr>
                <w:rFonts w:ascii="Arial Narrow" w:hAnsi="Arial Narrow" w:cs="Arial"/>
                <w:sz w:val="18"/>
                <w:szCs w:val="18"/>
              </w:rPr>
              <w:t>Opdivo</w:t>
            </w:r>
            <w:r w:rsidRPr="00534C5B">
              <w:rPr>
                <w:rFonts w:ascii="Arial Narrow" w:hAnsi="Arial Narrow" w:cs="Arial"/>
                <w:sz w:val="18"/>
                <w:szCs w:val="18"/>
                <w:vertAlign w:val="superscript"/>
              </w:rPr>
              <w:t>®</w:t>
            </w:r>
          </w:p>
        </w:tc>
        <w:tc>
          <w:tcPr>
            <w:tcW w:w="1559" w:type="dxa"/>
            <w:tcBorders>
              <w:bottom w:val="single" w:sz="4" w:space="0" w:color="auto"/>
            </w:tcBorders>
            <w:tcMar>
              <w:left w:w="28" w:type="dxa"/>
              <w:right w:w="28" w:type="dxa"/>
            </w:tcMar>
          </w:tcPr>
          <w:p w:rsidR="00AD567A" w:rsidRPr="00534C5B" w:rsidRDefault="00AD567A" w:rsidP="00AD567A">
            <w:pPr>
              <w:keepNext/>
              <w:jc w:val="both"/>
              <w:rPr>
                <w:rFonts w:ascii="Arial Narrow" w:hAnsi="Arial Narrow" w:cs="Arial"/>
                <w:sz w:val="18"/>
                <w:szCs w:val="18"/>
              </w:rPr>
            </w:pPr>
          </w:p>
          <w:p w:rsidR="00AD567A" w:rsidRPr="00534C5B" w:rsidRDefault="00AD567A" w:rsidP="00AD567A">
            <w:pPr>
              <w:keepNext/>
              <w:jc w:val="both"/>
              <w:rPr>
                <w:rFonts w:ascii="Arial Narrow" w:hAnsi="Arial Narrow" w:cs="Arial"/>
                <w:sz w:val="18"/>
                <w:szCs w:val="18"/>
              </w:rPr>
            </w:pPr>
            <w:r w:rsidRPr="00534C5B">
              <w:rPr>
                <w:rFonts w:ascii="Arial Narrow" w:hAnsi="Arial Narrow" w:cs="Arial"/>
                <w:sz w:val="18"/>
                <w:szCs w:val="18"/>
              </w:rPr>
              <w:t>Bristol-Myers Squibb</w:t>
            </w:r>
          </w:p>
        </w:tc>
      </w:tr>
    </w:tbl>
    <w:p w:rsidR="00AD567A" w:rsidRPr="00534C5B" w:rsidRDefault="00AD567A" w:rsidP="00AD567A">
      <w:pPr>
        <w:rPr>
          <w:rFonts w:asciiTheme="minorHAnsi" w:hAnsiTheme="minorHAnsi" w:cstheme="minorHAnsi"/>
        </w:rPr>
      </w:pPr>
    </w:p>
    <w:p w:rsidR="00AD567A" w:rsidRPr="00534C5B" w:rsidRDefault="00AD567A" w:rsidP="00AD567A">
      <w:pPr>
        <w:rPr>
          <w:rFonts w:asciiTheme="minorHAnsi" w:hAnsiTheme="minorHAnsi" w:cstheme="minorHAnsi"/>
        </w:rPr>
      </w:pPr>
      <w:r w:rsidRPr="00534C5B">
        <w:rPr>
          <w:rFonts w:asciiTheme="minorHAnsi" w:hAnsiTheme="minorHAnsi" w:cstheme="minorHAnsi"/>
        </w:rPr>
        <w:t>Restriction Summary [new] / Treatment of concept [new]: Authority Required</w:t>
      </w:r>
      <w:r w:rsidR="008B20C6" w:rsidRPr="00534C5B">
        <w:rPr>
          <w:rFonts w:asciiTheme="minorHAnsi" w:hAnsiTheme="minorHAnsi" w:cstheme="minorHAnsi"/>
        </w:rPr>
        <w:t xml:space="preserve"> (telephone)</w:t>
      </w:r>
    </w:p>
    <w:p w:rsidR="00AD567A" w:rsidRPr="00534C5B" w:rsidRDefault="00AD567A" w:rsidP="00AD567A">
      <w:pPr>
        <w:rPr>
          <w:rFonts w:asciiTheme="minorHAnsi" w:hAnsiTheme="minorHAnsi" w:cstheme="minorHAnsi"/>
        </w:rPr>
      </w:pPr>
    </w:p>
    <w:tbl>
      <w:tblPr>
        <w:tblW w:w="50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47"/>
        <w:gridCol w:w="8219"/>
      </w:tblGrid>
      <w:tr w:rsidR="00AD567A" w:rsidRPr="00534C5B" w:rsidTr="00AD567A">
        <w:tc>
          <w:tcPr>
            <w:tcW w:w="467" w:type="pct"/>
            <w:tcBorders>
              <w:top w:val="single" w:sz="4" w:space="0" w:color="auto"/>
              <w:left w:val="single" w:sz="4" w:space="0" w:color="auto"/>
              <w:bottom w:val="single" w:sz="4" w:space="0" w:color="auto"/>
              <w:right w:val="single" w:sz="4" w:space="0" w:color="auto"/>
            </w:tcBorders>
          </w:tcPr>
          <w:p w:rsidR="00AD567A" w:rsidRPr="00534C5B" w:rsidRDefault="00AD567A" w:rsidP="00AD567A">
            <w:pPr>
              <w:pStyle w:val="NormalWeb"/>
              <w:spacing w:before="0" w:beforeAutospacing="0" w:after="0" w:afterAutospacing="0"/>
              <w:jc w:val="center"/>
              <w:rPr>
                <w:rFonts w:ascii="Arial Narrow" w:hAnsi="Arial Narrow"/>
                <w:b/>
                <w:color w:val="333333"/>
                <w:sz w:val="18"/>
                <w:szCs w:val="18"/>
              </w:rPr>
            </w:pPr>
            <w:r w:rsidRPr="00534C5B">
              <w:rPr>
                <w:rFonts w:ascii="Arial Narrow" w:hAnsi="Arial Narrow"/>
                <w:b/>
                <w:color w:val="333333"/>
                <w:sz w:val="18"/>
                <w:szCs w:val="18"/>
              </w:rPr>
              <w:t>Concept ID</w:t>
            </w:r>
          </w:p>
        </w:tc>
        <w:tc>
          <w:tcPr>
            <w:tcW w:w="4533" w:type="pct"/>
            <w:tcBorders>
              <w:top w:val="single" w:sz="4" w:space="0" w:color="auto"/>
              <w:left w:val="single" w:sz="4" w:space="0" w:color="auto"/>
              <w:bottom w:val="single" w:sz="4" w:space="0" w:color="auto"/>
              <w:right w:val="single" w:sz="4" w:space="0" w:color="auto"/>
            </w:tcBorders>
          </w:tcPr>
          <w:p w:rsidR="00AD567A" w:rsidRPr="00534C5B" w:rsidRDefault="00AD567A" w:rsidP="00AD567A">
            <w:pPr>
              <w:pStyle w:val="NormalWeb"/>
              <w:spacing w:before="0" w:beforeAutospacing="0" w:after="0" w:afterAutospacing="0"/>
              <w:rPr>
                <w:rStyle w:val="Strong"/>
                <w:rFonts w:ascii="Arial Narrow" w:hAnsi="Arial Narrow"/>
                <w:color w:val="333333"/>
                <w:sz w:val="18"/>
                <w:szCs w:val="18"/>
              </w:rPr>
            </w:pPr>
            <w:r w:rsidRPr="00534C5B">
              <w:rPr>
                <w:rFonts w:ascii="Arial Narrow" w:eastAsia="Calibri" w:hAnsi="Arial Narrow"/>
                <w:b/>
                <w:sz w:val="18"/>
                <w:szCs w:val="18"/>
              </w:rPr>
              <w:t xml:space="preserve">Category/Program:  </w:t>
            </w:r>
            <w:r w:rsidRPr="00534C5B">
              <w:rPr>
                <w:rFonts w:ascii="Arial Narrow" w:eastAsia="Calibri" w:hAnsi="Arial Narrow"/>
                <w:sz w:val="18"/>
                <w:szCs w:val="18"/>
              </w:rPr>
              <w:t>Section 100 Efficient Funding of Chemotherapy</w:t>
            </w:r>
          </w:p>
        </w:tc>
      </w:tr>
      <w:tr w:rsidR="00AD567A" w:rsidRPr="00534C5B" w:rsidTr="00AD567A">
        <w:tc>
          <w:tcPr>
            <w:tcW w:w="467" w:type="pct"/>
            <w:tcBorders>
              <w:top w:val="single" w:sz="4" w:space="0" w:color="auto"/>
              <w:left w:val="single" w:sz="4" w:space="0" w:color="auto"/>
              <w:bottom w:val="single" w:sz="4" w:space="0" w:color="auto"/>
              <w:right w:val="single" w:sz="4" w:space="0" w:color="auto"/>
            </w:tcBorders>
          </w:tcPr>
          <w:p w:rsidR="00AD567A" w:rsidRPr="00534C5B" w:rsidRDefault="00AD567A" w:rsidP="00AD567A">
            <w:pPr>
              <w:pStyle w:val="NormalWeb"/>
              <w:spacing w:before="0" w:beforeAutospacing="0" w:after="0" w:afterAutospacing="0"/>
              <w:jc w:val="center"/>
              <w:rPr>
                <w:rFonts w:ascii="Arial Narrow" w:hAnsi="Arial Narrow"/>
                <w:color w:val="333333"/>
                <w:sz w:val="18"/>
                <w:szCs w:val="18"/>
              </w:rPr>
            </w:pPr>
          </w:p>
        </w:tc>
        <w:tc>
          <w:tcPr>
            <w:tcW w:w="4533" w:type="pct"/>
            <w:tcBorders>
              <w:top w:val="single" w:sz="4" w:space="0" w:color="auto"/>
              <w:left w:val="single" w:sz="4" w:space="0" w:color="auto"/>
              <w:bottom w:val="single" w:sz="4" w:space="0" w:color="auto"/>
              <w:right w:val="single" w:sz="4" w:space="0" w:color="auto"/>
            </w:tcBorders>
          </w:tcPr>
          <w:p w:rsidR="00AD567A" w:rsidRPr="00534C5B" w:rsidRDefault="00AD567A" w:rsidP="00AD567A">
            <w:pPr>
              <w:pStyle w:val="NormalWeb"/>
              <w:spacing w:before="0" w:beforeAutospacing="0" w:after="0" w:afterAutospacing="0"/>
              <w:rPr>
                <w:rStyle w:val="Strong"/>
                <w:rFonts w:ascii="Arial Narrow" w:hAnsi="Arial Narrow"/>
                <w:color w:val="333333"/>
                <w:sz w:val="18"/>
                <w:szCs w:val="18"/>
              </w:rPr>
            </w:pPr>
            <w:r w:rsidRPr="00534C5B">
              <w:rPr>
                <w:rFonts w:ascii="Arial Narrow" w:eastAsia="Calibri" w:hAnsi="Arial Narrow"/>
                <w:b/>
                <w:sz w:val="18"/>
                <w:szCs w:val="18"/>
              </w:rPr>
              <w:t xml:space="preserve">Prescriber type: </w:t>
            </w:r>
            <w:r w:rsidRPr="00534C5B">
              <w:rPr>
                <w:rFonts w:ascii="Arial Narrow" w:eastAsia="Calibri" w:hAnsi="Arial Narrow"/>
                <w:sz w:val="18"/>
                <w:szCs w:val="18"/>
              </w:rPr>
              <w:fldChar w:fldCharType="begin">
                <w:ffData>
                  <w:name w:val="Check1"/>
                  <w:enabled/>
                  <w:calcOnExit w:val="0"/>
                  <w:checkBox>
                    <w:sizeAuto/>
                    <w:default w:val="0"/>
                  </w:checkBox>
                </w:ffData>
              </w:fldChar>
            </w:r>
            <w:r w:rsidRPr="00534C5B">
              <w:rPr>
                <w:rFonts w:ascii="Arial Narrow" w:eastAsia="Calibri" w:hAnsi="Arial Narrow"/>
                <w:sz w:val="18"/>
                <w:szCs w:val="18"/>
              </w:rPr>
              <w:instrText xml:space="preserve"> FORMCHECKBOX </w:instrText>
            </w:r>
            <w:r w:rsidR="00653477">
              <w:rPr>
                <w:rFonts w:ascii="Arial Narrow" w:eastAsia="Calibri" w:hAnsi="Arial Narrow"/>
                <w:sz w:val="18"/>
                <w:szCs w:val="18"/>
              </w:rPr>
            </w:r>
            <w:r w:rsidR="00653477">
              <w:rPr>
                <w:rFonts w:ascii="Arial Narrow" w:eastAsia="Calibri" w:hAnsi="Arial Narrow"/>
                <w:sz w:val="18"/>
                <w:szCs w:val="18"/>
              </w:rPr>
              <w:fldChar w:fldCharType="separate"/>
            </w:r>
            <w:r w:rsidRPr="00534C5B">
              <w:rPr>
                <w:rFonts w:ascii="Arial Narrow" w:eastAsia="Calibri" w:hAnsi="Arial Narrow"/>
                <w:sz w:val="18"/>
                <w:szCs w:val="18"/>
              </w:rPr>
              <w:fldChar w:fldCharType="end"/>
            </w:r>
            <w:r w:rsidRPr="00534C5B">
              <w:rPr>
                <w:rFonts w:ascii="Arial Narrow" w:eastAsia="Calibri" w:hAnsi="Arial Narrow"/>
                <w:sz w:val="18"/>
                <w:szCs w:val="18"/>
              </w:rPr>
              <w:t xml:space="preserve">Dental </w:t>
            </w:r>
            <w:r w:rsidRPr="00534C5B">
              <w:rPr>
                <w:rFonts w:ascii="Arial Narrow" w:eastAsia="Calibri" w:hAnsi="Arial Narrow"/>
                <w:sz w:val="18"/>
                <w:szCs w:val="18"/>
              </w:rPr>
              <w:fldChar w:fldCharType="begin">
                <w:ffData>
                  <w:name w:val=""/>
                  <w:enabled/>
                  <w:calcOnExit w:val="0"/>
                  <w:checkBox>
                    <w:sizeAuto/>
                    <w:default w:val="1"/>
                  </w:checkBox>
                </w:ffData>
              </w:fldChar>
            </w:r>
            <w:r w:rsidRPr="00534C5B">
              <w:rPr>
                <w:rFonts w:ascii="Arial Narrow" w:eastAsia="Calibri" w:hAnsi="Arial Narrow"/>
                <w:sz w:val="18"/>
                <w:szCs w:val="18"/>
              </w:rPr>
              <w:instrText xml:space="preserve"> FORMCHECKBOX </w:instrText>
            </w:r>
            <w:r w:rsidR="00653477">
              <w:rPr>
                <w:rFonts w:ascii="Arial Narrow" w:eastAsia="Calibri" w:hAnsi="Arial Narrow"/>
                <w:sz w:val="18"/>
                <w:szCs w:val="18"/>
              </w:rPr>
            </w:r>
            <w:r w:rsidR="00653477">
              <w:rPr>
                <w:rFonts w:ascii="Arial Narrow" w:eastAsia="Calibri" w:hAnsi="Arial Narrow"/>
                <w:sz w:val="18"/>
                <w:szCs w:val="18"/>
              </w:rPr>
              <w:fldChar w:fldCharType="separate"/>
            </w:r>
            <w:r w:rsidRPr="00534C5B">
              <w:rPr>
                <w:rFonts w:ascii="Arial Narrow" w:eastAsia="Calibri" w:hAnsi="Arial Narrow"/>
                <w:sz w:val="18"/>
                <w:szCs w:val="18"/>
              </w:rPr>
              <w:fldChar w:fldCharType="end"/>
            </w:r>
            <w:r w:rsidRPr="00534C5B">
              <w:rPr>
                <w:rFonts w:ascii="Arial Narrow" w:eastAsia="Calibri" w:hAnsi="Arial Narrow"/>
                <w:sz w:val="18"/>
                <w:szCs w:val="18"/>
              </w:rPr>
              <w:t xml:space="preserve">Medical Practitioners </w:t>
            </w:r>
            <w:r w:rsidRPr="00534C5B">
              <w:rPr>
                <w:rFonts w:ascii="Arial Narrow" w:eastAsia="Calibri" w:hAnsi="Arial Narrow"/>
                <w:sz w:val="18"/>
                <w:szCs w:val="18"/>
              </w:rPr>
              <w:fldChar w:fldCharType="begin">
                <w:ffData>
                  <w:name w:val="Check3"/>
                  <w:enabled/>
                  <w:calcOnExit w:val="0"/>
                  <w:checkBox>
                    <w:sizeAuto/>
                    <w:default w:val="0"/>
                  </w:checkBox>
                </w:ffData>
              </w:fldChar>
            </w:r>
            <w:r w:rsidRPr="00534C5B">
              <w:rPr>
                <w:rFonts w:ascii="Arial Narrow" w:eastAsia="Calibri" w:hAnsi="Arial Narrow"/>
                <w:sz w:val="18"/>
                <w:szCs w:val="18"/>
              </w:rPr>
              <w:instrText xml:space="preserve"> FORMCHECKBOX </w:instrText>
            </w:r>
            <w:r w:rsidR="00653477">
              <w:rPr>
                <w:rFonts w:ascii="Arial Narrow" w:eastAsia="Calibri" w:hAnsi="Arial Narrow"/>
                <w:sz w:val="18"/>
                <w:szCs w:val="18"/>
              </w:rPr>
            </w:r>
            <w:r w:rsidR="00653477">
              <w:rPr>
                <w:rFonts w:ascii="Arial Narrow" w:eastAsia="Calibri" w:hAnsi="Arial Narrow"/>
                <w:sz w:val="18"/>
                <w:szCs w:val="18"/>
              </w:rPr>
              <w:fldChar w:fldCharType="separate"/>
            </w:r>
            <w:r w:rsidRPr="00534C5B">
              <w:rPr>
                <w:rFonts w:ascii="Arial Narrow" w:eastAsia="Calibri" w:hAnsi="Arial Narrow"/>
                <w:sz w:val="18"/>
                <w:szCs w:val="18"/>
              </w:rPr>
              <w:fldChar w:fldCharType="end"/>
            </w:r>
            <w:r w:rsidRPr="00534C5B">
              <w:rPr>
                <w:rFonts w:ascii="Arial Narrow" w:eastAsia="Calibri" w:hAnsi="Arial Narrow"/>
                <w:sz w:val="18"/>
                <w:szCs w:val="18"/>
              </w:rPr>
              <w:t>Nurse practit</w:t>
            </w:r>
            <w:r w:rsidR="00F15DAD">
              <w:rPr>
                <w:rFonts w:ascii="Arial Narrow" w:eastAsia="Calibri" w:hAnsi="Arial Narrow"/>
                <w:sz w:val="18"/>
                <w:szCs w:val="18"/>
              </w:rPr>
              <w:t>ioners</w:t>
            </w:r>
            <w:r w:rsidRPr="00534C5B">
              <w:rPr>
                <w:rFonts w:ascii="Arial Narrow" w:eastAsia="Calibri" w:hAnsi="Arial Narrow"/>
                <w:sz w:val="18"/>
                <w:szCs w:val="18"/>
              </w:rPr>
              <w:t xml:space="preserve"> </w:t>
            </w:r>
            <w:r w:rsidRPr="00534C5B">
              <w:rPr>
                <w:rFonts w:ascii="Arial Narrow" w:eastAsia="Calibri" w:hAnsi="Arial Narrow"/>
                <w:sz w:val="18"/>
                <w:szCs w:val="18"/>
              </w:rPr>
              <w:fldChar w:fldCharType="begin">
                <w:ffData>
                  <w:name w:val=""/>
                  <w:enabled/>
                  <w:calcOnExit w:val="0"/>
                  <w:checkBox>
                    <w:sizeAuto/>
                    <w:default w:val="0"/>
                  </w:checkBox>
                </w:ffData>
              </w:fldChar>
            </w:r>
            <w:r w:rsidRPr="00534C5B">
              <w:rPr>
                <w:rFonts w:ascii="Arial Narrow" w:eastAsia="Calibri" w:hAnsi="Arial Narrow"/>
                <w:sz w:val="18"/>
                <w:szCs w:val="18"/>
              </w:rPr>
              <w:instrText xml:space="preserve"> FORMCHECKBOX </w:instrText>
            </w:r>
            <w:r w:rsidR="00653477">
              <w:rPr>
                <w:rFonts w:ascii="Arial Narrow" w:eastAsia="Calibri" w:hAnsi="Arial Narrow"/>
                <w:sz w:val="18"/>
                <w:szCs w:val="18"/>
              </w:rPr>
            </w:r>
            <w:r w:rsidR="00653477">
              <w:rPr>
                <w:rFonts w:ascii="Arial Narrow" w:eastAsia="Calibri" w:hAnsi="Arial Narrow"/>
                <w:sz w:val="18"/>
                <w:szCs w:val="18"/>
              </w:rPr>
              <w:fldChar w:fldCharType="separate"/>
            </w:r>
            <w:r w:rsidRPr="00534C5B">
              <w:rPr>
                <w:rFonts w:ascii="Arial Narrow" w:eastAsia="Calibri" w:hAnsi="Arial Narrow"/>
                <w:sz w:val="18"/>
                <w:szCs w:val="18"/>
              </w:rPr>
              <w:fldChar w:fldCharType="end"/>
            </w:r>
            <w:r w:rsidRPr="00534C5B">
              <w:rPr>
                <w:rFonts w:ascii="Arial Narrow" w:eastAsia="Calibri" w:hAnsi="Arial Narrow"/>
                <w:sz w:val="18"/>
                <w:szCs w:val="18"/>
              </w:rPr>
              <w:t xml:space="preserve">Optometrists </w:t>
            </w:r>
            <w:r w:rsidRPr="00534C5B">
              <w:rPr>
                <w:rFonts w:ascii="Arial Narrow" w:eastAsia="Calibri" w:hAnsi="Arial Narrow"/>
                <w:sz w:val="18"/>
                <w:szCs w:val="18"/>
              </w:rPr>
              <w:fldChar w:fldCharType="begin">
                <w:ffData>
                  <w:name w:val="Check5"/>
                  <w:enabled/>
                  <w:calcOnExit w:val="0"/>
                  <w:checkBox>
                    <w:sizeAuto/>
                    <w:default w:val="0"/>
                  </w:checkBox>
                </w:ffData>
              </w:fldChar>
            </w:r>
            <w:r w:rsidRPr="00534C5B">
              <w:rPr>
                <w:rFonts w:ascii="Arial Narrow" w:eastAsia="Calibri" w:hAnsi="Arial Narrow"/>
                <w:sz w:val="18"/>
                <w:szCs w:val="18"/>
              </w:rPr>
              <w:instrText xml:space="preserve"> FORMCHECKBOX </w:instrText>
            </w:r>
            <w:r w:rsidR="00653477">
              <w:rPr>
                <w:rFonts w:ascii="Arial Narrow" w:eastAsia="Calibri" w:hAnsi="Arial Narrow"/>
                <w:sz w:val="18"/>
                <w:szCs w:val="18"/>
              </w:rPr>
            </w:r>
            <w:r w:rsidR="00653477">
              <w:rPr>
                <w:rFonts w:ascii="Arial Narrow" w:eastAsia="Calibri" w:hAnsi="Arial Narrow"/>
                <w:sz w:val="18"/>
                <w:szCs w:val="18"/>
              </w:rPr>
              <w:fldChar w:fldCharType="separate"/>
            </w:r>
            <w:r w:rsidRPr="00534C5B">
              <w:rPr>
                <w:rFonts w:ascii="Arial Narrow" w:eastAsia="Calibri" w:hAnsi="Arial Narrow"/>
                <w:sz w:val="18"/>
                <w:szCs w:val="18"/>
              </w:rPr>
              <w:fldChar w:fldCharType="end"/>
            </w:r>
            <w:r w:rsidRPr="00534C5B">
              <w:rPr>
                <w:rFonts w:ascii="Arial Narrow" w:eastAsia="Calibri" w:hAnsi="Arial Narrow"/>
                <w:sz w:val="18"/>
                <w:szCs w:val="18"/>
              </w:rPr>
              <w:t>Midwives</w:t>
            </w:r>
          </w:p>
        </w:tc>
      </w:tr>
      <w:tr w:rsidR="00AD567A" w:rsidRPr="00534C5B" w:rsidTr="00AD567A">
        <w:tc>
          <w:tcPr>
            <w:tcW w:w="467" w:type="pct"/>
            <w:tcBorders>
              <w:top w:val="single" w:sz="4" w:space="0" w:color="auto"/>
              <w:left w:val="single" w:sz="4" w:space="0" w:color="auto"/>
              <w:bottom w:val="single" w:sz="4" w:space="0" w:color="auto"/>
              <w:right w:val="single" w:sz="4" w:space="0" w:color="auto"/>
            </w:tcBorders>
          </w:tcPr>
          <w:p w:rsidR="00AD567A" w:rsidRPr="00534C5B" w:rsidRDefault="00AD567A" w:rsidP="00AD567A">
            <w:pPr>
              <w:pStyle w:val="NormalWeb"/>
              <w:spacing w:before="0" w:beforeAutospacing="0" w:after="0" w:afterAutospacing="0"/>
              <w:jc w:val="center"/>
              <w:rPr>
                <w:rFonts w:ascii="Arial Narrow" w:hAnsi="Arial Narrow"/>
                <w:color w:val="333333"/>
                <w:sz w:val="18"/>
                <w:szCs w:val="18"/>
              </w:rPr>
            </w:pPr>
          </w:p>
        </w:tc>
        <w:tc>
          <w:tcPr>
            <w:tcW w:w="4533" w:type="pct"/>
            <w:tcBorders>
              <w:top w:val="single" w:sz="4" w:space="0" w:color="auto"/>
              <w:left w:val="single" w:sz="4" w:space="0" w:color="auto"/>
              <w:bottom w:val="single" w:sz="4" w:space="0" w:color="auto"/>
              <w:right w:val="single" w:sz="4" w:space="0" w:color="auto"/>
            </w:tcBorders>
          </w:tcPr>
          <w:p w:rsidR="00AD567A" w:rsidRPr="00534C5B" w:rsidRDefault="00AD567A" w:rsidP="00F15DAD">
            <w:pPr>
              <w:pStyle w:val="NormalWeb"/>
              <w:spacing w:before="0" w:beforeAutospacing="0" w:after="0" w:afterAutospacing="0"/>
              <w:rPr>
                <w:rStyle w:val="Strong"/>
                <w:rFonts w:ascii="Arial Narrow" w:eastAsia="Calibri" w:hAnsi="Arial Narrow"/>
                <w:bCs w:val="0"/>
                <w:sz w:val="18"/>
                <w:szCs w:val="18"/>
              </w:rPr>
            </w:pPr>
            <w:r w:rsidRPr="00534C5B">
              <w:rPr>
                <w:rFonts w:ascii="Arial Narrow" w:eastAsia="Calibri" w:hAnsi="Arial Narrow"/>
                <w:b/>
                <w:sz w:val="18"/>
                <w:szCs w:val="18"/>
              </w:rPr>
              <w:t xml:space="preserve">Restriction level:  </w:t>
            </w:r>
            <w:r w:rsidRPr="00534C5B">
              <w:rPr>
                <w:rFonts w:ascii="Arial Narrow" w:hAnsi="Arial Narrow"/>
                <w:sz w:val="18"/>
                <w:szCs w:val="18"/>
              </w:rPr>
              <w:fldChar w:fldCharType="begin">
                <w:ffData>
                  <w:name w:val="Check5"/>
                  <w:enabled/>
                  <w:calcOnExit w:val="0"/>
                  <w:checkBox>
                    <w:sizeAuto/>
                    <w:default w:val="1"/>
                  </w:checkBox>
                </w:ffData>
              </w:fldChar>
            </w:r>
            <w:r w:rsidRPr="00534C5B">
              <w:rPr>
                <w:rFonts w:ascii="Arial Narrow" w:hAnsi="Arial Narrow"/>
                <w:sz w:val="18"/>
                <w:szCs w:val="18"/>
              </w:rPr>
              <w:instrText xml:space="preserve"> FORMCHECKBOX </w:instrText>
            </w:r>
            <w:r w:rsidR="00653477">
              <w:rPr>
                <w:rFonts w:ascii="Arial Narrow" w:hAnsi="Arial Narrow"/>
                <w:sz w:val="18"/>
                <w:szCs w:val="18"/>
              </w:rPr>
            </w:r>
            <w:r w:rsidR="00653477">
              <w:rPr>
                <w:rFonts w:ascii="Arial Narrow" w:hAnsi="Arial Narrow"/>
                <w:sz w:val="18"/>
                <w:szCs w:val="18"/>
              </w:rPr>
              <w:fldChar w:fldCharType="separate"/>
            </w:r>
            <w:r w:rsidRPr="00534C5B">
              <w:rPr>
                <w:rFonts w:ascii="Arial Narrow" w:hAnsi="Arial Narrow"/>
                <w:sz w:val="18"/>
                <w:szCs w:val="18"/>
              </w:rPr>
              <w:fldChar w:fldCharType="end"/>
            </w:r>
            <w:r w:rsidRPr="00534C5B">
              <w:rPr>
                <w:rFonts w:ascii="Arial Narrow" w:hAnsi="Arial Narrow"/>
                <w:sz w:val="18"/>
                <w:szCs w:val="18"/>
              </w:rPr>
              <w:t xml:space="preserve"> Authority Required (Telephone/Emergency/Electronic)</w:t>
            </w:r>
          </w:p>
        </w:tc>
      </w:tr>
      <w:tr w:rsidR="00AD567A" w:rsidRPr="00534C5B" w:rsidTr="00AD567A">
        <w:tc>
          <w:tcPr>
            <w:tcW w:w="467" w:type="pct"/>
            <w:vAlign w:val="center"/>
            <w:hideMark/>
          </w:tcPr>
          <w:p w:rsidR="00AD567A" w:rsidRPr="00534C5B" w:rsidRDefault="00AD567A" w:rsidP="00AD567A">
            <w:pPr>
              <w:pStyle w:val="NormalWeb"/>
              <w:spacing w:before="0" w:beforeAutospacing="0" w:after="0" w:afterAutospacing="0"/>
              <w:jc w:val="center"/>
              <w:rPr>
                <w:rFonts w:ascii="Arial Narrow" w:hAnsi="Arial Narrow"/>
                <w:color w:val="333333"/>
                <w:sz w:val="18"/>
                <w:szCs w:val="18"/>
              </w:rPr>
            </w:pPr>
            <w:r w:rsidRPr="00534C5B">
              <w:rPr>
                <w:rFonts w:ascii="Arial Narrow" w:hAnsi="Arial Narrow"/>
                <w:color w:val="333333"/>
                <w:sz w:val="18"/>
                <w:szCs w:val="18"/>
              </w:rPr>
              <w:t>7606</w:t>
            </w:r>
          </w:p>
        </w:tc>
        <w:tc>
          <w:tcPr>
            <w:tcW w:w="4533" w:type="pct"/>
            <w:vAlign w:val="center"/>
            <w:hideMark/>
          </w:tcPr>
          <w:p w:rsidR="00AD567A" w:rsidRPr="00534C5B" w:rsidRDefault="00AD567A" w:rsidP="00AD567A">
            <w:pPr>
              <w:pStyle w:val="NormalWeb"/>
              <w:spacing w:before="0" w:beforeAutospacing="0" w:after="0" w:afterAutospacing="0"/>
              <w:rPr>
                <w:rFonts w:ascii="Arial Narrow" w:hAnsi="Arial Narrow"/>
                <w:color w:val="333333"/>
                <w:sz w:val="18"/>
                <w:szCs w:val="18"/>
              </w:rPr>
            </w:pPr>
            <w:r w:rsidRPr="00534C5B">
              <w:rPr>
                <w:rStyle w:val="Strong"/>
                <w:rFonts w:ascii="Arial Narrow" w:hAnsi="Arial Narrow"/>
                <w:color w:val="333333"/>
                <w:sz w:val="18"/>
                <w:szCs w:val="18"/>
              </w:rPr>
              <w:t>Administrative Advice:</w:t>
            </w:r>
            <w:r w:rsidRPr="00534C5B">
              <w:rPr>
                <w:rFonts w:ascii="Arial Narrow" w:hAnsi="Arial Narrow"/>
                <w:color w:val="333333"/>
                <w:sz w:val="18"/>
                <w:szCs w:val="18"/>
              </w:rPr>
              <w:t xml:space="preserve"> No increase in the maximum quantity or number of units may be authorised.</w:t>
            </w:r>
          </w:p>
        </w:tc>
      </w:tr>
      <w:tr w:rsidR="00AD567A" w:rsidRPr="00534C5B" w:rsidTr="00AD567A">
        <w:tc>
          <w:tcPr>
            <w:tcW w:w="467" w:type="pct"/>
            <w:vAlign w:val="center"/>
            <w:hideMark/>
          </w:tcPr>
          <w:p w:rsidR="00AD567A" w:rsidRPr="00534C5B" w:rsidRDefault="00AD567A" w:rsidP="00AD567A">
            <w:pPr>
              <w:pStyle w:val="NormalWeb"/>
              <w:spacing w:before="0" w:beforeAutospacing="0" w:after="0" w:afterAutospacing="0"/>
              <w:jc w:val="center"/>
              <w:rPr>
                <w:rFonts w:ascii="Arial Narrow" w:hAnsi="Arial Narrow"/>
                <w:color w:val="333333"/>
                <w:sz w:val="18"/>
                <w:szCs w:val="18"/>
              </w:rPr>
            </w:pPr>
            <w:r w:rsidRPr="00534C5B">
              <w:rPr>
                <w:rFonts w:ascii="Arial Narrow" w:hAnsi="Arial Narrow"/>
                <w:color w:val="333333"/>
                <w:sz w:val="18"/>
                <w:szCs w:val="18"/>
              </w:rPr>
              <w:t>7607</w:t>
            </w:r>
          </w:p>
        </w:tc>
        <w:tc>
          <w:tcPr>
            <w:tcW w:w="4533" w:type="pct"/>
            <w:vAlign w:val="center"/>
            <w:hideMark/>
          </w:tcPr>
          <w:p w:rsidR="00AD567A" w:rsidRPr="00534C5B" w:rsidRDefault="00AD567A" w:rsidP="00AD567A">
            <w:pPr>
              <w:pStyle w:val="NormalWeb"/>
              <w:spacing w:before="0" w:beforeAutospacing="0" w:after="0" w:afterAutospacing="0"/>
              <w:rPr>
                <w:rFonts w:ascii="Arial Narrow" w:hAnsi="Arial Narrow"/>
                <w:color w:val="333333"/>
                <w:sz w:val="18"/>
                <w:szCs w:val="18"/>
              </w:rPr>
            </w:pPr>
            <w:r w:rsidRPr="00534C5B">
              <w:rPr>
                <w:rStyle w:val="Strong"/>
                <w:rFonts w:ascii="Arial Narrow" w:hAnsi="Arial Narrow"/>
                <w:color w:val="333333"/>
                <w:sz w:val="18"/>
                <w:szCs w:val="18"/>
              </w:rPr>
              <w:t>Administrative Advice:</w:t>
            </w:r>
            <w:r w:rsidRPr="00534C5B">
              <w:rPr>
                <w:rFonts w:ascii="Arial Narrow" w:hAnsi="Arial Narrow"/>
                <w:color w:val="333333"/>
                <w:sz w:val="18"/>
                <w:szCs w:val="18"/>
              </w:rPr>
              <w:t xml:space="preserve"> No increase in the maximum number of repeats may be authorised.</w:t>
            </w:r>
          </w:p>
        </w:tc>
      </w:tr>
      <w:tr w:rsidR="00AD567A" w:rsidRPr="00534C5B" w:rsidTr="00AD567A">
        <w:tc>
          <w:tcPr>
            <w:tcW w:w="467" w:type="pct"/>
            <w:vAlign w:val="center"/>
            <w:hideMark/>
          </w:tcPr>
          <w:p w:rsidR="00AD567A" w:rsidRPr="00534C5B" w:rsidRDefault="00AD567A" w:rsidP="00AD567A">
            <w:pPr>
              <w:pStyle w:val="NormalWeb"/>
              <w:spacing w:before="0" w:beforeAutospacing="0" w:after="0" w:afterAutospacing="0"/>
              <w:jc w:val="center"/>
              <w:rPr>
                <w:rFonts w:ascii="Arial Narrow" w:hAnsi="Arial Narrow"/>
                <w:color w:val="333333"/>
                <w:sz w:val="18"/>
                <w:szCs w:val="18"/>
              </w:rPr>
            </w:pPr>
            <w:r w:rsidRPr="00534C5B">
              <w:rPr>
                <w:rFonts w:ascii="Arial Narrow" w:hAnsi="Arial Narrow"/>
                <w:color w:val="333333"/>
                <w:sz w:val="18"/>
                <w:szCs w:val="18"/>
              </w:rPr>
              <w:t>7608</w:t>
            </w:r>
          </w:p>
        </w:tc>
        <w:tc>
          <w:tcPr>
            <w:tcW w:w="4533" w:type="pct"/>
            <w:vAlign w:val="center"/>
            <w:hideMark/>
          </w:tcPr>
          <w:p w:rsidR="00AD567A" w:rsidRPr="00534C5B" w:rsidRDefault="00AD567A" w:rsidP="00AD567A">
            <w:pPr>
              <w:pStyle w:val="NormalWeb"/>
              <w:spacing w:before="0" w:beforeAutospacing="0" w:after="0" w:afterAutospacing="0"/>
              <w:rPr>
                <w:rFonts w:ascii="Arial Narrow" w:hAnsi="Arial Narrow"/>
                <w:color w:val="333333"/>
                <w:sz w:val="18"/>
                <w:szCs w:val="18"/>
              </w:rPr>
            </w:pPr>
            <w:r w:rsidRPr="00534C5B">
              <w:rPr>
                <w:rStyle w:val="Strong"/>
                <w:rFonts w:ascii="Arial Narrow" w:hAnsi="Arial Narrow"/>
                <w:color w:val="333333"/>
                <w:sz w:val="18"/>
                <w:szCs w:val="18"/>
              </w:rPr>
              <w:t>Administrative Advice:</w:t>
            </w:r>
            <w:r w:rsidRPr="00534C5B">
              <w:rPr>
                <w:rFonts w:ascii="Arial Narrow" w:hAnsi="Arial Narrow"/>
                <w:color w:val="333333"/>
                <w:sz w:val="18"/>
                <w:szCs w:val="18"/>
              </w:rPr>
              <w:t xml:space="preserve"> Special Pricing Arrangements apply.</w:t>
            </w:r>
          </w:p>
        </w:tc>
      </w:tr>
      <w:tr w:rsidR="00AD567A" w:rsidRPr="00534C5B" w:rsidTr="00AD567A">
        <w:tc>
          <w:tcPr>
            <w:tcW w:w="467" w:type="pct"/>
            <w:vAlign w:val="center"/>
          </w:tcPr>
          <w:p w:rsidR="00AD567A" w:rsidRPr="00534C5B" w:rsidRDefault="00AD567A" w:rsidP="00AD567A">
            <w:pPr>
              <w:pStyle w:val="NormalWeb"/>
              <w:spacing w:before="0" w:beforeAutospacing="0" w:after="0" w:afterAutospacing="0"/>
              <w:jc w:val="center"/>
              <w:rPr>
                <w:rFonts w:ascii="Arial Narrow" w:hAnsi="Arial Narrow"/>
                <w:color w:val="333333"/>
                <w:sz w:val="18"/>
                <w:szCs w:val="18"/>
              </w:rPr>
            </w:pPr>
          </w:p>
        </w:tc>
        <w:tc>
          <w:tcPr>
            <w:tcW w:w="4533" w:type="pct"/>
            <w:vAlign w:val="center"/>
          </w:tcPr>
          <w:p w:rsidR="00AD567A" w:rsidRPr="00534C5B" w:rsidRDefault="00AD567A" w:rsidP="00AD567A">
            <w:pPr>
              <w:pStyle w:val="NormalWeb"/>
              <w:spacing w:before="0" w:beforeAutospacing="0" w:after="0" w:afterAutospacing="0"/>
              <w:rPr>
                <w:rStyle w:val="Strong"/>
                <w:rFonts w:ascii="Arial Narrow" w:hAnsi="Arial Narrow"/>
                <w:b w:val="0"/>
                <w:color w:val="333333"/>
                <w:sz w:val="18"/>
                <w:szCs w:val="18"/>
              </w:rPr>
            </w:pPr>
            <w:r w:rsidRPr="00534C5B">
              <w:rPr>
                <w:rStyle w:val="Strong"/>
                <w:rFonts w:ascii="Arial Narrow" w:hAnsi="Arial Narrow"/>
                <w:color w:val="333333"/>
                <w:sz w:val="18"/>
                <w:szCs w:val="18"/>
              </w:rPr>
              <w:t>Episodicity: [nil]</w:t>
            </w:r>
          </w:p>
        </w:tc>
      </w:tr>
      <w:tr w:rsidR="00AD567A" w:rsidRPr="00534C5B" w:rsidTr="00AD567A">
        <w:tc>
          <w:tcPr>
            <w:tcW w:w="467" w:type="pct"/>
            <w:tcBorders>
              <w:top w:val="single" w:sz="4" w:space="0" w:color="auto"/>
              <w:left w:val="single" w:sz="4" w:space="0" w:color="auto"/>
              <w:bottom w:val="single" w:sz="4" w:space="0" w:color="auto"/>
              <w:right w:val="single" w:sz="4" w:space="0" w:color="auto"/>
            </w:tcBorders>
          </w:tcPr>
          <w:p w:rsidR="00AD567A" w:rsidRPr="00534C5B" w:rsidRDefault="00AD567A" w:rsidP="00AD567A">
            <w:pPr>
              <w:pStyle w:val="NormalWeb"/>
              <w:spacing w:before="0" w:beforeAutospacing="0" w:after="0" w:afterAutospacing="0"/>
              <w:jc w:val="center"/>
              <w:rPr>
                <w:rFonts w:ascii="Arial Narrow" w:hAnsi="Arial Narrow"/>
                <w:color w:val="333333"/>
                <w:sz w:val="18"/>
                <w:szCs w:val="18"/>
              </w:rPr>
            </w:pPr>
          </w:p>
        </w:tc>
        <w:tc>
          <w:tcPr>
            <w:tcW w:w="4533" w:type="pct"/>
            <w:tcBorders>
              <w:top w:val="single" w:sz="4" w:space="0" w:color="auto"/>
              <w:left w:val="single" w:sz="4" w:space="0" w:color="auto"/>
              <w:bottom w:val="single" w:sz="4" w:space="0" w:color="auto"/>
              <w:right w:val="single" w:sz="4" w:space="0" w:color="auto"/>
            </w:tcBorders>
          </w:tcPr>
          <w:p w:rsidR="00AD567A" w:rsidRPr="00534C5B" w:rsidRDefault="00AD567A" w:rsidP="00AD567A">
            <w:pPr>
              <w:pStyle w:val="NormalWeb"/>
              <w:spacing w:before="0" w:beforeAutospacing="0" w:after="0" w:afterAutospacing="0"/>
              <w:rPr>
                <w:rStyle w:val="Strong"/>
                <w:rFonts w:ascii="Arial Narrow" w:hAnsi="Arial Narrow"/>
                <w:color w:val="333333"/>
                <w:sz w:val="18"/>
                <w:szCs w:val="18"/>
              </w:rPr>
            </w:pPr>
            <w:r w:rsidRPr="00534C5B">
              <w:rPr>
                <w:rFonts w:ascii="Arial Narrow" w:eastAsia="Calibri" w:hAnsi="Arial Narrow"/>
                <w:b/>
                <w:sz w:val="18"/>
                <w:szCs w:val="18"/>
              </w:rPr>
              <w:t xml:space="preserve">Severity: </w:t>
            </w:r>
            <w:r w:rsidRPr="00534C5B">
              <w:rPr>
                <w:rFonts w:ascii="Arial Narrow" w:eastAsia="Calibri" w:hAnsi="Arial Narrow"/>
                <w:sz w:val="18"/>
                <w:szCs w:val="18"/>
              </w:rPr>
              <w:t xml:space="preserve">Resected Stage IIIB, IIIC, IIID or Stage IV </w:t>
            </w:r>
          </w:p>
        </w:tc>
      </w:tr>
      <w:tr w:rsidR="00AD567A" w:rsidRPr="00534C5B" w:rsidTr="00AD567A">
        <w:tc>
          <w:tcPr>
            <w:tcW w:w="467" w:type="pct"/>
            <w:tcBorders>
              <w:top w:val="single" w:sz="4" w:space="0" w:color="auto"/>
              <w:left w:val="single" w:sz="4" w:space="0" w:color="auto"/>
              <w:bottom w:val="single" w:sz="4" w:space="0" w:color="auto"/>
              <w:right w:val="single" w:sz="4" w:space="0" w:color="auto"/>
            </w:tcBorders>
          </w:tcPr>
          <w:p w:rsidR="00AD567A" w:rsidRPr="00534C5B" w:rsidRDefault="00AD567A" w:rsidP="00AD567A">
            <w:pPr>
              <w:pStyle w:val="NormalWeb"/>
              <w:spacing w:before="0" w:beforeAutospacing="0" w:after="0" w:afterAutospacing="0"/>
              <w:jc w:val="center"/>
              <w:rPr>
                <w:rFonts w:ascii="Arial Narrow" w:hAnsi="Arial Narrow"/>
                <w:color w:val="333333"/>
                <w:sz w:val="18"/>
                <w:szCs w:val="18"/>
              </w:rPr>
            </w:pPr>
          </w:p>
        </w:tc>
        <w:tc>
          <w:tcPr>
            <w:tcW w:w="4533" w:type="pct"/>
            <w:tcBorders>
              <w:top w:val="single" w:sz="4" w:space="0" w:color="auto"/>
              <w:left w:val="single" w:sz="4" w:space="0" w:color="auto"/>
              <w:bottom w:val="single" w:sz="4" w:space="0" w:color="auto"/>
              <w:right w:val="single" w:sz="4" w:space="0" w:color="auto"/>
            </w:tcBorders>
          </w:tcPr>
          <w:p w:rsidR="00AD567A" w:rsidRPr="00534C5B" w:rsidRDefault="00AD567A" w:rsidP="00AD567A">
            <w:pPr>
              <w:pStyle w:val="NormalWeb"/>
              <w:spacing w:before="0" w:beforeAutospacing="0" w:after="0" w:afterAutospacing="0"/>
              <w:rPr>
                <w:rStyle w:val="Strong"/>
                <w:rFonts w:ascii="Arial Narrow" w:hAnsi="Arial Narrow"/>
                <w:color w:val="333333"/>
                <w:sz w:val="18"/>
                <w:szCs w:val="18"/>
              </w:rPr>
            </w:pPr>
            <w:r w:rsidRPr="00534C5B">
              <w:rPr>
                <w:rFonts w:ascii="Arial Narrow" w:eastAsia="Calibri" w:hAnsi="Arial Narrow"/>
                <w:b/>
                <w:sz w:val="18"/>
                <w:szCs w:val="18"/>
              </w:rPr>
              <w:t xml:space="preserve">Condition: </w:t>
            </w:r>
            <w:r w:rsidRPr="00534C5B">
              <w:rPr>
                <w:rFonts w:ascii="Arial Narrow" w:eastAsia="Calibri" w:hAnsi="Arial Narrow"/>
                <w:sz w:val="18"/>
                <w:szCs w:val="18"/>
              </w:rPr>
              <w:t>malignant melanoma</w:t>
            </w:r>
          </w:p>
        </w:tc>
      </w:tr>
      <w:tr w:rsidR="00AD567A" w:rsidRPr="00534C5B" w:rsidTr="00AD567A">
        <w:tc>
          <w:tcPr>
            <w:tcW w:w="467" w:type="pct"/>
            <w:vAlign w:val="center"/>
            <w:hideMark/>
          </w:tcPr>
          <w:p w:rsidR="00AD567A" w:rsidRPr="00534C5B" w:rsidRDefault="00AD567A" w:rsidP="00AD567A">
            <w:pPr>
              <w:pStyle w:val="NormalWeb"/>
              <w:spacing w:before="0" w:beforeAutospacing="0" w:after="0" w:afterAutospacing="0"/>
              <w:jc w:val="center"/>
              <w:rPr>
                <w:rFonts w:ascii="Arial Narrow" w:hAnsi="Arial Narrow"/>
                <w:color w:val="333333"/>
                <w:sz w:val="18"/>
                <w:szCs w:val="18"/>
              </w:rPr>
            </w:pPr>
            <w:r w:rsidRPr="00534C5B">
              <w:rPr>
                <w:rFonts w:ascii="Arial Narrow" w:hAnsi="Arial Narrow"/>
                <w:color w:val="333333"/>
                <w:sz w:val="18"/>
                <w:szCs w:val="18"/>
              </w:rPr>
              <w:t>new</w:t>
            </w:r>
          </w:p>
        </w:tc>
        <w:tc>
          <w:tcPr>
            <w:tcW w:w="4533" w:type="pct"/>
            <w:vAlign w:val="center"/>
            <w:hideMark/>
          </w:tcPr>
          <w:p w:rsidR="00AD567A" w:rsidRPr="00534C5B" w:rsidRDefault="00AD567A" w:rsidP="00AD567A">
            <w:pPr>
              <w:pStyle w:val="NormalWeb"/>
              <w:spacing w:before="0" w:beforeAutospacing="0" w:after="0" w:afterAutospacing="0"/>
              <w:rPr>
                <w:rFonts w:ascii="Arial Narrow" w:hAnsi="Arial Narrow"/>
                <w:color w:val="333333"/>
                <w:sz w:val="18"/>
                <w:szCs w:val="18"/>
              </w:rPr>
            </w:pPr>
            <w:r w:rsidRPr="00534C5B">
              <w:rPr>
                <w:rStyle w:val="Strong"/>
                <w:rFonts w:ascii="Arial Narrow" w:hAnsi="Arial Narrow"/>
                <w:color w:val="333333"/>
                <w:sz w:val="18"/>
                <w:szCs w:val="18"/>
              </w:rPr>
              <w:t>Indication:</w:t>
            </w:r>
            <w:r w:rsidRPr="00534C5B">
              <w:rPr>
                <w:rFonts w:ascii="Arial Narrow" w:hAnsi="Arial Narrow"/>
                <w:color w:val="333333"/>
                <w:sz w:val="18"/>
                <w:szCs w:val="18"/>
              </w:rPr>
              <w:t xml:space="preserve"> Resected Stage IIIB, IIIC, IIID or Stage IV malignant melanoma</w:t>
            </w:r>
          </w:p>
        </w:tc>
      </w:tr>
      <w:tr w:rsidR="00AD567A" w:rsidRPr="00534C5B" w:rsidTr="00AD567A">
        <w:tc>
          <w:tcPr>
            <w:tcW w:w="467" w:type="pct"/>
            <w:vAlign w:val="center"/>
            <w:hideMark/>
          </w:tcPr>
          <w:p w:rsidR="00AD567A" w:rsidRPr="00534C5B" w:rsidRDefault="00AD567A" w:rsidP="00AD567A">
            <w:pPr>
              <w:jc w:val="center"/>
              <w:rPr>
                <w:rFonts w:ascii="Arial Narrow" w:hAnsi="Arial Narrow"/>
                <w:color w:val="333333"/>
                <w:sz w:val="18"/>
                <w:szCs w:val="18"/>
              </w:rPr>
            </w:pPr>
          </w:p>
        </w:tc>
        <w:tc>
          <w:tcPr>
            <w:tcW w:w="4533" w:type="pct"/>
            <w:vAlign w:val="center"/>
            <w:hideMark/>
          </w:tcPr>
          <w:p w:rsidR="00AD567A" w:rsidRPr="00534C5B" w:rsidRDefault="00AD567A" w:rsidP="00AD567A">
            <w:pPr>
              <w:pStyle w:val="NormalWeb"/>
              <w:spacing w:before="0" w:beforeAutospacing="0" w:after="0" w:afterAutospacing="0"/>
              <w:rPr>
                <w:rFonts w:ascii="Arial Narrow" w:hAnsi="Arial Narrow"/>
                <w:color w:val="333333"/>
                <w:sz w:val="18"/>
                <w:szCs w:val="18"/>
              </w:rPr>
            </w:pPr>
            <w:r w:rsidRPr="00534C5B">
              <w:rPr>
                <w:rStyle w:val="Strong"/>
                <w:rFonts w:ascii="Arial Narrow" w:hAnsi="Arial Narrow"/>
                <w:color w:val="333333"/>
                <w:sz w:val="18"/>
                <w:szCs w:val="18"/>
              </w:rPr>
              <w:t xml:space="preserve">Treatment Phase: </w:t>
            </w:r>
            <w:r w:rsidRPr="00534C5B">
              <w:rPr>
                <w:rFonts w:ascii="Arial Narrow" w:hAnsi="Arial Narrow"/>
                <w:color w:val="333333"/>
                <w:sz w:val="18"/>
                <w:szCs w:val="18"/>
              </w:rPr>
              <w:t>Initial treatment</w:t>
            </w:r>
          </w:p>
        </w:tc>
      </w:tr>
      <w:tr w:rsidR="00AD567A" w:rsidRPr="00534C5B" w:rsidTr="00AD567A">
        <w:tc>
          <w:tcPr>
            <w:tcW w:w="467" w:type="pct"/>
            <w:vAlign w:val="center"/>
            <w:hideMark/>
          </w:tcPr>
          <w:p w:rsidR="00AD567A" w:rsidRPr="00534C5B" w:rsidRDefault="00AD567A" w:rsidP="00AD567A">
            <w:pPr>
              <w:pStyle w:val="NormalWeb"/>
              <w:spacing w:before="0" w:beforeAutospacing="0" w:after="0" w:afterAutospacing="0"/>
              <w:jc w:val="center"/>
              <w:rPr>
                <w:rFonts w:ascii="Arial Narrow" w:hAnsi="Arial Narrow"/>
                <w:color w:val="333333"/>
                <w:sz w:val="18"/>
                <w:szCs w:val="18"/>
              </w:rPr>
            </w:pPr>
            <w:r w:rsidRPr="00534C5B">
              <w:rPr>
                <w:rFonts w:ascii="Arial Narrow" w:hAnsi="Arial Narrow"/>
                <w:color w:val="333333"/>
                <w:sz w:val="18"/>
                <w:szCs w:val="18"/>
              </w:rPr>
              <w:t>24813</w:t>
            </w:r>
          </w:p>
        </w:tc>
        <w:tc>
          <w:tcPr>
            <w:tcW w:w="4533" w:type="pct"/>
            <w:vAlign w:val="center"/>
            <w:hideMark/>
          </w:tcPr>
          <w:p w:rsidR="00AD567A" w:rsidRPr="00534C5B" w:rsidRDefault="00AD567A" w:rsidP="00AD567A">
            <w:pPr>
              <w:pStyle w:val="NormalWeb"/>
              <w:spacing w:before="0" w:beforeAutospacing="0" w:after="0" w:afterAutospacing="0"/>
              <w:rPr>
                <w:rFonts w:ascii="Arial Narrow" w:hAnsi="Arial Narrow"/>
                <w:color w:val="333333"/>
                <w:sz w:val="18"/>
                <w:szCs w:val="18"/>
              </w:rPr>
            </w:pPr>
            <w:r w:rsidRPr="00534C5B">
              <w:rPr>
                <w:rStyle w:val="Strong"/>
                <w:rFonts w:ascii="Arial Narrow" w:hAnsi="Arial Narrow"/>
                <w:color w:val="333333"/>
                <w:sz w:val="18"/>
                <w:szCs w:val="18"/>
              </w:rPr>
              <w:t>Clinical criteria:</w:t>
            </w:r>
          </w:p>
        </w:tc>
      </w:tr>
      <w:tr w:rsidR="00AD567A" w:rsidRPr="00534C5B" w:rsidTr="00AD567A">
        <w:tc>
          <w:tcPr>
            <w:tcW w:w="467" w:type="pct"/>
            <w:vAlign w:val="center"/>
            <w:hideMark/>
          </w:tcPr>
          <w:p w:rsidR="00AD567A" w:rsidRPr="00534C5B" w:rsidRDefault="00AD567A" w:rsidP="00AD567A">
            <w:pPr>
              <w:pStyle w:val="NormalWeb"/>
              <w:spacing w:before="0" w:beforeAutospacing="0" w:after="0" w:afterAutospacing="0"/>
              <w:jc w:val="center"/>
              <w:rPr>
                <w:rFonts w:ascii="Arial Narrow" w:hAnsi="Arial Narrow"/>
                <w:color w:val="333333"/>
                <w:sz w:val="18"/>
                <w:szCs w:val="18"/>
              </w:rPr>
            </w:pPr>
            <w:r w:rsidRPr="00534C5B">
              <w:rPr>
                <w:rFonts w:ascii="Arial Narrow" w:hAnsi="Arial Narrow"/>
                <w:color w:val="333333"/>
                <w:sz w:val="18"/>
                <w:szCs w:val="18"/>
              </w:rPr>
              <w:t>24812</w:t>
            </w:r>
          </w:p>
        </w:tc>
        <w:tc>
          <w:tcPr>
            <w:tcW w:w="4533" w:type="pct"/>
            <w:vAlign w:val="center"/>
            <w:hideMark/>
          </w:tcPr>
          <w:p w:rsidR="00AD567A" w:rsidRPr="00534C5B" w:rsidRDefault="00AD567A" w:rsidP="00AD567A">
            <w:pPr>
              <w:rPr>
                <w:rFonts w:ascii="Arial Narrow" w:hAnsi="Arial Narrow"/>
                <w:color w:val="333333"/>
                <w:sz w:val="18"/>
                <w:szCs w:val="18"/>
              </w:rPr>
            </w:pPr>
            <w:r w:rsidRPr="00534C5B">
              <w:rPr>
                <w:rFonts w:ascii="Arial Narrow" w:hAnsi="Arial Narrow"/>
                <w:color w:val="333333"/>
                <w:sz w:val="18"/>
                <w:szCs w:val="18"/>
              </w:rPr>
              <w:t>The treatment must be adjuvant to complete surgical resection</w:t>
            </w:r>
          </w:p>
        </w:tc>
      </w:tr>
      <w:tr w:rsidR="00AD567A" w:rsidRPr="00534C5B" w:rsidTr="00AD567A">
        <w:tc>
          <w:tcPr>
            <w:tcW w:w="467" w:type="pct"/>
            <w:vAlign w:val="center"/>
            <w:hideMark/>
          </w:tcPr>
          <w:p w:rsidR="00AD567A" w:rsidRPr="00534C5B" w:rsidRDefault="00AD567A" w:rsidP="00AD567A">
            <w:pPr>
              <w:jc w:val="center"/>
              <w:rPr>
                <w:rFonts w:ascii="Arial Narrow" w:hAnsi="Arial Narrow"/>
                <w:color w:val="333333"/>
                <w:sz w:val="18"/>
                <w:szCs w:val="18"/>
              </w:rPr>
            </w:pPr>
          </w:p>
        </w:tc>
        <w:tc>
          <w:tcPr>
            <w:tcW w:w="4533" w:type="pct"/>
            <w:vAlign w:val="center"/>
            <w:hideMark/>
          </w:tcPr>
          <w:p w:rsidR="00AD567A" w:rsidRPr="00534C5B" w:rsidRDefault="00AD567A" w:rsidP="00AD567A">
            <w:pPr>
              <w:rPr>
                <w:rFonts w:ascii="Arial Narrow" w:hAnsi="Arial Narrow"/>
                <w:color w:val="333333"/>
                <w:sz w:val="18"/>
                <w:szCs w:val="18"/>
              </w:rPr>
            </w:pPr>
            <w:r w:rsidRPr="00534C5B">
              <w:rPr>
                <w:rStyle w:val="Strong"/>
                <w:rFonts w:ascii="Arial Narrow" w:hAnsi="Arial Narrow"/>
                <w:color w:val="333333"/>
                <w:sz w:val="18"/>
                <w:szCs w:val="18"/>
              </w:rPr>
              <w:t>AND</w:t>
            </w:r>
          </w:p>
        </w:tc>
      </w:tr>
      <w:tr w:rsidR="00AD567A" w:rsidRPr="00534C5B" w:rsidTr="00AD567A">
        <w:tc>
          <w:tcPr>
            <w:tcW w:w="467" w:type="pct"/>
            <w:vAlign w:val="center"/>
            <w:hideMark/>
          </w:tcPr>
          <w:p w:rsidR="00AD567A" w:rsidRPr="00534C5B" w:rsidRDefault="00AD567A" w:rsidP="00AD567A">
            <w:pPr>
              <w:pStyle w:val="NormalWeb"/>
              <w:spacing w:before="0" w:beforeAutospacing="0" w:after="0" w:afterAutospacing="0"/>
              <w:jc w:val="center"/>
              <w:rPr>
                <w:rFonts w:ascii="Arial Narrow" w:hAnsi="Arial Narrow"/>
                <w:color w:val="333333"/>
                <w:sz w:val="18"/>
                <w:szCs w:val="18"/>
              </w:rPr>
            </w:pPr>
            <w:r w:rsidRPr="00534C5B">
              <w:rPr>
                <w:rFonts w:ascii="Arial Narrow" w:hAnsi="Arial Narrow"/>
                <w:color w:val="333333"/>
                <w:sz w:val="18"/>
                <w:szCs w:val="18"/>
              </w:rPr>
              <w:t>10299</w:t>
            </w:r>
          </w:p>
        </w:tc>
        <w:tc>
          <w:tcPr>
            <w:tcW w:w="4533" w:type="pct"/>
            <w:vAlign w:val="center"/>
            <w:hideMark/>
          </w:tcPr>
          <w:p w:rsidR="00AD567A" w:rsidRPr="00534C5B" w:rsidRDefault="00AD567A" w:rsidP="00AD567A">
            <w:pPr>
              <w:pStyle w:val="NormalWeb"/>
              <w:spacing w:before="0" w:beforeAutospacing="0" w:after="0" w:afterAutospacing="0"/>
              <w:rPr>
                <w:rFonts w:ascii="Arial Narrow" w:hAnsi="Arial Narrow"/>
                <w:color w:val="333333"/>
                <w:sz w:val="18"/>
                <w:szCs w:val="18"/>
              </w:rPr>
            </w:pPr>
            <w:r w:rsidRPr="00534C5B">
              <w:rPr>
                <w:rStyle w:val="Strong"/>
                <w:rFonts w:ascii="Arial Narrow" w:hAnsi="Arial Narrow"/>
                <w:color w:val="333333"/>
                <w:sz w:val="18"/>
                <w:szCs w:val="18"/>
              </w:rPr>
              <w:t>Clinical criteria:</w:t>
            </w:r>
          </w:p>
        </w:tc>
      </w:tr>
      <w:tr w:rsidR="00AD567A" w:rsidRPr="00534C5B" w:rsidTr="00AD567A">
        <w:tc>
          <w:tcPr>
            <w:tcW w:w="467" w:type="pct"/>
            <w:vAlign w:val="center"/>
            <w:hideMark/>
          </w:tcPr>
          <w:p w:rsidR="00AD567A" w:rsidRPr="00534C5B" w:rsidRDefault="00AD567A" w:rsidP="00AD567A">
            <w:pPr>
              <w:pStyle w:val="NormalWeb"/>
              <w:spacing w:before="0" w:beforeAutospacing="0" w:after="0" w:afterAutospacing="0"/>
              <w:jc w:val="center"/>
              <w:rPr>
                <w:rFonts w:ascii="Arial Narrow" w:hAnsi="Arial Narrow"/>
                <w:color w:val="333333"/>
                <w:sz w:val="18"/>
                <w:szCs w:val="18"/>
              </w:rPr>
            </w:pPr>
            <w:r w:rsidRPr="00534C5B">
              <w:rPr>
                <w:rFonts w:ascii="Arial Narrow" w:hAnsi="Arial Narrow"/>
                <w:color w:val="333333"/>
                <w:sz w:val="18"/>
                <w:szCs w:val="18"/>
              </w:rPr>
              <w:t>10298</w:t>
            </w:r>
          </w:p>
        </w:tc>
        <w:tc>
          <w:tcPr>
            <w:tcW w:w="4533" w:type="pct"/>
            <w:vAlign w:val="center"/>
            <w:hideMark/>
          </w:tcPr>
          <w:p w:rsidR="00AD567A" w:rsidRPr="00534C5B" w:rsidRDefault="00AD567A" w:rsidP="00AD567A">
            <w:pPr>
              <w:rPr>
                <w:rFonts w:ascii="Arial Narrow" w:hAnsi="Arial Narrow"/>
                <w:color w:val="333333"/>
                <w:sz w:val="18"/>
                <w:szCs w:val="18"/>
              </w:rPr>
            </w:pPr>
            <w:r w:rsidRPr="00534C5B">
              <w:rPr>
                <w:rFonts w:ascii="Arial Narrow" w:hAnsi="Arial Narrow"/>
                <w:color w:val="333333"/>
                <w:sz w:val="18"/>
                <w:szCs w:val="18"/>
              </w:rPr>
              <w:t>Patient must have a WHO performance status of 1 or less</w:t>
            </w:r>
          </w:p>
        </w:tc>
      </w:tr>
      <w:tr w:rsidR="00AD567A" w:rsidRPr="00534C5B" w:rsidTr="00AD567A">
        <w:tc>
          <w:tcPr>
            <w:tcW w:w="467" w:type="pct"/>
            <w:vAlign w:val="center"/>
            <w:hideMark/>
          </w:tcPr>
          <w:p w:rsidR="00AD567A" w:rsidRPr="00534C5B" w:rsidRDefault="00AD567A" w:rsidP="00AD567A">
            <w:pPr>
              <w:jc w:val="center"/>
              <w:rPr>
                <w:rFonts w:ascii="Arial Narrow" w:hAnsi="Arial Narrow"/>
                <w:color w:val="333333"/>
                <w:sz w:val="18"/>
                <w:szCs w:val="18"/>
              </w:rPr>
            </w:pPr>
          </w:p>
        </w:tc>
        <w:tc>
          <w:tcPr>
            <w:tcW w:w="4533" w:type="pct"/>
            <w:vAlign w:val="center"/>
            <w:hideMark/>
          </w:tcPr>
          <w:p w:rsidR="00AD567A" w:rsidRPr="00534C5B" w:rsidRDefault="00AD567A" w:rsidP="00AD567A">
            <w:pPr>
              <w:rPr>
                <w:rFonts w:ascii="Arial Narrow" w:hAnsi="Arial Narrow"/>
                <w:color w:val="333333"/>
                <w:sz w:val="18"/>
                <w:szCs w:val="18"/>
              </w:rPr>
            </w:pPr>
            <w:r w:rsidRPr="00534C5B">
              <w:rPr>
                <w:rStyle w:val="Strong"/>
                <w:rFonts w:ascii="Arial Narrow" w:hAnsi="Arial Narrow"/>
                <w:color w:val="333333"/>
                <w:sz w:val="18"/>
                <w:szCs w:val="18"/>
              </w:rPr>
              <w:t>AND</w:t>
            </w:r>
          </w:p>
        </w:tc>
      </w:tr>
      <w:tr w:rsidR="00AD567A" w:rsidRPr="00534C5B" w:rsidTr="00AD567A">
        <w:tc>
          <w:tcPr>
            <w:tcW w:w="467" w:type="pct"/>
            <w:vAlign w:val="center"/>
            <w:hideMark/>
          </w:tcPr>
          <w:p w:rsidR="00AD567A" w:rsidRPr="00534C5B" w:rsidRDefault="00AD567A" w:rsidP="00AD567A">
            <w:pPr>
              <w:pStyle w:val="NormalWeb"/>
              <w:spacing w:before="0" w:beforeAutospacing="0" w:after="0" w:afterAutospacing="0"/>
              <w:jc w:val="center"/>
              <w:rPr>
                <w:rFonts w:ascii="Arial Narrow" w:hAnsi="Arial Narrow"/>
                <w:color w:val="333333"/>
                <w:sz w:val="18"/>
                <w:szCs w:val="18"/>
              </w:rPr>
            </w:pPr>
            <w:r w:rsidRPr="00534C5B">
              <w:rPr>
                <w:rFonts w:ascii="Arial Narrow" w:hAnsi="Arial Narrow"/>
                <w:color w:val="333333"/>
                <w:sz w:val="18"/>
                <w:szCs w:val="18"/>
              </w:rPr>
              <w:t>7890</w:t>
            </w:r>
          </w:p>
        </w:tc>
        <w:tc>
          <w:tcPr>
            <w:tcW w:w="4533" w:type="pct"/>
            <w:vAlign w:val="center"/>
            <w:hideMark/>
          </w:tcPr>
          <w:p w:rsidR="00AD567A" w:rsidRPr="00534C5B" w:rsidRDefault="00AD567A" w:rsidP="00AD567A">
            <w:pPr>
              <w:pStyle w:val="NormalWeb"/>
              <w:spacing w:before="0" w:beforeAutospacing="0" w:after="0" w:afterAutospacing="0"/>
              <w:rPr>
                <w:rFonts w:ascii="Arial Narrow" w:hAnsi="Arial Narrow"/>
                <w:color w:val="333333"/>
                <w:sz w:val="18"/>
                <w:szCs w:val="18"/>
              </w:rPr>
            </w:pPr>
            <w:r w:rsidRPr="00534C5B">
              <w:rPr>
                <w:rStyle w:val="Strong"/>
                <w:rFonts w:ascii="Arial Narrow" w:hAnsi="Arial Narrow"/>
                <w:color w:val="333333"/>
                <w:sz w:val="18"/>
                <w:szCs w:val="18"/>
              </w:rPr>
              <w:t>Clinical criteria:</w:t>
            </w:r>
          </w:p>
        </w:tc>
      </w:tr>
      <w:tr w:rsidR="00AD567A" w:rsidRPr="00534C5B" w:rsidTr="00AD567A">
        <w:tc>
          <w:tcPr>
            <w:tcW w:w="467" w:type="pct"/>
            <w:vAlign w:val="center"/>
            <w:hideMark/>
          </w:tcPr>
          <w:p w:rsidR="00AD567A" w:rsidRPr="00534C5B" w:rsidRDefault="00AD567A" w:rsidP="00AD567A">
            <w:pPr>
              <w:pStyle w:val="NormalWeb"/>
              <w:spacing w:before="0" w:beforeAutospacing="0" w:after="0" w:afterAutospacing="0"/>
              <w:jc w:val="center"/>
              <w:rPr>
                <w:rFonts w:ascii="Arial Narrow" w:hAnsi="Arial Narrow"/>
                <w:color w:val="333333"/>
                <w:sz w:val="18"/>
                <w:szCs w:val="18"/>
              </w:rPr>
            </w:pPr>
            <w:r w:rsidRPr="00534C5B">
              <w:rPr>
                <w:rFonts w:ascii="Arial Narrow" w:hAnsi="Arial Narrow"/>
                <w:color w:val="333333"/>
                <w:sz w:val="18"/>
                <w:szCs w:val="18"/>
              </w:rPr>
              <w:t>7889</w:t>
            </w:r>
          </w:p>
        </w:tc>
        <w:tc>
          <w:tcPr>
            <w:tcW w:w="4533" w:type="pct"/>
            <w:vAlign w:val="center"/>
          </w:tcPr>
          <w:p w:rsidR="00AD567A" w:rsidRPr="00534C5B" w:rsidRDefault="00AD567A" w:rsidP="00AD567A">
            <w:pPr>
              <w:rPr>
                <w:rFonts w:ascii="Arial Narrow" w:hAnsi="Arial Narrow"/>
                <w:color w:val="333333"/>
                <w:sz w:val="18"/>
                <w:szCs w:val="18"/>
              </w:rPr>
            </w:pPr>
            <w:r w:rsidRPr="00534C5B">
              <w:rPr>
                <w:rFonts w:ascii="Arial Narrow" w:hAnsi="Arial Narrow"/>
                <w:color w:val="333333"/>
                <w:sz w:val="18"/>
                <w:szCs w:val="18"/>
              </w:rPr>
              <w:t>The treatment must be the sole PBS-subsidised therapy for this condition</w:t>
            </w:r>
          </w:p>
        </w:tc>
      </w:tr>
      <w:tr w:rsidR="00AD567A" w:rsidRPr="00534C5B" w:rsidTr="00AD567A">
        <w:tc>
          <w:tcPr>
            <w:tcW w:w="467" w:type="pct"/>
            <w:vAlign w:val="center"/>
            <w:hideMark/>
          </w:tcPr>
          <w:p w:rsidR="00AD567A" w:rsidRPr="00534C5B" w:rsidRDefault="00AD567A" w:rsidP="00AD567A">
            <w:pPr>
              <w:jc w:val="center"/>
              <w:rPr>
                <w:rFonts w:ascii="Arial Narrow" w:hAnsi="Arial Narrow"/>
                <w:color w:val="333333"/>
                <w:sz w:val="18"/>
                <w:szCs w:val="18"/>
              </w:rPr>
            </w:pPr>
          </w:p>
        </w:tc>
        <w:tc>
          <w:tcPr>
            <w:tcW w:w="4533" w:type="pct"/>
            <w:vAlign w:val="center"/>
            <w:hideMark/>
          </w:tcPr>
          <w:p w:rsidR="00AD567A" w:rsidRPr="00534C5B" w:rsidRDefault="00AD567A" w:rsidP="00AD567A">
            <w:pPr>
              <w:rPr>
                <w:rFonts w:ascii="Arial Narrow" w:hAnsi="Arial Narrow"/>
                <w:color w:val="333333"/>
                <w:sz w:val="18"/>
                <w:szCs w:val="18"/>
              </w:rPr>
            </w:pPr>
            <w:r w:rsidRPr="00534C5B">
              <w:rPr>
                <w:rStyle w:val="Strong"/>
                <w:rFonts w:ascii="Arial Narrow" w:hAnsi="Arial Narrow"/>
                <w:color w:val="333333"/>
                <w:sz w:val="18"/>
                <w:szCs w:val="18"/>
              </w:rPr>
              <w:t>AND</w:t>
            </w:r>
          </w:p>
        </w:tc>
      </w:tr>
      <w:tr w:rsidR="00AD567A" w:rsidRPr="00534C5B" w:rsidTr="00AD567A">
        <w:tc>
          <w:tcPr>
            <w:tcW w:w="467" w:type="pct"/>
            <w:vAlign w:val="center"/>
            <w:hideMark/>
          </w:tcPr>
          <w:p w:rsidR="00AD567A" w:rsidRPr="00534C5B" w:rsidRDefault="00AD567A" w:rsidP="00AD567A">
            <w:pPr>
              <w:pStyle w:val="NormalWeb"/>
              <w:spacing w:before="0" w:beforeAutospacing="0" w:after="0" w:afterAutospacing="0"/>
              <w:jc w:val="center"/>
              <w:rPr>
                <w:rFonts w:ascii="Arial Narrow" w:hAnsi="Arial Narrow"/>
                <w:color w:val="333333"/>
                <w:sz w:val="18"/>
                <w:szCs w:val="18"/>
              </w:rPr>
            </w:pPr>
            <w:r w:rsidRPr="00534C5B">
              <w:rPr>
                <w:rFonts w:ascii="Arial Narrow" w:hAnsi="Arial Narrow"/>
                <w:color w:val="333333"/>
                <w:sz w:val="18"/>
                <w:szCs w:val="18"/>
              </w:rPr>
              <w:t>24817</w:t>
            </w:r>
          </w:p>
        </w:tc>
        <w:tc>
          <w:tcPr>
            <w:tcW w:w="4533" w:type="pct"/>
            <w:vAlign w:val="center"/>
            <w:hideMark/>
          </w:tcPr>
          <w:p w:rsidR="00AD567A" w:rsidRPr="00534C5B" w:rsidRDefault="00AD567A" w:rsidP="00AD567A">
            <w:pPr>
              <w:pStyle w:val="NormalWeb"/>
              <w:spacing w:before="0" w:beforeAutospacing="0" w:after="0" w:afterAutospacing="0"/>
              <w:rPr>
                <w:rFonts w:ascii="Arial Narrow" w:hAnsi="Arial Narrow"/>
                <w:color w:val="333333"/>
                <w:sz w:val="18"/>
                <w:szCs w:val="18"/>
              </w:rPr>
            </w:pPr>
            <w:r w:rsidRPr="00534C5B">
              <w:rPr>
                <w:rStyle w:val="Strong"/>
                <w:rFonts w:ascii="Arial Narrow" w:hAnsi="Arial Narrow"/>
                <w:color w:val="333333"/>
                <w:sz w:val="18"/>
                <w:szCs w:val="18"/>
              </w:rPr>
              <w:t>Clinical criteria:</w:t>
            </w:r>
          </w:p>
        </w:tc>
      </w:tr>
      <w:tr w:rsidR="00AD567A" w:rsidRPr="00534C5B" w:rsidTr="00AD567A">
        <w:tc>
          <w:tcPr>
            <w:tcW w:w="467" w:type="pct"/>
            <w:vAlign w:val="center"/>
            <w:hideMark/>
          </w:tcPr>
          <w:p w:rsidR="00AD567A" w:rsidRPr="00534C5B" w:rsidRDefault="00AD567A" w:rsidP="00AD567A">
            <w:pPr>
              <w:pStyle w:val="NormalWeb"/>
              <w:spacing w:before="0" w:beforeAutospacing="0" w:after="0" w:afterAutospacing="0"/>
              <w:jc w:val="center"/>
              <w:rPr>
                <w:rFonts w:ascii="Arial Narrow" w:hAnsi="Arial Narrow"/>
                <w:color w:val="333333"/>
                <w:sz w:val="18"/>
                <w:szCs w:val="18"/>
              </w:rPr>
            </w:pPr>
            <w:r w:rsidRPr="00534C5B">
              <w:rPr>
                <w:rFonts w:ascii="Arial Narrow" w:hAnsi="Arial Narrow"/>
                <w:color w:val="333333"/>
                <w:sz w:val="18"/>
                <w:szCs w:val="18"/>
              </w:rPr>
              <w:t>24816</w:t>
            </w:r>
          </w:p>
        </w:tc>
        <w:tc>
          <w:tcPr>
            <w:tcW w:w="4533" w:type="pct"/>
            <w:vAlign w:val="center"/>
            <w:hideMark/>
          </w:tcPr>
          <w:p w:rsidR="00AD567A" w:rsidRPr="00534C5B" w:rsidRDefault="00AD567A" w:rsidP="00AD567A">
            <w:pPr>
              <w:rPr>
                <w:rFonts w:ascii="Arial Narrow" w:hAnsi="Arial Narrow"/>
                <w:color w:val="333333"/>
                <w:sz w:val="18"/>
                <w:szCs w:val="18"/>
              </w:rPr>
            </w:pPr>
            <w:r w:rsidRPr="00534C5B">
              <w:rPr>
                <w:rFonts w:ascii="Arial Narrow" w:hAnsi="Arial Narrow"/>
                <w:color w:val="333333"/>
                <w:sz w:val="18"/>
                <w:szCs w:val="18"/>
              </w:rPr>
              <w:t>Patient must not have received prior PBS-subsidised treatment for this condition</w:t>
            </w:r>
          </w:p>
        </w:tc>
      </w:tr>
      <w:tr w:rsidR="00AD567A" w:rsidRPr="00534C5B" w:rsidTr="00AD567A">
        <w:tc>
          <w:tcPr>
            <w:tcW w:w="467" w:type="pct"/>
            <w:vAlign w:val="center"/>
            <w:hideMark/>
          </w:tcPr>
          <w:p w:rsidR="00AD567A" w:rsidRPr="00534C5B" w:rsidRDefault="00AD567A" w:rsidP="00AD567A">
            <w:pPr>
              <w:jc w:val="center"/>
              <w:rPr>
                <w:rFonts w:ascii="Arial Narrow" w:hAnsi="Arial Narrow"/>
                <w:color w:val="333333"/>
                <w:sz w:val="18"/>
                <w:szCs w:val="18"/>
              </w:rPr>
            </w:pPr>
          </w:p>
        </w:tc>
        <w:tc>
          <w:tcPr>
            <w:tcW w:w="4533" w:type="pct"/>
            <w:vAlign w:val="center"/>
            <w:hideMark/>
          </w:tcPr>
          <w:p w:rsidR="00AD567A" w:rsidRPr="00534C5B" w:rsidRDefault="00AD567A" w:rsidP="00AD567A">
            <w:pPr>
              <w:rPr>
                <w:rFonts w:ascii="Arial Narrow" w:hAnsi="Arial Narrow"/>
                <w:color w:val="333333"/>
                <w:sz w:val="18"/>
                <w:szCs w:val="18"/>
              </w:rPr>
            </w:pPr>
            <w:r w:rsidRPr="00534C5B">
              <w:rPr>
                <w:rStyle w:val="Strong"/>
                <w:rFonts w:ascii="Arial Narrow" w:hAnsi="Arial Narrow"/>
                <w:color w:val="333333"/>
                <w:sz w:val="18"/>
                <w:szCs w:val="18"/>
              </w:rPr>
              <w:t>AND</w:t>
            </w:r>
          </w:p>
        </w:tc>
      </w:tr>
      <w:tr w:rsidR="00AD567A" w:rsidRPr="00534C5B" w:rsidTr="00AD567A">
        <w:tc>
          <w:tcPr>
            <w:tcW w:w="467" w:type="pct"/>
            <w:vAlign w:val="center"/>
            <w:hideMark/>
          </w:tcPr>
          <w:p w:rsidR="00AD567A" w:rsidRPr="00534C5B" w:rsidRDefault="00AD567A" w:rsidP="00AD567A">
            <w:pPr>
              <w:pStyle w:val="NormalWeb"/>
              <w:spacing w:before="0" w:beforeAutospacing="0" w:after="0" w:afterAutospacing="0"/>
              <w:jc w:val="center"/>
              <w:rPr>
                <w:rFonts w:ascii="Arial Narrow" w:hAnsi="Arial Narrow"/>
                <w:color w:val="333333"/>
                <w:sz w:val="18"/>
                <w:szCs w:val="18"/>
              </w:rPr>
            </w:pPr>
            <w:r w:rsidRPr="00534C5B">
              <w:rPr>
                <w:rFonts w:ascii="Arial Narrow" w:hAnsi="Arial Narrow"/>
                <w:color w:val="333333"/>
                <w:sz w:val="18"/>
                <w:szCs w:val="18"/>
              </w:rPr>
              <w:t>24819</w:t>
            </w:r>
          </w:p>
        </w:tc>
        <w:tc>
          <w:tcPr>
            <w:tcW w:w="4533" w:type="pct"/>
            <w:vAlign w:val="center"/>
            <w:hideMark/>
          </w:tcPr>
          <w:p w:rsidR="00AD567A" w:rsidRPr="00534C5B" w:rsidRDefault="00AD567A" w:rsidP="00AD567A">
            <w:pPr>
              <w:pStyle w:val="NormalWeb"/>
              <w:spacing w:before="0" w:beforeAutospacing="0" w:after="0" w:afterAutospacing="0"/>
              <w:rPr>
                <w:rFonts w:ascii="Arial Narrow" w:hAnsi="Arial Narrow"/>
                <w:color w:val="333333"/>
                <w:sz w:val="18"/>
                <w:szCs w:val="18"/>
              </w:rPr>
            </w:pPr>
            <w:r w:rsidRPr="00534C5B">
              <w:rPr>
                <w:rStyle w:val="Strong"/>
                <w:rFonts w:ascii="Arial Narrow" w:hAnsi="Arial Narrow"/>
                <w:color w:val="333333"/>
                <w:sz w:val="18"/>
                <w:szCs w:val="18"/>
              </w:rPr>
              <w:t>Clinical criteria:</w:t>
            </w:r>
          </w:p>
        </w:tc>
      </w:tr>
      <w:tr w:rsidR="00AD567A" w:rsidRPr="00534C5B" w:rsidTr="00AD567A">
        <w:tc>
          <w:tcPr>
            <w:tcW w:w="467" w:type="pct"/>
            <w:vAlign w:val="center"/>
            <w:hideMark/>
          </w:tcPr>
          <w:p w:rsidR="00AD567A" w:rsidRPr="00534C5B" w:rsidRDefault="00AD567A" w:rsidP="00AD567A">
            <w:pPr>
              <w:pStyle w:val="NormalWeb"/>
              <w:spacing w:before="0" w:beforeAutospacing="0" w:after="0" w:afterAutospacing="0"/>
              <w:jc w:val="center"/>
              <w:rPr>
                <w:rFonts w:ascii="Arial Narrow" w:hAnsi="Arial Narrow"/>
                <w:color w:val="333333"/>
                <w:sz w:val="18"/>
                <w:szCs w:val="18"/>
              </w:rPr>
            </w:pPr>
            <w:r w:rsidRPr="00534C5B">
              <w:rPr>
                <w:rFonts w:ascii="Arial Narrow" w:hAnsi="Arial Narrow"/>
                <w:color w:val="333333"/>
                <w:sz w:val="18"/>
                <w:szCs w:val="18"/>
              </w:rPr>
              <w:t>24818</w:t>
            </w:r>
          </w:p>
        </w:tc>
        <w:tc>
          <w:tcPr>
            <w:tcW w:w="4533" w:type="pct"/>
            <w:vAlign w:val="center"/>
            <w:hideMark/>
          </w:tcPr>
          <w:p w:rsidR="00AD567A" w:rsidRPr="00534C5B" w:rsidRDefault="00AD567A" w:rsidP="00DE5C74">
            <w:pPr>
              <w:rPr>
                <w:rFonts w:ascii="Arial Narrow" w:hAnsi="Arial Narrow"/>
                <w:color w:val="FF00FF"/>
                <w:sz w:val="18"/>
                <w:szCs w:val="18"/>
              </w:rPr>
            </w:pPr>
            <w:r w:rsidRPr="00534C5B">
              <w:rPr>
                <w:rFonts w:ascii="Arial Narrow" w:hAnsi="Arial Narrow"/>
                <w:color w:val="333333"/>
                <w:sz w:val="18"/>
                <w:szCs w:val="18"/>
              </w:rPr>
              <w:t>The treatment must commence within 12 weeks of complete resection</w:t>
            </w:r>
          </w:p>
        </w:tc>
      </w:tr>
      <w:tr w:rsidR="00AD567A" w:rsidRPr="00534C5B" w:rsidTr="00AD567A">
        <w:trPr>
          <w:trHeight w:val="31"/>
        </w:trPr>
        <w:tc>
          <w:tcPr>
            <w:tcW w:w="467" w:type="pct"/>
            <w:vAlign w:val="center"/>
            <w:hideMark/>
          </w:tcPr>
          <w:p w:rsidR="00AD567A" w:rsidRPr="00534C5B" w:rsidRDefault="00AD567A" w:rsidP="00AD567A">
            <w:pPr>
              <w:jc w:val="center"/>
              <w:rPr>
                <w:rFonts w:ascii="Arial Narrow" w:hAnsi="Arial Narrow"/>
                <w:color w:val="333333"/>
                <w:sz w:val="18"/>
                <w:szCs w:val="18"/>
              </w:rPr>
            </w:pPr>
          </w:p>
        </w:tc>
        <w:tc>
          <w:tcPr>
            <w:tcW w:w="4533" w:type="pct"/>
            <w:vAlign w:val="center"/>
            <w:hideMark/>
          </w:tcPr>
          <w:p w:rsidR="00AD567A" w:rsidRPr="00534C5B" w:rsidRDefault="00AD567A" w:rsidP="00AD567A">
            <w:pPr>
              <w:rPr>
                <w:rFonts w:ascii="Arial Narrow" w:hAnsi="Arial Narrow"/>
                <w:color w:val="333333"/>
                <w:sz w:val="18"/>
                <w:szCs w:val="18"/>
              </w:rPr>
            </w:pPr>
            <w:r w:rsidRPr="00534C5B">
              <w:rPr>
                <w:rStyle w:val="Strong"/>
                <w:rFonts w:ascii="Arial Narrow" w:hAnsi="Arial Narrow"/>
                <w:color w:val="333333"/>
                <w:sz w:val="18"/>
                <w:szCs w:val="18"/>
              </w:rPr>
              <w:t>AND</w:t>
            </w:r>
          </w:p>
        </w:tc>
      </w:tr>
      <w:tr w:rsidR="00AD567A" w:rsidRPr="00534C5B" w:rsidTr="00AD567A">
        <w:tc>
          <w:tcPr>
            <w:tcW w:w="467" w:type="pct"/>
            <w:vMerge w:val="restart"/>
            <w:vAlign w:val="center"/>
            <w:hideMark/>
          </w:tcPr>
          <w:p w:rsidR="00AD567A" w:rsidRPr="00534C5B" w:rsidRDefault="00AD567A" w:rsidP="00AD567A">
            <w:pPr>
              <w:pStyle w:val="NormalWeb"/>
              <w:spacing w:before="0" w:beforeAutospacing="0" w:after="0" w:afterAutospacing="0"/>
              <w:jc w:val="center"/>
              <w:rPr>
                <w:rFonts w:ascii="Arial Narrow" w:hAnsi="Arial Narrow"/>
                <w:color w:val="333333"/>
                <w:sz w:val="18"/>
                <w:szCs w:val="18"/>
              </w:rPr>
            </w:pPr>
            <w:r w:rsidRPr="00534C5B">
              <w:rPr>
                <w:rFonts w:ascii="Arial Narrow" w:hAnsi="Arial Narrow"/>
                <w:color w:val="333333"/>
                <w:sz w:val="18"/>
                <w:szCs w:val="18"/>
              </w:rPr>
              <w:t>new</w:t>
            </w:r>
          </w:p>
        </w:tc>
        <w:tc>
          <w:tcPr>
            <w:tcW w:w="4533" w:type="pct"/>
            <w:vAlign w:val="center"/>
            <w:hideMark/>
          </w:tcPr>
          <w:p w:rsidR="00AD567A" w:rsidRPr="00534C5B" w:rsidRDefault="00AD567A" w:rsidP="00AD567A">
            <w:pPr>
              <w:pStyle w:val="NormalWeb"/>
              <w:spacing w:before="0" w:beforeAutospacing="0" w:after="0" w:afterAutospacing="0"/>
              <w:rPr>
                <w:rFonts w:ascii="Arial Narrow" w:hAnsi="Arial Narrow"/>
                <w:color w:val="333333"/>
                <w:sz w:val="18"/>
                <w:szCs w:val="18"/>
              </w:rPr>
            </w:pPr>
            <w:r w:rsidRPr="00534C5B">
              <w:rPr>
                <w:rStyle w:val="Strong"/>
                <w:rFonts w:ascii="Arial Narrow" w:hAnsi="Arial Narrow"/>
                <w:color w:val="333333"/>
                <w:sz w:val="18"/>
                <w:szCs w:val="18"/>
              </w:rPr>
              <w:t>Clinical criteria:</w:t>
            </w:r>
          </w:p>
        </w:tc>
      </w:tr>
      <w:tr w:rsidR="00AD567A" w:rsidRPr="00534C5B" w:rsidTr="00AD567A">
        <w:tc>
          <w:tcPr>
            <w:tcW w:w="467" w:type="pct"/>
            <w:vMerge/>
            <w:vAlign w:val="center"/>
            <w:hideMark/>
          </w:tcPr>
          <w:p w:rsidR="00AD567A" w:rsidRPr="00534C5B" w:rsidRDefault="00AD567A" w:rsidP="00AD567A">
            <w:pPr>
              <w:pStyle w:val="NormalWeb"/>
              <w:spacing w:before="0" w:beforeAutospacing="0" w:after="0" w:afterAutospacing="0"/>
              <w:rPr>
                <w:rFonts w:ascii="Arial Narrow" w:hAnsi="Arial Narrow"/>
                <w:color w:val="333333"/>
                <w:sz w:val="18"/>
                <w:szCs w:val="18"/>
              </w:rPr>
            </w:pPr>
          </w:p>
        </w:tc>
        <w:tc>
          <w:tcPr>
            <w:tcW w:w="4533" w:type="pct"/>
            <w:vAlign w:val="center"/>
            <w:hideMark/>
          </w:tcPr>
          <w:p w:rsidR="00AD567A" w:rsidRPr="00534C5B" w:rsidRDefault="00F15FDC" w:rsidP="00AD567A">
            <w:pPr>
              <w:rPr>
                <w:rFonts w:ascii="Arial Narrow" w:hAnsi="Arial Narrow"/>
                <w:color w:val="333333"/>
                <w:sz w:val="18"/>
                <w:szCs w:val="18"/>
              </w:rPr>
            </w:pPr>
            <w:r w:rsidRPr="00534C5B">
              <w:rPr>
                <w:rFonts w:ascii="Arial Narrow" w:hAnsi="Arial Narrow"/>
                <w:color w:val="333333"/>
                <w:sz w:val="18"/>
                <w:szCs w:val="18"/>
              </w:rPr>
              <w:t>Patient must not receive more than 12 months of combined PBS-subsidised and non-PBS subsidised adjuvant therapy</w:t>
            </w:r>
          </w:p>
        </w:tc>
      </w:tr>
      <w:tr w:rsidR="00AD567A" w:rsidRPr="00534C5B" w:rsidTr="00AD567A">
        <w:tc>
          <w:tcPr>
            <w:tcW w:w="467" w:type="pct"/>
            <w:vAlign w:val="center"/>
          </w:tcPr>
          <w:p w:rsidR="00AD567A" w:rsidRPr="00534C5B" w:rsidRDefault="00AD567A" w:rsidP="00AD567A">
            <w:pPr>
              <w:pStyle w:val="NormalWeb"/>
              <w:spacing w:before="0" w:beforeAutospacing="0" w:after="0" w:afterAutospacing="0"/>
              <w:jc w:val="center"/>
              <w:rPr>
                <w:rFonts w:ascii="Arial Narrow" w:hAnsi="Arial Narrow"/>
                <w:color w:val="333333"/>
                <w:sz w:val="18"/>
                <w:szCs w:val="18"/>
              </w:rPr>
            </w:pPr>
            <w:r w:rsidRPr="00534C5B">
              <w:rPr>
                <w:rFonts w:ascii="Arial Narrow" w:hAnsi="Arial Narrow"/>
                <w:color w:val="333333"/>
                <w:sz w:val="18"/>
                <w:szCs w:val="18"/>
              </w:rPr>
              <w:t>24451</w:t>
            </w:r>
          </w:p>
        </w:tc>
        <w:tc>
          <w:tcPr>
            <w:tcW w:w="4533" w:type="pct"/>
            <w:vAlign w:val="center"/>
          </w:tcPr>
          <w:p w:rsidR="00AD567A" w:rsidRPr="00534C5B" w:rsidRDefault="00AD567A" w:rsidP="00AD567A">
            <w:pPr>
              <w:rPr>
                <w:rFonts w:ascii="Arial Narrow" w:hAnsi="Arial Narrow"/>
                <w:b/>
                <w:color w:val="333333"/>
                <w:sz w:val="18"/>
                <w:szCs w:val="18"/>
              </w:rPr>
            </w:pPr>
            <w:r w:rsidRPr="00534C5B">
              <w:rPr>
                <w:rFonts w:ascii="Arial Narrow" w:hAnsi="Arial Narrow"/>
                <w:b/>
                <w:color w:val="333333"/>
                <w:sz w:val="18"/>
                <w:szCs w:val="18"/>
              </w:rPr>
              <w:t>Prescribing instructions:</w:t>
            </w:r>
          </w:p>
          <w:p w:rsidR="00AD567A" w:rsidRPr="00534C5B" w:rsidRDefault="00AD567A" w:rsidP="00AD567A">
            <w:pPr>
              <w:rPr>
                <w:rFonts w:ascii="Arial Narrow" w:hAnsi="Arial Narrow"/>
                <w:color w:val="333333"/>
                <w:sz w:val="18"/>
                <w:szCs w:val="18"/>
              </w:rPr>
            </w:pPr>
            <w:r w:rsidRPr="00534C5B">
              <w:rPr>
                <w:rFonts w:ascii="Arial Narrow" w:hAnsi="Arial Narrow"/>
                <w:color w:val="333333"/>
                <w:sz w:val="18"/>
                <w:szCs w:val="18"/>
              </w:rPr>
              <w:t>Patients must only receive a maximum of 240 mg every two weeks or 480 mg every four weeks under a weight based or flat dosing regimen.</w:t>
            </w:r>
          </w:p>
        </w:tc>
      </w:tr>
      <w:tr w:rsidR="00AD567A" w:rsidRPr="00534C5B" w:rsidTr="00AD567A">
        <w:tc>
          <w:tcPr>
            <w:tcW w:w="467" w:type="pct"/>
            <w:vAlign w:val="center"/>
          </w:tcPr>
          <w:p w:rsidR="00AD567A" w:rsidRPr="00534C5B" w:rsidRDefault="00AD567A" w:rsidP="00AD567A">
            <w:pPr>
              <w:pStyle w:val="NormalWeb"/>
              <w:spacing w:before="0" w:beforeAutospacing="0" w:after="0" w:afterAutospacing="0"/>
              <w:jc w:val="center"/>
              <w:rPr>
                <w:rFonts w:ascii="Arial Narrow" w:hAnsi="Arial Narrow"/>
                <w:color w:val="333333"/>
                <w:sz w:val="18"/>
                <w:szCs w:val="18"/>
              </w:rPr>
            </w:pPr>
            <w:r w:rsidRPr="00534C5B">
              <w:rPr>
                <w:rFonts w:ascii="Arial Narrow" w:hAnsi="Arial Narrow"/>
                <w:color w:val="333333"/>
                <w:sz w:val="18"/>
                <w:szCs w:val="18"/>
              </w:rPr>
              <w:t>14458</w:t>
            </w:r>
          </w:p>
        </w:tc>
        <w:tc>
          <w:tcPr>
            <w:tcW w:w="4533" w:type="pct"/>
            <w:vAlign w:val="center"/>
          </w:tcPr>
          <w:p w:rsidR="00AD567A" w:rsidRPr="00534C5B" w:rsidRDefault="00DE5C74" w:rsidP="00AD567A">
            <w:pPr>
              <w:rPr>
                <w:rFonts w:ascii="Arial Narrow" w:hAnsi="Arial Narrow"/>
                <w:b/>
                <w:sz w:val="18"/>
                <w:szCs w:val="18"/>
              </w:rPr>
            </w:pPr>
            <w:r w:rsidRPr="00534C5B">
              <w:rPr>
                <w:rFonts w:ascii="Arial Narrow" w:hAnsi="Arial Narrow"/>
                <w:b/>
                <w:sz w:val="18"/>
                <w:szCs w:val="18"/>
              </w:rPr>
              <w:t>Caution</w:t>
            </w:r>
            <w:r w:rsidR="00AD567A" w:rsidRPr="00534C5B">
              <w:rPr>
                <w:rFonts w:ascii="Arial Narrow" w:hAnsi="Arial Narrow"/>
                <w:b/>
                <w:sz w:val="18"/>
                <w:szCs w:val="18"/>
              </w:rPr>
              <w:t>:</w:t>
            </w:r>
          </w:p>
          <w:p w:rsidR="00AD567A" w:rsidRPr="00534C5B" w:rsidRDefault="00AD567A" w:rsidP="00DE5C74">
            <w:pPr>
              <w:rPr>
                <w:rFonts w:ascii="Arial Narrow" w:hAnsi="Arial Narrow"/>
                <w:color w:val="FF00FF"/>
                <w:sz w:val="18"/>
                <w:szCs w:val="18"/>
              </w:rPr>
            </w:pPr>
            <w:r w:rsidRPr="00534C5B">
              <w:rPr>
                <w:rFonts w:ascii="Arial Narrow" w:hAnsi="Arial Narrow"/>
                <w:sz w:val="18"/>
                <w:szCs w:val="18"/>
              </w:rPr>
              <w:t xml:space="preserve">In the first few months after start of immunotherapy, some patients can have a transient tumour flare with subsequent disease response. When progression is suspected, this should be confirmed through a confirmatory scan, taken at least 4 weeks later. </w:t>
            </w:r>
          </w:p>
        </w:tc>
      </w:tr>
    </w:tbl>
    <w:p w:rsidR="00C966F7" w:rsidRPr="00534C5B" w:rsidRDefault="00C966F7" w:rsidP="00AD567A">
      <w:pPr>
        <w:rPr>
          <w:rFonts w:asciiTheme="minorHAnsi" w:hAnsiTheme="minorHAnsi" w:cstheme="minorHAnsi"/>
        </w:rPr>
      </w:pPr>
    </w:p>
    <w:p w:rsidR="00AD567A" w:rsidRPr="00534C5B" w:rsidRDefault="00AD567A" w:rsidP="00AD567A">
      <w:pPr>
        <w:rPr>
          <w:rFonts w:asciiTheme="minorHAnsi" w:hAnsiTheme="minorHAnsi" w:cstheme="minorHAnsi"/>
        </w:rPr>
      </w:pPr>
      <w:r w:rsidRPr="00534C5B">
        <w:rPr>
          <w:rFonts w:asciiTheme="minorHAnsi" w:hAnsiTheme="minorHAnsi" w:cstheme="minorHAnsi"/>
        </w:rPr>
        <w:lastRenderedPageBreak/>
        <w:t>Restriction Summary [new] / Treatment of concept [new]: Authority Required</w:t>
      </w:r>
      <w:r w:rsidR="008B20C6" w:rsidRPr="00534C5B">
        <w:rPr>
          <w:rFonts w:asciiTheme="minorHAnsi" w:hAnsiTheme="minorHAnsi" w:cstheme="minorHAnsi"/>
        </w:rPr>
        <w:t xml:space="preserve"> (telephone)</w:t>
      </w:r>
    </w:p>
    <w:p w:rsidR="00C966F7" w:rsidRPr="00534C5B" w:rsidRDefault="00C966F7" w:rsidP="00AD567A">
      <w:pPr>
        <w:rPr>
          <w:rFonts w:asciiTheme="minorHAnsi" w:hAnsiTheme="minorHAnsi" w:cstheme="minorHAnsi"/>
        </w:rPr>
      </w:pPr>
    </w:p>
    <w:tbl>
      <w:tblPr>
        <w:tblW w:w="50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47"/>
        <w:gridCol w:w="8219"/>
      </w:tblGrid>
      <w:tr w:rsidR="00AD567A" w:rsidRPr="00534C5B" w:rsidTr="00AD567A">
        <w:tc>
          <w:tcPr>
            <w:tcW w:w="467" w:type="pct"/>
            <w:vAlign w:val="center"/>
            <w:hideMark/>
          </w:tcPr>
          <w:p w:rsidR="00AD567A" w:rsidRPr="00534C5B" w:rsidRDefault="00AD567A" w:rsidP="00AD567A">
            <w:pPr>
              <w:pStyle w:val="NormalWeb"/>
              <w:spacing w:before="0" w:beforeAutospacing="0" w:after="0" w:afterAutospacing="0"/>
              <w:jc w:val="center"/>
              <w:rPr>
                <w:rFonts w:ascii="Arial Narrow" w:hAnsi="Arial Narrow"/>
                <w:color w:val="333333"/>
                <w:sz w:val="18"/>
                <w:szCs w:val="18"/>
              </w:rPr>
            </w:pPr>
            <w:r w:rsidRPr="00534C5B">
              <w:rPr>
                <w:rFonts w:ascii="Arial Narrow" w:hAnsi="Arial Narrow"/>
                <w:color w:val="333333"/>
                <w:sz w:val="18"/>
                <w:szCs w:val="18"/>
              </w:rPr>
              <w:t>7606</w:t>
            </w:r>
          </w:p>
        </w:tc>
        <w:tc>
          <w:tcPr>
            <w:tcW w:w="4533" w:type="pct"/>
            <w:vAlign w:val="center"/>
            <w:hideMark/>
          </w:tcPr>
          <w:p w:rsidR="00AD567A" w:rsidRPr="00534C5B" w:rsidRDefault="00AD567A" w:rsidP="00AD567A">
            <w:pPr>
              <w:pStyle w:val="NormalWeb"/>
              <w:spacing w:before="0" w:beforeAutospacing="0" w:after="0" w:afterAutospacing="0"/>
              <w:rPr>
                <w:rFonts w:ascii="Arial Narrow" w:hAnsi="Arial Narrow"/>
                <w:color w:val="333333"/>
                <w:sz w:val="18"/>
                <w:szCs w:val="18"/>
              </w:rPr>
            </w:pPr>
            <w:r w:rsidRPr="00534C5B">
              <w:rPr>
                <w:rStyle w:val="Strong"/>
                <w:rFonts w:ascii="Arial Narrow" w:hAnsi="Arial Narrow"/>
                <w:color w:val="333333"/>
                <w:sz w:val="18"/>
                <w:szCs w:val="18"/>
              </w:rPr>
              <w:t>Administrative Advice:</w:t>
            </w:r>
            <w:r w:rsidRPr="00534C5B">
              <w:rPr>
                <w:rFonts w:ascii="Arial Narrow" w:hAnsi="Arial Narrow"/>
                <w:color w:val="333333"/>
                <w:sz w:val="18"/>
                <w:szCs w:val="18"/>
              </w:rPr>
              <w:t xml:space="preserve"> No increase in the maximum quantity or number of units may be authorised.</w:t>
            </w:r>
          </w:p>
        </w:tc>
      </w:tr>
      <w:tr w:rsidR="00AD567A" w:rsidRPr="00534C5B" w:rsidTr="00AD567A">
        <w:tc>
          <w:tcPr>
            <w:tcW w:w="467" w:type="pct"/>
            <w:vAlign w:val="center"/>
            <w:hideMark/>
          </w:tcPr>
          <w:p w:rsidR="00AD567A" w:rsidRPr="00534C5B" w:rsidRDefault="00AD567A" w:rsidP="00AD567A">
            <w:pPr>
              <w:pStyle w:val="NormalWeb"/>
              <w:spacing w:before="0" w:beforeAutospacing="0" w:after="0" w:afterAutospacing="0"/>
              <w:jc w:val="center"/>
              <w:rPr>
                <w:rFonts w:ascii="Arial Narrow" w:hAnsi="Arial Narrow"/>
                <w:color w:val="333333"/>
                <w:sz w:val="18"/>
                <w:szCs w:val="18"/>
              </w:rPr>
            </w:pPr>
            <w:r w:rsidRPr="00534C5B">
              <w:rPr>
                <w:rFonts w:ascii="Arial Narrow" w:hAnsi="Arial Narrow"/>
                <w:color w:val="333333"/>
                <w:sz w:val="18"/>
                <w:szCs w:val="18"/>
              </w:rPr>
              <w:t>7607</w:t>
            </w:r>
          </w:p>
        </w:tc>
        <w:tc>
          <w:tcPr>
            <w:tcW w:w="4533" w:type="pct"/>
            <w:vAlign w:val="center"/>
            <w:hideMark/>
          </w:tcPr>
          <w:p w:rsidR="00AD567A" w:rsidRPr="00534C5B" w:rsidRDefault="00AD567A" w:rsidP="00AD567A">
            <w:pPr>
              <w:pStyle w:val="NormalWeb"/>
              <w:spacing w:before="0" w:beforeAutospacing="0" w:after="0" w:afterAutospacing="0"/>
              <w:rPr>
                <w:rFonts w:ascii="Arial Narrow" w:hAnsi="Arial Narrow"/>
                <w:color w:val="333333"/>
                <w:sz w:val="18"/>
                <w:szCs w:val="18"/>
              </w:rPr>
            </w:pPr>
            <w:r w:rsidRPr="00534C5B">
              <w:rPr>
                <w:rStyle w:val="Strong"/>
                <w:rFonts w:ascii="Arial Narrow" w:hAnsi="Arial Narrow"/>
                <w:color w:val="333333"/>
                <w:sz w:val="18"/>
                <w:szCs w:val="18"/>
              </w:rPr>
              <w:t>Administrative Advice:</w:t>
            </w:r>
            <w:r w:rsidRPr="00534C5B">
              <w:rPr>
                <w:rFonts w:ascii="Arial Narrow" w:hAnsi="Arial Narrow"/>
                <w:color w:val="333333"/>
                <w:sz w:val="18"/>
                <w:szCs w:val="18"/>
              </w:rPr>
              <w:t xml:space="preserve"> No increase in the maximum number of repeats may be authorised.</w:t>
            </w:r>
          </w:p>
        </w:tc>
      </w:tr>
      <w:tr w:rsidR="00AD567A" w:rsidRPr="00534C5B" w:rsidTr="00AD567A">
        <w:tc>
          <w:tcPr>
            <w:tcW w:w="467" w:type="pct"/>
            <w:vAlign w:val="center"/>
            <w:hideMark/>
          </w:tcPr>
          <w:p w:rsidR="00AD567A" w:rsidRPr="00534C5B" w:rsidRDefault="00AD567A" w:rsidP="00AD567A">
            <w:pPr>
              <w:pStyle w:val="NormalWeb"/>
              <w:spacing w:before="0" w:beforeAutospacing="0" w:after="0" w:afterAutospacing="0"/>
              <w:jc w:val="center"/>
              <w:rPr>
                <w:rFonts w:ascii="Arial Narrow" w:hAnsi="Arial Narrow"/>
                <w:color w:val="333333"/>
                <w:sz w:val="18"/>
                <w:szCs w:val="18"/>
              </w:rPr>
            </w:pPr>
            <w:r w:rsidRPr="00534C5B">
              <w:rPr>
                <w:rFonts w:ascii="Arial Narrow" w:hAnsi="Arial Narrow"/>
                <w:color w:val="333333"/>
                <w:sz w:val="18"/>
                <w:szCs w:val="18"/>
              </w:rPr>
              <w:t>7608</w:t>
            </w:r>
          </w:p>
        </w:tc>
        <w:tc>
          <w:tcPr>
            <w:tcW w:w="4533" w:type="pct"/>
            <w:vAlign w:val="center"/>
            <w:hideMark/>
          </w:tcPr>
          <w:p w:rsidR="00AD567A" w:rsidRPr="00534C5B" w:rsidRDefault="00AD567A" w:rsidP="00AD567A">
            <w:pPr>
              <w:pStyle w:val="NormalWeb"/>
              <w:spacing w:before="0" w:beforeAutospacing="0" w:after="0" w:afterAutospacing="0"/>
              <w:rPr>
                <w:rFonts w:ascii="Arial Narrow" w:hAnsi="Arial Narrow"/>
                <w:color w:val="333333"/>
                <w:sz w:val="18"/>
                <w:szCs w:val="18"/>
              </w:rPr>
            </w:pPr>
            <w:r w:rsidRPr="00534C5B">
              <w:rPr>
                <w:rStyle w:val="Strong"/>
                <w:rFonts w:ascii="Arial Narrow" w:hAnsi="Arial Narrow"/>
                <w:color w:val="333333"/>
                <w:sz w:val="18"/>
                <w:szCs w:val="18"/>
              </w:rPr>
              <w:t>Administrative Advice:</w:t>
            </w:r>
            <w:r w:rsidRPr="00534C5B">
              <w:rPr>
                <w:rFonts w:ascii="Arial Narrow" w:hAnsi="Arial Narrow"/>
                <w:color w:val="333333"/>
                <w:sz w:val="18"/>
                <w:szCs w:val="18"/>
              </w:rPr>
              <w:t xml:space="preserve"> Special Pricing Arrangements apply.</w:t>
            </w:r>
          </w:p>
        </w:tc>
      </w:tr>
      <w:tr w:rsidR="00AD567A" w:rsidRPr="00534C5B" w:rsidTr="00AD567A">
        <w:tc>
          <w:tcPr>
            <w:tcW w:w="467" w:type="pct"/>
            <w:vAlign w:val="center"/>
            <w:hideMark/>
          </w:tcPr>
          <w:p w:rsidR="00AD567A" w:rsidRPr="00534C5B" w:rsidRDefault="00AD567A" w:rsidP="00AD567A">
            <w:pPr>
              <w:pStyle w:val="NormalWeb"/>
              <w:jc w:val="center"/>
              <w:rPr>
                <w:rFonts w:ascii="Arial Narrow" w:hAnsi="Arial Narrow"/>
                <w:color w:val="333333"/>
                <w:sz w:val="18"/>
                <w:szCs w:val="18"/>
              </w:rPr>
            </w:pPr>
            <w:r w:rsidRPr="00534C5B">
              <w:rPr>
                <w:rFonts w:ascii="Arial Narrow" w:hAnsi="Arial Narrow"/>
                <w:color w:val="333333"/>
                <w:sz w:val="18"/>
                <w:szCs w:val="18"/>
              </w:rPr>
              <w:t>new</w:t>
            </w:r>
          </w:p>
        </w:tc>
        <w:tc>
          <w:tcPr>
            <w:tcW w:w="4533" w:type="pct"/>
            <w:vAlign w:val="center"/>
            <w:hideMark/>
          </w:tcPr>
          <w:p w:rsidR="00AD567A" w:rsidRPr="00534C5B" w:rsidRDefault="00AD567A" w:rsidP="00AD567A">
            <w:pPr>
              <w:pStyle w:val="NormalWeb"/>
              <w:rPr>
                <w:rFonts w:ascii="Arial Narrow" w:hAnsi="Arial Narrow"/>
                <w:color w:val="333333"/>
                <w:sz w:val="18"/>
                <w:szCs w:val="18"/>
              </w:rPr>
            </w:pPr>
            <w:r w:rsidRPr="00534C5B">
              <w:rPr>
                <w:rStyle w:val="Strong"/>
                <w:rFonts w:ascii="Arial Narrow" w:hAnsi="Arial Narrow"/>
                <w:color w:val="333333"/>
                <w:sz w:val="18"/>
                <w:szCs w:val="18"/>
              </w:rPr>
              <w:t>Indication:</w:t>
            </w:r>
            <w:r w:rsidRPr="00534C5B">
              <w:rPr>
                <w:rFonts w:ascii="Arial Narrow" w:hAnsi="Arial Narrow"/>
                <w:color w:val="333333"/>
                <w:sz w:val="18"/>
                <w:szCs w:val="18"/>
              </w:rPr>
              <w:t xml:space="preserve">  Resected Stage IIIB, IIIC, IIID or Stage IV malignant melanoma</w:t>
            </w:r>
          </w:p>
        </w:tc>
      </w:tr>
      <w:tr w:rsidR="00AD567A" w:rsidRPr="00534C5B" w:rsidTr="00AD567A">
        <w:tc>
          <w:tcPr>
            <w:tcW w:w="467" w:type="pct"/>
            <w:vAlign w:val="center"/>
            <w:hideMark/>
          </w:tcPr>
          <w:p w:rsidR="00AD567A" w:rsidRPr="00534C5B" w:rsidRDefault="00AD567A" w:rsidP="00AD567A">
            <w:pPr>
              <w:jc w:val="center"/>
              <w:rPr>
                <w:rFonts w:ascii="Arial Narrow" w:hAnsi="Arial Narrow"/>
                <w:color w:val="333333"/>
                <w:sz w:val="18"/>
                <w:szCs w:val="18"/>
              </w:rPr>
            </w:pPr>
          </w:p>
        </w:tc>
        <w:tc>
          <w:tcPr>
            <w:tcW w:w="4533" w:type="pct"/>
            <w:vAlign w:val="center"/>
            <w:hideMark/>
          </w:tcPr>
          <w:p w:rsidR="00AD567A" w:rsidRPr="00534C5B" w:rsidRDefault="00AD567A" w:rsidP="00AD567A">
            <w:pPr>
              <w:pStyle w:val="NormalWeb"/>
              <w:spacing w:before="0" w:beforeAutospacing="0" w:after="0" w:afterAutospacing="0"/>
              <w:rPr>
                <w:rFonts w:ascii="Arial Narrow" w:hAnsi="Arial Narrow"/>
                <w:color w:val="333333"/>
                <w:sz w:val="18"/>
                <w:szCs w:val="18"/>
              </w:rPr>
            </w:pPr>
            <w:r w:rsidRPr="00534C5B">
              <w:rPr>
                <w:rStyle w:val="Strong"/>
                <w:rFonts w:ascii="Arial Narrow" w:hAnsi="Arial Narrow"/>
                <w:color w:val="333333"/>
                <w:sz w:val="18"/>
                <w:szCs w:val="18"/>
              </w:rPr>
              <w:t xml:space="preserve">Treatment Phase: </w:t>
            </w:r>
            <w:r w:rsidRPr="00534C5B">
              <w:rPr>
                <w:rFonts w:ascii="Arial Narrow" w:hAnsi="Arial Narrow"/>
                <w:color w:val="333333"/>
                <w:sz w:val="18"/>
                <w:szCs w:val="18"/>
              </w:rPr>
              <w:t>Continuing treatment</w:t>
            </w:r>
          </w:p>
        </w:tc>
      </w:tr>
      <w:tr w:rsidR="00AD567A" w:rsidRPr="00534C5B" w:rsidTr="00AD567A">
        <w:tc>
          <w:tcPr>
            <w:tcW w:w="467" w:type="pct"/>
            <w:vMerge w:val="restart"/>
            <w:vAlign w:val="center"/>
            <w:hideMark/>
          </w:tcPr>
          <w:p w:rsidR="00AD567A" w:rsidRPr="00534C5B" w:rsidRDefault="00AD567A" w:rsidP="00AD567A">
            <w:pPr>
              <w:pStyle w:val="NormalWeb"/>
              <w:spacing w:before="0" w:after="0"/>
              <w:jc w:val="center"/>
              <w:rPr>
                <w:rFonts w:ascii="Arial Narrow" w:hAnsi="Arial Narrow"/>
                <w:color w:val="333333"/>
                <w:sz w:val="18"/>
                <w:szCs w:val="18"/>
              </w:rPr>
            </w:pPr>
            <w:r w:rsidRPr="00534C5B">
              <w:rPr>
                <w:rFonts w:ascii="Arial Narrow" w:hAnsi="Arial Narrow"/>
                <w:color w:val="333333"/>
                <w:sz w:val="18"/>
                <w:szCs w:val="18"/>
              </w:rPr>
              <w:t>new</w:t>
            </w:r>
          </w:p>
        </w:tc>
        <w:tc>
          <w:tcPr>
            <w:tcW w:w="4533" w:type="pct"/>
            <w:vAlign w:val="center"/>
            <w:hideMark/>
          </w:tcPr>
          <w:p w:rsidR="00AD567A" w:rsidRPr="00534C5B" w:rsidRDefault="00AD567A" w:rsidP="00AD567A">
            <w:pPr>
              <w:pStyle w:val="NormalWeb"/>
              <w:spacing w:before="0" w:beforeAutospacing="0" w:after="0" w:afterAutospacing="0"/>
              <w:rPr>
                <w:rFonts w:ascii="Arial Narrow" w:hAnsi="Arial Narrow"/>
                <w:color w:val="333333"/>
                <w:sz w:val="18"/>
                <w:szCs w:val="18"/>
              </w:rPr>
            </w:pPr>
            <w:r w:rsidRPr="00534C5B">
              <w:rPr>
                <w:rStyle w:val="Strong"/>
                <w:rFonts w:ascii="Arial Narrow" w:hAnsi="Arial Narrow"/>
                <w:color w:val="333333"/>
                <w:sz w:val="18"/>
                <w:szCs w:val="18"/>
              </w:rPr>
              <w:t>Clinical criteria:</w:t>
            </w:r>
          </w:p>
        </w:tc>
      </w:tr>
      <w:tr w:rsidR="00AD567A" w:rsidRPr="00534C5B" w:rsidTr="00AD567A">
        <w:tc>
          <w:tcPr>
            <w:tcW w:w="467" w:type="pct"/>
            <w:vMerge/>
            <w:vAlign w:val="center"/>
            <w:hideMark/>
          </w:tcPr>
          <w:p w:rsidR="00AD567A" w:rsidRPr="00534C5B" w:rsidRDefault="00AD567A" w:rsidP="00AD567A">
            <w:pPr>
              <w:pStyle w:val="NormalWeb"/>
              <w:spacing w:before="0" w:beforeAutospacing="0" w:after="0" w:afterAutospacing="0"/>
              <w:jc w:val="center"/>
              <w:rPr>
                <w:rFonts w:ascii="Arial Narrow" w:hAnsi="Arial Narrow"/>
                <w:color w:val="333333"/>
                <w:sz w:val="18"/>
                <w:szCs w:val="18"/>
              </w:rPr>
            </w:pPr>
          </w:p>
        </w:tc>
        <w:tc>
          <w:tcPr>
            <w:tcW w:w="4533" w:type="pct"/>
            <w:vAlign w:val="center"/>
            <w:hideMark/>
          </w:tcPr>
          <w:p w:rsidR="00AD567A" w:rsidRPr="00534C5B" w:rsidRDefault="00AD567A" w:rsidP="00AD567A">
            <w:pPr>
              <w:rPr>
                <w:rFonts w:ascii="Arial Narrow" w:hAnsi="Arial Narrow"/>
                <w:color w:val="333333"/>
                <w:sz w:val="18"/>
                <w:szCs w:val="18"/>
              </w:rPr>
            </w:pPr>
            <w:r w:rsidRPr="00534C5B">
              <w:rPr>
                <w:rFonts w:ascii="Arial Narrow" w:hAnsi="Arial Narrow"/>
                <w:color w:val="333333"/>
                <w:sz w:val="18"/>
                <w:szCs w:val="18"/>
              </w:rPr>
              <w:t>Patient must have previously been issued with an authority prescription for this drug for adjuvant treatment following complete surgical resection</w:t>
            </w:r>
          </w:p>
        </w:tc>
      </w:tr>
      <w:tr w:rsidR="00AD567A" w:rsidRPr="00534C5B" w:rsidTr="00AD567A">
        <w:tc>
          <w:tcPr>
            <w:tcW w:w="467" w:type="pct"/>
            <w:vAlign w:val="center"/>
            <w:hideMark/>
          </w:tcPr>
          <w:p w:rsidR="00AD567A" w:rsidRPr="00534C5B" w:rsidRDefault="00AD567A" w:rsidP="00AD567A">
            <w:pPr>
              <w:jc w:val="center"/>
              <w:rPr>
                <w:rFonts w:ascii="Arial Narrow" w:hAnsi="Arial Narrow"/>
                <w:color w:val="333333"/>
                <w:sz w:val="18"/>
                <w:szCs w:val="18"/>
              </w:rPr>
            </w:pPr>
          </w:p>
        </w:tc>
        <w:tc>
          <w:tcPr>
            <w:tcW w:w="4533" w:type="pct"/>
            <w:vAlign w:val="center"/>
            <w:hideMark/>
          </w:tcPr>
          <w:p w:rsidR="00AD567A" w:rsidRPr="00534C5B" w:rsidRDefault="00AD567A" w:rsidP="00AD567A">
            <w:pPr>
              <w:rPr>
                <w:rFonts w:ascii="Arial Narrow" w:hAnsi="Arial Narrow"/>
                <w:color w:val="333333"/>
                <w:sz w:val="18"/>
                <w:szCs w:val="18"/>
              </w:rPr>
            </w:pPr>
            <w:r w:rsidRPr="00534C5B">
              <w:rPr>
                <w:rStyle w:val="Strong"/>
                <w:rFonts w:ascii="Arial Narrow" w:hAnsi="Arial Narrow"/>
                <w:color w:val="333333"/>
                <w:sz w:val="18"/>
                <w:szCs w:val="18"/>
              </w:rPr>
              <w:t>AND</w:t>
            </w:r>
          </w:p>
        </w:tc>
      </w:tr>
      <w:tr w:rsidR="00AD567A" w:rsidRPr="00534C5B" w:rsidTr="00AD567A">
        <w:tc>
          <w:tcPr>
            <w:tcW w:w="467" w:type="pct"/>
            <w:vAlign w:val="center"/>
            <w:hideMark/>
          </w:tcPr>
          <w:p w:rsidR="00AD567A" w:rsidRPr="00534C5B" w:rsidRDefault="00AD567A" w:rsidP="00AD567A">
            <w:pPr>
              <w:pStyle w:val="NormalWeb"/>
              <w:spacing w:before="0" w:beforeAutospacing="0" w:after="0" w:afterAutospacing="0"/>
              <w:jc w:val="center"/>
              <w:rPr>
                <w:rFonts w:ascii="Arial Narrow" w:hAnsi="Arial Narrow"/>
                <w:color w:val="333333"/>
                <w:sz w:val="18"/>
                <w:szCs w:val="18"/>
              </w:rPr>
            </w:pPr>
            <w:r w:rsidRPr="00534C5B">
              <w:rPr>
                <w:rFonts w:ascii="Arial Narrow" w:hAnsi="Arial Narrow"/>
                <w:color w:val="333333"/>
                <w:sz w:val="18"/>
                <w:szCs w:val="18"/>
              </w:rPr>
              <w:t>24827</w:t>
            </w:r>
          </w:p>
        </w:tc>
        <w:tc>
          <w:tcPr>
            <w:tcW w:w="4533" w:type="pct"/>
            <w:vAlign w:val="center"/>
            <w:hideMark/>
          </w:tcPr>
          <w:p w:rsidR="00AD567A" w:rsidRPr="00534C5B" w:rsidRDefault="00AD567A" w:rsidP="00AD567A">
            <w:pPr>
              <w:pStyle w:val="NormalWeb"/>
              <w:spacing w:before="0" w:beforeAutospacing="0" w:after="0" w:afterAutospacing="0"/>
              <w:rPr>
                <w:rFonts w:ascii="Arial Narrow" w:hAnsi="Arial Narrow"/>
                <w:color w:val="333333"/>
                <w:sz w:val="18"/>
                <w:szCs w:val="18"/>
              </w:rPr>
            </w:pPr>
            <w:r w:rsidRPr="00534C5B">
              <w:rPr>
                <w:rStyle w:val="Strong"/>
                <w:rFonts w:ascii="Arial Narrow" w:hAnsi="Arial Narrow"/>
                <w:color w:val="333333"/>
                <w:sz w:val="18"/>
                <w:szCs w:val="18"/>
              </w:rPr>
              <w:t>Clinical criteria:</w:t>
            </w:r>
          </w:p>
        </w:tc>
      </w:tr>
      <w:tr w:rsidR="00AD567A" w:rsidRPr="00534C5B" w:rsidTr="00AD567A">
        <w:tc>
          <w:tcPr>
            <w:tcW w:w="467" w:type="pct"/>
            <w:vAlign w:val="center"/>
            <w:hideMark/>
          </w:tcPr>
          <w:p w:rsidR="00AD567A" w:rsidRPr="00534C5B" w:rsidRDefault="00AD567A" w:rsidP="00AD567A">
            <w:pPr>
              <w:pStyle w:val="NormalWeb"/>
              <w:spacing w:before="0" w:beforeAutospacing="0" w:after="0" w:afterAutospacing="0"/>
              <w:jc w:val="center"/>
              <w:rPr>
                <w:rFonts w:ascii="Arial Narrow" w:hAnsi="Arial Narrow"/>
                <w:color w:val="333333"/>
                <w:sz w:val="18"/>
                <w:szCs w:val="18"/>
              </w:rPr>
            </w:pPr>
            <w:r w:rsidRPr="00534C5B">
              <w:rPr>
                <w:rFonts w:ascii="Arial Narrow" w:hAnsi="Arial Narrow"/>
                <w:color w:val="333333"/>
                <w:sz w:val="18"/>
                <w:szCs w:val="18"/>
              </w:rPr>
              <w:t>24824</w:t>
            </w:r>
          </w:p>
        </w:tc>
        <w:tc>
          <w:tcPr>
            <w:tcW w:w="4533" w:type="pct"/>
            <w:vAlign w:val="center"/>
            <w:hideMark/>
          </w:tcPr>
          <w:p w:rsidR="00AD567A" w:rsidRPr="00534C5B" w:rsidRDefault="00AD567A" w:rsidP="00AD567A">
            <w:pPr>
              <w:rPr>
                <w:rFonts w:ascii="Arial Narrow" w:hAnsi="Arial Narrow"/>
                <w:color w:val="333333"/>
                <w:sz w:val="18"/>
                <w:szCs w:val="18"/>
              </w:rPr>
            </w:pPr>
            <w:r w:rsidRPr="00534C5B">
              <w:rPr>
                <w:rFonts w:ascii="Arial Narrow" w:hAnsi="Arial Narrow"/>
                <w:color w:val="333333"/>
                <w:sz w:val="18"/>
                <w:szCs w:val="18"/>
              </w:rPr>
              <w:t>Patient must not have experienced disease recurrence</w:t>
            </w:r>
          </w:p>
        </w:tc>
      </w:tr>
      <w:tr w:rsidR="00AD567A" w:rsidRPr="00534C5B" w:rsidTr="00AD567A">
        <w:tc>
          <w:tcPr>
            <w:tcW w:w="467" w:type="pct"/>
            <w:vAlign w:val="center"/>
            <w:hideMark/>
          </w:tcPr>
          <w:p w:rsidR="00AD567A" w:rsidRPr="00534C5B" w:rsidRDefault="00AD567A" w:rsidP="00AD567A">
            <w:pPr>
              <w:jc w:val="center"/>
              <w:rPr>
                <w:rFonts w:ascii="Arial Narrow" w:hAnsi="Arial Narrow"/>
                <w:color w:val="333333"/>
                <w:sz w:val="18"/>
                <w:szCs w:val="18"/>
              </w:rPr>
            </w:pPr>
          </w:p>
        </w:tc>
        <w:tc>
          <w:tcPr>
            <w:tcW w:w="4533" w:type="pct"/>
            <w:vAlign w:val="center"/>
            <w:hideMark/>
          </w:tcPr>
          <w:p w:rsidR="00AD567A" w:rsidRPr="00534C5B" w:rsidRDefault="00AD567A" w:rsidP="00AD567A">
            <w:pPr>
              <w:rPr>
                <w:rFonts w:ascii="Arial Narrow" w:hAnsi="Arial Narrow"/>
                <w:color w:val="333333"/>
                <w:sz w:val="18"/>
                <w:szCs w:val="18"/>
              </w:rPr>
            </w:pPr>
            <w:r w:rsidRPr="00534C5B">
              <w:rPr>
                <w:rStyle w:val="Strong"/>
                <w:rFonts w:ascii="Arial Narrow" w:hAnsi="Arial Narrow"/>
                <w:color w:val="333333"/>
                <w:sz w:val="18"/>
                <w:szCs w:val="18"/>
              </w:rPr>
              <w:t>AND</w:t>
            </w:r>
          </w:p>
        </w:tc>
      </w:tr>
      <w:tr w:rsidR="00AD567A" w:rsidRPr="00534C5B" w:rsidTr="00AD567A">
        <w:tc>
          <w:tcPr>
            <w:tcW w:w="467" w:type="pct"/>
            <w:vMerge w:val="restart"/>
            <w:vAlign w:val="center"/>
            <w:hideMark/>
          </w:tcPr>
          <w:p w:rsidR="00AD567A" w:rsidRPr="00534C5B" w:rsidRDefault="00AD567A" w:rsidP="00AD567A">
            <w:pPr>
              <w:pStyle w:val="NormalWeb"/>
              <w:spacing w:before="0" w:after="0"/>
              <w:jc w:val="center"/>
              <w:rPr>
                <w:rFonts w:ascii="Arial Narrow" w:hAnsi="Arial Narrow"/>
                <w:color w:val="333333"/>
                <w:sz w:val="18"/>
                <w:szCs w:val="18"/>
              </w:rPr>
            </w:pPr>
            <w:r w:rsidRPr="00534C5B">
              <w:rPr>
                <w:rFonts w:ascii="Arial Narrow" w:hAnsi="Arial Narrow"/>
                <w:color w:val="333333"/>
                <w:sz w:val="18"/>
                <w:szCs w:val="18"/>
              </w:rPr>
              <w:t>new</w:t>
            </w:r>
          </w:p>
        </w:tc>
        <w:tc>
          <w:tcPr>
            <w:tcW w:w="4533" w:type="pct"/>
            <w:vAlign w:val="center"/>
            <w:hideMark/>
          </w:tcPr>
          <w:p w:rsidR="00AD567A" w:rsidRPr="00534C5B" w:rsidRDefault="00AD567A" w:rsidP="00AD567A">
            <w:pPr>
              <w:pStyle w:val="NormalWeb"/>
              <w:spacing w:before="0" w:beforeAutospacing="0" w:after="0" w:afterAutospacing="0"/>
              <w:rPr>
                <w:rFonts w:ascii="Arial Narrow" w:hAnsi="Arial Narrow"/>
                <w:color w:val="333333"/>
                <w:sz w:val="18"/>
                <w:szCs w:val="18"/>
              </w:rPr>
            </w:pPr>
            <w:r w:rsidRPr="00534C5B">
              <w:rPr>
                <w:rStyle w:val="Strong"/>
                <w:rFonts w:ascii="Arial Narrow" w:hAnsi="Arial Narrow"/>
                <w:color w:val="333333"/>
                <w:sz w:val="18"/>
                <w:szCs w:val="18"/>
              </w:rPr>
              <w:t>Clinical criteria:</w:t>
            </w:r>
          </w:p>
        </w:tc>
      </w:tr>
      <w:tr w:rsidR="00F15FDC" w:rsidRPr="00534C5B" w:rsidTr="00AD567A">
        <w:tc>
          <w:tcPr>
            <w:tcW w:w="467" w:type="pct"/>
            <w:vMerge/>
            <w:vAlign w:val="center"/>
            <w:hideMark/>
          </w:tcPr>
          <w:p w:rsidR="00F15FDC" w:rsidRPr="00534C5B" w:rsidRDefault="00F15FDC" w:rsidP="00F15FDC">
            <w:pPr>
              <w:pStyle w:val="NormalWeb"/>
              <w:spacing w:before="0" w:beforeAutospacing="0" w:after="0" w:afterAutospacing="0"/>
              <w:jc w:val="center"/>
              <w:rPr>
                <w:rFonts w:ascii="Arial Narrow" w:hAnsi="Arial Narrow"/>
                <w:color w:val="333333"/>
                <w:sz w:val="18"/>
                <w:szCs w:val="18"/>
              </w:rPr>
            </w:pPr>
          </w:p>
        </w:tc>
        <w:tc>
          <w:tcPr>
            <w:tcW w:w="4533" w:type="pct"/>
            <w:vAlign w:val="center"/>
            <w:hideMark/>
          </w:tcPr>
          <w:p w:rsidR="00F15FDC" w:rsidRPr="00534C5B" w:rsidRDefault="00F15FDC" w:rsidP="00F15FDC">
            <w:pPr>
              <w:rPr>
                <w:rFonts w:ascii="Arial Narrow" w:hAnsi="Arial Narrow"/>
                <w:color w:val="333333"/>
                <w:sz w:val="18"/>
                <w:szCs w:val="18"/>
              </w:rPr>
            </w:pPr>
            <w:r w:rsidRPr="00534C5B">
              <w:rPr>
                <w:rFonts w:ascii="Arial Narrow" w:hAnsi="Arial Narrow"/>
                <w:color w:val="333333"/>
                <w:sz w:val="18"/>
                <w:szCs w:val="18"/>
              </w:rPr>
              <w:t>Patient must not receive more than 12 months of combined PBS-subsidised and non-PBS subsidised adjuvant therapy</w:t>
            </w:r>
          </w:p>
        </w:tc>
      </w:tr>
      <w:tr w:rsidR="00F15FDC" w:rsidRPr="00534C5B" w:rsidTr="00AD567A">
        <w:tc>
          <w:tcPr>
            <w:tcW w:w="467" w:type="pct"/>
            <w:vAlign w:val="center"/>
          </w:tcPr>
          <w:p w:rsidR="00F15FDC" w:rsidRPr="00534C5B" w:rsidRDefault="00F15FDC" w:rsidP="00F15FDC">
            <w:pPr>
              <w:pStyle w:val="NormalWeb"/>
              <w:spacing w:before="0" w:beforeAutospacing="0" w:after="0" w:afterAutospacing="0"/>
              <w:jc w:val="center"/>
              <w:rPr>
                <w:rFonts w:ascii="Arial Narrow" w:hAnsi="Arial Narrow"/>
                <w:color w:val="333333"/>
                <w:sz w:val="18"/>
                <w:szCs w:val="18"/>
              </w:rPr>
            </w:pPr>
            <w:r w:rsidRPr="00534C5B">
              <w:rPr>
                <w:rFonts w:ascii="Arial Narrow" w:hAnsi="Arial Narrow"/>
                <w:color w:val="333333"/>
                <w:sz w:val="18"/>
                <w:szCs w:val="18"/>
              </w:rPr>
              <w:t>24451</w:t>
            </w:r>
          </w:p>
        </w:tc>
        <w:tc>
          <w:tcPr>
            <w:tcW w:w="4533" w:type="pct"/>
            <w:vAlign w:val="center"/>
          </w:tcPr>
          <w:p w:rsidR="00F15FDC" w:rsidRPr="00534C5B" w:rsidRDefault="00F15FDC" w:rsidP="00F15FDC">
            <w:pPr>
              <w:rPr>
                <w:rFonts w:ascii="Arial Narrow" w:hAnsi="Arial Narrow"/>
                <w:b/>
                <w:color w:val="333333"/>
                <w:sz w:val="18"/>
                <w:szCs w:val="18"/>
              </w:rPr>
            </w:pPr>
            <w:r w:rsidRPr="00534C5B">
              <w:rPr>
                <w:rFonts w:ascii="Arial Narrow" w:hAnsi="Arial Narrow"/>
                <w:b/>
                <w:color w:val="333333"/>
                <w:sz w:val="18"/>
                <w:szCs w:val="18"/>
              </w:rPr>
              <w:t>Prescribing instructions:</w:t>
            </w:r>
          </w:p>
          <w:p w:rsidR="00F15FDC" w:rsidRPr="00534C5B" w:rsidRDefault="00F15FDC" w:rsidP="00F15FDC">
            <w:pPr>
              <w:rPr>
                <w:rFonts w:ascii="Arial Narrow" w:hAnsi="Arial Narrow"/>
                <w:color w:val="333333"/>
                <w:sz w:val="18"/>
                <w:szCs w:val="18"/>
              </w:rPr>
            </w:pPr>
            <w:r w:rsidRPr="00534C5B">
              <w:rPr>
                <w:rFonts w:ascii="Arial Narrow" w:hAnsi="Arial Narrow"/>
                <w:color w:val="333333"/>
                <w:sz w:val="18"/>
                <w:szCs w:val="18"/>
              </w:rPr>
              <w:t>Patients must only receive a maximum of 240 mg every two weeks or 480 mg every four weeks under a weight based or flat dosing regimen.</w:t>
            </w:r>
          </w:p>
        </w:tc>
      </w:tr>
    </w:tbl>
    <w:p w:rsidR="00C966F7" w:rsidRPr="00534C5B" w:rsidRDefault="00C966F7" w:rsidP="00AD567A">
      <w:pPr>
        <w:rPr>
          <w:rFonts w:asciiTheme="minorHAnsi" w:hAnsiTheme="minorHAnsi" w:cstheme="minorHAnsi"/>
        </w:rPr>
      </w:pPr>
    </w:p>
    <w:p w:rsidR="00AD567A" w:rsidRPr="00534C5B" w:rsidRDefault="00AD567A" w:rsidP="00AD567A">
      <w:pPr>
        <w:rPr>
          <w:rFonts w:asciiTheme="minorHAnsi" w:hAnsiTheme="minorHAnsi" w:cstheme="minorHAnsi"/>
        </w:rPr>
      </w:pPr>
      <w:r w:rsidRPr="00534C5B">
        <w:rPr>
          <w:rFonts w:asciiTheme="minorHAnsi" w:hAnsiTheme="minorHAnsi" w:cstheme="minorHAnsi"/>
        </w:rPr>
        <w:t>Restriction Summary [new] / Treatment of concept [new]: Authority Required</w:t>
      </w:r>
      <w:r w:rsidR="008B20C6" w:rsidRPr="00534C5B">
        <w:rPr>
          <w:rFonts w:asciiTheme="minorHAnsi" w:hAnsiTheme="minorHAnsi" w:cstheme="minorHAnsi"/>
        </w:rPr>
        <w:t xml:space="preserve"> (telephone)</w:t>
      </w:r>
    </w:p>
    <w:p w:rsidR="00C966F7" w:rsidRPr="00534C5B" w:rsidRDefault="00C966F7" w:rsidP="00AD567A">
      <w:pPr>
        <w:rPr>
          <w:rFonts w:asciiTheme="minorHAnsi" w:hAnsiTheme="minorHAnsi" w:cstheme="minorHAnsi"/>
        </w:rPr>
      </w:pPr>
    </w:p>
    <w:tbl>
      <w:tblPr>
        <w:tblW w:w="50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47"/>
        <w:gridCol w:w="8219"/>
      </w:tblGrid>
      <w:tr w:rsidR="00AD567A" w:rsidRPr="00534C5B" w:rsidTr="00AD567A">
        <w:tc>
          <w:tcPr>
            <w:tcW w:w="467" w:type="pct"/>
            <w:vAlign w:val="center"/>
            <w:hideMark/>
          </w:tcPr>
          <w:p w:rsidR="00AD567A" w:rsidRPr="00534C5B" w:rsidRDefault="00AD567A" w:rsidP="00AD567A">
            <w:pPr>
              <w:pStyle w:val="NormalWeb"/>
              <w:spacing w:before="0" w:beforeAutospacing="0" w:after="0" w:afterAutospacing="0"/>
              <w:jc w:val="center"/>
              <w:rPr>
                <w:rFonts w:ascii="Arial Narrow" w:hAnsi="Arial Narrow"/>
                <w:color w:val="333333"/>
                <w:sz w:val="18"/>
                <w:szCs w:val="18"/>
              </w:rPr>
            </w:pPr>
            <w:r w:rsidRPr="00534C5B">
              <w:rPr>
                <w:rFonts w:ascii="Arial Narrow" w:hAnsi="Arial Narrow"/>
                <w:color w:val="333333"/>
                <w:sz w:val="18"/>
                <w:szCs w:val="18"/>
              </w:rPr>
              <w:t>7606</w:t>
            </w:r>
          </w:p>
        </w:tc>
        <w:tc>
          <w:tcPr>
            <w:tcW w:w="4533" w:type="pct"/>
            <w:vAlign w:val="center"/>
            <w:hideMark/>
          </w:tcPr>
          <w:p w:rsidR="00AD567A" w:rsidRPr="00534C5B" w:rsidRDefault="00AD567A" w:rsidP="00AD567A">
            <w:pPr>
              <w:pStyle w:val="NormalWeb"/>
              <w:spacing w:before="0" w:beforeAutospacing="0" w:after="0" w:afterAutospacing="0"/>
              <w:rPr>
                <w:rFonts w:ascii="Arial Narrow" w:hAnsi="Arial Narrow"/>
                <w:color w:val="333333"/>
                <w:sz w:val="18"/>
                <w:szCs w:val="18"/>
              </w:rPr>
            </w:pPr>
            <w:r w:rsidRPr="00534C5B">
              <w:rPr>
                <w:rStyle w:val="Strong"/>
                <w:rFonts w:ascii="Arial Narrow" w:hAnsi="Arial Narrow"/>
                <w:color w:val="333333"/>
                <w:sz w:val="18"/>
                <w:szCs w:val="18"/>
              </w:rPr>
              <w:t>Administrative Advice:</w:t>
            </w:r>
            <w:r w:rsidRPr="00534C5B">
              <w:rPr>
                <w:rFonts w:ascii="Arial Narrow" w:hAnsi="Arial Narrow"/>
                <w:color w:val="333333"/>
                <w:sz w:val="18"/>
                <w:szCs w:val="18"/>
              </w:rPr>
              <w:t xml:space="preserve"> No increase in the maximum quantity or number of units may be authorised</w:t>
            </w:r>
          </w:p>
        </w:tc>
      </w:tr>
      <w:tr w:rsidR="00AD567A" w:rsidRPr="00534C5B" w:rsidTr="00AD567A">
        <w:tc>
          <w:tcPr>
            <w:tcW w:w="467" w:type="pct"/>
            <w:vAlign w:val="center"/>
            <w:hideMark/>
          </w:tcPr>
          <w:p w:rsidR="00AD567A" w:rsidRPr="00534C5B" w:rsidRDefault="00AD567A" w:rsidP="00AD567A">
            <w:pPr>
              <w:pStyle w:val="NormalWeb"/>
              <w:spacing w:before="0" w:beforeAutospacing="0" w:after="0" w:afterAutospacing="0"/>
              <w:jc w:val="center"/>
              <w:rPr>
                <w:rFonts w:ascii="Arial Narrow" w:hAnsi="Arial Narrow"/>
                <w:color w:val="333333"/>
                <w:sz w:val="18"/>
                <w:szCs w:val="18"/>
              </w:rPr>
            </w:pPr>
            <w:r w:rsidRPr="00534C5B">
              <w:rPr>
                <w:rFonts w:ascii="Arial Narrow" w:hAnsi="Arial Narrow"/>
                <w:color w:val="333333"/>
                <w:sz w:val="18"/>
                <w:szCs w:val="18"/>
              </w:rPr>
              <w:t>7607</w:t>
            </w:r>
          </w:p>
        </w:tc>
        <w:tc>
          <w:tcPr>
            <w:tcW w:w="4533" w:type="pct"/>
            <w:vAlign w:val="center"/>
            <w:hideMark/>
          </w:tcPr>
          <w:p w:rsidR="00AD567A" w:rsidRPr="00534C5B" w:rsidRDefault="00AD567A" w:rsidP="00AD567A">
            <w:pPr>
              <w:pStyle w:val="NormalWeb"/>
              <w:spacing w:before="0" w:beforeAutospacing="0" w:after="0" w:afterAutospacing="0"/>
              <w:rPr>
                <w:rFonts w:ascii="Arial Narrow" w:hAnsi="Arial Narrow"/>
                <w:color w:val="333333"/>
                <w:sz w:val="18"/>
                <w:szCs w:val="18"/>
              </w:rPr>
            </w:pPr>
            <w:r w:rsidRPr="00534C5B">
              <w:rPr>
                <w:rStyle w:val="Strong"/>
                <w:rFonts w:ascii="Arial Narrow" w:hAnsi="Arial Narrow"/>
                <w:color w:val="333333"/>
                <w:sz w:val="18"/>
                <w:szCs w:val="18"/>
              </w:rPr>
              <w:t>Administrative Advice:</w:t>
            </w:r>
            <w:r w:rsidRPr="00534C5B">
              <w:rPr>
                <w:rFonts w:ascii="Arial Narrow" w:hAnsi="Arial Narrow"/>
                <w:color w:val="333333"/>
                <w:sz w:val="18"/>
                <w:szCs w:val="18"/>
              </w:rPr>
              <w:t xml:space="preserve"> No increase in the maximum number of repeats may be authorised</w:t>
            </w:r>
          </w:p>
        </w:tc>
      </w:tr>
      <w:tr w:rsidR="00AD567A" w:rsidRPr="00534C5B" w:rsidTr="00AD567A">
        <w:tc>
          <w:tcPr>
            <w:tcW w:w="467" w:type="pct"/>
            <w:vAlign w:val="center"/>
            <w:hideMark/>
          </w:tcPr>
          <w:p w:rsidR="00AD567A" w:rsidRPr="00534C5B" w:rsidRDefault="00AD567A" w:rsidP="00AD567A">
            <w:pPr>
              <w:pStyle w:val="NormalWeb"/>
              <w:spacing w:before="0" w:beforeAutospacing="0" w:after="0" w:afterAutospacing="0"/>
              <w:jc w:val="center"/>
              <w:rPr>
                <w:rFonts w:ascii="Arial Narrow" w:hAnsi="Arial Narrow"/>
                <w:color w:val="333333"/>
                <w:sz w:val="18"/>
                <w:szCs w:val="18"/>
              </w:rPr>
            </w:pPr>
            <w:r w:rsidRPr="00534C5B">
              <w:rPr>
                <w:rFonts w:ascii="Arial Narrow" w:hAnsi="Arial Narrow"/>
                <w:color w:val="333333"/>
                <w:sz w:val="18"/>
                <w:szCs w:val="18"/>
              </w:rPr>
              <w:t>7608</w:t>
            </w:r>
          </w:p>
        </w:tc>
        <w:tc>
          <w:tcPr>
            <w:tcW w:w="4533" w:type="pct"/>
            <w:vAlign w:val="center"/>
            <w:hideMark/>
          </w:tcPr>
          <w:p w:rsidR="00AD567A" w:rsidRPr="00534C5B" w:rsidRDefault="00AD567A" w:rsidP="00AD567A">
            <w:pPr>
              <w:pStyle w:val="NormalWeb"/>
              <w:spacing w:before="0" w:beforeAutospacing="0" w:after="0" w:afterAutospacing="0"/>
              <w:rPr>
                <w:rFonts w:ascii="Arial Narrow" w:hAnsi="Arial Narrow"/>
                <w:color w:val="333333"/>
                <w:sz w:val="18"/>
                <w:szCs w:val="18"/>
              </w:rPr>
            </w:pPr>
            <w:r w:rsidRPr="00534C5B">
              <w:rPr>
                <w:rStyle w:val="Strong"/>
                <w:rFonts w:ascii="Arial Narrow" w:hAnsi="Arial Narrow"/>
                <w:color w:val="333333"/>
                <w:sz w:val="18"/>
                <w:szCs w:val="18"/>
              </w:rPr>
              <w:t>Administrative Advice:</w:t>
            </w:r>
            <w:r w:rsidRPr="00534C5B">
              <w:rPr>
                <w:rFonts w:ascii="Arial Narrow" w:hAnsi="Arial Narrow"/>
                <w:color w:val="333333"/>
                <w:sz w:val="18"/>
                <w:szCs w:val="18"/>
              </w:rPr>
              <w:t xml:space="preserve"> Special Pricing Arrangements apply</w:t>
            </w:r>
          </w:p>
        </w:tc>
      </w:tr>
      <w:tr w:rsidR="00AD567A" w:rsidRPr="00534C5B" w:rsidTr="00AD567A">
        <w:tc>
          <w:tcPr>
            <w:tcW w:w="467" w:type="pct"/>
            <w:vAlign w:val="center"/>
            <w:hideMark/>
          </w:tcPr>
          <w:p w:rsidR="00AD567A" w:rsidRPr="00534C5B" w:rsidRDefault="00AD567A" w:rsidP="00AD567A">
            <w:pPr>
              <w:pStyle w:val="NormalWeb"/>
              <w:spacing w:before="0" w:beforeAutospacing="0" w:after="0" w:afterAutospacing="0"/>
              <w:jc w:val="center"/>
              <w:rPr>
                <w:rFonts w:ascii="Arial Narrow" w:hAnsi="Arial Narrow"/>
                <w:color w:val="333333"/>
                <w:sz w:val="18"/>
                <w:szCs w:val="18"/>
              </w:rPr>
            </w:pPr>
            <w:r w:rsidRPr="00534C5B">
              <w:rPr>
                <w:rFonts w:ascii="Arial Narrow" w:hAnsi="Arial Narrow"/>
                <w:color w:val="333333"/>
                <w:sz w:val="18"/>
                <w:szCs w:val="18"/>
              </w:rPr>
              <w:t>24811</w:t>
            </w:r>
          </w:p>
        </w:tc>
        <w:tc>
          <w:tcPr>
            <w:tcW w:w="4533" w:type="pct"/>
            <w:vAlign w:val="center"/>
            <w:hideMark/>
          </w:tcPr>
          <w:p w:rsidR="00AD567A" w:rsidRPr="00534C5B" w:rsidRDefault="00AD567A" w:rsidP="00AD567A">
            <w:pPr>
              <w:pStyle w:val="NormalWeb"/>
              <w:spacing w:before="0" w:beforeAutospacing="0" w:after="0" w:afterAutospacing="0"/>
              <w:rPr>
                <w:rFonts w:ascii="Arial Narrow" w:hAnsi="Arial Narrow"/>
                <w:color w:val="333333"/>
                <w:sz w:val="18"/>
                <w:szCs w:val="18"/>
              </w:rPr>
            </w:pPr>
            <w:r w:rsidRPr="00534C5B">
              <w:rPr>
                <w:rStyle w:val="Strong"/>
                <w:rFonts w:ascii="Arial Narrow" w:hAnsi="Arial Narrow"/>
                <w:color w:val="333333"/>
                <w:sz w:val="18"/>
                <w:szCs w:val="18"/>
              </w:rPr>
              <w:t>Indication:</w:t>
            </w:r>
            <w:r w:rsidRPr="00534C5B">
              <w:rPr>
                <w:rFonts w:ascii="Arial Narrow" w:hAnsi="Arial Narrow"/>
                <w:color w:val="333333"/>
                <w:sz w:val="18"/>
                <w:szCs w:val="18"/>
              </w:rPr>
              <w:t xml:space="preserve"> Resected Stage IIIB, Stage IIIC or Stage IIID malignant melanoma</w:t>
            </w:r>
          </w:p>
        </w:tc>
      </w:tr>
      <w:tr w:rsidR="00AD567A" w:rsidRPr="00534C5B" w:rsidTr="00AD567A">
        <w:tc>
          <w:tcPr>
            <w:tcW w:w="467" w:type="pct"/>
            <w:vAlign w:val="center"/>
            <w:hideMark/>
          </w:tcPr>
          <w:p w:rsidR="00AD567A" w:rsidRPr="00534C5B" w:rsidRDefault="00AD567A" w:rsidP="00AD567A">
            <w:pPr>
              <w:jc w:val="center"/>
              <w:rPr>
                <w:rFonts w:ascii="Arial Narrow" w:hAnsi="Arial Narrow"/>
                <w:color w:val="333333"/>
                <w:sz w:val="18"/>
                <w:szCs w:val="18"/>
              </w:rPr>
            </w:pPr>
          </w:p>
        </w:tc>
        <w:tc>
          <w:tcPr>
            <w:tcW w:w="4533" w:type="pct"/>
            <w:vAlign w:val="center"/>
            <w:hideMark/>
          </w:tcPr>
          <w:p w:rsidR="00AD567A" w:rsidRPr="00534C5B" w:rsidRDefault="00AD567A" w:rsidP="00AD567A">
            <w:pPr>
              <w:pStyle w:val="NormalWeb"/>
              <w:spacing w:before="0" w:beforeAutospacing="0" w:after="0" w:afterAutospacing="0"/>
              <w:rPr>
                <w:rFonts w:ascii="Arial Narrow" w:hAnsi="Arial Narrow"/>
                <w:color w:val="333333"/>
                <w:sz w:val="18"/>
                <w:szCs w:val="18"/>
              </w:rPr>
            </w:pPr>
            <w:r w:rsidRPr="00534C5B">
              <w:rPr>
                <w:rStyle w:val="Strong"/>
                <w:rFonts w:ascii="Arial Narrow" w:hAnsi="Arial Narrow"/>
                <w:color w:val="333333"/>
                <w:sz w:val="18"/>
                <w:szCs w:val="18"/>
              </w:rPr>
              <w:t xml:space="preserve">Treatment Phase: </w:t>
            </w:r>
            <w:r w:rsidRPr="00534C5B">
              <w:rPr>
                <w:rFonts w:ascii="Arial Narrow" w:hAnsi="Arial Narrow"/>
                <w:color w:val="333333"/>
                <w:sz w:val="18"/>
                <w:szCs w:val="18"/>
              </w:rPr>
              <w:t>Grandfathered treatment</w:t>
            </w:r>
          </w:p>
        </w:tc>
      </w:tr>
      <w:tr w:rsidR="00AD567A" w:rsidRPr="00534C5B" w:rsidTr="00AD567A">
        <w:tc>
          <w:tcPr>
            <w:tcW w:w="467" w:type="pct"/>
            <w:vMerge w:val="restart"/>
            <w:vAlign w:val="center"/>
            <w:hideMark/>
          </w:tcPr>
          <w:p w:rsidR="00AD567A" w:rsidRPr="00534C5B" w:rsidRDefault="00AD567A" w:rsidP="00AD567A">
            <w:pPr>
              <w:pStyle w:val="NormalWeb"/>
              <w:spacing w:before="0" w:beforeAutospacing="0" w:after="0" w:afterAutospacing="0"/>
              <w:jc w:val="center"/>
              <w:rPr>
                <w:rFonts w:ascii="Arial Narrow" w:hAnsi="Arial Narrow"/>
                <w:color w:val="333333"/>
                <w:sz w:val="18"/>
                <w:szCs w:val="18"/>
              </w:rPr>
            </w:pPr>
            <w:r w:rsidRPr="00534C5B">
              <w:rPr>
                <w:rFonts w:ascii="Arial Narrow" w:hAnsi="Arial Narrow"/>
                <w:color w:val="333333"/>
                <w:sz w:val="18"/>
                <w:szCs w:val="18"/>
              </w:rPr>
              <w:t>new</w:t>
            </w:r>
          </w:p>
        </w:tc>
        <w:tc>
          <w:tcPr>
            <w:tcW w:w="4533" w:type="pct"/>
            <w:vAlign w:val="center"/>
            <w:hideMark/>
          </w:tcPr>
          <w:p w:rsidR="00AD567A" w:rsidRPr="00534C5B" w:rsidRDefault="00AD567A" w:rsidP="00AD567A">
            <w:pPr>
              <w:pStyle w:val="NormalWeb"/>
              <w:spacing w:before="0" w:beforeAutospacing="0" w:after="0" w:afterAutospacing="0"/>
              <w:rPr>
                <w:rFonts w:ascii="Arial Narrow" w:hAnsi="Arial Narrow"/>
                <w:color w:val="333333"/>
                <w:sz w:val="18"/>
                <w:szCs w:val="18"/>
              </w:rPr>
            </w:pPr>
            <w:r w:rsidRPr="00534C5B">
              <w:rPr>
                <w:rStyle w:val="Strong"/>
                <w:rFonts w:ascii="Arial Narrow" w:hAnsi="Arial Narrow"/>
                <w:color w:val="333333"/>
                <w:sz w:val="18"/>
                <w:szCs w:val="18"/>
              </w:rPr>
              <w:t>Clinical criteria:</w:t>
            </w:r>
          </w:p>
        </w:tc>
      </w:tr>
      <w:tr w:rsidR="00AD567A" w:rsidRPr="00534C5B" w:rsidTr="00AD567A">
        <w:tc>
          <w:tcPr>
            <w:tcW w:w="467" w:type="pct"/>
            <w:vMerge/>
            <w:vAlign w:val="center"/>
            <w:hideMark/>
          </w:tcPr>
          <w:p w:rsidR="00AD567A" w:rsidRPr="00534C5B" w:rsidRDefault="00AD567A" w:rsidP="00AD567A">
            <w:pPr>
              <w:pStyle w:val="NormalWeb"/>
              <w:spacing w:before="0" w:beforeAutospacing="0" w:after="0" w:afterAutospacing="0"/>
              <w:jc w:val="center"/>
              <w:rPr>
                <w:rFonts w:ascii="Arial Narrow" w:hAnsi="Arial Narrow"/>
                <w:color w:val="333333"/>
                <w:sz w:val="18"/>
                <w:szCs w:val="18"/>
              </w:rPr>
            </w:pPr>
          </w:p>
        </w:tc>
        <w:tc>
          <w:tcPr>
            <w:tcW w:w="4533" w:type="pct"/>
            <w:vAlign w:val="center"/>
            <w:hideMark/>
          </w:tcPr>
          <w:p w:rsidR="00AD567A" w:rsidRPr="00534C5B" w:rsidRDefault="00AD567A" w:rsidP="00AD567A">
            <w:pPr>
              <w:rPr>
                <w:rFonts w:ascii="Arial Narrow" w:hAnsi="Arial Narrow"/>
                <w:color w:val="333333"/>
                <w:sz w:val="18"/>
                <w:szCs w:val="18"/>
              </w:rPr>
            </w:pPr>
            <w:r w:rsidRPr="00534C5B">
              <w:rPr>
                <w:rFonts w:ascii="Arial Narrow" w:hAnsi="Arial Narrow"/>
                <w:color w:val="333333"/>
                <w:sz w:val="18"/>
                <w:szCs w:val="18"/>
              </w:rPr>
              <w:t>Patient must have previously received non-PBS subsidised drug for adjuvant treatment following complete surgical resection prior to [1 Month 20XX]</w:t>
            </w:r>
          </w:p>
        </w:tc>
      </w:tr>
      <w:tr w:rsidR="00AD567A" w:rsidRPr="00534C5B" w:rsidTr="00AD567A">
        <w:tc>
          <w:tcPr>
            <w:tcW w:w="467" w:type="pct"/>
            <w:vAlign w:val="center"/>
            <w:hideMark/>
          </w:tcPr>
          <w:p w:rsidR="00AD567A" w:rsidRPr="00534C5B" w:rsidRDefault="00AD567A" w:rsidP="00AD567A">
            <w:pPr>
              <w:jc w:val="center"/>
              <w:rPr>
                <w:rFonts w:ascii="Arial Narrow" w:hAnsi="Arial Narrow"/>
                <w:color w:val="333333"/>
                <w:sz w:val="18"/>
                <w:szCs w:val="18"/>
              </w:rPr>
            </w:pPr>
          </w:p>
        </w:tc>
        <w:tc>
          <w:tcPr>
            <w:tcW w:w="4533" w:type="pct"/>
            <w:vAlign w:val="center"/>
            <w:hideMark/>
          </w:tcPr>
          <w:p w:rsidR="00AD567A" w:rsidRPr="00534C5B" w:rsidRDefault="00AD567A" w:rsidP="00AD567A">
            <w:pPr>
              <w:rPr>
                <w:rFonts w:ascii="Arial Narrow" w:hAnsi="Arial Narrow"/>
                <w:color w:val="333333"/>
                <w:sz w:val="18"/>
                <w:szCs w:val="18"/>
              </w:rPr>
            </w:pPr>
            <w:r w:rsidRPr="00534C5B">
              <w:rPr>
                <w:rStyle w:val="Strong"/>
                <w:rFonts w:ascii="Arial Narrow" w:hAnsi="Arial Narrow"/>
                <w:color w:val="333333"/>
                <w:sz w:val="18"/>
                <w:szCs w:val="18"/>
              </w:rPr>
              <w:t>AND</w:t>
            </w:r>
          </w:p>
        </w:tc>
      </w:tr>
      <w:tr w:rsidR="00AD567A" w:rsidRPr="00534C5B" w:rsidTr="00AD567A">
        <w:tc>
          <w:tcPr>
            <w:tcW w:w="467" w:type="pct"/>
            <w:vAlign w:val="center"/>
            <w:hideMark/>
          </w:tcPr>
          <w:p w:rsidR="00AD567A" w:rsidRPr="00534C5B" w:rsidRDefault="00AD567A" w:rsidP="00AD567A">
            <w:pPr>
              <w:pStyle w:val="NormalWeb"/>
              <w:spacing w:before="0" w:beforeAutospacing="0" w:after="0" w:afterAutospacing="0"/>
              <w:jc w:val="center"/>
              <w:rPr>
                <w:rFonts w:ascii="Arial Narrow" w:hAnsi="Arial Narrow"/>
                <w:color w:val="333333"/>
                <w:sz w:val="18"/>
                <w:szCs w:val="18"/>
              </w:rPr>
            </w:pPr>
            <w:r w:rsidRPr="00534C5B">
              <w:rPr>
                <w:rFonts w:ascii="Arial Narrow" w:hAnsi="Arial Narrow"/>
                <w:color w:val="333333"/>
                <w:sz w:val="18"/>
                <w:szCs w:val="18"/>
              </w:rPr>
              <w:t>10299</w:t>
            </w:r>
          </w:p>
        </w:tc>
        <w:tc>
          <w:tcPr>
            <w:tcW w:w="4533" w:type="pct"/>
            <w:vAlign w:val="center"/>
            <w:hideMark/>
          </w:tcPr>
          <w:p w:rsidR="00AD567A" w:rsidRPr="00534C5B" w:rsidRDefault="00AD567A" w:rsidP="00AD567A">
            <w:pPr>
              <w:pStyle w:val="NormalWeb"/>
              <w:spacing w:before="0" w:beforeAutospacing="0" w:after="0" w:afterAutospacing="0"/>
              <w:rPr>
                <w:rFonts w:ascii="Arial Narrow" w:hAnsi="Arial Narrow"/>
                <w:color w:val="333333"/>
                <w:sz w:val="18"/>
                <w:szCs w:val="18"/>
              </w:rPr>
            </w:pPr>
            <w:r w:rsidRPr="00534C5B">
              <w:rPr>
                <w:rStyle w:val="Strong"/>
                <w:rFonts w:ascii="Arial Narrow" w:hAnsi="Arial Narrow"/>
                <w:color w:val="333333"/>
                <w:sz w:val="18"/>
                <w:szCs w:val="18"/>
              </w:rPr>
              <w:t>Clinical criteria:</w:t>
            </w:r>
          </w:p>
        </w:tc>
      </w:tr>
      <w:tr w:rsidR="00AD567A" w:rsidRPr="00534C5B" w:rsidTr="00AD567A">
        <w:tc>
          <w:tcPr>
            <w:tcW w:w="467" w:type="pct"/>
            <w:vAlign w:val="center"/>
            <w:hideMark/>
          </w:tcPr>
          <w:p w:rsidR="00AD567A" w:rsidRPr="00534C5B" w:rsidRDefault="00AD567A" w:rsidP="00AD567A">
            <w:pPr>
              <w:pStyle w:val="NormalWeb"/>
              <w:spacing w:before="0" w:beforeAutospacing="0" w:after="0" w:afterAutospacing="0"/>
              <w:jc w:val="center"/>
              <w:rPr>
                <w:rFonts w:ascii="Arial Narrow" w:hAnsi="Arial Narrow"/>
                <w:color w:val="333333"/>
                <w:sz w:val="18"/>
                <w:szCs w:val="18"/>
              </w:rPr>
            </w:pPr>
            <w:r w:rsidRPr="00534C5B">
              <w:rPr>
                <w:rFonts w:ascii="Arial Narrow" w:hAnsi="Arial Narrow"/>
                <w:color w:val="333333"/>
                <w:sz w:val="18"/>
                <w:szCs w:val="18"/>
              </w:rPr>
              <w:t>10298</w:t>
            </w:r>
          </w:p>
        </w:tc>
        <w:tc>
          <w:tcPr>
            <w:tcW w:w="4533" w:type="pct"/>
            <w:vAlign w:val="center"/>
            <w:hideMark/>
          </w:tcPr>
          <w:p w:rsidR="00AD567A" w:rsidRPr="00534C5B" w:rsidRDefault="00AD567A" w:rsidP="00AD567A">
            <w:pPr>
              <w:rPr>
                <w:rFonts w:ascii="Arial Narrow" w:hAnsi="Arial Narrow"/>
                <w:color w:val="333333"/>
                <w:sz w:val="18"/>
                <w:szCs w:val="18"/>
              </w:rPr>
            </w:pPr>
            <w:r w:rsidRPr="00534C5B">
              <w:rPr>
                <w:rFonts w:ascii="Arial Narrow" w:hAnsi="Arial Narrow"/>
                <w:color w:val="333333"/>
                <w:sz w:val="18"/>
                <w:szCs w:val="18"/>
              </w:rPr>
              <w:t>Patient must have a WHO performance status of 1 or less</w:t>
            </w:r>
          </w:p>
        </w:tc>
      </w:tr>
      <w:tr w:rsidR="00AD567A" w:rsidRPr="00534C5B" w:rsidTr="00AD567A">
        <w:tc>
          <w:tcPr>
            <w:tcW w:w="467" w:type="pct"/>
            <w:vAlign w:val="center"/>
            <w:hideMark/>
          </w:tcPr>
          <w:p w:rsidR="00AD567A" w:rsidRPr="00534C5B" w:rsidRDefault="00AD567A" w:rsidP="00AD567A">
            <w:pPr>
              <w:jc w:val="center"/>
              <w:rPr>
                <w:rFonts w:ascii="Arial Narrow" w:hAnsi="Arial Narrow"/>
                <w:color w:val="333333"/>
                <w:sz w:val="18"/>
                <w:szCs w:val="18"/>
              </w:rPr>
            </w:pPr>
          </w:p>
        </w:tc>
        <w:tc>
          <w:tcPr>
            <w:tcW w:w="4533" w:type="pct"/>
            <w:vAlign w:val="center"/>
            <w:hideMark/>
          </w:tcPr>
          <w:p w:rsidR="00AD567A" w:rsidRPr="00534C5B" w:rsidRDefault="00AD567A" w:rsidP="00AD567A">
            <w:pPr>
              <w:rPr>
                <w:rFonts w:ascii="Arial Narrow" w:hAnsi="Arial Narrow"/>
                <w:color w:val="333333"/>
                <w:sz w:val="18"/>
                <w:szCs w:val="18"/>
              </w:rPr>
            </w:pPr>
            <w:r w:rsidRPr="00534C5B">
              <w:rPr>
                <w:rStyle w:val="Strong"/>
                <w:rFonts w:ascii="Arial Narrow" w:hAnsi="Arial Narrow"/>
                <w:color w:val="333333"/>
                <w:sz w:val="18"/>
                <w:szCs w:val="18"/>
              </w:rPr>
              <w:t>AND</w:t>
            </w:r>
          </w:p>
        </w:tc>
      </w:tr>
      <w:tr w:rsidR="00AD567A" w:rsidRPr="00534C5B" w:rsidTr="00AD567A">
        <w:tc>
          <w:tcPr>
            <w:tcW w:w="467" w:type="pct"/>
            <w:vAlign w:val="center"/>
            <w:hideMark/>
          </w:tcPr>
          <w:p w:rsidR="00AD567A" w:rsidRPr="00534C5B" w:rsidRDefault="00AD567A" w:rsidP="00AD567A">
            <w:pPr>
              <w:pStyle w:val="NormalWeb"/>
              <w:spacing w:before="0" w:beforeAutospacing="0" w:after="0" w:afterAutospacing="0"/>
              <w:jc w:val="center"/>
              <w:rPr>
                <w:rFonts w:ascii="Arial Narrow" w:hAnsi="Arial Narrow"/>
                <w:color w:val="333333"/>
                <w:sz w:val="18"/>
                <w:szCs w:val="18"/>
              </w:rPr>
            </w:pPr>
            <w:r w:rsidRPr="00534C5B">
              <w:rPr>
                <w:rFonts w:ascii="Arial Narrow" w:hAnsi="Arial Narrow"/>
                <w:color w:val="333333"/>
                <w:sz w:val="18"/>
                <w:szCs w:val="18"/>
              </w:rPr>
              <w:t>24831</w:t>
            </w:r>
          </w:p>
        </w:tc>
        <w:tc>
          <w:tcPr>
            <w:tcW w:w="4533" w:type="pct"/>
            <w:vAlign w:val="center"/>
            <w:hideMark/>
          </w:tcPr>
          <w:p w:rsidR="00AD567A" w:rsidRPr="00534C5B" w:rsidRDefault="00AD567A" w:rsidP="00AD567A">
            <w:pPr>
              <w:pStyle w:val="NormalWeb"/>
              <w:spacing w:before="0" w:beforeAutospacing="0" w:after="0" w:afterAutospacing="0"/>
              <w:rPr>
                <w:rFonts w:ascii="Arial Narrow" w:hAnsi="Arial Narrow"/>
                <w:color w:val="333333"/>
                <w:sz w:val="18"/>
                <w:szCs w:val="18"/>
              </w:rPr>
            </w:pPr>
            <w:r w:rsidRPr="00534C5B">
              <w:rPr>
                <w:rStyle w:val="Strong"/>
                <w:rFonts w:ascii="Arial Narrow" w:hAnsi="Arial Narrow"/>
                <w:color w:val="333333"/>
                <w:sz w:val="18"/>
                <w:szCs w:val="18"/>
              </w:rPr>
              <w:t>Clinical criteria:</w:t>
            </w:r>
          </w:p>
        </w:tc>
      </w:tr>
      <w:tr w:rsidR="00AD567A" w:rsidRPr="00534C5B" w:rsidTr="00AD567A">
        <w:tc>
          <w:tcPr>
            <w:tcW w:w="467" w:type="pct"/>
            <w:vAlign w:val="center"/>
            <w:hideMark/>
          </w:tcPr>
          <w:p w:rsidR="00AD567A" w:rsidRPr="00534C5B" w:rsidRDefault="00AD567A" w:rsidP="00AD567A">
            <w:pPr>
              <w:pStyle w:val="NormalWeb"/>
              <w:spacing w:before="0" w:beforeAutospacing="0" w:after="0" w:afterAutospacing="0"/>
              <w:jc w:val="center"/>
              <w:rPr>
                <w:rFonts w:ascii="Arial Narrow" w:hAnsi="Arial Narrow"/>
                <w:color w:val="333333"/>
                <w:sz w:val="18"/>
                <w:szCs w:val="18"/>
              </w:rPr>
            </w:pPr>
            <w:r w:rsidRPr="00534C5B">
              <w:rPr>
                <w:rFonts w:ascii="Arial Narrow" w:hAnsi="Arial Narrow"/>
                <w:color w:val="333333"/>
                <w:sz w:val="18"/>
                <w:szCs w:val="18"/>
              </w:rPr>
              <w:t>24830</w:t>
            </w:r>
          </w:p>
        </w:tc>
        <w:tc>
          <w:tcPr>
            <w:tcW w:w="4533" w:type="pct"/>
            <w:vAlign w:val="center"/>
            <w:hideMark/>
          </w:tcPr>
          <w:p w:rsidR="00AD567A" w:rsidRPr="00534C5B" w:rsidRDefault="00AD567A" w:rsidP="00AD567A">
            <w:pPr>
              <w:rPr>
                <w:rFonts w:ascii="Arial Narrow" w:hAnsi="Arial Narrow"/>
                <w:color w:val="333333"/>
                <w:sz w:val="18"/>
                <w:szCs w:val="18"/>
              </w:rPr>
            </w:pPr>
            <w:r w:rsidRPr="00534C5B">
              <w:rPr>
                <w:rFonts w:ascii="Arial Narrow" w:hAnsi="Arial Narrow"/>
                <w:color w:val="333333"/>
                <w:sz w:val="18"/>
                <w:szCs w:val="18"/>
              </w:rPr>
              <w:t>Patient must not have evidence of recurrence</w:t>
            </w:r>
          </w:p>
        </w:tc>
      </w:tr>
      <w:tr w:rsidR="00AD567A" w:rsidRPr="00534C5B" w:rsidTr="00AD567A">
        <w:tc>
          <w:tcPr>
            <w:tcW w:w="467" w:type="pct"/>
            <w:vAlign w:val="center"/>
            <w:hideMark/>
          </w:tcPr>
          <w:p w:rsidR="00AD567A" w:rsidRPr="00534C5B" w:rsidRDefault="00AD567A" w:rsidP="00AD567A">
            <w:pPr>
              <w:jc w:val="center"/>
              <w:rPr>
                <w:rFonts w:ascii="Arial Narrow" w:hAnsi="Arial Narrow"/>
                <w:color w:val="333333"/>
                <w:sz w:val="18"/>
                <w:szCs w:val="18"/>
              </w:rPr>
            </w:pPr>
          </w:p>
        </w:tc>
        <w:tc>
          <w:tcPr>
            <w:tcW w:w="4533" w:type="pct"/>
            <w:vAlign w:val="center"/>
            <w:hideMark/>
          </w:tcPr>
          <w:p w:rsidR="00AD567A" w:rsidRPr="00534C5B" w:rsidRDefault="00AD567A" w:rsidP="00AD567A">
            <w:pPr>
              <w:rPr>
                <w:rFonts w:ascii="Arial Narrow" w:hAnsi="Arial Narrow"/>
                <w:color w:val="333333"/>
                <w:sz w:val="18"/>
                <w:szCs w:val="18"/>
              </w:rPr>
            </w:pPr>
            <w:r w:rsidRPr="00534C5B">
              <w:rPr>
                <w:rStyle w:val="Strong"/>
                <w:rFonts w:ascii="Arial Narrow" w:hAnsi="Arial Narrow"/>
                <w:color w:val="333333"/>
                <w:sz w:val="18"/>
                <w:szCs w:val="18"/>
              </w:rPr>
              <w:t>AND</w:t>
            </w:r>
          </w:p>
        </w:tc>
      </w:tr>
      <w:tr w:rsidR="00AD567A" w:rsidRPr="00534C5B" w:rsidTr="00AD567A">
        <w:tc>
          <w:tcPr>
            <w:tcW w:w="467" w:type="pct"/>
            <w:vAlign w:val="center"/>
            <w:hideMark/>
          </w:tcPr>
          <w:p w:rsidR="00AD567A" w:rsidRPr="00534C5B" w:rsidRDefault="00AD567A" w:rsidP="00AD567A">
            <w:pPr>
              <w:pStyle w:val="NormalWeb"/>
              <w:spacing w:before="0" w:beforeAutospacing="0" w:after="0" w:afterAutospacing="0"/>
              <w:jc w:val="center"/>
              <w:rPr>
                <w:rFonts w:ascii="Arial Narrow" w:hAnsi="Arial Narrow"/>
                <w:color w:val="333333"/>
                <w:sz w:val="18"/>
                <w:szCs w:val="18"/>
              </w:rPr>
            </w:pPr>
            <w:r w:rsidRPr="00534C5B">
              <w:rPr>
                <w:rFonts w:ascii="Arial Narrow" w:hAnsi="Arial Narrow"/>
                <w:color w:val="333333"/>
                <w:sz w:val="18"/>
                <w:szCs w:val="18"/>
              </w:rPr>
              <w:t>7890</w:t>
            </w:r>
          </w:p>
        </w:tc>
        <w:tc>
          <w:tcPr>
            <w:tcW w:w="4533" w:type="pct"/>
            <w:vAlign w:val="center"/>
            <w:hideMark/>
          </w:tcPr>
          <w:p w:rsidR="00AD567A" w:rsidRPr="00534C5B" w:rsidRDefault="00AD567A" w:rsidP="00AD567A">
            <w:pPr>
              <w:pStyle w:val="NormalWeb"/>
              <w:spacing w:before="0" w:beforeAutospacing="0" w:after="0" w:afterAutospacing="0"/>
              <w:rPr>
                <w:rFonts w:ascii="Arial Narrow" w:hAnsi="Arial Narrow"/>
                <w:color w:val="333333"/>
                <w:sz w:val="18"/>
                <w:szCs w:val="18"/>
              </w:rPr>
            </w:pPr>
            <w:r w:rsidRPr="00534C5B">
              <w:rPr>
                <w:rStyle w:val="Strong"/>
                <w:rFonts w:ascii="Arial Narrow" w:hAnsi="Arial Narrow"/>
                <w:color w:val="333333"/>
                <w:sz w:val="18"/>
                <w:szCs w:val="18"/>
              </w:rPr>
              <w:t>Clinical criteria:</w:t>
            </w:r>
          </w:p>
        </w:tc>
      </w:tr>
      <w:tr w:rsidR="00AD567A" w:rsidRPr="00534C5B" w:rsidTr="00AD567A">
        <w:tc>
          <w:tcPr>
            <w:tcW w:w="467" w:type="pct"/>
            <w:vAlign w:val="center"/>
            <w:hideMark/>
          </w:tcPr>
          <w:p w:rsidR="00AD567A" w:rsidRPr="00534C5B" w:rsidRDefault="00AD567A" w:rsidP="00AD567A">
            <w:pPr>
              <w:pStyle w:val="NormalWeb"/>
              <w:spacing w:before="0" w:beforeAutospacing="0" w:after="0" w:afterAutospacing="0"/>
              <w:jc w:val="center"/>
              <w:rPr>
                <w:rFonts w:ascii="Arial Narrow" w:hAnsi="Arial Narrow"/>
                <w:color w:val="333333"/>
                <w:sz w:val="18"/>
                <w:szCs w:val="18"/>
              </w:rPr>
            </w:pPr>
            <w:r w:rsidRPr="00534C5B">
              <w:rPr>
                <w:rFonts w:ascii="Arial Narrow" w:hAnsi="Arial Narrow"/>
                <w:color w:val="333333"/>
                <w:sz w:val="18"/>
                <w:szCs w:val="18"/>
              </w:rPr>
              <w:t>7889</w:t>
            </w:r>
          </w:p>
        </w:tc>
        <w:tc>
          <w:tcPr>
            <w:tcW w:w="4533" w:type="pct"/>
            <w:vAlign w:val="center"/>
            <w:hideMark/>
          </w:tcPr>
          <w:p w:rsidR="00AD567A" w:rsidRPr="00534C5B" w:rsidRDefault="00AD567A" w:rsidP="00AD567A">
            <w:pPr>
              <w:rPr>
                <w:rFonts w:ascii="Arial Narrow" w:hAnsi="Arial Narrow"/>
                <w:color w:val="333333"/>
                <w:sz w:val="18"/>
                <w:szCs w:val="18"/>
              </w:rPr>
            </w:pPr>
            <w:r w:rsidRPr="00534C5B">
              <w:rPr>
                <w:rFonts w:ascii="Arial Narrow" w:hAnsi="Arial Narrow"/>
                <w:color w:val="333333"/>
                <w:sz w:val="18"/>
                <w:szCs w:val="18"/>
              </w:rPr>
              <w:t>The treatment must be the sole PBS-subsidised therapy for this condition</w:t>
            </w:r>
          </w:p>
        </w:tc>
      </w:tr>
      <w:tr w:rsidR="00AD567A" w:rsidRPr="00534C5B" w:rsidTr="00AD567A">
        <w:tc>
          <w:tcPr>
            <w:tcW w:w="467" w:type="pct"/>
            <w:vAlign w:val="center"/>
            <w:hideMark/>
          </w:tcPr>
          <w:p w:rsidR="00AD567A" w:rsidRPr="00534C5B" w:rsidRDefault="00AD567A" w:rsidP="00AD567A">
            <w:pPr>
              <w:jc w:val="center"/>
              <w:rPr>
                <w:rFonts w:ascii="Arial Narrow" w:hAnsi="Arial Narrow"/>
                <w:color w:val="333333"/>
                <w:sz w:val="18"/>
                <w:szCs w:val="18"/>
              </w:rPr>
            </w:pPr>
          </w:p>
        </w:tc>
        <w:tc>
          <w:tcPr>
            <w:tcW w:w="4533" w:type="pct"/>
            <w:vAlign w:val="center"/>
            <w:hideMark/>
          </w:tcPr>
          <w:p w:rsidR="00AD567A" w:rsidRPr="00534C5B" w:rsidRDefault="00AD567A" w:rsidP="00AD567A">
            <w:pPr>
              <w:rPr>
                <w:rFonts w:ascii="Arial Narrow" w:hAnsi="Arial Narrow"/>
                <w:color w:val="333333"/>
                <w:sz w:val="18"/>
                <w:szCs w:val="18"/>
              </w:rPr>
            </w:pPr>
            <w:r w:rsidRPr="00534C5B">
              <w:rPr>
                <w:rStyle w:val="Strong"/>
                <w:rFonts w:ascii="Arial Narrow" w:hAnsi="Arial Narrow"/>
                <w:color w:val="333333"/>
                <w:sz w:val="18"/>
                <w:szCs w:val="18"/>
              </w:rPr>
              <w:t>AND</w:t>
            </w:r>
          </w:p>
        </w:tc>
      </w:tr>
      <w:tr w:rsidR="00AD567A" w:rsidRPr="00534C5B" w:rsidTr="00AD567A">
        <w:tc>
          <w:tcPr>
            <w:tcW w:w="467" w:type="pct"/>
            <w:vAlign w:val="center"/>
            <w:hideMark/>
          </w:tcPr>
          <w:p w:rsidR="00AD567A" w:rsidRPr="00534C5B" w:rsidRDefault="00AD567A" w:rsidP="00AD567A">
            <w:pPr>
              <w:pStyle w:val="NormalWeb"/>
              <w:spacing w:before="0" w:beforeAutospacing="0" w:after="0" w:afterAutospacing="0"/>
              <w:jc w:val="center"/>
              <w:rPr>
                <w:rFonts w:ascii="Arial Narrow" w:hAnsi="Arial Narrow"/>
                <w:color w:val="333333"/>
                <w:sz w:val="18"/>
                <w:szCs w:val="18"/>
              </w:rPr>
            </w:pPr>
            <w:r w:rsidRPr="00534C5B">
              <w:rPr>
                <w:rFonts w:ascii="Arial Narrow" w:hAnsi="Arial Narrow"/>
                <w:color w:val="333333"/>
                <w:sz w:val="18"/>
                <w:szCs w:val="18"/>
              </w:rPr>
              <w:t>24817</w:t>
            </w:r>
          </w:p>
        </w:tc>
        <w:tc>
          <w:tcPr>
            <w:tcW w:w="4533" w:type="pct"/>
            <w:vAlign w:val="center"/>
            <w:hideMark/>
          </w:tcPr>
          <w:p w:rsidR="00AD567A" w:rsidRPr="00534C5B" w:rsidRDefault="00AD567A" w:rsidP="00AD567A">
            <w:pPr>
              <w:pStyle w:val="NormalWeb"/>
              <w:spacing w:before="0" w:beforeAutospacing="0" w:after="0" w:afterAutospacing="0"/>
              <w:rPr>
                <w:rFonts w:ascii="Arial Narrow" w:hAnsi="Arial Narrow"/>
                <w:color w:val="333333"/>
                <w:sz w:val="18"/>
                <w:szCs w:val="18"/>
              </w:rPr>
            </w:pPr>
            <w:r w:rsidRPr="00534C5B">
              <w:rPr>
                <w:rStyle w:val="Strong"/>
                <w:rFonts w:ascii="Arial Narrow" w:hAnsi="Arial Narrow"/>
                <w:color w:val="333333"/>
                <w:sz w:val="18"/>
                <w:szCs w:val="18"/>
              </w:rPr>
              <w:t>Clinical criteria:</w:t>
            </w:r>
          </w:p>
        </w:tc>
      </w:tr>
      <w:tr w:rsidR="00AD567A" w:rsidRPr="00534C5B" w:rsidTr="00AD567A">
        <w:tc>
          <w:tcPr>
            <w:tcW w:w="467" w:type="pct"/>
            <w:vAlign w:val="center"/>
            <w:hideMark/>
          </w:tcPr>
          <w:p w:rsidR="00AD567A" w:rsidRPr="00534C5B" w:rsidRDefault="00AD567A" w:rsidP="00AD567A">
            <w:pPr>
              <w:pStyle w:val="NormalWeb"/>
              <w:spacing w:before="0" w:beforeAutospacing="0" w:after="0" w:afterAutospacing="0"/>
              <w:jc w:val="center"/>
              <w:rPr>
                <w:rFonts w:ascii="Arial Narrow" w:hAnsi="Arial Narrow"/>
                <w:color w:val="333333"/>
                <w:sz w:val="18"/>
                <w:szCs w:val="18"/>
              </w:rPr>
            </w:pPr>
            <w:r w:rsidRPr="00534C5B">
              <w:rPr>
                <w:rFonts w:ascii="Arial Narrow" w:hAnsi="Arial Narrow"/>
                <w:color w:val="333333"/>
                <w:sz w:val="18"/>
                <w:szCs w:val="18"/>
              </w:rPr>
              <w:t>24816</w:t>
            </w:r>
          </w:p>
        </w:tc>
        <w:tc>
          <w:tcPr>
            <w:tcW w:w="4533" w:type="pct"/>
            <w:vAlign w:val="center"/>
            <w:hideMark/>
          </w:tcPr>
          <w:p w:rsidR="00AD567A" w:rsidRPr="00534C5B" w:rsidRDefault="00AD567A" w:rsidP="00AD567A">
            <w:pPr>
              <w:rPr>
                <w:rFonts w:ascii="Arial Narrow" w:hAnsi="Arial Narrow"/>
                <w:color w:val="333333"/>
                <w:sz w:val="18"/>
                <w:szCs w:val="18"/>
              </w:rPr>
            </w:pPr>
            <w:r w:rsidRPr="00534C5B">
              <w:rPr>
                <w:rFonts w:ascii="Arial Narrow" w:hAnsi="Arial Narrow"/>
                <w:color w:val="333333"/>
                <w:sz w:val="18"/>
                <w:szCs w:val="18"/>
              </w:rPr>
              <w:t>Patient must not have received prior PBS-subsidised treatment for this condition</w:t>
            </w:r>
          </w:p>
        </w:tc>
      </w:tr>
      <w:tr w:rsidR="00AD567A" w:rsidRPr="00534C5B" w:rsidTr="00AD567A">
        <w:tc>
          <w:tcPr>
            <w:tcW w:w="467" w:type="pct"/>
            <w:vAlign w:val="center"/>
            <w:hideMark/>
          </w:tcPr>
          <w:p w:rsidR="00AD567A" w:rsidRPr="00534C5B" w:rsidRDefault="00AD567A" w:rsidP="00AD567A">
            <w:pPr>
              <w:jc w:val="center"/>
              <w:rPr>
                <w:rFonts w:ascii="Arial Narrow" w:hAnsi="Arial Narrow"/>
                <w:color w:val="333333"/>
                <w:sz w:val="18"/>
                <w:szCs w:val="18"/>
              </w:rPr>
            </w:pPr>
          </w:p>
        </w:tc>
        <w:tc>
          <w:tcPr>
            <w:tcW w:w="4533" w:type="pct"/>
            <w:vAlign w:val="center"/>
            <w:hideMark/>
          </w:tcPr>
          <w:p w:rsidR="00AD567A" w:rsidRPr="00534C5B" w:rsidRDefault="00AD567A" w:rsidP="00AD567A">
            <w:pPr>
              <w:rPr>
                <w:rFonts w:ascii="Arial Narrow" w:hAnsi="Arial Narrow"/>
                <w:color w:val="333333"/>
                <w:sz w:val="18"/>
                <w:szCs w:val="18"/>
              </w:rPr>
            </w:pPr>
            <w:r w:rsidRPr="00534C5B">
              <w:rPr>
                <w:rStyle w:val="Strong"/>
                <w:rFonts w:ascii="Arial Narrow" w:hAnsi="Arial Narrow"/>
                <w:color w:val="333333"/>
                <w:sz w:val="18"/>
                <w:szCs w:val="18"/>
              </w:rPr>
              <w:t>AND</w:t>
            </w:r>
          </w:p>
        </w:tc>
      </w:tr>
      <w:tr w:rsidR="00AD567A" w:rsidRPr="00534C5B" w:rsidTr="00AD567A">
        <w:tc>
          <w:tcPr>
            <w:tcW w:w="467" w:type="pct"/>
            <w:vMerge w:val="restart"/>
            <w:vAlign w:val="center"/>
          </w:tcPr>
          <w:p w:rsidR="00AD567A" w:rsidRPr="00534C5B" w:rsidRDefault="00AD567A" w:rsidP="00AD567A">
            <w:pPr>
              <w:pStyle w:val="NormalWeb"/>
              <w:spacing w:before="0" w:beforeAutospacing="0" w:after="0" w:afterAutospacing="0"/>
              <w:jc w:val="center"/>
              <w:rPr>
                <w:rFonts w:ascii="Arial Narrow" w:hAnsi="Arial Narrow"/>
                <w:color w:val="333333"/>
                <w:sz w:val="18"/>
                <w:szCs w:val="18"/>
              </w:rPr>
            </w:pPr>
            <w:r w:rsidRPr="00534C5B">
              <w:rPr>
                <w:rFonts w:ascii="Arial Narrow" w:hAnsi="Arial Narrow"/>
                <w:color w:val="333333"/>
                <w:sz w:val="18"/>
                <w:szCs w:val="18"/>
              </w:rPr>
              <w:t>new</w:t>
            </w:r>
          </w:p>
        </w:tc>
        <w:tc>
          <w:tcPr>
            <w:tcW w:w="4533" w:type="pct"/>
            <w:vAlign w:val="center"/>
            <w:hideMark/>
          </w:tcPr>
          <w:p w:rsidR="00AD567A" w:rsidRPr="00534C5B" w:rsidRDefault="00AD567A" w:rsidP="00AD567A">
            <w:pPr>
              <w:pStyle w:val="NormalWeb"/>
              <w:spacing w:before="0" w:beforeAutospacing="0" w:after="0" w:afterAutospacing="0"/>
              <w:rPr>
                <w:rFonts w:ascii="Arial Narrow" w:hAnsi="Arial Narrow"/>
                <w:color w:val="333333"/>
                <w:sz w:val="18"/>
                <w:szCs w:val="18"/>
              </w:rPr>
            </w:pPr>
            <w:r w:rsidRPr="00534C5B">
              <w:rPr>
                <w:rStyle w:val="Strong"/>
                <w:rFonts w:ascii="Arial Narrow" w:hAnsi="Arial Narrow"/>
                <w:color w:val="333333"/>
                <w:sz w:val="18"/>
                <w:szCs w:val="18"/>
              </w:rPr>
              <w:t>Clinical criteria:</w:t>
            </w:r>
          </w:p>
        </w:tc>
      </w:tr>
      <w:tr w:rsidR="00AD567A" w:rsidRPr="00534C5B" w:rsidTr="00AD567A">
        <w:tc>
          <w:tcPr>
            <w:tcW w:w="467" w:type="pct"/>
            <w:vMerge/>
            <w:vAlign w:val="center"/>
          </w:tcPr>
          <w:p w:rsidR="00AD567A" w:rsidRPr="00534C5B" w:rsidRDefault="00AD567A" w:rsidP="00AD567A">
            <w:pPr>
              <w:pStyle w:val="NormalWeb"/>
              <w:spacing w:before="0" w:beforeAutospacing="0" w:after="0" w:afterAutospacing="0"/>
              <w:jc w:val="center"/>
              <w:rPr>
                <w:rFonts w:ascii="Arial Narrow" w:hAnsi="Arial Narrow"/>
                <w:color w:val="333333"/>
                <w:sz w:val="18"/>
                <w:szCs w:val="18"/>
              </w:rPr>
            </w:pPr>
          </w:p>
        </w:tc>
        <w:tc>
          <w:tcPr>
            <w:tcW w:w="4533" w:type="pct"/>
            <w:vAlign w:val="center"/>
            <w:hideMark/>
          </w:tcPr>
          <w:p w:rsidR="00AD567A" w:rsidRPr="00534C5B" w:rsidRDefault="00AD567A" w:rsidP="00C966F7">
            <w:pPr>
              <w:rPr>
                <w:rFonts w:ascii="Arial Narrow" w:hAnsi="Arial Narrow"/>
                <w:color w:val="333333"/>
                <w:sz w:val="18"/>
                <w:szCs w:val="18"/>
              </w:rPr>
            </w:pPr>
            <w:r w:rsidRPr="00534C5B">
              <w:rPr>
                <w:rFonts w:ascii="Arial Narrow" w:hAnsi="Arial Narrow"/>
                <w:color w:val="333333"/>
                <w:sz w:val="18"/>
                <w:szCs w:val="18"/>
              </w:rPr>
              <w:t>Patient must have commenced non-PBS subsidised treatment within 12 weeks of complete surgical resection</w:t>
            </w:r>
            <w:r w:rsidRPr="00534C5B">
              <w:rPr>
                <w:rFonts w:ascii="Arial Narrow" w:hAnsi="Arial Narrow"/>
                <w:strike/>
                <w:color w:val="333333"/>
                <w:sz w:val="18"/>
                <w:szCs w:val="18"/>
              </w:rPr>
              <w:t xml:space="preserve">, unless delay was necessary due to post-surgery </w:t>
            </w:r>
          </w:p>
        </w:tc>
      </w:tr>
      <w:tr w:rsidR="00AD567A" w:rsidRPr="00534C5B" w:rsidTr="00AD567A">
        <w:tc>
          <w:tcPr>
            <w:tcW w:w="467" w:type="pct"/>
            <w:vAlign w:val="center"/>
            <w:hideMark/>
          </w:tcPr>
          <w:p w:rsidR="00AD567A" w:rsidRPr="00534C5B" w:rsidRDefault="00AD567A" w:rsidP="00AD567A">
            <w:pPr>
              <w:jc w:val="center"/>
              <w:rPr>
                <w:rFonts w:ascii="Arial Narrow" w:hAnsi="Arial Narrow"/>
                <w:color w:val="333333"/>
                <w:sz w:val="18"/>
                <w:szCs w:val="18"/>
              </w:rPr>
            </w:pPr>
          </w:p>
        </w:tc>
        <w:tc>
          <w:tcPr>
            <w:tcW w:w="4533" w:type="pct"/>
            <w:vAlign w:val="center"/>
            <w:hideMark/>
          </w:tcPr>
          <w:p w:rsidR="00AD567A" w:rsidRPr="00534C5B" w:rsidRDefault="00AD567A" w:rsidP="00AD567A">
            <w:pPr>
              <w:rPr>
                <w:rFonts w:ascii="Arial Narrow" w:hAnsi="Arial Narrow"/>
                <w:color w:val="333333"/>
                <w:sz w:val="18"/>
                <w:szCs w:val="18"/>
              </w:rPr>
            </w:pPr>
            <w:r w:rsidRPr="00534C5B">
              <w:rPr>
                <w:rStyle w:val="Strong"/>
                <w:rFonts w:ascii="Arial Narrow" w:hAnsi="Arial Narrow"/>
                <w:color w:val="333333"/>
                <w:sz w:val="18"/>
                <w:szCs w:val="18"/>
              </w:rPr>
              <w:t>AND</w:t>
            </w:r>
          </w:p>
        </w:tc>
      </w:tr>
      <w:tr w:rsidR="00AD567A" w:rsidRPr="00534C5B" w:rsidTr="00AD567A">
        <w:tc>
          <w:tcPr>
            <w:tcW w:w="467" w:type="pct"/>
            <w:vMerge w:val="restart"/>
            <w:vAlign w:val="center"/>
            <w:hideMark/>
          </w:tcPr>
          <w:p w:rsidR="00AD567A" w:rsidRPr="00534C5B" w:rsidRDefault="00AD567A" w:rsidP="00AD567A">
            <w:pPr>
              <w:pStyle w:val="NormalWeb"/>
              <w:spacing w:before="0" w:after="0"/>
              <w:jc w:val="center"/>
              <w:rPr>
                <w:rFonts w:ascii="Arial Narrow" w:hAnsi="Arial Narrow"/>
                <w:color w:val="333333"/>
                <w:sz w:val="18"/>
                <w:szCs w:val="18"/>
              </w:rPr>
            </w:pPr>
            <w:r w:rsidRPr="00534C5B">
              <w:rPr>
                <w:rFonts w:ascii="Arial Narrow" w:hAnsi="Arial Narrow"/>
                <w:color w:val="333333"/>
                <w:sz w:val="18"/>
                <w:szCs w:val="18"/>
              </w:rPr>
              <w:t>new</w:t>
            </w:r>
          </w:p>
        </w:tc>
        <w:tc>
          <w:tcPr>
            <w:tcW w:w="4533" w:type="pct"/>
            <w:vAlign w:val="center"/>
            <w:hideMark/>
          </w:tcPr>
          <w:p w:rsidR="00AD567A" w:rsidRPr="00534C5B" w:rsidRDefault="00AD567A" w:rsidP="00AD567A">
            <w:pPr>
              <w:pStyle w:val="NormalWeb"/>
              <w:spacing w:before="0" w:beforeAutospacing="0" w:after="0" w:afterAutospacing="0"/>
              <w:rPr>
                <w:rFonts w:ascii="Arial Narrow" w:hAnsi="Arial Narrow"/>
                <w:color w:val="333333"/>
                <w:sz w:val="18"/>
                <w:szCs w:val="18"/>
              </w:rPr>
            </w:pPr>
            <w:r w:rsidRPr="00534C5B">
              <w:rPr>
                <w:rStyle w:val="Strong"/>
                <w:rFonts w:ascii="Arial Narrow" w:hAnsi="Arial Narrow"/>
                <w:color w:val="333333"/>
                <w:sz w:val="18"/>
                <w:szCs w:val="18"/>
              </w:rPr>
              <w:t>Clinical criteria:</w:t>
            </w:r>
          </w:p>
        </w:tc>
      </w:tr>
      <w:tr w:rsidR="008B20C6" w:rsidRPr="00534C5B" w:rsidTr="00AD567A">
        <w:tc>
          <w:tcPr>
            <w:tcW w:w="467" w:type="pct"/>
            <w:vMerge/>
            <w:vAlign w:val="center"/>
            <w:hideMark/>
          </w:tcPr>
          <w:p w:rsidR="008B20C6" w:rsidRPr="00534C5B" w:rsidRDefault="008B20C6" w:rsidP="008B20C6">
            <w:pPr>
              <w:pStyle w:val="NormalWeb"/>
              <w:spacing w:before="0" w:beforeAutospacing="0" w:after="0" w:afterAutospacing="0"/>
              <w:rPr>
                <w:rFonts w:ascii="Arial Narrow" w:hAnsi="Arial Narrow"/>
                <w:color w:val="333333"/>
                <w:sz w:val="18"/>
                <w:szCs w:val="18"/>
              </w:rPr>
            </w:pPr>
          </w:p>
        </w:tc>
        <w:tc>
          <w:tcPr>
            <w:tcW w:w="4533" w:type="pct"/>
            <w:vAlign w:val="center"/>
            <w:hideMark/>
          </w:tcPr>
          <w:p w:rsidR="008B20C6" w:rsidRPr="00534C5B" w:rsidRDefault="008B20C6" w:rsidP="008B20C6">
            <w:pPr>
              <w:rPr>
                <w:rFonts w:ascii="Arial Narrow" w:hAnsi="Arial Narrow"/>
                <w:color w:val="333333"/>
                <w:sz w:val="18"/>
                <w:szCs w:val="18"/>
              </w:rPr>
            </w:pPr>
            <w:r w:rsidRPr="00534C5B">
              <w:rPr>
                <w:rFonts w:ascii="Arial Narrow" w:hAnsi="Arial Narrow"/>
                <w:color w:val="333333"/>
                <w:sz w:val="18"/>
                <w:szCs w:val="18"/>
              </w:rPr>
              <w:t>Patient must not receive more than 12 months of combined PBS-subsidised and non-PBS subsidised adjuvant therapy</w:t>
            </w:r>
          </w:p>
        </w:tc>
      </w:tr>
      <w:tr w:rsidR="008B20C6" w:rsidRPr="00534C5B" w:rsidTr="00AD567A">
        <w:tc>
          <w:tcPr>
            <w:tcW w:w="467" w:type="pct"/>
            <w:vAlign w:val="center"/>
          </w:tcPr>
          <w:p w:rsidR="008B20C6" w:rsidRPr="00534C5B" w:rsidRDefault="008B20C6" w:rsidP="008B20C6">
            <w:pPr>
              <w:pStyle w:val="NormalWeb"/>
              <w:spacing w:before="0" w:beforeAutospacing="0" w:after="0" w:afterAutospacing="0"/>
              <w:jc w:val="center"/>
              <w:rPr>
                <w:rFonts w:ascii="Arial Narrow" w:hAnsi="Arial Narrow"/>
                <w:color w:val="333333"/>
                <w:sz w:val="18"/>
                <w:szCs w:val="18"/>
              </w:rPr>
            </w:pPr>
            <w:r w:rsidRPr="00534C5B">
              <w:rPr>
                <w:rFonts w:ascii="Arial Narrow" w:hAnsi="Arial Narrow"/>
                <w:color w:val="333333"/>
                <w:sz w:val="18"/>
                <w:szCs w:val="18"/>
              </w:rPr>
              <w:t>24451</w:t>
            </w:r>
          </w:p>
        </w:tc>
        <w:tc>
          <w:tcPr>
            <w:tcW w:w="4533" w:type="pct"/>
            <w:vAlign w:val="center"/>
          </w:tcPr>
          <w:p w:rsidR="008B20C6" w:rsidRPr="00534C5B" w:rsidRDefault="008B20C6" w:rsidP="008B20C6">
            <w:pPr>
              <w:rPr>
                <w:rFonts w:ascii="Arial Narrow" w:hAnsi="Arial Narrow"/>
                <w:b/>
                <w:color w:val="333333"/>
                <w:sz w:val="18"/>
                <w:szCs w:val="18"/>
              </w:rPr>
            </w:pPr>
            <w:r w:rsidRPr="00534C5B">
              <w:rPr>
                <w:rFonts w:ascii="Arial Narrow" w:hAnsi="Arial Narrow"/>
                <w:b/>
                <w:color w:val="333333"/>
                <w:sz w:val="18"/>
                <w:szCs w:val="18"/>
              </w:rPr>
              <w:t>Prescribing instructions:</w:t>
            </w:r>
          </w:p>
          <w:p w:rsidR="008B20C6" w:rsidRPr="00534C5B" w:rsidRDefault="008B20C6" w:rsidP="008B20C6">
            <w:pPr>
              <w:rPr>
                <w:rFonts w:ascii="Arial Narrow" w:hAnsi="Arial Narrow"/>
                <w:color w:val="333333"/>
                <w:sz w:val="18"/>
                <w:szCs w:val="18"/>
              </w:rPr>
            </w:pPr>
            <w:r w:rsidRPr="00534C5B">
              <w:rPr>
                <w:rFonts w:ascii="Arial Narrow" w:hAnsi="Arial Narrow"/>
                <w:color w:val="333333"/>
                <w:sz w:val="18"/>
                <w:szCs w:val="18"/>
              </w:rPr>
              <w:lastRenderedPageBreak/>
              <w:t>Patients must only receive a maximum of 240 mg every two weeks or 480 mg every four weeks under a weight based or flat dosing regimen.</w:t>
            </w:r>
          </w:p>
        </w:tc>
      </w:tr>
      <w:tr w:rsidR="008B20C6" w:rsidRPr="00534C5B" w:rsidTr="00AD567A">
        <w:tc>
          <w:tcPr>
            <w:tcW w:w="467" w:type="pct"/>
            <w:vAlign w:val="center"/>
          </w:tcPr>
          <w:p w:rsidR="008B20C6" w:rsidRPr="00534C5B" w:rsidRDefault="008B20C6" w:rsidP="008B20C6">
            <w:pPr>
              <w:pStyle w:val="NormalWeb"/>
              <w:spacing w:before="0" w:beforeAutospacing="0" w:after="0" w:afterAutospacing="0"/>
              <w:jc w:val="center"/>
              <w:rPr>
                <w:rFonts w:ascii="Arial Narrow" w:hAnsi="Arial Narrow"/>
                <w:color w:val="333333"/>
                <w:sz w:val="18"/>
                <w:szCs w:val="18"/>
              </w:rPr>
            </w:pPr>
            <w:r w:rsidRPr="00534C5B">
              <w:rPr>
                <w:rFonts w:ascii="Arial Narrow" w:hAnsi="Arial Narrow"/>
                <w:color w:val="333333"/>
                <w:sz w:val="18"/>
                <w:szCs w:val="18"/>
              </w:rPr>
              <w:lastRenderedPageBreak/>
              <w:t>23701</w:t>
            </w:r>
          </w:p>
        </w:tc>
        <w:tc>
          <w:tcPr>
            <w:tcW w:w="4533" w:type="pct"/>
            <w:vAlign w:val="center"/>
          </w:tcPr>
          <w:p w:rsidR="008B20C6" w:rsidRPr="00534C5B" w:rsidRDefault="008B20C6" w:rsidP="008B20C6">
            <w:pPr>
              <w:rPr>
                <w:rFonts w:ascii="Arial Narrow" w:hAnsi="Arial Narrow"/>
                <w:b/>
                <w:color w:val="333333"/>
                <w:sz w:val="18"/>
                <w:szCs w:val="18"/>
              </w:rPr>
            </w:pPr>
            <w:r w:rsidRPr="00534C5B">
              <w:rPr>
                <w:rFonts w:ascii="Arial Narrow" w:hAnsi="Arial Narrow"/>
                <w:b/>
                <w:color w:val="333333"/>
                <w:sz w:val="18"/>
                <w:szCs w:val="18"/>
              </w:rPr>
              <w:t>Prescribing instructions:</w:t>
            </w:r>
          </w:p>
          <w:p w:rsidR="008B20C6" w:rsidRPr="00534C5B" w:rsidRDefault="008B20C6" w:rsidP="008B20C6">
            <w:pPr>
              <w:rPr>
                <w:rFonts w:ascii="Arial Narrow" w:hAnsi="Arial Narrow"/>
                <w:color w:val="333333"/>
                <w:sz w:val="18"/>
                <w:szCs w:val="18"/>
              </w:rPr>
            </w:pPr>
            <w:r w:rsidRPr="00534C5B">
              <w:rPr>
                <w:rFonts w:ascii="Arial Narrow" w:hAnsi="Arial Narrow"/>
                <w:color w:val="333333"/>
                <w:sz w:val="18"/>
                <w:szCs w:val="18"/>
              </w:rPr>
              <w:t>A Grandfathered patient may qualify for PBS-subsidised treatment under this restriction once only. For continuing PBS-subsidised treatment, a Grandfathered patient must qualify under the continuing treatment criteria.</w:t>
            </w:r>
          </w:p>
        </w:tc>
      </w:tr>
    </w:tbl>
    <w:p w:rsidR="00AD567A" w:rsidRPr="00534C5B" w:rsidRDefault="00AD567A" w:rsidP="00AD567A">
      <w:pPr>
        <w:rPr>
          <w:rFonts w:asciiTheme="minorHAnsi" w:hAnsiTheme="minorHAnsi" w:cstheme="minorHAnsi"/>
        </w:rPr>
      </w:pPr>
    </w:p>
    <w:p w:rsidR="00FB694D" w:rsidRPr="00534C5B" w:rsidRDefault="00FB694D" w:rsidP="00AD567A">
      <w:pPr>
        <w:rPr>
          <w:rFonts w:asciiTheme="minorHAnsi" w:hAnsiTheme="minorHAnsi" w:cstheme="minorHAnsi"/>
          <w:u w:val="single"/>
        </w:rPr>
      </w:pPr>
      <w:r w:rsidRPr="00534C5B">
        <w:rPr>
          <w:rFonts w:asciiTheme="minorHAnsi" w:hAnsiTheme="minorHAnsi" w:cstheme="minorHAnsi"/>
          <w:u w:val="single"/>
        </w:rPr>
        <w:t>Flow-on changes to DAB+TRAM restrictions in the adjuvant setting:</w:t>
      </w:r>
    </w:p>
    <w:p w:rsidR="00FB694D" w:rsidRPr="00534C5B" w:rsidRDefault="00FB694D" w:rsidP="00AD567A">
      <w:pPr>
        <w:rPr>
          <w:rFonts w:asciiTheme="minorHAnsi" w:hAnsiTheme="minorHAnsi" w:cstheme="minorHAnsi"/>
          <w:u w:val="single"/>
        </w:rPr>
      </w:pPr>
    </w:p>
    <w:tbl>
      <w:tblPr>
        <w:tblW w:w="4994" w:type="pct"/>
        <w:tblLook w:val="04A0" w:firstRow="1" w:lastRow="0" w:firstColumn="1" w:lastColumn="0" w:noHBand="0" w:noVBand="1"/>
      </w:tblPr>
      <w:tblGrid>
        <w:gridCol w:w="1554"/>
        <w:gridCol w:w="7451"/>
      </w:tblGrid>
      <w:tr w:rsidR="00FB694D" w:rsidRPr="00534C5B" w:rsidTr="00FB694D">
        <w:trPr>
          <w:trHeight w:val="135"/>
        </w:trPr>
        <w:tc>
          <w:tcPr>
            <w:tcW w:w="5000" w:type="pct"/>
            <w:gridSpan w:val="2"/>
            <w:tcBorders>
              <w:top w:val="single" w:sz="4" w:space="0" w:color="auto"/>
              <w:left w:val="single" w:sz="4" w:space="0" w:color="auto"/>
              <w:bottom w:val="single" w:sz="4" w:space="0" w:color="auto"/>
              <w:right w:val="single" w:sz="4" w:space="0" w:color="auto"/>
            </w:tcBorders>
            <w:tcMar>
              <w:left w:w="28" w:type="dxa"/>
              <w:right w:w="28" w:type="dxa"/>
            </w:tcMar>
          </w:tcPr>
          <w:p w:rsidR="00FB694D" w:rsidRPr="00534C5B" w:rsidRDefault="00FB694D" w:rsidP="00FB694D">
            <w:pPr>
              <w:rPr>
                <w:rFonts w:ascii="Arial Narrow" w:hAnsi="Arial Narrow"/>
                <w:b/>
                <w:sz w:val="18"/>
                <w:szCs w:val="18"/>
              </w:rPr>
            </w:pPr>
            <w:r w:rsidRPr="00534C5B">
              <w:rPr>
                <w:rFonts w:ascii="Arial Narrow" w:hAnsi="Arial Narrow"/>
                <w:b/>
                <w:sz w:val="18"/>
                <w:szCs w:val="18"/>
              </w:rPr>
              <w:t xml:space="preserve">Dabrafenib </w:t>
            </w:r>
          </w:p>
        </w:tc>
      </w:tr>
      <w:tr w:rsidR="00FB694D" w:rsidRPr="00534C5B" w:rsidTr="00FB694D">
        <w:trPr>
          <w:trHeight w:val="135"/>
        </w:trPr>
        <w:tc>
          <w:tcPr>
            <w:tcW w:w="863" w:type="pct"/>
            <w:tcBorders>
              <w:top w:val="single" w:sz="4" w:space="0" w:color="auto"/>
              <w:left w:val="single" w:sz="4" w:space="0" w:color="auto"/>
              <w:bottom w:val="single" w:sz="4" w:space="0" w:color="auto"/>
              <w:right w:val="single" w:sz="4" w:space="0" w:color="auto"/>
            </w:tcBorders>
            <w:tcMar>
              <w:left w:w="28" w:type="dxa"/>
              <w:right w:w="28" w:type="dxa"/>
            </w:tcMar>
          </w:tcPr>
          <w:p w:rsidR="00FB694D" w:rsidRPr="00534C5B" w:rsidRDefault="00FB694D" w:rsidP="004869D0">
            <w:pPr>
              <w:rPr>
                <w:rFonts w:ascii="Arial Narrow" w:hAnsi="Arial Narrow"/>
                <w:b/>
                <w:sz w:val="18"/>
                <w:szCs w:val="18"/>
              </w:rPr>
            </w:pPr>
            <w:r w:rsidRPr="00534C5B">
              <w:rPr>
                <w:rFonts w:ascii="Arial Narrow" w:hAnsi="Arial Narrow"/>
                <w:b/>
                <w:sz w:val="18"/>
                <w:szCs w:val="18"/>
              </w:rPr>
              <w:t>Schedule:</w:t>
            </w:r>
          </w:p>
        </w:tc>
        <w:tc>
          <w:tcPr>
            <w:tcW w:w="4137" w:type="pct"/>
            <w:tcBorders>
              <w:top w:val="single" w:sz="4" w:space="0" w:color="auto"/>
              <w:left w:val="single" w:sz="4" w:space="0" w:color="auto"/>
              <w:bottom w:val="single" w:sz="4" w:space="0" w:color="auto"/>
              <w:right w:val="single" w:sz="4" w:space="0" w:color="auto"/>
            </w:tcBorders>
            <w:tcMar>
              <w:left w:w="28" w:type="dxa"/>
              <w:right w:w="28" w:type="dxa"/>
            </w:tcMar>
          </w:tcPr>
          <w:p w:rsidR="00FB694D" w:rsidRPr="00534C5B" w:rsidRDefault="00FB694D" w:rsidP="004869D0">
            <w:pPr>
              <w:rPr>
                <w:rFonts w:ascii="Arial Narrow" w:hAnsi="Arial Narrow"/>
                <w:sz w:val="18"/>
                <w:szCs w:val="18"/>
              </w:rPr>
            </w:pPr>
            <w:r w:rsidRPr="00534C5B">
              <w:rPr>
                <w:rFonts w:ascii="Arial Narrow" w:hAnsi="Arial Narrow"/>
                <w:sz w:val="18"/>
                <w:szCs w:val="18"/>
              </w:rPr>
              <w:t>General</w:t>
            </w:r>
          </w:p>
        </w:tc>
      </w:tr>
      <w:tr w:rsidR="00FB694D" w:rsidRPr="00534C5B" w:rsidTr="00FB69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trHeight w:val="20"/>
        </w:trPr>
        <w:tc>
          <w:tcPr>
            <w:tcW w:w="863"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FB694D" w:rsidRPr="00534C5B" w:rsidRDefault="00FB694D" w:rsidP="004869D0">
            <w:pPr>
              <w:rPr>
                <w:rFonts w:ascii="Arial Narrow" w:hAnsi="Arial Narrow"/>
                <w:b/>
                <w:sz w:val="18"/>
                <w:szCs w:val="18"/>
              </w:rPr>
            </w:pPr>
            <w:r w:rsidRPr="00534C5B">
              <w:rPr>
                <w:rFonts w:ascii="Arial Narrow" w:hAnsi="Arial Narrow"/>
                <w:b/>
                <w:sz w:val="18"/>
                <w:szCs w:val="18"/>
              </w:rPr>
              <w:t>Prescriber type:</w:t>
            </w:r>
          </w:p>
        </w:tc>
        <w:tc>
          <w:tcPr>
            <w:tcW w:w="4137"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FB694D" w:rsidRPr="00534C5B" w:rsidRDefault="00FB694D" w:rsidP="004869D0">
            <w:pPr>
              <w:rPr>
                <w:rFonts w:ascii="Arial Narrow" w:hAnsi="Arial Narrow"/>
                <w:sz w:val="18"/>
                <w:szCs w:val="18"/>
              </w:rPr>
            </w:pPr>
            <w:r w:rsidRPr="00534C5B">
              <w:rPr>
                <w:rFonts w:ascii="Arial Narrow" w:hAnsi="Arial Narrow"/>
                <w:sz w:val="18"/>
                <w:szCs w:val="18"/>
              </w:rPr>
              <w:fldChar w:fldCharType="begin">
                <w:ffData>
                  <w:name w:val=""/>
                  <w:enabled/>
                  <w:calcOnExit w:val="0"/>
                  <w:checkBox>
                    <w:sizeAuto/>
                    <w:default w:val="0"/>
                  </w:checkBox>
                </w:ffData>
              </w:fldChar>
            </w:r>
            <w:r w:rsidRPr="00534C5B">
              <w:rPr>
                <w:rFonts w:ascii="Arial Narrow" w:hAnsi="Arial Narrow"/>
                <w:sz w:val="18"/>
                <w:szCs w:val="18"/>
              </w:rPr>
              <w:instrText xml:space="preserve"> FORMCHECKBOX </w:instrText>
            </w:r>
            <w:r w:rsidR="00653477">
              <w:rPr>
                <w:rFonts w:ascii="Arial Narrow" w:hAnsi="Arial Narrow"/>
                <w:sz w:val="18"/>
                <w:szCs w:val="18"/>
              </w:rPr>
            </w:r>
            <w:r w:rsidR="00653477">
              <w:rPr>
                <w:rFonts w:ascii="Arial Narrow" w:hAnsi="Arial Narrow"/>
                <w:sz w:val="18"/>
                <w:szCs w:val="18"/>
              </w:rPr>
              <w:fldChar w:fldCharType="separate"/>
            </w:r>
            <w:r w:rsidRPr="00534C5B">
              <w:rPr>
                <w:rFonts w:ascii="Arial Narrow" w:hAnsi="Arial Narrow"/>
                <w:sz w:val="18"/>
                <w:szCs w:val="18"/>
              </w:rPr>
              <w:fldChar w:fldCharType="end"/>
            </w:r>
            <w:r w:rsidRPr="00534C5B">
              <w:rPr>
                <w:rFonts w:ascii="Arial Narrow" w:hAnsi="Arial Narrow"/>
                <w:sz w:val="18"/>
                <w:szCs w:val="18"/>
              </w:rPr>
              <w:t xml:space="preserve">Dental  </w:t>
            </w:r>
            <w:r w:rsidRPr="00534C5B">
              <w:rPr>
                <w:rFonts w:ascii="Arial Narrow" w:hAnsi="Arial Narrow"/>
                <w:sz w:val="18"/>
                <w:szCs w:val="18"/>
              </w:rPr>
              <w:fldChar w:fldCharType="begin">
                <w:ffData>
                  <w:name w:val=""/>
                  <w:enabled/>
                  <w:calcOnExit w:val="0"/>
                  <w:checkBox>
                    <w:sizeAuto/>
                    <w:default w:val="1"/>
                  </w:checkBox>
                </w:ffData>
              </w:fldChar>
            </w:r>
            <w:r w:rsidRPr="00534C5B">
              <w:rPr>
                <w:rFonts w:ascii="Arial Narrow" w:hAnsi="Arial Narrow"/>
                <w:sz w:val="18"/>
                <w:szCs w:val="18"/>
              </w:rPr>
              <w:instrText xml:space="preserve"> FORMCHECKBOX </w:instrText>
            </w:r>
            <w:r w:rsidR="00653477">
              <w:rPr>
                <w:rFonts w:ascii="Arial Narrow" w:hAnsi="Arial Narrow"/>
                <w:sz w:val="18"/>
                <w:szCs w:val="18"/>
              </w:rPr>
            </w:r>
            <w:r w:rsidR="00653477">
              <w:rPr>
                <w:rFonts w:ascii="Arial Narrow" w:hAnsi="Arial Narrow"/>
                <w:sz w:val="18"/>
                <w:szCs w:val="18"/>
              </w:rPr>
              <w:fldChar w:fldCharType="separate"/>
            </w:r>
            <w:r w:rsidRPr="00534C5B">
              <w:rPr>
                <w:rFonts w:ascii="Arial Narrow" w:hAnsi="Arial Narrow"/>
                <w:sz w:val="18"/>
                <w:szCs w:val="18"/>
              </w:rPr>
              <w:fldChar w:fldCharType="end"/>
            </w:r>
            <w:r w:rsidRPr="00534C5B">
              <w:rPr>
                <w:rFonts w:ascii="Arial Narrow" w:hAnsi="Arial Narrow"/>
                <w:sz w:val="18"/>
                <w:szCs w:val="18"/>
              </w:rPr>
              <w:t xml:space="preserve">Medical Practitioners  </w:t>
            </w:r>
            <w:r w:rsidRPr="00534C5B">
              <w:rPr>
                <w:rFonts w:ascii="Arial Narrow" w:hAnsi="Arial Narrow"/>
                <w:sz w:val="18"/>
                <w:szCs w:val="18"/>
              </w:rPr>
              <w:fldChar w:fldCharType="begin">
                <w:ffData>
                  <w:name w:val="Check3"/>
                  <w:enabled/>
                  <w:calcOnExit w:val="0"/>
                  <w:checkBox>
                    <w:sizeAuto/>
                    <w:default w:val="0"/>
                  </w:checkBox>
                </w:ffData>
              </w:fldChar>
            </w:r>
            <w:r w:rsidRPr="00534C5B">
              <w:rPr>
                <w:rFonts w:ascii="Arial Narrow" w:hAnsi="Arial Narrow"/>
                <w:sz w:val="18"/>
                <w:szCs w:val="18"/>
              </w:rPr>
              <w:instrText xml:space="preserve"> FORMCHECKBOX </w:instrText>
            </w:r>
            <w:r w:rsidR="00653477">
              <w:rPr>
                <w:rFonts w:ascii="Arial Narrow" w:hAnsi="Arial Narrow"/>
                <w:sz w:val="18"/>
                <w:szCs w:val="18"/>
              </w:rPr>
            </w:r>
            <w:r w:rsidR="00653477">
              <w:rPr>
                <w:rFonts w:ascii="Arial Narrow" w:hAnsi="Arial Narrow"/>
                <w:sz w:val="18"/>
                <w:szCs w:val="18"/>
              </w:rPr>
              <w:fldChar w:fldCharType="separate"/>
            </w:r>
            <w:r w:rsidRPr="00534C5B">
              <w:rPr>
                <w:rFonts w:ascii="Arial Narrow" w:hAnsi="Arial Narrow"/>
                <w:sz w:val="18"/>
                <w:szCs w:val="18"/>
              </w:rPr>
              <w:fldChar w:fldCharType="end"/>
            </w:r>
            <w:r w:rsidRPr="00534C5B">
              <w:rPr>
                <w:rFonts w:ascii="Arial Narrow" w:hAnsi="Arial Narrow"/>
                <w:sz w:val="18"/>
                <w:szCs w:val="18"/>
              </w:rPr>
              <w:t xml:space="preserve">Nurse practitioners  </w:t>
            </w:r>
            <w:r w:rsidRPr="00534C5B">
              <w:rPr>
                <w:rFonts w:ascii="Arial Narrow" w:hAnsi="Arial Narrow"/>
                <w:sz w:val="18"/>
                <w:szCs w:val="18"/>
              </w:rPr>
              <w:fldChar w:fldCharType="begin">
                <w:ffData>
                  <w:name w:val=""/>
                  <w:enabled/>
                  <w:calcOnExit w:val="0"/>
                  <w:checkBox>
                    <w:sizeAuto/>
                    <w:default w:val="0"/>
                  </w:checkBox>
                </w:ffData>
              </w:fldChar>
            </w:r>
            <w:r w:rsidRPr="00534C5B">
              <w:rPr>
                <w:rFonts w:ascii="Arial Narrow" w:hAnsi="Arial Narrow"/>
                <w:sz w:val="18"/>
                <w:szCs w:val="18"/>
              </w:rPr>
              <w:instrText xml:space="preserve"> FORMCHECKBOX </w:instrText>
            </w:r>
            <w:r w:rsidR="00653477">
              <w:rPr>
                <w:rFonts w:ascii="Arial Narrow" w:hAnsi="Arial Narrow"/>
                <w:sz w:val="18"/>
                <w:szCs w:val="18"/>
              </w:rPr>
            </w:r>
            <w:r w:rsidR="00653477">
              <w:rPr>
                <w:rFonts w:ascii="Arial Narrow" w:hAnsi="Arial Narrow"/>
                <w:sz w:val="18"/>
                <w:szCs w:val="18"/>
              </w:rPr>
              <w:fldChar w:fldCharType="separate"/>
            </w:r>
            <w:r w:rsidRPr="00534C5B">
              <w:rPr>
                <w:rFonts w:ascii="Arial Narrow" w:hAnsi="Arial Narrow"/>
                <w:sz w:val="18"/>
                <w:szCs w:val="18"/>
              </w:rPr>
              <w:fldChar w:fldCharType="end"/>
            </w:r>
            <w:r w:rsidRPr="00534C5B">
              <w:rPr>
                <w:rFonts w:ascii="Arial Narrow" w:hAnsi="Arial Narrow"/>
                <w:sz w:val="18"/>
                <w:szCs w:val="18"/>
              </w:rPr>
              <w:t xml:space="preserve">Optometrists  </w:t>
            </w:r>
            <w:r w:rsidRPr="00534C5B">
              <w:rPr>
                <w:rFonts w:ascii="Arial Narrow" w:hAnsi="Arial Narrow"/>
                <w:sz w:val="18"/>
                <w:szCs w:val="18"/>
              </w:rPr>
              <w:fldChar w:fldCharType="begin">
                <w:ffData>
                  <w:name w:val="Check5"/>
                  <w:enabled/>
                  <w:calcOnExit w:val="0"/>
                  <w:checkBox>
                    <w:sizeAuto/>
                    <w:default w:val="0"/>
                  </w:checkBox>
                </w:ffData>
              </w:fldChar>
            </w:r>
            <w:r w:rsidRPr="00534C5B">
              <w:rPr>
                <w:rFonts w:ascii="Arial Narrow" w:hAnsi="Arial Narrow"/>
                <w:sz w:val="18"/>
                <w:szCs w:val="18"/>
              </w:rPr>
              <w:instrText xml:space="preserve"> FORMCHECKBOX </w:instrText>
            </w:r>
            <w:r w:rsidR="00653477">
              <w:rPr>
                <w:rFonts w:ascii="Arial Narrow" w:hAnsi="Arial Narrow"/>
                <w:sz w:val="18"/>
                <w:szCs w:val="18"/>
              </w:rPr>
            </w:r>
            <w:r w:rsidR="00653477">
              <w:rPr>
                <w:rFonts w:ascii="Arial Narrow" w:hAnsi="Arial Narrow"/>
                <w:sz w:val="18"/>
                <w:szCs w:val="18"/>
              </w:rPr>
              <w:fldChar w:fldCharType="separate"/>
            </w:r>
            <w:r w:rsidRPr="00534C5B">
              <w:rPr>
                <w:rFonts w:ascii="Arial Narrow" w:hAnsi="Arial Narrow"/>
                <w:sz w:val="18"/>
                <w:szCs w:val="18"/>
              </w:rPr>
              <w:fldChar w:fldCharType="end"/>
            </w:r>
            <w:r w:rsidRPr="00534C5B">
              <w:rPr>
                <w:rFonts w:ascii="Arial Narrow" w:hAnsi="Arial Narrow"/>
                <w:sz w:val="18"/>
                <w:szCs w:val="18"/>
              </w:rPr>
              <w:t>Midwives</w:t>
            </w:r>
          </w:p>
        </w:tc>
      </w:tr>
      <w:tr w:rsidR="00FB694D" w:rsidRPr="00534C5B" w:rsidTr="00FB694D">
        <w:trPr>
          <w:trHeight w:val="135"/>
        </w:trPr>
        <w:tc>
          <w:tcPr>
            <w:tcW w:w="863" w:type="pct"/>
            <w:tcBorders>
              <w:top w:val="single" w:sz="4" w:space="0" w:color="auto"/>
              <w:left w:val="single" w:sz="4" w:space="0" w:color="auto"/>
              <w:bottom w:val="single" w:sz="4" w:space="0" w:color="auto"/>
              <w:right w:val="single" w:sz="4" w:space="0" w:color="auto"/>
            </w:tcBorders>
            <w:tcMar>
              <w:left w:w="28" w:type="dxa"/>
              <w:right w:w="28" w:type="dxa"/>
            </w:tcMar>
          </w:tcPr>
          <w:p w:rsidR="00FB694D" w:rsidRPr="00534C5B" w:rsidRDefault="00FB694D" w:rsidP="004869D0">
            <w:pPr>
              <w:rPr>
                <w:rFonts w:ascii="Arial Narrow" w:hAnsi="Arial Narrow"/>
                <w:b/>
                <w:sz w:val="18"/>
                <w:szCs w:val="18"/>
              </w:rPr>
            </w:pPr>
            <w:r w:rsidRPr="00534C5B">
              <w:rPr>
                <w:rFonts w:ascii="Arial Narrow" w:hAnsi="Arial Narrow"/>
                <w:b/>
                <w:sz w:val="18"/>
                <w:szCs w:val="18"/>
              </w:rPr>
              <w:t>Category/program:</w:t>
            </w:r>
          </w:p>
        </w:tc>
        <w:tc>
          <w:tcPr>
            <w:tcW w:w="4137" w:type="pct"/>
            <w:tcBorders>
              <w:top w:val="single" w:sz="4" w:space="0" w:color="auto"/>
              <w:left w:val="single" w:sz="4" w:space="0" w:color="auto"/>
              <w:bottom w:val="single" w:sz="4" w:space="0" w:color="auto"/>
              <w:right w:val="single" w:sz="4" w:space="0" w:color="auto"/>
            </w:tcBorders>
            <w:tcMar>
              <w:left w:w="28" w:type="dxa"/>
              <w:right w:w="28" w:type="dxa"/>
            </w:tcMar>
          </w:tcPr>
          <w:p w:rsidR="00FB694D" w:rsidRPr="00534C5B" w:rsidRDefault="00FB694D" w:rsidP="004869D0">
            <w:pPr>
              <w:rPr>
                <w:rFonts w:ascii="Arial Narrow" w:hAnsi="Arial Narrow"/>
                <w:sz w:val="18"/>
                <w:szCs w:val="18"/>
              </w:rPr>
            </w:pPr>
            <w:r w:rsidRPr="00534C5B">
              <w:rPr>
                <w:rFonts w:ascii="Arial Narrow" w:hAnsi="Arial Narrow"/>
                <w:sz w:val="18"/>
                <w:szCs w:val="18"/>
              </w:rPr>
              <w:fldChar w:fldCharType="begin">
                <w:ffData>
                  <w:name w:val="Check5"/>
                  <w:enabled/>
                  <w:calcOnExit w:val="0"/>
                  <w:checkBox>
                    <w:sizeAuto/>
                    <w:default w:val="1"/>
                  </w:checkBox>
                </w:ffData>
              </w:fldChar>
            </w:r>
            <w:r w:rsidRPr="00534C5B">
              <w:rPr>
                <w:rFonts w:ascii="Arial Narrow" w:hAnsi="Arial Narrow"/>
                <w:sz w:val="18"/>
                <w:szCs w:val="18"/>
              </w:rPr>
              <w:instrText xml:space="preserve"> FORMCHECKBOX </w:instrText>
            </w:r>
            <w:r w:rsidR="00653477">
              <w:rPr>
                <w:rFonts w:ascii="Arial Narrow" w:hAnsi="Arial Narrow"/>
                <w:sz w:val="18"/>
                <w:szCs w:val="18"/>
              </w:rPr>
            </w:r>
            <w:r w:rsidR="00653477">
              <w:rPr>
                <w:rFonts w:ascii="Arial Narrow" w:hAnsi="Arial Narrow"/>
                <w:sz w:val="18"/>
                <w:szCs w:val="18"/>
              </w:rPr>
              <w:fldChar w:fldCharType="separate"/>
            </w:r>
            <w:r w:rsidRPr="00534C5B">
              <w:rPr>
                <w:rFonts w:ascii="Arial Narrow" w:hAnsi="Arial Narrow"/>
                <w:sz w:val="18"/>
                <w:szCs w:val="18"/>
              </w:rPr>
              <w:fldChar w:fldCharType="end"/>
            </w:r>
            <w:r w:rsidRPr="00534C5B">
              <w:rPr>
                <w:rFonts w:ascii="Arial Narrow" w:hAnsi="Arial Narrow"/>
                <w:sz w:val="18"/>
                <w:szCs w:val="18"/>
              </w:rPr>
              <w:t xml:space="preserve"> Authority Required (telephone)</w:t>
            </w:r>
          </w:p>
        </w:tc>
      </w:tr>
      <w:tr w:rsidR="00FB694D" w:rsidRPr="00534C5B" w:rsidTr="00FB694D">
        <w:trPr>
          <w:trHeight w:val="135"/>
        </w:trPr>
        <w:tc>
          <w:tcPr>
            <w:tcW w:w="863" w:type="pct"/>
            <w:tcBorders>
              <w:top w:val="single" w:sz="4" w:space="0" w:color="auto"/>
              <w:left w:val="single" w:sz="4" w:space="0" w:color="auto"/>
              <w:bottom w:val="single" w:sz="4" w:space="0" w:color="auto"/>
              <w:right w:val="single" w:sz="4" w:space="0" w:color="auto"/>
            </w:tcBorders>
            <w:tcMar>
              <w:left w:w="28" w:type="dxa"/>
              <w:right w:w="28" w:type="dxa"/>
            </w:tcMar>
            <w:hideMark/>
          </w:tcPr>
          <w:p w:rsidR="00FB694D" w:rsidRPr="00534C5B" w:rsidRDefault="00FB694D" w:rsidP="004869D0">
            <w:pPr>
              <w:rPr>
                <w:rFonts w:ascii="Arial Narrow" w:hAnsi="Arial Narrow"/>
                <w:b/>
                <w:sz w:val="18"/>
                <w:szCs w:val="18"/>
              </w:rPr>
            </w:pPr>
            <w:r w:rsidRPr="00534C5B">
              <w:rPr>
                <w:rFonts w:ascii="Arial Narrow" w:hAnsi="Arial Narrow"/>
                <w:b/>
                <w:sz w:val="18"/>
                <w:szCs w:val="18"/>
              </w:rPr>
              <w:t xml:space="preserve">Severity: </w:t>
            </w:r>
          </w:p>
        </w:tc>
        <w:tc>
          <w:tcPr>
            <w:tcW w:w="4137" w:type="pct"/>
            <w:tcBorders>
              <w:top w:val="single" w:sz="4" w:space="0" w:color="auto"/>
              <w:left w:val="single" w:sz="4" w:space="0" w:color="auto"/>
              <w:bottom w:val="single" w:sz="4" w:space="0" w:color="auto"/>
              <w:right w:val="single" w:sz="4" w:space="0" w:color="auto"/>
            </w:tcBorders>
            <w:tcMar>
              <w:left w:w="28" w:type="dxa"/>
              <w:right w:w="28" w:type="dxa"/>
            </w:tcMar>
            <w:hideMark/>
          </w:tcPr>
          <w:p w:rsidR="00FB694D" w:rsidRPr="00534C5B" w:rsidRDefault="00FB694D" w:rsidP="004869D0">
            <w:pPr>
              <w:rPr>
                <w:rFonts w:ascii="Arial Narrow" w:hAnsi="Arial Narrow"/>
                <w:sz w:val="18"/>
                <w:szCs w:val="18"/>
              </w:rPr>
            </w:pPr>
            <w:r w:rsidRPr="00534C5B">
              <w:rPr>
                <w:rFonts w:ascii="Arial Narrow" w:hAnsi="Arial Narrow"/>
                <w:sz w:val="18"/>
                <w:szCs w:val="18"/>
              </w:rPr>
              <w:t>Resected Stage IIIB, Stage IIIC or Stage IIID</w:t>
            </w:r>
          </w:p>
        </w:tc>
      </w:tr>
      <w:tr w:rsidR="00FB694D" w:rsidRPr="00534C5B" w:rsidTr="00FB694D">
        <w:trPr>
          <w:trHeight w:val="135"/>
        </w:trPr>
        <w:tc>
          <w:tcPr>
            <w:tcW w:w="863" w:type="pct"/>
            <w:tcBorders>
              <w:top w:val="single" w:sz="4" w:space="0" w:color="auto"/>
              <w:left w:val="single" w:sz="4" w:space="0" w:color="auto"/>
              <w:bottom w:val="single" w:sz="4" w:space="0" w:color="auto"/>
              <w:right w:val="single" w:sz="4" w:space="0" w:color="auto"/>
            </w:tcBorders>
            <w:tcMar>
              <w:left w:w="28" w:type="dxa"/>
              <w:right w:w="28" w:type="dxa"/>
            </w:tcMar>
            <w:hideMark/>
          </w:tcPr>
          <w:p w:rsidR="00FB694D" w:rsidRPr="00534C5B" w:rsidRDefault="00FB694D" w:rsidP="004869D0">
            <w:pPr>
              <w:rPr>
                <w:rFonts w:ascii="Arial Narrow" w:hAnsi="Arial Narrow"/>
                <w:b/>
                <w:sz w:val="18"/>
                <w:szCs w:val="18"/>
              </w:rPr>
            </w:pPr>
            <w:r w:rsidRPr="00534C5B">
              <w:rPr>
                <w:rFonts w:ascii="Arial Narrow" w:hAnsi="Arial Narrow"/>
                <w:b/>
                <w:sz w:val="18"/>
                <w:szCs w:val="18"/>
              </w:rPr>
              <w:t>Condition:</w:t>
            </w:r>
          </w:p>
        </w:tc>
        <w:tc>
          <w:tcPr>
            <w:tcW w:w="4137" w:type="pct"/>
            <w:tcBorders>
              <w:top w:val="single" w:sz="4" w:space="0" w:color="auto"/>
              <w:left w:val="single" w:sz="4" w:space="0" w:color="auto"/>
              <w:bottom w:val="single" w:sz="4" w:space="0" w:color="auto"/>
              <w:right w:val="single" w:sz="4" w:space="0" w:color="auto"/>
            </w:tcBorders>
            <w:tcMar>
              <w:left w:w="28" w:type="dxa"/>
              <w:right w:w="28" w:type="dxa"/>
            </w:tcMar>
            <w:hideMark/>
          </w:tcPr>
          <w:p w:rsidR="00FB694D" w:rsidRPr="00534C5B" w:rsidRDefault="00FB694D" w:rsidP="004869D0">
            <w:pPr>
              <w:rPr>
                <w:rFonts w:ascii="Arial Narrow" w:hAnsi="Arial Narrow"/>
                <w:sz w:val="18"/>
                <w:szCs w:val="18"/>
              </w:rPr>
            </w:pPr>
            <w:r w:rsidRPr="00534C5B">
              <w:rPr>
                <w:rFonts w:ascii="Arial Narrow" w:hAnsi="Arial Narrow"/>
                <w:sz w:val="18"/>
                <w:szCs w:val="18"/>
              </w:rPr>
              <w:t>Malignant melanoma</w:t>
            </w:r>
          </w:p>
        </w:tc>
      </w:tr>
      <w:tr w:rsidR="00FB694D" w:rsidRPr="00534C5B" w:rsidTr="00FB694D">
        <w:trPr>
          <w:trHeight w:val="241"/>
        </w:trPr>
        <w:tc>
          <w:tcPr>
            <w:tcW w:w="863" w:type="pct"/>
            <w:tcBorders>
              <w:top w:val="single" w:sz="4" w:space="0" w:color="auto"/>
              <w:left w:val="single" w:sz="4" w:space="0" w:color="auto"/>
              <w:bottom w:val="single" w:sz="4" w:space="0" w:color="auto"/>
              <w:right w:val="single" w:sz="4" w:space="0" w:color="auto"/>
            </w:tcBorders>
            <w:tcMar>
              <w:left w:w="28" w:type="dxa"/>
              <w:right w:w="28" w:type="dxa"/>
            </w:tcMar>
            <w:hideMark/>
          </w:tcPr>
          <w:p w:rsidR="00FB694D" w:rsidRPr="00534C5B" w:rsidRDefault="00FB694D" w:rsidP="004869D0">
            <w:pPr>
              <w:rPr>
                <w:rFonts w:ascii="Arial Narrow" w:hAnsi="Arial Narrow"/>
                <w:b/>
                <w:sz w:val="18"/>
                <w:szCs w:val="18"/>
              </w:rPr>
            </w:pPr>
            <w:r w:rsidRPr="00534C5B">
              <w:rPr>
                <w:rFonts w:ascii="Arial Narrow" w:hAnsi="Arial Narrow"/>
                <w:b/>
                <w:sz w:val="18"/>
                <w:szCs w:val="18"/>
              </w:rPr>
              <w:t>Treatment phase:</w:t>
            </w:r>
          </w:p>
        </w:tc>
        <w:tc>
          <w:tcPr>
            <w:tcW w:w="4137" w:type="pct"/>
            <w:tcBorders>
              <w:top w:val="single" w:sz="4" w:space="0" w:color="auto"/>
              <w:left w:val="single" w:sz="4" w:space="0" w:color="auto"/>
              <w:bottom w:val="single" w:sz="4" w:space="0" w:color="auto"/>
              <w:right w:val="single" w:sz="4" w:space="0" w:color="auto"/>
            </w:tcBorders>
            <w:tcMar>
              <w:left w:w="28" w:type="dxa"/>
              <w:right w:w="28" w:type="dxa"/>
            </w:tcMar>
            <w:hideMark/>
          </w:tcPr>
          <w:p w:rsidR="00FB694D" w:rsidRPr="00534C5B" w:rsidRDefault="00FB694D" w:rsidP="004869D0">
            <w:pPr>
              <w:rPr>
                <w:rFonts w:ascii="Arial Narrow" w:hAnsi="Arial Narrow"/>
                <w:sz w:val="18"/>
                <w:szCs w:val="18"/>
              </w:rPr>
            </w:pPr>
            <w:r w:rsidRPr="00534C5B">
              <w:rPr>
                <w:rFonts w:ascii="Arial Narrow" w:hAnsi="Arial Narrow"/>
                <w:sz w:val="18"/>
                <w:szCs w:val="18"/>
              </w:rPr>
              <w:t>Initial treatment</w:t>
            </w:r>
          </w:p>
        </w:tc>
      </w:tr>
      <w:tr w:rsidR="00FB694D" w:rsidRPr="00534C5B" w:rsidTr="00FB694D">
        <w:trPr>
          <w:trHeight w:val="360"/>
        </w:trPr>
        <w:tc>
          <w:tcPr>
            <w:tcW w:w="863" w:type="pct"/>
            <w:tcBorders>
              <w:top w:val="single" w:sz="4" w:space="0" w:color="auto"/>
              <w:left w:val="single" w:sz="4" w:space="0" w:color="auto"/>
              <w:bottom w:val="single" w:sz="4" w:space="0" w:color="auto"/>
              <w:right w:val="single" w:sz="4" w:space="0" w:color="auto"/>
            </w:tcBorders>
            <w:tcMar>
              <w:left w:w="28" w:type="dxa"/>
              <w:right w:w="28" w:type="dxa"/>
            </w:tcMar>
          </w:tcPr>
          <w:p w:rsidR="00FB694D" w:rsidRPr="00534C5B" w:rsidRDefault="00FB694D" w:rsidP="004869D0">
            <w:pPr>
              <w:rPr>
                <w:rFonts w:ascii="Arial Narrow" w:hAnsi="Arial Narrow"/>
                <w:b/>
                <w:sz w:val="18"/>
                <w:szCs w:val="18"/>
              </w:rPr>
            </w:pPr>
            <w:r w:rsidRPr="00534C5B">
              <w:rPr>
                <w:rFonts w:ascii="Arial Narrow" w:hAnsi="Arial Narrow"/>
                <w:b/>
                <w:sz w:val="18"/>
                <w:szCs w:val="18"/>
              </w:rPr>
              <w:t>Clinical criteria:</w:t>
            </w:r>
          </w:p>
          <w:p w:rsidR="00FB694D" w:rsidRPr="00534C5B" w:rsidRDefault="00FB694D" w:rsidP="004869D0">
            <w:pPr>
              <w:rPr>
                <w:rFonts w:ascii="Arial Narrow" w:hAnsi="Arial Narrow"/>
                <w:sz w:val="18"/>
                <w:szCs w:val="18"/>
              </w:rPr>
            </w:pPr>
          </w:p>
        </w:tc>
        <w:tc>
          <w:tcPr>
            <w:tcW w:w="4137" w:type="pct"/>
            <w:tcBorders>
              <w:top w:val="single" w:sz="4" w:space="0" w:color="auto"/>
              <w:left w:val="single" w:sz="4" w:space="0" w:color="auto"/>
              <w:bottom w:val="single" w:sz="4" w:space="0" w:color="auto"/>
              <w:right w:val="single" w:sz="4" w:space="0" w:color="auto"/>
            </w:tcBorders>
            <w:tcMar>
              <w:left w:w="28" w:type="dxa"/>
              <w:right w:w="28" w:type="dxa"/>
            </w:tcMar>
            <w:hideMark/>
          </w:tcPr>
          <w:p w:rsidR="00FB694D" w:rsidRPr="00534C5B" w:rsidRDefault="00FB694D" w:rsidP="004869D0">
            <w:pPr>
              <w:rPr>
                <w:rFonts w:ascii="Arial Narrow" w:hAnsi="Arial Narrow"/>
                <w:sz w:val="18"/>
                <w:szCs w:val="18"/>
              </w:rPr>
            </w:pPr>
            <w:r w:rsidRPr="00534C5B">
              <w:rPr>
                <w:rFonts w:ascii="Arial Narrow" w:hAnsi="Arial Narrow"/>
                <w:sz w:val="18"/>
                <w:szCs w:val="18"/>
              </w:rPr>
              <w:t xml:space="preserve">The treatment must be adjuvant to complete surgical resection </w:t>
            </w:r>
          </w:p>
          <w:p w:rsidR="00FB694D" w:rsidRPr="00534C5B" w:rsidRDefault="00FB694D" w:rsidP="004869D0">
            <w:pPr>
              <w:rPr>
                <w:rFonts w:ascii="Arial Narrow" w:hAnsi="Arial Narrow"/>
                <w:sz w:val="18"/>
                <w:szCs w:val="18"/>
              </w:rPr>
            </w:pPr>
            <w:r w:rsidRPr="00534C5B">
              <w:rPr>
                <w:rFonts w:ascii="Arial Narrow" w:hAnsi="Arial Narrow"/>
                <w:sz w:val="18"/>
                <w:szCs w:val="18"/>
              </w:rPr>
              <w:t xml:space="preserve">AND </w:t>
            </w:r>
          </w:p>
          <w:p w:rsidR="00FB694D" w:rsidRPr="00534C5B" w:rsidRDefault="00FB694D" w:rsidP="004869D0">
            <w:pPr>
              <w:rPr>
                <w:rFonts w:ascii="Arial Narrow" w:hAnsi="Arial Narrow"/>
                <w:sz w:val="18"/>
                <w:szCs w:val="18"/>
              </w:rPr>
            </w:pPr>
            <w:r w:rsidRPr="00534C5B">
              <w:rPr>
                <w:rFonts w:ascii="Arial Narrow" w:hAnsi="Arial Narrow"/>
                <w:sz w:val="18"/>
                <w:szCs w:val="18"/>
              </w:rPr>
              <w:t>The condition must be positive for a BRAF V600 mutation</w:t>
            </w:r>
          </w:p>
          <w:p w:rsidR="00FB694D" w:rsidRPr="00534C5B" w:rsidRDefault="00FB694D" w:rsidP="004869D0">
            <w:pPr>
              <w:rPr>
                <w:rFonts w:ascii="Arial Narrow" w:hAnsi="Arial Narrow"/>
                <w:sz w:val="18"/>
                <w:szCs w:val="18"/>
              </w:rPr>
            </w:pPr>
            <w:r w:rsidRPr="00534C5B">
              <w:rPr>
                <w:rFonts w:ascii="Arial Narrow" w:hAnsi="Arial Narrow"/>
                <w:sz w:val="18"/>
                <w:szCs w:val="18"/>
              </w:rPr>
              <w:t>AND</w:t>
            </w:r>
          </w:p>
          <w:p w:rsidR="00FB694D" w:rsidRPr="00534C5B" w:rsidRDefault="00FB694D" w:rsidP="004869D0">
            <w:pPr>
              <w:rPr>
                <w:rFonts w:ascii="Arial Narrow" w:hAnsi="Arial Narrow"/>
                <w:sz w:val="18"/>
                <w:szCs w:val="18"/>
              </w:rPr>
            </w:pPr>
            <w:r w:rsidRPr="00534C5B">
              <w:rPr>
                <w:rFonts w:ascii="Arial Narrow" w:hAnsi="Arial Narrow"/>
                <w:sz w:val="18"/>
                <w:szCs w:val="18"/>
              </w:rPr>
              <w:t>Patient must have a WHO performance status of 1 or less</w:t>
            </w:r>
          </w:p>
          <w:p w:rsidR="00FB694D" w:rsidRPr="00534C5B" w:rsidRDefault="00FB694D" w:rsidP="004869D0">
            <w:pPr>
              <w:rPr>
                <w:rFonts w:ascii="Arial Narrow" w:hAnsi="Arial Narrow"/>
                <w:sz w:val="18"/>
                <w:szCs w:val="18"/>
              </w:rPr>
            </w:pPr>
            <w:r w:rsidRPr="00534C5B">
              <w:rPr>
                <w:rFonts w:ascii="Arial Narrow" w:hAnsi="Arial Narrow"/>
                <w:sz w:val="18"/>
                <w:szCs w:val="18"/>
              </w:rPr>
              <w:t>AND</w:t>
            </w:r>
          </w:p>
          <w:p w:rsidR="00FB694D" w:rsidRPr="00534C5B" w:rsidRDefault="00FB694D" w:rsidP="004869D0">
            <w:pPr>
              <w:rPr>
                <w:rFonts w:ascii="Arial Narrow" w:hAnsi="Arial Narrow"/>
                <w:sz w:val="18"/>
                <w:szCs w:val="18"/>
              </w:rPr>
            </w:pPr>
            <w:r w:rsidRPr="00534C5B">
              <w:rPr>
                <w:rFonts w:ascii="Arial Narrow" w:hAnsi="Arial Narrow"/>
                <w:sz w:val="18"/>
                <w:szCs w:val="18"/>
              </w:rPr>
              <w:t xml:space="preserve">Patient must be receiving PBS-subsidised trametinib and dabrafenib concomitantly for this condition </w:t>
            </w:r>
          </w:p>
          <w:p w:rsidR="00FB694D" w:rsidRPr="00534C5B" w:rsidRDefault="00FB694D" w:rsidP="004869D0">
            <w:pPr>
              <w:rPr>
                <w:rFonts w:ascii="Arial Narrow" w:hAnsi="Arial Narrow"/>
                <w:sz w:val="18"/>
                <w:szCs w:val="18"/>
              </w:rPr>
            </w:pPr>
            <w:r w:rsidRPr="00534C5B">
              <w:rPr>
                <w:rFonts w:ascii="Arial Narrow" w:hAnsi="Arial Narrow"/>
                <w:sz w:val="18"/>
                <w:szCs w:val="18"/>
              </w:rPr>
              <w:t>AND</w:t>
            </w:r>
          </w:p>
          <w:p w:rsidR="00FB694D" w:rsidRPr="00534C5B" w:rsidRDefault="00FB694D" w:rsidP="004869D0">
            <w:pPr>
              <w:rPr>
                <w:rFonts w:ascii="Arial Narrow" w:hAnsi="Arial Narrow"/>
                <w:sz w:val="18"/>
                <w:szCs w:val="18"/>
              </w:rPr>
            </w:pPr>
            <w:r w:rsidRPr="00534C5B">
              <w:rPr>
                <w:rFonts w:ascii="Arial Narrow" w:hAnsi="Arial Narrow"/>
                <w:sz w:val="18"/>
                <w:szCs w:val="18"/>
              </w:rPr>
              <w:t>Patient must not have received prior PBS-subsidised treatment for this condition.</w:t>
            </w:r>
          </w:p>
        </w:tc>
      </w:tr>
      <w:tr w:rsidR="00FB694D" w:rsidRPr="00534C5B" w:rsidTr="00FB694D">
        <w:trPr>
          <w:trHeight w:val="814"/>
        </w:trPr>
        <w:tc>
          <w:tcPr>
            <w:tcW w:w="863" w:type="pct"/>
            <w:tcBorders>
              <w:top w:val="single" w:sz="4" w:space="0" w:color="auto"/>
              <w:left w:val="single" w:sz="4" w:space="0" w:color="auto"/>
              <w:bottom w:val="single" w:sz="4" w:space="0" w:color="auto"/>
              <w:right w:val="single" w:sz="4" w:space="0" w:color="auto"/>
            </w:tcBorders>
            <w:tcMar>
              <w:left w:w="28" w:type="dxa"/>
              <w:right w:w="28" w:type="dxa"/>
            </w:tcMar>
            <w:hideMark/>
          </w:tcPr>
          <w:p w:rsidR="00FB694D" w:rsidRPr="00534C5B" w:rsidRDefault="00FB694D" w:rsidP="004869D0">
            <w:pPr>
              <w:rPr>
                <w:rFonts w:ascii="Arial Narrow" w:hAnsi="Arial Narrow"/>
                <w:b/>
                <w:sz w:val="18"/>
                <w:szCs w:val="18"/>
              </w:rPr>
            </w:pPr>
            <w:r w:rsidRPr="00534C5B">
              <w:rPr>
                <w:rFonts w:ascii="Arial Narrow" w:hAnsi="Arial Narrow"/>
                <w:b/>
                <w:sz w:val="18"/>
                <w:szCs w:val="18"/>
              </w:rPr>
              <w:t>Treatment criteria:</w:t>
            </w:r>
          </w:p>
        </w:tc>
        <w:tc>
          <w:tcPr>
            <w:tcW w:w="4137" w:type="pct"/>
            <w:tcBorders>
              <w:top w:val="single" w:sz="4" w:space="0" w:color="auto"/>
              <w:left w:val="single" w:sz="4" w:space="0" w:color="auto"/>
              <w:bottom w:val="single" w:sz="4" w:space="0" w:color="auto"/>
              <w:right w:val="single" w:sz="4" w:space="0" w:color="auto"/>
            </w:tcBorders>
            <w:tcMar>
              <w:left w:w="28" w:type="dxa"/>
              <w:right w:w="28" w:type="dxa"/>
            </w:tcMar>
            <w:hideMark/>
          </w:tcPr>
          <w:p w:rsidR="00FB694D" w:rsidRPr="00534C5B" w:rsidRDefault="00FB694D" w:rsidP="004869D0">
            <w:pPr>
              <w:rPr>
                <w:rFonts w:ascii="Arial Narrow" w:hAnsi="Arial Narrow"/>
                <w:sz w:val="18"/>
                <w:szCs w:val="18"/>
              </w:rPr>
            </w:pPr>
            <w:r w:rsidRPr="00534C5B">
              <w:rPr>
                <w:rFonts w:ascii="Arial Narrow" w:hAnsi="Arial Narrow"/>
                <w:sz w:val="18"/>
                <w:szCs w:val="18"/>
              </w:rPr>
              <w:t>Treatment must commence within 12 weeks of complete resection</w:t>
            </w:r>
            <w:r w:rsidRPr="00534C5B">
              <w:rPr>
                <w:rFonts w:ascii="Arial Narrow" w:hAnsi="Arial Narrow"/>
                <w:strike/>
                <w:sz w:val="18"/>
                <w:szCs w:val="18"/>
              </w:rPr>
              <w:t>, unless delay is necessary due to post-surgery recovery</w:t>
            </w:r>
            <w:r w:rsidRPr="00534C5B">
              <w:rPr>
                <w:rFonts w:ascii="Arial Narrow" w:hAnsi="Arial Narrow"/>
                <w:sz w:val="18"/>
                <w:szCs w:val="18"/>
              </w:rPr>
              <w:t>;</w:t>
            </w:r>
          </w:p>
          <w:p w:rsidR="00FB694D" w:rsidRPr="00534C5B" w:rsidRDefault="00FB694D" w:rsidP="004869D0">
            <w:pPr>
              <w:rPr>
                <w:rFonts w:ascii="Arial Narrow" w:hAnsi="Arial Narrow"/>
                <w:sz w:val="18"/>
                <w:szCs w:val="18"/>
              </w:rPr>
            </w:pPr>
            <w:r w:rsidRPr="00534C5B">
              <w:rPr>
                <w:rFonts w:ascii="Arial Narrow" w:hAnsi="Arial Narrow"/>
                <w:sz w:val="18"/>
                <w:szCs w:val="18"/>
              </w:rPr>
              <w:t>AND</w:t>
            </w:r>
          </w:p>
          <w:p w:rsidR="00FB694D" w:rsidRPr="00534C5B" w:rsidRDefault="00FB694D" w:rsidP="004869D0">
            <w:pPr>
              <w:rPr>
                <w:rFonts w:ascii="Arial Narrow" w:hAnsi="Arial Narrow"/>
                <w:strike/>
                <w:sz w:val="18"/>
                <w:szCs w:val="18"/>
              </w:rPr>
            </w:pPr>
            <w:r w:rsidRPr="00534C5B">
              <w:rPr>
                <w:rFonts w:ascii="Arial Narrow" w:hAnsi="Arial Narrow"/>
                <w:strike/>
                <w:sz w:val="18"/>
                <w:szCs w:val="18"/>
              </w:rPr>
              <w:t>Treatment must not exceed a maximum duration of 12 months for adjuvant treatment of completely resected Stage IIIB, IIIC or IIID melanoma</w:t>
            </w:r>
          </w:p>
          <w:p w:rsidR="008B20C6" w:rsidRPr="00534C5B" w:rsidRDefault="008B20C6" w:rsidP="004869D0">
            <w:pPr>
              <w:rPr>
                <w:rFonts w:ascii="Arial Narrow" w:hAnsi="Arial Narrow"/>
                <w:i/>
                <w:sz w:val="18"/>
                <w:szCs w:val="18"/>
              </w:rPr>
            </w:pPr>
            <w:r w:rsidRPr="00534C5B">
              <w:rPr>
                <w:rFonts w:ascii="Arial Narrow" w:hAnsi="Arial Narrow"/>
                <w:i/>
                <w:color w:val="333333"/>
                <w:sz w:val="18"/>
                <w:szCs w:val="18"/>
              </w:rPr>
              <w:t>Patient must not receive more than 12 months of combined PBS-subsidised and non-PBS subsidised adjuvant therapy</w:t>
            </w:r>
          </w:p>
        </w:tc>
      </w:tr>
      <w:tr w:rsidR="00FB694D" w:rsidRPr="00534C5B" w:rsidTr="00FB694D">
        <w:trPr>
          <w:trHeight w:val="505"/>
        </w:trPr>
        <w:tc>
          <w:tcPr>
            <w:tcW w:w="863" w:type="pct"/>
            <w:tcBorders>
              <w:top w:val="single" w:sz="4" w:space="0" w:color="auto"/>
              <w:left w:val="single" w:sz="4" w:space="0" w:color="auto"/>
              <w:bottom w:val="single" w:sz="4" w:space="0" w:color="auto"/>
              <w:right w:val="single" w:sz="4" w:space="0" w:color="auto"/>
            </w:tcBorders>
            <w:tcMar>
              <w:left w:w="28" w:type="dxa"/>
              <w:right w:w="28" w:type="dxa"/>
            </w:tcMar>
            <w:hideMark/>
          </w:tcPr>
          <w:p w:rsidR="00FB694D" w:rsidRPr="00534C5B" w:rsidRDefault="00FB694D" w:rsidP="004869D0">
            <w:pPr>
              <w:rPr>
                <w:rFonts w:ascii="Arial Narrow" w:hAnsi="Arial Narrow"/>
                <w:b/>
                <w:i/>
                <w:sz w:val="18"/>
                <w:szCs w:val="18"/>
              </w:rPr>
            </w:pPr>
            <w:r w:rsidRPr="00534C5B">
              <w:rPr>
                <w:rFonts w:ascii="Arial Narrow" w:hAnsi="Arial Narrow"/>
                <w:b/>
                <w:sz w:val="18"/>
                <w:szCs w:val="18"/>
              </w:rPr>
              <w:t>Notes</w:t>
            </w:r>
            <w:r w:rsidRPr="00534C5B">
              <w:rPr>
                <w:rFonts w:ascii="Arial Narrow" w:hAnsi="Arial Narrow"/>
                <w:b/>
                <w:i/>
                <w:sz w:val="18"/>
                <w:szCs w:val="18"/>
              </w:rPr>
              <w:t>:</w:t>
            </w:r>
          </w:p>
        </w:tc>
        <w:tc>
          <w:tcPr>
            <w:tcW w:w="4137" w:type="pct"/>
            <w:tcBorders>
              <w:top w:val="single" w:sz="4" w:space="0" w:color="auto"/>
              <w:left w:val="single" w:sz="4" w:space="0" w:color="auto"/>
              <w:bottom w:val="single" w:sz="4" w:space="0" w:color="auto"/>
              <w:right w:val="single" w:sz="4" w:space="0" w:color="auto"/>
            </w:tcBorders>
            <w:tcMar>
              <w:left w:w="28" w:type="dxa"/>
              <w:right w:w="28" w:type="dxa"/>
            </w:tcMar>
            <w:hideMark/>
          </w:tcPr>
          <w:p w:rsidR="00FB694D" w:rsidRPr="00534C5B" w:rsidRDefault="00FB694D" w:rsidP="00FB694D">
            <w:pPr>
              <w:numPr>
                <w:ilvl w:val="0"/>
                <w:numId w:val="26"/>
              </w:numPr>
              <w:spacing w:after="160" w:line="259" w:lineRule="auto"/>
              <w:rPr>
                <w:rFonts w:ascii="Arial Narrow" w:hAnsi="Arial Narrow"/>
                <w:sz w:val="18"/>
                <w:szCs w:val="18"/>
              </w:rPr>
            </w:pPr>
            <w:r w:rsidRPr="00534C5B">
              <w:rPr>
                <w:rFonts w:ascii="Arial Narrow" w:hAnsi="Arial Narrow"/>
                <w:sz w:val="18"/>
                <w:szCs w:val="18"/>
              </w:rPr>
              <w:t>No increase in the maximum quantity or number of units or number of repeats will be authorised.</w:t>
            </w:r>
          </w:p>
          <w:p w:rsidR="00FB694D" w:rsidRPr="00534C5B" w:rsidRDefault="00FB694D" w:rsidP="00FB694D">
            <w:pPr>
              <w:numPr>
                <w:ilvl w:val="0"/>
                <w:numId w:val="26"/>
              </w:numPr>
              <w:rPr>
                <w:rFonts w:ascii="Arial Narrow" w:hAnsi="Arial Narrow"/>
                <w:i/>
                <w:sz w:val="18"/>
                <w:szCs w:val="18"/>
              </w:rPr>
            </w:pPr>
            <w:r w:rsidRPr="00534C5B">
              <w:rPr>
                <w:rFonts w:ascii="Arial Narrow" w:hAnsi="Arial Narrow"/>
                <w:sz w:val="18"/>
                <w:szCs w:val="18"/>
              </w:rPr>
              <w:t>Special Pricing Arrangements apply</w:t>
            </w:r>
            <w:r w:rsidRPr="00534C5B">
              <w:rPr>
                <w:rFonts w:ascii="Arial Narrow" w:hAnsi="Arial Narrow"/>
                <w:i/>
                <w:sz w:val="18"/>
                <w:szCs w:val="18"/>
              </w:rPr>
              <w:t>.</w:t>
            </w:r>
          </w:p>
        </w:tc>
      </w:tr>
    </w:tbl>
    <w:p w:rsidR="00FB694D" w:rsidRPr="00534C5B" w:rsidRDefault="00FB694D" w:rsidP="00FB694D">
      <w:pPr>
        <w:rPr>
          <w:rFonts w:ascii="Arial Narrow" w:hAnsi="Arial Narrow"/>
          <w:sz w:val="18"/>
          <w:szCs w:val="18"/>
        </w:rPr>
      </w:pPr>
    </w:p>
    <w:tbl>
      <w:tblPr>
        <w:tblW w:w="5000" w:type="pct"/>
        <w:tblInd w:w="-5" w:type="dxa"/>
        <w:tblLook w:val="04A0" w:firstRow="1" w:lastRow="0" w:firstColumn="1" w:lastColumn="0" w:noHBand="0" w:noVBand="1"/>
      </w:tblPr>
      <w:tblGrid>
        <w:gridCol w:w="1560"/>
        <w:gridCol w:w="7456"/>
      </w:tblGrid>
      <w:tr w:rsidR="00FB694D" w:rsidRPr="00534C5B" w:rsidTr="00FB694D">
        <w:trPr>
          <w:trHeight w:val="135"/>
        </w:trPr>
        <w:tc>
          <w:tcPr>
            <w:tcW w:w="5000" w:type="pct"/>
            <w:gridSpan w:val="2"/>
            <w:tcBorders>
              <w:top w:val="single" w:sz="4" w:space="0" w:color="auto"/>
              <w:left w:val="single" w:sz="4" w:space="0" w:color="auto"/>
              <w:bottom w:val="single" w:sz="4" w:space="0" w:color="auto"/>
              <w:right w:val="single" w:sz="4" w:space="0" w:color="auto"/>
            </w:tcBorders>
            <w:tcMar>
              <w:left w:w="28" w:type="dxa"/>
              <w:right w:w="28" w:type="dxa"/>
            </w:tcMar>
          </w:tcPr>
          <w:p w:rsidR="00FB694D" w:rsidRPr="00534C5B" w:rsidRDefault="00FB694D" w:rsidP="00FB694D">
            <w:pPr>
              <w:rPr>
                <w:rFonts w:ascii="Arial Narrow" w:hAnsi="Arial Narrow"/>
                <w:b/>
                <w:sz w:val="18"/>
                <w:szCs w:val="18"/>
              </w:rPr>
            </w:pPr>
            <w:r w:rsidRPr="00534C5B">
              <w:rPr>
                <w:rFonts w:ascii="Arial Narrow" w:hAnsi="Arial Narrow"/>
                <w:b/>
                <w:sz w:val="18"/>
                <w:szCs w:val="18"/>
              </w:rPr>
              <w:t>Dabrafenib</w:t>
            </w:r>
          </w:p>
        </w:tc>
      </w:tr>
      <w:tr w:rsidR="00FB694D" w:rsidRPr="00534C5B" w:rsidTr="00FB694D">
        <w:trPr>
          <w:trHeight w:val="135"/>
        </w:trPr>
        <w:tc>
          <w:tcPr>
            <w:tcW w:w="865" w:type="pct"/>
            <w:tcBorders>
              <w:top w:val="single" w:sz="4" w:space="0" w:color="auto"/>
              <w:left w:val="single" w:sz="4" w:space="0" w:color="auto"/>
              <w:bottom w:val="single" w:sz="4" w:space="0" w:color="auto"/>
              <w:right w:val="single" w:sz="4" w:space="0" w:color="auto"/>
            </w:tcBorders>
            <w:tcMar>
              <w:left w:w="28" w:type="dxa"/>
              <w:right w:w="28" w:type="dxa"/>
            </w:tcMar>
          </w:tcPr>
          <w:p w:rsidR="00FB694D" w:rsidRPr="00534C5B" w:rsidRDefault="00FB694D" w:rsidP="004869D0">
            <w:pPr>
              <w:rPr>
                <w:rFonts w:ascii="Arial Narrow" w:hAnsi="Arial Narrow"/>
                <w:b/>
                <w:sz w:val="18"/>
                <w:szCs w:val="18"/>
              </w:rPr>
            </w:pPr>
            <w:r w:rsidRPr="00534C5B">
              <w:rPr>
                <w:rFonts w:ascii="Arial Narrow" w:hAnsi="Arial Narrow"/>
                <w:b/>
                <w:sz w:val="18"/>
                <w:szCs w:val="18"/>
              </w:rPr>
              <w:t>Schedule:</w:t>
            </w:r>
          </w:p>
        </w:tc>
        <w:tc>
          <w:tcPr>
            <w:tcW w:w="4135" w:type="pct"/>
            <w:tcBorders>
              <w:top w:val="single" w:sz="4" w:space="0" w:color="auto"/>
              <w:left w:val="single" w:sz="4" w:space="0" w:color="auto"/>
              <w:bottom w:val="single" w:sz="4" w:space="0" w:color="auto"/>
              <w:right w:val="single" w:sz="4" w:space="0" w:color="auto"/>
            </w:tcBorders>
            <w:tcMar>
              <w:left w:w="28" w:type="dxa"/>
              <w:right w:w="28" w:type="dxa"/>
            </w:tcMar>
          </w:tcPr>
          <w:p w:rsidR="00FB694D" w:rsidRPr="00534C5B" w:rsidRDefault="00FB694D" w:rsidP="004869D0">
            <w:pPr>
              <w:rPr>
                <w:rFonts w:ascii="Arial Narrow" w:hAnsi="Arial Narrow"/>
                <w:sz w:val="18"/>
                <w:szCs w:val="18"/>
              </w:rPr>
            </w:pPr>
            <w:r w:rsidRPr="00534C5B">
              <w:rPr>
                <w:rFonts w:ascii="Arial Narrow" w:hAnsi="Arial Narrow"/>
                <w:sz w:val="18"/>
                <w:szCs w:val="18"/>
              </w:rPr>
              <w:t>General</w:t>
            </w:r>
          </w:p>
        </w:tc>
      </w:tr>
      <w:tr w:rsidR="00FB694D" w:rsidRPr="00534C5B" w:rsidTr="00FB69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trHeight w:val="20"/>
        </w:trPr>
        <w:tc>
          <w:tcPr>
            <w:tcW w:w="865"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FB694D" w:rsidRPr="00534C5B" w:rsidRDefault="00FB694D" w:rsidP="004869D0">
            <w:pPr>
              <w:rPr>
                <w:rFonts w:ascii="Arial Narrow" w:hAnsi="Arial Narrow"/>
                <w:b/>
                <w:sz w:val="18"/>
                <w:szCs w:val="18"/>
              </w:rPr>
            </w:pPr>
            <w:r w:rsidRPr="00534C5B">
              <w:rPr>
                <w:rFonts w:ascii="Arial Narrow" w:hAnsi="Arial Narrow"/>
                <w:b/>
                <w:sz w:val="18"/>
                <w:szCs w:val="18"/>
              </w:rPr>
              <w:t>Prescriber type:</w:t>
            </w:r>
          </w:p>
        </w:tc>
        <w:tc>
          <w:tcPr>
            <w:tcW w:w="4135"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FB694D" w:rsidRPr="00534C5B" w:rsidRDefault="00FB694D" w:rsidP="004869D0">
            <w:pPr>
              <w:rPr>
                <w:rFonts w:ascii="Arial Narrow" w:hAnsi="Arial Narrow"/>
                <w:sz w:val="18"/>
                <w:szCs w:val="18"/>
              </w:rPr>
            </w:pPr>
            <w:r w:rsidRPr="00534C5B">
              <w:rPr>
                <w:rFonts w:ascii="Arial Narrow" w:hAnsi="Arial Narrow"/>
                <w:sz w:val="18"/>
                <w:szCs w:val="18"/>
              </w:rPr>
              <w:fldChar w:fldCharType="begin">
                <w:ffData>
                  <w:name w:val=""/>
                  <w:enabled/>
                  <w:calcOnExit w:val="0"/>
                  <w:checkBox>
                    <w:sizeAuto/>
                    <w:default w:val="0"/>
                  </w:checkBox>
                </w:ffData>
              </w:fldChar>
            </w:r>
            <w:r w:rsidRPr="00534C5B">
              <w:rPr>
                <w:rFonts w:ascii="Arial Narrow" w:hAnsi="Arial Narrow"/>
                <w:sz w:val="18"/>
                <w:szCs w:val="18"/>
              </w:rPr>
              <w:instrText xml:space="preserve"> FORMCHECKBOX </w:instrText>
            </w:r>
            <w:r w:rsidR="00653477">
              <w:rPr>
                <w:rFonts w:ascii="Arial Narrow" w:hAnsi="Arial Narrow"/>
                <w:sz w:val="18"/>
                <w:szCs w:val="18"/>
              </w:rPr>
            </w:r>
            <w:r w:rsidR="00653477">
              <w:rPr>
                <w:rFonts w:ascii="Arial Narrow" w:hAnsi="Arial Narrow"/>
                <w:sz w:val="18"/>
                <w:szCs w:val="18"/>
              </w:rPr>
              <w:fldChar w:fldCharType="separate"/>
            </w:r>
            <w:r w:rsidRPr="00534C5B">
              <w:rPr>
                <w:rFonts w:ascii="Arial Narrow" w:hAnsi="Arial Narrow"/>
                <w:sz w:val="18"/>
                <w:szCs w:val="18"/>
              </w:rPr>
              <w:fldChar w:fldCharType="end"/>
            </w:r>
            <w:r w:rsidRPr="00534C5B">
              <w:rPr>
                <w:rFonts w:ascii="Arial Narrow" w:hAnsi="Arial Narrow"/>
                <w:sz w:val="18"/>
                <w:szCs w:val="18"/>
              </w:rPr>
              <w:t xml:space="preserve">Dental  </w:t>
            </w:r>
            <w:r w:rsidRPr="00534C5B">
              <w:rPr>
                <w:rFonts w:ascii="Arial Narrow" w:hAnsi="Arial Narrow"/>
                <w:sz w:val="18"/>
                <w:szCs w:val="18"/>
              </w:rPr>
              <w:fldChar w:fldCharType="begin">
                <w:ffData>
                  <w:name w:val=""/>
                  <w:enabled/>
                  <w:calcOnExit w:val="0"/>
                  <w:checkBox>
                    <w:sizeAuto/>
                    <w:default w:val="1"/>
                  </w:checkBox>
                </w:ffData>
              </w:fldChar>
            </w:r>
            <w:r w:rsidRPr="00534C5B">
              <w:rPr>
                <w:rFonts w:ascii="Arial Narrow" w:hAnsi="Arial Narrow"/>
                <w:sz w:val="18"/>
                <w:szCs w:val="18"/>
              </w:rPr>
              <w:instrText xml:space="preserve"> FORMCHECKBOX </w:instrText>
            </w:r>
            <w:r w:rsidR="00653477">
              <w:rPr>
                <w:rFonts w:ascii="Arial Narrow" w:hAnsi="Arial Narrow"/>
                <w:sz w:val="18"/>
                <w:szCs w:val="18"/>
              </w:rPr>
            </w:r>
            <w:r w:rsidR="00653477">
              <w:rPr>
                <w:rFonts w:ascii="Arial Narrow" w:hAnsi="Arial Narrow"/>
                <w:sz w:val="18"/>
                <w:szCs w:val="18"/>
              </w:rPr>
              <w:fldChar w:fldCharType="separate"/>
            </w:r>
            <w:r w:rsidRPr="00534C5B">
              <w:rPr>
                <w:rFonts w:ascii="Arial Narrow" w:hAnsi="Arial Narrow"/>
                <w:sz w:val="18"/>
                <w:szCs w:val="18"/>
              </w:rPr>
              <w:fldChar w:fldCharType="end"/>
            </w:r>
            <w:r w:rsidRPr="00534C5B">
              <w:rPr>
                <w:rFonts w:ascii="Arial Narrow" w:hAnsi="Arial Narrow"/>
                <w:sz w:val="18"/>
                <w:szCs w:val="18"/>
              </w:rPr>
              <w:t xml:space="preserve">Medical Practitioners  </w:t>
            </w:r>
            <w:r w:rsidRPr="00534C5B">
              <w:rPr>
                <w:rFonts w:ascii="Arial Narrow" w:hAnsi="Arial Narrow"/>
                <w:sz w:val="18"/>
                <w:szCs w:val="18"/>
              </w:rPr>
              <w:fldChar w:fldCharType="begin">
                <w:ffData>
                  <w:name w:val="Check3"/>
                  <w:enabled/>
                  <w:calcOnExit w:val="0"/>
                  <w:checkBox>
                    <w:sizeAuto/>
                    <w:default w:val="0"/>
                  </w:checkBox>
                </w:ffData>
              </w:fldChar>
            </w:r>
            <w:r w:rsidRPr="00534C5B">
              <w:rPr>
                <w:rFonts w:ascii="Arial Narrow" w:hAnsi="Arial Narrow"/>
                <w:sz w:val="18"/>
                <w:szCs w:val="18"/>
              </w:rPr>
              <w:instrText xml:space="preserve"> FORMCHECKBOX </w:instrText>
            </w:r>
            <w:r w:rsidR="00653477">
              <w:rPr>
                <w:rFonts w:ascii="Arial Narrow" w:hAnsi="Arial Narrow"/>
                <w:sz w:val="18"/>
                <w:szCs w:val="18"/>
              </w:rPr>
            </w:r>
            <w:r w:rsidR="00653477">
              <w:rPr>
                <w:rFonts w:ascii="Arial Narrow" w:hAnsi="Arial Narrow"/>
                <w:sz w:val="18"/>
                <w:szCs w:val="18"/>
              </w:rPr>
              <w:fldChar w:fldCharType="separate"/>
            </w:r>
            <w:r w:rsidRPr="00534C5B">
              <w:rPr>
                <w:rFonts w:ascii="Arial Narrow" w:hAnsi="Arial Narrow"/>
                <w:sz w:val="18"/>
                <w:szCs w:val="18"/>
              </w:rPr>
              <w:fldChar w:fldCharType="end"/>
            </w:r>
            <w:r w:rsidRPr="00534C5B">
              <w:rPr>
                <w:rFonts w:ascii="Arial Narrow" w:hAnsi="Arial Narrow"/>
                <w:sz w:val="18"/>
                <w:szCs w:val="18"/>
              </w:rPr>
              <w:t xml:space="preserve">Nurse practitioners  </w:t>
            </w:r>
            <w:r w:rsidRPr="00534C5B">
              <w:rPr>
                <w:rFonts w:ascii="Arial Narrow" w:hAnsi="Arial Narrow"/>
                <w:sz w:val="18"/>
                <w:szCs w:val="18"/>
              </w:rPr>
              <w:fldChar w:fldCharType="begin">
                <w:ffData>
                  <w:name w:val=""/>
                  <w:enabled/>
                  <w:calcOnExit w:val="0"/>
                  <w:checkBox>
                    <w:sizeAuto/>
                    <w:default w:val="0"/>
                  </w:checkBox>
                </w:ffData>
              </w:fldChar>
            </w:r>
            <w:r w:rsidRPr="00534C5B">
              <w:rPr>
                <w:rFonts w:ascii="Arial Narrow" w:hAnsi="Arial Narrow"/>
                <w:sz w:val="18"/>
                <w:szCs w:val="18"/>
              </w:rPr>
              <w:instrText xml:space="preserve"> FORMCHECKBOX </w:instrText>
            </w:r>
            <w:r w:rsidR="00653477">
              <w:rPr>
                <w:rFonts w:ascii="Arial Narrow" w:hAnsi="Arial Narrow"/>
                <w:sz w:val="18"/>
                <w:szCs w:val="18"/>
              </w:rPr>
            </w:r>
            <w:r w:rsidR="00653477">
              <w:rPr>
                <w:rFonts w:ascii="Arial Narrow" w:hAnsi="Arial Narrow"/>
                <w:sz w:val="18"/>
                <w:szCs w:val="18"/>
              </w:rPr>
              <w:fldChar w:fldCharType="separate"/>
            </w:r>
            <w:r w:rsidRPr="00534C5B">
              <w:rPr>
                <w:rFonts w:ascii="Arial Narrow" w:hAnsi="Arial Narrow"/>
                <w:sz w:val="18"/>
                <w:szCs w:val="18"/>
              </w:rPr>
              <w:fldChar w:fldCharType="end"/>
            </w:r>
            <w:r w:rsidRPr="00534C5B">
              <w:rPr>
                <w:rFonts w:ascii="Arial Narrow" w:hAnsi="Arial Narrow"/>
                <w:sz w:val="18"/>
                <w:szCs w:val="18"/>
              </w:rPr>
              <w:t xml:space="preserve">Optometrists  </w:t>
            </w:r>
            <w:r w:rsidRPr="00534C5B">
              <w:rPr>
                <w:rFonts w:ascii="Arial Narrow" w:hAnsi="Arial Narrow"/>
                <w:sz w:val="18"/>
                <w:szCs w:val="18"/>
              </w:rPr>
              <w:fldChar w:fldCharType="begin">
                <w:ffData>
                  <w:name w:val="Check5"/>
                  <w:enabled/>
                  <w:calcOnExit w:val="0"/>
                  <w:checkBox>
                    <w:sizeAuto/>
                    <w:default w:val="0"/>
                  </w:checkBox>
                </w:ffData>
              </w:fldChar>
            </w:r>
            <w:r w:rsidRPr="00534C5B">
              <w:rPr>
                <w:rFonts w:ascii="Arial Narrow" w:hAnsi="Arial Narrow"/>
                <w:sz w:val="18"/>
                <w:szCs w:val="18"/>
              </w:rPr>
              <w:instrText xml:space="preserve"> FORMCHECKBOX </w:instrText>
            </w:r>
            <w:r w:rsidR="00653477">
              <w:rPr>
                <w:rFonts w:ascii="Arial Narrow" w:hAnsi="Arial Narrow"/>
                <w:sz w:val="18"/>
                <w:szCs w:val="18"/>
              </w:rPr>
            </w:r>
            <w:r w:rsidR="00653477">
              <w:rPr>
                <w:rFonts w:ascii="Arial Narrow" w:hAnsi="Arial Narrow"/>
                <w:sz w:val="18"/>
                <w:szCs w:val="18"/>
              </w:rPr>
              <w:fldChar w:fldCharType="separate"/>
            </w:r>
            <w:r w:rsidRPr="00534C5B">
              <w:rPr>
                <w:rFonts w:ascii="Arial Narrow" w:hAnsi="Arial Narrow"/>
                <w:sz w:val="18"/>
                <w:szCs w:val="18"/>
              </w:rPr>
              <w:fldChar w:fldCharType="end"/>
            </w:r>
            <w:r w:rsidRPr="00534C5B">
              <w:rPr>
                <w:rFonts w:ascii="Arial Narrow" w:hAnsi="Arial Narrow"/>
                <w:sz w:val="18"/>
                <w:szCs w:val="18"/>
              </w:rPr>
              <w:t>Midwives</w:t>
            </w:r>
          </w:p>
        </w:tc>
      </w:tr>
      <w:tr w:rsidR="00FB694D" w:rsidRPr="00534C5B" w:rsidTr="00FB694D">
        <w:trPr>
          <w:trHeight w:val="83"/>
        </w:trPr>
        <w:tc>
          <w:tcPr>
            <w:tcW w:w="865" w:type="pct"/>
            <w:tcBorders>
              <w:top w:val="single" w:sz="4" w:space="0" w:color="auto"/>
              <w:left w:val="single" w:sz="4" w:space="0" w:color="auto"/>
              <w:bottom w:val="single" w:sz="4" w:space="0" w:color="auto"/>
              <w:right w:val="single" w:sz="4" w:space="0" w:color="auto"/>
            </w:tcBorders>
            <w:tcMar>
              <w:left w:w="28" w:type="dxa"/>
              <w:right w:w="28" w:type="dxa"/>
            </w:tcMar>
            <w:hideMark/>
          </w:tcPr>
          <w:p w:rsidR="00FB694D" w:rsidRPr="00534C5B" w:rsidRDefault="00FB694D" w:rsidP="004869D0">
            <w:pPr>
              <w:rPr>
                <w:rFonts w:ascii="Arial Narrow" w:hAnsi="Arial Narrow"/>
                <w:b/>
                <w:sz w:val="18"/>
                <w:szCs w:val="18"/>
              </w:rPr>
            </w:pPr>
            <w:r w:rsidRPr="00534C5B">
              <w:rPr>
                <w:rFonts w:ascii="Arial Narrow" w:hAnsi="Arial Narrow"/>
                <w:b/>
                <w:sz w:val="18"/>
                <w:szCs w:val="18"/>
              </w:rPr>
              <w:t>Category/program</w:t>
            </w:r>
          </w:p>
        </w:tc>
        <w:tc>
          <w:tcPr>
            <w:tcW w:w="4135" w:type="pct"/>
            <w:tcBorders>
              <w:top w:val="single" w:sz="4" w:space="0" w:color="auto"/>
              <w:left w:val="single" w:sz="4" w:space="0" w:color="auto"/>
              <w:bottom w:val="single" w:sz="4" w:space="0" w:color="auto"/>
              <w:right w:val="single" w:sz="4" w:space="0" w:color="auto"/>
            </w:tcBorders>
            <w:tcMar>
              <w:left w:w="28" w:type="dxa"/>
              <w:right w:w="28" w:type="dxa"/>
            </w:tcMar>
            <w:hideMark/>
          </w:tcPr>
          <w:p w:rsidR="00FB694D" w:rsidRPr="00534C5B" w:rsidRDefault="00FB694D" w:rsidP="004869D0">
            <w:pPr>
              <w:rPr>
                <w:rFonts w:ascii="Arial Narrow" w:hAnsi="Arial Narrow"/>
                <w:sz w:val="18"/>
                <w:szCs w:val="18"/>
              </w:rPr>
            </w:pPr>
            <w:r w:rsidRPr="00534C5B">
              <w:rPr>
                <w:rFonts w:ascii="Arial Narrow" w:hAnsi="Arial Narrow"/>
                <w:sz w:val="18"/>
                <w:szCs w:val="18"/>
              </w:rPr>
              <w:fldChar w:fldCharType="begin">
                <w:ffData>
                  <w:name w:val="Check5"/>
                  <w:enabled/>
                  <w:calcOnExit w:val="0"/>
                  <w:checkBox>
                    <w:sizeAuto/>
                    <w:default w:val="1"/>
                  </w:checkBox>
                </w:ffData>
              </w:fldChar>
            </w:r>
            <w:r w:rsidRPr="00534C5B">
              <w:rPr>
                <w:rFonts w:ascii="Arial Narrow" w:hAnsi="Arial Narrow"/>
                <w:sz w:val="18"/>
                <w:szCs w:val="18"/>
              </w:rPr>
              <w:instrText xml:space="preserve"> FORMCHECKBOX </w:instrText>
            </w:r>
            <w:r w:rsidR="00653477">
              <w:rPr>
                <w:rFonts w:ascii="Arial Narrow" w:hAnsi="Arial Narrow"/>
                <w:sz w:val="18"/>
                <w:szCs w:val="18"/>
              </w:rPr>
            </w:r>
            <w:r w:rsidR="00653477">
              <w:rPr>
                <w:rFonts w:ascii="Arial Narrow" w:hAnsi="Arial Narrow"/>
                <w:sz w:val="18"/>
                <w:szCs w:val="18"/>
              </w:rPr>
              <w:fldChar w:fldCharType="separate"/>
            </w:r>
            <w:r w:rsidRPr="00534C5B">
              <w:rPr>
                <w:rFonts w:ascii="Arial Narrow" w:hAnsi="Arial Narrow"/>
                <w:sz w:val="18"/>
                <w:szCs w:val="18"/>
              </w:rPr>
              <w:fldChar w:fldCharType="end"/>
            </w:r>
            <w:r w:rsidRPr="00534C5B">
              <w:rPr>
                <w:rFonts w:ascii="Arial Narrow" w:hAnsi="Arial Narrow"/>
                <w:sz w:val="18"/>
                <w:szCs w:val="18"/>
              </w:rPr>
              <w:t xml:space="preserve"> Authority Required (telephone)</w:t>
            </w:r>
          </w:p>
        </w:tc>
      </w:tr>
      <w:tr w:rsidR="00FB694D" w:rsidRPr="00534C5B" w:rsidTr="00FB694D">
        <w:trPr>
          <w:trHeight w:val="70"/>
        </w:trPr>
        <w:tc>
          <w:tcPr>
            <w:tcW w:w="865" w:type="pct"/>
            <w:tcBorders>
              <w:top w:val="single" w:sz="4" w:space="0" w:color="auto"/>
              <w:left w:val="single" w:sz="4" w:space="0" w:color="auto"/>
              <w:bottom w:val="single" w:sz="4" w:space="0" w:color="auto"/>
              <w:right w:val="single" w:sz="4" w:space="0" w:color="auto"/>
            </w:tcBorders>
            <w:tcMar>
              <w:left w:w="28" w:type="dxa"/>
              <w:right w:w="28" w:type="dxa"/>
            </w:tcMar>
            <w:hideMark/>
          </w:tcPr>
          <w:p w:rsidR="00FB694D" w:rsidRPr="00534C5B" w:rsidRDefault="00FB694D" w:rsidP="004869D0">
            <w:pPr>
              <w:rPr>
                <w:rFonts w:ascii="Arial Narrow" w:hAnsi="Arial Narrow"/>
                <w:b/>
                <w:sz w:val="18"/>
                <w:szCs w:val="18"/>
              </w:rPr>
            </w:pPr>
            <w:r w:rsidRPr="00534C5B">
              <w:rPr>
                <w:rFonts w:ascii="Arial Narrow" w:hAnsi="Arial Narrow"/>
                <w:b/>
                <w:sz w:val="18"/>
                <w:szCs w:val="18"/>
              </w:rPr>
              <w:t xml:space="preserve">Severity: </w:t>
            </w:r>
          </w:p>
        </w:tc>
        <w:tc>
          <w:tcPr>
            <w:tcW w:w="4135" w:type="pct"/>
            <w:tcBorders>
              <w:top w:val="single" w:sz="4" w:space="0" w:color="auto"/>
              <w:left w:val="single" w:sz="4" w:space="0" w:color="auto"/>
              <w:bottom w:val="single" w:sz="4" w:space="0" w:color="auto"/>
              <w:right w:val="single" w:sz="4" w:space="0" w:color="auto"/>
            </w:tcBorders>
            <w:tcMar>
              <w:left w:w="28" w:type="dxa"/>
              <w:right w:w="28" w:type="dxa"/>
            </w:tcMar>
            <w:hideMark/>
          </w:tcPr>
          <w:p w:rsidR="00FB694D" w:rsidRPr="00534C5B" w:rsidRDefault="00FB694D" w:rsidP="004869D0">
            <w:pPr>
              <w:rPr>
                <w:rFonts w:ascii="Arial Narrow" w:hAnsi="Arial Narrow"/>
                <w:sz w:val="18"/>
                <w:szCs w:val="18"/>
              </w:rPr>
            </w:pPr>
            <w:r w:rsidRPr="00534C5B">
              <w:rPr>
                <w:rFonts w:ascii="Arial Narrow" w:hAnsi="Arial Narrow"/>
                <w:sz w:val="18"/>
                <w:szCs w:val="18"/>
              </w:rPr>
              <w:t>Resected Stage IIIB, Stage IIIC or Stage IIID</w:t>
            </w:r>
          </w:p>
        </w:tc>
      </w:tr>
      <w:tr w:rsidR="00FB694D" w:rsidRPr="00534C5B" w:rsidTr="00FB694D">
        <w:trPr>
          <w:trHeight w:val="70"/>
        </w:trPr>
        <w:tc>
          <w:tcPr>
            <w:tcW w:w="865" w:type="pct"/>
            <w:tcBorders>
              <w:top w:val="single" w:sz="4" w:space="0" w:color="auto"/>
              <w:left w:val="single" w:sz="4" w:space="0" w:color="auto"/>
              <w:bottom w:val="single" w:sz="4" w:space="0" w:color="auto"/>
              <w:right w:val="single" w:sz="4" w:space="0" w:color="auto"/>
            </w:tcBorders>
            <w:tcMar>
              <w:left w:w="28" w:type="dxa"/>
              <w:right w:w="28" w:type="dxa"/>
            </w:tcMar>
            <w:hideMark/>
          </w:tcPr>
          <w:p w:rsidR="00FB694D" w:rsidRPr="00534C5B" w:rsidRDefault="00FB694D" w:rsidP="004869D0">
            <w:pPr>
              <w:rPr>
                <w:rFonts w:ascii="Arial Narrow" w:hAnsi="Arial Narrow"/>
                <w:b/>
                <w:sz w:val="18"/>
                <w:szCs w:val="18"/>
              </w:rPr>
            </w:pPr>
            <w:r w:rsidRPr="00534C5B">
              <w:rPr>
                <w:rFonts w:ascii="Arial Narrow" w:hAnsi="Arial Narrow"/>
                <w:b/>
                <w:sz w:val="18"/>
                <w:szCs w:val="18"/>
              </w:rPr>
              <w:t>Condition:</w:t>
            </w:r>
          </w:p>
        </w:tc>
        <w:tc>
          <w:tcPr>
            <w:tcW w:w="4135" w:type="pct"/>
            <w:tcBorders>
              <w:top w:val="single" w:sz="4" w:space="0" w:color="auto"/>
              <w:left w:val="single" w:sz="4" w:space="0" w:color="auto"/>
              <w:bottom w:val="single" w:sz="4" w:space="0" w:color="auto"/>
              <w:right w:val="single" w:sz="4" w:space="0" w:color="auto"/>
            </w:tcBorders>
            <w:tcMar>
              <w:left w:w="28" w:type="dxa"/>
              <w:right w:w="28" w:type="dxa"/>
            </w:tcMar>
            <w:hideMark/>
          </w:tcPr>
          <w:p w:rsidR="00FB694D" w:rsidRPr="00534C5B" w:rsidRDefault="00FB694D" w:rsidP="004869D0">
            <w:pPr>
              <w:rPr>
                <w:rFonts w:ascii="Arial Narrow" w:hAnsi="Arial Narrow"/>
                <w:sz w:val="18"/>
                <w:szCs w:val="18"/>
              </w:rPr>
            </w:pPr>
            <w:r w:rsidRPr="00534C5B">
              <w:rPr>
                <w:rFonts w:ascii="Arial Narrow" w:hAnsi="Arial Narrow"/>
                <w:sz w:val="18"/>
                <w:szCs w:val="18"/>
              </w:rPr>
              <w:t>Malignant melanoma</w:t>
            </w:r>
          </w:p>
        </w:tc>
      </w:tr>
      <w:tr w:rsidR="00FB694D" w:rsidRPr="00534C5B" w:rsidTr="00FB694D">
        <w:trPr>
          <w:trHeight w:val="70"/>
        </w:trPr>
        <w:tc>
          <w:tcPr>
            <w:tcW w:w="865" w:type="pct"/>
            <w:tcBorders>
              <w:top w:val="single" w:sz="4" w:space="0" w:color="auto"/>
              <w:left w:val="single" w:sz="4" w:space="0" w:color="auto"/>
              <w:bottom w:val="single" w:sz="4" w:space="0" w:color="auto"/>
              <w:right w:val="single" w:sz="4" w:space="0" w:color="auto"/>
            </w:tcBorders>
            <w:tcMar>
              <w:left w:w="28" w:type="dxa"/>
              <w:right w:w="28" w:type="dxa"/>
            </w:tcMar>
            <w:hideMark/>
          </w:tcPr>
          <w:p w:rsidR="00FB694D" w:rsidRPr="00534C5B" w:rsidRDefault="00FB694D" w:rsidP="004869D0">
            <w:pPr>
              <w:rPr>
                <w:rFonts w:ascii="Arial Narrow" w:hAnsi="Arial Narrow"/>
                <w:b/>
                <w:sz w:val="18"/>
                <w:szCs w:val="18"/>
              </w:rPr>
            </w:pPr>
            <w:r w:rsidRPr="00534C5B">
              <w:rPr>
                <w:rFonts w:ascii="Arial Narrow" w:hAnsi="Arial Narrow"/>
                <w:b/>
                <w:sz w:val="18"/>
                <w:szCs w:val="18"/>
              </w:rPr>
              <w:t>Treatment phase:</w:t>
            </w:r>
          </w:p>
        </w:tc>
        <w:tc>
          <w:tcPr>
            <w:tcW w:w="4135" w:type="pct"/>
            <w:tcBorders>
              <w:top w:val="single" w:sz="4" w:space="0" w:color="auto"/>
              <w:left w:val="single" w:sz="4" w:space="0" w:color="auto"/>
              <w:bottom w:val="single" w:sz="4" w:space="0" w:color="auto"/>
              <w:right w:val="single" w:sz="4" w:space="0" w:color="auto"/>
            </w:tcBorders>
            <w:tcMar>
              <w:left w:w="28" w:type="dxa"/>
              <w:right w:w="28" w:type="dxa"/>
            </w:tcMar>
            <w:hideMark/>
          </w:tcPr>
          <w:p w:rsidR="00FB694D" w:rsidRPr="00534C5B" w:rsidRDefault="00FB694D" w:rsidP="004869D0">
            <w:pPr>
              <w:rPr>
                <w:rFonts w:ascii="Arial Narrow" w:hAnsi="Arial Narrow"/>
                <w:sz w:val="18"/>
                <w:szCs w:val="18"/>
              </w:rPr>
            </w:pPr>
            <w:r w:rsidRPr="00534C5B">
              <w:rPr>
                <w:rFonts w:ascii="Arial Narrow" w:hAnsi="Arial Narrow"/>
                <w:sz w:val="18"/>
                <w:szCs w:val="18"/>
              </w:rPr>
              <w:t>Continuing treatment</w:t>
            </w:r>
          </w:p>
        </w:tc>
      </w:tr>
      <w:tr w:rsidR="00FB694D" w:rsidRPr="00534C5B" w:rsidTr="00FB694D">
        <w:trPr>
          <w:trHeight w:val="690"/>
        </w:trPr>
        <w:tc>
          <w:tcPr>
            <w:tcW w:w="865" w:type="pct"/>
            <w:tcBorders>
              <w:top w:val="single" w:sz="4" w:space="0" w:color="auto"/>
              <w:left w:val="single" w:sz="4" w:space="0" w:color="auto"/>
              <w:bottom w:val="single" w:sz="4" w:space="0" w:color="auto"/>
              <w:right w:val="single" w:sz="4" w:space="0" w:color="auto"/>
            </w:tcBorders>
            <w:tcMar>
              <w:left w:w="28" w:type="dxa"/>
              <w:right w:w="28" w:type="dxa"/>
            </w:tcMar>
          </w:tcPr>
          <w:p w:rsidR="00FB694D" w:rsidRPr="00534C5B" w:rsidRDefault="00FB694D" w:rsidP="004869D0">
            <w:pPr>
              <w:rPr>
                <w:rFonts w:ascii="Arial Narrow" w:hAnsi="Arial Narrow"/>
                <w:b/>
                <w:sz w:val="18"/>
                <w:szCs w:val="18"/>
              </w:rPr>
            </w:pPr>
            <w:r w:rsidRPr="00534C5B">
              <w:rPr>
                <w:rFonts w:ascii="Arial Narrow" w:hAnsi="Arial Narrow"/>
                <w:b/>
                <w:sz w:val="18"/>
                <w:szCs w:val="18"/>
              </w:rPr>
              <w:t>Clinical criteria:</w:t>
            </w:r>
          </w:p>
          <w:p w:rsidR="00FB694D" w:rsidRPr="00534C5B" w:rsidRDefault="00FB694D" w:rsidP="004869D0">
            <w:pPr>
              <w:rPr>
                <w:rFonts w:ascii="Arial Narrow" w:hAnsi="Arial Narrow"/>
                <w:sz w:val="18"/>
                <w:szCs w:val="18"/>
              </w:rPr>
            </w:pPr>
          </w:p>
        </w:tc>
        <w:tc>
          <w:tcPr>
            <w:tcW w:w="4135" w:type="pct"/>
            <w:tcBorders>
              <w:top w:val="single" w:sz="4" w:space="0" w:color="auto"/>
              <w:left w:val="single" w:sz="4" w:space="0" w:color="auto"/>
              <w:bottom w:val="single" w:sz="4" w:space="0" w:color="auto"/>
              <w:right w:val="single" w:sz="4" w:space="0" w:color="auto"/>
            </w:tcBorders>
            <w:tcMar>
              <w:left w:w="28" w:type="dxa"/>
              <w:right w:w="28" w:type="dxa"/>
            </w:tcMar>
            <w:hideMark/>
          </w:tcPr>
          <w:p w:rsidR="00FB694D" w:rsidRPr="00534C5B" w:rsidRDefault="00FB694D" w:rsidP="004869D0">
            <w:pPr>
              <w:rPr>
                <w:rFonts w:ascii="Arial Narrow" w:hAnsi="Arial Narrow"/>
                <w:sz w:val="18"/>
                <w:szCs w:val="18"/>
              </w:rPr>
            </w:pPr>
            <w:r w:rsidRPr="00534C5B">
              <w:rPr>
                <w:rFonts w:ascii="Arial Narrow" w:hAnsi="Arial Narrow"/>
                <w:sz w:val="18"/>
                <w:szCs w:val="18"/>
              </w:rPr>
              <w:t>Patient must have previously been issued with an authority prescription for trametinib and dabrafenib concomitantly for adjuvant treatment following complete surgical resection</w:t>
            </w:r>
          </w:p>
          <w:p w:rsidR="00FB694D" w:rsidRPr="00534C5B" w:rsidRDefault="00FB694D" w:rsidP="004869D0">
            <w:pPr>
              <w:rPr>
                <w:rFonts w:ascii="Arial Narrow" w:hAnsi="Arial Narrow"/>
                <w:sz w:val="18"/>
                <w:szCs w:val="18"/>
              </w:rPr>
            </w:pPr>
            <w:r w:rsidRPr="00534C5B">
              <w:rPr>
                <w:rFonts w:ascii="Arial Narrow" w:hAnsi="Arial Narrow"/>
                <w:sz w:val="18"/>
                <w:szCs w:val="18"/>
              </w:rPr>
              <w:t xml:space="preserve">AND </w:t>
            </w:r>
          </w:p>
          <w:p w:rsidR="00FB694D" w:rsidRPr="00534C5B" w:rsidRDefault="00FB694D" w:rsidP="004869D0">
            <w:pPr>
              <w:rPr>
                <w:rFonts w:ascii="Arial Narrow" w:hAnsi="Arial Narrow"/>
                <w:sz w:val="18"/>
                <w:szCs w:val="18"/>
              </w:rPr>
            </w:pPr>
            <w:r w:rsidRPr="00534C5B">
              <w:rPr>
                <w:rFonts w:ascii="Arial Narrow" w:hAnsi="Arial Narrow"/>
                <w:sz w:val="18"/>
                <w:szCs w:val="18"/>
              </w:rPr>
              <w:t>Patient must not have experienced disease recurrence</w:t>
            </w:r>
          </w:p>
        </w:tc>
      </w:tr>
      <w:tr w:rsidR="00FB694D" w:rsidRPr="00534C5B" w:rsidTr="00FB694D">
        <w:trPr>
          <w:trHeight w:val="252"/>
        </w:trPr>
        <w:tc>
          <w:tcPr>
            <w:tcW w:w="865" w:type="pct"/>
            <w:tcBorders>
              <w:top w:val="single" w:sz="4" w:space="0" w:color="auto"/>
              <w:left w:val="single" w:sz="4" w:space="0" w:color="auto"/>
              <w:bottom w:val="single" w:sz="4" w:space="0" w:color="auto"/>
              <w:right w:val="single" w:sz="4" w:space="0" w:color="auto"/>
            </w:tcBorders>
            <w:tcMar>
              <w:left w:w="28" w:type="dxa"/>
              <w:right w:w="28" w:type="dxa"/>
            </w:tcMar>
            <w:hideMark/>
          </w:tcPr>
          <w:p w:rsidR="00FB694D" w:rsidRPr="00534C5B" w:rsidRDefault="00FB694D" w:rsidP="004869D0">
            <w:pPr>
              <w:rPr>
                <w:rFonts w:ascii="Arial Narrow" w:hAnsi="Arial Narrow"/>
                <w:b/>
                <w:sz w:val="18"/>
                <w:szCs w:val="18"/>
              </w:rPr>
            </w:pPr>
            <w:r w:rsidRPr="00534C5B">
              <w:rPr>
                <w:rFonts w:ascii="Arial Narrow" w:hAnsi="Arial Narrow"/>
                <w:b/>
                <w:sz w:val="18"/>
                <w:szCs w:val="18"/>
              </w:rPr>
              <w:t>Treatment criteria:</w:t>
            </w:r>
          </w:p>
        </w:tc>
        <w:tc>
          <w:tcPr>
            <w:tcW w:w="4135" w:type="pct"/>
            <w:tcBorders>
              <w:top w:val="single" w:sz="4" w:space="0" w:color="auto"/>
              <w:left w:val="single" w:sz="4" w:space="0" w:color="auto"/>
              <w:bottom w:val="single" w:sz="4" w:space="0" w:color="auto"/>
              <w:right w:val="single" w:sz="4" w:space="0" w:color="auto"/>
            </w:tcBorders>
            <w:tcMar>
              <w:left w:w="28" w:type="dxa"/>
              <w:right w:w="28" w:type="dxa"/>
            </w:tcMar>
            <w:hideMark/>
          </w:tcPr>
          <w:p w:rsidR="00FB694D" w:rsidRPr="00534C5B" w:rsidRDefault="00FB694D" w:rsidP="004869D0">
            <w:pPr>
              <w:rPr>
                <w:rFonts w:ascii="Arial Narrow" w:hAnsi="Arial Narrow"/>
                <w:strike/>
                <w:sz w:val="18"/>
                <w:szCs w:val="18"/>
              </w:rPr>
            </w:pPr>
            <w:r w:rsidRPr="00534C5B">
              <w:rPr>
                <w:rFonts w:ascii="Arial Narrow" w:hAnsi="Arial Narrow"/>
                <w:strike/>
                <w:sz w:val="18"/>
                <w:szCs w:val="18"/>
              </w:rPr>
              <w:t>Treatment must not exceed a maximum duration of 12 months for adjuvant treatment of completely resected Stage IIIB, IIIC or IIID melanoma</w:t>
            </w:r>
          </w:p>
          <w:p w:rsidR="008B20C6" w:rsidRPr="00534C5B" w:rsidRDefault="008B20C6" w:rsidP="004869D0">
            <w:pPr>
              <w:rPr>
                <w:rFonts w:ascii="Arial Narrow" w:hAnsi="Arial Narrow"/>
                <w:i/>
                <w:strike/>
                <w:sz w:val="18"/>
                <w:szCs w:val="18"/>
              </w:rPr>
            </w:pPr>
            <w:r w:rsidRPr="00534C5B">
              <w:rPr>
                <w:rFonts w:ascii="Arial Narrow" w:hAnsi="Arial Narrow"/>
                <w:i/>
                <w:color w:val="333333"/>
                <w:sz w:val="18"/>
                <w:szCs w:val="18"/>
              </w:rPr>
              <w:t>Patient must not receive more than 12 months of combined PBS-subsidised and non-PBS subsidised adjuvant therapy</w:t>
            </w:r>
          </w:p>
        </w:tc>
      </w:tr>
      <w:tr w:rsidR="00FB694D" w:rsidRPr="00534C5B" w:rsidTr="00FB694D">
        <w:trPr>
          <w:trHeight w:val="252"/>
        </w:trPr>
        <w:tc>
          <w:tcPr>
            <w:tcW w:w="865" w:type="pct"/>
            <w:tcBorders>
              <w:top w:val="single" w:sz="4" w:space="0" w:color="auto"/>
              <w:left w:val="single" w:sz="4" w:space="0" w:color="auto"/>
              <w:bottom w:val="single" w:sz="4" w:space="0" w:color="auto"/>
              <w:right w:val="single" w:sz="4" w:space="0" w:color="auto"/>
            </w:tcBorders>
            <w:tcMar>
              <w:left w:w="28" w:type="dxa"/>
              <w:right w:w="28" w:type="dxa"/>
            </w:tcMar>
            <w:hideMark/>
          </w:tcPr>
          <w:p w:rsidR="00FB694D" w:rsidRPr="00534C5B" w:rsidRDefault="00FB694D" w:rsidP="004869D0">
            <w:pPr>
              <w:rPr>
                <w:rFonts w:ascii="Arial Narrow" w:hAnsi="Arial Narrow"/>
                <w:b/>
                <w:sz w:val="18"/>
                <w:szCs w:val="18"/>
              </w:rPr>
            </w:pPr>
            <w:r w:rsidRPr="00534C5B">
              <w:rPr>
                <w:rFonts w:ascii="Arial Narrow" w:hAnsi="Arial Narrow"/>
                <w:b/>
                <w:sz w:val="18"/>
                <w:szCs w:val="18"/>
              </w:rPr>
              <w:t>Notes:</w:t>
            </w:r>
          </w:p>
        </w:tc>
        <w:tc>
          <w:tcPr>
            <w:tcW w:w="4135" w:type="pct"/>
            <w:tcBorders>
              <w:top w:val="single" w:sz="4" w:space="0" w:color="auto"/>
              <w:left w:val="single" w:sz="4" w:space="0" w:color="auto"/>
              <w:bottom w:val="single" w:sz="4" w:space="0" w:color="auto"/>
              <w:right w:val="single" w:sz="4" w:space="0" w:color="auto"/>
            </w:tcBorders>
            <w:tcMar>
              <w:left w:w="28" w:type="dxa"/>
              <w:right w:w="28" w:type="dxa"/>
            </w:tcMar>
            <w:hideMark/>
          </w:tcPr>
          <w:p w:rsidR="00FB694D" w:rsidRPr="00534C5B" w:rsidRDefault="00FB694D" w:rsidP="00FB694D">
            <w:pPr>
              <w:numPr>
                <w:ilvl w:val="0"/>
                <w:numId w:val="26"/>
              </w:numPr>
              <w:spacing w:after="160" w:line="259" w:lineRule="auto"/>
              <w:rPr>
                <w:rFonts w:ascii="Arial Narrow" w:hAnsi="Arial Narrow"/>
                <w:sz w:val="18"/>
                <w:szCs w:val="18"/>
              </w:rPr>
            </w:pPr>
            <w:r w:rsidRPr="00534C5B">
              <w:rPr>
                <w:rFonts w:ascii="Arial Narrow" w:hAnsi="Arial Narrow"/>
                <w:sz w:val="18"/>
                <w:szCs w:val="18"/>
              </w:rPr>
              <w:t>No increase in the maximum quantity or number of units or number of repeats will be authorised.</w:t>
            </w:r>
          </w:p>
          <w:p w:rsidR="00FB694D" w:rsidRPr="00534C5B" w:rsidRDefault="00FB694D" w:rsidP="00FB694D">
            <w:pPr>
              <w:numPr>
                <w:ilvl w:val="0"/>
                <w:numId w:val="26"/>
              </w:numPr>
              <w:rPr>
                <w:rFonts w:ascii="Arial Narrow" w:hAnsi="Arial Narrow"/>
                <w:sz w:val="18"/>
                <w:szCs w:val="18"/>
              </w:rPr>
            </w:pPr>
            <w:r w:rsidRPr="00534C5B">
              <w:rPr>
                <w:rFonts w:ascii="Arial Narrow" w:hAnsi="Arial Narrow"/>
                <w:sz w:val="18"/>
                <w:szCs w:val="18"/>
              </w:rPr>
              <w:t>Special Pricing Arrangements apply.</w:t>
            </w:r>
          </w:p>
        </w:tc>
      </w:tr>
    </w:tbl>
    <w:p w:rsidR="00FB694D" w:rsidRPr="00534C5B" w:rsidRDefault="00FB694D" w:rsidP="00FB694D">
      <w:pPr>
        <w:rPr>
          <w:rFonts w:ascii="Arial Narrow" w:hAnsi="Arial Narrow"/>
          <w:sz w:val="18"/>
          <w:szCs w:val="18"/>
        </w:rPr>
      </w:pPr>
    </w:p>
    <w:tbl>
      <w:tblPr>
        <w:tblW w:w="5000" w:type="pct"/>
        <w:tblInd w:w="-5" w:type="dxa"/>
        <w:tblLook w:val="04A0" w:firstRow="1" w:lastRow="0" w:firstColumn="1" w:lastColumn="0" w:noHBand="0" w:noVBand="1"/>
      </w:tblPr>
      <w:tblGrid>
        <w:gridCol w:w="1560"/>
        <w:gridCol w:w="7456"/>
      </w:tblGrid>
      <w:tr w:rsidR="00FB694D" w:rsidRPr="00534C5B" w:rsidTr="00FB694D">
        <w:trPr>
          <w:trHeight w:val="135"/>
        </w:trPr>
        <w:tc>
          <w:tcPr>
            <w:tcW w:w="5000" w:type="pct"/>
            <w:gridSpan w:val="2"/>
            <w:tcBorders>
              <w:top w:val="single" w:sz="4" w:space="0" w:color="auto"/>
              <w:left w:val="single" w:sz="4" w:space="0" w:color="auto"/>
              <w:bottom w:val="single" w:sz="4" w:space="0" w:color="auto"/>
              <w:right w:val="single" w:sz="4" w:space="0" w:color="auto"/>
            </w:tcBorders>
            <w:tcMar>
              <w:left w:w="28" w:type="dxa"/>
              <w:right w:w="28" w:type="dxa"/>
            </w:tcMar>
          </w:tcPr>
          <w:p w:rsidR="00FB694D" w:rsidRPr="00534C5B" w:rsidRDefault="00FB694D" w:rsidP="00FB694D">
            <w:pPr>
              <w:rPr>
                <w:rFonts w:ascii="Arial Narrow" w:hAnsi="Arial Narrow"/>
                <w:b/>
                <w:sz w:val="18"/>
                <w:szCs w:val="18"/>
              </w:rPr>
            </w:pPr>
            <w:r w:rsidRPr="00534C5B">
              <w:rPr>
                <w:rFonts w:ascii="Arial Narrow" w:hAnsi="Arial Narrow"/>
                <w:b/>
                <w:sz w:val="18"/>
                <w:szCs w:val="18"/>
              </w:rPr>
              <w:t xml:space="preserve">Dabrafenib </w:t>
            </w:r>
          </w:p>
        </w:tc>
      </w:tr>
      <w:tr w:rsidR="00FB694D" w:rsidRPr="00534C5B" w:rsidTr="00FB694D">
        <w:trPr>
          <w:trHeight w:val="135"/>
        </w:trPr>
        <w:tc>
          <w:tcPr>
            <w:tcW w:w="865" w:type="pct"/>
            <w:tcBorders>
              <w:top w:val="single" w:sz="4" w:space="0" w:color="auto"/>
              <w:left w:val="single" w:sz="4" w:space="0" w:color="auto"/>
              <w:bottom w:val="single" w:sz="4" w:space="0" w:color="auto"/>
              <w:right w:val="single" w:sz="4" w:space="0" w:color="auto"/>
            </w:tcBorders>
            <w:tcMar>
              <w:left w:w="28" w:type="dxa"/>
              <w:right w:w="28" w:type="dxa"/>
            </w:tcMar>
          </w:tcPr>
          <w:p w:rsidR="00FB694D" w:rsidRPr="00534C5B" w:rsidRDefault="00FB694D" w:rsidP="004869D0">
            <w:pPr>
              <w:rPr>
                <w:rFonts w:ascii="Arial Narrow" w:hAnsi="Arial Narrow"/>
                <w:b/>
                <w:sz w:val="18"/>
                <w:szCs w:val="18"/>
              </w:rPr>
            </w:pPr>
            <w:r w:rsidRPr="00534C5B">
              <w:rPr>
                <w:rFonts w:ascii="Arial Narrow" w:hAnsi="Arial Narrow"/>
                <w:b/>
                <w:sz w:val="18"/>
                <w:szCs w:val="18"/>
              </w:rPr>
              <w:lastRenderedPageBreak/>
              <w:t>Schedule:</w:t>
            </w:r>
          </w:p>
        </w:tc>
        <w:tc>
          <w:tcPr>
            <w:tcW w:w="4135" w:type="pct"/>
            <w:tcBorders>
              <w:top w:val="single" w:sz="4" w:space="0" w:color="auto"/>
              <w:left w:val="single" w:sz="4" w:space="0" w:color="auto"/>
              <w:bottom w:val="single" w:sz="4" w:space="0" w:color="auto"/>
              <w:right w:val="single" w:sz="4" w:space="0" w:color="auto"/>
            </w:tcBorders>
            <w:tcMar>
              <w:left w:w="28" w:type="dxa"/>
              <w:right w:w="28" w:type="dxa"/>
            </w:tcMar>
          </w:tcPr>
          <w:p w:rsidR="00FB694D" w:rsidRPr="00534C5B" w:rsidRDefault="00FB694D" w:rsidP="004869D0">
            <w:pPr>
              <w:rPr>
                <w:rFonts w:ascii="Arial Narrow" w:hAnsi="Arial Narrow"/>
                <w:sz w:val="18"/>
                <w:szCs w:val="18"/>
              </w:rPr>
            </w:pPr>
            <w:r w:rsidRPr="00534C5B">
              <w:rPr>
                <w:rFonts w:ascii="Arial Narrow" w:hAnsi="Arial Narrow"/>
                <w:sz w:val="18"/>
                <w:szCs w:val="18"/>
              </w:rPr>
              <w:t>General</w:t>
            </w:r>
          </w:p>
        </w:tc>
      </w:tr>
      <w:tr w:rsidR="00FB694D" w:rsidRPr="00534C5B" w:rsidTr="00FB69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trHeight w:val="20"/>
        </w:trPr>
        <w:tc>
          <w:tcPr>
            <w:tcW w:w="865"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FB694D" w:rsidRPr="00534C5B" w:rsidRDefault="00FB694D" w:rsidP="004869D0">
            <w:pPr>
              <w:rPr>
                <w:rFonts w:ascii="Arial Narrow" w:hAnsi="Arial Narrow"/>
                <w:b/>
                <w:sz w:val="18"/>
                <w:szCs w:val="18"/>
              </w:rPr>
            </w:pPr>
            <w:r w:rsidRPr="00534C5B">
              <w:rPr>
                <w:rFonts w:ascii="Arial Narrow" w:hAnsi="Arial Narrow"/>
                <w:b/>
                <w:sz w:val="18"/>
                <w:szCs w:val="18"/>
              </w:rPr>
              <w:t>Prescriber type:</w:t>
            </w:r>
          </w:p>
        </w:tc>
        <w:tc>
          <w:tcPr>
            <w:tcW w:w="4135"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FB694D" w:rsidRPr="00534C5B" w:rsidRDefault="00FB694D" w:rsidP="004869D0">
            <w:pPr>
              <w:rPr>
                <w:rFonts w:ascii="Arial Narrow" w:hAnsi="Arial Narrow"/>
                <w:sz w:val="18"/>
                <w:szCs w:val="18"/>
              </w:rPr>
            </w:pPr>
            <w:r w:rsidRPr="00534C5B">
              <w:rPr>
                <w:rFonts w:ascii="Arial Narrow" w:hAnsi="Arial Narrow"/>
                <w:sz w:val="18"/>
                <w:szCs w:val="18"/>
              </w:rPr>
              <w:fldChar w:fldCharType="begin">
                <w:ffData>
                  <w:name w:val=""/>
                  <w:enabled/>
                  <w:calcOnExit w:val="0"/>
                  <w:checkBox>
                    <w:sizeAuto/>
                    <w:default w:val="0"/>
                  </w:checkBox>
                </w:ffData>
              </w:fldChar>
            </w:r>
            <w:r w:rsidRPr="00534C5B">
              <w:rPr>
                <w:rFonts w:ascii="Arial Narrow" w:hAnsi="Arial Narrow"/>
                <w:sz w:val="18"/>
                <w:szCs w:val="18"/>
              </w:rPr>
              <w:instrText xml:space="preserve"> FORMCHECKBOX </w:instrText>
            </w:r>
            <w:r w:rsidR="00653477">
              <w:rPr>
                <w:rFonts w:ascii="Arial Narrow" w:hAnsi="Arial Narrow"/>
                <w:sz w:val="18"/>
                <w:szCs w:val="18"/>
              </w:rPr>
            </w:r>
            <w:r w:rsidR="00653477">
              <w:rPr>
                <w:rFonts w:ascii="Arial Narrow" w:hAnsi="Arial Narrow"/>
                <w:sz w:val="18"/>
                <w:szCs w:val="18"/>
              </w:rPr>
              <w:fldChar w:fldCharType="separate"/>
            </w:r>
            <w:r w:rsidRPr="00534C5B">
              <w:rPr>
                <w:rFonts w:ascii="Arial Narrow" w:hAnsi="Arial Narrow"/>
                <w:sz w:val="18"/>
                <w:szCs w:val="18"/>
              </w:rPr>
              <w:fldChar w:fldCharType="end"/>
            </w:r>
            <w:r w:rsidRPr="00534C5B">
              <w:rPr>
                <w:rFonts w:ascii="Arial Narrow" w:hAnsi="Arial Narrow"/>
                <w:sz w:val="18"/>
                <w:szCs w:val="18"/>
              </w:rPr>
              <w:t xml:space="preserve">Dental  </w:t>
            </w:r>
            <w:r w:rsidRPr="00534C5B">
              <w:rPr>
                <w:rFonts w:ascii="Arial Narrow" w:hAnsi="Arial Narrow"/>
                <w:sz w:val="18"/>
                <w:szCs w:val="18"/>
              </w:rPr>
              <w:fldChar w:fldCharType="begin">
                <w:ffData>
                  <w:name w:val=""/>
                  <w:enabled/>
                  <w:calcOnExit w:val="0"/>
                  <w:checkBox>
                    <w:sizeAuto/>
                    <w:default w:val="1"/>
                  </w:checkBox>
                </w:ffData>
              </w:fldChar>
            </w:r>
            <w:r w:rsidRPr="00534C5B">
              <w:rPr>
                <w:rFonts w:ascii="Arial Narrow" w:hAnsi="Arial Narrow"/>
                <w:sz w:val="18"/>
                <w:szCs w:val="18"/>
              </w:rPr>
              <w:instrText xml:space="preserve"> FORMCHECKBOX </w:instrText>
            </w:r>
            <w:r w:rsidR="00653477">
              <w:rPr>
                <w:rFonts w:ascii="Arial Narrow" w:hAnsi="Arial Narrow"/>
                <w:sz w:val="18"/>
                <w:szCs w:val="18"/>
              </w:rPr>
            </w:r>
            <w:r w:rsidR="00653477">
              <w:rPr>
                <w:rFonts w:ascii="Arial Narrow" w:hAnsi="Arial Narrow"/>
                <w:sz w:val="18"/>
                <w:szCs w:val="18"/>
              </w:rPr>
              <w:fldChar w:fldCharType="separate"/>
            </w:r>
            <w:r w:rsidRPr="00534C5B">
              <w:rPr>
                <w:rFonts w:ascii="Arial Narrow" w:hAnsi="Arial Narrow"/>
                <w:sz w:val="18"/>
                <w:szCs w:val="18"/>
              </w:rPr>
              <w:fldChar w:fldCharType="end"/>
            </w:r>
            <w:r w:rsidRPr="00534C5B">
              <w:rPr>
                <w:rFonts w:ascii="Arial Narrow" w:hAnsi="Arial Narrow"/>
                <w:sz w:val="18"/>
                <w:szCs w:val="18"/>
              </w:rPr>
              <w:t xml:space="preserve">Medical Practitioners  </w:t>
            </w:r>
            <w:r w:rsidRPr="00534C5B">
              <w:rPr>
                <w:rFonts w:ascii="Arial Narrow" w:hAnsi="Arial Narrow"/>
                <w:sz w:val="18"/>
                <w:szCs w:val="18"/>
              </w:rPr>
              <w:fldChar w:fldCharType="begin">
                <w:ffData>
                  <w:name w:val="Check3"/>
                  <w:enabled/>
                  <w:calcOnExit w:val="0"/>
                  <w:checkBox>
                    <w:sizeAuto/>
                    <w:default w:val="0"/>
                  </w:checkBox>
                </w:ffData>
              </w:fldChar>
            </w:r>
            <w:r w:rsidRPr="00534C5B">
              <w:rPr>
                <w:rFonts w:ascii="Arial Narrow" w:hAnsi="Arial Narrow"/>
                <w:sz w:val="18"/>
                <w:szCs w:val="18"/>
              </w:rPr>
              <w:instrText xml:space="preserve"> FORMCHECKBOX </w:instrText>
            </w:r>
            <w:r w:rsidR="00653477">
              <w:rPr>
                <w:rFonts w:ascii="Arial Narrow" w:hAnsi="Arial Narrow"/>
                <w:sz w:val="18"/>
                <w:szCs w:val="18"/>
              </w:rPr>
            </w:r>
            <w:r w:rsidR="00653477">
              <w:rPr>
                <w:rFonts w:ascii="Arial Narrow" w:hAnsi="Arial Narrow"/>
                <w:sz w:val="18"/>
                <w:szCs w:val="18"/>
              </w:rPr>
              <w:fldChar w:fldCharType="separate"/>
            </w:r>
            <w:r w:rsidRPr="00534C5B">
              <w:rPr>
                <w:rFonts w:ascii="Arial Narrow" w:hAnsi="Arial Narrow"/>
                <w:sz w:val="18"/>
                <w:szCs w:val="18"/>
              </w:rPr>
              <w:fldChar w:fldCharType="end"/>
            </w:r>
            <w:r w:rsidRPr="00534C5B">
              <w:rPr>
                <w:rFonts w:ascii="Arial Narrow" w:hAnsi="Arial Narrow"/>
                <w:sz w:val="18"/>
                <w:szCs w:val="18"/>
              </w:rPr>
              <w:t xml:space="preserve">Nurse practitioners  </w:t>
            </w:r>
            <w:r w:rsidRPr="00534C5B">
              <w:rPr>
                <w:rFonts w:ascii="Arial Narrow" w:hAnsi="Arial Narrow"/>
                <w:sz w:val="18"/>
                <w:szCs w:val="18"/>
              </w:rPr>
              <w:fldChar w:fldCharType="begin">
                <w:ffData>
                  <w:name w:val=""/>
                  <w:enabled/>
                  <w:calcOnExit w:val="0"/>
                  <w:checkBox>
                    <w:sizeAuto/>
                    <w:default w:val="0"/>
                  </w:checkBox>
                </w:ffData>
              </w:fldChar>
            </w:r>
            <w:r w:rsidRPr="00534C5B">
              <w:rPr>
                <w:rFonts w:ascii="Arial Narrow" w:hAnsi="Arial Narrow"/>
                <w:sz w:val="18"/>
                <w:szCs w:val="18"/>
              </w:rPr>
              <w:instrText xml:space="preserve"> FORMCHECKBOX </w:instrText>
            </w:r>
            <w:r w:rsidR="00653477">
              <w:rPr>
                <w:rFonts w:ascii="Arial Narrow" w:hAnsi="Arial Narrow"/>
                <w:sz w:val="18"/>
                <w:szCs w:val="18"/>
              </w:rPr>
            </w:r>
            <w:r w:rsidR="00653477">
              <w:rPr>
                <w:rFonts w:ascii="Arial Narrow" w:hAnsi="Arial Narrow"/>
                <w:sz w:val="18"/>
                <w:szCs w:val="18"/>
              </w:rPr>
              <w:fldChar w:fldCharType="separate"/>
            </w:r>
            <w:r w:rsidRPr="00534C5B">
              <w:rPr>
                <w:rFonts w:ascii="Arial Narrow" w:hAnsi="Arial Narrow"/>
                <w:sz w:val="18"/>
                <w:szCs w:val="18"/>
              </w:rPr>
              <w:fldChar w:fldCharType="end"/>
            </w:r>
            <w:r w:rsidRPr="00534C5B">
              <w:rPr>
                <w:rFonts w:ascii="Arial Narrow" w:hAnsi="Arial Narrow"/>
                <w:sz w:val="18"/>
                <w:szCs w:val="18"/>
              </w:rPr>
              <w:t xml:space="preserve">Optometrists  </w:t>
            </w:r>
            <w:r w:rsidRPr="00534C5B">
              <w:rPr>
                <w:rFonts w:ascii="Arial Narrow" w:hAnsi="Arial Narrow"/>
                <w:sz w:val="18"/>
                <w:szCs w:val="18"/>
              </w:rPr>
              <w:fldChar w:fldCharType="begin">
                <w:ffData>
                  <w:name w:val="Check5"/>
                  <w:enabled/>
                  <w:calcOnExit w:val="0"/>
                  <w:checkBox>
                    <w:sizeAuto/>
                    <w:default w:val="0"/>
                  </w:checkBox>
                </w:ffData>
              </w:fldChar>
            </w:r>
            <w:r w:rsidRPr="00534C5B">
              <w:rPr>
                <w:rFonts w:ascii="Arial Narrow" w:hAnsi="Arial Narrow"/>
                <w:sz w:val="18"/>
                <w:szCs w:val="18"/>
              </w:rPr>
              <w:instrText xml:space="preserve"> FORMCHECKBOX </w:instrText>
            </w:r>
            <w:r w:rsidR="00653477">
              <w:rPr>
                <w:rFonts w:ascii="Arial Narrow" w:hAnsi="Arial Narrow"/>
                <w:sz w:val="18"/>
                <w:szCs w:val="18"/>
              </w:rPr>
            </w:r>
            <w:r w:rsidR="00653477">
              <w:rPr>
                <w:rFonts w:ascii="Arial Narrow" w:hAnsi="Arial Narrow"/>
                <w:sz w:val="18"/>
                <w:szCs w:val="18"/>
              </w:rPr>
              <w:fldChar w:fldCharType="separate"/>
            </w:r>
            <w:r w:rsidRPr="00534C5B">
              <w:rPr>
                <w:rFonts w:ascii="Arial Narrow" w:hAnsi="Arial Narrow"/>
                <w:sz w:val="18"/>
                <w:szCs w:val="18"/>
              </w:rPr>
              <w:fldChar w:fldCharType="end"/>
            </w:r>
            <w:r w:rsidRPr="00534C5B">
              <w:rPr>
                <w:rFonts w:ascii="Arial Narrow" w:hAnsi="Arial Narrow"/>
                <w:sz w:val="18"/>
                <w:szCs w:val="18"/>
              </w:rPr>
              <w:t>Midwives</w:t>
            </w:r>
          </w:p>
        </w:tc>
      </w:tr>
      <w:tr w:rsidR="00FB694D" w:rsidRPr="00534C5B" w:rsidTr="00FB694D">
        <w:trPr>
          <w:trHeight w:val="223"/>
        </w:trPr>
        <w:tc>
          <w:tcPr>
            <w:tcW w:w="865" w:type="pct"/>
            <w:tcBorders>
              <w:top w:val="single" w:sz="4" w:space="0" w:color="auto"/>
              <w:left w:val="single" w:sz="4" w:space="0" w:color="auto"/>
              <w:bottom w:val="single" w:sz="4" w:space="0" w:color="auto"/>
              <w:right w:val="single" w:sz="4" w:space="0" w:color="auto"/>
            </w:tcBorders>
            <w:tcMar>
              <w:left w:w="28" w:type="dxa"/>
              <w:right w:w="28" w:type="dxa"/>
            </w:tcMar>
            <w:hideMark/>
          </w:tcPr>
          <w:p w:rsidR="00FB694D" w:rsidRPr="00534C5B" w:rsidRDefault="00FB694D" w:rsidP="004869D0">
            <w:pPr>
              <w:rPr>
                <w:rFonts w:ascii="Arial Narrow" w:hAnsi="Arial Narrow"/>
                <w:b/>
                <w:sz w:val="18"/>
                <w:szCs w:val="18"/>
              </w:rPr>
            </w:pPr>
            <w:r w:rsidRPr="00534C5B">
              <w:rPr>
                <w:rFonts w:ascii="Arial Narrow" w:hAnsi="Arial Narrow"/>
                <w:b/>
                <w:sz w:val="18"/>
                <w:szCs w:val="18"/>
              </w:rPr>
              <w:t>Category/program</w:t>
            </w:r>
          </w:p>
        </w:tc>
        <w:tc>
          <w:tcPr>
            <w:tcW w:w="4135" w:type="pct"/>
            <w:tcBorders>
              <w:top w:val="single" w:sz="4" w:space="0" w:color="auto"/>
              <w:left w:val="single" w:sz="4" w:space="0" w:color="auto"/>
              <w:bottom w:val="single" w:sz="4" w:space="0" w:color="auto"/>
              <w:right w:val="single" w:sz="4" w:space="0" w:color="auto"/>
            </w:tcBorders>
            <w:tcMar>
              <w:left w:w="28" w:type="dxa"/>
              <w:right w:w="28" w:type="dxa"/>
            </w:tcMar>
            <w:hideMark/>
          </w:tcPr>
          <w:p w:rsidR="00FB694D" w:rsidRPr="00534C5B" w:rsidRDefault="00FB694D" w:rsidP="004869D0">
            <w:pPr>
              <w:rPr>
                <w:rFonts w:ascii="Arial Narrow" w:hAnsi="Arial Narrow"/>
                <w:sz w:val="18"/>
                <w:szCs w:val="18"/>
              </w:rPr>
            </w:pPr>
            <w:r w:rsidRPr="00534C5B">
              <w:rPr>
                <w:rFonts w:ascii="Arial Narrow" w:hAnsi="Arial Narrow"/>
                <w:sz w:val="18"/>
                <w:szCs w:val="18"/>
              </w:rPr>
              <w:fldChar w:fldCharType="begin">
                <w:ffData>
                  <w:name w:val="Check5"/>
                  <w:enabled/>
                  <w:calcOnExit w:val="0"/>
                  <w:checkBox>
                    <w:sizeAuto/>
                    <w:default w:val="1"/>
                  </w:checkBox>
                </w:ffData>
              </w:fldChar>
            </w:r>
            <w:r w:rsidRPr="00534C5B">
              <w:rPr>
                <w:rFonts w:ascii="Arial Narrow" w:hAnsi="Arial Narrow"/>
                <w:sz w:val="18"/>
                <w:szCs w:val="18"/>
              </w:rPr>
              <w:instrText xml:space="preserve"> FORMCHECKBOX </w:instrText>
            </w:r>
            <w:r w:rsidR="00653477">
              <w:rPr>
                <w:rFonts w:ascii="Arial Narrow" w:hAnsi="Arial Narrow"/>
                <w:sz w:val="18"/>
                <w:szCs w:val="18"/>
              </w:rPr>
            </w:r>
            <w:r w:rsidR="00653477">
              <w:rPr>
                <w:rFonts w:ascii="Arial Narrow" w:hAnsi="Arial Narrow"/>
                <w:sz w:val="18"/>
                <w:szCs w:val="18"/>
              </w:rPr>
              <w:fldChar w:fldCharType="separate"/>
            </w:r>
            <w:r w:rsidRPr="00534C5B">
              <w:rPr>
                <w:rFonts w:ascii="Arial Narrow" w:hAnsi="Arial Narrow"/>
                <w:sz w:val="18"/>
                <w:szCs w:val="18"/>
              </w:rPr>
              <w:fldChar w:fldCharType="end"/>
            </w:r>
            <w:r w:rsidRPr="00534C5B">
              <w:rPr>
                <w:rFonts w:ascii="Arial Narrow" w:hAnsi="Arial Narrow"/>
                <w:sz w:val="18"/>
                <w:szCs w:val="18"/>
              </w:rPr>
              <w:t xml:space="preserve"> Authority Required (telephone)</w:t>
            </w:r>
          </w:p>
        </w:tc>
      </w:tr>
      <w:tr w:rsidR="00FB694D" w:rsidRPr="00534C5B" w:rsidTr="00FB694D">
        <w:trPr>
          <w:trHeight w:val="223"/>
        </w:trPr>
        <w:tc>
          <w:tcPr>
            <w:tcW w:w="865" w:type="pct"/>
            <w:tcBorders>
              <w:top w:val="single" w:sz="4" w:space="0" w:color="auto"/>
              <w:left w:val="single" w:sz="4" w:space="0" w:color="auto"/>
              <w:bottom w:val="single" w:sz="4" w:space="0" w:color="auto"/>
              <w:right w:val="single" w:sz="4" w:space="0" w:color="auto"/>
            </w:tcBorders>
            <w:tcMar>
              <w:left w:w="28" w:type="dxa"/>
              <w:right w:w="28" w:type="dxa"/>
            </w:tcMar>
            <w:hideMark/>
          </w:tcPr>
          <w:p w:rsidR="00FB694D" w:rsidRPr="00534C5B" w:rsidRDefault="00FB694D" w:rsidP="004869D0">
            <w:pPr>
              <w:rPr>
                <w:rFonts w:ascii="Arial Narrow" w:hAnsi="Arial Narrow"/>
                <w:b/>
                <w:sz w:val="18"/>
                <w:szCs w:val="18"/>
              </w:rPr>
            </w:pPr>
            <w:r w:rsidRPr="00534C5B">
              <w:rPr>
                <w:rFonts w:ascii="Arial Narrow" w:hAnsi="Arial Narrow"/>
                <w:b/>
                <w:sz w:val="18"/>
                <w:szCs w:val="18"/>
              </w:rPr>
              <w:t xml:space="preserve">Severity: </w:t>
            </w:r>
          </w:p>
        </w:tc>
        <w:tc>
          <w:tcPr>
            <w:tcW w:w="4135" w:type="pct"/>
            <w:tcBorders>
              <w:top w:val="single" w:sz="4" w:space="0" w:color="auto"/>
              <w:left w:val="single" w:sz="4" w:space="0" w:color="auto"/>
              <w:bottom w:val="single" w:sz="4" w:space="0" w:color="auto"/>
              <w:right w:val="single" w:sz="4" w:space="0" w:color="auto"/>
            </w:tcBorders>
            <w:tcMar>
              <w:left w:w="28" w:type="dxa"/>
              <w:right w:w="28" w:type="dxa"/>
            </w:tcMar>
            <w:hideMark/>
          </w:tcPr>
          <w:p w:rsidR="00FB694D" w:rsidRPr="00534C5B" w:rsidRDefault="00FB694D" w:rsidP="004869D0">
            <w:pPr>
              <w:rPr>
                <w:rFonts w:ascii="Arial Narrow" w:hAnsi="Arial Narrow"/>
                <w:sz w:val="18"/>
                <w:szCs w:val="18"/>
              </w:rPr>
            </w:pPr>
            <w:r w:rsidRPr="00534C5B">
              <w:rPr>
                <w:rFonts w:ascii="Arial Narrow" w:hAnsi="Arial Narrow"/>
                <w:sz w:val="18"/>
                <w:szCs w:val="18"/>
              </w:rPr>
              <w:t>Resected Stage IIIB, Stage IIIC or Stage IIID</w:t>
            </w:r>
          </w:p>
        </w:tc>
      </w:tr>
      <w:tr w:rsidR="00FB694D" w:rsidRPr="00534C5B" w:rsidTr="00FB694D">
        <w:trPr>
          <w:trHeight w:val="223"/>
        </w:trPr>
        <w:tc>
          <w:tcPr>
            <w:tcW w:w="865" w:type="pct"/>
            <w:tcBorders>
              <w:top w:val="single" w:sz="4" w:space="0" w:color="auto"/>
              <w:left w:val="single" w:sz="4" w:space="0" w:color="auto"/>
              <w:bottom w:val="single" w:sz="4" w:space="0" w:color="auto"/>
              <w:right w:val="single" w:sz="4" w:space="0" w:color="auto"/>
            </w:tcBorders>
            <w:tcMar>
              <w:left w:w="28" w:type="dxa"/>
              <w:right w:w="28" w:type="dxa"/>
            </w:tcMar>
            <w:hideMark/>
          </w:tcPr>
          <w:p w:rsidR="00FB694D" w:rsidRPr="00534C5B" w:rsidRDefault="00FB694D" w:rsidP="004869D0">
            <w:pPr>
              <w:rPr>
                <w:rFonts w:ascii="Arial Narrow" w:hAnsi="Arial Narrow"/>
                <w:b/>
                <w:sz w:val="18"/>
                <w:szCs w:val="18"/>
              </w:rPr>
            </w:pPr>
            <w:r w:rsidRPr="00534C5B">
              <w:rPr>
                <w:rFonts w:ascii="Arial Narrow" w:hAnsi="Arial Narrow"/>
                <w:b/>
                <w:sz w:val="18"/>
                <w:szCs w:val="18"/>
              </w:rPr>
              <w:t>Condition:</w:t>
            </w:r>
          </w:p>
        </w:tc>
        <w:tc>
          <w:tcPr>
            <w:tcW w:w="4135" w:type="pct"/>
            <w:tcBorders>
              <w:top w:val="single" w:sz="4" w:space="0" w:color="auto"/>
              <w:left w:val="single" w:sz="4" w:space="0" w:color="auto"/>
              <w:bottom w:val="single" w:sz="4" w:space="0" w:color="auto"/>
              <w:right w:val="single" w:sz="4" w:space="0" w:color="auto"/>
            </w:tcBorders>
            <w:tcMar>
              <w:left w:w="28" w:type="dxa"/>
              <w:right w:w="28" w:type="dxa"/>
            </w:tcMar>
            <w:hideMark/>
          </w:tcPr>
          <w:p w:rsidR="00FB694D" w:rsidRPr="00534C5B" w:rsidRDefault="00FB694D" w:rsidP="004869D0">
            <w:pPr>
              <w:rPr>
                <w:rFonts w:ascii="Arial Narrow" w:hAnsi="Arial Narrow"/>
                <w:sz w:val="18"/>
                <w:szCs w:val="18"/>
              </w:rPr>
            </w:pPr>
            <w:r w:rsidRPr="00534C5B">
              <w:rPr>
                <w:rFonts w:ascii="Arial Narrow" w:hAnsi="Arial Narrow"/>
                <w:sz w:val="18"/>
                <w:szCs w:val="18"/>
              </w:rPr>
              <w:t>Malignant melanoma</w:t>
            </w:r>
          </w:p>
        </w:tc>
      </w:tr>
      <w:tr w:rsidR="00FB694D" w:rsidRPr="00534C5B" w:rsidTr="00FB694D">
        <w:trPr>
          <w:trHeight w:val="127"/>
        </w:trPr>
        <w:tc>
          <w:tcPr>
            <w:tcW w:w="865" w:type="pct"/>
            <w:tcBorders>
              <w:top w:val="single" w:sz="4" w:space="0" w:color="auto"/>
              <w:left w:val="single" w:sz="4" w:space="0" w:color="auto"/>
              <w:bottom w:val="single" w:sz="4" w:space="0" w:color="auto"/>
              <w:right w:val="single" w:sz="4" w:space="0" w:color="auto"/>
            </w:tcBorders>
            <w:tcMar>
              <w:left w:w="28" w:type="dxa"/>
              <w:right w:w="28" w:type="dxa"/>
            </w:tcMar>
            <w:hideMark/>
          </w:tcPr>
          <w:p w:rsidR="00FB694D" w:rsidRPr="00534C5B" w:rsidRDefault="00FB694D" w:rsidP="004869D0">
            <w:pPr>
              <w:rPr>
                <w:rFonts w:ascii="Arial Narrow" w:hAnsi="Arial Narrow"/>
                <w:b/>
                <w:sz w:val="18"/>
                <w:szCs w:val="18"/>
              </w:rPr>
            </w:pPr>
            <w:r w:rsidRPr="00534C5B">
              <w:rPr>
                <w:rFonts w:ascii="Arial Narrow" w:hAnsi="Arial Narrow"/>
                <w:b/>
                <w:sz w:val="18"/>
                <w:szCs w:val="18"/>
              </w:rPr>
              <w:t>Treatment phase:</w:t>
            </w:r>
          </w:p>
        </w:tc>
        <w:tc>
          <w:tcPr>
            <w:tcW w:w="4135" w:type="pct"/>
            <w:tcBorders>
              <w:top w:val="single" w:sz="4" w:space="0" w:color="auto"/>
              <w:left w:val="single" w:sz="4" w:space="0" w:color="auto"/>
              <w:bottom w:val="single" w:sz="4" w:space="0" w:color="auto"/>
              <w:right w:val="single" w:sz="4" w:space="0" w:color="auto"/>
            </w:tcBorders>
            <w:tcMar>
              <w:left w:w="28" w:type="dxa"/>
              <w:right w:w="28" w:type="dxa"/>
            </w:tcMar>
            <w:hideMark/>
          </w:tcPr>
          <w:p w:rsidR="00FB694D" w:rsidRPr="00534C5B" w:rsidRDefault="00FB694D" w:rsidP="004869D0">
            <w:pPr>
              <w:rPr>
                <w:rFonts w:ascii="Arial Narrow" w:hAnsi="Arial Narrow"/>
                <w:sz w:val="18"/>
                <w:szCs w:val="18"/>
              </w:rPr>
            </w:pPr>
            <w:r w:rsidRPr="00534C5B">
              <w:rPr>
                <w:rFonts w:ascii="Arial Narrow" w:hAnsi="Arial Narrow"/>
                <w:sz w:val="18"/>
                <w:szCs w:val="18"/>
              </w:rPr>
              <w:t>Grandfathered treatment</w:t>
            </w:r>
          </w:p>
        </w:tc>
      </w:tr>
      <w:tr w:rsidR="00FB694D" w:rsidRPr="00534C5B" w:rsidTr="007E0D23">
        <w:trPr>
          <w:trHeight w:val="2532"/>
        </w:trPr>
        <w:tc>
          <w:tcPr>
            <w:tcW w:w="865" w:type="pct"/>
            <w:tcBorders>
              <w:top w:val="single" w:sz="4" w:space="0" w:color="auto"/>
              <w:left w:val="single" w:sz="4" w:space="0" w:color="auto"/>
              <w:bottom w:val="single" w:sz="4" w:space="0" w:color="auto"/>
              <w:right w:val="single" w:sz="4" w:space="0" w:color="auto"/>
            </w:tcBorders>
            <w:tcMar>
              <w:left w:w="28" w:type="dxa"/>
              <w:right w:w="28" w:type="dxa"/>
            </w:tcMar>
          </w:tcPr>
          <w:p w:rsidR="00FB694D" w:rsidRPr="00534C5B" w:rsidRDefault="00FB694D" w:rsidP="004869D0">
            <w:pPr>
              <w:rPr>
                <w:rFonts w:ascii="Arial Narrow" w:hAnsi="Arial Narrow"/>
                <w:b/>
                <w:sz w:val="18"/>
                <w:szCs w:val="18"/>
              </w:rPr>
            </w:pPr>
            <w:r w:rsidRPr="00534C5B">
              <w:rPr>
                <w:rFonts w:ascii="Arial Narrow" w:hAnsi="Arial Narrow"/>
                <w:b/>
                <w:sz w:val="18"/>
                <w:szCs w:val="18"/>
              </w:rPr>
              <w:t>Clinical criteria:</w:t>
            </w:r>
          </w:p>
          <w:p w:rsidR="00FB694D" w:rsidRPr="00534C5B" w:rsidRDefault="00FB694D" w:rsidP="004869D0">
            <w:pPr>
              <w:rPr>
                <w:rFonts w:ascii="Arial Narrow" w:hAnsi="Arial Narrow"/>
                <w:sz w:val="18"/>
                <w:szCs w:val="18"/>
              </w:rPr>
            </w:pPr>
          </w:p>
        </w:tc>
        <w:tc>
          <w:tcPr>
            <w:tcW w:w="4135" w:type="pct"/>
            <w:tcBorders>
              <w:top w:val="single" w:sz="4" w:space="0" w:color="auto"/>
              <w:left w:val="single" w:sz="4" w:space="0" w:color="auto"/>
              <w:bottom w:val="single" w:sz="4" w:space="0" w:color="auto"/>
              <w:right w:val="single" w:sz="4" w:space="0" w:color="auto"/>
            </w:tcBorders>
            <w:tcMar>
              <w:left w:w="28" w:type="dxa"/>
              <w:right w:w="28" w:type="dxa"/>
            </w:tcMar>
            <w:hideMark/>
          </w:tcPr>
          <w:p w:rsidR="00FB694D" w:rsidRPr="00534C5B" w:rsidRDefault="00FB694D" w:rsidP="004869D0">
            <w:pPr>
              <w:rPr>
                <w:rFonts w:ascii="Arial Narrow" w:hAnsi="Arial Narrow"/>
                <w:sz w:val="18"/>
                <w:szCs w:val="18"/>
              </w:rPr>
            </w:pPr>
            <w:r w:rsidRPr="00534C5B">
              <w:rPr>
                <w:rFonts w:ascii="Arial Narrow" w:hAnsi="Arial Narrow"/>
                <w:sz w:val="18"/>
                <w:szCs w:val="18"/>
              </w:rPr>
              <w:t>Patient must have previously received non-PBS subsidised drug for adjuvant treatment following complete surgical resection</w:t>
            </w:r>
            <w:r w:rsidRPr="00534C5B">
              <w:rPr>
                <w:rFonts w:ascii="Arial Narrow" w:hAnsi="Arial Narrow"/>
                <w:i/>
                <w:sz w:val="18"/>
                <w:szCs w:val="18"/>
              </w:rPr>
              <w:t xml:space="preserve"> </w:t>
            </w:r>
            <w:r w:rsidRPr="00534C5B">
              <w:rPr>
                <w:rFonts w:ascii="Arial Narrow" w:hAnsi="Arial Narrow"/>
                <w:sz w:val="18"/>
                <w:szCs w:val="18"/>
              </w:rPr>
              <w:t>prior to [list date]</w:t>
            </w:r>
          </w:p>
          <w:p w:rsidR="00FB694D" w:rsidRPr="00534C5B" w:rsidRDefault="00FB694D" w:rsidP="004869D0">
            <w:pPr>
              <w:rPr>
                <w:rFonts w:ascii="Arial Narrow" w:hAnsi="Arial Narrow"/>
                <w:sz w:val="18"/>
                <w:szCs w:val="18"/>
              </w:rPr>
            </w:pPr>
            <w:r w:rsidRPr="00534C5B">
              <w:rPr>
                <w:rFonts w:ascii="Arial Narrow" w:hAnsi="Arial Narrow"/>
                <w:sz w:val="18"/>
                <w:szCs w:val="18"/>
              </w:rPr>
              <w:t>AND</w:t>
            </w:r>
          </w:p>
          <w:p w:rsidR="00FB694D" w:rsidRPr="00534C5B" w:rsidRDefault="00FB694D" w:rsidP="004869D0">
            <w:pPr>
              <w:rPr>
                <w:rFonts w:ascii="Arial Narrow" w:hAnsi="Arial Narrow"/>
                <w:sz w:val="18"/>
                <w:szCs w:val="18"/>
              </w:rPr>
            </w:pPr>
            <w:r w:rsidRPr="00534C5B">
              <w:rPr>
                <w:rFonts w:ascii="Arial Narrow" w:hAnsi="Arial Narrow"/>
                <w:sz w:val="18"/>
                <w:szCs w:val="18"/>
              </w:rPr>
              <w:t>The condition must be positive for a BRAF V600 mutation</w:t>
            </w:r>
          </w:p>
          <w:p w:rsidR="00FB694D" w:rsidRPr="00534C5B" w:rsidRDefault="00FB694D" w:rsidP="004869D0">
            <w:pPr>
              <w:rPr>
                <w:rFonts w:ascii="Arial Narrow" w:hAnsi="Arial Narrow"/>
                <w:sz w:val="18"/>
                <w:szCs w:val="18"/>
              </w:rPr>
            </w:pPr>
            <w:r w:rsidRPr="00534C5B">
              <w:rPr>
                <w:rFonts w:ascii="Arial Narrow" w:hAnsi="Arial Narrow"/>
                <w:sz w:val="18"/>
                <w:szCs w:val="18"/>
              </w:rPr>
              <w:t>AND</w:t>
            </w:r>
          </w:p>
          <w:p w:rsidR="00FB694D" w:rsidRPr="00534C5B" w:rsidRDefault="00FB694D" w:rsidP="004869D0">
            <w:pPr>
              <w:rPr>
                <w:rFonts w:ascii="Arial Narrow" w:hAnsi="Arial Narrow"/>
                <w:sz w:val="18"/>
                <w:szCs w:val="18"/>
              </w:rPr>
            </w:pPr>
            <w:r w:rsidRPr="00534C5B">
              <w:rPr>
                <w:rFonts w:ascii="Arial Narrow" w:hAnsi="Arial Narrow"/>
                <w:sz w:val="18"/>
                <w:szCs w:val="18"/>
              </w:rPr>
              <w:t>Patient must have a WHO performance status of 1 or less</w:t>
            </w:r>
          </w:p>
          <w:p w:rsidR="00FB694D" w:rsidRPr="00534C5B" w:rsidRDefault="00FB694D" w:rsidP="004869D0">
            <w:pPr>
              <w:rPr>
                <w:rFonts w:ascii="Arial Narrow" w:hAnsi="Arial Narrow"/>
                <w:sz w:val="18"/>
                <w:szCs w:val="18"/>
              </w:rPr>
            </w:pPr>
            <w:r w:rsidRPr="00534C5B">
              <w:rPr>
                <w:rFonts w:ascii="Arial Narrow" w:hAnsi="Arial Narrow"/>
                <w:sz w:val="18"/>
                <w:szCs w:val="18"/>
              </w:rPr>
              <w:t>AND</w:t>
            </w:r>
          </w:p>
          <w:p w:rsidR="00FB694D" w:rsidRPr="00534C5B" w:rsidRDefault="00FB694D" w:rsidP="004869D0">
            <w:pPr>
              <w:rPr>
                <w:rFonts w:ascii="Arial Narrow" w:hAnsi="Arial Narrow"/>
                <w:sz w:val="18"/>
                <w:szCs w:val="18"/>
              </w:rPr>
            </w:pPr>
            <w:r w:rsidRPr="00534C5B">
              <w:rPr>
                <w:rFonts w:ascii="Arial Narrow" w:hAnsi="Arial Narrow"/>
                <w:sz w:val="18"/>
                <w:szCs w:val="18"/>
              </w:rPr>
              <w:t xml:space="preserve">The patient must not have evidence of recurrence </w:t>
            </w:r>
          </w:p>
          <w:p w:rsidR="00FB694D" w:rsidRPr="00534C5B" w:rsidRDefault="00FB694D" w:rsidP="004869D0">
            <w:pPr>
              <w:rPr>
                <w:rFonts w:ascii="Arial Narrow" w:hAnsi="Arial Narrow"/>
                <w:sz w:val="18"/>
                <w:szCs w:val="18"/>
              </w:rPr>
            </w:pPr>
            <w:r w:rsidRPr="00534C5B">
              <w:rPr>
                <w:rFonts w:ascii="Arial Narrow" w:hAnsi="Arial Narrow"/>
                <w:sz w:val="18"/>
                <w:szCs w:val="18"/>
              </w:rPr>
              <w:t>AND</w:t>
            </w:r>
          </w:p>
          <w:p w:rsidR="00FB694D" w:rsidRPr="00534C5B" w:rsidRDefault="00FB694D" w:rsidP="004869D0">
            <w:pPr>
              <w:rPr>
                <w:rFonts w:ascii="Arial Narrow" w:hAnsi="Arial Narrow"/>
                <w:sz w:val="18"/>
                <w:szCs w:val="18"/>
              </w:rPr>
            </w:pPr>
            <w:r w:rsidRPr="00534C5B">
              <w:rPr>
                <w:rFonts w:ascii="Arial Narrow" w:hAnsi="Arial Narrow"/>
                <w:sz w:val="18"/>
                <w:szCs w:val="18"/>
              </w:rPr>
              <w:t xml:space="preserve">Patient must be receiving PBS-subsidised trametinib and dabrafenib concomitantly for this condition </w:t>
            </w:r>
          </w:p>
          <w:p w:rsidR="00FB694D" w:rsidRPr="00534C5B" w:rsidRDefault="00FB694D" w:rsidP="004869D0">
            <w:pPr>
              <w:rPr>
                <w:rFonts w:ascii="Arial Narrow" w:hAnsi="Arial Narrow"/>
                <w:sz w:val="18"/>
                <w:szCs w:val="18"/>
              </w:rPr>
            </w:pPr>
            <w:r w:rsidRPr="00534C5B">
              <w:rPr>
                <w:rFonts w:ascii="Arial Narrow" w:hAnsi="Arial Narrow"/>
                <w:sz w:val="18"/>
                <w:szCs w:val="18"/>
              </w:rPr>
              <w:t>AND</w:t>
            </w:r>
          </w:p>
          <w:p w:rsidR="00FB694D" w:rsidRPr="00534C5B" w:rsidRDefault="00FB694D" w:rsidP="004869D0">
            <w:pPr>
              <w:rPr>
                <w:rFonts w:ascii="Arial Narrow" w:hAnsi="Arial Narrow"/>
                <w:sz w:val="18"/>
                <w:szCs w:val="18"/>
              </w:rPr>
            </w:pPr>
            <w:r w:rsidRPr="00534C5B">
              <w:rPr>
                <w:rFonts w:ascii="Arial Narrow" w:hAnsi="Arial Narrow"/>
                <w:sz w:val="18"/>
                <w:szCs w:val="18"/>
              </w:rPr>
              <w:t>Patient must not have received prior PBS-subsidised treatment for this condition.</w:t>
            </w:r>
          </w:p>
        </w:tc>
      </w:tr>
      <w:tr w:rsidR="00FB694D" w:rsidRPr="00534C5B" w:rsidTr="00FB694D">
        <w:trPr>
          <w:trHeight w:val="1052"/>
        </w:trPr>
        <w:tc>
          <w:tcPr>
            <w:tcW w:w="865" w:type="pct"/>
            <w:tcBorders>
              <w:top w:val="single" w:sz="4" w:space="0" w:color="auto"/>
              <w:left w:val="single" w:sz="4" w:space="0" w:color="auto"/>
              <w:bottom w:val="single" w:sz="4" w:space="0" w:color="auto"/>
              <w:right w:val="single" w:sz="4" w:space="0" w:color="auto"/>
            </w:tcBorders>
            <w:tcMar>
              <w:left w:w="28" w:type="dxa"/>
              <w:right w:w="28" w:type="dxa"/>
            </w:tcMar>
            <w:hideMark/>
          </w:tcPr>
          <w:p w:rsidR="00FB694D" w:rsidRPr="00534C5B" w:rsidRDefault="00FB694D" w:rsidP="004869D0">
            <w:pPr>
              <w:rPr>
                <w:rFonts w:ascii="Arial Narrow" w:hAnsi="Arial Narrow"/>
                <w:b/>
                <w:sz w:val="18"/>
                <w:szCs w:val="18"/>
              </w:rPr>
            </w:pPr>
            <w:r w:rsidRPr="00534C5B">
              <w:rPr>
                <w:rFonts w:ascii="Arial Narrow" w:hAnsi="Arial Narrow"/>
                <w:b/>
                <w:sz w:val="18"/>
                <w:szCs w:val="18"/>
              </w:rPr>
              <w:t>Treatment criteria:</w:t>
            </w:r>
          </w:p>
        </w:tc>
        <w:tc>
          <w:tcPr>
            <w:tcW w:w="4135" w:type="pct"/>
            <w:tcBorders>
              <w:top w:val="single" w:sz="4" w:space="0" w:color="auto"/>
              <w:left w:val="single" w:sz="4" w:space="0" w:color="auto"/>
              <w:bottom w:val="single" w:sz="4" w:space="0" w:color="auto"/>
              <w:right w:val="single" w:sz="4" w:space="0" w:color="auto"/>
            </w:tcBorders>
            <w:tcMar>
              <w:left w:w="28" w:type="dxa"/>
              <w:right w:w="28" w:type="dxa"/>
            </w:tcMar>
            <w:hideMark/>
          </w:tcPr>
          <w:p w:rsidR="00FB694D" w:rsidRPr="00534C5B" w:rsidRDefault="00FB694D" w:rsidP="004869D0">
            <w:pPr>
              <w:rPr>
                <w:rFonts w:ascii="Arial Narrow" w:hAnsi="Arial Narrow"/>
                <w:sz w:val="18"/>
                <w:szCs w:val="18"/>
              </w:rPr>
            </w:pPr>
            <w:r w:rsidRPr="00534C5B">
              <w:rPr>
                <w:rFonts w:ascii="Arial Narrow" w:hAnsi="Arial Narrow"/>
                <w:sz w:val="18"/>
                <w:szCs w:val="18"/>
              </w:rPr>
              <w:t>Non-PBS subsidised treatment must have commenced within 12 weeks of complete surgical resection</w:t>
            </w:r>
            <w:r w:rsidRPr="00534C5B">
              <w:rPr>
                <w:rFonts w:ascii="Arial Narrow" w:hAnsi="Arial Narrow"/>
                <w:strike/>
                <w:sz w:val="18"/>
                <w:szCs w:val="18"/>
              </w:rPr>
              <w:t>, unless delay is necessary due to post-surgery recovery</w:t>
            </w:r>
            <w:r w:rsidRPr="00534C5B">
              <w:rPr>
                <w:rFonts w:ascii="Arial Narrow" w:hAnsi="Arial Narrow"/>
                <w:sz w:val="18"/>
                <w:szCs w:val="18"/>
              </w:rPr>
              <w:t>,</w:t>
            </w:r>
          </w:p>
          <w:p w:rsidR="00FB694D" w:rsidRPr="00534C5B" w:rsidRDefault="00FB694D" w:rsidP="004869D0">
            <w:pPr>
              <w:rPr>
                <w:rFonts w:ascii="Arial Narrow" w:hAnsi="Arial Narrow"/>
                <w:sz w:val="18"/>
                <w:szCs w:val="18"/>
              </w:rPr>
            </w:pPr>
            <w:r w:rsidRPr="00534C5B">
              <w:rPr>
                <w:rFonts w:ascii="Arial Narrow" w:hAnsi="Arial Narrow"/>
                <w:sz w:val="18"/>
                <w:szCs w:val="18"/>
              </w:rPr>
              <w:t>AND</w:t>
            </w:r>
          </w:p>
          <w:p w:rsidR="00FB694D" w:rsidRPr="00534C5B" w:rsidRDefault="00FB694D" w:rsidP="004869D0">
            <w:pPr>
              <w:rPr>
                <w:rFonts w:ascii="Arial Narrow" w:hAnsi="Arial Narrow"/>
                <w:strike/>
                <w:sz w:val="18"/>
                <w:szCs w:val="18"/>
              </w:rPr>
            </w:pPr>
            <w:r w:rsidRPr="00534C5B">
              <w:rPr>
                <w:rFonts w:ascii="Arial Narrow" w:hAnsi="Arial Narrow"/>
                <w:strike/>
                <w:sz w:val="18"/>
                <w:szCs w:val="18"/>
              </w:rPr>
              <w:t>Treatment must not exceed a maximum duration of 12 months for adjuvant treatment of completely resected Stage IIIB, IIIC or IIID melanoma</w:t>
            </w:r>
          </w:p>
          <w:p w:rsidR="008B20C6" w:rsidRPr="00534C5B" w:rsidRDefault="008B20C6" w:rsidP="004869D0">
            <w:pPr>
              <w:rPr>
                <w:rFonts w:ascii="Arial Narrow" w:hAnsi="Arial Narrow"/>
                <w:i/>
                <w:strike/>
                <w:sz w:val="18"/>
                <w:szCs w:val="18"/>
              </w:rPr>
            </w:pPr>
            <w:r w:rsidRPr="00534C5B">
              <w:rPr>
                <w:rFonts w:ascii="Arial Narrow" w:hAnsi="Arial Narrow"/>
                <w:i/>
                <w:color w:val="333333"/>
                <w:sz w:val="18"/>
                <w:szCs w:val="18"/>
              </w:rPr>
              <w:t>Patient must not receive more than 12 months of combined PBS-subsidised and non-PBS subsidised adjuvant therapy</w:t>
            </w:r>
          </w:p>
        </w:tc>
      </w:tr>
      <w:tr w:rsidR="00FB694D" w:rsidRPr="00534C5B" w:rsidTr="00FB694D">
        <w:trPr>
          <w:trHeight w:val="305"/>
        </w:trPr>
        <w:tc>
          <w:tcPr>
            <w:tcW w:w="865" w:type="pct"/>
            <w:tcBorders>
              <w:top w:val="single" w:sz="4" w:space="0" w:color="auto"/>
              <w:left w:val="single" w:sz="4" w:space="0" w:color="auto"/>
              <w:bottom w:val="single" w:sz="4" w:space="0" w:color="auto"/>
              <w:right w:val="single" w:sz="4" w:space="0" w:color="auto"/>
            </w:tcBorders>
            <w:tcMar>
              <w:left w:w="28" w:type="dxa"/>
              <w:right w:w="28" w:type="dxa"/>
            </w:tcMar>
            <w:hideMark/>
          </w:tcPr>
          <w:p w:rsidR="00FB694D" w:rsidRPr="00534C5B" w:rsidRDefault="00FB694D" w:rsidP="004869D0">
            <w:pPr>
              <w:rPr>
                <w:rFonts w:ascii="Arial Narrow" w:hAnsi="Arial Narrow"/>
                <w:b/>
                <w:sz w:val="18"/>
                <w:szCs w:val="18"/>
              </w:rPr>
            </w:pPr>
            <w:r w:rsidRPr="00534C5B">
              <w:rPr>
                <w:rFonts w:ascii="Arial Narrow" w:hAnsi="Arial Narrow"/>
                <w:b/>
                <w:sz w:val="18"/>
                <w:szCs w:val="18"/>
              </w:rPr>
              <w:t>Notes:</w:t>
            </w:r>
          </w:p>
        </w:tc>
        <w:tc>
          <w:tcPr>
            <w:tcW w:w="4135" w:type="pct"/>
            <w:tcBorders>
              <w:top w:val="single" w:sz="4" w:space="0" w:color="auto"/>
              <w:left w:val="single" w:sz="4" w:space="0" w:color="auto"/>
              <w:bottom w:val="single" w:sz="4" w:space="0" w:color="auto"/>
              <w:right w:val="single" w:sz="4" w:space="0" w:color="auto"/>
            </w:tcBorders>
            <w:tcMar>
              <w:left w:w="28" w:type="dxa"/>
              <w:right w:w="28" w:type="dxa"/>
            </w:tcMar>
            <w:hideMark/>
          </w:tcPr>
          <w:p w:rsidR="00FB694D" w:rsidRPr="00534C5B" w:rsidRDefault="00FB694D" w:rsidP="00FB694D">
            <w:pPr>
              <w:numPr>
                <w:ilvl w:val="0"/>
                <w:numId w:val="26"/>
              </w:numPr>
              <w:spacing w:after="160" w:line="259" w:lineRule="auto"/>
              <w:rPr>
                <w:rFonts w:ascii="Arial Narrow" w:hAnsi="Arial Narrow"/>
                <w:sz w:val="18"/>
                <w:szCs w:val="18"/>
              </w:rPr>
            </w:pPr>
            <w:r w:rsidRPr="00534C5B">
              <w:rPr>
                <w:rFonts w:ascii="Arial Narrow" w:hAnsi="Arial Narrow"/>
                <w:sz w:val="18"/>
                <w:szCs w:val="18"/>
              </w:rPr>
              <w:t>No increase in the maximum quantity or number of units or number of repeats will be authorised.</w:t>
            </w:r>
          </w:p>
          <w:p w:rsidR="00FB694D" w:rsidRPr="00534C5B" w:rsidRDefault="00FB694D" w:rsidP="00FB694D">
            <w:pPr>
              <w:numPr>
                <w:ilvl w:val="0"/>
                <w:numId w:val="26"/>
              </w:numPr>
              <w:rPr>
                <w:rFonts w:ascii="Arial Narrow" w:hAnsi="Arial Narrow"/>
                <w:sz w:val="18"/>
                <w:szCs w:val="18"/>
              </w:rPr>
            </w:pPr>
            <w:r w:rsidRPr="00534C5B">
              <w:rPr>
                <w:rFonts w:ascii="Arial Narrow" w:hAnsi="Arial Narrow"/>
                <w:sz w:val="18"/>
                <w:szCs w:val="18"/>
              </w:rPr>
              <w:t>Special Pricing Arrangements apply.</w:t>
            </w:r>
          </w:p>
        </w:tc>
      </w:tr>
    </w:tbl>
    <w:p w:rsidR="00FB694D" w:rsidRPr="00534C5B" w:rsidRDefault="00FB694D" w:rsidP="00FB694D">
      <w:pPr>
        <w:rPr>
          <w:rFonts w:ascii="Arial Narrow" w:hAnsi="Arial Narrow"/>
          <w:i/>
          <w:sz w:val="18"/>
          <w:szCs w:val="18"/>
        </w:rPr>
      </w:pPr>
    </w:p>
    <w:tbl>
      <w:tblPr>
        <w:tblW w:w="4994" w:type="pct"/>
        <w:tblLook w:val="04A0" w:firstRow="1" w:lastRow="0" w:firstColumn="1" w:lastColumn="0" w:noHBand="0" w:noVBand="1"/>
      </w:tblPr>
      <w:tblGrid>
        <w:gridCol w:w="1554"/>
        <w:gridCol w:w="7451"/>
      </w:tblGrid>
      <w:tr w:rsidR="00FB694D" w:rsidRPr="00534C5B" w:rsidTr="00FB694D">
        <w:trPr>
          <w:trHeight w:val="135"/>
        </w:trPr>
        <w:tc>
          <w:tcPr>
            <w:tcW w:w="5000" w:type="pct"/>
            <w:gridSpan w:val="2"/>
            <w:tcBorders>
              <w:top w:val="single" w:sz="4" w:space="0" w:color="auto"/>
              <w:left w:val="single" w:sz="4" w:space="0" w:color="auto"/>
              <w:bottom w:val="single" w:sz="4" w:space="0" w:color="auto"/>
              <w:right w:val="single" w:sz="4" w:space="0" w:color="auto"/>
            </w:tcBorders>
            <w:tcMar>
              <w:left w:w="28" w:type="dxa"/>
              <w:right w:w="28" w:type="dxa"/>
            </w:tcMar>
          </w:tcPr>
          <w:p w:rsidR="00FB694D" w:rsidRPr="00534C5B" w:rsidRDefault="00FB694D" w:rsidP="004869D0">
            <w:pPr>
              <w:rPr>
                <w:rFonts w:ascii="Arial Narrow" w:hAnsi="Arial Narrow"/>
                <w:b/>
                <w:sz w:val="18"/>
                <w:szCs w:val="18"/>
              </w:rPr>
            </w:pPr>
            <w:r w:rsidRPr="00534C5B">
              <w:rPr>
                <w:rFonts w:ascii="Arial Narrow" w:hAnsi="Arial Narrow"/>
                <w:b/>
                <w:sz w:val="18"/>
                <w:szCs w:val="18"/>
              </w:rPr>
              <w:t>Trametinib</w:t>
            </w:r>
          </w:p>
        </w:tc>
      </w:tr>
      <w:tr w:rsidR="00FB694D" w:rsidRPr="00534C5B" w:rsidTr="00FB694D">
        <w:trPr>
          <w:trHeight w:val="135"/>
        </w:trPr>
        <w:tc>
          <w:tcPr>
            <w:tcW w:w="863" w:type="pct"/>
            <w:tcBorders>
              <w:top w:val="single" w:sz="4" w:space="0" w:color="auto"/>
              <w:left w:val="single" w:sz="4" w:space="0" w:color="auto"/>
              <w:bottom w:val="single" w:sz="4" w:space="0" w:color="auto"/>
              <w:right w:val="single" w:sz="4" w:space="0" w:color="auto"/>
            </w:tcBorders>
            <w:tcMar>
              <w:left w:w="28" w:type="dxa"/>
              <w:right w:w="28" w:type="dxa"/>
            </w:tcMar>
          </w:tcPr>
          <w:p w:rsidR="00FB694D" w:rsidRPr="00534C5B" w:rsidRDefault="00FB694D" w:rsidP="004869D0">
            <w:pPr>
              <w:rPr>
                <w:rFonts w:ascii="Arial Narrow" w:hAnsi="Arial Narrow"/>
                <w:b/>
                <w:sz w:val="18"/>
                <w:szCs w:val="18"/>
              </w:rPr>
            </w:pPr>
            <w:r w:rsidRPr="00534C5B">
              <w:rPr>
                <w:rFonts w:ascii="Arial Narrow" w:hAnsi="Arial Narrow"/>
                <w:b/>
                <w:sz w:val="18"/>
                <w:szCs w:val="18"/>
              </w:rPr>
              <w:t>Schedule:</w:t>
            </w:r>
          </w:p>
        </w:tc>
        <w:tc>
          <w:tcPr>
            <w:tcW w:w="4137" w:type="pct"/>
            <w:tcBorders>
              <w:top w:val="single" w:sz="4" w:space="0" w:color="auto"/>
              <w:left w:val="single" w:sz="4" w:space="0" w:color="auto"/>
              <w:bottom w:val="single" w:sz="4" w:space="0" w:color="auto"/>
              <w:right w:val="single" w:sz="4" w:space="0" w:color="auto"/>
            </w:tcBorders>
            <w:tcMar>
              <w:left w:w="28" w:type="dxa"/>
              <w:right w:w="28" w:type="dxa"/>
            </w:tcMar>
          </w:tcPr>
          <w:p w:rsidR="00FB694D" w:rsidRPr="00534C5B" w:rsidRDefault="00FB694D" w:rsidP="004869D0">
            <w:pPr>
              <w:rPr>
                <w:rFonts w:ascii="Arial Narrow" w:hAnsi="Arial Narrow"/>
                <w:sz w:val="18"/>
                <w:szCs w:val="18"/>
              </w:rPr>
            </w:pPr>
            <w:r w:rsidRPr="00534C5B">
              <w:rPr>
                <w:rFonts w:ascii="Arial Narrow" w:hAnsi="Arial Narrow"/>
                <w:sz w:val="18"/>
                <w:szCs w:val="18"/>
              </w:rPr>
              <w:t>General</w:t>
            </w:r>
          </w:p>
        </w:tc>
      </w:tr>
      <w:tr w:rsidR="00FB694D" w:rsidRPr="00534C5B" w:rsidTr="00FB69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trHeight w:val="20"/>
        </w:trPr>
        <w:tc>
          <w:tcPr>
            <w:tcW w:w="863"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FB694D" w:rsidRPr="00534C5B" w:rsidRDefault="00FB694D" w:rsidP="004869D0">
            <w:pPr>
              <w:rPr>
                <w:rFonts w:ascii="Arial Narrow" w:hAnsi="Arial Narrow"/>
                <w:b/>
                <w:sz w:val="18"/>
                <w:szCs w:val="18"/>
              </w:rPr>
            </w:pPr>
            <w:r w:rsidRPr="00534C5B">
              <w:rPr>
                <w:rFonts w:ascii="Arial Narrow" w:hAnsi="Arial Narrow"/>
                <w:b/>
                <w:sz w:val="18"/>
                <w:szCs w:val="18"/>
              </w:rPr>
              <w:t>Prescriber type:</w:t>
            </w:r>
          </w:p>
        </w:tc>
        <w:tc>
          <w:tcPr>
            <w:tcW w:w="4137"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FB694D" w:rsidRPr="00534C5B" w:rsidRDefault="00FB694D" w:rsidP="004869D0">
            <w:pPr>
              <w:rPr>
                <w:rFonts w:ascii="Arial Narrow" w:hAnsi="Arial Narrow"/>
                <w:sz w:val="18"/>
                <w:szCs w:val="18"/>
              </w:rPr>
            </w:pPr>
            <w:r w:rsidRPr="00534C5B">
              <w:rPr>
                <w:rFonts w:ascii="Arial Narrow" w:hAnsi="Arial Narrow"/>
                <w:sz w:val="18"/>
                <w:szCs w:val="18"/>
              </w:rPr>
              <w:fldChar w:fldCharType="begin">
                <w:ffData>
                  <w:name w:val=""/>
                  <w:enabled/>
                  <w:calcOnExit w:val="0"/>
                  <w:checkBox>
                    <w:sizeAuto/>
                    <w:default w:val="0"/>
                  </w:checkBox>
                </w:ffData>
              </w:fldChar>
            </w:r>
            <w:r w:rsidRPr="00534C5B">
              <w:rPr>
                <w:rFonts w:ascii="Arial Narrow" w:hAnsi="Arial Narrow"/>
                <w:sz w:val="18"/>
                <w:szCs w:val="18"/>
              </w:rPr>
              <w:instrText xml:space="preserve"> FORMCHECKBOX </w:instrText>
            </w:r>
            <w:r w:rsidR="00653477">
              <w:rPr>
                <w:rFonts w:ascii="Arial Narrow" w:hAnsi="Arial Narrow"/>
                <w:sz w:val="18"/>
                <w:szCs w:val="18"/>
              </w:rPr>
            </w:r>
            <w:r w:rsidR="00653477">
              <w:rPr>
                <w:rFonts w:ascii="Arial Narrow" w:hAnsi="Arial Narrow"/>
                <w:sz w:val="18"/>
                <w:szCs w:val="18"/>
              </w:rPr>
              <w:fldChar w:fldCharType="separate"/>
            </w:r>
            <w:r w:rsidRPr="00534C5B">
              <w:rPr>
                <w:rFonts w:ascii="Arial Narrow" w:hAnsi="Arial Narrow"/>
                <w:sz w:val="18"/>
                <w:szCs w:val="18"/>
              </w:rPr>
              <w:fldChar w:fldCharType="end"/>
            </w:r>
            <w:r w:rsidRPr="00534C5B">
              <w:rPr>
                <w:rFonts w:ascii="Arial Narrow" w:hAnsi="Arial Narrow"/>
                <w:sz w:val="18"/>
                <w:szCs w:val="18"/>
              </w:rPr>
              <w:t xml:space="preserve">Dental  </w:t>
            </w:r>
            <w:r w:rsidRPr="00534C5B">
              <w:rPr>
                <w:rFonts w:ascii="Arial Narrow" w:hAnsi="Arial Narrow"/>
                <w:sz w:val="18"/>
                <w:szCs w:val="18"/>
              </w:rPr>
              <w:fldChar w:fldCharType="begin">
                <w:ffData>
                  <w:name w:val=""/>
                  <w:enabled/>
                  <w:calcOnExit w:val="0"/>
                  <w:checkBox>
                    <w:sizeAuto/>
                    <w:default w:val="1"/>
                  </w:checkBox>
                </w:ffData>
              </w:fldChar>
            </w:r>
            <w:r w:rsidRPr="00534C5B">
              <w:rPr>
                <w:rFonts w:ascii="Arial Narrow" w:hAnsi="Arial Narrow"/>
                <w:sz w:val="18"/>
                <w:szCs w:val="18"/>
              </w:rPr>
              <w:instrText xml:space="preserve"> FORMCHECKBOX </w:instrText>
            </w:r>
            <w:r w:rsidR="00653477">
              <w:rPr>
                <w:rFonts w:ascii="Arial Narrow" w:hAnsi="Arial Narrow"/>
                <w:sz w:val="18"/>
                <w:szCs w:val="18"/>
              </w:rPr>
            </w:r>
            <w:r w:rsidR="00653477">
              <w:rPr>
                <w:rFonts w:ascii="Arial Narrow" w:hAnsi="Arial Narrow"/>
                <w:sz w:val="18"/>
                <w:szCs w:val="18"/>
              </w:rPr>
              <w:fldChar w:fldCharType="separate"/>
            </w:r>
            <w:r w:rsidRPr="00534C5B">
              <w:rPr>
                <w:rFonts w:ascii="Arial Narrow" w:hAnsi="Arial Narrow"/>
                <w:sz w:val="18"/>
                <w:szCs w:val="18"/>
              </w:rPr>
              <w:fldChar w:fldCharType="end"/>
            </w:r>
            <w:r w:rsidRPr="00534C5B">
              <w:rPr>
                <w:rFonts w:ascii="Arial Narrow" w:hAnsi="Arial Narrow"/>
                <w:sz w:val="18"/>
                <w:szCs w:val="18"/>
              </w:rPr>
              <w:t xml:space="preserve">Medical Practitioners  </w:t>
            </w:r>
            <w:r w:rsidRPr="00534C5B">
              <w:rPr>
                <w:rFonts w:ascii="Arial Narrow" w:hAnsi="Arial Narrow"/>
                <w:sz w:val="18"/>
                <w:szCs w:val="18"/>
              </w:rPr>
              <w:fldChar w:fldCharType="begin">
                <w:ffData>
                  <w:name w:val="Check3"/>
                  <w:enabled/>
                  <w:calcOnExit w:val="0"/>
                  <w:checkBox>
                    <w:sizeAuto/>
                    <w:default w:val="0"/>
                  </w:checkBox>
                </w:ffData>
              </w:fldChar>
            </w:r>
            <w:r w:rsidRPr="00534C5B">
              <w:rPr>
                <w:rFonts w:ascii="Arial Narrow" w:hAnsi="Arial Narrow"/>
                <w:sz w:val="18"/>
                <w:szCs w:val="18"/>
              </w:rPr>
              <w:instrText xml:space="preserve"> FORMCHECKBOX </w:instrText>
            </w:r>
            <w:r w:rsidR="00653477">
              <w:rPr>
                <w:rFonts w:ascii="Arial Narrow" w:hAnsi="Arial Narrow"/>
                <w:sz w:val="18"/>
                <w:szCs w:val="18"/>
              </w:rPr>
            </w:r>
            <w:r w:rsidR="00653477">
              <w:rPr>
                <w:rFonts w:ascii="Arial Narrow" w:hAnsi="Arial Narrow"/>
                <w:sz w:val="18"/>
                <w:szCs w:val="18"/>
              </w:rPr>
              <w:fldChar w:fldCharType="separate"/>
            </w:r>
            <w:r w:rsidRPr="00534C5B">
              <w:rPr>
                <w:rFonts w:ascii="Arial Narrow" w:hAnsi="Arial Narrow"/>
                <w:sz w:val="18"/>
                <w:szCs w:val="18"/>
              </w:rPr>
              <w:fldChar w:fldCharType="end"/>
            </w:r>
            <w:r w:rsidRPr="00534C5B">
              <w:rPr>
                <w:rFonts w:ascii="Arial Narrow" w:hAnsi="Arial Narrow"/>
                <w:sz w:val="18"/>
                <w:szCs w:val="18"/>
              </w:rPr>
              <w:t xml:space="preserve">Nurse practitioners  </w:t>
            </w:r>
            <w:r w:rsidRPr="00534C5B">
              <w:rPr>
                <w:rFonts w:ascii="Arial Narrow" w:hAnsi="Arial Narrow"/>
                <w:sz w:val="18"/>
                <w:szCs w:val="18"/>
              </w:rPr>
              <w:fldChar w:fldCharType="begin">
                <w:ffData>
                  <w:name w:val=""/>
                  <w:enabled/>
                  <w:calcOnExit w:val="0"/>
                  <w:checkBox>
                    <w:sizeAuto/>
                    <w:default w:val="0"/>
                  </w:checkBox>
                </w:ffData>
              </w:fldChar>
            </w:r>
            <w:r w:rsidRPr="00534C5B">
              <w:rPr>
                <w:rFonts w:ascii="Arial Narrow" w:hAnsi="Arial Narrow"/>
                <w:sz w:val="18"/>
                <w:szCs w:val="18"/>
              </w:rPr>
              <w:instrText xml:space="preserve"> FORMCHECKBOX </w:instrText>
            </w:r>
            <w:r w:rsidR="00653477">
              <w:rPr>
                <w:rFonts w:ascii="Arial Narrow" w:hAnsi="Arial Narrow"/>
                <w:sz w:val="18"/>
                <w:szCs w:val="18"/>
              </w:rPr>
            </w:r>
            <w:r w:rsidR="00653477">
              <w:rPr>
                <w:rFonts w:ascii="Arial Narrow" w:hAnsi="Arial Narrow"/>
                <w:sz w:val="18"/>
                <w:szCs w:val="18"/>
              </w:rPr>
              <w:fldChar w:fldCharType="separate"/>
            </w:r>
            <w:r w:rsidRPr="00534C5B">
              <w:rPr>
                <w:rFonts w:ascii="Arial Narrow" w:hAnsi="Arial Narrow"/>
                <w:sz w:val="18"/>
                <w:szCs w:val="18"/>
              </w:rPr>
              <w:fldChar w:fldCharType="end"/>
            </w:r>
            <w:r w:rsidRPr="00534C5B">
              <w:rPr>
                <w:rFonts w:ascii="Arial Narrow" w:hAnsi="Arial Narrow"/>
                <w:sz w:val="18"/>
                <w:szCs w:val="18"/>
              </w:rPr>
              <w:t xml:space="preserve">Optometrists  </w:t>
            </w:r>
            <w:r w:rsidRPr="00534C5B">
              <w:rPr>
                <w:rFonts w:ascii="Arial Narrow" w:hAnsi="Arial Narrow"/>
                <w:sz w:val="18"/>
                <w:szCs w:val="18"/>
              </w:rPr>
              <w:fldChar w:fldCharType="begin">
                <w:ffData>
                  <w:name w:val="Check5"/>
                  <w:enabled/>
                  <w:calcOnExit w:val="0"/>
                  <w:checkBox>
                    <w:sizeAuto/>
                    <w:default w:val="0"/>
                  </w:checkBox>
                </w:ffData>
              </w:fldChar>
            </w:r>
            <w:r w:rsidRPr="00534C5B">
              <w:rPr>
                <w:rFonts w:ascii="Arial Narrow" w:hAnsi="Arial Narrow"/>
                <w:sz w:val="18"/>
                <w:szCs w:val="18"/>
              </w:rPr>
              <w:instrText xml:space="preserve"> FORMCHECKBOX </w:instrText>
            </w:r>
            <w:r w:rsidR="00653477">
              <w:rPr>
                <w:rFonts w:ascii="Arial Narrow" w:hAnsi="Arial Narrow"/>
                <w:sz w:val="18"/>
                <w:szCs w:val="18"/>
              </w:rPr>
            </w:r>
            <w:r w:rsidR="00653477">
              <w:rPr>
                <w:rFonts w:ascii="Arial Narrow" w:hAnsi="Arial Narrow"/>
                <w:sz w:val="18"/>
                <w:szCs w:val="18"/>
              </w:rPr>
              <w:fldChar w:fldCharType="separate"/>
            </w:r>
            <w:r w:rsidRPr="00534C5B">
              <w:rPr>
                <w:rFonts w:ascii="Arial Narrow" w:hAnsi="Arial Narrow"/>
                <w:sz w:val="18"/>
                <w:szCs w:val="18"/>
              </w:rPr>
              <w:fldChar w:fldCharType="end"/>
            </w:r>
            <w:r w:rsidRPr="00534C5B">
              <w:rPr>
                <w:rFonts w:ascii="Arial Narrow" w:hAnsi="Arial Narrow"/>
                <w:sz w:val="18"/>
                <w:szCs w:val="18"/>
              </w:rPr>
              <w:t>Midwives</w:t>
            </w:r>
          </w:p>
        </w:tc>
      </w:tr>
      <w:tr w:rsidR="00FB694D" w:rsidRPr="00534C5B" w:rsidTr="00FB694D">
        <w:trPr>
          <w:trHeight w:val="135"/>
        </w:trPr>
        <w:tc>
          <w:tcPr>
            <w:tcW w:w="863" w:type="pct"/>
            <w:tcBorders>
              <w:top w:val="single" w:sz="4" w:space="0" w:color="auto"/>
              <w:left w:val="single" w:sz="4" w:space="0" w:color="auto"/>
              <w:bottom w:val="single" w:sz="4" w:space="0" w:color="auto"/>
              <w:right w:val="single" w:sz="4" w:space="0" w:color="auto"/>
            </w:tcBorders>
            <w:tcMar>
              <w:left w:w="28" w:type="dxa"/>
              <w:right w:w="28" w:type="dxa"/>
            </w:tcMar>
          </w:tcPr>
          <w:p w:rsidR="00FB694D" w:rsidRPr="00534C5B" w:rsidRDefault="00FB694D" w:rsidP="004869D0">
            <w:pPr>
              <w:rPr>
                <w:rFonts w:ascii="Arial Narrow" w:hAnsi="Arial Narrow"/>
                <w:b/>
                <w:sz w:val="18"/>
                <w:szCs w:val="18"/>
              </w:rPr>
            </w:pPr>
            <w:r w:rsidRPr="00534C5B">
              <w:rPr>
                <w:rFonts w:ascii="Arial Narrow" w:hAnsi="Arial Narrow"/>
                <w:b/>
                <w:sz w:val="18"/>
                <w:szCs w:val="18"/>
              </w:rPr>
              <w:t>Category/program:</w:t>
            </w:r>
          </w:p>
        </w:tc>
        <w:tc>
          <w:tcPr>
            <w:tcW w:w="4137" w:type="pct"/>
            <w:tcBorders>
              <w:top w:val="single" w:sz="4" w:space="0" w:color="auto"/>
              <w:left w:val="single" w:sz="4" w:space="0" w:color="auto"/>
              <w:bottom w:val="single" w:sz="4" w:space="0" w:color="auto"/>
              <w:right w:val="single" w:sz="4" w:space="0" w:color="auto"/>
            </w:tcBorders>
            <w:tcMar>
              <w:left w:w="28" w:type="dxa"/>
              <w:right w:w="28" w:type="dxa"/>
            </w:tcMar>
          </w:tcPr>
          <w:p w:rsidR="00FB694D" w:rsidRPr="00534C5B" w:rsidRDefault="00FB694D" w:rsidP="004869D0">
            <w:pPr>
              <w:rPr>
                <w:rFonts w:ascii="Arial Narrow" w:hAnsi="Arial Narrow"/>
                <w:sz w:val="18"/>
                <w:szCs w:val="18"/>
              </w:rPr>
            </w:pPr>
            <w:r w:rsidRPr="00534C5B">
              <w:rPr>
                <w:rFonts w:ascii="Arial Narrow" w:hAnsi="Arial Narrow"/>
                <w:sz w:val="18"/>
                <w:szCs w:val="18"/>
              </w:rPr>
              <w:fldChar w:fldCharType="begin">
                <w:ffData>
                  <w:name w:val="Check5"/>
                  <w:enabled/>
                  <w:calcOnExit w:val="0"/>
                  <w:checkBox>
                    <w:sizeAuto/>
                    <w:default w:val="1"/>
                  </w:checkBox>
                </w:ffData>
              </w:fldChar>
            </w:r>
            <w:r w:rsidRPr="00534C5B">
              <w:rPr>
                <w:rFonts w:ascii="Arial Narrow" w:hAnsi="Arial Narrow"/>
                <w:sz w:val="18"/>
                <w:szCs w:val="18"/>
              </w:rPr>
              <w:instrText xml:space="preserve"> FORMCHECKBOX </w:instrText>
            </w:r>
            <w:r w:rsidR="00653477">
              <w:rPr>
                <w:rFonts w:ascii="Arial Narrow" w:hAnsi="Arial Narrow"/>
                <w:sz w:val="18"/>
                <w:szCs w:val="18"/>
              </w:rPr>
            </w:r>
            <w:r w:rsidR="00653477">
              <w:rPr>
                <w:rFonts w:ascii="Arial Narrow" w:hAnsi="Arial Narrow"/>
                <w:sz w:val="18"/>
                <w:szCs w:val="18"/>
              </w:rPr>
              <w:fldChar w:fldCharType="separate"/>
            </w:r>
            <w:r w:rsidRPr="00534C5B">
              <w:rPr>
                <w:rFonts w:ascii="Arial Narrow" w:hAnsi="Arial Narrow"/>
                <w:sz w:val="18"/>
                <w:szCs w:val="18"/>
              </w:rPr>
              <w:fldChar w:fldCharType="end"/>
            </w:r>
            <w:r w:rsidRPr="00534C5B">
              <w:rPr>
                <w:rFonts w:ascii="Arial Narrow" w:hAnsi="Arial Narrow"/>
                <w:sz w:val="18"/>
                <w:szCs w:val="18"/>
              </w:rPr>
              <w:t xml:space="preserve"> Authority Required (telephone)</w:t>
            </w:r>
          </w:p>
        </w:tc>
      </w:tr>
      <w:tr w:rsidR="00FB694D" w:rsidRPr="00534C5B" w:rsidTr="00FB694D">
        <w:trPr>
          <w:trHeight w:val="135"/>
        </w:trPr>
        <w:tc>
          <w:tcPr>
            <w:tcW w:w="863" w:type="pct"/>
            <w:tcBorders>
              <w:top w:val="single" w:sz="4" w:space="0" w:color="auto"/>
              <w:left w:val="single" w:sz="4" w:space="0" w:color="auto"/>
              <w:bottom w:val="single" w:sz="4" w:space="0" w:color="auto"/>
              <w:right w:val="single" w:sz="4" w:space="0" w:color="auto"/>
            </w:tcBorders>
            <w:tcMar>
              <w:left w:w="28" w:type="dxa"/>
              <w:right w:w="28" w:type="dxa"/>
            </w:tcMar>
            <w:hideMark/>
          </w:tcPr>
          <w:p w:rsidR="00FB694D" w:rsidRPr="00534C5B" w:rsidRDefault="00FB694D" w:rsidP="004869D0">
            <w:pPr>
              <w:rPr>
                <w:rFonts w:ascii="Arial Narrow" w:hAnsi="Arial Narrow"/>
                <w:b/>
                <w:sz w:val="18"/>
                <w:szCs w:val="18"/>
              </w:rPr>
            </w:pPr>
            <w:r w:rsidRPr="00534C5B">
              <w:rPr>
                <w:rFonts w:ascii="Arial Narrow" w:hAnsi="Arial Narrow"/>
                <w:b/>
                <w:sz w:val="18"/>
                <w:szCs w:val="18"/>
              </w:rPr>
              <w:t xml:space="preserve">Severity: </w:t>
            </w:r>
          </w:p>
        </w:tc>
        <w:tc>
          <w:tcPr>
            <w:tcW w:w="4137" w:type="pct"/>
            <w:tcBorders>
              <w:top w:val="single" w:sz="4" w:space="0" w:color="auto"/>
              <w:left w:val="single" w:sz="4" w:space="0" w:color="auto"/>
              <w:bottom w:val="single" w:sz="4" w:space="0" w:color="auto"/>
              <w:right w:val="single" w:sz="4" w:space="0" w:color="auto"/>
            </w:tcBorders>
            <w:tcMar>
              <w:left w:w="28" w:type="dxa"/>
              <w:right w:w="28" w:type="dxa"/>
            </w:tcMar>
            <w:hideMark/>
          </w:tcPr>
          <w:p w:rsidR="00FB694D" w:rsidRPr="00534C5B" w:rsidRDefault="00FB694D" w:rsidP="004869D0">
            <w:pPr>
              <w:rPr>
                <w:rFonts w:ascii="Arial Narrow" w:hAnsi="Arial Narrow"/>
                <w:sz w:val="18"/>
                <w:szCs w:val="18"/>
              </w:rPr>
            </w:pPr>
            <w:r w:rsidRPr="00534C5B">
              <w:rPr>
                <w:rFonts w:ascii="Arial Narrow" w:hAnsi="Arial Narrow"/>
                <w:sz w:val="18"/>
                <w:szCs w:val="18"/>
              </w:rPr>
              <w:t>Resected Stage IIIB, Stage IIIC or Stage IIID</w:t>
            </w:r>
          </w:p>
        </w:tc>
      </w:tr>
      <w:tr w:rsidR="00FB694D" w:rsidRPr="00534C5B" w:rsidTr="00FB694D">
        <w:trPr>
          <w:trHeight w:val="135"/>
        </w:trPr>
        <w:tc>
          <w:tcPr>
            <w:tcW w:w="863" w:type="pct"/>
            <w:tcBorders>
              <w:top w:val="single" w:sz="4" w:space="0" w:color="auto"/>
              <w:left w:val="single" w:sz="4" w:space="0" w:color="auto"/>
              <w:bottom w:val="single" w:sz="4" w:space="0" w:color="auto"/>
              <w:right w:val="single" w:sz="4" w:space="0" w:color="auto"/>
            </w:tcBorders>
            <w:tcMar>
              <w:left w:w="28" w:type="dxa"/>
              <w:right w:w="28" w:type="dxa"/>
            </w:tcMar>
            <w:hideMark/>
          </w:tcPr>
          <w:p w:rsidR="00FB694D" w:rsidRPr="00534C5B" w:rsidRDefault="00FB694D" w:rsidP="004869D0">
            <w:pPr>
              <w:rPr>
                <w:rFonts w:ascii="Arial Narrow" w:hAnsi="Arial Narrow"/>
                <w:b/>
                <w:sz w:val="18"/>
                <w:szCs w:val="18"/>
              </w:rPr>
            </w:pPr>
            <w:r w:rsidRPr="00534C5B">
              <w:rPr>
                <w:rFonts w:ascii="Arial Narrow" w:hAnsi="Arial Narrow"/>
                <w:b/>
                <w:sz w:val="18"/>
                <w:szCs w:val="18"/>
              </w:rPr>
              <w:t>Condition:</w:t>
            </w:r>
          </w:p>
        </w:tc>
        <w:tc>
          <w:tcPr>
            <w:tcW w:w="4137" w:type="pct"/>
            <w:tcBorders>
              <w:top w:val="single" w:sz="4" w:space="0" w:color="auto"/>
              <w:left w:val="single" w:sz="4" w:space="0" w:color="auto"/>
              <w:bottom w:val="single" w:sz="4" w:space="0" w:color="auto"/>
              <w:right w:val="single" w:sz="4" w:space="0" w:color="auto"/>
            </w:tcBorders>
            <w:tcMar>
              <w:left w:w="28" w:type="dxa"/>
              <w:right w:w="28" w:type="dxa"/>
            </w:tcMar>
            <w:hideMark/>
          </w:tcPr>
          <w:p w:rsidR="00FB694D" w:rsidRPr="00534C5B" w:rsidRDefault="00FB694D" w:rsidP="004869D0">
            <w:pPr>
              <w:rPr>
                <w:rFonts w:ascii="Arial Narrow" w:hAnsi="Arial Narrow"/>
                <w:sz w:val="18"/>
                <w:szCs w:val="18"/>
              </w:rPr>
            </w:pPr>
            <w:r w:rsidRPr="00534C5B">
              <w:rPr>
                <w:rFonts w:ascii="Arial Narrow" w:hAnsi="Arial Narrow"/>
                <w:sz w:val="18"/>
                <w:szCs w:val="18"/>
              </w:rPr>
              <w:t>Malignant melanoma</w:t>
            </w:r>
          </w:p>
        </w:tc>
      </w:tr>
      <w:tr w:rsidR="00FB694D" w:rsidRPr="00534C5B" w:rsidTr="00FB694D">
        <w:trPr>
          <w:trHeight w:val="241"/>
        </w:trPr>
        <w:tc>
          <w:tcPr>
            <w:tcW w:w="863" w:type="pct"/>
            <w:tcBorders>
              <w:top w:val="single" w:sz="4" w:space="0" w:color="auto"/>
              <w:left w:val="single" w:sz="4" w:space="0" w:color="auto"/>
              <w:bottom w:val="single" w:sz="4" w:space="0" w:color="auto"/>
              <w:right w:val="single" w:sz="4" w:space="0" w:color="auto"/>
            </w:tcBorders>
            <w:tcMar>
              <w:left w:w="28" w:type="dxa"/>
              <w:right w:w="28" w:type="dxa"/>
            </w:tcMar>
            <w:hideMark/>
          </w:tcPr>
          <w:p w:rsidR="00FB694D" w:rsidRPr="00534C5B" w:rsidRDefault="00FB694D" w:rsidP="004869D0">
            <w:pPr>
              <w:rPr>
                <w:rFonts w:ascii="Arial Narrow" w:hAnsi="Arial Narrow"/>
                <w:b/>
                <w:sz w:val="18"/>
                <w:szCs w:val="18"/>
              </w:rPr>
            </w:pPr>
            <w:r w:rsidRPr="00534C5B">
              <w:rPr>
                <w:rFonts w:ascii="Arial Narrow" w:hAnsi="Arial Narrow"/>
                <w:b/>
                <w:sz w:val="18"/>
                <w:szCs w:val="18"/>
              </w:rPr>
              <w:t>Treatment phase:</w:t>
            </w:r>
          </w:p>
        </w:tc>
        <w:tc>
          <w:tcPr>
            <w:tcW w:w="4137" w:type="pct"/>
            <w:tcBorders>
              <w:top w:val="single" w:sz="4" w:space="0" w:color="auto"/>
              <w:left w:val="single" w:sz="4" w:space="0" w:color="auto"/>
              <w:bottom w:val="single" w:sz="4" w:space="0" w:color="auto"/>
              <w:right w:val="single" w:sz="4" w:space="0" w:color="auto"/>
            </w:tcBorders>
            <w:tcMar>
              <w:left w:w="28" w:type="dxa"/>
              <w:right w:w="28" w:type="dxa"/>
            </w:tcMar>
            <w:hideMark/>
          </w:tcPr>
          <w:p w:rsidR="00FB694D" w:rsidRPr="00534C5B" w:rsidRDefault="00FB694D" w:rsidP="004869D0">
            <w:pPr>
              <w:rPr>
                <w:rFonts w:ascii="Arial Narrow" w:hAnsi="Arial Narrow"/>
                <w:sz w:val="18"/>
                <w:szCs w:val="18"/>
              </w:rPr>
            </w:pPr>
            <w:r w:rsidRPr="00534C5B">
              <w:rPr>
                <w:rFonts w:ascii="Arial Narrow" w:hAnsi="Arial Narrow"/>
                <w:sz w:val="18"/>
                <w:szCs w:val="18"/>
              </w:rPr>
              <w:t>Initial treatment</w:t>
            </w:r>
          </w:p>
        </w:tc>
      </w:tr>
      <w:tr w:rsidR="00FB694D" w:rsidRPr="00534C5B" w:rsidTr="00FB694D">
        <w:trPr>
          <w:trHeight w:val="360"/>
        </w:trPr>
        <w:tc>
          <w:tcPr>
            <w:tcW w:w="863" w:type="pct"/>
            <w:tcBorders>
              <w:top w:val="single" w:sz="4" w:space="0" w:color="auto"/>
              <w:left w:val="single" w:sz="4" w:space="0" w:color="auto"/>
              <w:bottom w:val="single" w:sz="4" w:space="0" w:color="auto"/>
              <w:right w:val="single" w:sz="4" w:space="0" w:color="auto"/>
            </w:tcBorders>
            <w:tcMar>
              <w:left w:w="28" w:type="dxa"/>
              <w:right w:w="28" w:type="dxa"/>
            </w:tcMar>
          </w:tcPr>
          <w:p w:rsidR="00FB694D" w:rsidRPr="00534C5B" w:rsidRDefault="00FB694D" w:rsidP="004869D0">
            <w:pPr>
              <w:rPr>
                <w:rFonts w:ascii="Arial Narrow" w:hAnsi="Arial Narrow"/>
                <w:b/>
                <w:sz w:val="18"/>
                <w:szCs w:val="18"/>
              </w:rPr>
            </w:pPr>
            <w:r w:rsidRPr="00534C5B">
              <w:rPr>
                <w:rFonts w:ascii="Arial Narrow" w:hAnsi="Arial Narrow"/>
                <w:b/>
                <w:sz w:val="18"/>
                <w:szCs w:val="18"/>
              </w:rPr>
              <w:t>Clinical criteria:</w:t>
            </w:r>
          </w:p>
          <w:p w:rsidR="00FB694D" w:rsidRPr="00534C5B" w:rsidRDefault="00FB694D" w:rsidP="004869D0">
            <w:pPr>
              <w:rPr>
                <w:rFonts w:ascii="Arial Narrow" w:hAnsi="Arial Narrow"/>
                <w:sz w:val="18"/>
                <w:szCs w:val="18"/>
              </w:rPr>
            </w:pPr>
          </w:p>
        </w:tc>
        <w:tc>
          <w:tcPr>
            <w:tcW w:w="4137" w:type="pct"/>
            <w:tcBorders>
              <w:top w:val="single" w:sz="4" w:space="0" w:color="auto"/>
              <w:left w:val="single" w:sz="4" w:space="0" w:color="auto"/>
              <w:bottom w:val="single" w:sz="4" w:space="0" w:color="auto"/>
              <w:right w:val="single" w:sz="4" w:space="0" w:color="auto"/>
            </w:tcBorders>
            <w:tcMar>
              <w:left w:w="28" w:type="dxa"/>
              <w:right w:w="28" w:type="dxa"/>
            </w:tcMar>
            <w:hideMark/>
          </w:tcPr>
          <w:p w:rsidR="00FB694D" w:rsidRPr="00534C5B" w:rsidRDefault="00FB694D" w:rsidP="004869D0">
            <w:pPr>
              <w:rPr>
                <w:rFonts w:ascii="Arial Narrow" w:hAnsi="Arial Narrow"/>
                <w:sz w:val="18"/>
                <w:szCs w:val="18"/>
              </w:rPr>
            </w:pPr>
            <w:r w:rsidRPr="00534C5B">
              <w:rPr>
                <w:rFonts w:ascii="Arial Narrow" w:hAnsi="Arial Narrow"/>
                <w:sz w:val="18"/>
                <w:szCs w:val="18"/>
              </w:rPr>
              <w:t xml:space="preserve">The treatment must be adjuvant to complete surgical resection </w:t>
            </w:r>
          </w:p>
          <w:p w:rsidR="00FB694D" w:rsidRPr="00534C5B" w:rsidRDefault="00FB694D" w:rsidP="004869D0">
            <w:pPr>
              <w:rPr>
                <w:rFonts w:ascii="Arial Narrow" w:hAnsi="Arial Narrow"/>
                <w:sz w:val="18"/>
                <w:szCs w:val="18"/>
              </w:rPr>
            </w:pPr>
            <w:r w:rsidRPr="00534C5B">
              <w:rPr>
                <w:rFonts w:ascii="Arial Narrow" w:hAnsi="Arial Narrow"/>
                <w:sz w:val="18"/>
                <w:szCs w:val="18"/>
              </w:rPr>
              <w:t xml:space="preserve">AND </w:t>
            </w:r>
          </w:p>
          <w:p w:rsidR="00FB694D" w:rsidRPr="00534C5B" w:rsidRDefault="00FB694D" w:rsidP="004869D0">
            <w:pPr>
              <w:rPr>
                <w:rFonts w:ascii="Arial Narrow" w:hAnsi="Arial Narrow"/>
                <w:sz w:val="18"/>
                <w:szCs w:val="18"/>
              </w:rPr>
            </w:pPr>
            <w:r w:rsidRPr="00534C5B">
              <w:rPr>
                <w:rFonts w:ascii="Arial Narrow" w:hAnsi="Arial Narrow"/>
                <w:sz w:val="18"/>
                <w:szCs w:val="18"/>
              </w:rPr>
              <w:t>The condition must be positive for a BRAF V600 mutation</w:t>
            </w:r>
          </w:p>
          <w:p w:rsidR="00FB694D" w:rsidRPr="00534C5B" w:rsidRDefault="00FB694D" w:rsidP="004869D0">
            <w:pPr>
              <w:rPr>
                <w:rFonts w:ascii="Arial Narrow" w:hAnsi="Arial Narrow"/>
                <w:sz w:val="18"/>
                <w:szCs w:val="18"/>
              </w:rPr>
            </w:pPr>
            <w:r w:rsidRPr="00534C5B">
              <w:rPr>
                <w:rFonts w:ascii="Arial Narrow" w:hAnsi="Arial Narrow"/>
                <w:sz w:val="18"/>
                <w:szCs w:val="18"/>
              </w:rPr>
              <w:t>AND</w:t>
            </w:r>
          </w:p>
          <w:p w:rsidR="00FB694D" w:rsidRPr="00534C5B" w:rsidRDefault="00FB694D" w:rsidP="004869D0">
            <w:pPr>
              <w:rPr>
                <w:rFonts w:ascii="Arial Narrow" w:hAnsi="Arial Narrow"/>
                <w:sz w:val="18"/>
                <w:szCs w:val="18"/>
              </w:rPr>
            </w:pPr>
            <w:r w:rsidRPr="00534C5B">
              <w:rPr>
                <w:rFonts w:ascii="Arial Narrow" w:hAnsi="Arial Narrow"/>
                <w:sz w:val="18"/>
                <w:szCs w:val="18"/>
              </w:rPr>
              <w:t>Patient must have a WHO performance status of 1 or less</w:t>
            </w:r>
          </w:p>
          <w:p w:rsidR="00FB694D" w:rsidRPr="00534C5B" w:rsidRDefault="00FB694D" w:rsidP="004869D0">
            <w:pPr>
              <w:rPr>
                <w:rFonts w:ascii="Arial Narrow" w:hAnsi="Arial Narrow"/>
                <w:sz w:val="18"/>
                <w:szCs w:val="18"/>
              </w:rPr>
            </w:pPr>
            <w:r w:rsidRPr="00534C5B">
              <w:rPr>
                <w:rFonts w:ascii="Arial Narrow" w:hAnsi="Arial Narrow"/>
                <w:sz w:val="18"/>
                <w:szCs w:val="18"/>
              </w:rPr>
              <w:t>AND</w:t>
            </w:r>
          </w:p>
          <w:p w:rsidR="00FB694D" w:rsidRPr="00534C5B" w:rsidRDefault="00FB694D" w:rsidP="004869D0">
            <w:pPr>
              <w:rPr>
                <w:rFonts w:ascii="Arial Narrow" w:hAnsi="Arial Narrow"/>
                <w:sz w:val="18"/>
                <w:szCs w:val="18"/>
              </w:rPr>
            </w:pPr>
            <w:r w:rsidRPr="00534C5B">
              <w:rPr>
                <w:rFonts w:ascii="Arial Narrow" w:hAnsi="Arial Narrow"/>
                <w:sz w:val="18"/>
                <w:szCs w:val="18"/>
              </w:rPr>
              <w:t xml:space="preserve">Patient must be receiving PBS-subsidised trametinib and dabrafenib concomitantly for this condition </w:t>
            </w:r>
          </w:p>
          <w:p w:rsidR="00FB694D" w:rsidRPr="00534C5B" w:rsidRDefault="00FB694D" w:rsidP="004869D0">
            <w:pPr>
              <w:rPr>
                <w:rFonts w:ascii="Arial Narrow" w:hAnsi="Arial Narrow"/>
                <w:sz w:val="18"/>
                <w:szCs w:val="18"/>
              </w:rPr>
            </w:pPr>
            <w:r w:rsidRPr="00534C5B">
              <w:rPr>
                <w:rFonts w:ascii="Arial Narrow" w:hAnsi="Arial Narrow"/>
                <w:sz w:val="18"/>
                <w:szCs w:val="18"/>
              </w:rPr>
              <w:t>AND</w:t>
            </w:r>
          </w:p>
          <w:p w:rsidR="00FB694D" w:rsidRPr="00534C5B" w:rsidRDefault="00FB694D" w:rsidP="004869D0">
            <w:pPr>
              <w:rPr>
                <w:rFonts w:ascii="Arial Narrow" w:hAnsi="Arial Narrow"/>
                <w:sz w:val="18"/>
                <w:szCs w:val="18"/>
              </w:rPr>
            </w:pPr>
            <w:r w:rsidRPr="00534C5B">
              <w:rPr>
                <w:rFonts w:ascii="Arial Narrow" w:hAnsi="Arial Narrow"/>
                <w:sz w:val="18"/>
                <w:szCs w:val="18"/>
              </w:rPr>
              <w:t>Patient must not have received prior PBS-subsidised treatment for this condition.</w:t>
            </w:r>
          </w:p>
        </w:tc>
      </w:tr>
      <w:tr w:rsidR="00FB694D" w:rsidRPr="00534C5B" w:rsidTr="00FB694D">
        <w:trPr>
          <w:trHeight w:val="814"/>
        </w:trPr>
        <w:tc>
          <w:tcPr>
            <w:tcW w:w="863" w:type="pct"/>
            <w:tcBorders>
              <w:top w:val="single" w:sz="4" w:space="0" w:color="auto"/>
              <w:left w:val="single" w:sz="4" w:space="0" w:color="auto"/>
              <w:bottom w:val="single" w:sz="4" w:space="0" w:color="auto"/>
              <w:right w:val="single" w:sz="4" w:space="0" w:color="auto"/>
            </w:tcBorders>
            <w:tcMar>
              <w:left w:w="28" w:type="dxa"/>
              <w:right w:w="28" w:type="dxa"/>
            </w:tcMar>
            <w:hideMark/>
          </w:tcPr>
          <w:p w:rsidR="00FB694D" w:rsidRPr="00534C5B" w:rsidRDefault="00FB694D" w:rsidP="004869D0">
            <w:pPr>
              <w:rPr>
                <w:rFonts w:ascii="Arial Narrow" w:hAnsi="Arial Narrow"/>
                <w:b/>
                <w:sz w:val="18"/>
                <w:szCs w:val="18"/>
              </w:rPr>
            </w:pPr>
            <w:r w:rsidRPr="00534C5B">
              <w:rPr>
                <w:rFonts w:ascii="Arial Narrow" w:hAnsi="Arial Narrow"/>
                <w:b/>
                <w:sz w:val="18"/>
                <w:szCs w:val="18"/>
              </w:rPr>
              <w:t>Treatment criteria:</w:t>
            </w:r>
          </w:p>
        </w:tc>
        <w:tc>
          <w:tcPr>
            <w:tcW w:w="4137" w:type="pct"/>
            <w:tcBorders>
              <w:top w:val="single" w:sz="4" w:space="0" w:color="auto"/>
              <w:left w:val="single" w:sz="4" w:space="0" w:color="auto"/>
              <w:bottom w:val="single" w:sz="4" w:space="0" w:color="auto"/>
              <w:right w:val="single" w:sz="4" w:space="0" w:color="auto"/>
            </w:tcBorders>
            <w:tcMar>
              <w:left w:w="28" w:type="dxa"/>
              <w:right w:w="28" w:type="dxa"/>
            </w:tcMar>
            <w:hideMark/>
          </w:tcPr>
          <w:p w:rsidR="00FB694D" w:rsidRPr="00534C5B" w:rsidRDefault="00FB694D" w:rsidP="004869D0">
            <w:pPr>
              <w:rPr>
                <w:rFonts w:ascii="Arial Narrow" w:hAnsi="Arial Narrow"/>
                <w:sz w:val="18"/>
                <w:szCs w:val="18"/>
              </w:rPr>
            </w:pPr>
            <w:r w:rsidRPr="00534C5B">
              <w:rPr>
                <w:rFonts w:ascii="Arial Narrow" w:hAnsi="Arial Narrow"/>
                <w:sz w:val="18"/>
                <w:szCs w:val="18"/>
              </w:rPr>
              <w:t>Treatment must commence within 12 weeks of complete resection</w:t>
            </w:r>
            <w:r w:rsidRPr="00534C5B">
              <w:rPr>
                <w:rFonts w:ascii="Arial Narrow" w:hAnsi="Arial Narrow"/>
                <w:strike/>
                <w:sz w:val="18"/>
                <w:szCs w:val="18"/>
              </w:rPr>
              <w:t>, unless delay is necessary due to post-surgery recovery</w:t>
            </w:r>
            <w:r w:rsidRPr="00534C5B">
              <w:rPr>
                <w:rFonts w:ascii="Arial Narrow" w:hAnsi="Arial Narrow"/>
                <w:sz w:val="18"/>
                <w:szCs w:val="18"/>
              </w:rPr>
              <w:t>;</w:t>
            </w:r>
          </w:p>
          <w:p w:rsidR="00FB694D" w:rsidRPr="00534C5B" w:rsidRDefault="00FB694D" w:rsidP="004869D0">
            <w:pPr>
              <w:rPr>
                <w:rFonts w:ascii="Arial Narrow" w:hAnsi="Arial Narrow"/>
                <w:sz w:val="18"/>
                <w:szCs w:val="18"/>
              </w:rPr>
            </w:pPr>
            <w:r w:rsidRPr="00534C5B">
              <w:rPr>
                <w:rFonts w:ascii="Arial Narrow" w:hAnsi="Arial Narrow"/>
                <w:sz w:val="18"/>
                <w:szCs w:val="18"/>
              </w:rPr>
              <w:t>AND</w:t>
            </w:r>
          </w:p>
          <w:p w:rsidR="00FB694D" w:rsidRPr="00534C5B" w:rsidRDefault="00FB694D" w:rsidP="004869D0">
            <w:pPr>
              <w:rPr>
                <w:rFonts w:ascii="Arial Narrow" w:hAnsi="Arial Narrow"/>
                <w:strike/>
                <w:sz w:val="18"/>
                <w:szCs w:val="18"/>
              </w:rPr>
            </w:pPr>
            <w:r w:rsidRPr="00534C5B">
              <w:rPr>
                <w:rFonts w:ascii="Arial Narrow" w:hAnsi="Arial Narrow"/>
                <w:strike/>
                <w:sz w:val="18"/>
                <w:szCs w:val="18"/>
              </w:rPr>
              <w:t>Treatment must not exceed a maximum duration of 12 months for adjuvant treatment of completely resected Stage IIIB, IIIC or IIID melanoma</w:t>
            </w:r>
          </w:p>
          <w:p w:rsidR="008B20C6" w:rsidRPr="00534C5B" w:rsidRDefault="008B20C6" w:rsidP="004869D0">
            <w:pPr>
              <w:rPr>
                <w:rFonts w:ascii="Arial Narrow" w:hAnsi="Arial Narrow"/>
                <w:i/>
                <w:sz w:val="18"/>
                <w:szCs w:val="18"/>
              </w:rPr>
            </w:pPr>
            <w:r w:rsidRPr="00534C5B">
              <w:rPr>
                <w:rFonts w:ascii="Arial Narrow" w:hAnsi="Arial Narrow"/>
                <w:i/>
                <w:color w:val="333333"/>
                <w:sz w:val="18"/>
                <w:szCs w:val="18"/>
              </w:rPr>
              <w:t>Patient must not receive more than 12 months of combined PBS-subsidised and non-PBS subsidised adjuvant therapy</w:t>
            </w:r>
          </w:p>
        </w:tc>
      </w:tr>
      <w:tr w:rsidR="00FB694D" w:rsidRPr="00534C5B" w:rsidTr="00FB694D">
        <w:trPr>
          <w:trHeight w:val="291"/>
        </w:trPr>
        <w:tc>
          <w:tcPr>
            <w:tcW w:w="863" w:type="pct"/>
            <w:tcBorders>
              <w:top w:val="single" w:sz="4" w:space="0" w:color="auto"/>
              <w:left w:val="single" w:sz="4" w:space="0" w:color="auto"/>
              <w:bottom w:val="single" w:sz="4" w:space="0" w:color="auto"/>
              <w:right w:val="single" w:sz="4" w:space="0" w:color="auto"/>
            </w:tcBorders>
            <w:tcMar>
              <w:left w:w="28" w:type="dxa"/>
              <w:right w:w="28" w:type="dxa"/>
            </w:tcMar>
            <w:hideMark/>
          </w:tcPr>
          <w:p w:rsidR="00FB694D" w:rsidRPr="00534C5B" w:rsidRDefault="00FB694D" w:rsidP="004869D0">
            <w:pPr>
              <w:rPr>
                <w:rFonts w:ascii="Arial Narrow" w:hAnsi="Arial Narrow"/>
                <w:b/>
                <w:i/>
                <w:sz w:val="18"/>
                <w:szCs w:val="18"/>
              </w:rPr>
            </w:pPr>
            <w:r w:rsidRPr="00534C5B">
              <w:rPr>
                <w:rFonts w:ascii="Arial Narrow" w:hAnsi="Arial Narrow"/>
                <w:b/>
                <w:sz w:val="18"/>
                <w:szCs w:val="18"/>
              </w:rPr>
              <w:t>Notes</w:t>
            </w:r>
            <w:r w:rsidRPr="00534C5B">
              <w:rPr>
                <w:rFonts w:ascii="Arial Narrow" w:hAnsi="Arial Narrow"/>
                <w:b/>
                <w:i/>
                <w:sz w:val="18"/>
                <w:szCs w:val="18"/>
              </w:rPr>
              <w:t>:</w:t>
            </w:r>
          </w:p>
        </w:tc>
        <w:tc>
          <w:tcPr>
            <w:tcW w:w="4137" w:type="pct"/>
            <w:tcBorders>
              <w:top w:val="single" w:sz="4" w:space="0" w:color="auto"/>
              <w:left w:val="single" w:sz="4" w:space="0" w:color="auto"/>
              <w:bottom w:val="single" w:sz="4" w:space="0" w:color="auto"/>
              <w:right w:val="single" w:sz="4" w:space="0" w:color="auto"/>
            </w:tcBorders>
            <w:tcMar>
              <w:left w:w="28" w:type="dxa"/>
              <w:right w:w="28" w:type="dxa"/>
            </w:tcMar>
            <w:hideMark/>
          </w:tcPr>
          <w:p w:rsidR="00FB694D" w:rsidRPr="00534C5B" w:rsidRDefault="00FB694D" w:rsidP="00FB694D">
            <w:pPr>
              <w:numPr>
                <w:ilvl w:val="0"/>
                <w:numId w:val="26"/>
              </w:numPr>
              <w:spacing w:after="160" w:line="259" w:lineRule="auto"/>
              <w:rPr>
                <w:rFonts w:ascii="Arial Narrow" w:hAnsi="Arial Narrow"/>
                <w:sz w:val="18"/>
                <w:szCs w:val="18"/>
              </w:rPr>
            </w:pPr>
            <w:r w:rsidRPr="00534C5B">
              <w:rPr>
                <w:rFonts w:ascii="Arial Narrow" w:hAnsi="Arial Narrow"/>
                <w:sz w:val="18"/>
                <w:szCs w:val="18"/>
              </w:rPr>
              <w:t>No increase in the maximum quantity or number of units or number of repeats will be authorised.</w:t>
            </w:r>
          </w:p>
          <w:p w:rsidR="00FB694D" w:rsidRPr="00534C5B" w:rsidRDefault="00FB694D" w:rsidP="00FB694D">
            <w:pPr>
              <w:numPr>
                <w:ilvl w:val="0"/>
                <w:numId w:val="26"/>
              </w:numPr>
              <w:rPr>
                <w:rFonts w:ascii="Arial Narrow" w:hAnsi="Arial Narrow"/>
                <w:i/>
                <w:sz w:val="18"/>
                <w:szCs w:val="18"/>
              </w:rPr>
            </w:pPr>
            <w:r w:rsidRPr="00534C5B">
              <w:rPr>
                <w:rFonts w:ascii="Arial Narrow" w:hAnsi="Arial Narrow"/>
                <w:sz w:val="18"/>
                <w:szCs w:val="18"/>
              </w:rPr>
              <w:t>Special Pricing Arrangements apply</w:t>
            </w:r>
            <w:r w:rsidRPr="00534C5B">
              <w:rPr>
                <w:rFonts w:ascii="Arial Narrow" w:hAnsi="Arial Narrow"/>
                <w:i/>
                <w:sz w:val="18"/>
                <w:szCs w:val="18"/>
              </w:rPr>
              <w:t>.</w:t>
            </w:r>
          </w:p>
        </w:tc>
      </w:tr>
    </w:tbl>
    <w:p w:rsidR="00FB694D" w:rsidRPr="00534C5B" w:rsidRDefault="00FB694D" w:rsidP="00FB694D">
      <w:pPr>
        <w:rPr>
          <w:rFonts w:ascii="Arial Narrow" w:hAnsi="Arial Narrow"/>
          <w:sz w:val="18"/>
          <w:szCs w:val="18"/>
        </w:rPr>
      </w:pPr>
    </w:p>
    <w:tbl>
      <w:tblPr>
        <w:tblW w:w="5000" w:type="pct"/>
        <w:tblInd w:w="-5" w:type="dxa"/>
        <w:tblLook w:val="04A0" w:firstRow="1" w:lastRow="0" w:firstColumn="1" w:lastColumn="0" w:noHBand="0" w:noVBand="1"/>
      </w:tblPr>
      <w:tblGrid>
        <w:gridCol w:w="1560"/>
        <w:gridCol w:w="7456"/>
      </w:tblGrid>
      <w:tr w:rsidR="00FB694D" w:rsidRPr="00534C5B" w:rsidTr="00FB694D">
        <w:trPr>
          <w:trHeight w:val="135"/>
        </w:trPr>
        <w:tc>
          <w:tcPr>
            <w:tcW w:w="5000" w:type="pct"/>
            <w:gridSpan w:val="2"/>
            <w:tcBorders>
              <w:top w:val="single" w:sz="4" w:space="0" w:color="auto"/>
              <w:left w:val="single" w:sz="4" w:space="0" w:color="auto"/>
              <w:bottom w:val="single" w:sz="4" w:space="0" w:color="auto"/>
              <w:right w:val="single" w:sz="4" w:space="0" w:color="auto"/>
            </w:tcBorders>
            <w:tcMar>
              <w:left w:w="28" w:type="dxa"/>
              <w:right w:w="28" w:type="dxa"/>
            </w:tcMar>
          </w:tcPr>
          <w:p w:rsidR="00FB694D" w:rsidRPr="00534C5B" w:rsidRDefault="00FB694D" w:rsidP="004869D0">
            <w:pPr>
              <w:rPr>
                <w:rFonts w:ascii="Arial Narrow" w:hAnsi="Arial Narrow"/>
                <w:b/>
                <w:sz w:val="18"/>
                <w:szCs w:val="18"/>
              </w:rPr>
            </w:pPr>
            <w:r w:rsidRPr="00534C5B">
              <w:rPr>
                <w:rFonts w:ascii="Arial Narrow" w:hAnsi="Arial Narrow"/>
                <w:b/>
                <w:sz w:val="18"/>
                <w:szCs w:val="18"/>
              </w:rPr>
              <w:t>Trametinib</w:t>
            </w:r>
          </w:p>
        </w:tc>
      </w:tr>
      <w:tr w:rsidR="00FB694D" w:rsidRPr="00534C5B" w:rsidTr="00FB694D">
        <w:trPr>
          <w:trHeight w:val="135"/>
        </w:trPr>
        <w:tc>
          <w:tcPr>
            <w:tcW w:w="865" w:type="pct"/>
            <w:tcBorders>
              <w:top w:val="single" w:sz="4" w:space="0" w:color="auto"/>
              <w:left w:val="single" w:sz="4" w:space="0" w:color="auto"/>
              <w:bottom w:val="single" w:sz="4" w:space="0" w:color="auto"/>
              <w:right w:val="single" w:sz="4" w:space="0" w:color="auto"/>
            </w:tcBorders>
            <w:tcMar>
              <w:left w:w="28" w:type="dxa"/>
              <w:right w:w="28" w:type="dxa"/>
            </w:tcMar>
          </w:tcPr>
          <w:p w:rsidR="00FB694D" w:rsidRPr="00534C5B" w:rsidRDefault="00FB694D" w:rsidP="004869D0">
            <w:pPr>
              <w:rPr>
                <w:rFonts w:ascii="Arial Narrow" w:hAnsi="Arial Narrow"/>
                <w:b/>
                <w:sz w:val="18"/>
                <w:szCs w:val="18"/>
              </w:rPr>
            </w:pPr>
            <w:r w:rsidRPr="00534C5B">
              <w:rPr>
                <w:rFonts w:ascii="Arial Narrow" w:hAnsi="Arial Narrow"/>
                <w:b/>
                <w:sz w:val="18"/>
                <w:szCs w:val="18"/>
              </w:rPr>
              <w:lastRenderedPageBreak/>
              <w:t>Schedule:</w:t>
            </w:r>
          </w:p>
        </w:tc>
        <w:tc>
          <w:tcPr>
            <w:tcW w:w="4135" w:type="pct"/>
            <w:tcBorders>
              <w:top w:val="single" w:sz="4" w:space="0" w:color="auto"/>
              <w:left w:val="single" w:sz="4" w:space="0" w:color="auto"/>
              <w:bottom w:val="single" w:sz="4" w:space="0" w:color="auto"/>
              <w:right w:val="single" w:sz="4" w:space="0" w:color="auto"/>
            </w:tcBorders>
            <w:tcMar>
              <w:left w:w="28" w:type="dxa"/>
              <w:right w:w="28" w:type="dxa"/>
            </w:tcMar>
          </w:tcPr>
          <w:p w:rsidR="00FB694D" w:rsidRPr="00534C5B" w:rsidRDefault="00FB694D" w:rsidP="004869D0">
            <w:pPr>
              <w:rPr>
                <w:rFonts w:ascii="Arial Narrow" w:hAnsi="Arial Narrow"/>
                <w:sz w:val="18"/>
                <w:szCs w:val="18"/>
              </w:rPr>
            </w:pPr>
            <w:r w:rsidRPr="00534C5B">
              <w:rPr>
                <w:rFonts w:ascii="Arial Narrow" w:hAnsi="Arial Narrow"/>
                <w:sz w:val="18"/>
                <w:szCs w:val="18"/>
              </w:rPr>
              <w:t>General</w:t>
            </w:r>
          </w:p>
        </w:tc>
      </w:tr>
      <w:tr w:rsidR="00FB694D" w:rsidRPr="00534C5B" w:rsidTr="00FB69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trHeight w:val="20"/>
        </w:trPr>
        <w:tc>
          <w:tcPr>
            <w:tcW w:w="865"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FB694D" w:rsidRPr="00534C5B" w:rsidRDefault="00FB694D" w:rsidP="004869D0">
            <w:pPr>
              <w:rPr>
                <w:rFonts w:ascii="Arial Narrow" w:hAnsi="Arial Narrow"/>
                <w:b/>
                <w:sz w:val="18"/>
                <w:szCs w:val="18"/>
              </w:rPr>
            </w:pPr>
            <w:r w:rsidRPr="00534C5B">
              <w:rPr>
                <w:rFonts w:ascii="Arial Narrow" w:hAnsi="Arial Narrow"/>
                <w:b/>
                <w:sz w:val="18"/>
                <w:szCs w:val="18"/>
              </w:rPr>
              <w:t>Prescriber type:</w:t>
            </w:r>
          </w:p>
        </w:tc>
        <w:tc>
          <w:tcPr>
            <w:tcW w:w="4135"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FB694D" w:rsidRPr="00534C5B" w:rsidRDefault="00FB694D" w:rsidP="004869D0">
            <w:pPr>
              <w:rPr>
                <w:rFonts w:ascii="Arial Narrow" w:hAnsi="Arial Narrow"/>
                <w:sz w:val="18"/>
                <w:szCs w:val="18"/>
              </w:rPr>
            </w:pPr>
            <w:r w:rsidRPr="00534C5B">
              <w:rPr>
                <w:rFonts w:ascii="Arial Narrow" w:hAnsi="Arial Narrow"/>
                <w:sz w:val="18"/>
                <w:szCs w:val="18"/>
              </w:rPr>
              <w:fldChar w:fldCharType="begin">
                <w:ffData>
                  <w:name w:val=""/>
                  <w:enabled/>
                  <w:calcOnExit w:val="0"/>
                  <w:checkBox>
                    <w:sizeAuto/>
                    <w:default w:val="0"/>
                  </w:checkBox>
                </w:ffData>
              </w:fldChar>
            </w:r>
            <w:r w:rsidRPr="00534C5B">
              <w:rPr>
                <w:rFonts w:ascii="Arial Narrow" w:hAnsi="Arial Narrow"/>
                <w:sz w:val="18"/>
                <w:szCs w:val="18"/>
              </w:rPr>
              <w:instrText xml:space="preserve"> FORMCHECKBOX </w:instrText>
            </w:r>
            <w:r w:rsidR="00653477">
              <w:rPr>
                <w:rFonts w:ascii="Arial Narrow" w:hAnsi="Arial Narrow"/>
                <w:sz w:val="18"/>
                <w:szCs w:val="18"/>
              </w:rPr>
            </w:r>
            <w:r w:rsidR="00653477">
              <w:rPr>
                <w:rFonts w:ascii="Arial Narrow" w:hAnsi="Arial Narrow"/>
                <w:sz w:val="18"/>
                <w:szCs w:val="18"/>
              </w:rPr>
              <w:fldChar w:fldCharType="separate"/>
            </w:r>
            <w:r w:rsidRPr="00534C5B">
              <w:rPr>
                <w:rFonts w:ascii="Arial Narrow" w:hAnsi="Arial Narrow"/>
                <w:sz w:val="18"/>
                <w:szCs w:val="18"/>
              </w:rPr>
              <w:fldChar w:fldCharType="end"/>
            </w:r>
            <w:r w:rsidRPr="00534C5B">
              <w:rPr>
                <w:rFonts w:ascii="Arial Narrow" w:hAnsi="Arial Narrow"/>
                <w:sz w:val="18"/>
                <w:szCs w:val="18"/>
              </w:rPr>
              <w:t xml:space="preserve">Dental  </w:t>
            </w:r>
            <w:r w:rsidRPr="00534C5B">
              <w:rPr>
                <w:rFonts w:ascii="Arial Narrow" w:hAnsi="Arial Narrow"/>
                <w:sz w:val="18"/>
                <w:szCs w:val="18"/>
              </w:rPr>
              <w:fldChar w:fldCharType="begin">
                <w:ffData>
                  <w:name w:val=""/>
                  <w:enabled/>
                  <w:calcOnExit w:val="0"/>
                  <w:checkBox>
                    <w:sizeAuto/>
                    <w:default w:val="1"/>
                  </w:checkBox>
                </w:ffData>
              </w:fldChar>
            </w:r>
            <w:r w:rsidRPr="00534C5B">
              <w:rPr>
                <w:rFonts w:ascii="Arial Narrow" w:hAnsi="Arial Narrow"/>
                <w:sz w:val="18"/>
                <w:szCs w:val="18"/>
              </w:rPr>
              <w:instrText xml:space="preserve"> FORMCHECKBOX </w:instrText>
            </w:r>
            <w:r w:rsidR="00653477">
              <w:rPr>
                <w:rFonts w:ascii="Arial Narrow" w:hAnsi="Arial Narrow"/>
                <w:sz w:val="18"/>
                <w:szCs w:val="18"/>
              </w:rPr>
            </w:r>
            <w:r w:rsidR="00653477">
              <w:rPr>
                <w:rFonts w:ascii="Arial Narrow" w:hAnsi="Arial Narrow"/>
                <w:sz w:val="18"/>
                <w:szCs w:val="18"/>
              </w:rPr>
              <w:fldChar w:fldCharType="separate"/>
            </w:r>
            <w:r w:rsidRPr="00534C5B">
              <w:rPr>
                <w:rFonts w:ascii="Arial Narrow" w:hAnsi="Arial Narrow"/>
                <w:sz w:val="18"/>
                <w:szCs w:val="18"/>
              </w:rPr>
              <w:fldChar w:fldCharType="end"/>
            </w:r>
            <w:r w:rsidRPr="00534C5B">
              <w:rPr>
                <w:rFonts w:ascii="Arial Narrow" w:hAnsi="Arial Narrow"/>
                <w:sz w:val="18"/>
                <w:szCs w:val="18"/>
              </w:rPr>
              <w:t xml:space="preserve">Medical Practitioners  </w:t>
            </w:r>
            <w:r w:rsidRPr="00534C5B">
              <w:rPr>
                <w:rFonts w:ascii="Arial Narrow" w:hAnsi="Arial Narrow"/>
                <w:sz w:val="18"/>
                <w:szCs w:val="18"/>
              </w:rPr>
              <w:fldChar w:fldCharType="begin">
                <w:ffData>
                  <w:name w:val="Check3"/>
                  <w:enabled/>
                  <w:calcOnExit w:val="0"/>
                  <w:checkBox>
                    <w:sizeAuto/>
                    <w:default w:val="0"/>
                  </w:checkBox>
                </w:ffData>
              </w:fldChar>
            </w:r>
            <w:r w:rsidRPr="00534C5B">
              <w:rPr>
                <w:rFonts w:ascii="Arial Narrow" w:hAnsi="Arial Narrow"/>
                <w:sz w:val="18"/>
                <w:szCs w:val="18"/>
              </w:rPr>
              <w:instrText xml:space="preserve"> FORMCHECKBOX </w:instrText>
            </w:r>
            <w:r w:rsidR="00653477">
              <w:rPr>
                <w:rFonts w:ascii="Arial Narrow" w:hAnsi="Arial Narrow"/>
                <w:sz w:val="18"/>
                <w:szCs w:val="18"/>
              </w:rPr>
            </w:r>
            <w:r w:rsidR="00653477">
              <w:rPr>
                <w:rFonts w:ascii="Arial Narrow" w:hAnsi="Arial Narrow"/>
                <w:sz w:val="18"/>
                <w:szCs w:val="18"/>
              </w:rPr>
              <w:fldChar w:fldCharType="separate"/>
            </w:r>
            <w:r w:rsidRPr="00534C5B">
              <w:rPr>
                <w:rFonts w:ascii="Arial Narrow" w:hAnsi="Arial Narrow"/>
                <w:sz w:val="18"/>
                <w:szCs w:val="18"/>
              </w:rPr>
              <w:fldChar w:fldCharType="end"/>
            </w:r>
            <w:r w:rsidRPr="00534C5B">
              <w:rPr>
                <w:rFonts w:ascii="Arial Narrow" w:hAnsi="Arial Narrow"/>
                <w:sz w:val="18"/>
                <w:szCs w:val="18"/>
              </w:rPr>
              <w:t xml:space="preserve">Nurse practitioners  </w:t>
            </w:r>
            <w:r w:rsidRPr="00534C5B">
              <w:rPr>
                <w:rFonts w:ascii="Arial Narrow" w:hAnsi="Arial Narrow"/>
                <w:sz w:val="18"/>
                <w:szCs w:val="18"/>
              </w:rPr>
              <w:fldChar w:fldCharType="begin">
                <w:ffData>
                  <w:name w:val=""/>
                  <w:enabled/>
                  <w:calcOnExit w:val="0"/>
                  <w:checkBox>
                    <w:sizeAuto/>
                    <w:default w:val="0"/>
                  </w:checkBox>
                </w:ffData>
              </w:fldChar>
            </w:r>
            <w:r w:rsidRPr="00534C5B">
              <w:rPr>
                <w:rFonts w:ascii="Arial Narrow" w:hAnsi="Arial Narrow"/>
                <w:sz w:val="18"/>
                <w:szCs w:val="18"/>
              </w:rPr>
              <w:instrText xml:space="preserve"> FORMCHECKBOX </w:instrText>
            </w:r>
            <w:r w:rsidR="00653477">
              <w:rPr>
                <w:rFonts w:ascii="Arial Narrow" w:hAnsi="Arial Narrow"/>
                <w:sz w:val="18"/>
                <w:szCs w:val="18"/>
              </w:rPr>
            </w:r>
            <w:r w:rsidR="00653477">
              <w:rPr>
                <w:rFonts w:ascii="Arial Narrow" w:hAnsi="Arial Narrow"/>
                <w:sz w:val="18"/>
                <w:szCs w:val="18"/>
              </w:rPr>
              <w:fldChar w:fldCharType="separate"/>
            </w:r>
            <w:r w:rsidRPr="00534C5B">
              <w:rPr>
                <w:rFonts w:ascii="Arial Narrow" w:hAnsi="Arial Narrow"/>
                <w:sz w:val="18"/>
                <w:szCs w:val="18"/>
              </w:rPr>
              <w:fldChar w:fldCharType="end"/>
            </w:r>
            <w:r w:rsidRPr="00534C5B">
              <w:rPr>
                <w:rFonts w:ascii="Arial Narrow" w:hAnsi="Arial Narrow"/>
                <w:sz w:val="18"/>
                <w:szCs w:val="18"/>
              </w:rPr>
              <w:t xml:space="preserve">Optometrists  </w:t>
            </w:r>
            <w:r w:rsidRPr="00534C5B">
              <w:rPr>
                <w:rFonts w:ascii="Arial Narrow" w:hAnsi="Arial Narrow"/>
                <w:sz w:val="18"/>
                <w:szCs w:val="18"/>
              </w:rPr>
              <w:fldChar w:fldCharType="begin">
                <w:ffData>
                  <w:name w:val="Check5"/>
                  <w:enabled/>
                  <w:calcOnExit w:val="0"/>
                  <w:checkBox>
                    <w:sizeAuto/>
                    <w:default w:val="0"/>
                  </w:checkBox>
                </w:ffData>
              </w:fldChar>
            </w:r>
            <w:r w:rsidRPr="00534C5B">
              <w:rPr>
                <w:rFonts w:ascii="Arial Narrow" w:hAnsi="Arial Narrow"/>
                <w:sz w:val="18"/>
                <w:szCs w:val="18"/>
              </w:rPr>
              <w:instrText xml:space="preserve"> FORMCHECKBOX </w:instrText>
            </w:r>
            <w:r w:rsidR="00653477">
              <w:rPr>
                <w:rFonts w:ascii="Arial Narrow" w:hAnsi="Arial Narrow"/>
                <w:sz w:val="18"/>
                <w:szCs w:val="18"/>
              </w:rPr>
            </w:r>
            <w:r w:rsidR="00653477">
              <w:rPr>
                <w:rFonts w:ascii="Arial Narrow" w:hAnsi="Arial Narrow"/>
                <w:sz w:val="18"/>
                <w:szCs w:val="18"/>
              </w:rPr>
              <w:fldChar w:fldCharType="separate"/>
            </w:r>
            <w:r w:rsidRPr="00534C5B">
              <w:rPr>
                <w:rFonts w:ascii="Arial Narrow" w:hAnsi="Arial Narrow"/>
                <w:sz w:val="18"/>
                <w:szCs w:val="18"/>
              </w:rPr>
              <w:fldChar w:fldCharType="end"/>
            </w:r>
            <w:r w:rsidRPr="00534C5B">
              <w:rPr>
                <w:rFonts w:ascii="Arial Narrow" w:hAnsi="Arial Narrow"/>
                <w:sz w:val="18"/>
                <w:szCs w:val="18"/>
              </w:rPr>
              <w:t>Midwives</w:t>
            </w:r>
          </w:p>
        </w:tc>
      </w:tr>
      <w:tr w:rsidR="00FB694D" w:rsidRPr="00534C5B" w:rsidTr="00FB694D">
        <w:trPr>
          <w:trHeight w:val="141"/>
        </w:trPr>
        <w:tc>
          <w:tcPr>
            <w:tcW w:w="865" w:type="pct"/>
            <w:tcBorders>
              <w:top w:val="single" w:sz="4" w:space="0" w:color="auto"/>
              <w:left w:val="single" w:sz="4" w:space="0" w:color="auto"/>
              <w:bottom w:val="single" w:sz="4" w:space="0" w:color="auto"/>
              <w:right w:val="single" w:sz="4" w:space="0" w:color="auto"/>
            </w:tcBorders>
            <w:tcMar>
              <w:left w:w="28" w:type="dxa"/>
              <w:right w:w="28" w:type="dxa"/>
            </w:tcMar>
            <w:hideMark/>
          </w:tcPr>
          <w:p w:rsidR="00FB694D" w:rsidRPr="00534C5B" w:rsidRDefault="00FB694D" w:rsidP="004869D0">
            <w:pPr>
              <w:rPr>
                <w:rFonts w:ascii="Arial Narrow" w:hAnsi="Arial Narrow"/>
                <w:b/>
                <w:sz w:val="18"/>
                <w:szCs w:val="18"/>
              </w:rPr>
            </w:pPr>
            <w:r w:rsidRPr="00534C5B">
              <w:rPr>
                <w:rFonts w:ascii="Arial Narrow" w:hAnsi="Arial Narrow"/>
                <w:b/>
                <w:sz w:val="18"/>
                <w:szCs w:val="18"/>
              </w:rPr>
              <w:t>Category/program:</w:t>
            </w:r>
          </w:p>
        </w:tc>
        <w:tc>
          <w:tcPr>
            <w:tcW w:w="4135" w:type="pct"/>
            <w:tcBorders>
              <w:top w:val="single" w:sz="4" w:space="0" w:color="auto"/>
              <w:left w:val="single" w:sz="4" w:space="0" w:color="auto"/>
              <w:bottom w:val="single" w:sz="4" w:space="0" w:color="auto"/>
              <w:right w:val="single" w:sz="4" w:space="0" w:color="auto"/>
            </w:tcBorders>
            <w:tcMar>
              <w:left w:w="28" w:type="dxa"/>
              <w:right w:w="28" w:type="dxa"/>
            </w:tcMar>
            <w:hideMark/>
          </w:tcPr>
          <w:p w:rsidR="00FB694D" w:rsidRPr="00534C5B" w:rsidRDefault="00FB694D" w:rsidP="004869D0">
            <w:pPr>
              <w:rPr>
                <w:rFonts w:ascii="Arial Narrow" w:hAnsi="Arial Narrow"/>
                <w:sz w:val="18"/>
                <w:szCs w:val="18"/>
              </w:rPr>
            </w:pPr>
            <w:r w:rsidRPr="00534C5B">
              <w:rPr>
                <w:rFonts w:ascii="Arial Narrow" w:hAnsi="Arial Narrow"/>
                <w:sz w:val="18"/>
                <w:szCs w:val="18"/>
              </w:rPr>
              <w:fldChar w:fldCharType="begin">
                <w:ffData>
                  <w:name w:val="Check5"/>
                  <w:enabled/>
                  <w:calcOnExit w:val="0"/>
                  <w:checkBox>
                    <w:sizeAuto/>
                    <w:default w:val="1"/>
                  </w:checkBox>
                </w:ffData>
              </w:fldChar>
            </w:r>
            <w:r w:rsidRPr="00534C5B">
              <w:rPr>
                <w:rFonts w:ascii="Arial Narrow" w:hAnsi="Arial Narrow"/>
                <w:sz w:val="18"/>
                <w:szCs w:val="18"/>
              </w:rPr>
              <w:instrText xml:space="preserve"> FORMCHECKBOX </w:instrText>
            </w:r>
            <w:r w:rsidR="00653477">
              <w:rPr>
                <w:rFonts w:ascii="Arial Narrow" w:hAnsi="Arial Narrow"/>
                <w:sz w:val="18"/>
                <w:szCs w:val="18"/>
              </w:rPr>
            </w:r>
            <w:r w:rsidR="00653477">
              <w:rPr>
                <w:rFonts w:ascii="Arial Narrow" w:hAnsi="Arial Narrow"/>
                <w:sz w:val="18"/>
                <w:szCs w:val="18"/>
              </w:rPr>
              <w:fldChar w:fldCharType="separate"/>
            </w:r>
            <w:r w:rsidRPr="00534C5B">
              <w:rPr>
                <w:rFonts w:ascii="Arial Narrow" w:hAnsi="Arial Narrow"/>
                <w:sz w:val="18"/>
                <w:szCs w:val="18"/>
              </w:rPr>
              <w:fldChar w:fldCharType="end"/>
            </w:r>
            <w:r w:rsidRPr="00534C5B">
              <w:rPr>
                <w:rFonts w:ascii="Arial Narrow" w:hAnsi="Arial Narrow"/>
                <w:sz w:val="18"/>
                <w:szCs w:val="18"/>
              </w:rPr>
              <w:t xml:space="preserve"> Authority Required (telephone)</w:t>
            </w:r>
          </w:p>
        </w:tc>
      </w:tr>
      <w:tr w:rsidR="00FB694D" w:rsidRPr="00534C5B" w:rsidTr="00FB694D">
        <w:trPr>
          <w:trHeight w:val="70"/>
        </w:trPr>
        <w:tc>
          <w:tcPr>
            <w:tcW w:w="865" w:type="pct"/>
            <w:tcBorders>
              <w:top w:val="single" w:sz="4" w:space="0" w:color="auto"/>
              <w:left w:val="single" w:sz="4" w:space="0" w:color="auto"/>
              <w:bottom w:val="single" w:sz="4" w:space="0" w:color="auto"/>
              <w:right w:val="single" w:sz="4" w:space="0" w:color="auto"/>
            </w:tcBorders>
            <w:tcMar>
              <w:left w:w="28" w:type="dxa"/>
              <w:right w:w="28" w:type="dxa"/>
            </w:tcMar>
            <w:hideMark/>
          </w:tcPr>
          <w:p w:rsidR="00FB694D" w:rsidRPr="00534C5B" w:rsidRDefault="00FB694D" w:rsidP="004869D0">
            <w:pPr>
              <w:rPr>
                <w:rFonts w:ascii="Arial Narrow" w:hAnsi="Arial Narrow"/>
                <w:b/>
                <w:sz w:val="18"/>
                <w:szCs w:val="18"/>
              </w:rPr>
            </w:pPr>
            <w:r w:rsidRPr="00534C5B">
              <w:rPr>
                <w:rFonts w:ascii="Arial Narrow" w:hAnsi="Arial Narrow"/>
                <w:b/>
                <w:sz w:val="18"/>
                <w:szCs w:val="18"/>
              </w:rPr>
              <w:t xml:space="preserve">Severity: </w:t>
            </w:r>
          </w:p>
        </w:tc>
        <w:tc>
          <w:tcPr>
            <w:tcW w:w="4135" w:type="pct"/>
            <w:tcBorders>
              <w:top w:val="single" w:sz="4" w:space="0" w:color="auto"/>
              <w:left w:val="single" w:sz="4" w:space="0" w:color="auto"/>
              <w:bottom w:val="single" w:sz="4" w:space="0" w:color="auto"/>
              <w:right w:val="single" w:sz="4" w:space="0" w:color="auto"/>
            </w:tcBorders>
            <w:tcMar>
              <w:left w:w="28" w:type="dxa"/>
              <w:right w:w="28" w:type="dxa"/>
            </w:tcMar>
            <w:hideMark/>
          </w:tcPr>
          <w:p w:rsidR="00FB694D" w:rsidRPr="00534C5B" w:rsidRDefault="00FB694D" w:rsidP="004869D0">
            <w:pPr>
              <w:rPr>
                <w:rFonts w:ascii="Arial Narrow" w:hAnsi="Arial Narrow"/>
                <w:sz w:val="18"/>
                <w:szCs w:val="18"/>
              </w:rPr>
            </w:pPr>
            <w:r w:rsidRPr="00534C5B">
              <w:rPr>
                <w:rFonts w:ascii="Arial Narrow" w:hAnsi="Arial Narrow"/>
                <w:sz w:val="18"/>
                <w:szCs w:val="18"/>
              </w:rPr>
              <w:t>Resected Stage IIIB, Stage IIIC or Stage IIID</w:t>
            </w:r>
          </w:p>
        </w:tc>
      </w:tr>
      <w:tr w:rsidR="00FB694D" w:rsidRPr="00534C5B" w:rsidTr="00FB694D">
        <w:trPr>
          <w:trHeight w:val="70"/>
        </w:trPr>
        <w:tc>
          <w:tcPr>
            <w:tcW w:w="865" w:type="pct"/>
            <w:tcBorders>
              <w:top w:val="single" w:sz="4" w:space="0" w:color="auto"/>
              <w:left w:val="single" w:sz="4" w:space="0" w:color="auto"/>
              <w:bottom w:val="single" w:sz="4" w:space="0" w:color="auto"/>
              <w:right w:val="single" w:sz="4" w:space="0" w:color="auto"/>
            </w:tcBorders>
            <w:tcMar>
              <w:left w:w="28" w:type="dxa"/>
              <w:right w:w="28" w:type="dxa"/>
            </w:tcMar>
            <w:hideMark/>
          </w:tcPr>
          <w:p w:rsidR="00FB694D" w:rsidRPr="00534C5B" w:rsidRDefault="00FB694D" w:rsidP="004869D0">
            <w:pPr>
              <w:rPr>
                <w:rFonts w:ascii="Arial Narrow" w:hAnsi="Arial Narrow"/>
                <w:b/>
                <w:sz w:val="18"/>
                <w:szCs w:val="18"/>
              </w:rPr>
            </w:pPr>
            <w:r w:rsidRPr="00534C5B">
              <w:rPr>
                <w:rFonts w:ascii="Arial Narrow" w:hAnsi="Arial Narrow"/>
                <w:b/>
                <w:sz w:val="18"/>
                <w:szCs w:val="18"/>
              </w:rPr>
              <w:t>Condition:</w:t>
            </w:r>
          </w:p>
        </w:tc>
        <w:tc>
          <w:tcPr>
            <w:tcW w:w="4135" w:type="pct"/>
            <w:tcBorders>
              <w:top w:val="single" w:sz="4" w:space="0" w:color="auto"/>
              <w:left w:val="single" w:sz="4" w:space="0" w:color="auto"/>
              <w:bottom w:val="single" w:sz="4" w:space="0" w:color="auto"/>
              <w:right w:val="single" w:sz="4" w:space="0" w:color="auto"/>
            </w:tcBorders>
            <w:tcMar>
              <w:left w:w="28" w:type="dxa"/>
              <w:right w:w="28" w:type="dxa"/>
            </w:tcMar>
            <w:hideMark/>
          </w:tcPr>
          <w:p w:rsidR="00FB694D" w:rsidRPr="00534C5B" w:rsidRDefault="00FB694D" w:rsidP="004869D0">
            <w:pPr>
              <w:rPr>
                <w:rFonts w:ascii="Arial Narrow" w:hAnsi="Arial Narrow"/>
                <w:sz w:val="18"/>
                <w:szCs w:val="18"/>
              </w:rPr>
            </w:pPr>
            <w:r w:rsidRPr="00534C5B">
              <w:rPr>
                <w:rFonts w:ascii="Arial Narrow" w:hAnsi="Arial Narrow"/>
                <w:sz w:val="18"/>
                <w:szCs w:val="18"/>
              </w:rPr>
              <w:t>Malignant melanoma</w:t>
            </w:r>
          </w:p>
        </w:tc>
      </w:tr>
      <w:tr w:rsidR="00FB694D" w:rsidRPr="00534C5B" w:rsidTr="00FB694D">
        <w:trPr>
          <w:trHeight w:val="70"/>
        </w:trPr>
        <w:tc>
          <w:tcPr>
            <w:tcW w:w="865" w:type="pct"/>
            <w:tcBorders>
              <w:top w:val="single" w:sz="4" w:space="0" w:color="auto"/>
              <w:left w:val="single" w:sz="4" w:space="0" w:color="auto"/>
              <w:bottom w:val="single" w:sz="4" w:space="0" w:color="auto"/>
              <w:right w:val="single" w:sz="4" w:space="0" w:color="auto"/>
            </w:tcBorders>
            <w:tcMar>
              <w:left w:w="28" w:type="dxa"/>
              <w:right w:w="28" w:type="dxa"/>
            </w:tcMar>
            <w:hideMark/>
          </w:tcPr>
          <w:p w:rsidR="00FB694D" w:rsidRPr="00534C5B" w:rsidRDefault="00FB694D" w:rsidP="004869D0">
            <w:pPr>
              <w:rPr>
                <w:rFonts w:ascii="Arial Narrow" w:hAnsi="Arial Narrow"/>
                <w:b/>
                <w:sz w:val="18"/>
                <w:szCs w:val="18"/>
              </w:rPr>
            </w:pPr>
            <w:r w:rsidRPr="00534C5B">
              <w:rPr>
                <w:rFonts w:ascii="Arial Narrow" w:hAnsi="Arial Narrow"/>
                <w:b/>
                <w:sz w:val="18"/>
                <w:szCs w:val="18"/>
              </w:rPr>
              <w:t>Treatment phase:</w:t>
            </w:r>
          </w:p>
        </w:tc>
        <w:tc>
          <w:tcPr>
            <w:tcW w:w="4135" w:type="pct"/>
            <w:tcBorders>
              <w:top w:val="single" w:sz="4" w:space="0" w:color="auto"/>
              <w:left w:val="single" w:sz="4" w:space="0" w:color="auto"/>
              <w:bottom w:val="single" w:sz="4" w:space="0" w:color="auto"/>
              <w:right w:val="single" w:sz="4" w:space="0" w:color="auto"/>
            </w:tcBorders>
            <w:tcMar>
              <w:left w:w="28" w:type="dxa"/>
              <w:right w:w="28" w:type="dxa"/>
            </w:tcMar>
            <w:hideMark/>
          </w:tcPr>
          <w:p w:rsidR="00FB694D" w:rsidRPr="00534C5B" w:rsidRDefault="00FB694D" w:rsidP="004869D0">
            <w:pPr>
              <w:rPr>
                <w:rFonts w:ascii="Arial Narrow" w:hAnsi="Arial Narrow"/>
                <w:sz w:val="18"/>
                <w:szCs w:val="18"/>
              </w:rPr>
            </w:pPr>
            <w:r w:rsidRPr="00534C5B">
              <w:rPr>
                <w:rFonts w:ascii="Arial Narrow" w:hAnsi="Arial Narrow"/>
                <w:sz w:val="18"/>
                <w:szCs w:val="18"/>
              </w:rPr>
              <w:t>Continuing treatment</w:t>
            </w:r>
          </w:p>
        </w:tc>
      </w:tr>
      <w:tr w:rsidR="00FB694D" w:rsidRPr="00534C5B" w:rsidTr="00FB694D">
        <w:trPr>
          <w:trHeight w:val="690"/>
        </w:trPr>
        <w:tc>
          <w:tcPr>
            <w:tcW w:w="865" w:type="pct"/>
            <w:tcBorders>
              <w:top w:val="single" w:sz="4" w:space="0" w:color="auto"/>
              <w:left w:val="single" w:sz="4" w:space="0" w:color="auto"/>
              <w:bottom w:val="single" w:sz="4" w:space="0" w:color="auto"/>
              <w:right w:val="single" w:sz="4" w:space="0" w:color="auto"/>
            </w:tcBorders>
            <w:tcMar>
              <w:left w:w="28" w:type="dxa"/>
              <w:right w:w="28" w:type="dxa"/>
            </w:tcMar>
          </w:tcPr>
          <w:p w:rsidR="00FB694D" w:rsidRPr="00534C5B" w:rsidRDefault="00FB694D" w:rsidP="004869D0">
            <w:pPr>
              <w:rPr>
                <w:rFonts w:ascii="Arial Narrow" w:hAnsi="Arial Narrow"/>
                <w:b/>
                <w:sz w:val="18"/>
                <w:szCs w:val="18"/>
              </w:rPr>
            </w:pPr>
            <w:r w:rsidRPr="00534C5B">
              <w:rPr>
                <w:rFonts w:ascii="Arial Narrow" w:hAnsi="Arial Narrow"/>
                <w:b/>
                <w:sz w:val="18"/>
                <w:szCs w:val="18"/>
              </w:rPr>
              <w:t>Clinical criteria:</w:t>
            </w:r>
          </w:p>
          <w:p w:rsidR="00FB694D" w:rsidRPr="00534C5B" w:rsidRDefault="00FB694D" w:rsidP="004869D0">
            <w:pPr>
              <w:rPr>
                <w:rFonts w:ascii="Arial Narrow" w:hAnsi="Arial Narrow"/>
                <w:sz w:val="18"/>
                <w:szCs w:val="18"/>
              </w:rPr>
            </w:pPr>
          </w:p>
        </w:tc>
        <w:tc>
          <w:tcPr>
            <w:tcW w:w="4135" w:type="pct"/>
            <w:tcBorders>
              <w:top w:val="single" w:sz="4" w:space="0" w:color="auto"/>
              <w:left w:val="single" w:sz="4" w:space="0" w:color="auto"/>
              <w:bottom w:val="single" w:sz="4" w:space="0" w:color="auto"/>
              <w:right w:val="single" w:sz="4" w:space="0" w:color="auto"/>
            </w:tcBorders>
            <w:tcMar>
              <w:left w:w="28" w:type="dxa"/>
              <w:right w:w="28" w:type="dxa"/>
            </w:tcMar>
            <w:hideMark/>
          </w:tcPr>
          <w:p w:rsidR="00FB694D" w:rsidRPr="00534C5B" w:rsidRDefault="00FB694D" w:rsidP="004869D0">
            <w:pPr>
              <w:rPr>
                <w:rFonts w:ascii="Arial Narrow" w:hAnsi="Arial Narrow"/>
                <w:sz w:val="18"/>
                <w:szCs w:val="18"/>
              </w:rPr>
            </w:pPr>
            <w:r w:rsidRPr="00534C5B">
              <w:rPr>
                <w:rFonts w:ascii="Arial Narrow" w:hAnsi="Arial Narrow"/>
                <w:sz w:val="18"/>
                <w:szCs w:val="18"/>
              </w:rPr>
              <w:t>Patient must have previously been issued with an authority prescription for trametinib and dabrafenib concomitantly for adjuvant treatment following complete surgical resection</w:t>
            </w:r>
          </w:p>
          <w:p w:rsidR="00FB694D" w:rsidRPr="00534C5B" w:rsidRDefault="00FB694D" w:rsidP="004869D0">
            <w:pPr>
              <w:rPr>
                <w:rFonts w:ascii="Arial Narrow" w:hAnsi="Arial Narrow"/>
                <w:sz w:val="18"/>
                <w:szCs w:val="18"/>
              </w:rPr>
            </w:pPr>
            <w:r w:rsidRPr="00534C5B">
              <w:rPr>
                <w:rFonts w:ascii="Arial Narrow" w:hAnsi="Arial Narrow"/>
                <w:sz w:val="18"/>
                <w:szCs w:val="18"/>
              </w:rPr>
              <w:t xml:space="preserve">AND </w:t>
            </w:r>
          </w:p>
          <w:p w:rsidR="00FB694D" w:rsidRPr="00534C5B" w:rsidRDefault="00FB694D" w:rsidP="004869D0">
            <w:pPr>
              <w:rPr>
                <w:rFonts w:ascii="Arial Narrow" w:hAnsi="Arial Narrow"/>
                <w:sz w:val="18"/>
                <w:szCs w:val="18"/>
              </w:rPr>
            </w:pPr>
            <w:r w:rsidRPr="00534C5B">
              <w:rPr>
                <w:rFonts w:ascii="Arial Narrow" w:hAnsi="Arial Narrow"/>
                <w:sz w:val="18"/>
                <w:szCs w:val="18"/>
              </w:rPr>
              <w:t>Patient must not have experienced disease recurrence</w:t>
            </w:r>
          </w:p>
        </w:tc>
      </w:tr>
      <w:tr w:rsidR="00FB694D" w:rsidRPr="00534C5B" w:rsidTr="00FB694D">
        <w:trPr>
          <w:trHeight w:val="252"/>
        </w:trPr>
        <w:tc>
          <w:tcPr>
            <w:tcW w:w="865" w:type="pct"/>
            <w:tcBorders>
              <w:top w:val="single" w:sz="4" w:space="0" w:color="auto"/>
              <w:left w:val="single" w:sz="4" w:space="0" w:color="auto"/>
              <w:bottom w:val="single" w:sz="4" w:space="0" w:color="auto"/>
              <w:right w:val="single" w:sz="4" w:space="0" w:color="auto"/>
            </w:tcBorders>
            <w:tcMar>
              <w:left w:w="28" w:type="dxa"/>
              <w:right w:w="28" w:type="dxa"/>
            </w:tcMar>
            <w:hideMark/>
          </w:tcPr>
          <w:p w:rsidR="00FB694D" w:rsidRPr="00534C5B" w:rsidRDefault="00FB694D" w:rsidP="004869D0">
            <w:pPr>
              <w:rPr>
                <w:rFonts w:ascii="Arial Narrow" w:hAnsi="Arial Narrow"/>
                <w:b/>
                <w:sz w:val="18"/>
                <w:szCs w:val="18"/>
              </w:rPr>
            </w:pPr>
            <w:r w:rsidRPr="00534C5B">
              <w:rPr>
                <w:rFonts w:ascii="Arial Narrow" w:hAnsi="Arial Narrow"/>
                <w:b/>
                <w:sz w:val="18"/>
                <w:szCs w:val="18"/>
              </w:rPr>
              <w:t>Treatment criteria:</w:t>
            </w:r>
          </w:p>
        </w:tc>
        <w:tc>
          <w:tcPr>
            <w:tcW w:w="4135" w:type="pct"/>
            <w:tcBorders>
              <w:top w:val="single" w:sz="4" w:space="0" w:color="auto"/>
              <w:left w:val="single" w:sz="4" w:space="0" w:color="auto"/>
              <w:bottom w:val="single" w:sz="4" w:space="0" w:color="auto"/>
              <w:right w:val="single" w:sz="4" w:space="0" w:color="auto"/>
            </w:tcBorders>
            <w:tcMar>
              <w:left w:w="28" w:type="dxa"/>
              <w:right w:w="28" w:type="dxa"/>
            </w:tcMar>
            <w:hideMark/>
          </w:tcPr>
          <w:p w:rsidR="00FB694D" w:rsidRPr="00534C5B" w:rsidRDefault="00FB694D" w:rsidP="004869D0">
            <w:pPr>
              <w:rPr>
                <w:rFonts w:ascii="Arial Narrow" w:hAnsi="Arial Narrow"/>
                <w:strike/>
                <w:sz w:val="18"/>
                <w:szCs w:val="18"/>
              </w:rPr>
            </w:pPr>
            <w:r w:rsidRPr="00534C5B">
              <w:rPr>
                <w:rFonts w:ascii="Arial Narrow" w:hAnsi="Arial Narrow"/>
                <w:strike/>
                <w:sz w:val="18"/>
                <w:szCs w:val="18"/>
              </w:rPr>
              <w:t>Treatment must not exceed a maximum duration of 12 months for adjuvant treatment of completely resected Stage IIIB, IIIC or IIID melanoma</w:t>
            </w:r>
          </w:p>
          <w:p w:rsidR="008B20C6" w:rsidRPr="00534C5B" w:rsidRDefault="008B20C6" w:rsidP="004869D0">
            <w:pPr>
              <w:rPr>
                <w:rFonts w:ascii="Arial Narrow" w:hAnsi="Arial Narrow"/>
                <w:i/>
                <w:sz w:val="18"/>
                <w:szCs w:val="18"/>
              </w:rPr>
            </w:pPr>
            <w:r w:rsidRPr="00534C5B">
              <w:rPr>
                <w:rFonts w:ascii="Arial Narrow" w:hAnsi="Arial Narrow"/>
                <w:i/>
                <w:color w:val="333333"/>
                <w:sz w:val="18"/>
                <w:szCs w:val="18"/>
              </w:rPr>
              <w:t>Patient must not receive more than 12 months of combined PBS-subsidised and non-PBS subsidised adjuvant therapy</w:t>
            </w:r>
          </w:p>
        </w:tc>
      </w:tr>
      <w:tr w:rsidR="00FB694D" w:rsidRPr="00534C5B" w:rsidTr="00FB694D">
        <w:trPr>
          <w:trHeight w:val="252"/>
        </w:trPr>
        <w:tc>
          <w:tcPr>
            <w:tcW w:w="865" w:type="pct"/>
            <w:tcBorders>
              <w:top w:val="single" w:sz="4" w:space="0" w:color="auto"/>
              <w:left w:val="single" w:sz="4" w:space="0" w:color="auto"/>
              <w:bottom w:val="single" w:sz="4" w:space="0" w:color="auto"/>
              <w:right w:val="single" w:sz="4" w:space="0" w:color="auto"/>
            </w:tcBorders>
            <w:tcMar>
              <w:left w:w="28" w:type="dxa"/>
              <w:right w:w="28" w:type="dxa"/>
            </w:tcMar>
            <w:hideMark/>
          </w:tcPr>
          <w:p w:rsidR="00FB694D" w:rsidRPr="00534C5B" w:rsidRDefault="00FB694D" w:rsidP="004869D0">
            <w:pPr>
              <w:rPr>
                <w:rFonts w:ascii="Arial Narrow" w:hAnsi="Arial Narrow"/>
                <w:b/>
                <w:sz w:val="18"/>
                <w:szCs w:val="18"/>
              </w:rPr>
            </w:pPr>
            <w:r w:rsidRPr="00534C5B">
              <w:rPr>
                <w:rFonts w:ascii="Arial Narrow" w:hAnsi="Arial Narrow"/>
                <w:b/>
                <w:sz w:val="18"/>
                <w:szCs w:val="18"/>
              </w:rPr>
              <w:t>Notes:</w:t>
            </w:r>
          </w:p>
        </w:tc>
        <w:tc>
          <w:tcPr>
            <w:tcW w:w="4135" w:type="pct"/>
            <w:tcBorders>
              <w:top w:val="single" w:sz="4" w:space="0" w:color="auto"/>
              <w:left w:val="single" w:sz="4" w:space="0" w:color="auto"/>
              <w:bottom w:val="single" w:sz="4" w:space="0" w:color="auto"/>
              <w:right w:val="single" w:sz="4" w:space="0" w:color="auto"/>
            </w:tcBorders>
            <w:tcMar>
              <w:left w:w="28" w:type="dxa"/>
              <w:right w:w="28" w:type="dxa"/>
            </w:tcMar>
            <w:hideMark/>
          </w:tcPr>
          <w:p w:rsidR="00FB694D" w:rsidRPr="00534C5B" w:rsidRDefault="00FB694D" w:rsidP="00FB694D">
            <w:pPr>
              <w:numPr>
                <w:ilvl w:val="0"/>
                <w:numId w:val="26"/>
              </w:numPr>
              <w:spacing w:after="160" w:line="259" w:lineRule="auto"/>
              <w:rPr>
                <w:rFonts w:ascii="Arial Narrow" w:hAnsi="Arial Narrow"/>
                <w:sz w:val="18"/>
                <w:szCs w:val="18"/>
              </w:rPr>
            </w:pPr>
            <w:r w:rsidRPr="00534C5B">
              <w:rPr>
                <w:rFonts w:ascii="Arial Narrow" w:hAnsi="Arial Narrow"/>
                <w:sz w:val="18"/>
                <w:szCs w:val="18"/>
              </w:rPr>
              <w:t>No increase in the maximum quantity or number of units or number of repeats will be authorised.</w:t>
            </w:r>
          </w:p>
          <w:p w:rsidR="00FB694D" w:rsidRPr="00534C5B" w:rsidRDefault="00FB694D" w:rsidP="00FB694D">
            <w:pPr>
              <w:numPr>
                <w:ilvl w:val="0"/>
                <w:numId w:val="26"/>
              </w:numPr>
              <w:rPr>
                <w:rFonts w:ascii="Arial Narrow" w:hAnsi="Arial Narrow"/>
                <w:sz w:val="18"/>
                <w:szCs w:val="18"/>
              </w:rPr>
            </w:pPr>
            <w:r w:rsidRPr="00534C5B">
              <w:rPr>
                <w:rFonts w:ascii="Arial Narrow" w:hAnsi="Arial Narrow"/>
                <w:sz w:val="18"/>
                <w:szCs w:val="18"/>
              </w:rPr>
              <w:t>Special Pricing Arrangements apply.</w:t>
            </w:r>
          </w:p>
        </w:tc>
      </w:tr>
    </w:tbl>
    <w:p w:rsidR="00FB694D" w:rsidRPr="00534C5B" w:rsidRDefault="00FB694D" w:rsidP="00FB694D">
      <w:pPr>
        <w:rPr>
          <w:rFonts w:ascii="Arial Narrow" w:hAnsi="Arial Narrow"/>
          <w:sz w:val="18"/>
          <w:szCs w:val="18"/>
        </w:rPr>
      </w:pPr>
    </w:p>
    <w:tbl>
      <w:tblPr>
        <w:tblW w:w="5000" w:type="pct"/>
        <w:tblInd w:w="-5" w:type="dxa"/>
        <w:tblLook w:val="04A0" w:firstRow="1" w:lastRow="0" w:firstColumn="1" w:lastColumn="0" w:noHBand="0" w:noVBand="1"/>
      </w:tblPr>
      <w:tblGrid>
        <w:gridCol w:w="1560"/>
        <w:gridCol w:w="7456"/>
      </w:tblGrid>
      <w:tr w:rsidR="00FB694D" w:rsidRPr="00534C5B" w:rsidTr="00FB694D">
        <w:trPr>
          <w:trHeight w:val="135"/>
        </w:trPr>
        <w:tc>
          <w:tcPr>
            <w:tcW w:w="5000" w:type="pct"/>
            <w:gridSpan w:val="2"/>
            <w:tcBorders>
              <w:top w:val="single" w:sz="4" w:space="0" w:color="auto"/>
              <w:left w:val="single" w:sz="4" w:space="0" w:color="auto"/>
              <w:bottom w:val="single" w:sz="4" w:space="0" w:color="auto"/>
              <w:right w:val="single" w:sz="4" w:space="0" w:color="auto"/>
            </w:tcBorders>
            <w:tcMar>
              <w:left w:w="28" w:type="dxa"/>
              <w:right w:w="28" w:type="dxa"/>
            </w:tcMar>
          </w:tcPr>
          <w:p w:rsidR="00FB694D" w:rsidRPr="00534C5B" w:rsidRDefault="00FB694D" w:rsidP="004869D0">
            <w:pPr>
              <w:rPr>
                <w:rFonts w:ascii="Arial Narrow" w:hAnsi="Arial Narrow"/>
                <w:b/>
                <w:sz w:val="18"/>
                <w:szCs w:val="18"/>
              </w:rPr>
            </w:pPr>
            <w:r w:rsidRPr="00534C5B">
              <w:rPr>
                <w:rFonts w:ascii="Arial Narrow" w:hAnsi="Arial Narrow"/>
                <w:b/>
                <w:sz w:val="18"/>
                <w:szCs w:val="18"/>
              </w:rPr>
              <w:t>Trametinib</w:t>
            </w:r>
          </w:p>
        </w:tc>
      </w:tr>
      <w:tr w:rsidR="00FB694D" w:rsidRPr="00534C5B" w:rsidTr="00FB694D">
        <w:trPr>
          <w:trHeight w:val="135"/>
        </w:trPr>
        <w:tc>
          <w:tcPr>
            <w:tcW w:w="865" w:type="pct"/>
            <w:tcBorders>
              <w:top w:val="single" w:sz="4" w:space="0" w:color="auto"/>
              <w:left w:val="single" w:sz="4" w:space="0" w:color="auto"/>
              <w:bottom w:val="single" w:sz="4" w:space="0" w:color="auto"/>
              <w:right w:val="single" w:sz="4" w:space="0" w:color="auto"/>
            </w:tcBorders>
            <w:tcMar>
              <w:left w:w="28" w:type="dxa"/>
              <w:right w:w="28" w:type="dxa"/>
            </w:tcMar>
          </w:tcPr>
          <w:p w:rsidR="00FB694D" w:rsidRPr="00534C5B" w:rsidRDefault="00FB694D" w:rsidP="004869D0">
            <w:pPr>
              <w:rPr>
                <w:rFonts w:ascii="Arial Narrow" w:hAnsi="Arial Narrow"/>
                <w:b/>
                <w:sz w:val="18"/>
                <w:szCs w:val="18"/>
              </w:rPr>
            </w:pPr>
            <w:r w:rsidRPr="00534C5B">
              <w:rPr>
                <w:rFonts w:ascii="Arial Narrow" w:hAnsi="Arial Narrow"/>
                <w:b/>
                <w:sz w:val="18"/>
                <w:szCs w:val="18"/>
              </w:rPr>
              <w:t>Schedule:</w:t>
            </w:r>
          </w:p>
        </w:tc>
        <w:tc>
          <w:tcPr>
            <w:tcW w:w="4135" w:type="pct"/>
            <w:tcBorders>
              <w:top w:val="single" w:sz="4" w:space="0" w:color="auto"/>
              <w:left w:val="single" w:sz="4" w:space="0" w:color="auto"/>
              <w:bottom w:val="single" w:sz="4" w:space="0" w:color="auto"/>
              <w:right w:val="single" w:sz="4" w:space="0" w:color="auto"/>
            </w:tcBorders>
            <w:tcMar>
              <w:left w:w="28" w:type="dxa"/>
              <w:right w:w="28" w:type="dxa"/>
            </w:tcMar>
          </w:tcPr>
          <w:p w:rsidR="00FB694D" w:rsidRPr="00534C5B" w:rsidRDefault="00FB694D" w:rsidP="004869D0">
            <w:pPr>
              <w:rPr>
                <w:rFonts w:ascii="Arial Narrow" w:hAnsi="Arial Narrow"/>
                <w:sz w:val="18"/>
                <w:szCs w:val="18"/>
              </w:rPr>
            </w:pPr>
            <w:r w:rsidRPr="00534C5B">
              <w:rPr>
                <w:rFonts w:ascii="Arial Narrow" w:hAnsi="Arial Narrow"/>
                <w:sz w:val="18"/>
                <w:szCs w:val="18"/>
              </w:rPr>
              <w:t>General</w:t>
            </w:r>
          </w:p>
        </w:tc>
      </w:tr>
      <w:tr w:rsidR="00FB694D" w:rsidRPr="00534C5B" w:rsidTr="00FB69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trHeight w:val="20"/>
        </w:trPr>
        <w:tc>
          <w:tcPr>
            <w:tcW w:w="865"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FB694D" w:rsidRPr="00534C5B" w:rsidRDefault="00FB694D" w:rsidP="004869D0">
            <w:pPr>
              <w:rPr>
                <w:rFonts w:ascii="Arial Narrow" w:hAnsi="Arial Narrow"/>
                <w:b/>
                <w:sz w:val="18"/>
                <w:szCs w:val="18"/>
              </w:rPr>
            </w:pPr>
            <w:r w:rsidRPr="00534C5B">
              <w:rPr>
                <w:rFonts w:ascii="Arial Narrow" w:hAnsi="Arial Narrow"/>
                <w:b/>
                <w:sz w:val="18"/>
                <w:szCs w:val="18"/>
              </w:rPr>
              <w:t>Prescriber type:</w:t>
            </w:r>
          </w:p>
        </w:tc>
        <w:tc>
          <w:tcPr>
            <w:tcW w:w="4135"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FB694D" w:rsidRPr="00534C5B" w:rsidRDefault="00FB694D" w:rsidP="004869D0">
            <w:pPr>
              <w:rPr>
                <w:rFonts w:ascii="Arial Narrow" w:hAnsi="Arial Narrow"/>
                <w:sz w:val="18"/>
                <w:szCs w:val="18"/>
              </w:rPr>
            </w:pPr>
            <w:r w:rsidRPr="00534C5B">
              <w:rPr>
                <w:rFonts w:ascii="Arial Narrow" w:hAnsi="Arial Narrow"/>
                <w:sz w:val="18"/>
                <w:szCs w:val="18"/>
              </w:rPr>
              <w:fldChar w:fldCharType="begin">
                <w:ffData>
                  <w:name w:val=""/>
                  <w:enabled/>
                  <w:calcOnExit w:val="0"/>
                  <w:checkBox>
                    <w:sizeAuto/>
                    <w:default w:val="0"/>
                  </w:checkBox>
                </w:ffData>
              </w:fldChar>
            </w:r>
            <w:r w:rsidRPr="00534C5B">
              <w:rPr>
                <w:rFonts w:ascii="Arial Narrow" w:hAnsi="Arial Narrow"/>
                <w:sz w:val="18"/>
                <w:szCs w:val="18"/>
              </w:rPr>
              <w:instrText xml:space="preserve"> FORMCHECKBOX </w:instrText>
            </w:r>
            <w:r w:rsidR="00653477">
              <w:rPr>
                <w:rFonts w:ascii="Arial Narrow" w:hAnsi="Arial Narrow"/>
                <w:sz w:val="18"/>
                <w:szCs w:val="18"/>
              </w:rPr>
            </w:r>
            <w:r w:rsidR="00653477">
              <w:rPr>
                <w:rFonts w:ascii="Arial Narrow" w:hAnsi="Arial Narrow"/>
                <w:sz w:val="18"/>
                <w:szCs w:val="18"/>
              </w:rPr>
              <w:fldChar w:fldCharType="separate"/>
            </w:r>
            <w:r w:rsidRPr="00534C5B">
              <w:rPr>
                <w:rFonts w:ascii="Arial Narrow" w:hAnsi="Arial Narrow"/>
                <w:sz w:val="18"/>
                <w:szCs w:val="18"/>
              </w:rPr>
              <w:fldChar w:fldCharType="end"/>
            </w:r>
            <w:r w:rsidRPr="00534C5B">
              <w:rPr>
                <w:rFonts w:ascii="Arial Narrow" w:hAnsi="Arial Narrow"/>
                <w:sz w:val="18"/>
                <w:szCs w:val="18"/>
              </w:rPr>
              <w:t xml:space="preserve">Dental  </w:t>
            </w:r>
            <w:r w:rsidRPr="00534C5B">
              <w:rPr>
                <w:rFonts w:ascii="Arial Narrow" w:hAnsi="Arial Narrow"/>
                <w:sz w:val="18"/>
                <w:szCs w:val="18"/>
              </w:rPr>
              <w:fldChar w:fldCharType="begin">
                <w:ffData>
                  <w:name w:val=""/>
                  <w:enabled/>
                  <w:calcOnExit w:val="0"/>
                  <w:checkBox>
                    <w:sizeAuto/>
                    <w:default w:val="1"/>
                  </w:checkBox>
                </w:ffData>
              </w:fldChar>
            </w:r>
            <w:r w:rsidRPr="00534C5B">
              <w:rPr>
                <w:rFonts w:ascii="Arial Narrow" w:hAnsi="Arial Narrow"/>
                <w:sz w:val="18"/>
                <w:szCs w:val="18"/>
              </w:rPr>
              <w:instrText xml:space="preserve"> FORMCHECKBOX </w:instrText>
            </w:r>
            <w:r w:rsidR="00653477">
              <w:rPr>
                <w:rFonts w:ascii="Arial Narrow" w:hAnsi="Arial Narrow"/>
                <w:sz w:val="18"/>
                <w:szCs w:val="18"/>
              </w:rPr>
            </w:r>
            <w:r w:rsidR="00653477">
              <w:rPr>
                <w:rFonts w:ascii="Arial Narrow" w:hAnsi="Arial Narrow"/>
                <w:sz w:val="18"/>
                <w:szCs w:val="18"/>
              </w:rPr>
              <w:fldChar w:fldCharType="separate"/>
            </w:r>
            <w:r w:rsidRPr="00534C5B">
              <w:rPr>
                <w:rFonts w:ascii="Arial Narrow" w:hAnsi="Arial Narrow"/>
                <w:sz w:val="18"/>
                <w:szCs w:val="18"/>
              </w:rPr>
              <w:fldChar w:fldCharType="end"/>
            </w:r>
            <w:r w:rsidRPr="00534C5B">
              <w:rPr>
                <w:rFonts w:ascii="Arial Narrow" w:hAnsi="Arial Narrow"/>
                <w:sz w:val="18"/>
                <w:szCs w:val="18"/>
              </w:rPr>
              <w:t xml:space="preserve">Medical Practitioners  </w:t>
            </w:r>
            <w:r w:rsidRPr="00534C5B">
              <w:rPr>
                <w:rFonts w:ascii="Arial Narrow" w:hAnsi="Arial Narrow"/>
                <w:sz w:val="18"/>
                <w:szCs w:val="18"/>
              </w:rPr>
              <w:fldChar w:fldCharType="begin">
                <w:ffData>
                  <w:name w:val="Check3"/>
                  <w:enabled/>
                  <w:calcOnExit w:val="0"/>
                  <w:checkBox>
                    <w:sizeAuto/>
                    <w:default w:val="0"/>
                  </w:checkBox>
                </w:ffData>
              </w:fldChar>
            </w:r>
            <w:r w:rsidRPr="00534C5B">
              <w:rPr>
                <w:rFonts w:ascii="Arial Narrow" w:hAnsi="Arial Narrow"/>
                <w:sz w:val="18"/>
                <w:szCs w:val="18"/>
              </w:rPr>
              <w:instrText xml:space="preserve"> FORMCHECKBOX </w:instrText>
            </w:r>
            <w:r w:rsidR="00653477">
              <w:rPr>
                <w:rFonts w:ascii="Arial Narrow" w:hAnsi="Arial Narrow"/>
                <w:sz w:val="18"/>
                <w:szCs w:val="18"/>
              </w:rPr>
            </w:r>
            <w:r w:rsidR="00653477">
              <w:rPr>
                <w:rFonts w:ascii="Arial Narrow" w:hAnsi="Arial Narrow"/>
                <w:sz w:val="18"/>
                <w:szCs w:val="18"/>
              </w:rPr>
              <w:fldChar w:fldCharType="separate"/>
            </w:r>
            <w:r w:rsidRPr="00534C5B">
              <w:rPr>
                <w:rFonts w:ascii="Arial Narrow" w:hAnsi="Arial Narrow"/>
                <w:sz w:val="18"/>
                <w:szCs w:val="18"/>
              </w:rPr>
              <w:fldChar w:fldCharType="end"/>
            </w:r>
            <w:r w:rsidRPr="00534C5B">
              <w:rPr>
                <w:rFonts w:ascii="Arial Narrow" w:hAnsi="Arial Narrow"/>
                <w:sz w:val="18"/>
                <w:szCs w:val="18"/>
              </w:rPr>
              <w:t xml:space="preserve">Nurse practitioners  </w:t>
            </w:r>
            <w:r w:rsidRPr="00534C5B">
              <w:rPr>
                <w:rFonts w:ascii="Arial Narrow" w:hAnsi="Arial Narrow"/>
                <w:sz w:val="18"/>
                <w:szCs w:val="18"/>
              </w:rPr>
              <w:fldChar w:fldCharType="begin">
                <w:ffData>
                  <w:name w:val=""/>
                  <w:enabled/>
                  <w:calcOnExit w:val="0"/>
                  <w:checkBox>
                    <w:sizeAuto/>
                    <w:default w:val="0"/>
                  </w:checkBox>
                </w:ffData>
              </w:fldChar>
            </w:r>
            <w:r w:rsidRPr="00534C5B">
              <w:rPr>
                <w:rFonts w:ascii="Arial Narrow" w:hAnsi="Arial Narrow"/>
                <w:sz w:val="18"/>
                <w:szCs w:val="18"/>
              </w:rPr>
              <w:instrText xml:space="preserve"> FORMCHECKBOX </w:instrText>
            </w:r>
            <w:r w:rsidR="00653477">
              <w:rPr>
                <w:rFonts w:ascii="Arial Narrow" w:hAnsi="Arial Narrow"/>
                <w:sz w:val="18"/>
                <w:szCs w:val="18"/>
              </w:rPr>
            </w:r>
            <w:r w:rsidR="00653477">
              <w:rPr>
                <w:rFonts w:ascii="Arial Narrow" w:hAnsi="Arial Narrow"/>
                <w:sz w:val="18"/>
                <w:szCs w:val="18"/>
              </w:rPr>
              <w:fldChar w:fldCharType="separate"/>
            </w:r>
            <w:r w:rsidRPr="00534C5B">
              <w:rPr>
                <w:rFonts w:ascii="Arial Narrow" w:hAnsi="Arial Narrow"/>
                <w:sz w:val="18"/>
                <w:szCs w:val="18"/>
              </w:rPr>
              <w:fldChar w:fldCharType="end"/>
            </w:r>
            <w:r w:rsidRPr="00534C5B">
              <w:rPr>
                <w:rFonts w:ascii="Arial Narrow" w:hAnsi="Arial Narrow"/>
                <w:sz w:val="18"/>
                <w:szCs w:val="18"/>
              </w:rPr>
              <w:t xml:space="preserve">Optometrists  </w:t>
            </w:r>
            <w:r w:rsidRPr="00534C5B">
              <w:rPr>
                <w:rFonts w:ascii="Arial Narrow" w:hAnsi="Arial Narrow"/>
                <w:sz w:val="18"/>
                <w:szCs w:val="18"/>
              </w:rPr>
              <w:fldChar w:fldCharType="begin">
                <w:ffData>
                  <w:name w:val="Check5"/>
                  <w:enabled/>
                  <w:calcOnExit w:val="0"/>
                  <w:checkBox>
                    <w:sizeAuto/>
                    <w:default w:val="0"/>
                  </w:checkBox>
                </w:ffData>
              </w:fldChar>
            </w:r>
            <w:r w:rsidRPr="00534C5B">
              <w:rPr>
                <w:rFonts w:ascii="Arial Narrow" w:hAnsi="Arial Narrow"/>
                <w:sz w:val="18"/>
                <w:szCs w:val="18"/>
              </w:rPr>
              <w:instrText xml:space="preserve"> FORMCHECKBOX </w:instrText>
            </w:r>
            <w:r w:rsidR="00653477">
              <w:rPr>
                <w:rFonts w:ascii="Arial Narrow" w:hAnsi="Arial Narrow"/>
                <w:sz w:val="18"/>
                <w:szCs w:val="18"/>
              </w:rPr>
            </w:r>
            <w:r w:rsidR="00653477">
              <w:rPr>
                <w:rFonts w:ascii="Arial Narrow" w:hAnsi="Arial Narrow"/>
                <w:sz w:val="18"/>
                <w:szCs w:val="18"/>
              </w:rPr>
              <w:fldChar w:fldCharType="separate"/>
            </w:r>
            <w:r w:rsidRPr="00534C5B">
              <w:rPr>
                <w:rFonts w:ascii="Arial Narrow" w:hAnsi="Arial Narrow"/>
                <w:sz w:val="18"/>
                <w:szCs w:val="18"/>
              </w:rPr>
              <w:fldChar w:fldCharType="end"/>
            </w:r>
            <w:r w:rsidRPr="00534C5B">
              <w:rPr>
                <w:rFonts w:ascii="Arial Narrow" w:hAnsi="Arial Narrow"/>
                <w:sz w:val="18"/>
                <w:szCs w:val="18"/>
              </w:rPr>
              <w:t>Midwives</w:t>
            </w:r>
          </w:p>
        </w:tc>
      </w:tr>
      <w:tr w:rsidR="00FB694D" w:rsidRPr="00534C5B" w:rsidTr="00FB694D">
        <w:trPr>
          <w:trHeight w:val="223"/>
        </w:trPr>
        <w:tc>
          <w:tcPr>
            <w:tcW w:w="865" w:type="pct"/>
            <w:tcBorders>
              <w:top w:val="single" w:sz="4" w:space="0" w:color="auto"/>
              <w:left w:val="single" w:sz="4" w:space="0" w:color="auto"/>
              <w:bottom w:val="single" w:sz="4" w:space="0" w:color="auto"/>
              <w:right w:val="single" w:sz="4" w:space="0" w:color="auto"/>
            </w:tcBorders>
            <w:tcMar>
              <w:left w:w="28" w:type="dxa"/>
              <w:right w:w="28" w:type="dxa"/>
            </w:tcMar>
            <w:hideMark/>
          </w:tcPr>
          <w:p w:rsidR="00FB694D" w:rsidRPr="00534C5B" w:rsidRDefault="00FB694D" w:rsidP="004869D0">
            <w:pPr>
              <w:rPr>
                <w:rFonts w:ascii="Arial Narrow" w:hAnsi="Arial Narrow"/>
                <w:b/>
                <w:sz w:val="18"/>
                <w:szCs w:val="18"/>
              </w:rPr>
            </w:pPr>
            <w:r w:rsidRPr="00534C5B">
              <w:rPr>
                <w:rFonts w:ascii="Arial Narrow" w:hAnsi="Arial Narrow"/>
                <w:b/>
                <w:sz w:val="18"/>
                <w:szCs w:val="18"/>
              </w:rPr>
              <w:t>Category/program:</w:t>
            </w:r>
          </w:p>
        </w:tc>
        <w:tc>
          <w:tcPr>
            <w:tcW w:w="4135" w:type="pct"/>
            <w:tcBorders>
              <w:top w:val="single" w:sz="4" w:space="0" w:color="auto"/>
              <w:left w:val="single" w:sz="4" w:space="0" w:color="auto"/>
              <w:bottom w:val="single" w:sz="4" w:space="0" w:color="auto"/>
              <w:right w:val="single" w:sz="4" w:space="0" w:color="auto"/>
            </w:tcBorders>
            <w:tcMar>
              <w:left w:w="28" w:type="dxa"/>
              <w:right w:w="28" w:type="dxa"/>
            </w:tcMar>
            <w:hideMark/>
          </w:tcPr>
          <w:p w:rsidR="00FB694D" w:rsidRPr="00534C5B" w:rsidRDefault="00FB694D" w:rsidP="004869D0">
            <w:pPr>
              <w:rPr>
                <w:rFonts w:ascii="Arial Narrow" w:hAnsi="Arial Narrow"/>
                <w:sz w:val="18"/>
                <w:szCs w:val="18"/>
              </w:rPr>
            </w:pPr>
            <w:r w:rsidRPr="00534C5B">
              <w:rPr>
                <w:rFonts w:ascii="Arial Narrow" w:hAnsi="Arial Narrow"/>
                <w:sz w:val="18"/>
                <w:szCs w:val="18"/>
              </w:rPr>
              <w:fldChar w:fldCharType="begin">
                <w:ffData>
                  <w:name w:val="Check5"/>
                  <w:enabled/>
                  <w:calcOnExit w:val="0"/>
                  <w:checkBox>
                    <w:sizeAuto/>
                    <w:default w:val="1"/>
                  </w:checkBox>
                </w:ffData>
              </w:fldChar>
            </w:r>
            <w:r w:rsidRPr="00534C5B">
              <w:rPr>
                <w:rFonts w:ascii="Arial Narrow" w:hAnsi="Arial Narrow"/>
                <w:sz w:val="18"/>
                <w:szCs w:val="18"/>
              </w:rPr>
              <w:instrText xml:space="preserve"> FORMCHECKBOX </w:instrText>
            </w:r>
            <w:r w:rsidR="00653477">
              <w:rPr>
                <w:rFonts w:ascii="Arial Narrow" w:hAnsi="Arial Narrow"/>
                <w:sz w:val="18"/>
                <w:szCs w:val="18"/>
              </w:rPr>
            </w:r>
            <w:r w:rsidR="00653477">
              <w:rPr>
                <w:rFonts w:ascii="Arial Narrow" w:hAnsi="Arial Narrow"/>
                <w:sz w:val="18"/>
                <w:szCs w:val="18"/>
              </w:rPr>
              <w:fldChar w:fldCharType="separate"/>
            </w:r>
            <w:r w:rsidRPr="00534C5B">
              <w:rPr>
                <w:rFonts w:ascii="Arial Narrow" w:hAnsi="Arial Narrow"/>
                <w:sz w:val="18"/>
                <w:szCs w:val="18"/>
              </w:rPr>
              <w:fldChar w:fldCharType="end"/>
            </w:r>
            <w:r w:rsidRPr="00534C5B">
              <w:rPr>
                <w:rFonts w:ascii="Arial Narrow" w:hAnsi="Arial Narrow"/>
                <w:sz w:val="18"/>
                <w:szCs w:val="18"/>
              </w:rPr>
              <w:t xml:space="preserve"> Authority Required (telephone)</w:t>
            </w:r>
          </w:p>
        </w:tc>
      </w:tr>
      <w:tr w:rsidR="00FB694D" w:rsidRPr="00534C5B" w:rsidTr="00FB694D">
        <w:trPr>
          <w:trHeight w:val="223"/>
        </w:trPr>
        <w:tc>
          <w:tcPr>
            <w:tcW w:w="865" w:type="pct"/>
            <w:tcBorders>
              <w:top w:val="single" w:sz="4" w:space="0" w:color="auto"/>
              <w:left w:val="single" w:sz="4" w:space="0" w:color="auto"/>
              <w:bottom w:val="single" w:sz="4" w:space="0" w:color="auto"/>
              <w:right w:val="single" w:sz="4" w:space="0" w:color="auto"/>
            </w:tcBorders>
            <w:tcMar>
              <w:left w:w="28" w:type="dxa"/>
              <w:right w:w="28" w:type="dxa"/>
            </w:tcMar>
            <w:hideMark/>
          </w:tcPr>
          <w:p w:rsidR="00FB694D" w:rsidRPr="00534C5B" w:rsidRDefault="00FB694D" w:rsidP="004869D0">
            <w:pPr>
              <w:rPr>
                <w:rFonts w:ascii="Arial Narrow" w:hAnsi="Arial Narrow"/>
                <w:b/>
                <w:sz w:val="18"/>
                <w:szCs w:val="18"/>
              </w:rPr>
            </w:pPr>
            <w:r w:rsidRPr="00534C5B">
              <w:rPr>
                <w:rFonts w:ascii="Arial Narrow" w:hAnsi="Arial Narrow"/>
                <w:b/>
                <w:sz w:val="18"/>
                <w:szCs w:val="18"/>
              </w:rPr>
              <w:t xml:space="preserve">Severity: </w:t>
            </w:r>
          </w:p>
        </w:tc>
        <w:tc>
          <w:tcPr>
            <w:tcW w:w="4135" w:type="pct"/>
            <w:tcBorders>
              <w:top w:val="single" w:sz="4" w:space="0" w:color="auto"/>
              <w:left w:val="single" w:sz="4" w:space="0" w:color="auto"/>
              <w:bottom w:val="single" w:sz="4" w:space="0" w:color="auto"/>
              <w:right w:val="single" w:sz="4" w:space="0" w:color="auto"/>
            </w:tcBorders>
            <w:tcMar>
              <w:left w:w="28" w:type="dxa"/>
              <w:right w:w="28" w:type="dxa"/>
            </w:tcMar>
            <w:hideMark/>
          </w:tcPr>
          <w:p w:rsidR="00FB694D" w:rsidRPr="00534C5B" w:rsidRDefault="00FB694D" w:rsidP="004869D0">
            <w:pPr>
              <w:rPr>
                <w:rFonts w:ascii="Arial Narrow" w:hAnsi="Arial Narrow"/>
                <w:sz w:val="18"/>
                <w:szCs w:val="18"/>
              </w:rPr>
            </w:pPr>
            <w:r w:rsidRPr="00534C5B">
              <w:rPr>
                <w:rFonts w:ascii="Arial Narrow" w:hAnsi="Arial Narrow"/>
                <w:sz w:val="18"/>
                <w:szCs w:val="18"/>
              </w:rPr>
              <w:t>Resected Stage IIIB, Stage IIIC or Stage IIID</w:t>
            </w:r>
          </w:p>
        </w:tc>
      </w:tr>
      <w:tr w:rsidR="00FB694D" w:rsidRPr="00534C5B" w:rsidTr="00FB694D">
        <w:trPr>
          <w:trHeight w:val="223"/>
        </w:trPr>
        <w:tc>
          <w:tcPr>
            <w:tcW w:w="865" w:type="pct"/>
            <w:tcBorders>
              <w:top w:val="single" w:sz="4" w:space="0" w:color="auto"/>
              <w:left w:val="single" w:sz="4" w:space="0" w:color="auto"/>
              <w:bottom w:val="single" w:sz="4" w:space="0" w:color="auto"/>
              <w:right w:val="single" w:sz="4" w:space="0" w:color="auto"/>
            </w:tcBorders>
            <w:tcMar>
              <w:left w:w="28" w:type="dxa"/>
              <w:right w:w="28" w:type="dxa"/>
            </w:tcMar>
            <w:hideMark/>
          </w:tcPr>
          <w:p w:rsidR="00FB694D" w:rsidRPr="00534C5B" w:rsidRDefault="00FB694D" w:rsidP="004869D0">
            <w:pPr>
              <w:rPr>
                <w:rFonts w:ascii="Arial Narrow" w:hAnsi="Arial Narrow"/>
                <w:b/>
                <w:sz w:val="18"/>
                <w:szCs w:val="18"/>
              </w:rPr>
            </w:pPr>
            <w:r w:rsidRPr="00534C5B">
              <w:rPr>
                <w:rFonts w:ascii="Arial Narrow" w:hAnsi="Arial Narrow"/>
                <w:b/>
                <w:sz w:val="18"/>
                <w:szCs w:val="18"/>
              </w:rPr>
              <w:t>Condition:</w:t>
            </w:r>
          </w:p>
        </w:tc>
        <w:tc>
          <w:tcPr>
            <w:tcW w:w="4135" w:type="pct"/>
            <w:tcBorders>
              <w:top w:val="single" w:sz="4" w:space="0" w:color="auto"/>
              <w:left w:val="single" w:sz="4" w:space="0" w:color="auto"/>
              <w:bottom w:val="single" w:sz="4" w:space="0" w:color="auto"/>
              <w:right w:val="single" w:sz="4" w:space="0" w:color="auto"/>
            </w:tcBorders>
            <w:tcMar>
              <w:left w:w="28" w:type="dxa"/>
              <w:right w:w="28" w:type="dxa"/>
            </w:tcMar>
            <w:hideMark/>
          </w:tcPr>
          <w:p w:rsidR="00FB694D" w:rsidRPr="00534C5B" w:rsidRDefault="00FB694D" w:rsidP="004869D0">
            <w:pPr>
              <w:rPr>
                <w:rFonts w:ascii="Arial Narrow" w:hAnsi="Arial Narrow"/>
                <w:sz w:val="18"/>
                <w:szCs w:val="18"/>
              </w:rPr>
            </w:pPr>
            <w:r w:rsidRPr="00534C5B">
              <w:rPr>
                <w:rFonts w:ascii="Arial Narrow" w:hAnsi="Arial Narrow"/>
                <w:sz w:val="18"/>
                <w:szCs w:val="18"/>
              </w:rPr>
              <w:t>Malignant melanoma</w:t>
            </w:r>
          </w:p>
        </w:tc>
      </w:tr>
      <w:tr w:rsidR="00FB694D" w:rsidRPr="00534C5B" w:rsidTr="00FB694D">
        <w:trPr>
          <w:trHeight w:val="127"/>
        </w:trPr>
        <w:tc>
          <w:tcPr>
            <w:tcW w:w="865" w:type="pct"/>
            <w:tcBorders>
              <w:top w:val="single" w:sz="4" w:space="0" w:color="auto"/>
              <w:left w:val="single" w:sz="4" w:space="0" w:color="auto"/>
              <w:bottom w:val="single" w:sz="4" w:space="0" w:color="auto"/>
              <w:right w:val="single" w:sz="4" w:space="0" w:color="auto"/>
            </w:tcBorders>
            <w:tcMar>
              <w:left w:w="28" w:type="dxa"/>
              <w:right w:w="28" w:type="dxa"/>
            </w:tcMar>
            <w:hideMark/>
          </w:tcPr>
          <w:p w:rsidR="00FB694D" w:rsidRPr="00534C5B" w:rsidRDefault="00FB694D" w:rsidP="004869D0">
            <w:pPr>
              <w:rPr>
                <w:rFonts w:ascii="Arial Narrow" w:hAnsi="Arial Narrow"/>
                <w:b/>
                <w:sz w:val="18"/>
                <w:szCs w:val="18"/>
              </w:rPr>
            </w:pPr>
            <w:r w:rsidRPr="00534C5B">
              <w:rPr>
                <w:rFonts w:ascii="Arial Narrow" w:hAnsi="Arial Narrow"/>
                <w:b/>
                <w:sz w:val="18"/>
                <w:szCs w:val="18"/>
              </w:rPr>
              <w:t>Treatment phase:</w:t>
            </w:r>
          </w:p>
        </w:tc>
        <w:tc>
          <w:tcPr>
            <w:tcW w:w="4135" w:type="pct"/>
            <w:tcBorders>
              <w:top w:val="single" w:sz="4" w:space="0" w:color="auto"/>
              <w:left w:val="single" w:sz="4" w:space="0" w:color="auto"/>
              <w:bottom w:val="single" w:sz="4" w:space="0" w:color="auto"/>
              <w:right w:val="single" w:sz="4" w:space="0" w:color="auto"/>
            </w:tcBorders>
            <w:tcMar>
              <w:left w:w="28" w:type="dxa"/>
              <w:right w:w="28" w:type="dxa"/>
            </w:tcMar>
            <w:hideMark/>
          </w:tcPr>
          <w:p w:rsidR="00FB694D" w:rsidRPr="00534C5B" w:rsidRDefault="00FB694D" w:rsidP="004869D0">
            <w:pPr>
              <w:rPr>
                <w:rFonts w:ascii="Arial Narrow" w:hAnsi="Arial Narrow"/>
                <w:sz w:val="18"/>
                <w:szCs w:val="18"/>
              </w:rPr>
            </w:pPr>
            <w:r w:rsidRPr="00534C5B">
              <w:rPr>
                <w:rFonts w:ascii="Arial Narrow" w:hAnsi="Arial Narrow"/>
                <w:sz w:val="18"/>
                <w:szCs w:val="18"/>
              </w:rPr>
              <w:t>Grandfathered treatment</w:t>
            </w:r>
          </w:p>
        </w:tc>
      </w:tr>
      <w:tr w:rsidR="00FB694D" w:rsidRPr="00534C5B" w:rsidTr="007E0D23">
        <w:trPr>
          <w:trHeight w:val="2380"/>
        </w:trPr>
        <w:tc>
          <w:tcPr>
            <w:tcW w:w="865" w:type="pct"/>
            <w:tcBorders>
              <w:top w:val="single" w:sz="4" w:space="0" w:color="auto"/>
              <w:left w:val="single" w:sz="4" w:space="0" w:color="auto"/>
              <w:bottom w:val="single" w:sz="4" w:space="0" w:color="auto"/>
              <w:right w:val="single" w:sz="4" w:space="0" w:color="auto"/>
            </w:tcBorders>
            <w:tcMar>
              <w:left w:w="28" w:type="dxa"/>
              <w:right w:w="28" w:type="dxa"/>
            </w:tcMar>
          </w:tcPr>
          <w:p w:rsidR="00FB694D" w:rsidRPr="00534C5B" w:rsidRDefault="00FB694D" w:rsidP="004869D0">
            <w:pPr>
              <w:rPr>
                <w:rFonts w:ascii="Arial Narrow" w:hAnsi="Arial Narrow"/>
                <w:b/>
                <w:sz w:val="18"/>
                <w:szCs w:val="18"/>
              </w:rPr>
            </w:pPr>
            <w:r w:rsidRPr="00534C5B">
              <w:rPr>
                <w:rFonts w:ascii="Arial Narrow" w:hAnsi="Arial Narrow"/>
                <w:b/>
                <w:sz w:val="18"/>
                <w:szCs w:val="18"/>
              </w:rPr>
              <w:t>Clinical criteria:</w:t>
            </w:r>
          </w:p>
          <w:p w:rsidR="00FB694D" w:rsidRPr="00534C5B" w:rsidRDefault="00FB694D" w:rsidP="004869D0">
            <w:pPr>
              <w:rPr>
                <w:rFonts w:ascii="Arial Narrow" w:hAnsi="Arial Narrow"/>
                <w:sz w:val="18"/>
                <w:szCs w:val="18"/>
              </w:rPr>
            </w:pPr>
          </w:p>
        </w:tc>
        <w:tc>
          <w:tcPr>
            <w:tcW w:w="4135" w:type="pct"/>
            <w:tcBorders>
              <w:top w:val="single" w:sz="4" w:space="0" w:color="auto"/>
              <w:left w:val="single" w:sz="4" w:space="0" w:color="auto"/>
              <w:bottom w:val="single" w:sz="4" w:space="0" w:color="auto"/>
              <w:right w:val="single" w:sz="4" w:space="0" w:color="auto"/>
            </w:tcBorders>
            <w:tcMar>
              <w:left w:w="28" w:type="dxa"/>
              <w:right w:w="28" w:type="dxa"/>
            </w:tcMar>
            <w:hideMark/>
          </w:tcPr>
          <w:p w:rsidR="00FB694D" w:rsidRPr="00534C5B" w:rsidRDefault="00FB694D" w:rsidP="004869D0">
            <w:pPr>
              <w:rPr>
                <w:rFonts w:ascii="Arial Narrow" w:hAnsi="Arial Narrow"/>
                <w:sz w:val="18"/>
                <w:szCs w:val="18"/>
              </w:rPr>
            </w:pPr>
            <w:r w:rsidRPr="00534C5B">
              <w:rPr>
                <w:rFonts w:ascii="Arial Narrow" w:hAnsi="Arial Narrow"/>
                <w:sz w:val="18"/>
                <w:szCs w:val="18"/>
              </w:rPr>
              <w:t>Patient must have previously received non-PBS subsidised drug for adjuvant treatment following complete surgical resection</w:t>
            </w:r>
            <w:r w:rsidRPr="00534C5B">
              <w:rPr>
                <w:rFonts w:ascii="Arial Narrow" w:hAnsi="Arial Narrow"/>
                <w:i/>
                <w:sz w:val="18"/>
                <w:szCs w:val="18"/>
              </w:rPr>
              <w:t xml:space="preserve"> </w:t>
            </w:r>
            <w:r w:rsidRPr="00534C5B">
              <w:rPr>
                <w:rFonts w:ascii="Arial Narrow" w:hAnsi="Arial Narrow"/>
                <w:sz w:val="18"/>
                <w:szCs w:val="18"/>
              </w:rPr>
              <w:t>prior to [list date]</w:t>
            </w:r>
          </w:p>
          <w:p w:rsidR="00FB694D" w:rsidRPr="00534C5B" w:rsidRDefault="00FB694D" w:rsidP="004869D0">
            <w:pPr>
              <w:rPr>
                <w:rFonts w:ascii="Arial Narrow" w:hAnsi="Arial Narrow"/>
                <w:sz w:val="18"/>
                <w:szCs w:val="18"/>
              </w:rPr>
            </w:pPr>
            <w:r w:rsidRPr="00534C5B">
              <w:rPr>
                <w:rFonts w:ascii="Arial Narrow" w:hAnsi="Arial Narrow"/>
                <w:sz w:val="18"/>
                <w:szCs w:val="18"/>
              </w:rPr>
              <w:t>AND</w:t>
            </w:r>
          </w:p>
          <w:p w:rsidR="00FB694D" w:rsidRPr="00534C5B" w:rsidRDefault="00FB694D" w:rsidP="004869D0">
            <w:pPr>
              <w:rPr>
                <w:rFonts w:ascii="Arial Narrow" w:hAnsi="Arial Narrow"/>
                <w:sz w:val="18"/>
                <w:szCs w:val="18"/>
              </w:rPr>
            </w:pPr>
            <w:r w:rsidRPr="00534C5B">
              <w:rPr>
                <w:rFonts w:ascii="Arial Narrow" w:hAnsi="Arial Narrow"/>
                <w:sz w:val="18"/>
                <w:szCs w:val="18"/>
              </w:rPr>
              <w:t>The condition must be positive for a BRAF V600 mutation</w:t>
            </w:r>
          </w:p>
          <w:p w:rsidR="00FB694D" w:rsidRPr="00534C5B" w:rsidRDefault="00FB694D" w:rsidP="004869D0">
            <w:pPr>
              <w:rPr>
                <w:rFonts w:ascii="Arial Narrow" w:hAnsi="Arial Narrow"/>
                <w:sz w:val="18"/>
                <w:szCs w:val="18"/>
              </w:rPr>
            </w:pPr>
            <w:r w:rsidRPr="00534C5B">
              <w:rPr>
                <w:rFonts w:ascii="Arial Narrow" w:hAnsi="Arial Narrow"/>
                <w:sz w:val="18"/>
                <w:szCs w:val="18"/>
              </w:rPr>
              <w:t>AND</w:t>
            </w:r>
          </w:p>
          <w:p w:rsidR="00FB694D" w:rsidRPr="00534C5B" w:rsidRDefault="00FB694D" w:rsidP="004869D0">
            <w:pPr>
              <w:rPr>
                <w:rFonts w:ascii="Arial Narrow" w:hAnsi="Arial Narrow"/>
                <w:sz w:val="18"/>
                <w:szCs w:val="18"/>
              </w:rPr>
            </w:pPr>
            <w:r w:rsidRPr="00534C5B">
              <w:rPr>
                <w:rFonts w:ascii="Arial Narrow" w:hAnsi="Arial Narrow"/>
                <w:sz w:val="18"/>
                <w:szCs w:val="18"/>
              </w:rPr>
              <w:t>Patient must have a WHO performance status of 1 or less</w:t>
            </w:r>
          </w:p>
          <w:p w:rsidR="00FB694D" w:rsidRPr="00534C5B" w:rsidRDefault="00FB694D" w:rsidP="004869D0">
            <w:pPr>
              <w:rPr>
                <w:rFonts w:ascii="Arial Narrow" w:hAnsi="Arial Narrow"/>
                <w:sz w:val="18"/>
                <w:szCs w:val="18"/>
              </w:rPr>
            </w:pPr>
            <w:r w:rsidRPr="00534C5B">
              <w:rPr>
                <w:rFonts w:ascii="Arial Narrow" w:hAnsi="Arial Narrow"/>
                <w:sz w:val="18"/>
                <w:szCs w:val="18"/>
              </w:rPr>
              <w:t>AND</w:t>
            </w:r>
          </w:p>
          <w:p w:rsidR="00FB694D" w:rsidRPr="00534C5B" w:rsidRDefault="00FB694D" w:rsidP="004869D0">
            <w:pPr>
              <w:rPr>
                <w:rFonts w:ascii="Arial Narrow" w:hAnsi="Arial Narrow"/>
                <w:sz w:val="18"/>
                <w:szCs w:val="18"/>
              </w:rPr>
            </w:pPr>
            <w:r w:rsidRPr="00534C5B">
              <w:rPr>
                <w:rFonts w:ascii="Arial Narrow" w:hAnsi="Arial Narrow"/>
                <w:sz w:val="18"/>
                <w:szCs w:val="18"/>
              </w:rPr>
              <w:t xml:space="preserve">The patient must not have evidence of recurrence </w:t>
            </w:r>
          </w:p>
          <w:p w:rsidR="00FB694D" w:rsidRPr="00534C5B" w:rsidRDefault="00FB694D" w:rsidP="004869D0">
            <w:pPr>
              <w:rPr>
                <w:rFonts w:ascii="Arial Narrow" w:hAnsi="Arial Narrow"/>
                <w:sz w:val="18"/>
                <w:szCs w:val="18"/>
              </w:rPr>
            </w:pPr>
            <w:r w:rsidRPr="00534C5B">
              <w:rPr>
                <w:rFonts w:ascii="Arial Narrow" w:hAnsi="Arial Narrow"/>
                <w:sz w:val="18"/>
                <w:szCs w:val="18"/>
              </w:rPr>
              <w:t>AND</w:t>
            </w:r>
          </w:p>
          <w:p w:rsidR="00FB694D" w:rsidRPr="00534C5B" w:rsidRDefault="00FB694D" w:rsidP="004869D0">
            <w:pPr>
              <w:rPr>
                <w:rFonts w:ascii="Arial Narrow" w:hAnsi="Arial Narrow"/>
                <w:sz w:val="18"/>
                <w:szCs w:val="18"/>
              </w:rPr>
            </w:pPr>
            <w:r w:rsidRPr="00534C5B">
              <w:rPr>
                <w:rFonts w:ascii="Arial Narrow" w:hAnsi="Arial Narrow"/>
                <w:sz w:val="18"/>
                <w:szCs w:val="18"/>
              </w:rPr>
              <w:t xml:space="preserve">Patient must be receiving PBS-subsidised trametinib and dabrafenib concomitantly for this condition </w:t>
            </w:r>
          </w:p>
          <w:p w:rsidR="00FB694D" w:rsidRPr="00534C5B" w:rsidRDefault="00FB694D" w:rsidP="004869D0">
            <w:pPr>
              <w:rPr>
                <w:rFonts w:ascii="Arial Narrow" w:hAnsi="Arial Narrow"/>
                <w:sz w:val="18"/>
                <w:szCs w:val="18"/>
              </w:rPr>
            </w:pPr>
            <w:r w:rsidRPr="00534C5B">
              <w:rPr>
                <w:rFonts w:ascii="Arial Narrow" w:hAnsi="Arial Narrow"/>
                <w:sz w:val="18"/>
                <w:szCs w:val="18"/>
              </w:rPr>
              <w:t>AND</w:t>
            </w:r>
          </w:p>
          <w:p w:rsidR="00FB694D" w:rsidRPr="00534C5B" w:rsidRDefault="00FB694D" w:rsidP="004869D0">
            <w:pPr>
              <w:rPr>
                <w:rFonts w:ascii="Arial Narrow" w:hAnsi="Arial Narrow"/>
                <w:sz w:val="18"/>
                <w:szCs w:val="18"/>
              </w:rPr>
            </w:pPr>
            <w:r w:rsidRPr="00534C5B">
              <w:rPr>
                <w:rFonts w:ascii="Arial Narrow" w:hAnsi="Arial Narrow"/>
                <w:sz w:val="18"/>
                <w:szCs w:val="18"/>
              </w:rPr>
              <w:t>Patient must not have received prior PBS-subsidised treatment for this condition.</w:t>
            </w:r>
          </w:p>
        </w:tc>
      </w:tr>
      <w:tr w:rsidR="00FB694D" w:rsidRPr="00534C5B" w:rsidTr="00FB694D">
        <w:trPr>
          <w:trHeight w:val="1052"/>
        </w:trPr>
        <w:tc>
          <w:tcPr>
            <w:tcW w:w="865" w:type="pct"/>
            <w:tcBorders>
              <w:top w:val="single" w:sz="4" w:space="0" w:color="auto"/>
              <w:left w:val="single" w:sz="4" w:space="0" w:color="auto"/>
              <w:bottom w:val="single" w:sz="4" w:space="0" w:color="auto"/>
              <w:right w:val="single" w:sz="4" w:space="0" w:color="auto"/>
            </w:tcBorders>
            <w:tcMar>
              <w:left w:w="28" w:type="dxa"/>
              <w:right w:w="28" w:type="dxa"/>
            </w:tcMar>
            <w:hideMark/>
          </w:tcPr>
          <w:p w:rsidR="00FB694D" w:rsidRPr="00534C5B" w:rsidRDefault="00FB694D" w:rsidP="004869D0">
            <w:pPr>
              <w:rPr>
                <w:rFonts w:ascii="Arial Narrow" w:hAnsi="Arial Narrow"/>
                <w:b/>
                <w:sz w:val="18"/>
                <w:szCs w:val="18"/>
              </w:rPr>
            </w:pPr>
            <w:r w:rsidRPr="00534C5B">
              <w:rPr>
                <w:rFonts w:ascii="Arial Narrow" w:hAnsi="Arial Narrow"/>
                <w:b/>
                <w:sz w:val="18"/>
                <w:szCs w:val="18"/>
              </w:rPr>
              <w:t>Treatment criteria:</w:t>
            </w:r>
          </w:p>
        </w:tc>
        <w:tc>
          <w:tcPr>
            <w:tcW w:w="4135" w:type="pct"/>
            <w:tcBorders>
              <w:top w:val="single" w:sz="4" w:space="0" w:color="auto"/>
              <w:left w:val="single" w:sz="4" w:space="0" w:color="auto"/>
              <w:bottom w:val="single" w:sz="4" w:space="0" w:color="auto"/>
              <w:right w:val="single" w:sz="4" w:space="0" w:color="auto"/>
            </w:tcBorders>
            <w:tcMar>
              <w:left w:w="28" w:type="dxa"/>
              <w:right w:w="28" w:type="dxa"/>
            </w:tcMar>
            <w:hideMark/>
          </w:tcPr>
          <w:p w:rsidR="00FB694D" w:rsidRPr="00534C5B" w:rsidRDefault="00FB694D" w:rsidP="004869D0">
            <w:pPr>
              <w:rPr>
                <w:rFonts w:ascii="Arial Narrow" w:hAnsi="Arial Narrow"/>
                <w:sz w:val="18"/>
                <w:szCs w:val="18"/>
              </w:rPr>
            </w:pPr>
            <w:r w:rsidRPr="00534C5B">
              <w:rPr>
                <w:rFonts w:ascii="Arial Narrow" w:hAnsi="Arial Narrow"/>
                <w:sz w:val="18"/>
                <w:szCs w:val="18"/>
              </w:rPr>
              <w:t>Non-PBS subsidised treatment must have commenced within 12 weeks of complete surgical resection</w:t>
            </w:r>
            <w:r w:rsidRPr="00534C5B">
              <w:rPr>
                <w:rFonts w:ascii="Arial Narrow" w:hAnsi="Arial Narrow"/>
                <w:strike/>
                <w:sz w:val="18"/>
                <w:szCs w:val="18"/>
              </w:rPr>
              <w:t>, unless delay is necessary due to post-surgery recovery</w:t>
            </w:r>
            <w:r w:rsidRPr="00534C5B">
              <w:rPr>
                <w:rFonts w:ascii="Arial Narrow" w:hAnsi="Arial Narrow"/>
                <w:sz w:val="18"/>
                <w:szCs w:val="18"/>
              </w:rPr>
              <w:t>,</w:t>
            </w:r>
          </w:p>
          <w:p w:rsidR="00FB694D" w:rsidRPr="00534C5B" w:rsidRDefault="00FB694D" w:rsidP="004869D0">
            <w:pPr>
              <w:rPr>
                <w:rFonts w:ascii="Arial Narrow" w:hAnsi="Arial Narrow"/>
                <w:sz w:val="18"/>
                <w:szCs w:val="18"/>
              </w:rPr>
            </w:pPr>
            <w:r w:rsidRPr="00534C5B">
              <w:rPr>
                <w:rFonts w:ascii="Arial Narrow" w:hAnsi="Arial Narrow"/>
                <w:sz w:val="18"/>
                <w:szCs w:val="18"/>
              </w:rPr>
              <w:t>AND</w:t>
            </w:r>
          </w:p>
          <w:p w:rsidR="00FB694D" w:rsidRPr="00534C5B" w:rsidRDefault="00FB694D" w:rsidP="004869D0">
            <w:pPr>
              <w:rPr>
                <w:rFonts w:ascii="Arial Narrow" w:hAnsi="Arial Narrow"/>
                <w:strike/>
                <w:sz w:val="18"/>
                <w:szCs w:val="18"/>
              </w:rPr>
            </w:pPr>
            <w:r w:rsidRPr="00534C5B">
              <w:rPr>
                <w:rFonts w:ascii="Arial Narrow" w:hAnsi="Arial Narrow"/>
                <w:strike/>
                <w:sz w:val="18"/>
                <w:szCs w:val="18"/>
              </w:rPr>
              <w:t>Treatment must not exceed a maximum duration of 12 months for adjuvant treatment of completely resected Stage IIIB, IIIC or IIID melanoma</w:t>
            </w:r>
          </w:p>
          <w:p w:rsidR="008B20C6" w:rsidRPr="00534C5B" w:rsidRDefault="008B20C6" w:rsidP="004869D0">
            <w:pPr>
              <w:rPr>
                <w:rFonts w:ascii="Arial Narrow" w:hAnsi="Arial Narrow"/>
                <w:i/>
                <w:sz w:val="18"/>
                <w:szCs w:val="18"/>
              </w:rPr>
            </w:pPr>
            <w:r w:rsidRPr="00534C5B">
              <w:rPr>
                <w:rFonts w:ascii="Arial Narrow" w:hAnsi="Arial Narrow"/>
                <w:i/>
                <w:color w:val="333333"/>
                <w:sz w:val="18"/>
                <w:szCs w:val="18"/>
              </w:rPr>
              <w:t>Patient must not receive more than 12 months of combined PBS-subsidised and non-PBS subsidised adjuvant therapy</w:t>
            </w:r>
          </w:p>
        </w:tc>
      </w:tr>
      <w:tr w:rsidR="00FB694D" w:rsidRPr="00534C5B" w:rsidTr="00FB694D">
        <w:trPr>
          <w:trHeight w:val="305"/>
        </w:trPr>
        <w:tc>
          <w:tcPr>
            <w:tcW w:w="865" w:type="pct"/>
            <w:tcBorders>
              <w:top w:val="single" w:sz="4" w:space="0" w:color="auto"/>
              <w:left w:val="single" w:sz="4" w:space="0" w:color="auto"/>
              <w:bottom w:val="single" w:sz="4" w:space="0" w:color="auto"/>
              <w:right w:val="single" w:sz="4" w:space="0" w:color="auto"/>
            </w:tcBorders>
            <w:tcMar>
              <w:left w:w="28" w:type="dxa"/>
              <w:right w:w="28" w:type="dxa"/>
            </w:tcMar>
            <w:hideMark/>
          </w:tcPr>
          <w:p w:rsidR="00FB694D" w:rsidRPr="00534C5B" w:rsidRDefault="00FB694D" w:rsidP="004869D0">
            <w:pPr>
              <w:rPr>
                <w:rFonts w:ascii="Arial Narrow" w:hAnsi="Arial Narrow"/>
                <w:b/>
                <w:sz w:val="18"/>
                <w:szCs w:val="18"/>
              </w:rPr>
            </w:pPr>
            <w:r w:rsidRPr="00534C5B">
              <w:rPr>
                <w:rFonts w:ascii="Arial Narrow" w:hAnsi="Arial Narrow"/>
                <w:b/>
                <w:sz w:val="18"/>
                <w:szCs w:val="18"/>
              </w:rPr>
              <w:t>Notes:</w:t>
            </w:r>
          </w:p>
        </w:tc>
        <w:tc>
          <w:tcPr>
            <w:tcW w:w="4135" w:type="pct"/>
            <w:tcBorders>
              <w:top w:val="single" w:sz="4" w:space="0" w:color="auto"/>
              <w:left w:val="single" w:sz="4" w:space="0" w:color="auto"/>
              <w:bottom w:val="single" w:sz="4" w:space="0" w:color="auto"/>
              <w:right w:val="single" w:sz="4" w:space="0" w:color="auto"/>
            </w:tcBorders>
            <w:tcMar>
              <w:left w:w="28" w:type="dxa"/>
              <w:right w:w="28" w:type="dxa"/>
            </w:tcMar>
            <w:hideMark/>
          </w:tcPr>
          <w:p w:rsidR="00FB694D" w:rsidRPr="00534C5B" w:rsidRDefault="00FB694D" w:rsidP="00FB694D">
            <w:pPr>
              <w:numPr>
                <w:ilvl w:val="0"/>
                <w:numId w:val="26"/>
              </w:numPr>
              <w:spacing w:after="160" w:line="259" w:lineRule="auto"/>
              <w:rPr>
                <w:rFonts w:ascii="Arial Narrow" w:hAnsi="Arial Narrow"/>
                <w:sz w:val="18"/>
                <w:szCs w:val="18"/>
              </w:rPr>
            </w:pPr>
            <w:r w:rsidRPr="00534C5B">
              <w:rPr>
                <w:rFonts w:ascii="Arial Narrow" w:hAnsi="Arial Narrow"/>
                <w:sz w:val="18"/>
                <w:szCs w:val="18"/>
              </w:rPr>
              <w:t>No increase in the maximum quantity or number of units or number of repeats will be authorised.</w:t>
            </w:r>
          </w:p>
          <w:p w:rsidR="00FB694D" w:rsidRPr="00534C5B" w:rsidRDefault="00FB694D" w:rsidP="00FB694D">
            <w:pPr>
              <w:numPr>
                <w:ilvl w:val="0"/>
                <w:numId w:val="26"/>
              </w:numPr>
              <w:rPr>
                <w:rFonts w:ascii="Arial Narrow" w:hAnsi="Arial Narrow"/>
                <w:sz w:val="18"/>
                <w:szCs w:val="18"/>
              </w:rPr>
            </w:pPr>
            <w:r w:rsidRPr="00534C5B">
              <w:rPr>
                <w:rFonts w:ascii="Arial Narrow" w:hAnsi="Arial Narrow"/>
                <w:sz w:val="18"/>
                <w:szCs w:val="18"/>
              </w:rPr>
              <w:t>Special Pricing Arrangements apply.</w:t>
            </w:r>
          </w:p>
        </w:tc>
      </w:tr>
    </w:tbl>
    <w:p w:rsidR="00FB694D" w:rsidRPr="00534C5B" w:rsidRDefault="00FB694D" w:rsidP="00FB694D">
      <w:pPr>
        <w:rPr>
          <w:rFonts w:ascii="Arial Narrow" w:hAnsi="Arial Narrow"/>
          <w:i/>
        </w:rPr>
      </w:pPr>
    </w:p>
    <w:p w:rsidR="00AD567A" w:rsidRPr="00534C5B" w:rsidRDefault="00E76635" w:rsidP="007E0D23">
      <w:pPr>
        <w:jc w:val="both"/>
        <w:rPr>
          <w:rFonts w:asciiTheme="minorHAnsi" w:hAnsiTheme="minorHAnsi" w:cstheme="minorHAnsi"/>
          <w:u w:val="single"/>
        </w:rPr>
      </w:pPr>
      <w:r w:rsidRPr="00534C5B">
        <w:rPr>
          <w:rFonts w:asciiTheme="minorHAnsi" w:hAnsiTheme="minorHAnsi" w:cstheme="minorHAnsi"/>
          <w:u w:val="single"/>
        </w:rPr>
        <w:t>For f</w:t>
      </w:r>
      <w:r w:rsidR="00AD567A" w:rsidRPr="00534C5B">
        <w:rPr>
          <w:rFonts w:asciiTheme="minorHAnsi" w:hAnsiTheme="minorHAnsi" w:cstheme="minorHAnsi"/>
          <w:u w:val="single"/>
        </w:rPr>
        <w:t>low-on changes to nivolumab</w:t>
      </w:r>
      <w:r w:rsidRPr="00534C5B">
        <w:rPr>
          <w:rFonts w:asciiTheme="minorHAnsi" w:hAnsiTheme="minorHAnsi" w:cstheme="minorHAnsi"/>
          <w:u w:val="single"/>
        </w:rPr>
        <w:t xml:space="preserve">, pembrolizumab and BRAF inhibitor (dabrafenib, vemurafenib; encorafenib recommendation from November 2018) </w:t>
      </w:r>
      <w:r w:rsidR="00AD567A" w:rsidRPr="00534C5B">
        <w:rPr>
          <w:rFonts w:asciiTheme="minorHAnsi" w:hAnsiTheme="minorHAnsi" w:cstheme="minorHAnsi"/>
          <w:u w:val="single"/>
        </w:rPr>
        <w:t xml:space="preserve"> restrictions in unresectable Stage III or Stage IV disease:</w:t>
      </w:r>
    </w:p>
    <w:p w:rsidR="00AD567A" w:rsidRPr="00534C5B" w:rsidRDefault="00AD567A" w:rsidP="00AD567A">
      <w:pPr>
        <w:rPr>
          <w:rFonts w:asciiTheme="minorHAnsi" w:hAnsiTheme="minorHAnsi" w:cstheme="minorHAnsi"/>
          <w:u w:val="single"/>
        </w:rPr>
      </w:pPr>
    </w:p>
    <w:p w:rsidR="00AD567A" w:rsidRPr="00534C5B" w:rsidRDefault="00AD567A" w:rsidP="00E76635">
      <w:pPr>
        <w:pStyle w:val="ListParagraph"/>
        <w:numPr>
          <w:ilvl w:val="0"/>
          <w:numId w:val="25"/>
        </w:numPr>
        <w:ind w:left="357" w:hanging="357"/>
        <w:rPr>
          <w:rFonts w:asciiTheme="minorHAnsi" w:hAnsiTheme="minorHAnsi" w:cstheme="minorHAnsi"/>
          <w:sz w:val="24"/>
          <w:szCs w:val="24"/>
        </w:rPr>
      </w:pPr>
      <w:r w:rsidRPr="00534C5B">
        <w:rPr>
          <w:rFonts w:asciiTheme="minorHAnsi" w:hAnsiTheme="minorHAnsi" w:cstheme="minorHAnsi"/>
          <w:sz w:val="24"/>
          <w:szCs w:val="24"/>
        </w:rPr>
        <w:t>See restrictions in agenda item 7.07 of this meeting.</w:t>
      </w:r>
    </w:p>
    <w:p w:rsidR="00AD567A" w:rsidRPr="00534C5B" w:rsidRDefault="00AD567A" w:rsidP="00AD567A">
      <w:pPr>
        <w:rPr>
          <w:rFonts w:asciiTheme="minorHAnsi" w:hAnsiTheme="minorHAnsi" w:cstheme="minorHAnsi"/>
        </w:rPr>
      </w:pPr>
    </w:p>
    <w:p w:rsidR="00AF0867" w:rsidRPr="0035127D" w:rsidRDefault="001C71C5" w:rsidP="00534C5B">
      <w:pPr>
        <w:jc w:val="both"/>
        <w:rPr>
          <w:rFonts w:asciiTheme="minorHAnsi" w:hAnsiTheme="minorHAnsi" w:cstheme="minorHAnsi"/>
          <w:color w:val="1F497D"/>
          <w:sz w:val="22"/>
          <w:szCs w:val="22"/>
        </w:rPr>
      </w:pPr>
      <w:r w:rsidRPr="0035127D">
        <w:rPr>
          <w:rFonts w:asciiTheme="minorHAnsi" w:hAnsiTheme="minorHAnsi" w:cstheme="minorHAnsi"/>
          <w:i/>
          <w:iCs/>
        </w:rPr>
        <w:lastRenderedPageBreak/>
        <w:t>These restrictions may be subject to further review. Should there be any changes made to the restrictions the Sponsor will be informed.</w:t>
      </w:r>
    </w:p>
    <w:p w:rsidR="00AF0867" w:rsidRDefault="00AF0867" w:rsidP="00866AE1">
      <w:pPr>
        <w:pStyle w:val="3Bodytext"/>
        <w:numPr>
          <w:ilvl w:val="0"/>
          <w:numId w:val="0"/>
        </w:numPr>
        <w:rPr>
          <w:i/>
          <w:szCs w:val="24"/>
        </w:rPr>
      </w:pPr>
    </w:p>
    <w:p w:rsidR="00E06B58" w:rsidRDefault="00E06B58" w:rsidP="00866AE1">
      <w:pPr>
        <w:pStyle w:val="3Bodytext"/>
        <w:numPr>
          <w:ilvl w:val="0"/>
          <w:numId w:val="0"/>
        </w:numPr>
        <w:rPr>
          <w:i/>
          <w:szCs w:val="24"/>
        </w:rPr>
      </w:pPr>
    </w:p>
    <w:p w:rsidR="00E06B58" w:rsidRDefault="00E06B58" w:rsidP="00E06B58">
      <w:pPr>
        <w:pStyle w:val="2Sections"/>
        <w:numPr>
          <w:ilvl w:val="0"/>
          <w:numId w:val="1"/>
        </w:numPr>
        <w:ind w:left="720"/>
        <w:rPr>
          <w:rFonts w:cstheme="minorHAnsi"/>
        </w:rPr>
      </w:pPr>
      <w:r>
        <w:t xml:space="preserve">Context for Decision </w:t>
      </w:r>
    </w:p>
    <w:p w:rsidR="00E06B58" w:rsidRPr="00161AA2" w:rsidRDefault="00161AA2" w:rsidP="00161AA2">
      <w:pPr>
        <w:spacing w:after="120" w:line="276" w:lineRule="auto"/>
        <w:jc w:val="both"/>
        <w:rPr>
          <w:rFonts w:asciiTheme="minorHAnsi" w:eastAsiaTheme="minorHAnsi" w:hAnsiTheme="minorHAnsi" w:cs="Arial"/>
          <w:bCs/>
          <w:szCs w:val="22"/>
          <w:lang w:eastAsia="en-US"/>
        </w:rPr>
      </w:pPr>
      <w:r w:rsidRPr="00161AA2">
        <w:rPr>
          <w:rFonts w:asciiTheme="minorHAnsi" w:eastAsiaTheme="minorHAnsi" w:hAnsiTheme="minorHAnsi" w:cs="Arial"/>
          <w:bCs/>
          <w:szCs w:val="22"/>
          <w:lang w:eastAsia="en-US"/>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rsidR="00E06B58" w:rsidRPr="00D53BD3" w:rsidRDefault="00E06B58" w:rsidP="00E06B58">
      <w:pPr>
        <w:pStyle w:val="2Sections"/>
        <w:numPr>
          <w:ilvl w:val="0"/>
          <w:numId w:val="1"/>
        </w:numPr>
        <w:ind w:left="720"/>
      </w:pPr>
      <w:r w:rsidRPr="00D53BD3">
        <w:t>Sponsor’s Comment</w:t>
      </w:r>
    </w:p>
    <w:p w:rsidR="00E06B58" w:rsidRPr="004F429F" w:rsidRDefault="00E06B58" w:rsidP="004F429F">
      <w:pPr>
        <w:spacing w:after="120" w:line="276" w:lineRule="auto"/>
        <w:jc w:val="both"/>
        <w:rPr>
          <w:rFonts w:asciiTheme="minorHAnsi" w:eastAsiaTheme="minorHAnsi" w:hAnsiTheme="minorHAnsi" w:cs="Arial"/>
          <w:bCs/>
          <w:szCs w:val="22"/>
          <w:lang w:eastAsia="en-US"/>
        </w:rPr>
      </w:pPr>
      <w:r w:rsidRPr="00D53BD3">
        <w:rPr>
          <w:rFonts w:asciiTheme="minorHAnsi" w:eastAsiaTheme="minorHAnsi" w:hAnsiTheme="minorHAnsi" w:cs="Arial"/>
          <w:bCs/>
          <w:szCs w:val="22"/>
          <w:lang w:eastAsia="en-US"/>
        </w:rPr>
        <w:t>The sponsor had no comment.</w:t>
      </w:r>
    </w:p>
    <w:sectPr w:rsidR="00E06B58" w:rsidRPr="004F429F" w:rsidSect="00C27B58">
      <w:headerReference w:type="even" r:id="rId9"/>
      <w:headerReference w:type="default" r:id="rId10"/>
      <w:footerReference w:type="even" r:id="rId11"/>
      <w:footerReference w:type="default" r:id="rId12"/>
      <w:headerReference w:type="first" r:id="rId13"/>
      <w:footerReference w:type="first" r:id="rId14"/>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3477" w:rsidRDefault="00653477">
      <w:r>
        <w:separator/>
      </w:r>
    </w:p>
    <w:p w:rsidR="00653477" w:rsidRDefault="00653477"/>
  </w:endnote>
  <w:endnote w:type="continuationSeparator" w:id="0">
    <w:p w:rsidR="00653477" w:rsidRDefault="00653477">
      <w:r>
        <w:continuationSeparator/>
      </w:r>
    </w:p>
    <w:p w:rsidR="00653477" w:rsidRDefault="006534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ACFFCFA" w:usb2="00000016" w:usb3="00000000" w:csb0="00100001" w:csb1="00000000"/>
  </w:font>
  <w:font w:name="Arial Bold">
    <w:altName w:val="Arial"/>
    <w:panose1 w:val="020B0704020202020204"/>
    <w:charset w:val="00"/>
    <w:family w:val="auto"/>
    <w:pitch w:val="variable"/>
    <w:sig w:usb0="E0002A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3C14DD" w:rsidTr="005A3173">
      <w:trPr>
        <w:trHeight w:val="151"/>
      </w:trPr>
      <w:tc>
        <w:tcPr>
          <w:tcW w:w="2250" w:type="pct"/>
          <w:tcBorders>
            <w:top w:val="nil"/>
            <w:left w:val="nil"/>
            <w:bottom w:val="single" w:sz="4" w:space="0" w:color="4F81BD"/>
            <w:right w:val="nil"/>
          </w:tcBorders>
        </w:tcPr>
        <w:p w:rsidR="003C14DD" w:rsidRPr="005A3173" w:rsidRDefault="003C14DD" w:rsidP="005A3173">
          <w:pPr>
            <w:pStyle w:val="Header"/>
            <w:spacing w:line="276" w:lineRule="auto"/>
            <w:rPr>
              <w:rFonts w:ascii="Calibri" w:eastAsia="MS Gothic" w:hAnsi="Calibri"/>
              <w:b/>
              <w:bCs/>
              <w:color w:val="4F81BD"/>
            </w:rPr>
          </w:pPr>
        </w:p>
      </w:tc>
      <w:tc>
        <w:tcPr>
          <w:tcW w:w="500" w:type="pct"/>
          <w:vMerge w:val="restart"/>
          <w:noWrap/>
          <w:vAlign w:val="center"/>
          <w:hideMark/>
        </w:tcPr>
        <w:p w:rsidR="003C14DD" w:rsidRPr="005A3173" w:rsidRDefault="003C14DD"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3C14DD" w:rsidRPr="005A3173" w:rsidRDefault="003C14DD" w:rsidP="005A3173">
          <w:pPr>
            <w:pStyle w:val="Header"/>
            <w:spacing w:line="276" w:lineRule="auto"/>
            <w:rPr>
              <w:rFonts w:ascii="Calibri" w:eastAsia="MS Gothic" w:hAnsi="Calibri"/>
              <w:b/>
              <w:bCs/>
              <w:color w:val="4F81BD"/>
            </w:rPr>
          </w:pPr>
        </w:p>
      </w:tc>
    </w:tr>
    <w:tr w:rsidR="003C14DD" w:rsidTr="005A3173">
      <w:trPr>
        <w:trHeight w:val="150"/>
      </w:trPr>
      <w:tc>
        <w:tcPr>
          <w:tcW w:w="2250" w:type="pct"/>
          <w:tcBorders>
            <w:top w:val="single" w:sz="4" w:space="0" w:color="4F81BD"/>
            <w:left w:val="nil"/>
            <w:bottom w:val="nil"/>
            <w:right w:val="nil"/>
          </w:tcBorders>
        </w:tcPr>
        <w:p w:rsidR="003C14DD" w:rsidRPr="005A3173" w:rsidRDefault="003C14DD" w:rsidP="005A3173">
          <w:pPr>
            <w:pStyle w:val="Header"/>
            <w:spacing w:line="276" w:lineRule="auto"/>
            <w:rPr>
              <w:rFonts w:ascii="Calibri" w:eastAsia="MS Gothic" w:hAnsi="Calibri"/>
              <w:b/>
              <w:bCs/>
              <w:color w:val="4F81BD"/>
            </w:rPr>
          </w:pPr>
        </w:p>
      </w:tc>
      <w:tc>
        <w:tcPr>
          <w:tcW w:w="0" w:type="auto"/>
          <w:vMerge/>
          <w:vAlign w:val="center"/>
          <w:hideMark/>
        </w:tcPr>
        <w:p w:rsidR="003C14DD" w:rsidRPr="005A3173" w:rsidRDefault="003C14DD" w:rsidP="005A3173">
          <w:pPr>
            <w:rPr>
              <w:rFonts w:ascii="Calibri" w:hAnsi="Calibri"/>
              <w:color w:val="365F91"/>
              <w:sz w:val="22"/>
              <w:szCs w:val="22"/>
            </w:rPr>
          </w:pPr>
        </w:p>
      </w:tc>
      <w:tc>
        <w:tcPr>
          <w:tcW w:w="2250" w:type="pct"/>
          <w:tcBorders>
            <w:top w:val="single" w:sz="4" w:space="0" w:color="4F81BD"/>
            <w:left w:val="nil"/>
            <w:bottom w:val="nil"/>
            <w:right w:val="nil"/>
          </w:tcBorders>
        </w:tcPr>
        <w:p w:rsidR="003C14DD" w:rsidRPr="005A3173" w:rsidRDefault="003C14DD" w:rsidP="005A3173">
          <w:pPr>
            <w:pStyle w:val="Header"/>
            <w:spacing w:line="276" w:lineRule="auto"/>
            <w:rPr>
              <w:rFonts w:ascii="Calibri" w:eastAsia="MS Gothic" w:hAnsi="Calibri"/>
              <w:b/>
              <w:bCs/>
              <w:color w:val="4F81BD"/>
            </w:rPr>
          </w:pPr>
        </w:p>
      </w:tc>
    </w:tr>
  </w:tbl>
  <w:p w:rsidR="003C14DD" w:rsidRDefault="003C14DD"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C14DD" w:rsidRDefault="003C14DD">
    <w:pPr>
      <w:pStyle w:val="Footer"/>
    </w:pPr>
  </w:p>
  <w:p w:rsidR="003C14DD" w:rsidRDefault="003C14DD"/>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3925608"/>
      <w:docPartObj>
        <w:docPartGallery w:val="Page Numbers (Bottom of Page)"/>
        <w:docPartUnique/>
      </w:docPartObj>
    </w:sdtPr>
    <w:sdtEndPr>
      <w:rPr>
        <w:rFonts w:asciiTheme="minorHAnsi" w:hAnsiTheme="minorHAnsi" w:cstheme="minorHAnsi"/>
        <w:b/>
        <w:noProof/>
      </w:rPr>
    </w:sdtEndPr>
    <w:sdtContent>
      <w:p w:rsidR="003C14DD" w:rsidRDefault="003C14DD">
        <w:pPr>
          <w:pStyle w:val="Footer"/>
          <w:jc w:val="center"/>
        </w:pPr>
      </w:p>
      <w:p w:rsidR="003C14DD" w:rsidRPr="00FC709D" w:rsidRDefault="003C14DD">
        <w:pPr>
          <w:pStyle w:val="Footer"/>
          <w:jc w:val="center"/>
          <w:rPr>
            <w:rFonts w:asciiTheme="minorHAnsi" w:hAnsiTheme="minorHAnsi" w:cstheme="minorHAnsi"/>
            <w:b/>
          </w:rPr>
        </w:pPr>
        <w:r w:rsidRPr="00FC709D">
          <w:rPr>
            <w:rFonts w:asciiTheme="minorHAnsi" w:hAnsiTheme="minorHAnsi" w:cstheme="minorHAnsi"/>
            <w:b/>
          </w:rPr>
          <w:fldChar w:fldCharType="begin"/>
        </w:r>
        <w:r w:rsidRPr="00FC709D">
          <w:rPr>
            <w:rFonts w:asciiTheme="minorHAnsi" w:hAnsiTheme="minorHAnsi" w:cstheme="minorHAnsi"/>
            <w:b/>
          </w:rPr>
          <w:instrText xml:space="preserve"> PAGE   \* MERGEFORMAT </w:instrText>
        </w:r>
        <w:r w:rsidRPr="00FC709D">
          <w:rPr>
            <w:rFonts w:asciiTheme="minorHAnsi" w:hAnsiTheme="minorHAnsi" w:cstheme="minorHAnsi"/>
            <w:b/>
          </w:rPr>
          <w:fldChar w:fldCharType="separate"/>
        </w:r>
        <w:r w:rsidR="00653477">
          <w:rPr>
            <w:rFonts w:asciiTheme="minorHAnsi" w:hAnsiTheme="minorHAnsi" w:cstheme="minorHAnsi"/>
            <w:b/>
            <w:noProof/>
          </w:rPr>
          <w:t>24</w:t>
        </w:r>
        <w:r w:rsidRPr="00FC709D">
          <w:rPr>
            <w:rFonts w:asciiTheme="minorHAnsi" w:hAnsiTheme="minorHAnsi" w:cstheme="minorHAnsi"/>
            <w:b/>
            <w:noProof/>
          </w:rPr>
          <w:fldChar w:fldCharType="end"/>
        </w:r>
      </w:p>
    </w:sdtContent>
  </w:sdt>
  <w:p w:rsidR="003C14DD" w:rsidRDefault="003C14DD" w:rsidP="00E27234">
    <w:pPr>
      <w:pStyle w:val="PBACFooter"/>
      <w:rPr>
        <w:rFonts w:asciiTheme="minorHAnsi" w:hAnsiTheme="minorHAnsi" w:cstheme="minorHAnsi"/>
        <w:sz w:val="2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4A0" w:firstRow="1" w:lastRow="0" w:firstColumn="1" w:lastColumn="0" w:noHBand="0" w:noVBand="1"/>
    </w:tblPr>
    <w:tblGrid>
      <w:gridCol w:w="3995"/>
      <w:gridCol w:w="1252"/>
      <w:gridCol w:w="3995"/>
    </w:tblGrid>
    <w:tr w:rsidR="003C14DD" w:rsidTr="005A3173">
      <w:trPr>
        <w:trHeight w:val="151"/>
      </w:trPr>
      <w:tc>
        <w:tcPr>
          <w:tcW w:w="2250" w:type="pct"/>
          <w:tcBorders>
            <w:top w:val="nil"/>
            <w:left w:val="nil"/>
            <w:bottom w:val="single" w:sz="4" w:space="0" w:color="4F81BD"/>
            <w:right w:val="nil"/>
          </w:tcBorders>
        </w:tcPr>
        <w:p w:rsidR="003C14DD" w:rsidRPr="005A3173" w:rsidRDefault="003C14DD" w:rsidP="005A3173">
          <w:pPr>
            <w:pStyle w:val="Header"/>
            <w:spacing w:line="276" w:lineRule="auto"/>
            <w:rPr>
              <w:rFonts w:ascii="Calibri" w:eastAsia="MS Gothic" w:hAnsi="Calibri"/>
              <w:b/>
              <w:bCs/>
              <w:color w:val="4F81BD"/>
            </w:rPr>
          </w:pPr>
        </w:p>
      </w:tc>
      <w:tc>
        <w:tcPr>
          <w:tcW w:w="500" w:type="pct"/>
          <w:vMerge w:val="restart"/>
          <w:noWrap/>
          <w:vAlign w:val="center"/>
          <w:hideMark/>
        </w:tcPr>
        <w:p w:rsidR="003C14DD" w:rsidRPr="005A3173" w:rsidRDefault="003C14DD"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3C14DD" w:rsidRPr="005A3173" w:rsidRDefault="003C14DD" w:rsidP="005A3173">
          <w:pPr>
            <w:pStyle w:val="Header"/>
            <w:spacing w:line="276" w:lineRule="auto"/>
            <w:rPr>
              <w:rFonts w:ascii="Calibri" w:eastAsia="MS Gothic" w:hAnsi="Calibri"/>
              <w:b/>
              <w:bCs/>
              <w:color w:val="4F81BD"/>
            </w:rPr>
          </w:pPr>
        </w:p>
      </w:tc>
    </w:tr>
    <w:tr w:rsidR="003C14DD" w:rsidTr="005A3173">
      <w:trPr>
        <w:trHeight w:val="150"/>
      </w:trPr>
      <w:tc>
        <w:tcPr>
          <w:tcW w:w="2250" w:type="pct"/>
          <w:tcBorders>
            <w:top w:val="single" w:sz="4" w:space="0" w:color="4F81BD"/>
            <w:left w:val="nil"/>
            <w:bottom w:val="nil"/>
            <w:right w:val="nil"/>
          </w:tcBorders>
        </w:tcPr>
        <w:p w:rsidR="003C14DD" w:rsidRPr="005A3173" w:rsidRDefault="003C14DD" w:rsidP="005A3173">
          <w:pPr>
            <w:pStyle w:val="Header"/>
            <w:spacing w:line="276" w:lineRule="auto"/>
            <w:rPr>
              <w:rFonts w:ascii="Calibri" w:eastAsia="MS Gothic" w:hAnsi="Calibri"/>
              <w:b/>
              <w:bCs/>
              <w:color w:val="4F81BD"/>
            </w:rPr>
          </w:pPr>
        </w:p>
      </w:tc>
      <w:tc>
        <w:tcPr>
          <w:tcW w:w="0" w:type="auto"/>
          <w:vMerge/>
          <w:vAlign w:val="center"/>
          <w:hideMark/>
        </w:tcPr>
        <w:p w:rsidR="003C14DD" w:rsidRPr="005A3173" w:rsidRDefault="003C14DD" w:rsidP="005A3173">
          <w:pPr>
            <w:rPr>
              <w:rFonts w:ascii="Calibri" w:hAnsi="Calibri"/>
              <w:color w:val="365F91"/>
              <w:sz w:val="22"/>
              <w:szCs w:val="22"/>
            </w:rPr>
          </w:pPr>
        </w:p>
      </w:tc>
      <w:tc>
        <w:tcPr>
          <w:tcW w:w="2250" w:type="pct"/>
          <w:tcBorders>
            <w:top w:val="single" w:sz="4" w:space="0" w:color="4F81BD"/>
            <w:left w:val="nil"/>
            <w:bottom w:val="nil"/>
            <w:right w:val="nil"/>
          </w:tcBorders>
        </w:tcPr>
        <w:p w:rsidR="003C14DD" w:rsidRPr="005A3173" w:rsidRDefault="003C14DD"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3C14DD" w:rsidTr="005A3173">
      <w:trPr>
        <w:trHeight w:val="151"/>
      </w:trPr>
      <w:tc>
        <w:tcPr>
          <w:tcW w:w="2250" w:type="pct"/>
          <w:tcBorders>
            <w:top w:val="nil"/>
            <w:left w:val="nil"/>
            <w:bottom w:val="single" w:sz="4" w:space="0" w:color="4F81BD"/>
            <w:right w:val="nil"/>
          </w:tcBorders>
        </w:tcPr>
        <w:p w:rsidR="003C14DD" w:rsidRPr="005A3173" w:rsidRDefault="003C14DD" w:rsidP="005A3173">
          <w:pPr>
            <w:pStyle w:val="Header"/>
            <w:spacing w:line="276" w:lineRule="auto"/>
            <w:rPr>
              <w:rFonts w:ascii="Calibri" w:eastAsia="MS Gothic" w:hAnsi="Calibri"/>
              <w:b/>
              <w:bCs/>
              <w:color w:val="4F81BD"/>
            </w:rPr>
          </w:pPr>
        </w:p>
      </w:tc>
      <w:tc>
        <w:tcPr>
          <w:tcW w:w="500" w:type="pct"/>
          <w:vMerge w:val="restart"/>
          <w:noWrap/>
          <w:vAlign w:val="center"/>
          <w:hideMark/>
        </w:tcPr>
        <w:p w:rsidR="003C14DD" w:rsidRPr="005A3173" w:rsidRDefault="003C14DD"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3C14DD" w:rsidRPr="005A3173" w:rsidRDefault="003C14DD" w:rsidP="005A3173">
          <w:pPr>
            <w:pStyle w:val="Header"/>
            <w:spacing w:line="276" w:lineRule="auto"/>
            <w:rPr>
              <w:rFonts w:ascii="Calibri" w:eastAsia="MS Gothic" w:hAnsi="Calibri"/>
              <w:b/>
              <w:bCs/>
              <w:color w:val="4F81BD"/>
            </w:rPr>
          </w:pPr>
        </w:p>
      </w:tc>
    </w:tr>
    <w:tr w:rsidR="003C14DD" w:rsidTr="005A3173">
      <w:trPr>
        <w:trHeight w:val="150"/>
      </w:trPr>
      <w:tc>
        <w:tcPr>
          <w:tcW w:w="2250" w:type="pct"/>
          <w:tcBorders>
            <w:top w:val="single" w:sz="4" w:space="0" w:color="4F81BD"/>
            <w:left w:val="nil"/>
            <w:bottom w:val="nil"/>
            <w:right w:val="nil"/>
          </w:tcBorders>
        </w:tcPr>
        <w:p w:rsidR="003C14DD" w:rsidRPr="005A3173" w:rsidRDefault="003C14DD" w:rsidP="005A3173">
          <w:pPr>
            <w:pStyle w:val="Header"/>
            <w:spacing w:line="276" w:lineRule="auto"/>
            <w:rPr>
              <w:rFonts w:ascii="Calibri" w:eastAsia="MS Gothic" w:hAnsi="Calibri"/>
              <w:b/>
              <w:bCs/>
              <w:color w:val="4F81BD"/>
            </w:rPr>
          </w:pPr>
        </w:p>
      </w:tc>
      <w:tc>
        <w:tcPr>
          <w:tcW w:w="0" w:type="auto"/>
          <w:vMerge/>
          <w:vAlign w:val="center"/>
          <w:hideMark/>
        </w:tcPr>
        <w:p w:rsidR="003C14DD" w:rsidRPr="005A3173" w:rsidRDefault="003C14DD" w:rsidP="005A3173">
          <w:pPr>
            <w:rPr>
              <w:rFonts w:ascii="Calibri" w:hAnsi="Calibri"/>
              <w:color w:val="365F91"/>
              <w:sz w:val="22"/>
              <w:szCs w:val="22"/>
            </w:rPr>
          </w:pPr>
        </w:p>
      </w:tc>
      <w:tc>
        <w:tcPr>
          <w:tcW w:w="2250" w:type="pct"/>
          <w:tcBorders>
            <w:top w:val="single" w:sz="4" w:space="0" w:color="4F81BD"/>
            <w:left w:val="nil"/>
            <w:bottom w:val="nil"/>
            <w:right w:val="nil"/>
          </w:tcBorders>
        </w:tcPr>
        <w:p w:rsidR="003C14DD" w:rsidRPr="005A3173" w:rsidRDefault="003C14DD" w:rsidP="005A3173">
          <w:pPr>
            <w:pStyle w:val="Header"/>
            <w:spacing w:line="276" w:lineRule="auto"/>
            <w:rPr>
              <w:rFonts w:ascii="Calibri" w:eastAsia="MS Gothic" w:hAnsi="Calibri"/>
              <w:b/>
              <w:bCs/>
              <w:color w:val="4F81BD"/>
            </w:rPr>
          </w:pPr>
        </w:p>
      </w:tc>
    </w:tr>
  </w:tbl>
  <w:p w:rsidR="003C14DD" w:rsidRPr="007C0F57" w:rsidRDefault="003C14DD"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3C14DD" w:rsidRPr="007C0F57" w:rsidRDefault="003C14DD" w:rsidP="007C0F57">
    <w:pPr>
      <w:pStyle w:val="Footer"/>
      <w:jc w:val="center"/>
      <w:rPr>
        <w:b/>
        <w:i/>
        <w:sz w:val="20"/>
        <w:szCs w:val="20"/>
      </w:rPr>
    </w:pPr>
    <w:r w:rsidRPr="007C0F57">
      <w:rPr>
        <w:b/>
        <w:i/>
        <w:sz w:val="20"/>
        <w:szCs w:val="20"/>
      </w:rPr>
      <w:t>Commercial-in-Confidence</w:t>
    </w:r>
  </w:p>
  <w:p w:rsidR="003C14DD" w:rsidRDefault="003C14DD"/>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3477" w:rsidRDefault="00653477">
      <w:r>
        <w:separator/>
      </w:r>
    </w:p>
    <w:p w:rsidR="00653477" w:rsidRDefault="00653477"/>
  </w:footnote>
  <w:footnote w:type="continuationSeparator" w:id="0">
    <w:p w:rsidR="00653477" w:rsidRDefault="00653477">
      <w:r>
        <w:continuationSeparator/>
      </w:r>
    </w:p>
    <w:p w:rsidR="00653477" w:rsidRDefault="00653477"/>
  </w:footnote>
  <w:footnote w:id="1">
    <w:p w:rsidR="003C14DD" w:rsidRPr="00872F96" w:rsidRDefault="003C14DD">
      <w:pPr>
        <w:pStyle w:val="FootnoteText"/>
        <w:rPr>
          <w:rFonts w:asciiTheme="minorHAnsi" w:hAnsiTheme="minorHAnsi" w:cstheme="minorHAnsi"/>
        </w:rPr>
      </w:pPr>
      <w:r w:rsidRPr="00872F96">
        <w:rPr>
          <w:rStyle w:val="FootnoteReference"/>
          <w:rFonts w:asciiTheme="minorHAnsi" w:hAnsiTheme="minorHAnsi" w:cstheme="minorHAnsi"/>
        </w:rPr>
        <w:footnoteRef/>
      </w:r>
      <w:r w:rsidRPr="00872F96">
        <w:rPr>
          <w:rFonts w:asciiTheme="minorHAnsi" w:hAnsiTheme="minorHAnsi" w:cstheme="minorHAnsi"/>
        </w:rPr>
        <w:t xml:space="preserve"> Lyle M, Haydu LE, Menzies AM, et al. The molecular profile of metastatic melanoma in Australia. 2016; 48(2): 188-193</w:t>
      </w:r>
    </w:p>
  </w:footnote>
  <w:footnote w:id="2">
    <w:p w:rsidR="003C14DD" w:rsidRPr="003326BA" w:rsidRDefault="003C14DD">
      <w:pPr>
        <w:pStyle w:val="FootnoteText"/>
        <w:rPr>
          <w:rFonts w:asciiTheme="minorHAnsi" w:hAnsiTheme="minorHAnsi" w:cstheme="minorHAnsi"/>
        </w:rPr>
      </w:pPr>
      <w:r>
        <w:rPr>
          <w:rStyle w:val="FootnoteReference"/>
        </w:rPr>
        <w:footnoteRef/>
      </w:r>
      <w:r>
        <w:t xml:space="preserve"> </w:t>
      </w:r>
      <w:r w:rsidRPr="003326BA">
        <w:rPr>
          <w:rFonts w:asciiTheme="minorHAnsi" w:hAnsiTheme="minorHAnsi" w:cstheme="minorHAnsi"/>
        </w:rPr>
        <w:t>DUSC. Medicines for the treatment of melanoma. May 2018. Available at: http://www.pbs.gov.au/industry/listing/participants/public-release-docs/2018-05/melanoma-review-DUSC-PRD-2018-06-final.pdf</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3C14DD" w:rsidRPr="008E0D90" w:rsidTr="00A06225">
      <w:trPr>
        <w:trHeight w:val="151"/>
      </w:trPr>
      <w:tc>
        <w:tcPr>
          <w:tcW w:w="2389" w:type="pct"/>
          <w:tcBorders>
            <w:top w:val="nil"/>
            <w:left w:val="nil"/>
            <w:bottom w:val="single" w:sz="4" w:space="0" w:color="4F81BD"/>
            <w:right w:val="nil"/>
          </w:tcBorders>
        </w:tcPr>
        <w:p w:rsidR="003C14DD" w:rsidRPr="00A06225" w:rsidRDefault="003C14DD">
          <w:pPr>
            <w:pStyle w:val="Header"/>
            <w:spacing w:line="276" w:lineRule="auto"/>
            <w:rPr>
              <w:rFonts w:ascii="Cambria" w:eastAsia="MS Gothic" w:hAnsi="Cambria"/>
              <w:b/>
              <w:bCs/>
              <w:color w:val="4F81BD"/>
            </w:rPr>
          </w:pPr>
        </w:p>
      </w:tc>
      <w:tc>
        <w:tcPr>
          <w:tcW w:w="333" w:type="pct"/>
          <w:vMerge w:val="restart"/>
          <w:noWrap/>
          <w:vAlign w:val="center"/>
          <w:hideMark/>
        </w:tcPr>
        <w:p w:rsidR="003C14DD" w:rsidRPr="00A06225" w:rsidRDefault="003C14DD"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3C14DD" w:rsidRPr="00A06225" w:rsidRDefault="003C14DD">
          <w:pPr>
            <w:pStyle w:val="Header"/>
            <w:spacing w:line="276" w:lineRule="auto"/>
            <w:rPr>
              <w:rFonts w:ascii="Cambria" w:eastAsia="MS Gothic" w:hAnsi="Cambria"/>
              <w:b/>
              <w:bCs/>
              <w:color w:val="4F81BD"/>
            </w:rPr>
          </w:pPr>
        </w:p>
      </w:tc>
    </w:tr>
    <w:tr w:rsidR="003C14DD" w:rsidRPr="008E0D90" w:rsidTr="00A06225">
      <w:trPr>
        <w:trHeight w:val="150"/>
      </w:trPr>
      <w:tc>
        <w:tcPr>
          <w:tcW w:w="2389" w:type="pct"/>
          <w:tcBorders>
            <w:top w:val="single" w:sz="4" w:space="0" w:color="4F81BD"/>
            <w:left w:val="nil"/>
            <w:bottom w:val="nil"/>
            <w:right w:val="nil"/>
          </w:tcBorders>
        </w:tcPr>
        <w:p w:rsidR="003C14DD" w:rsidRPr="00A06225" w:rsidRDefault="003C14DD">
          <w:pPr>
            <w:pStyle w:val="Header"/>
            <w:spacing w:line="276" w:lineRule="auto"/>
            <w:rPr>
              <w:rFonts w:ascii="Cambria" w:eastAsia="MS Gothic" w:hAnsi="Cambria"/>
              <w:b/>
              <w:bCs/>
              <w:color w:val="4F81BD"/>
            </w:rPr>
          </w:pPr>
        </w:p>
      </w:tc>
      <w:tc>
        <w:tcPr>
          <w:tcW w:w="0" w:type="auto"/>
          <w:vMerge/>
          <w:vAlign w:val="center"/>
          <w:hideMark/>
        </w:tcPr>
        <w:p w:rsidR="003C14DD" w:rsidRPr="00A06225" w:rsidRDefault="003C14DD">
          <w:pPr>
            <w:rPr>
              <w:rFonts w:ascii="Cambria" w:hAnsi="Cambria"/>
              <w:color w:val="4F81BD"/>
              <w:sz w:val="22"/>
              <w:szCs w:val="22"/>
            </w:rPr>
          </w:pPr>
        </w:p>
      </w:tc>
      <w:tc>
        <w:tcPr>
          <w:tcW w:w="2278" w:type="pct"/>
          <w:tcBorders>
            <w:top w:val="single" w:sz="4" w:space="0" w:color="4F81BD"/>
            <w:left w:val="nil"/>
            <w:bottom w:val="nil"/>
            <w:right w:val="nil"/>
          </w:tcBorders>
        </w:tcPr>
        <w:p w:rsidR="003C14DD" w:rsidRPr="00A06225" w:rsidRDefault="003C14DD">
          <w:pPr>
            <w:pStyle w:val="Header"/>
            <w:spacing w:line="276" w:lineRule="auto"/>
            <w:rPr>
              <w:rFonts w:ascii="Cambria" w:eastAsia="MS Gothic" w:hAnsi="Cambria"/>
              <w:b/>
              <w:bCs/>
              <w:color w:val="4F81BD"/>
            </w:rPr>
          </w:pPr>
        </w:p>
      </w:tc>
    </w:tr>
  </w:tbl>
  <w:p w:rsidR="003C14DD" w:rsidRDefault="003C14DD">
    <w:pPr>
      <w:pStyle w:val="Header"/>
    </w:pPr>
  </w:p>
  <w:p w:rsidR="003C14DD" w:rsidRDefault="003C14DD"/>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14DD" w:rsidRPr="00FC709D" w:rsidRDefault="003C14DD" w:rsidP="00FC709D">
    <w:pPr>
      <w:pStyle w:val="MinorOVRHeader"/>
      <w:jc w:val="center"/>
      <w:rPr>
        <w:i/>
        <w:noProof/>
      </w:rPr>
    </w:pPr>
    <w:r>
      <w:rPr>
        <w:i/>
        <w:noProof/>
      </w:rPr>
      <w:t>Public Summary Document</w:t>
    </w:r>
    <w:r w:rsidRPr="00FC709D">
      <w:rPr>
        <w:i/>
        <w:noProof/>
      </w:rPr>
      <w:t xml:space="preserve"> – November 2019 PBAC Meeting</w:t>
    </w:r>
  </w:p>
  <w:p w:rsidR="003C14DD" w:rsidRDefault="003C14DD" w:rsidP="00A128E6">
    <w:pPr>
      <w:pStyle w:val="NoSpacing"/>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3477" w:rsidRDefault="006534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EE52495A"/>
    <w:lvl w:ilvl="0">
      <w:start w:val="1"/>
      <w:numFmt w:val="decimal"/>
      <w:pStyle w:val="ListNumber"/>
      <w:lvlText w:val="%1."/>
      <w:lvlJc w:val="left"/>
      <w:pPr>
        <w:tabs>
          <w:tab w:val="num" w:pos="360"/>
        </w:tabs>
        <w:ind w:left="360" w:hanging="360"/>
      </w:pPr>
    </w:lvl>
  </w:abstractNum>
  <w:abstractNum w:abstractNumId="1"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8D4654B"/>
    <w:multiLevelType w:val="hybridMultilevel"/>
    <w:tmpl w:val="81F2B3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C9A1DC2"/>
    <w:multiLevelType w:val="hybridMultilevel"/>
    <w:tmpl w:val="C6BEFE2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36412F2"/>
    <w:multiLevelType w:val="multilevel"/>
    <w:tmpl w:val="204C5EE2"/>
    <w:lvl w:ilvl="0">
      <w:start w:val="1"/>
      <w:numFmt w:val="bullet"/>
      <w:lvlText w:val=""/>
      <w:lvlJc w:val="left"/>
      <w:pPr>
        <w:ind w:left="720" w:hanging="720"/>
      </w:pPr>
      <w:rPr>
        <w:rFonts w:ascii="Symbol" w:hAnsi="Symbol" w:hint="default"/>
        <w:b/>
      </w:rPr>
    </w:lvl>
    <w:lvl w:ilvl="1">
      <w:start w:val="1"/>
      <w:numFmt w:val="bullet"/>
      <w:lvlText w:val="o"/>
      <w:lvlJc w:val="left"/>
      <w:pPr>
        <w:ind w:left="720" w:hanging="720"/>
      </w:pPr>
      <w:rPr>
        <w:rFonts w:ascii="Courier New" w:hAnsi="Courier New" w:cs="Courier New"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3CF1870"/>
    <w:multiLevelType w:val="hybridMultilevel"/>
    <w:tmpl w:val="9216D498"/>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74777D3"/>
    <w:multiLevelType w:val="multilevel"/>
    <w:tmpl w:val="44083A22"/>
    <w:lvl w:ilvl="0">
      <w:start w:val="1"/>
      <w:numFmt w:val="decimal"/>
      <w:lvlText w:val="%1"/>
      <w:lvlJc w:val="left"/>
      <w:pPr>
        <w:ind w:left="720" w:hanging="720"/>
      </w:pPr>
      <w:rPr>
        <w:rFonts w:hint="default"/>
        <w:b/>
        <w:i w:val="0"/>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96F34E8"/>
    <w:multiLevelType w:val="multilevel"/>
    <w:tmpl w:val="D79ACC9E"/>
    <w:lvl w:ilvl="0">
      <w:start w:val="1"/>
      <w:numFmt w:val="decimal"/>
      <w:lvlText w:val="%1."/>
      <w:lvlJc w:val="left"/>
      <w:pPr>
        <w:ind w:left="720" w:hanging="720"/>
      </w:pPr>
      <w:rPr>
        <w:rFonts w:hint="default"/>
        <w:b w:val="0"/>
      </w:rPr>
    </w:lvl>
    <w:lvl w:ilvl="1">
      <w:start w:val="1"/>
      <w:numFmt w:val="bullet"/>
      <w:lvlText w:val="o"/>
      <w:lvlJc w:val="left"/>
      <w:pPr>
        <w:ind w:left="720" w:hanging="720"/>
      </w:pPr>
      <w:rPr>
        <w:rFonts w:ascii="Courier New" w:hAnsi="Courier New" w:cs="Courier New"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56652F7"/>
    <w:multiLevelType w:val="multilevel"/>
    <w:tmpl w:val="08C6D848"/>
    <w:lvl w:ilvl="0">
      <w:start w:val="1"/>
      <w:numFmt w:val="bullet"/>
      <w:lvlText w:val=""/>
      <w:lvlJc w:val="left"/>
      <w:pPr>
        <w:ind w:left="4831" w:hanging="720"/>
      </w:pPr>
      <w:rPr>
        <w:rFonts w:ascii="Symbol" w:hAnsi="Symbol" w:hint="default"/>
        <w:b/>
        <w:i w:val="0"/>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7BB4508"/>
    <w:multiLevelType w:val="hybridMultilevel"/>
    <w:tmpl w:val="277647F2"/>
    <w:lvl w:ilvl="0" w:tplc="0C090015">
      <w:start w:val="1"/>
      <w:numFmt w:val="upperLetter"/>
      <w:lvlText w:val="%1."/>
      <w:lvlJc w:val="left"/>
      <w:pPr>
        <w:ind w:left="829" w:hanging="360"/>
      </w:pPr>
      <w:rPr>
        <w:i/>
        <w:color w:val="auto"/>
      </w:rPr>
    </w:lvl>
    <w:lvl w:ilvl="1" w:tplc="0C090019" w:tentative="1">
      <w:start w:val="1"/>
      <w:numFmt w:val="lowerLetter"/>
      <w:lvlText w:val="%2."/>
      <w:lvlJc w:val="left"/>
      <w:pPr>
        <w:ind w:left="1549" w:hanging="360"/>
      </w:pPr>
    </w:lvl>
    <w:lvl w:ilvl="2" w:tplc="0C09001B" w:tentative="1">
      <w:start w:val="1"/>
      <w:numFmt w:val="lowerRoman"/>
      <w:lvlText w:val="%3."/>
      <w:lvlJc w:val="right"/>
      <w:pPr>
        <w:ind w:left="2269" w:hanging="180"/>
      </w:pPr>
    </w:lvl>
    <w:lvl w:ilvl="3" w:tplc="0C09000F" w:tentative="1">
      <w:start w:val="1"/>
      <w:numFmt w:val="decimal"/>
      <w:lvlText w:val="%4."/>
      <w:lvlJc w:val="left"/>
      <w:pPr>
        <w:ind w:left="2989" w:hanging="360"/>
      </w:pPr>
    </w:lvl>
    <w:lvl w:ilvl="4" w:tplc="0C090019" w:tentative="1">
      <w:start w:val="1"/>
      <w:numFmt w:val="lowerLetter"/>
      <w:lvlText w:val="%5."/>
      <w:lvlJc w:val="left"/>
      <w:pPr>
        <w:ind w:left="3709" w:hanging="360"/>
      </w:pPr>
    </w:lvl>
    <w:lvl w:ilvl="5" w:tplc="0C09001B" w:tentative="1">
      <w:start w:val="1"/>
      <w:numFmt w:val="lowerRoman"/>
      <w:lvlText w:val="%6."/>
      <w:lvlJc w:val="right"/>
      <w:pPr>
        <w:ind w:left="4429" w:hanging="180"/>
      </w:pPr>
    </w:lvl>
    <w:lvl w:ilvl="6" w:tplc="0C09000F" w:tentative="1">
      <w:start w:val="1"/>
      <w:numFmt w:val="decimal"/>
      <w:lvlText w:val="%7."/>
      <w:lvlJc w:val="left"/>
      <w:pPr>
        <w:ind w:left="5149" w:hanging="360"/>
      </w:pPr>
    </w:lvl>
    <w:lvl w:ilvl="7" w:tplc="0C090019" w:tentative="1">
      <w:start w:val="1"/>
      <w:numFmt w:val="lowerLetter"/>
      <w:lvlText w:val="%8."/>
      <w:lvlJc w:val="left"/>
      <w:pPr>
        <w:ind w:left="5869" w:hanging="360"/>
      </w:pPr>
    </w:lvl>
    <w:lvl w:ilvl="8" w:tplc="0C09001B" w:tentative="1">
      <w:start w:val="1"/>
      <w:numFmt w:val="lowerRoman"/>
      <w:lvlText w:val="%9."/>
      <w:lvlJc w:val="right"/>
      <w:pPr>
        <w:ind w:left="6589" w:hanging="180"/>
      </w:pPr>
    </w:lvl>
  </w:abstractNum>
  <w:abstractNum w:abstractNumId="14" w15:restartNumberingAfterBreak="0">
    <w:nsid w:val="37CC4F4C"/>
    <w:multiLevelType w:val="multilevel"/>
    <w:tmpl w:val="D8385E16"/>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941402C"/>
    <w:multiLevelType w:val="multilevel"/>
    <w:tmpl w:val="44083A22"/>
    <w:lvl w:ilvl="0">
      <w:start w:val="1"/>
      <w:numFmt w:val="decimal"/>
      <w:lvlText w:val="%1"/>
      <w:lvlJc w:val="left"/>
      <w:pPr>
        <w:ind w:left="720" w:hanging="720"/>
      </w:pPr>
      <w:rPr>
        <w:rFonts w:hint="default"/>
        <w:b/>
        <w:i w:val="0"/>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A0445F4"/>
    <w:multiLevelType w:val="multilevel"/>
    <w:tmpl w:val="2EB0A30E"/>
    <w:lvl w:ilvl="0">
      <w:start w:val="1"/>
      <w:numFmt w:val="none"/>
      <w:suff w:val="nothing"/>
      <w:lvlText w:val="%1"/>
      <w:lvlJc w:val="left"/>
      <w:pPr>
        <w:ind w:left="0" w:firstLine="0"/>
      </w:pPr>
      <w:rPr>
        <w:rFonts w:hint="default"/>
      </w:rPr>
    </w:lvl>
    <w:lvl w:ilvl="1">
      <w:start w:val="1"/>
      <w:numFmt w:val="decimal"/>
      <w:lvlText w:val="%2."/>
      <w:lvlJc w:val="left"/>
      <w:pPr>
        <w:tabs>
          <w:tab w:val="num" w:pos="357"/>
        </w:tabs>
        <w:ind w:left="357" w:hanging="357"/>
      </w:pPr>
      <w:rPr>
        <w:rFonts w:hint="default"/>
      </w:rPr>
    </w:lvl>
    <w:lvl w:ilvl="2">
      <w:start w:val="1"/>
      <w:numFmt w:val="lowerLetter"/>
      <w:lvlText w:val="%3."/>
      <w:lvlJc w:val="left"/>
      <w:pPr>
        <w:tabs>
          <w:tab w:val="num" w:pos="720"/>
        </w:tabs>
        <w:ind w:left="720" w:hanging="363"/>
      </w:pPr>
      <w:rPr>
        <w:rFonts w:hint="default"/>
      </w:rPr>
    </w:lvl>
    <w:lvl w:ilvl="3">
      <w:start w:val="1"/>
      <w:numFmt w:val="lowerRoman"/>
      <w:lvlText w:val="%4."/>
      <w:lvlJc w:val="left"/>
      <w:pPr>
        <w:tabs>
          <w:tab w:val="num" w:pos="1077"/>
        </w:tabs>
        <w:ind w:left="1077" w:hanging="357"/>
      </w:pPr>
      <w:rPr>
        <w:rFonts w:hint="default"/>
      </w:rPr>
    </w:lvl>
    <w:lvl w:ilvl="4">
      <w:start w:val="1"/>
      <w:numFmt w:val="decimal"/>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17" w15:restartNumberingAfterBreak="0">
    <w:nsid w:val="518636E7"/>
    <w:multiLevelType w:val="hybridMultilevel"/>
    <w:tmpl w:val="2F568148"/>
    <w:lvl w:ilvl="0" w:tplc="4B1843C4">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8" w15:restartNumberingAfterBreak="0">
    <w:nsid w:val="54C430CE"/>
    <w:multiLevelType w:val="hybridMultilevel"/>
    <w:tmpl w:val="16A6223C"/>
    <w:lvl w:ilvl="0" w:tplc="BC6C023C">
      <w:start w:val="1"/>
      <w:numFmt w:val="decimal"/>
      <w:lvlText w:val="%1."/>
      <w:lvlJc w:val="left"/>
      <w:pPr>
        <w:tabs>
          <w:tab w:val="num" w:pos="360"/>
        </w:tabs>
        <w:ind w:left="360" w:hanging="360"/>
      </w:pPr>
      <w:rPr>
        <w:rFonts w:ascii="Arial" w:hAnsi="Arial" w:cs="Arial" w:hint="default"/>
        <w:sz w:val="22"/>
        <w:szCs w:val="22"/>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19"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DAC5FFD"/>
    <w:multiLevelType w:val="hybridMultilevel"/>
    <w:tmpl w:val="36F4BAC2"/>
    <w:lvl w:ilvl="0" w:tplc="309414AC">
      <w:start w:val="1"/>
      <w:numFmt w:val="decimal"/>
      <w:pStyle w:val="Lists"/>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1" w15:restartNumberingAfterBreak="0">
    <w:nsid w:val="602F439D"/>
    <w:multiLevelType w:val="hybridMultilevel"/>
    <w:tmpl w:val="1FEC28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53901C4"/>
    <w:multiLevelType w:val="multilevel"/>
    <w:tmpl w:val="D2C45646"/>
    <w:lvl w:ilvl="0">
      <w:start w:val="1"/>
      <w:numFmt w:val="decimal"/>
      <w:lvlText w:val="%1"/>
      <w:lvlJc w:val="left"/>
      <w:pPr>
        <w:ind w:left="4831" w:hanging="720"/>
      </w:pPr>
      <w:rPr>
        <w:rFonts w:hint="default"/>
        <w:b/>
        <w:i w:val="0"/>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7852DF4"/>
    <w:multiLevelType w:val="hybridMultilevel"/>
    <w:tmpl w:val="5600A132"/>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727D656A"/>
    <w:multiLevelType w:val="multilevel"/>
    <w:tmpl w:val="D2C45646"/>
    <w:lvl w:ilvl="0">
      <w:start w:val="1"/>
      <w:numFmt w:val="decimal"/>
      <w:lvlText w:val="%1"/>
      <w:lvlJc w:val="left"/>
      <w:pPr>
        <w:ind w:left="4831" w:hanging="720"/>
      </w:pPr>
      <w:rPr>
        <w:rFonts w:hint="default"/>
        <w:b/>
        <w:i w:val="0"/>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84D033C"/>
    <w:multiLevelType w:val="multilevel"/>
    <w:tmpl w:val="AA089896"/>
    <w:lvl w:ilvl="0">
      <w:start w:val="1"/>
      <w:numFmt w:val="decimal"/>
      <w:pStyle w:val="2Sections"/>
      <w:lvlText w:val="%1"/>
      <w:lvlJc w:val="left"/>
      <w:pPr>
        <w:ind w:left="4831" w:hanging="720"/>
      </w:pPr>
      <w:rPr>
        <w:rFonts w:hint="default"/>
        <w:b/>
        <w:i w:val="0"/>
      </w:rPr>
    </w:lvl>
    <w:lvl w:ilvl="1">
      <w:start w:val="1"/>
      <w:numFmt w:val="decimal"/>
      <w:pStyle w:val="3Bodytext"/>
      <w:lvlText w:val="%1.%2"/>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25"/>
  </w:num>
  <w:num w:numId="2">
    <w:abstractNumId w:val="0"/>
  </w:num>
  <w:num w:numId="3">
    <w:abstractNumId w:val="25"/>
  </w:num>
  <w:num w:numId="4">
    <w:abstractNumId w:val="20"/>
  </w:num>
  <w:num w:numId="5">
    <w:abstractNumId w:val="14"/>
  </w:num>
  <w:num w:numId="6">
    <w:abstractNumId w:val="5"/>
  </w:num>
  <w:num w:numId="7">
    <w:abstractNumId w:val="10"/>
  </w:num>
  <w:num w:numId="8">
    <w:abstractNumId w:val="4"/>
  </w:num>
  <w:num w:numId="9">
    <w:abstractNumId w:val="6"/>
  </w:num>
  <w:num w:numId="10">
    <w:abstractNumId w:val="13"/>
  </w:num>
  <w:num w:numId="11">
    <w:abstractNumId w:val="2"/>
  </w:num>
  <w:num w:numId="12">
    <w:abstractNumId w:val="18"/>
  </w:num>
  <w:num w:numId="13">
    <w:abstractNumId w:val="19"/>
  </w:num>
  <w:num w:numId="14">
    <w:abstractNumId w:val="3"/>
  </w:num>
  <w:num w:numId="15">
    <w:abstractNumId w:val="1"/>
  </w:num>
  <w:num w:numId="16">
    <w:abstractNumId w:val="8"/>
  </w:num>
  <w:num w:numId="17">
    <w:abstractNumId w:val="11"/>
  </w:num>
  <w:num w:numId="18">
    <w:abstractNumId w:val="7"/>
  </w:num>
  <w:num w:numId="19">
    <w:abstractNumId w:val="23"/>
  </w:num>
  <w:num w:numId="20">
    <w:abstractNumId w:val="15"/>
  </w:num>
  <w:num w:numId="21">
    <w:abstractNumId w:val="17"/>
  </w:num>
  <w:num w:numId="22">
    <w:abstractNumId w:val="9"/>
  </w:num>
  <w:num w:numId="23">
    <w:abstractNumId w:val="24"/>
  </w:num>
  <w:num w:numId="24">
    <w:abstractNumId w:val="22"/>
  </w:num>
  <w:num w:numId="25">
    <w:abstractNumId w:val="12"/>
  </w:num>
  <w:num w:numId="26">
    <w:abstractNumId w:val="16"/>
  </w:num>
  <w:num w:numId="27">
    <w:abstractNumId w:val="2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40E"/>
    <w:rsid w:val="000025AD"/>
    <w:rsid w:val="0000335D"/>
    <w:rsid w:val="00006B26"/>
    <w:rsid w:val="00011088"/>
    <w:rsid w:val="000126D9"/>
    <w:rsid w:val="00013070"/>
    <w:rsid w:val="000131BF"/>
    <w:rsid w:val="00021FEC"/>
    <w:rsid w:val="000232A8"/>
    <w:rsid w:val="0002464A"/>
    <w:rsid w:val="0003106B"/>
    <w:rsid w:val="00034905"/>
    <w:rsid w:val="000421A1"/>
    <w:rsid w:val="0004240E"/>
    <w:rsid w:val="00045E26"/>
    <w:rsid w:val="000514B5"/>
    <w:rsid w:val="000541B0"/>
    <w:rsid w:val="00060E64"/>
    <w:rsid w:val="00063764"/>
    <w:rsid w:val="00065576"/>
    <w:rsid w:val="00066755"/>
    <w:rsid w:val="0007461E"/>
    <w:rsid w:val="000763D5"/>
    <w:rsid w:val="00077143"/>
    <w:rsid w:val="00082169"/>
    <w:rsid w:val="00092BF6"/>
    <w:rsid w:val="0009325B"/>
    <w:rsid w:val="000969AD"/>
    <w:rsid w:val="000A44B2"/>
    <w:rsid w:val="000A5A40"/>
    <w:rsid w:val="000B512A"/>
    <w:rsid w:val="000B558D"/>
    <w:rsid w:val="000B685F"/>
    <w:rsid w:val="000C6996"/>
    <w:rsid w:val="000D19BD"/>
    <w:rsid w:val="000D23BA"/>
    <w:rsid w:val="000D4CA4"/>
    <w:rsid w:val="000E0C3F"/>
    <w:rsid w:val="000E6350"/>
    <w:rsid w:val="000E681E"/>
    <w:rsid w:val="000E7A46"/>
    <w:rsid w:val="000F0003"/>
    <w:rsid w:val="000F177C"/>
    <w:rsid w:val="000F3384"/>
    <w:rsid w:val="000F3411"/>
    <w:rsid w:val="000F394C"/>
    <w:rsid w:val="000F4E6A"/>
    <w:rsid w:val="000F63EA"/>
    <w:rsid w:val="000F7354"/>
    <w:rsid w:val="001039A6"/>
    <w:rsid w:val="00104227"/>
    <w:rsid w:val="001107BF"/>
    <w:rsid w:val="00113499"/>
    <w:rsid w:val="0012417C"/>
    <w:rsid w:val="00135B3D"/>
    <w:rsid w:val="001365DE"/>
    <w:rsid w:val="001376F2"/>
    <w:rsid w:val="00142395"/>
    <w:rsid w:val="00142714"/>
    <w:rsid w:val="00143D70"/>
    <w:rsid w:val="001452ED"/>
    <w:rsid w:val="00145877"/>
    <w:rsid w:val="00151DA6"/>
    <w:rsid w:val="001529B6"/>
    <w:rsid w:val="00161AA2"/>
    <w:rsid w:val="00162D4E"/>
    <w:rsid w:val="00163329"/>
    <w:rsid w:val="00164623"/>
    <w:rsid w:val="00165B64"/>
    <w:rsid w:val="00180713"/>
    <w:rsid w:val="001830CE"/>
    <w:rsid w:val="0018643B"/>
    <w:rsid w:val="0018652F"/>
    <w:rsid w:val="00187DD1"/>
    <w:rsid w:val="00196307"/>
    <w:rsid w:val="0019775F"/>
    <w:rsid w:val="001A33EA"/>
    <w:rsid w:val="001B017F"/>
    <w:rsid w:val="001B21C7"/>
    <w:rsid w:val="001B2BBC"/>
    <w:rsid w:val="001B3F9B"/>
    <w:rsid w:val="001B5129"/>
    <w:rsid w:val="001B7F20"/>
    <w:rsid w:val="001C0B4C"/>
    <w:rsid w:val="001C1195"/>
    <w:rsid w:val="001C2C3D"/>
    <w:rsid w:val="001C71C5"/>
    <w:rsid w:val="001D0CC9"/>
    <w:rsid w:val="001D46D7"/>
    <w:rsid w:val="001E18A3"/>
    <w:rsid w:val="001E3624"/>
    <w:rsid w:val="001E647A"/>
    <w:rsid w:val="001E7654"/>
    <w:rsid w:val="001F050C"/>
    <w:rsid w:val="001F1850"/>
    <w:rsid w:val="00203FAC"/>
    <w:rsid w:val="00206FA9"/>
    <w:rsid w:val="00213CFB"/>
    <w:rsid w:val="0021553C"/>
    <w:rsid w:val="0021557B"/>
    <w:rsid w:val="00217BE1"/>
    <w:rsid w:val="0022246E"/>
    <w:rsid w:val="0022605C"/>
    <w:rsid w:val="002279DF"/>
    <w:rsid w:val="00231618"/>
    <w:rsid w:val="002319C5"/>
    <w:rsid w:val="00233A57"/>
    <w:rsid w:val="002412D4"/>
    <w:rsid w:val="0024138D"/>
    <w:rsid w:val="00243A0A"/>
    <w:rsid w:val="00252248"/>
    <w:rsid w:val="00253499"/>
    <w:rsid w:val="0026419A"/>
    <w:rsid w:val="00267C2A"/>
    <w:rsid w:val="0027140A"/>
    <w:rsid w:val="00271BA1"/>
    <w:rsid w:val="002762FA"/>
    <w:rsid w:val="00277505"/>
    <w:rsid w:val="00294501"/>
    <w:rsid w:val="0029458F"/>
    <w:rsid w:val="002A104C"/>
    <w:rsid w:val="002A4960"/>
    <w:rsid w:val="002B0EF0"/>
    <w:rsid w:val="002B1AE6"/>
    <w:rsid w:val="002B2DE8"/>
    <w:rsid w:val="002B30F8"/>
    <w:rsid w:val="002B5596"/>
    <w:rsid w:val="002B7615"/>
    <w:rsid w:val="002C0526"/>
    <w:rsid w:val="002C212F"/>
    <w:rsid w:val="002D2047"/>
    <w:rsid w:val="002D2EDD"/>
    <w:rsid w:val="002D4543"/>
    <w:rsid w:val="002E072E"/>
    <w:rsid w:val="002E3153"/>
    <w:rsid w:val="002E58A5"/>
    <w:rsid w:val="002E72CA"/>
    <w:rsid w:val="002F2666"/>
    <w:rsid w:val="002F5F1A"/>
    <w:rsid w:val="002F600D"/>
    <w:rsid w:val="00300AD6"/>
    <w:rsid w:val="00305EF3"/>
    <w:rsid w:val="00307762"/>
    <w:rsid w:val="00311A43"/>
    <w:rsid w:val="00317C6C"/>
    <w:rsid w:val="003217C1"/>
    <w:rsid w:val="00323285"/>
    <w:rsid w:val="00326E79"/>
    <w:rsid w:val="003301B1"/>
    <w:rsid w:val="0033263D"/>
    <w:rsid w:val="003326BA"/>
    <w:rsid w:val="0033518A"/>
    <w:rsid w:val="003367EF"/>
    <w:rsid w:val="00341AE4"/>
    <w:rsid w:val="00350996"/>
    <w:rsid w:val="0035127D"/>
    <w:rsid w:val="00356669"/>
    <w:rsid w:val="00376AE3"/>
    <w:rsid w:val="00376DCD"/>
    <w:rsid w:val="00384988"/>
    <w:rsid w:val="00385E02"/>
    <w:rsid w:val="00386416"/>
    <w:rsid w:val="003872CF"/>
    <w:rsid w:val="00396AB3"/>
    <w:rsid w:val="0039782C"/>
    <w:rsid w:val="003A0FC3"/>
    <w:rsid w:val="003A586A"/>
    <w:rsid w:val="003A5B4A"/>
    <w:rsid w:val="003B23C5"/>
    <w:rsid w:val="003B2A75"/>
    <w:rsid w:val="003B6124"/>
    <w:rsid w:val="003C14DD"/>
    <w:rsid w:val="003C1ECF"/>
    <w:rsid w:val="003C2FB5"/>
    <w:rsid w:val="003C34FF"/>
    <w:rsid w:val="003C3717"/>
    <w:rsid w:val="003C529E"/>
    <w:rsid w:val="003D15CC"/>
    <w:rsid w:val="003D3B81"/>
    <w:rsid w:val="003D4AC4"/>
    <w:rsid w:val="003D63B7"/>
    <w:rsid w:val="003E06D9"/>
    <w:rsid w:val="003E1B3D"/>
    <w:rsid w:val="003E468B"/>
    <w:rsid w:val="003F3228"/>
    <w:rsid w:val="003F5C8C"/>
    <w:rsid w:val="003F5DF6"/>
    <w:rsid w:val="003F5F02"/>
    <w:rsid w:val="0040571A"/>
    <w:rsid w:val="00405BA5"/>
    <w:rsid w:val="004100CD"/>
    <w:rsid w:val="00421461"/>
    <w:rsid w:val="004252EC"/>
    <w:rsid w:val="00430D39"/>
    <w:rsid w:val="0043741B"/>
    <w:rsid w:val="004465BD"/>
    <w:rsid w:val="00451CF1"/>
    <w:rsid w:val="00453B44"/>
    <w:rsid w:val="0046101C"/>
    <w:rsid w:val="00466ADA"/>
    <w:rsid w:val="0047494B"/>
    <w:rsid w:val="00476245"/>
    <w:rsid w:val="00483035"/>
    <w:rsid w:val="00485940"/>
    <w:rsid w:val="00485B53"/>
    <w:rsid w:val="004869D0"/>
    <w:rsid w:val="004916AC"/>
    <w:rsid w:val="004A2484"/>
    <w:rsid w:val="004A5A85"/>
    <w:rsid w:val="004A71D1"/>
    <w:rsid w:val="004B4CF6"/>
    <w:rsid w:val="004B5640"/>
    <w:rsid w:val="004C1585"/>
    <w:rsid w:val="004C1BD7"/>
    <w:rsid w:val="004C31FE"/>
    <w:rsid w:val="004C691D"/>
    <w:rsid w:val="004C6C07"/>
    <w:rsid w:val="004D28C7"/>
    <w:rsid w:val="004D35CE"/>
    <w:rsid w:val="004E1F48"/>
    <w:rsid w:val="004E692D"/>
    <w:rsid w:val="004F17E1"/>
    <w:rsid w:val="004F429F"/>
    <w:rsid w:val="004F65BD"/>
    <w:rsid w:val="00501554"/>
    <w:rsid w:val="00504E0C"/>
    <w:rsid w:val="00505578"/>
    <w:rsid w:val="0051336A"/>
    <w:rsid w:val="00514CD7"/>
    <w:rsid w:val="0051788D"/>
    <w:rsid w:val="00517B57"/>
    <w:rsid w:val="00522DB6"/>
    <w:rsid w:val="00527B0B"/>
    <w:rsid w:val="005319B2"/>
    <w:rsid w:val="00532402"/>
    <w:rsid w:val="00532C74"/>
    <w:rsid w:val="00534C5B"/>
    <w:rsid w:val="00534E2E"/>
    <w:rsid w:val="0054077E"/>
    <w:rsid w:val="00541C6F"/>
    <w:rsid w:val="00542ED2"/>
    <w:rsid w:val="00544552"/>
    <w:rsid w:val="00566153"/>
    <w:rsid w:val="0057514C"/>
    <w:rsid w:val="00577C4D"/>
    <w:rsid w:val="00577EB0"/>
    <w:rsid w:val="00581932"/>
    <w:rsid w:val="005963BB"/>
    <w:rsid w:val="005A3173"/>
    <w:rsid w:val="005A3223"/>
    <w:rsid w:val="005A3DA3"/>
    <w:rsid w:val="005A52C4"/>
    <w:rsid w:val="005C450A"/>
    <w:rsid w:val="005D03AB"/>
    <w:rsid w:val="005D093C"/>
    <w:rsid w:val="005D4294"/>
    <w:rsid w:val="005D5017"/>
    <w:rsid w:val="005E1333"/>
    <w:rsid w:val="005E5419"/>
    <w:rsid w:val="005F0130"/>
    <w:rsid w:val="005F02C2"/>
    <w:rsid w:val="005F57EC"/>
    <w:rsid w:val="005F67A5"/>
    <w:rsid w:val="005F742A"/>
    <w:rsid w:val="005F7EFA"/>
    <w:rsid w:val="00600784"/>
    <w:rsid w:val="00601A91"/>
    <w:rsid w:val="00602BA3"/>
    <w:rsid w:val="00603242"/>
    <w:rsid w:val="0060470C"/>
    <w:rsid w:val="00605B63"/>
    <w:rsid w:val="00606EED"/>
    <w:rsid w:val="00612E34"/>
    <w:rsid w:val="00614159"/>
    <w:rsid w:val="00617C00"/>
    <w:rsid w:val="006241A2"/>
    <w:rsid w:val="006263BF"/>
    <w:rsid w:val="00626A2E"/>
    <w:rsid w:val="00626C48"/>
    <w:rsid w:val="0062748A"/>
    <w:rsid w:val="00630A2C"/>
    <w:rsid w:val="0063682E"/>
    <w:rsid w:val="006436CD"/>
    <w:rsid w:val="00645D10"/>
    <w:rsid w:val="00651169"/>
    <w:rsid w:val="00653477"/>
    <w:rsid w:val="00653D69"/>
    <w:rsid w:val="006552E6"/>
    <w:rsid w:val="00656439"/>
    <w:rsid w:val="006670BE"/>
    <w:rsid w:val="00667185"/>
    <w:rsid w:val="00670A76"/>
    <w:rsid w:val="006711AA"/>
    <w:rsid w:val="00672B57"/>
    <w:rsid w:val="00675622"/>
    <w:rsid w:val="006759DA"/>
    <w:rsid w:val="00675B0D"/>
    <w:rsid w:val="00675B91"/>
    <w:rsid w:val="00675FD5"/>
    <w:rsid w:val="0067747D"/>
    <w:rsid w:val="00686D4D"/>
    <w:rsid w:val="0069039D"/>
    <w:rsid w:val="00690627"/>
    <w:rsid w:val="006906DB"/>
    <w:rsid w:val="00691E6C"/>
    <w:rsid w:val="00692D8C"/>
    <w:rsid w:val="0069501D"/>
    <w:rsid w:val="00696129"/>
    <w:rsid w:val="00697CF2"/>
    <w:rsid w:val="006A12A5"/>
    <w:rsid w:val="006A411C"/>
    <w:rsid w:val="006B0D94"/>
    <w:rsid w:val="006B485D"/>
    <w:rsid w:val="006B4B65"/>
    <w:rsid w:val="006B7FD7"/>
    <w:rsid w:val="006C708E"/>
    <w:rsid w:val="006D0F7C"/>
    <w:rsid w:val="006D14E7"/>
    <w:rsid w:val="006D6493"/>
    <w:rsid w:val="006D6EC7"/>
    <w:rsid w:val="006E1BCD"/>
    <w:rsid w:val="006E433E"/>
    <w:rsid w:val="006F0EA3"/>
    <w:rsid w:val="006F5125"/>
    <w:rsid w:val="00702B6F"/>
    <w:rsid w:val="00706A2F"/>
    <w:rsid w:val="0070718E"/>
    <w:rsid w:val="0071307E"/>
    <w:rsid w:val="0071340B"/>
    <w:rsid w:val="00714695"/>
    <w:rsid w:val="007174BB"/>
    <w:rsid w:val="0072025D"/>
    <w:rsid w:val="007229A1"/>
    <w:rsid w:val="007353D3"/>
    <w:rsid w:val="007472FF"/>
    <w:rsid w:val="007558F4"/>
    <w:rsid w:val="00755A6E"/>
    <w:rsid w:val="0076420C"/>
    <w:rsid w:val="00765A48"/>
    <w:rsid w:val="007716BC"/>
    <w:rsid w:val="00774E2C"/>
    <w:rsid w:val="007753C2"/>
    <w:rsid w:val="00780C8A"/>
    <w:rsid w:val="007838B8"/>
    <w:rsid w:val="00784FFD"/>
    <w:rsid w:val="00794C92"/>
    <w:rsid w:val="00797510"/>
    <w:rsid w:val="007A62F2"/>
    <w:rsid w:val="007C0F57"/>
    <w:rsid w:val="007C2322"/>
    <w:rsid w:val="007C40B6"/>
    <w:rsid w:val="007C68F9"/>
    <w:rsid w:val="007C729F"/>
    <w:rsid w:val="007D28B1"/>
    <w:rsid w:val="007E0D23"/>
    <w:rsid w:val="007E1D28"/>
    <w:rsid w:val="007F2641"/>
    <w:rsid w:val="007F570E"/>
    <w:rsid w:val="007F6635"/>
    <w:rsid w:val="007F7C36"/>
    <w:rsid w:val="00804378"/>
    <w:rsid w:val="00804C8E"/>
    <w:rsid w:val="00806796"/>
    <w:rsid w:val="008151D6"/>
    <w:rsid w:val="0082470D"/>
    <w:rsid w:val="008266C3"/>
    <w:rsid w:val="008268BB"/>
    <w:rsid w:val="00826F6D"/>
    <w:rsid w:val="008306F3"/>
    <w:rsid w:val="00830E40"/>
    <w:rsid w:val="008355C2"/>
    <w:rsid w:val="0083782F"/>
    <w:rsid w:val="00856AD1"/>
    <w:rsid w:val="00856DDD"/>
    <w:rsid w:val="00863E68"/>
    <w:rsid w:val="00866AE1"/>
    <w:rsid w:val="00872F96"/>
    <w:rsid w:val="00875278"/>
    <w:rsid w:val="00882085"/>
    <w:rsid w:val="00883188"/>
    <w:rsid w:val="00883FB8"/>
    <w:rsid w:val="00887238"/>
    <w:rsid w:val="00897D58"/>
    <w:rsid w:val="00897F22"/>
    <w:rsid w:val="008A1956"/>
    <w:rsid w:val="008A4937"/>
    <w:rsid w:val="008A50F1"/>
    <w:rsid w:val="008A5DF8"/>
    <w:rsid w:val="008A76EB"/>
    <w:rsid w:val="008B20C6"/>
    <w:rsid w:val="008C0A14"/>
    <w:rsid w:val="008C16B2"/>
    <w:rsid w:val="008D1B5C"/>
    <w:rsid w:val="008D3C82"/>
    <w:rsid w:val="008D447E"/>
    <w:rsid w:val="008D4BD1"/>
    <w:rsid w:val="008D7A41"/>
    <w:rsid w:val="008E2C72"/>
    <w:rsid w:val="008E3680"/>
    <w:rsid w:val="008E3C12"/>
    <w:rsid w:val="008E4148"/>
    <w:rsid w:val="008E5870"/>
    <w:rsid w:val="008F1434"/>
    <w:rsid w:val="008F2ADE"/>
    <w:rsid w:val="008F7355"/>
    <w:rsid w:val="0090107B"/>
    <w:rsid w:val="00905AF7"/>
    <w:rsid w:val="009067B7"/>
    <w:rsid w:val="0091768A"/>
    <w:rsid w:val="00930937"/>
    <w:rsid w:val="00931570"/>
    <w:rsid w:val="00933E6C"/>
    <w:rsid w:val="00937958"/>
    <w:rsid w:val="00941602"/>
    <w:rsid w:val="00942160"/>
    <w:rsid w:val="009433F7"/>
    <w:rsid w:val="00950FA8"/>
    <w:rsid w:val="0095146F"/>
    <w:rsid w:val="00955968"/>
    <w:rsid w:val="009602C5"/>
    <w:rsid w:val="00962223"/>
    <w:rsid w:val="00962557"/>
    <w:rsid w:val="00963809"/>
    <w:rsid w:val="009643BD"/>
    <w:rsid w:val="00966D0D"/>
    <w:rsid w:val="00967927"/>
    <w:rsid w:val="009711A1"/>
    <w:rsid w:val="00974C21"/>
    <w:rsid w:val="00976785"/>
    <w:rsid w:val="0099397D"/>
    <w:rsid w:val="009A61CA"/>
    <w:rsid w:val="009B0F67"/>
    <w:rsid w:val="009C703C"/>
    <w:rsid w:val="009D3CAA"/>
    <w:rsid w:val="009D607C"/>
    <w:rsid w:val="009E0B1F"/>
    <w:rsid w:val="009E40E1"/>
    <w:rsid w:val="009F0EFA"/>
    <w:rsid w:val="009F2F5D"/>
    <w:rsid w:val="009F4E46"/>
    <w:rsid w:val="009F5B65"/>
    <w:rsid w:val="009F5F2E"/>
    <w:rsid w:val="00A058FF"/>
    <w:rsid w:val="00A06225"/>
    <w:rsid w:val="00A10A4B"/>
    <w:rsid w:val="00A128E6"/>
    <w:rsid w:val="00A30B1C"/>
    <w:rsid w:val="00A34E6C"/>
    <w:rsid w:val="00A35429"/>
    <w:rsid w:val="00A36C12"/>
    <w:rsid w:val="00A36DF3"/>
    <w:rsid w:val="00A37C8D"/>
    <w:rsid w:val="00A37ED9"/>
    <w:rsid w:val="00A503E9"/>
    <w:rsid w:val="00A5273B"/>
    <w:rsid w:val="00A53A9D"/>
    <w:rsid w:val="00A53B23"/>
    <w:rsid w:val="00A55FEE"/>
    <w:rsid w:val="00A621EA"/>
    <w:rsid w:val="00A62A81"/>
    <w:rsid w:val="00A62C1A"/>
    <w:rsid w:val="00A6426D"/>
    <w:rsid w:val="00A64C0B"/>
    <w:rsid w:val="00A665C1"/>
    <w:rsid w:val="00A66EC6"/>
    <w:rsid w:val="00A70144"/>
    <w:rsid w:val="00A70622"/>
    <w:rsid w:val="00A70977"/>
    <w:rsid w:val="00A744F9"/>
    <w:rsid w:val="00A77613"/>
    <w:rsid w:val="00A8390C"/>
    <w:rsid w:val="00A9022C"/>
    <w:rsid w:val="00A928BD"/>
    <w:rsid w:val="00AA12CD"/>
    <w:rsid w:val="00AA33C4"/>
    <w:rsid w:val="00AA4D1C"/>
    <w:rsid w:val="00AB193B"/>
    <w:rsid w:val="00AB5085"/>
    <w:rsid w:val="00AC193C"/>
    <w:rsid w:val="00AC5206"/>
    <w:rsid w:val="00AD4322"/>
    <w:rsid w:val="00AD567A"/>
    <w:rsid w:val="00AE11A5"/>
    <w:rsid w:val="00AE13E2"/>
    <w:rsid w:val="00AE19C1"/>
    <w:rsid w:val="00AE22D3"/>
    <w:rsid w:val="00AE696B"/>
    <w:rsid w:val="00AF0867"/>
    <w:rsid w:val="00AF0875"/>
    <w:rsid w:val="00AF5287"/>
    <w:rsid w:val="00AF62DF"/>
    <w:rsid w:val="00AF68CC"/>
    <w:rsid w:val="00B0386F"/>
    <w:rsid w:val="00B04C43"/>
    <w:rsid w:val="00B1059E"/>
    <w:rsid w:val="00B17581"/>
    <w:rsid w:val="00B176C8"/>
    <w:rsid w:val="00B205AA"/>
    <w:rsid w:val="00B22E84"/>
    <w:rsid w:val="00B233AD"/>
    <w:rsid w:val="00B25F75"/>
    <w:rsid w:val="00B26B3F"/>
    <w:rsid w:val="00B2778F"/>
    <w:rsid w:val="00B31680"/>
    <w:rsid w:val="00B33635"/>
    <w:rsid w:val="00B43E90"/>
    <w:rsid w:val="00B45C6C"/>
    <w:rsid w:val="00B467DC"/>
    <w:rsid w:val="00B46FAD"/>
    <w:rsid w:val="00B522D2"/>
    <w:rsid w:val="00B56118"/>
    <w:rsid w:val="00B66C0B"/>
    <w:rsid w:val="00B6773F"/>
    <w:rsid w:val="00B801BA"/>
    <w:rsid w:val="00B807D4"/>
    <w:rsid w:val="00B807DF"/>
    <w:rsid w:val="00B82BE0"/>
    <w:rsid w:val="00B84D5C"/>
    <w:rsid w:val="00B864BB"/>
    <w:rsid w:val="00B90951"/>
    <w:rsid w:val="00B95BE9"/>
    <w:rsid w:val="00BB2522"/>
    <w:rsid w:val="00BB69F5"/>
    <w:rsid w:val="00BB7EC3"/>
    <w:rsid w:val="00BC3AE4"/>
    <w:rsid w:val="00BC4B9A"/>
    <w:rsid w:val="00BD4C3F"/>
    <w:rsid w:val="00BD4D42"/>
    <w:rsid w:val="00BD784C"/>
    <w:rsid w:val="00BE5841"/>
    <w:rsid w:val="00BF4CB6"/>
    <w:rsid w:val="00C00DA7"/>
    <w:rsid w:val="00C03DB7"/>
    <w:rsid w:val="00C124F7"/>
    <w:rsid w:val="00C12768"/>
    <w:rsid w:val="00C1663E"/>
    <w:rsid w:val="00C20F6F"/>
    <w:rsid w:val="00C27B58"/>
    <w:rsid w:val="00C35996"/>
    <w:rsid w:val="00C4747E"/>
    <w:rsid w:val="00C5342C"/>
    <w:rsid w:val="00C55D79"/>
    <w:rsid w:val="00C562BB"/>
    <w:rsid w:val="00C60272"/>
    <w:rsid w:val="00C603D4"/>
    <w:rsid w:val="00C6256A"/>
    <w:rsid w:val="00C62A5F"/>
    <w:rsid w:val="00C71C3F"/>
    <w:rsid w:val="00C77757"/>
    <w:rsid w:val="00C77891"/>
    <w:rsid w:val="00C84288"/>
    <w:rsid w:val="00C870AE"/>
    <w:rsid w:val="00C870B4"/>
    <w:rsid w:val="00C91449"/>
    <w:rsid w:val="00C92D10"/>
    <w:rsid w:val="00C94F4D"/>
    <w:rsid w:val="00C957F5"/>
    <w:rsid w:val="00C966F7"/>
    <w:rsid w:val="00C97D4E"/>
    <w:rsid w:val="00CA0A12"/>
    <w:rsid w:val="00CA54C5"/>
    <w:rsid w:val="00CB1193"/>
    <w:rsid w:val="00CB27D3"/>
    <w:rsid w:val="00CD651C"/>
    <w:rsid w:val="00CE10C4"/>
    <w:rsid w:val="00CE204C"/>
    <w:rsid w:val="00CE27B5"/>
    <w:rsid w:val="00CE3439"/>
    <w:rsid w:val="00CF2647"/>
    <w:rsid w:val="00CF4307"/>
    <w:rsid w:val="00CF7256"/>
    <w:rsid w:val="00D0321E"/>
    <w:rsid w:val="00D113E1"/>
    <w:rsid w:val="00D1455A"/>
    <w:rsid w:val="00D203E2"/>
    <w:rsid w:val="00D30AFA"/>
    <w:rsid w:val="00D31150"/>
    <w:rsid w:val="00D3138B"/>
    <w:rsid w:val="00D32647"/>
    <w:rsid w:val="00D3280C"/>
    <w:rsid w:val="00D3406A"/>
    <w:rsid w:val="00D41B81"/>
    <w:rsid w:val="00D43370"/>
    <w:rsid w:val="00D4572C"/>
    <w:rsid w:val="00D469B2"/>
    <w:rsid w:val="00D56931"/>
    <w:rsid w:val="00D6394E"/>
    <w:rsid w:val="00D70A4A"/>
    <w:rsid w:val="00D72496"/>
    <w:rsid w:val="00D741EB"/>
    <w:rsid w:val="00D74D23"/>
    <w:rsid w:val="00D820F3"/>
    <w:rsid w:val="00D8260F"/>
    <w:rsid w:val="00D83605"/>
    <w:rsid w:val="00D84934"/>
    <w:rsid w:val="00D91271"/>
    <w:rsid w:val="00D919F5"/>
    <w:rsid w:val="00D930CD"/>
    <w:rsid w:val="00D94F03"/>
    <w:rsid w:val="00D962C7"/>
    <w:rsid w:val="00DA2CB5"/>
    <w:rsid w:val="00DA4BAC"/>
    <w:rsid w:val="00DA6EBF"/>
    <w:rsid w:val="00DB0151"/>
    <w:rsid w:val="00DB61C4"/>
    <w:rsid w:val="00DB732B"/>
    <w:rsid w:val="00DD025F"/>
    <w:rsid w:val="00DD55A5"/>
    <w:rsid w:val="00DE3CF5"/>
    <w:rsid w:val="00DE5C74"/>
    <w:rsid w:val="00DE6D27"/>
    <w:rsid w:val="00DE790E"/>
    <w:rsid w:val="00DF217D"/>
    <w:rsid w:val="00DF26A7"/>
    <w:rsid w:val="00DF3341"/>
    <w:rsid w:val="00E04BF0"/>
    <w:rsid w:val="00E06B58"/>
    <w:rsid w:val="00E10412"/>
    <w:rsid w:val="00E136F0"/>
    <w:rsid w:val="00E15627"/>
    <w:rsid w:val="00E164B3"/>
    <w:rsid w:val="00E16910"/>
    <w:rsid w:val="00E24AA4"/>
    <w:rsid w:val="00E27234"/>
    <w:rsid w:val="00E30297"/>
    <w:rsid w:val="00E36DA0"/>
    <w:rsid w:val="00E42BDB"/>
    <w:rsid w:val="00E53360"/>
    <w:rsid w:val="00E534BD"/>
    <w:rsid w:val="00E57C9B"/>
    <w:rsid w:val="00E57EEB"/>
    <w:rsid w:val="00E62D94"/>
    <w:rsid w:val="00E65476"/>
    <w:rsid w:val="00E65E54"/>
    <w:rsid w:val="00E663E9"/>
    <w:rsid w:val="00E73D4E"/>
    <w:rsid w:val="00E74896"/>
    <w:rsid w:val="00E758D3"/>
    <w:rsid w:val="00E76635"/>
    <w:rsid w:val="00E77C94"/>
    <w:rsid w:val="00E80155"/>
    <w:rsid w:val="00E80BB0"/>
    <w:rsid w:val="00E81F28"/>
    <w:rsid w:val="00E848C0"/>
    <w:rsid w:val="00E84AB0"/>
    <w:rsid w:val="00E87CA7"/>
    <w:rsid w:val="00E91B96"/>
    <w:rsid w:val="00E941A1"/>
    <w:rsid w:val="00E94DCC"/>
    <w:rsid w:val="00E95CE3"/>
    <w:rsid w:val="00EA2825"/>
    <w:rsid w:val="00EA78A5"/>
    <w:rsid w:val="00EB0B63"/>
    <w:rsid w:val="00EB1936"/>
    <w:rsid w:val="00EB49B6"/>
    <w:rsid w:val="00EB5088"/>
    <w:rsid w:val="00EC05D6"/>
    <w:rsid w:val="00EC192D"/>
    <w:rsid w:val="00EC1CBD"/>
    <w:rsid w:val="00EC4EF8"/>
    <w:rsid w:val="00ED1644"/>
    <w:rsid w:val="00ED2593"/>
    <w:rsid w:val="00ED4D62"/>
    <w:rsid w:val="00ED7D9C"/>
    <w:rsid w:val="00EE51D4"/>
    <w:rsid w:val="00EE6AE0"/>
    <w:rsid w:val="00EE7035"/>
    <w:rsid w:val="00EE740C"/>
    <w:rsid w:val="00EE76C5"/>
    <w:rsid w:val="00EF0069"/>
    <w:rsid w:val="00EF44A0"/>
    <w:rsid w:val="00EF4FED"/>
    <w:rsid w:val="00F00B56"/>
    <w:rsid w:val="00F00DAE"/>
    <w:rsid w:val="00F0172E"/>
    <w:rsid w:val="00F02BD7"/>
    <w:rsid w:val="00F050BD"/>
    <w:rsid w:val="00F05657"/>
    <w:rsid w:val="00F0644D"/>
    <w:rsid w:val="00F15DAD"/>
    <w:rsid w:val="00F15FDC"/>
    <w:rsid w:val="00F1760F"/>
    <w:rsid w:val="00F25578"/>
    <w:rsid w:val="00F258E5"/>
    <w:rsid w:val="00F300BC"/>
    <w:rsid w:val="00F331BD"/>
    <w:rsid w:val="00F3334E"/>
    <w:rsid w:val="00F355C9"/>
    <w:rsid w:val="00F36CCB"/>
    <w:rsid w:val="00F374E5"/>
    <w:rsid w:val="00F406EB"/>
    <w:rsid w:val="00F43AF2"/>
    <w:rsid w:val="00F5007E"/>
    <w:rsid w:val="00F50EC4"/>
    <w:rsid w:val="00F52232"/>
    <w:rsid w:val="00F550CF"/>
    <w:rsid w:val="00F57A6D"/>
    <w:rsid w:val="00F638CC"/>
    <w:rsid w:val="00F6429F"/>
    <w:rsid w:val="00F64864"/>
    <w:rsid w:val="00F64CC1"/>
    <w:rsid w:val="00F709E1"/>
    <w:rsid w:val="00F72317"/>
    <w:rsid w:val="00F7414D"/>
    <w:rsid w:val="00F7638E"/>
    <w:rsid w:val="00F80475"/>
    <w:rsid w:val="00F81074"/>
    <w:rsid w:val="00F8247A"/>
    <w:rsid w:val="00F873FD"/>
    <w:rsid w:val="00F934C9"/>
    <w:rsid w:val="00F9629A"/>
    <w:rsid w:val="00F97EFC"/>
    <w:rsid w:val="00FA34C9"/>
    <w:rsid w:val="00FA3560"/>
    <w:rsid w:val="00FA4311"/>
    <w:rsid w:val="00FA4DD5"/>
    <w:rsid w:val="00FA5430"/>
    <w:rsid w:val="00FA5883"/>
    <w:rsid w:val="00FA6055"/>
    <w:rsid w:val="00FB164D"/>
    <w:rsid w:val="00FB281C"/>
    <w:rsid w:val="00FB322F"/>
    <w:rsid w:val="00FB442F"/>
    <w:rsid w:val="00FB694D"/>
    <w:rsid w:val="00FC1929"/>
    <w:rsid w:val="00FC1F45"/>
    <w:rsid w:val="00FC3647"/>
    <w:rsid w:val="00FC5B46"/>
    <w:rsid w:val="00FC709D"/>
    <w:rsid w:val="00FD2BF1"/>
    <w:rsid w:val="00FD6D8E"/>
    <w:rsid w:val="00FE0E94"/>
    <w:rsid w:val="00FE2AEC"/>
    <w:rsid w:val="00FE3C59"/>
    <w:rsid w:val="00FE4349"/>
    <w:rsid w:val="00FE4765"/>
    <w:rsid w:val="00FF00BD"/>
    <w:rsid w:val="00FF1ED4"/>
    <w:rsid w:val="00FF2801"/>
    <w:rsid w:val="00FF6608"/>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B2AC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1"/>
    <w:lsdException w:name="heading 2" w:uiPriority="1" w:qFormat="1"/>
    <w:lsdException w:name="heading 3" w:semiHidden="1" w:unhideWhenUsed="1" w:qFormat="1"/>
    <w:lsdException w:name="heading 4"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ListParagraph"/>
    <w:next w:val="Normal"/>
    <w:link w:val="Heading1Char"/>
    <w:uiPriority w:val="1"/>
    <w:rsid w:val="00C603D4"/>
    <w:pPr>
      <w:ind w:left="0"/>
      <w:outlineLvl w:val="0"/>
    </w:pPr>
    <w:rPr>
      <w:b/>
      <w:szCs w:val="22"/>
    </w:rPr>
  </w:style>
  <w:style w:type="paragraph" w:styleId="Heading2">
    <w:name w:val="heading 2"/>
    <w:aliases w:val="Subsection Headings"/>
    <w:basedOn w:val="Normal"/>
    <w:next w:val="Normal"/>
    <w:link w:val="Heading2Char"/>
    <w:uiPriority w:val="1"/>
    <w:qFormat/>
    <w:rsid w:val="00B1059E"/>
    <w:pPr>
      <w:keepNext/>
      <w:outlineLvl w:val="1"/>
    </w:pPr>
    <w:rPr>
      <w:rFonts w:ascii="Arial" w:hAnsi="Arial"/>
      <w:b/>
      <w:i/>
      <w:sz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pPr>
      <w:spacing w:before="240" w:after="60"/>
      <w:outlineLvl w:val="4"/>
    </w:pPr>
    <w:rPr>
      <w:b/>
      <w:bCs/>
      <w:i/>
      <w:iCs/>
      <w:sz w:val="26"/>
      <w:szCs w:val="26"/>
    </w:rPr>
  </w:style>
  <w:style w:type="paragraph" w:styleId="Heading6">
    <w:name w:val="heading 6"/>
    <w:basedOn w:val="Normal"/>
    <w:next w:val="Normal"/>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aliases w:val="Summary box,Table Gridbeth,ASD Table"/>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qFormat/>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Numbered para,Footnote,Bullet point,List Paragraph1,List Paragraph11,Recommendation,ES Paragraph,PBAC ES Paragraph,PBAC normal points,Bullet List"/>
    <w:basedOn w:val="Normal"/>
    <w:link w:val="ListParagraphChar"/>
    <w:uiPriority w:val="34"/>
    <w:qFormat/>
    <w:rsid w:val="00300AD6"/>
    <w:pPr>
      <w:widowControl w:val="0"/>
      <w:ind w:left="720"/>
      <w:contextualSpacing/>
      <w:jc w:val="both"/>
    </w:pPr>
    <w:rPr>
      <w:rFonts w:ascii="Arial" w:hAnsi="Arial" w:cs="Arial"/>
      <w:snapToGrid w:val="0"/>
      <w:sz w:val="22"/>
      <w:szCs w:val="20"/>
      <w:lang w:eastAsia="en-US"/>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link w:val="NoSpacingChar"/>
    <w:uiPriority w:val="1"/>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Numbered para Char,Footnote Char,Bullet point Char,List Paragraph1 Char,List Paragraph11 Char,Recommendation Char,ES Paragraph Char,PBAC ES Paragraph Char,PBAC normal points Char,Bullet List Char"/>
    <w:basedOn w:val="DefaultParagraphFont"/>
    <w:link w:val="ListParagraph"/>
    <w:uiPriority w:val="34"/>
    <w:qFormat/>
    <w:rsid w:val="00077143"/>
    <w:rPr>
      <w:rFonts w:ascii="Arial" w:hAnsi="Arial" w:cs="Arial"/>
      <w:snapToGrid w:val="0"/>
      <w:sz w:val="22"/>
      <w:lang w:eastAsia="en-US"/>
    </w:rPr>
  </w:style>
  <w:style w:type="paragraph" w:customStyle="1" w:styleId="2Sections">
    <w:name w:val="2. Sections"/>
    <w:qFormat/>
    <w:rsid w:val="0033263D"/>
    <w:pPr>
      <w:numPr>
        <w:numId w:val="3"/>
      </w:numPr>
      <w:spacing w:before="240" w:after="120"/>
      <w:ind w:left="720"/>
      <w:outlineLvl w:val="0"/>
    </w:pPr>
    <w:rPr>
      <w:rFonts w:asciiTheme="minorHAnsi" w:hAnsiTheme="minorHAnsi" w:cs="Arial"/>
      <w:b/>
      <w:snapToGrid w:val="0"/>
      <w:sz w:val="32"/>
      <w:szCs w:val="32"/>
      <w:lang w:eastAsia="en-US"/>
    </w:rPr>
  </w:style>
  <w:style w:type="character" w:customStyle="1" w:styleId="Heading1Char">
    <w:name w:val="Heading 1 Char"/>
    <w:basedOn w:val="DefaultParagraphFont"/>
    <w:link w:val="Heading1"/>
    <w:uiPriority w:val="1"/>
    <w:rsid w:val="003C2FB5"/>
    <w:rPr>
      <w:rFonts w:ascii="Arial" w:hAnsi="Arial" w:cs="Arial"/>
      <w:b/>
      <w:snapToGrid w:val="0"/>
      <w:sz w:val="22"/>
      <w:szCs w:val="22"/>
      <w:lang w:eastAsia="en-US"/>
    </w:rPr>
  </w:style>
  <w:style w:type="character" w:customStyle="1" w:styleId="Heading2Char">
    <w:name w:val="Heading 2 Char"/>
    <w:aliases w:val="Subsection Headings Char"/>
    <w:basedOn w:val="DefaultParagraphFont"/>
    <w:link w:val="Heading2"/>
    <w:uiPriority w:val="1"/>
    <w:rsid w:val="003C2FB5"/>
    <w:rPr>
      <w:rFonts w:ascii="Arial" w:hAnsi="Arial"/>
      <w:b/>
      <w:i/>
      <w:sz w:val="22"/>
      <w:szCs w:val="24"/>
    </w:rPr>
  </w:style>
  <w:style w:type="paragraph" w:customStyle="1" w:styleId="1MainTitle">
    <w:name w:val="1. Main Title"/>
    <w:basedOn w:val="Title"/>
    <w:link w:val="1MainTitleChar"/>
    <w:qFormat/>
    <w:rsid w:val="00706A2F"/>
    <w:pPr>
      <w:spacing w:before="120" w:after="160"/>
      <w:ind w:left="720" w:hanging="720"/>
    </w:pPr>
    <w:rPr>
      <w:rFonts w:asciiTheme="minorHAnsi" w:hAnsiTheme="minorHAnsi"/>
      <w:sz w:val="36"/>
      <w:szCs w:val="36"/>
    </w:rPr>
  </w:style>
  <w:style w:type="paragraph" w:customStyle="1" w:styleId="MinorOVRHeader">
    <w:name w:val="Minor OVR Header"/>
    <w:basedOn w:val="Header"/>
    <w:link w:val="MinorOVRHeaderChar"/>
    <w:rsid w:val="00706A2F"/>
    <w:pPr>
      <w:jc w:val="right"/>
    </w:pPr>
    <w:rPr>
      <w:rFonts w:asciiTheme="minorHAnsi" w:hAnsiTheme="minorHAnsi" w:cs="Arial"/>
    </w:rPr>
  </w:style>
  <w:style w:type="character" w:customStyle="1" w:styleId="1MainTitleChar">
    <w:name w:val="1. Main Title Char"/>
    <w:basedOn w:val="TitleChar"/>
    <w:link w:val="1MainTitle"/>
    <w:rsid w:val="00706A2F"/>
    <w:rPr>
      <w:rFonts w:asciiTheme="minorHAnsi" w:eastAsiaTheme="majorEastAsia" w:hAnsiTheme="minorHAnsi" w:cstheme="majorBidi"/>
      <w:b/>
      <w:spacing w:val="5"/>
      <w:kern w:val="28"/>
      <w:sz w:val="36"/>
      <w:szCs w:val="36"/>
    </w:rPr>
  </w:style>
  <w:style w:type="paragraph" w:customStyle="1" w:styleId="Tabletitles">
    <w:name w:val="Table titles"/>
    <w:basedOn w:val="NoSpacing"/>
    <w:link w:val="TabletitlesChar"/>
    <w:qFormat/>
    <w:rsid w:val="00774E2C"/>
    <w:pPr>
      <w:spacing w:after="60"/>
    </w:pPr>
    <w:rPr>
      <w:rFonts w:ascii="Arial Narrow" w:hAnsi="Arial Narrow"/>
      <w:b/>
      <w:sz w:val="20"/>
    </w:rPr>
  </w:style>
  <w:style w:type="character" w:customStyle="1" w:styleId="MinorOVRHeaderChar">
    <w:name w:val="Minor OVR Header Char"/>
    <w:basedOn w:val="HeaderChar"/>
    <w:link w:val="MinorOVRHeader"/>
    <w:rsid w:val="00706A2F"/>
    <w:rPr>
      <w:rFonts w:asciiTheme="minorHAnsi" w:hAnsiTheme="minorHAnsi" w:cs="Arial"/>
      <w:sz w:val="24"/>
      <w:szCs w:val="24"/>
      <w:lang w:eastAsia="en-AU"/>
    </w:rPr>
  </w:style>
  <w:style w:type="character" w:customStyle="1" w:styleId="NoSpacingChar">
    <w:name w:val="No Spacing Char"/>
    <w:basedOn w:val="DefaultParagraphFont"/>
    <w:link w:val="NoSpacing"/>
    <w:uiPriority w:val="99"/>
    <w:rsid w:val="00774E2C"/>
    <w:rPr>
      <w:rFonts w:ascii="Arial" w:hAnsi="Arial"/>
      <w:sz w:val="22"/>
      <w:szCs w:val="22"/>
    </w:rPr>
  </w:style>
  <w:style w:type="character" w:customStyle="1" w:styleId="TabletitlesChar">
    <w:name w:val="Table titles Char"/>
    <w:basedOn w:val="NoSpacingChar"/>
    <w:link w:val="Tabletitles"/>
    <w:rsid w:val="00774E2C"/>
    <w:rPr>
      <w:rFonts w:ascii="Arial Narrow" w:hAnsi="Arial Narrow"/>
      <w:b/>
      <w:sz w:val="22"/>
      <w:szCs w:val="22"/>
    </w:rPr>
  </w:style>
  <w:style w:type="paragraph" w:customStyle="1" w:styleId="3Bodytext">
    <w:name w:val="3. Body text"/>
    <w:basedOn w:val="ListParagraph"/>
    <w:link w:val="3BodytextChar"/>
    <w:qFormat/>
    <w:rsid w:val="0033263D"/>
    <w:pPr>
      <w:widowControl/>
      <w:numPr>
        <w:ilvl w:val="1"/>
        <w:numId w:val="3"/>
      </w:numPr>
      <w:spacing w:after="120"/>
      <w:contextualSpacing w:val="0"/>
    </w:pPr>
    <w:rPr>
      <w:rFonts w:asciiTheme="minorHAnsi" w:eastAsiaTheme="minorHAnsi" w:hAnsiTheme="minorHAnsi" w:cstheme="minorBidi"/>
      <w:snapToGrid/>
      <w:sz w:val="24"/>
      <w:szCs w:val="22"/>
    </w:rPr>
  </w:style>
  <w:style w:type="paragraph" w:customStyle="1" w:styleId="PBACFooter">
    <w:name w:val="PBAC Footer"/>
    <w:basedOn w:val="Footer"/>
    <w:link w:val="PBACFooterChar"/>
    <w:qFormat/>
    <w:rsid w:val="00E27234"/>
    <w:pPr>
      <w:jc w:val="center"/>
    </w:pPr>
    <w:rPr>
      <w:rFonts w:ascii="Arial" w:hAnsi="Arial" w:cs="Arial"/>
      <w:b/>
      <w:sz w:val="20"/>
      <w:szCs w:val="20"/>
    </w:rPr>
  </w:style>
  <w:style w:type="character" w:customStyle="1" w:styleId="3BodytextChar">
    <w:name w:val="3. Body text Char"/>
    <w:basedOn w:val="ListParagraphChar"/>
    <w:link w:val="3Bodytext"/>
    <w:rsid w:val="0033263D"/>
    <w:rPr>
      <w:rFonts w:asciiTheme="minorHAnsi" w:eastAsiaTheme="minorHAnsi" w:hAnsiTheme="minorHAnsi" w:cstheme="minorBidi"/>
      <w:snapToGrid/>
      <w:sz w:val="24"/>
      <w:szCs w:val="22"/>
      <w:lang w:eastAsia="en-US"/>
    </w:rPr>
  </w:style>
  <w:style w:type="character" w:customStyle="1" w:styleId="PBACFooterChar">
    <w:name w:val="PBAC Footer Char"/>
    <w:basedOn w:val="FooterChar"/>
    <w:link w:val="PBACFooter"/>
    <w:rsid w:val="00E27234"/>
    <w:rPr>
      <w:rFonts w:ascii="Arial" w:hAnsi="Arial" w:cs="Arial"/>
      <w:b/>
      <w:sz w:val="24"/>
      <w:szCs w:val="24"/>
    </w:rPr>
  </w:style>
  <w:style w:type="paragraph" w:customStyle="1" w:styleId="PBACHeading1">
    <w:name w:val="PBAC Heading 1"/>
    <w:qFormat/>
    <w:rsid w:val="00162D4E"/>
    <w:pPr>
      <w:ind w:left="720" w:hanging="720"/>
      <w:outlineLvl w:val="0"/>
    </w:pPr>
    <w:rPr>
      <w:rFonts w:ascii="Arial" w:hAnsi="Arial" w:cs="Arial"/>
      <w:b/>
      <w:snapToGrid w:val="0"/>
      <w:sz w:val="22"/>
      <w:szCs w:val="22"/>
      <w:lang w:eastAsia="en-US"/>
    </w:rPr>
  </w:style>
  <w:style w:type="paragraph" w:customStyle="1" w:styleId="TableText0">
    <w:name w:val="Table Text"/>
    <w:basedOn w:val="NoSpacing"/>
    <w:link w:val="TableTextChar0"/>
    <w:qFormat/>
    <w:rsid w:val="000A44B2"/>
    <w:rPr>
      <w:rFonts w:ascii="Arial Narrow" w:hAnsi="Arial Narrow"/>
      <w:sz w:val="20"/>
    </w:rPr>
  </w:style>
  <w:style w:type="paragraph" w:customStyle="1" w:styleId="Lists">
    <w:name w:val="Lists"/>
    <w:basedOn w:val="3Bodytext"/>
    <w:link w:val="ListsChar"/>
    <w:qFormat/>
    <w:rsid w:val="000A44B2"/>
    <w:pPr>
      <w:numPr>
        <w:ilvl w:val="0"/>
        <w:numId w:val="4"/>
      </w:numPr>
    </w:pPr>
  </w:style>
  <w:style w:type="character" w:customStyle="1" w:styleId="TableTextChar0">
    <w:name w:val="Table Text Char"/>
    <w:basedOn w:val="NoSpacingChar"/>
    <w:link w:val="TableText0"/>
    <w:rsid w:val="000A44B2"/>
    <w:rPr>
      <w:rFonts w:ascii="Arial Narrow" w:hAnsi="Arial Narrow"/>
      <w:sz w:val="22"/>
      <w:szCs w:val="22"/>
    </w:rPr>
  </w:style>
  <w:style w:type="character" w:styleId="FollowedHyperlink">
    <w:name w:val="FollowedHyperlink"/>
    <w:basedOn w:val="DefaultParagraphFont"/>
    <w:semiHidden/>
    <w:unhideWhenUsed/>
    <w:rsid w:val="00FA4DD5"/>
    <w:rPr>
      <w:color w:val="800080" w:themeColor="followedHyperlink"/>
      <w:u w:val="single"/>
    </w:rPr>
  </w:style>
  <w:style w:type="character" w:customStyle="1" w:styleId="ListsChar">
    <w:name w:val="Lists Char"/>
    <w:basedOn w:val="3BodytextChar"/>
    <w:link w:val="Lists"/>
    <w:rsid w:val="000A44B2"/>
    <w:rPr>
      <w:rFonts w:asciiTheme="minorHAnsi" w:eastAsiaTheme="minorHAnsi" w:hAnsiTheme="minorHAnsi" w:cstheme="minorBidi"/>
      <w:snapToGrid/>
      <w:sz w:val="24"/>
      <w:szCs w:val="22"/>
      <w:lang w:eastAsia="en-US"/>
    </w:rPr>
  </w:style>
  <w:style w:type="paragraph" w:customStyle="1" w:styleId="TableFooter">
    <w:name w:val="Table Footer"/>
    <w:basedOn w:val="Normal"/>
    <w:link w:val="TableFooterChar"/>
    <w:qFormat/>
    <w:rsid w:val="00FC3647"/>
    <w:pPr>
      <w:widowControl w:val="0"/>
      <w:jc w:val="both"/>
    </w:pPr>
    <w:rPr>
      <w:rFonts w:ascii="Arial Narrow" w:hAnsi="Arial Narrow" w:cs="Arial"/>
      <w:snapToGrid w:val="0"/>
      <w:sz w:val="18"/>
      <w:szCs w:val="22"/>
      <w:lang w:eastAsia="en-US"/>
    </w:rPr>
  </w:style>
  <w:style w:type="character" w:customStyle="1" w:styleId="TableFooterChar">
    <w:name w:val="Table Footer Char"/>
    <w:link w:val="TableFooter"/>
    <w:rsid w:val="00FC3647"/>
    <w:rPr>
      <w:rFonts w:ascii="Arial Narrow" w:hAnsi="Arial Narrow" w:cs="Arial"/>
      <w:snapToGrid w:val="0"/>
      <w:sz w:val="18"/>
      <w:szCs w:val="22"/>
      <w:lang w:eastAsia="en-US"/>
    </w:rPr>
  </w:style>
  <w:style w:type="character" w:customStyle="1" w:styleId="TabletextChar">
    <w:name w:val="Table text Char"/>
    <w:link w:val="Tabletext"/>
    <w:rsid w:val="00FC3647"/>
    <w:rPr>
      <w:rFonts w:ascii="Arial" w:hAnsi="Arial"/>
      <w:lang w:eastAsia="en-US"/>
    </w:rPr>
  </w:style>
  <w:style w:type="character" w:customStyle="1" w:styleId="CaptionChar">
    <w:name w:val="Caption Char"/>
    <w:aliases w:val="Caption Char1 Char Char,Caption Char Char Char Char,Caption Char1 Char Char Char Char,Caption Char Char Char Char Char Char,Caption Char Char1 Char Char,Caption Char1 Char1 Char,Caption Char Char Char1 Char,Caption Char1 Char2"/>
    <w:link w:val="Caption"/>
    <w:uiPriority w:val="35"/>
    <w:locked/>
    <w:rsid w:val="00FA3560"/>
    <w:rPr>
      <w:rFonts w:ascii="Calibri" w:hAnsi="Calibri" w:cs="Arial"/>
      <w:b/>
      <w:bCs/>
      <w:color w:val="4F81BD" w:themeColor="accent1"/>
      <w:sz w:val="18"/>
      <w:szCs w:val="18"/>
    </w:rPr>
  </w:style>
  <w:style w:type="paragraph" w:styleId="Caption">
    <w:name w:val="caption"/>
    <w:aliases w:val="Caption Char1 Char,Caption Char Char Char,Caption Char1 Char Char Char,Caption Char Char Char Char Char,Caption Char Char1 Char,Caption Char1 Char1,Caption Char Char Char1,Caption Char1,Caption Char Char,Bayer Caption,IB Caption,Medical Caption"/>
    <w:basedOn w:val="Normal"/>
    <w:next w:val="Normal"/>
    <w:link w:val="CaptionChar"/>
    <w:uiPriority w:val="35"/>
    <w:unhideWhenUsed/>
    <w:qFormat/>
    <w:rsid w:val="00FA3560"/>
    <w:pPr>
      <w:widowControl w:val="0"/>
      <w:snapToGrid w:val="0"/>
      <w:spacing w:after="200"/>
      <w:jc w:val="both"/>
    </w:pPr>
    <w:rPr>
      <w:rFonts w:ascii="Calibri" w:hAnsi="Calibri" w:cs="Arial"/>
      <w:b/>
      <w:bCs/>
      <w:color w:val="4F81BD" w:themeColor="accent1"/>
      <w:sz w:val="18"/>
      <w:szCs w:val="18"/>
    </w:rPr>
  </w:style>
  <w:style w:type="paragraph" w:customStyle="1" w:styleId="Default">
    <w:name w:val="Default"/>
    <w:rsid w:val="00F00DAE"/>
    <w:pPr>
      <w:autoSpaceDE w:val="0"/>
      <w:autoSpaceDN w:val="0"/>
      <w:adjustRightInd w:val="0"/>
    </w:pPr>
    <w:rPr>
      <w:rFonts w:ascii="Calibri" w:hAnsi="Calibri" w:cs="Calibri"/>
      <w:color w:val="000000"/>
      <w:sz w:val="24"/>
      <w:szCs w:val="24"/>
    </w:rPr>
  </w:style>
  <w:style w:type="paragraph" w:styleId="FootnoteText">
    <w:name w:val="footnote text"/>
    <w:basedOn w:val="Normal"/>
    <w:link w:val="FootnoteTextChar"/>
    <w:semiHidden/>
    <w:unhideWhenUsed/>
    <w:rsid w:val="00D8260F"/>
    <w:rPr>
      <w:sz w:val="20"/>
      <w:szCs w:val="20"/>
    </w:rPr>
  </w:style>
  <w:style w:type="character" w:customStyle="1" w:styleId="FootnoteTextChar">
    <w:name w:val="Footnote Text Char"/>
    <w:basedOn w:val="DefaultParagraphFont"/>
    <w:link w:val="FootnoteText"/>
    <w:semiHidden/>
    <w:rsid w:val="00D8260F"/>
  </w:style>
  <w:style w:type="character" w:styleId="FootnoteReference">
    <w:name w:val="footnote reference"/>
    <w:basedOn w:val="DefaultParagraphFont"/>
    <w:semiHidden/>
    <w:unhideWhenUsed/>
    <w:rsid w:val="00D8260F"/>
    <w:rPr>
      <w:vertAlign w:val="superscript"/>
    </w:rPr>
  </w:style>
  <w:style w:type="paragraph" w:styleId="NormalWeb">
    <w:name w:val="Normal (Web)"/>
    <w:basedOn w:val="Normal"/>
    <w:uiPriority w:val="99"/>
    <w:unhideWhenUsed/>
    <w:rsid w:val="00AD567A"/>
    <w:pPr>
      <w:spacing w:before="100" w:beforeAutospacing="1" w:after="100" w:afterAutospacing="1"/>
    </w:pPr>
  </w:style>
  <w:style w:type="character" w:styleId="Strong">
    <w:name w:val="Strong"/>
    <w:basedOn w:val="DefaultParagraphFont"/>
    <w:uiPriority w:val="22"/>
    <w:qFormat/>
    <w:rsid w:val="00AD567A"/>
    <w:rPr>
      <w:b/>
      <w:bCs/>
    </w:rPr>
  </w:style>
  <w:style w:type="paragraph" w:styleId="Revision">
    <w:name w:val="Revision"/>
    <w:hidden/>
    <w:uiPriority w:val="71"/>
    <w:semiHidden/>
    <w:rsid w:val="001F050C"/>
    <w:rPr>
      <w:sz w:val="24"/>
      <w:szCs w:val="24"/>
    </w:rPr>
  </w:style>
  <w:style w:type="paragraph" w:customStyle="1" w:styleId="Bodytextitalics">
    <w:name w:val="Body text italics"/>
    <w:basedOn w:val="BodyText"/>
    <w:qFormat/>
    <w:rsid w:val="00E06B58"/>
    <w:pPr>
      <w:tabs>
        <w:tab w:val="num" w:pos="360"/>
      </w:tabs>
    </w:pPr>
    <w:rPr>
      <w:rFonts w:asciiTheme="minorHAnsi" w:eastAsiaTheme="minorHAnsi" w:hAnsiTheme="minorHAnsi" w:cstheme="minorBidi"/>
      <w:i/>
      <w:szCs w:val="22"/>
    </w:rPr>
  </w:style>
  <w:style w:type="paragraph" w:styleId="BodyText">
    <w:name w:val="Body Text"/>
    <w:basedOn w:val="Normal"/>
    <w:link w:val="BodyTextChar"/>
    <w:semiHidden/>
    <w:unhideWhenUsed/>
    <w:rsid w:val="00E06B58"/>
    <w:pPr>
      <w:spacing w:after="120"/>
    </w:pPr>
  </w:style>
  <w:style w:type="character" w:customStyle="1" w:styleId="BodyTextChar">
    <w:name w:val="Body Text Char"/>
    <w:basedOn w:val="DefaultParagraphFont"/>
    <w:link w:val="BodyText"/>
    <w:semiHidden/>
    <w:rsid w:val="00E06B5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440492753">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080441152">
      <w:bodyDiv w:val="1"/>
      <w:marLeft w:val="0"/>
      <w:marRight w:val="0"/>
      <w:marTop w:val="0"/>
      <w:marBottom w:val="0"/>
      <w:divBdr>
        <w:top w:val="none" w:sz="0" w:space="0" w:color="auto"/>
        <w:left w:val="none" w:sz="0" w:space="0" w:color="auto"/>
        <w:bottom w:val="none" w:sz="0" w:space="0" w:color="auto"/>
        <w:right w:val="none" w:sz="0" w:space="0" w:color="auto"/>
      </w:divBdr>
    </w:div>
    <w:div w:id="1146822025">
      <w:bodyDiv w:val="1"/>
      <w:marLeft w:val="0"/>
      <w:marRight w:val="0"/>
      <w:marTop w:val="0"/>
      <w:marBottom w:val="0"/>
      <w:divBdr>
        <w:top w:val="none" w:sz="0" w:space="0" w:color="auto"/>
        <w:left w:val="none" w:sz="0" w:space="0" w:color="auto"/>
        <w:bottom w:val="none" w:sz="0" w:space="0" w:color="auto"/>
        <w:right w:val="none" w:sz="0" w:space="0" w:color="auto"/>
      </w:divBdr>
    </w:div>
    <w:div w:id="1540581945">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24</Pages>
  <Words>8717</Words>
  <Characters>52281</Characters>
  <Application>Microsoft Office Word</Application>
  <DocSecurity>0</DocSecurity>
  <Lines>435</Lines>
  <Paragraphs>121</Paragraphs>
  <ScaleCrop>false</ScaleCrop>
  <Company/>
  <LinksUpToDate>false</LinksUpToDate>
  <CharactersWithSpaces>60877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2020-02-27T04:23:00Z</dcterms:created>
  <dcterms:modified xsi:type="dcterms:W3CDTF">2020-02-27T04:29:00Z</dcterms:modified>
</cp:coreProperties>
</file>