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016" w:rsidRPr="005F4582" w:rsidRDefault="003E0016" w:rsidP="003E0016">
      <w:pPr>
        <w:pStyle w:val="1MainTitle"/>
      </w:pPr>
      <w:r w:rsidRPr="005F4582">
        <w:t>7.11</w:t>
      </w:r>
      <w:r w:rsidRPr="005F4582">
        <w:tab/>
        <w:t xml:space="preserve">DURVALUMAB </w:t>
      </w:r>
      <w:r w:rsidRPr="005F4582">
        <w:br/>
        <w:t xml:space="preserve">Solution concentrate for I.V. Infusion, </w:t>
      </w:r>
    </w:p>
    <w:p w:rsidR="006552E6" w:rsidRPr="005F4582" w:rsidRDefault="003E0016" w:rsidP="00673AED">
      <w:pPr>
        <w:pStyle w:val="1MainTitle"/>
        <w:ind w:firstLine="0"/>
        <w:rPr>
          <w:color w:val="000000" w:themeColor="text1"/>
        </w:rPr>
      </w:pPr>
      <w:r w:rsidRPr="005F4582">
        <w:t xml:space="preserve">120 mg in 2.4 mL, 500 mg in 10 mL </w:t>
      </w:r>
      <w:r w:rsidRPr="005F4582">
        <w:br/>
      </w:r>
      <w:proofErr w:type="spellStart"/>
      <w:r w:rsidRPr="005F4582">
        <w:t>Imfinzi</w:t>
      </w:r>
      <w:proofErr w:type="spellEnd"/>
      <w:r w:rsidRPr="005F4582">
        <w:rPr>
          <w:vertAlign w:val="superscript"/>
        </w:rPr>
        <w:t>®</w:t>
      </w:r>
      <w:r w:rsidRPr="005F4582">
        <w:t>, AstraZeneca Pty Ltd</w:t>
      </w:r>
    </w:p>
    <w:p w:rsidR="008A50F1" w:rsidRPr="005F4582" w:rsidRDefault="00CE10C4" w:rsidP="00B22235">
      <w:pPr>
        <w:pStyle w:val="2Sections"/>
        <w:numPr>
          <w:ilvl w:val="0"/>
          <w:numId w:val="7"/>
        </w:numPr>
      </w:pPr>
      <w:r w:rsidRPr="005F4582">
        <w:t xml:space="preserve">Purpose of </w:t>
      </w:r>
      <w:r w:rsidR="0004240E" w:rsidRPr="005F4582">
        <w:t>Application</w:t>
      </w:r>
      <w:r w:rsidR="00034905" w:rsidRPr="005F4582">
        <w:t xml:space="preserve"> </w:t>
      </w:r>
    </w:p>
    <w:p w:rsidR="003E0016" w:rsidRPr="005F4582" w:rsidRDefault="003E0016" w:rsidP="00E45453">
      <w:pPr>
        <w:pStyle w:val="Bodytextitalics"/>
        <w:jc w:val="both"/>
        <w:rPr>
          <w:i w:val="0"/>
        </w:rPr>
      </w:pPr>
      <w:r w:rsidRPr="005F4582">
        <w:rPr>
          <w:i w:val="0"/>
        </w:rPr>
        <w:t>The resubmission requested Section 100 Authority Required (</w:t>
      </w:r>
      <w:r w:rsidR="00A63577" w:rsidRPr="005F4582">
        <w:rPr>
          <w:i w:val="0"/>
        </w:rPr>
        <w:t>Streamlined</w:t>
      </w:r>
      <w:r w:rsidRPr="005F4582">
        <w:rPr>
          <w:i w:val="0"/>
        </w:rPr>
        <w:t xml:space="preserve">) (Efficient Funding of Chemotherapy) listing of </w:t>
      </w:r>
      <w:proofErr w:type="spellStart"/>
      <w:r w:rsidRPr="005F4582">
        <w:rPr>
          <w:i w:val="0"/>
        </w:rPr>
        <w:t>durvalumab</w:t>
      </w:r>
      <w:proofErr w:type="spellEnd"/>
      <w:r w:rsidRPr="005F4582">
        <w:rPr>
          <w:i w:val="0"/>
        </w:rPr>
        <w:t xml:space="preserve"> for the treatment of </w:t>
      </w:r>
      <w:proofErr w:type="spellStart"/>
      <w:r w:rsidRPr="005F4582">
        <w:rPr>
          <w:i w:val="0"/>
        </w:rPr>
        <w:t>unresectable</w:t>
      </w:r>
      <w:proofErr w:type="spellEnd"/>
      <w:r w:rsidRPr="005F4582">
        <w:rPr>
          <w:i w:val="0"/>
        </w:rPr>
        <w:t xml:space="preserve"> Stage III non-small cell lung cancer (NSCLC) for patients whose disease has not progressed following </w:t>
      </w:r>
      <w:proofErr w:type="spellStart"/>
      <w:r w:rsidRPr="005F4582">
        <w:rPr>
          <w:i w:val="0"/>
        </w:rPr>
        <w:t>chemoradiation</w:t>
      </w:r>
      <w:proofErr w:type="spellEnd"/>
      <w:r w:rsidRPr="005F4582">
        <w:rPr>
          <w:i w:val="0"/>
        </w:rPr>
        <w:t xml:space="preserve"> therapy</w:t>
      </w:r>
      <w:r w:rsidR="000A720F" w:rsidRPr="005F4582">
        <w:rPr>
          <w:i w:val="0"/>
        </w:rPr>
        <w:t xml:space="preserve"> (CRT)</w:t>
      </w:r>
      <w:r w:rsidRPr="005F4582">
        <w:rPr>
          <w:i w:val="0"/>
        </w:rPr>
        <w:t>.</w:t>
      </w:r>
    </w:p>
    <w:p w:rsidR="003E0016" w:rsidRPr="005F4582" w:rsidRDefault="003E0016" w:rsidP="00E45453">
      <w:pPr>
        <w:pStyle w:val="Bodytextitalics"/>
        <w:jc w:val="both"/>
        <w:rPr>
          <w:i w:val="0"/>
        </w:rPr>
      </w:pPr>
      <w:r w:rsidRPr="005F4582">
        <w:rPr>
          <w:i w:val="0"/>
        </w:rPr>
        <w:t xml:space="preserve">The resubmission aimed to address issues raised by the PBAC in its July 2019 rejection of </w:t>
      </w:r>
      <w:proofErr w:type="spellStart"/>
      <w:r w:rsidRPr="005F4582">
        <w:rPr>
          <w:i w:val="0"/>
        </w:rPr>
        <w:t>durvalumab</w:t>
      </w:r>
      <w:proofErr w:type="spellEnd"/>
      <w:r w:rsidRPr="005F4582">
        <w:rPr>
          <w:i w:val="0"/>
        </w:rPr>
        <w:t xml:space="preserve"> for this indication.</w:t>
      </w:r>
    </w:p>
    <w:p w:rsidR="001A76FB" w:rsidRPr="005F4582" w:rsidRDefault="006A12A5" w:rsidP="00FF3D3A">
      <w:pPr>
        <w:pStyle w:val="2Sections"/>
      </w:pPr>
      <w:r w:rsidRPr="005F4582">
        <w:t>Requested listing</w:t>
      </w:r>
    </w:p>
    <w:p w:rsidR="00BA2DA8" w:rsidRPr="005F4582" w:rsidRDefault="0067747D" w:rsidP="00D07A8A">
      <w:pPr>
        <w:pStyle w:val="Bodytextitalics"/>
        <w:rPr>
          <w:i w:val="0"/>
        </w:rPr>
      </w:pPr>
      <w:r w:rsidRPr="005F4582">
        <w:rPr>
          <w:i w:val="0"/>
        </w:rPr>
        <w:t>Suggestions and additions proposed by the Secretariat to the requested listing</w:t>
      </w:r>
      <w:r w:rsidR="00D07A8A" w:rsidRPr="005F4582">
        <w:rPr>
          <w:i w:val="0"/>
        </w:rPr>
        <w:t xml:space="preserve"> are in </w:t>
      </w:r>
      <w:r w:rsidR="00D07A8A" w:rsidRPr="0074412E">
        <w:rPr>
          <w:i w:val="0"/>
        </w:rPr>
        <w:t>italics</w:t>
      </w:r>
      <w:r w:rsidR="00D07A8A" w:rsidRPr="005F4582">
        <w:rPr>
          <w:i w:val="0"/>
        </w:rPr>
        <w:t xml:space="preserve"> and deletions are in </w:t>
      </w:r>
      <w:r w:rsidR="00D07A8A" w:rsidRPr="0074412E">
        <w:rPr>
          <w:i w:val="0"/>
        </w:rPr>
        <w:t>strikethrough</w:t>
      </w:r>
      <w:r w:rsidRPr="005F4582">
        <w:rPr>
          <w:i w:val="0"/>
        </w:rPr>
        <w:t>.</w:t>
      </w:r>
      <w:r w:rsidR="00CF0E42" w:rsidRPr="005F4582">
        <w:rPr>
          <w:i w:val="0"/>
        </w:rPr>
        <w:t xml:space="preserve"> </w:t>
      </w:r>
    </w:p>
    <w:p w:rsidR="0072148C" w:rsidRPr="005F4582" w:rsidRDefault="0072148C" w:rsidP="00884785">
      <w:pPr>
        <w:pStyle w:val="Bodytextitalics"/>
        <w:jc w:val="both"/>
        <w:rPr>
          <w:i w:val="0"/>
        </w:rPr>
      </w:pPr>
      <w:r w:rsidRPr="005F4582">
        <w:rPr>
          <w:i w:val="0"/>
        </w:rPr>
        <w:t>The resubmission proposed a maximum amount of 1120 mg</w:t>
      </w:r>
      <w:r w:rsidR="008C7C1D" w:rsidRPr="005F4582">
        <w:rPr>
          <w:i w:val="0"/>
        </w:rPr>
        <w:t>; h</w:t>
      </w:r>
      <w:r w:rsidRPr="005F4582">
        <w:rPr>
          <w:i w:val="0"/>
        </w:rPr>
        <w:t xml:space="preserve">owever, the maximum amount for medicines listed as Section 100 (Efficient Funding of Chemotherapy) items with weight-based dosing generally reflects the dose for a 120 kg patient </w:t>
      </w:r>
      <w:r w:rsidR="00421BFF" w:rsidRPr="005F4582">
        <w:rPr>
          <w:i w:val="0"/>
        </w:rPr>
        <w:t xml:space="preserve">at </w:t>
      </w:r>
      <w:r w:rsidR="005C0CCB" w:rsidRPr="005F4582">
        <w:rPr>
          <w:i w:val="0"/>
        </w:rPr>
        <w:t xml:space="preserve">the </w:t>
      </w:r>
      <w:proofErr w:type="gramStart"/>
      <w:r w:rsidRPr="005F4582">
        <w:rPr>
          <w:i w:val="0"/>
        </w:rPr>
        <w:t>maximum</w:t>
      </w:r>
      <w:proofErr w:type="gramEnd"/>
      <w:r w:rsidRPr="005F4582">
        <w:rPr>
          <w:i w:val="0"/>
        </w:rPr>
        <w:t xml:space="preserve"> recommended dose</w:t>
      </w:r>
      <w:r w:rsidR="008C7C1D" w:rsidRPr="005F4582">
        <w:rPr>
          <w:i w:val="0"/>
        </w:rPr>
        <w:t xml:space="preserve"> (</w:t>
      </w:r>
      <w:r w:rsidR="00372E86" w:rsidRPr="005F4582">
        <w:rPr>
          <w:i w:val="0"/>
        </w:rPr>
        <w:t>1.2 mg per kg</w:t>
      </w:r>
      <w:r w:rsidR="008C7C1D" w:rsidRPr="005F4582">
        <w:rPr>
          <w:i w:val="0"/>
        </w:rPr>
        <w:t>)</w:t>
      </w:r>
      <w:r w:rsidR="005F4582">
        <w:rPr>
          <w:i w:val="0"/>
        </w:rPr>
        <w:t>.</w:t>
      </w:r>
      <w:r w:rsidR="00DD5020">
        <w:rPr>
          <w:i w:val="0"/>
        </w:rPr>
        <w:t xml:space="preserve"> </w:t>
      </w:r>
    </w:p>
    <w:p w:rsidR="00A3272A" w:rsidRPr="005F4582" w:rsidRDefault="00A96B6B" w:rsidP="00884785">
      <w:pPr>
        <w:pStyle w:val="Bodytextitalics"/>
        <w:jc w:val="both"/>
        <w:rPr>
          <w:i w:val="0"/>
        </w:rPr>
      </w:pPr>
      <w:r w:rsidRPr="005F4582">
        <w:rPr>
          <w:i w:val="0"/>
        </w:rPr>
        <w:t>In its</w:t>
      </w:r>
      <w:r w:rsidR="00A3272A" w:rsidRPr="005F4582">
        <w:rPr>
          <w:i w:val="0"/>
        </w:rPr>
        <w:t xml:space="preserve"> Pre-PBAC response, the Sponsor noted the Secretariat’s comments relating to the restriction wording and maximum amount and had no objection to the proposed </w:t>
      </w:r>
      <w:proofErr w:type="gramStart"/>
      <w:r w:rsidR="00A3272A" w:rsidRPr="005F4582">
        <w:rPr>
          <w:i w:val="0"/>
        </w:rPr>
        <w:t xml:space="preserve">changes </w:t>
      </w:r>
      <w:r w:rsidR="00620590" w:rsidRPr="005F4582">
        <w:rPr>
          <w:i w:val="0"/>
        </w:rPr>
        <w:t>.</w:t>
      </w:r>
      <w:proofErr w:type="gramEnd"/>
      <w:r w:rsidR="00620590" w:rsidRPr="005F4582">
        <w:rPr>
          <w:i w:val="0"/>
        </w:rPr>
        <w:t xml:space="preserve"> </w:t>
      </w:r>
    </w:p>
    <w:p w:rsidR="00FA7A14" w:rsidRPr="005F4582" w:rsidRDefault="00FA7A14" w:rsidP="00FA7A14">
      <w:pPr>
        <w:pStyle w:val="Bodytextitalics"/>
        <w:jc w:val="both"/>
        <w:rPr>
          <w:i w:val="0"/>
        </w:rPr>
      </w:pPr>
      <w:r w:rsidRPr="005F4582">
        <w:rPr>
          <w:i w:val="0"/>
        </w:rPr>
        <w:t>The PBAC previously considered it would be clinically appropriate to limit patients to one course of treatment with PD-(L</w:t>
      </w:r>
      <w:proofErr w:type="gramStart"/>
      <w:r w:rsidRPr="005F4582">
        <w:rPr>
          <w:i w:val="0"/>
        </w:rPr>
        <w:t>)1</w:t>
      </w:r>
      <w:proofErr w:type="gramEnd"/>
      <w:r w:rsidRPr="005F4582">
        <w:rPr>
          <w:i w:val="0"/>
        </w:rPr>
        <w:t xml:space="preserve"> inhibitors per lifetime. The PBAC previously noted that the current restrictions for first-line and second-line treatment of Stage IV NSCLC included sufficient provisions to ensure that the PBS does not subsidise sequential immunotherapy for NSCLC </w:t>
      </w:r>
      <w:r w:rsidRPr="005F4582">
        <w:rPr>
          <w:i w:val="0"/>
          <w:snapToGrid w:val="0"/>
        </w:rPr>
        <w:t xml:space="preserve">(paragraph 7.15, </w:t>
      </w:r>
      <w:proofErr w:type="spellStart"/>
      <w:r w:rsidRPr="005F4582">
        <w:rPr>
          <w:i w:val="0"/>
          <w:snapToGrid w:val="0"/>
        </w:rPr>
        <w:t>durvalumab</w:t>
      </w:r>
      <w:proofErr w:type="spellEnd"/>
      <w:r w:rsidRPr="005F4582">
        <w:rPr>
          <w:i w:val="0"/>
          <w:snapToGrid w:val="0"/>
        </w:rPr>
        <w:t xml:space="preserve"> Public Summary Document</w:t>
      </w:r>
      <w:r w:rsidR="00027935" w:rsidRPr="005F4582">
        <w:rPr>
          <w:i w:val="0"/>
          <w:snapToGrid w:val="0"/>
        </w:rPr>
        <w:t xml:space="preserve"> (PSD)</w:t>
      </w:r>
      <w:r w:rsidRPr="005F4582">
        <w:rPr>
          <w:i w:val="0"/>
          <w:snapToGrid w:val="0"/>
        </w:rPr>
        <w:t>, July 201</w:t>
      </w:r>
      <w:r w:rsidRPr="005F4582">
        <w:rPr>
          <w:i w:val="0"/>
        </w:rPr>
        <w:t>9</w:t>
      </w:r>
      <w:r w:rsidRPr="005F4582">
        <w:rPr>
          <w:i w:val="0"/>
          <w:szCs w:val="24"/>
        </w:rPr>
        <w:t xml:space="preserve"> </w:t>
      </w:r>
      <w:r w:rsidRPr="005F4582">
        <w:rPr>
          <w:i w:val="0"/>
        </w:rPr>
        <w:t>PBAC meeting</w:t>
      </w:r>
      <w:r w:rsidRPr="005F4582">
        <w:rPr>
          <w:i w:val="0"/>
          <w:snapToGrid w:val="0"/>
        </w:rPr>
        <w:t>)</w:t>
      </w:r>
      <w:r w:rsidRPr="005F4582">
        <w:rPr>
          <w:i w:val="0"/>
        </w:rPr>
        <w:t>. The PBAC previously noted that should any PD-(L</w:t>
      </w:r>
      <w:proofErr w:type="gramStart"/>
      <w:r w:rsidRPr="005F4582">
        <w:rPr>
          <w:i w:val="0"/>
        </w:rPr>
        <w:t>)1</w:t>
      </w:r>
      <w:proofErr w:type="gramEnd"/>
      <w:r w:rsidRPr="005F4582">
        <w:rPr>
          <w:i w:val="0"/>
        </w:rPr>
        <w:t xml:space="preserve"> inhibitors be listed in an earlier disease stage, additional restriction wording for all PD-(L)1 inhibitors may be warranted (paragraph 6.10, </w:t>
      </w:r>
      <w:proofErr w:type="spellStart"/>
      <w:r w:rsidRPr="005F4582">
        <w:rPr>
          <w:i w:val="0"/>
        </w:rPr>
        <w:t>pembrolizumab</w:t>
      </w:r>
      <w:proofErr w:type="spellEnd"/>
      <w:r w:rsidRPr="005F4582">
        <w:rPr>
          <w:i w:val="0"/>
        </w:rPr>
        <w:t xml:space="preserve"> P</w:t>
      </w:r>
      <w:r w:rsidR="00027935" w:rsidRPr="005F4582">
        <w:rPr>
          <w:i w:val="0"/>
        </w:rPr>
        <w:t xml:space="preserve">SD, </w:t>
      </w:r>
      <w:r w:rsidRPr="005F4582">
        <w:rPr>
          <w:i w:val="0"/>
        </w:rPr>
        <w:t xml:space="preserve">July 2018 PBAC meeting). </w:t>
      </w:r>
      <w:r w:rsidR="00EE35C6" w:rsidRPr="005F4582">
        <w:rPr>
          <w:i w:val="0"/>
        </w:rPr>
        <w:t>F</w:t>
      </w:r>
      <w:r w:rsidR="008A0FB1" w:rsidRPr="005F4582">
        <w:rPr>
          <w:i w:val="0"/>
        </w:rPr>
        <w:t>low-on changes to PBS restrictions for PD-(L)1 inhibitors in first-line Stage IV (metastatic) NSCLC</w:t>
      </w:r>
      <w:r w:rsidR="00751F1C" w:rsidRPr="005F4582">
        <w:rPr>
          <w:i w:val="0"/>
        </w:rPr>
        <w:t xml:space="preserve"> an</w:t>
      </w:r>
      <w:r w:rsidR="00FD7D4F" w:rsidRPr="005F4582">
        <w:rPr>
          <w:i w:val="0"/>
        </w:rPr>
        <w:t>d</w:t>
      </w:r>
      <w:r w:rsidR="00751F1C" w:rsidRPr="005F4582">
        <w:rPr>
          <w:i w:val="0"/>
        </w:rPr>
        <w:t xml:space="preserve"> second-line locally advanced or metastatic NSCLC</w:t>
      </w:r>
      <w:r w:rsidR="00EE35C6" w:rsidRPr="005F4582">
        <w:rPr>
          <w:i w:val="0"/>
        </w:rPr>
        <w:t xml:space="preserve"> are provided in Section 6</w:t>
      </w:r>
      <w:r w:rsidR="008A0FB1" w:rsidRPr="005F4582">
        <w:rPr>
          <w:i w:val="0"/>
        </w:rPr>
        <w:t xml:space="preserve">. </w:t>
      </w:r>
    </w:p>
    <w:p w:rsidR="00FA7A14" w:rsidRPr="005F4582" w:rsidRDefault="00FA7A14" w:rsidP="00884785">
      <w:pPr>
        <w:pStyle w:val="Bodytextitalics"/>
        <w:numPr>
          <w:ilvl w:val="0"/>
          <w:numId w:val="0"/>
        </w:numPr>
        <w:ind w:left="720"/>
        <w:rPr>
          <w:i w:val="0"/>
        </w:rPr>
      </w:pPr>
    </w:p>
    <w:tbl>
      <w:tblPr>
        <w:tblW w:w="5000" w:type="pct"/>
        <w:tblLook w:val="0000" w:firstRow="0" w:lastRow="0" w:firstColumn="0" w:lastColumn="0" w:noHBand="0" w:noVBand="0"/>
      </w:tblPr>
      <w:tblGrid>
        <w:gridCol w:w="1811"/>
        <w:gridCol w:w="1332"/>
        <w:gridCol w:w="701"/>
        <w:gridCol w:w="809"/>
        <w:gridCol w:w="1643"/>
        <w:gridCol w:w="1504"/>
        <w:gridCol w:w="1226"/>
      </w:tblGrid>
      <w:tr w:rsidR="003E0016" w:rsidRPr="005F4582" w:rsidTr="00A619D2">
        <w:trPr>
          <w:cantSplit/>
          <w:trHeight w:val="471"/>
        </w:trPr>
        <w:tc>
          <w:tcPr>
            <w:tcW w:w="1742" w:type="pct"/>
            <w:gridSpan w:val="2"/>
            <w:tcBorders>
              <w:bottom w:val="single" w:sz="4" w:space="0" w:color="auto"/>
            </w:tcBorders>
          </w:tcPr>
          <w:p w:rsidR="003E0016" w:rsidRPr="005F4582" w:rsidRDefault="003E0016" w:rsidP="003E0016">
            <w:pPr>
              <w:keepNext/>
              <w:ind w:left="-108"/>
              <w:jc w:val="both"/>
              <w:rPr>
                <w:rFonts w:ascii="Arial Narrow" w:hAnsi="Arial Narrow" w:cs="Arial"/>
                <w:sz w:val="20"/>
                <w:szCs w:val="20"/>
              </w:rPr>
            </w:pPr>
            <w:r w:rsidRPr="005F4582">
              <w:rPr>
                <w:rFonts w:ascii="Arial Narrow" w:hAnsi="Arial Narrow" w:cs="Arial"/>
                <w:sz w:val="20"/>
                <w:szCs w:val="20"/>
              </w:rPr>
              <w:lastRenderedPageBreak/>
              <w:t>Name, Restriction,</w:t>
            </w:r>
          </w:p>
          <w:p w:rsidR="003E0016" w:rsidRPr="005F4582" w:rsidRDefault="003E0016" w:rsidP="003E0016">
            <w:pPr>
              <w:keepNext/>
              <w:ind w:left="-108"/>
              <w:jc w:val="both"/>
              <w:rPr>
                <w:rFonts w:ascii="Arial Narrow" w:hAnsi="Arial Narrow" w:cs="Arial"/>
                <w:sz w:val="20"/>
                <w:szCs w:val="20"/>
              </w:rPr>
            </w:pPr>
            <w:r w:rsidRPr="005F4582">
              <w:rPr>
                <w:rFonts w:ascii="Arial Narrow" w:hAnsi="Arial Narrow" w:cs="Arial"/>
                <w:sz w:val="20"/>
                <w:szCs w:val="20"/>
              </w:rPr>
              <w:t>Manner of administration and form</w:t>
            </w:r>
          </w:p>
        </w:tc>
        <w:tc>
          <w:tcPr>
            <w:tcW w:w="388" w:type="pct"/>
            <w:tcBorders>
              <w:bottom w:val="single" w:sz="4" w:space="0" w:color="auto"/>
            </w:tcBorders>
          </w:tcPr>
          <w:p w:rsidR="003E0016" w:rsidRPr="005F4582" w:rsidRDefault="003E0016" w:rsidP="003E0016">
            <w:pPr>
              <w:keepNext/>
              <w:ind w:left="-108"/>
              <w:jc w:val="both"/>
              <w:rPr>
                <w:rFonts w:ascii="Arial Narrow" w:hAnsi="Arial Narrow" w:cs="Arial"/>
                <w:sz w:val="20"/>
                <w:szCs w:val="20"/>
              </w:rPr>
            </w:pPr>
            <w:r w:rsidRPr="005F4582">
              <w:rPr>
                <w:rFonts w:ascii="Arial Narrow" w:hAnsi="Arial Narrow" w:cs="Arial"/>
                <w:sz w:val="20"/>
                <w:szCs w:val="20"/>
              </w:rPr>
              <w:t>Max.</w:t>
            </w:r>
          </w:p>
          <w:p w:rsidR="003E0016" w:rsidRPr="005F4582" w:rsidRDefault="00044D9C" w:rsidP="003E0016">
            <w:pPr>
              <w:keepNext/>
              <w:ind w:left="-108"/>
              <w:jc w:val="both"/>
              <w:rPr>
                <w:rFonts w:ascii="Arial Narrow" w:hAnsi="Arial Narrow" w:cs="Arial"/>
                <w:sz w:val="20"/>
                <w:szCs w:val="20"/>
              </w:rPr>
            </w:pPr>
            <w:r w:rsidRPr="005F4582">
              <w:rPr>
                <w:rFonts w:ascii="Arial Narrow" w:hAnsi="Arial Narrow" w:cs="Arial"/>
                <w:sz w:val="20"/>
                <w:szCs w:val="20"/>
              </w:rPr>
              <w:t>amount</w:t>
            </w:r>
          </w:p>
        </w:tc>
        <w:tc>
          <w:tcPr>
            <w:tcW w:w="448" w:type="pct"/>
            <w:tcBorders>
              <w:bottom w:val="single" w:sz="4" w:space="0" w:color="auto"/>
            </w:tcBorders>
          </w:tcPr>
          <w:p w:rsidR="003E0016" w:rsidRPr="005F4582" w:rsidRDefault="003E0016" w:rsidP="003E0016">
            <w:pPr>
              <w:keepNext/>
              <w:ind w:left="-108"/>
              <w:jc w:val="both"/>
              <w:rPr>
                <w:rFonts w:ascii="Arial Narrow" w:hAnsi="Arial Narrow" w:cs="Arial"/>
                <w:sz w:val="20"/>
                <w:szCs w:val="20"/>
              </w:rPr>
            </w:pPr>
            <w:r w:rsidRPr="005F4582">
              <w:rPr>
                <w:rFonts w:ascii="Arial Narrow" w:hAnsi="Arial Narrow" w:cs="Arial"/>
                <w:sz w:val="20"/>
                <w:szCs w:val="20"/>
              </w:rPr>
              <w:t>№.of</w:t>
            </w:r>
          </w:p>
          <w:p w:rsidR="003E0016" w:rsidRPr="005F4582" w:rsidRDefault="003E0016" w:rsidP="003E0016">
            <w:pPr>
              <w:keepNext/>
              <w:ind w:left="-108"/>
              <w:jc w:val="both"/>
              <w:rPr>
                <w:rFonts w:ascii="Arial Narrow" w:hAnsi="Arial Narrow" w:cs="Arial"/>
                <w:sz w:val="20"/>
                <w:szCs w:val="20"/>
              </w:rPr>
            </w:pPr>
            <w:proofErr w:type="spellStart"/>
            <w:r w:rsidRPr="005F4582">
              <w:rPr>
                <w:rFonts w:ascii="Arial Narrow" w:hAnsi="Arial Narrow" w:cs="Arial"/>
                <w:sz w:val="20"/>
                <w:szCs w:val="20"/>
              </w:rPr>
              <w:t>Rpts</w:t>
            </w:r>
            <w:proofErr w:type="spellEnd"/>
          </w:p>
        </w:tc>
        <w:tc>
          <w:tcPr>
            <w:tcW w:w="910" w:type="pct"/>
            <w:tcBorders>
              <w:bottom w:val="single" w:sz="4" w:space="0" w:color="auto"/>
            </w:tcBorders>
          </w:tcPr>
          <w:p w:rsidR="003E0016" w:rsidRPr="005F4582" w:rsidRDefault="003E0016" w:rsidP="003E0016">
            <w:pPr>
              <w:keepNext/>
              <w:ind w:left="-108"/>
              <w:jc w:val="both"/>
              <w:rPr>
                <w:rFonts w:ascii="Arial Narrow" w:hAnsi="Arial Narrow" w:cs="Arial"/>
                <w:sz w:val="20"/>
                <w:szCs w:val="20"/>
              </w:rPr>
            </w:pPr>
            <w:r w:rsidRPr="005F4582">
              <w:rPr>
                <w:rFonts w:ascii="Arial Narrow" w:hAnsi="Arial Narrow" w:cs="Arial"/>
                <w:sz w:val="20"/>
                <w:szCs w:val="20"/>
              </w:rPr>
              <w:t xml:space="preserve">Dispensed Price for Max. </w:t>
            </w:r>
            <w:proofErr w:type="spellStart"/>
            <w:r w:rsidRPr="005F4582">
              <w:rPr>
                <w:rFonts w:ascii="Arial Narrow" w:hAnsi="Arial Narrow" w:cs="Arial"/>
                <w:sz w:val="20"/>
                <w:szCs w:val="20"/>
              </w:rPr>
              <w:t>Qty</w:t>
            </w:r>
            <w:proofErr w:type="spellEnd"/>
          </w:p>
        </w:tc>
        <w:tc>
          <w:tcPr>
            <w:tcW w:w="1511" w:type="pct"/>
            <w:gridSpan w:val="2"/>
            <w:tcBorders>
              <w:bottom w:val="single" w:sz="4" w:space="0" w:color="auto"/>
            </w:tcBorders>
          </w:tcPr>
          <w:p w:rsidR="003E0016" w:rsidRPr="00206AB2" w:rsidRDefault="003E0016" w:rsidP="003E0016">
            <w:pPr>
              <w:keepNext/>
              <w:jc w:val="both"/>
              <w:rPr>
                <w:rFonts w:ascii="Arial Narrow" w:hAnsi="Arial Narrow" w:cs="Arial"/>
                <w:sz w:val="20"/>
                <w:szCs w:val="20"/>
              </w:rPr>
            </w:pPr>
            <w:r w:rsidRPr="005F4582">
              <w:rPr>
                <w:rFonts w:ascii="Arial Narrow" w:hAnsi="Arial Narrow" w:cs="Arial"/>
                <w:sz w:val="20"/>
                <w:szCs w:val="20"/>
              </w:rPr>
              <w:t>Proprietary Name and Manufacturer</w:t>
            </w:r>
          </w:p>
        </w:tc>
      </w:tr>
      <w:tr w:rsidR="003E0016" w:rsidRPr="005F4582" w:rsidTr="00A619D2">
        <w:trPr>
          <w:cantSplit/>
          <w:trHeight w:val="223"/>
        </w:trPr>
        <w:tc>
          <w:tcPr>
            <w:tcW w:w="1742" w:type="pct"/>
            <w:gridSpan w:val="2"/>
          </w:tcPr>
          <w:p w:rsidR="003E0016" w:rsidRPr="005F4582" w:rsidRDefault="003E0016" w:rsidP="003E0016">
            <w:pPr>
              <w:keepNext/>
              <w:ind w:left="-108"/>
              <w:jc w:val="both"/>
              <w:rPr>
                <w:rFonts w:ascii="Arial Narrow" w:hAnsi="Arial Narrow" w:cs="Arial"/>
                <w:smallCaps/>
                <w:sz w:val="20"/>
                <w:szCs w:val="20"/>
              </w:rPr>
            </w:pPr>
            <w:r w:rsidRPr="005F4582">
              <w:rPr>
                <w:rFonts w:ascii="Arial Narrow" w:hAnsi="Arial Narrow" w:cs="Arial"/>
                <w:smallCaps/>
                <w:sz w:val="20"/>
                <w:szCs w:val="20"/>
              </w:rPr>
              <w:t>DURVALUMAB</w:t>
            </w:r>
          </w:p>
          <w:p w:rsidR="003E0016" w:rsidRPr="005F4582" w:rsidRDefault="003E0016" w:rsidP="003E0016">
            <w:pPr>
              <w:keepNext/>
              <w:ind w:left="-108"/>
              <w:jc w:val="both"/>
              <w:rPr>
                <w:rFonts w:ascii="Arial Narrow" w:hAnsi="Arial Narrow" w:cs="Arial"/>
                <w:sz w:val="20"/>
                <w:szCs w:val="20"/>
              </w:rPr>
            </w:pPr>
            <w:r w:rsidRPr="005F4582">
              <w:rPr>
                <w:rFonts w:ascii="Arial Narrow" w:hAnsi="Arial Narrow" w:cs="Arial"/>
                <w:sz w:val="20"/>
                <w:szCs w:val="20"/>
              </w:rPr>
              <w:t xml:space="preserve">Solution concentrate for I.V. infusion </w:t>
            </w:r>
          </w:p>
          <w:p w:rsidR="003E0016" w:rsidRPr="005F4582" w:rsidRDefault="003E0016" w:rsidP="003E0016">
            <w:pPr>
              <w:keepNext/>
              <w:ind w:left="-108"/>
              <w:jc w:val="both"/>
              <w:rPr>
                <w:rFonts w:ascii="Arial Narrow" w:hAnsi="Arial Narrow" w:cs="Arial"/>
                <w:sz w:val="20"/>
                <w:szCs w:val="20"/>
              </w:rPr>
            </w:pPr>
            <w:r w:rsidRPr="005F4582">
              <w:rPr>
                <w:rFonts w:ascii="Arial Narrow" w:hAnsi="Arial Narrow" w:cs="Arial"/>
                <w:sz w:val="20"/>
                <w:szCs w:val="20"/>
              </w:rPr>
              <w:t>120 mg/ 2.4 mL; 10 mL</w:t>
            </w:r>
          </w:p>
          <w:p w:rsidR="003E0016" w:rsidRPr="005F4582" w:rsidRDefault="003E0016" w:rsidP="003E0016">
            <w:pPr>
              <w:keepNext/>
              <w:ind w:left="-108"/>
              <w:jc w:val="both"/>
              <w:rPr>
                <w:rFonts w:ascii="Arial Narrow" w:hAnsi="Arial Narrow" w:cs="Arial"/>
                <w:sz w:val="20"/>
                <w:szCs w:val="20"/>
              </w:rPr>
            </w:pPr>
            <w:r w:rsidRPr="005F4582">
              <w:rPr>
                <w:rFonts w:ascii="Arial Narrow" w:hAnsi="Arial Narrow" w:cs="Arial"/>
                <w:sz w:val="20"/>
                <w:szCs w:val="20"/>
              </w:rPr>
              <w:t>500 mg/ 10 mL; 10 mL</w:t>
            </w:r>
          </w:p>
        </w:tc>
        <w:tc>
          <w:tcPr>
            <w:tcW w:w="388" w:type="pct"/>
          </w:tcPr>
          <w:p w:rsidR="003E0016" w:rsidRPr="005F4582" w:rsidRDefault="003E0016" w:rsidP="003E0016">
            <w:pPr>
              <w:keepNext/>
              <w:ind w:left="-108"/>
              <w:jc w:val="both"/>
              <w:rPr>
                <w:rFonts w:ascii="Arial Narrow" w:hAnsi="Arial Narrow" w:cs="Arial"/>
                <w:strike/>
                <w:sz w:val="20"/>
                <w:szCs w:val="20"/>
              </w:rPr>
            </w:pPr>
          </w:p>
          <w:p w:rsidR="003E0016" w:rsidRPr="005F4582" w:rsidRDefault="00C62A35" w:rsidP="00806508">
            <w:pPr>
              <w:keepNext/>
              <w:ind w:left="-108"/>
              <w:jc w:val="both"/>
              <w:rPr>
                <w:rFonts w:ascii="Arial Narrow" w:hAnsi="Arial Narrow" w:cs="Arial"/>
                <w:strike/>
                <w:sz w:val="20"/>
                <w:szCs w:val="20"/>
              </w:rPr>
            </w:pPr>
            <w:r w:rsidRPr="005F4582">
              <w:rPr>
                <w:rFonts w:ascii="Arial Narrow" w:hAnsi="Arial Narrow"/>
                <w:i/>
                <w:sz w:val="20"/>
                <w:szCs w:val="22"/>
              </w:rPr>
              <w:t>1200mg</w:t>
            </w:r>
          </w:p>
        </w:tc>
        <w:tc>
          <w:tcPr>
            <w:tcW w:w="448" w:type="pct"/>
          </w:tcPr>
          <w:p w:rsidR="003E0016" w:rsidRPr="005F4582" w:rsidRDefault="003E0016" w:rsidP="003E0016">
            <w:pPr>
              <w:keepNext/>
              <w:ind w:left="-108"/>
              <w:jc w:val="both"/>
              <w:rPr>
                <w:rFonts w:ascii="Arial Narrow" w:hAnsi="Arial Narrow"/>
                <w:sz w:val="20"/>
                <w:szCs w:val="22"/>
              </w:rPr>
            </w:pPr>
          </w:p>
          <w:p w:rsidR="003E0016" w:rsidRPr="005F4582" w:rsidRDefault="003E0016" w:rsidP="003E0016">
            <w:pPr>
              <w:keepNext/>
              <w:ind w:left="-108"/>
              <w:jc w:val="both"/>
              <w:rPr>
                <w:rFonts w:ascii="Arial Narrow" w:hAnsi="Arial Narrow"/>
                <w:sz w:val="20"/>
                <w:szCs w:val="22"/>
              </w:rPr>
            </w:pPr>
            <w:r w:rsidRPr="005F4582">
              <w:rPr>
                <w:rFonts w:ascii="Arial Narrow" w:hAnsi="Arial Narrow"/>
                <w:sz w:val="20"/>
                <w:szCs w:val="22"/>
              </w:rPr>
              <w:t xml:space="preserve"> 8</w:t>
            </w:r>
          </w:p>
          <w:p w:rsidR="003E0016" w:rsidRPr="005F4582" w:rsidRDefault="003E0016" w:rsidP="00D167F2">
            <w:pPr>
              <w:keepNext/>
              <w:jc w:val="both"/>
              <w:rPr>
                <w:rFonts w:ascii="Arial Narrow" w:hAnsi="Arial Narrow"/>
                <w:i/>
                <w:sz w:val="20"/>
                <w:szCs w:val="22"/>
              </w:rPr>
            </w:pPr>
          </w:p>
        </w:tc>
        <w:tc>
          <w:tcPr>
            <w:tcW w:w="910" w:type="pct"/>
          </w:tcPr>
          <w:p w:rsidR="003E0016" w:rsidRPr="005F4582" w:rsidRDefault="003E0016" w:rsidP="003E0016">
            <w:pPr>
              <w:pStyle w:val="TableText0"/>
            </w:pPr>
            <w:r w:rsidRPr="005F4582">
              <w:t>$</w:t>
            </w:r>
            <w:r w:rsidR="008D562F">
              <w:rPr>
                <w:i/>
                <w:noProof/>
                <w:color w:val="000000"/>
                <w:highlight w:val="black"/>
              </w:rPr>
              <w:t>''''''''</w:t>
            </w:r>
            <w:r w:rsidR="008D562F">
              <w:rPr>
                <w:noProof/>
                <w:color w:val="000000"/>
                <w:highlight w:val="black"/>
              </w:rPr>
              <w:t>''''''''''''''''''</w:t>
            </w:r>
            <w:r w:rsidR="0074412E">
              <w:rPr>
                <w:i/>
              </w:rPr>
              <w:t xml:space="preserve"> </w:t>
            </w:r>
            <w:r w:rsidRPr="005F4582">
              <w:t>published (public)</w:t>
            </w:r>
          </w:p>
          <w:p w:rsidR="003E0016" w:rsidRPr="005F6BE7" w:rsidRDefault="003E0016" w:rsidP="003E0016">
            <w:pPr>
              <w:pStyle w:val="TableText0"/>
            </w:pPr>
            <w:r w:rsidRPr="005F4582">
              <w:t>$</w:t>
            </w:r>
            <w:r w:rsidR="008D562F">
              <w:rPr>
                <w:i/>
                <w:noProof/>
                <w:color w:val="000000"/>
                <w:highlight w:val="black"/>
              </w:rPr>
              <w:t>'''''''</w:t>
            </w:r>
            <w:r w:rsidR="008D562F">
              <w:rPr>
                <w:noProof/>
                <w:color w:val="000000"/>
                <w:highlight w:val="black"/>
              </w:rPr>
              <w:t>''''''''''''''''</w:t>
            </w:r>
            <w:r w:rsidR="0074412E">
              <w:t xml:space="preserve"> </w:t>
            </w:r>
            <w:r w:rsidRPr="005F6BE7">
              <w:t>published (private)</w:t>
            </w:r>
          </w:p>
          <w:p w:rsidR="003E0016" w:rsidRPr="005F4582" w:rsidRDefault="003E0016" w:rsidP="003E0016">
            <w:pPr>
              <w:pStyle w:val="TableText0"/>
            </w:pPr>
            <w:r w:rsidRPr="005F4582">
              <w:t>$</w:t>
            </w:r>
            <w:r w:rsidR="008D562F">
              <w:rPr>
                <w:i/>
                <w:noProof/>
                <w:color w:val="000000"/>
                <w:highlight w:val="black"/>
              </w:rPr>
              <w:t>''''''''''''''''''''</w:t>
            </w:r>
            <w:r w:rsidR="008C7C1D" w:rsidRPr="005F4582">
              <w:t xml:space="preserve"> </w:t>
            </w:r>
            <w:r w:rsidRPr="005F4582">
              <w:t>effective (public)</w:t>
            </w:r>
          </w:p>
          <w:p w:rsidR="003E0016" w:rsidRPr="005F4582" w:rsidRDefault="00F344FF" w:rsidP="00A619D2">
            <w:pPr>
              <w:keepNext/>
              <w:ind w:left="-108"/>
              <w:rPr>
                <w:rFonts w:ascii="Arial Narrow" w:hAnsi="Arial Narrow"/>
                <w:sz w:val="20"/>
                <w:szCs w:val="22"/>
              </w:rPr>
            </w:pPr>
            <w:r w:rsidRPr="005F4582">
              <w:rPr>
                <w:rFonts w:ascii="Arial Narrow" w:hAnsi="Arial Narrow"/>
                <w:sz w:val="20"/>
                <w:szCs w:val="22"/>
              </w:rPr>
              <w:t xml:space="preserve"> </w:t>
            </w:r>
            <w:r w:rsidR="003E0016" w:rsidRPr="005F4582">
              <w:rPr>
                <w:rFonts w:ascii="Arial Narrow" w:hAnsi="Arial Narrow"/>
                <w:sz w:val="20"/>
                <w:szCs w:val="22"/>
              </w:rPr>
              <w:t xml:space="preserve"> $</w:t>
            </w:r>
            <w:r w:rsidR="008D562F">
              <w:rPr>
                <w:rFonts w:ascii="Arial Narrow" w:hAnsi="Arial Narrow"/>
                <w:i/>
                <w:noProof/>
                <w:color w:val="000000"/>
                <w:sz w:val="20"/>
                <w:szCs w:val="22"/>
                <w:highlight w:val="black"/>
              </w:rPr>
              <w:t>'''''''''''''''''''</w:t>
            </w:r>
            <w:r w:rsidR="003E0016" w:rsidRPr="005F4582">
              <w:rPr>
                <w:rFonts w:ascii="Arial Narrow" w:hAnsi="Arial Narrow"/>
                <w:sz w:val="20"/>
                <w:szCs w:val="22"/>
              </w:rPr>
              <w:t xml:space="preserve"> effective</w:t>
            </w:r>
            <w:r w:rsidR="00A619D2">
              <w:rPr>
                <w:rFonts w:ascii="Arial Narrow" w:hAnsi="Arial Narrow"/>
                <w:sz w:val="20"/>
                <w:szCs w:val="22"/>
              </w:rPr>
              <w:t xml:space="preserve"> </w:t>
            </w:r>
            <w:r w:rsidR="003E0016" w:rsidRPr="005F4582">
              <w:rPr>
                <w:rFonts w:ascii="Arial Narrow" w:hAnsi="Arial Narrow"/>
                <w:sz w:val="20"/>
                <w:szCs w:val="22"/>
              </w:rPr>
              <w:t xml:space="preserve">(private) </w:t>
            </w:r>
          </w:p>
        </w:tc>
        <w:tc>
          <w:tcPr>
            <w:tcW w:w="833" w:type="pct"/>
          </w:tcPr>
          <w:p w:rsidR="003E0016" w:rsidRPr="005F4582" w:rsidRDefault="003E0016" w:rsidP="003E0016">
            <w:pPr>
              <w:keepNext/>
              <w:jc w:val="both"/>
              <w:rPr>
                <w:rFonts w:ascii="Arial Narrow" w:hAnsi="Arial Narrow" w:cs="Arial"/>
                <w:sz w:val="20"/>
                <w:szCs w:val="20"/>
              </w:rPr>
            </w:pPr>
            <w:proofErr w:type="spellStart"/>
            <w:r w:rsidRPr="005F4582">
              <w:rPr>
                <w:rFonts w:ascii="Arial Narrow" w:hAnsi="Arial Narrow" w:cs="Arial"/>
                <w:sz w:val="20"/>
                <w:szCs w:val="20"/>
              </w:rPr>
              <w:t>Imfinzi</w:t>
            </w:r>
            <w:proofErr w:type="spellEnd"/>
          </w:p>
        </w:tc>
        <w:tc>
          <w:tcPr>
            <w:tcW w:w="678" w:type="pct"/>
          </w:tcPr>
          <w:p w:rsidR="003E0016" w:rsidRPr="005F4582" w:rsidRDefault="003E0016" w:rsidP="003E0016">
            <w:pPr>
              <w:keepNext/>
              <w:jc w:val="both"/>
              <w:rPr>
                <w:rFonts w:ascii="Arial Narrow" w:hAnsi="Arial Narrow" w:cs="Arial"/>
                <w:sz w:val="20"/>
                <w:szCs w:val="20"/>
              </w:rPr>
            </w:pPr>
            <w:r w:rsidRPr="005F4582">
              <w:rPr>
                <w:rFonts w:ascii="Arial Narrow" w:hAnsi="Arial Narrow" w:cs="Arial"/>
                <w:sz w:val="20"/>
                <w:szCs w:val="20"/>
              </w:rPr>
              <w:t>AstraZeneca Pty Ltd</w:t>
            </w:r>
          </w:p>
        </w:tc>
      </w:tr>
      <w:tr w:rsidR="003E0016" w:rsidRPr="005F4582" w:rsidTr="00B22235">
        <w:trPr>
          <w:cantSplit/>
          <w:trHeight w:val="360"/>
        </w:trPr>
        <w:tc>
          <w:tcPr>
            <w:tcW w:w="5000" w:type="pct"/>
            <w:gridSpan w:val="7"/>
            <w:tcBorders>
              <w:bottom w:val="single" w:sz="4" w:space="0" w:color="auto"/>
            </w:tcBorders>
          </w:tcPr>
          <w:p w:rsidR="003E0016" w:rsidRPr="005F4582" w:rsidRDefault="003E0016" w:rsidP="003E0016">
            <w:pPr>
              <w:jc w:val="both"/>
              <w:rPr>
                <w:rFonts w:ascii="Arial Narrow" w:hAnsi="Arial Narrow" w:cs="Arial"/>
                <w:sz w:val="20"/>
                <w:szCs w:val="20"/>
              </w:rPr>
            </w:pPr>
          </w:p>
        </w:tc>
      </w:tr>
      <w:tr w:rsidR="003E0016" w:rsidRPr="005F4582" w:rsidTr="00A619D2">
        <w:trPr>
          <w:cantSplit/>
          <w:trHeight w:val="360"/>
        </w:trPr>
        <w:tc>
          <w:tcPr>
            <w:tcW w:w="1004" w:type="pct"/>
            <w:tcBorders>
              <w:top w:val="single" w:sz="4" w:space="0" w:color="auto"/>
              <w:left w:val="single" w:sz="4" w:space="0" w:color="auto"/>
              <w:bottom w:val="single" w:sz="4" w:space="0" w:color="auto"/>
              <w:right w:val="single" w:sz="4" w:space="0" w:color="auto"/>
            </w:tcBorders>
          </w:tcPr>
          <w:p w:rsidR="003E0016" w:rsidRPr="005F4582" w:rsidRDefault="003E0016" w:rsidP="003E0016">
            <w:pPr>
              <w:jc w:val="both"/>
              <w:rPr>
                <w:rFonts w:ascii="Arial Narrow" w:hAnsi="Arial Narrow" w:cs="Arial"/>
                <w:b/>
                <w:sz w:val="20"/>
                <w:szCs w:val="20"/>
              </w:rPr>
            </w:pPr>
            <w:r w:rsidRPr="005F4582">
              <w:rPr>
                <w:rFonts w:ascii="Arial Narrow" w:hAnsi="Arial Narrow" w:cs="Arial"/>
                <w:b/>
                <w:sz w:val="20"/>
                <w:szCs w:val="20"/>
              </w:rPr>
              <w:t>Category / Program:</w:t>
            </w:r>
          </w:p>
        </w:tc>
        <w:tc>
          <w:tcPr>
            <w:tcW w:w="3996" w:type="pct"/>
            <w:gridSpan w:val="6"/>
            <w:tcBorders>
              <w:top w:val="single" w:sz="4" w:space="0" w:color="auto"/>
              <w:left w:val="single" w:sz="4" w:space="0" w:color="auto"/>
              <w:bottom w:val="single" w:sz="4" w:space="0" w:color="auto"/>
              <w:right w:val="single" w:sz="4" w:space="0" w:color="auto"/>
            </w:tcBorders>
          </w:tcPr>
          <w:p w:rsidR="003E0016" w:rsidRPr="005F4582" w:rsidRDefault="003E0016" w:rsidP="003E0016">
            <w:pPr>
              <w:rPr>
                <w:rFonts w:ascii="Arial Narrow" w:hAnsi="Arial Narrow" w:cs="Arial"/>
                <w:sz w:val="20"/>
                <w:szCs w:val="20"/>
              </w:rPr>
            </w:pPr>
            <w:r w:rsidRPr="005F4582">
              <w:rPr>
                <w:rFonts w:ascii="Arial Narrow" w:hAnsi="Arial Narrow" w:cs="Arial"/>
                <w:sz w:val="20"/>
                <w:szCs w:val="20"/>
              </w:rPr>
              <w:t>Section 100 – Efficient Funding of Chemotherapy {Related Benefits}</w:t>
            </w:r>
          </w:p>
        </w:tc>
      </w:tr>
      <w:tr w:rsidR="003E0016" w:rsidRPr="005F4582" w:rsidTr="00A619D2">
        <w:trPr>
          <w:cantSplit/>
          <w:trHeight w:val="360"/>
        </w:trPr>
        <w:tc>
          <w:tcPr>
            <w:tcW w:w="1004" w:type="pct"/>
            <w:tcBorders>
              <w:top w:val="single" w:sz="4" w:space="0" w:color="auto"/>
              <w:left w:val="single" w:sz="4" w:space="0" w:color="auto"/>
              <w:bottom w:val="single" w:sz="4" w:space="0" w:color="auto"/>
              <w:right w:val="single" w:sz="4" w:space="0" w:color="auto"/>
            </w:tcBorders>
          </w:tcPr>
          <w:p w:rsidR="003E0016" w:rsidRPr="005F4582" w:rsidRDefault="003E0016" w:rsidP="003E0016">
            <w:pPr>
              <w:jc w:val="both"/>
              <w:rPr>
                <w:rFonts w:ascii="Arial Narrow" w:hAnsi="Arial Narrow" w:cs="Arial"/>
                <w:b/>
                <w:sz w:val="20"/>
                <w:szCs w:val="20"/>
              </w:rPr>
            </w:pPr>
            <w:r w:rsidRPr="005F4582">
              <w:rPr>
                <w:rFonts w:ascii="Arial Narrow" w:hAnsi="Arial Narrow" w:cs="Arial"/>
                <w:b/>
                <w:sz w:val="20"/>
                <w:szCs w:val="20"/>
              </w:rPr>
              <w:t>Prescriber type:</w:t>
            </w:r>
          </w:p>
          <w:p w:rsidR="003E0016" w:rsidRPr="005F4582" w:rsidRDefault="003E0016" w:rsidP="003E0016">
            <w:pPr>
              <w:jc w:val="both"/>
              <w:rPr>
                <w:rFonts w:ascii="Arial Narrow" w:hAnsi="Arial Narrow" w:cs="Arial"/>
                <w:b/>
                <w:sz w:val="20"/>
                <w:szCs w:val="20"/>
              </w:rPr>
            </w:pPr>
          </w:p>
        </w:tc>
        <w:tc>
          <w:tcPr>
            <w:tcW w:w="3996" w:type="pct"/>
            <w:gridSpan w:val="6"/>
            <w:tcBorders>
              <w:top w:val="single" w:sz="4" w:space="0" w:color="auto"/>
              <w:left w:val="single" w:sz="4" w:space="0" w:color="auto"/>
              <w:bottom w:val="single" w:sz="4" w:space="0" w:color="auto"/>
              <w:right w:val="single" w:sz="4" w:space="0" w:color="auto"/>
            </w:tcBorders>
          </w:tcPr>
          <w:p w:rsidR="003E0016" w:rsidRPr="005F4582" w:rsidRDefault="003E0016" w:rsidP="003E0016">
            <w:pPr>
              <w:rPr>
                <w:rFonts w:ascii="Arial Narrow" w:hAnsi="Arial Narrow" w:cs="Arial"/>
                <w:sz w:val="20"/>
                <w:szCs w:val="20"/>
              </w:rPr>
            </w:pPr>
            <w:r w:rsidRPr="00603F16">
              <w:rPr>
                <w:rFonts w:ascii="Arial Narrow" w:hAnsi="Arial Narrow" w:cs="Arial"/>
                <w:sz w:val="20"/>
                <w:szCs w:val="20"/>
              </w:rPr>
              <w:fldChar w:fldCharType="begin">
                <w:ffData>
                  <w:name w:val="Check1"/>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603F16">
              <w:rPr>
                <w:rFonts w:ascii="Arial Narrow" w:hAnsi="Arial Narrow" w:cs="Arial"/>
                <w:sz w:val="20"/>
                <w:szCs w:val="20"/>
              </w:rPr>
              <w:fldChar w:fldCharType="end"/>
            </w:r>
            <w:r w:rsidRPr="005F4582">
              <w:rPr>
                <w:rFonts w:ascii="Arial Narrow" w:hAnsi="Arial Narrow" w:cs="Arial"/>
                <w:sz w:val="20"/>
                <w:szCs w:val="20"/>
              </w:rPr>
              <w:t xml:space="preserve">Dental  </w:t>
            </w:r>
            <w:r w:rsidRPr="00603F16">
              <w:rPr>
                <w:rFonts w:ascii="Arial Narrow" w:hAnsi="Arial Narrow" w:cs="Arial"/>
                <w:sz w:val="20"/>
                <w:szCs w:val="20"/>
              </w:rPr>
              <w:fldChar w:fldCharType="begin">
                <w:ffData>
                  <w:name w:val=""/>
                  <w:enabled/>
                  <w:calcOnExit w:val="0"/>
                  <w:checkBox>
                    <w:sizeAuto/>
                    <w:default w:val="1"/>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603F16">
              <w:rPr>
                <w:rFonts w:ascii="Arial Narrow" w:hAnsi="Arial Narrow" w:cs="Arial"/>
                <w:sz w:val="20"/>
                <w:szCs w:val="20"/>
              </w:rPr>
              <w:fldChar w:fldCharType="end"/>
            </w:r>
            <w:r w:rsidRPr="005F4582">
              <w:rPr>
                <w:rFonts w:ascii="Arial Narrow" w:hAnsi="Arial Narrow" w:cs="Arial"/>
                <w:sz w:val="20"/>
                <w:szCs w:val="20"/>
              </w:rPr>
              <w:t xml:space="preserve">Medical Practitioners  </w:t>
            </w:r>
            <w:r w:rsidRPr="00603F16">
              <w:rPr>
                <w:rFonts w:ascii="Arial Narrow" w:hAnsi="Arial Narrow" w:cs="Arial"/>
                <w:sz w:val="20"/>
                <w:szCs w:val="20"/>
              </w:rPr>
              <w:fldChar w:fldCharType="begin">
                <w:ffData>
                  <w:name w:val="Check3"/>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603F16">
              <w:rPr>
                <w:rFonts w:ascii="Arial Narrow" w:hAnsi="Arial Narrow" w:cs="Arial"/>
                <w:sz w:val="20"/>
                <w:szCs w:val="20"/>
              </w:rPr>
              <w:fldChar w:fldCharType="end"/>
            </w:r>
            <w:r w:rsidRPr="005F4582">
              <w:rPr>
                <w:rFonts w:ascii="Arial Narrow" w:hAnsi="Arial Narrow" w:cs="Arial"/>
                <w:sz w:val="20"/>
                <w:szCs w:val="20"/>
              </w:rPr>
              <w:t xml:space="preserve">Nurse practitioners  </w:t>
            </w:r>
            <w:r w:rsidRPr="00603F16">
              <w:rPr>
                <w:rFonts w:ascii="Arial Narrow" w:hAnsi="Arial Narrow" w:cs="Arial"/>
                <w:sz w:val="20"/>
                <w:szCs w:val="20"/>
              </w:rPr>
              <w:fldChar w:fldCharType="begin">
                <w:ffData>
                  <w:name w:val=""/>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603F16">
              <w:rPr>
                <w:rFonts w:ascii="Arial Narrow" w:hAnsi="Arial Narrow" w:cs="Arial"/>
                <w:sz w:val="20"/>
                <w:szCs w:val="20"/>
              </w:rPr>
              <w:fldChar w:fldCharType="end"/>
            </w:r>
            <w:r w:rsidRPr="005F4582">
              <w:rPr>
                <w:rFonts w:ascii="Arial Narrow" w:hAnsi="Arial Narrow" w:cs="Arial"/>
                <w:sz w:val="20"/>
                <w:szCs w:val="20"/>
              </w:rPr>
              <w:t>Optometrists</w:t>
            </w:r>
            <w:r w:rsidR="009E1749" w:rsidRPr="005F4582">
              <w:rPr>
                <w:rFonts w:ascii="Arial Narrow" w:hAnsi="Arial Narrow" w:cs="Arial"/>
                <w:sz w:val="20"/>
                <w:szCs w:val="20"/>
              </w:rPr>
              <w:t xml:space="preserve">  </w:t>
            </w:r>
            <w:r w:rsidRPr="00603F16">
              <w:rPr>
                <w:rFonts w:ascii="Arial Narrow" w:hAnsi="Arial Narrow" w:cs="Arial"/>
                <w:sz w:val="20"/>
                <w:szCs w:val="20"/>
              </w:rPr>
              <w:fldChar w:fldCharType="begin">
                <w:ffData>
                  <w:name w:val="Check5"/>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603F16">
              <w:rPr>
                <w:rFonts w:ascii="Arial Narrow" w:hAnsi="Arial Narrow" w:cs="Arial"/>
                <w:sz w:val="20"/>
                <w:szCs w:val="20"/>
              </w:rPr>
              <w:fldChar w:fldCharType="end"/>
            </w:r>
            <w:r w:rsidRPr="005F4582">
              <w:rPr>
                <w:rFonts w:ascii="Arial Narrow" w:hAnsi="Arial Narrow" w:cs="Arial"/>
                <w:sz w:val="20"/>
                <w:szCs w:val="20"/>
              </w:rPr>
              <w:t>Midwives</w:t>
            </w:r>
          </w:p>
        </w:tc>
      </w:tr>
      <w:tr w:rsidR="003E0016" w:rsidRPr="005F4582" w:rsidTr="00A619D2">
        <w:trPr>
          <w:cantSplit/>
          <w:trHeight w:val="360"/>
        </w:trPr>
        <w:tc>
          <w:tcPr>
            <w:tcW w:w="1004" w:type="pct"/>
            <w:tcBorders>
              <w:top w:val="single" w:sz="4" w:space="0" w:color="auto"/>
              <w:left w:val="single" w:sz="4" w:space="0" w:color="auto"/>
              <w:bottom w:val="single" w:sz="4" w:space="0" w:color="auto"/>
              <w:right w:val="single" w:sz="4" w:space="0" w:color="auto"/>
            </w:tcBorders>
          </w:tcPr>
          <w:p w:rsidR="003E0016" w:rsidRPr="005F4582" w:rsidRDefault="003E0016" w:rsidP="003E0016">
            <w:pPr>
              <w:jc w:val="both"/>
              <w:rPr>
                <w:rFonts w:ascii="Arial Narrow" w:hAnsi="Arial Narrow" w:cs="Arial"/>
                <w:b/>
                <w:sz w:val="20"/>
                <w:szCs w:val="20"/>
              </w:rPr>
            </w:pPr>
            <w:r w:rsidRPr="005F4582">
              <w:rPr>
                <w:rFonts w:ascii="Arial Narrow" w:hAnsi="Arial Narrow" w:cs="Arial"/>
                <w:b/>
                <w:sz w:val="20"/>
                <w:szCs w:val="20"/>
              </w:rPr>
              <w:t>Severity:</w:t>
            </w:r>
          </w:p>
        </w:tc>
        <w:tc>
          <w:tcPr>
            <w:tcW w:w="3996" w:type="pct"/>
            <w:gridSpan w:val="6"/>
            <w:tcBorders>
              <w:top w:val="single" w:sz="4" w:space="0" w:color="auto"/>
              <w:left w:val="single" w:sz="4" w:space="0" w:color="auto"/>
              <w:bottom w:val="single" w:sz="4" w:space="0" w:color="auto"/>
              <w:right w:val="single" w:sz="4" w:space="0" w:color="auto"/>
            </w:tcBorders>
          </w:tcPr>
          <w:p w:rsidR="003E0016" w:rsidRPr="005F4582" w:rsidRDefault="003E0016" w:rsidP="003E0016">
            <w:pPr>
              <w:rPr>
                <w:rFonts w:ascii="Arial Narrow" w:hAnsi="Arial Narrow" w:cs="Arial"/>
                <w:sz w:val="20"/>
                <w:szCs w:val="20"/>
              </w:rPr>
            </w:pPr>
            <w:proofErr w:type="spellStart"/>
            <w:r w:rsidRPr="005F4582">
              <w:rPr>
                <w:rFonts w:ascii="Arial Narrow" w:hAnsi="Arial Narrow" w:cs="Arial"/>
                <w:sz w:val="20"/>
                <w:szCs w:val="20"/>
              </w:rPr>
              <w:t>Unresectable</w:t>
            </w:r>
            <w:proofErr w:type="spellEnd"/>
          </w:p>
        </w:tc>
      </w:tr>
      <w:tr w:rsidR="003E0016" w:rsidRPr="005F4582" w:rsidTr="00A619D2">
        <w:trPr>
          <w:cantSplit/>
          <w:trHeight w:val="360"/>
        </w:trPr>
        <w:tc>
          <w:tcPr>
            <w:tcW w:w="1004" w:type="pct"/>
            <w:tcBorders>
              <w:top w:val="single" w:sz="4" w:space="0" w:color="auto"/>
              <w:left w:val="single" w:sz="4" w:space="0" w:color="auto"/>
              <w:bottom w:val="single" w:sz="4" w:space="0" w:color="auto"/>
              <w:right w:val="single" w:sz="4" w:space="0" w:color="auto"/>
            </w:tcBorders>
          </w:tcPr>
          <w:p w:rsidR="003E0016" w:rsidRPr="005F4582" w:rsidRDefault="003E0016" w:rsidP="003E0016">
            <w:pPr>
              <w:jc w:val="both"/>
              <w:rPr>
                <w:rFonts w:ascii="Arial Narrow" w:hAnsi="Arial Narrow" w:cs="Arial"/>
                <w:b/>
                <w:sz w:val="20"/>
                <w:szCs w:val="20"/>
              </w:rPr>
            </w:pPr>
            <w:r w:rsidRPr="005F4582">
              <w:rPr>
                <w:rFonts w:ascii="Arial Narrow" w:hAnsi="Arial Narrow" w:cs="Arial"/>
                <w:b/>
                <w:sz w:val="20"/>
                <w:szCs w:val="20"/>
              </w:rPr>
              <w:t>Condition:</w:t>
            </w:r>
          </w:p>
        </w:tc>
        <w:tc>
          <w:tcPr>
            <w:tcW w:w="3996" w:type="pct"/>
            <w:gridSpan w:val="6"/>
            <w:tcBorders>
              <w:top w:val="single" w:sz="4" w:space="0" w:color="auto"/>
              <w:left w:val="single" w:sz="4" w:space="0" w:color="auto"/>
              <w:bottom w:val="single" w:sz="4" w:space="0" w:color="auto"/>
              <w:right w:val="single" w:sz="4" w:space="0" w:color="auto"/>
            </w:tcBorders>
          </w:tcPr>
          <w:p w:rsidR="003E0016" w:rsidRPr="005F4582" w:rsidRDefault="003E0016" w:rsidP="003E0016">
            <w:pPr>
              <w:rPr>
                <w:rFonts w:ascii="Arial Narrow" w:hAnsi="Arial Narrow" w:cs="Arial"/>
                <w:sz w:val="20"/>
                <w:szCs w:val="20"/>
              </w:rPr>
            </w:pPr>
            <w:r w:rsidRPr="005F4582">
              <w:rPr>
                <w:rFonts w:ascii="Arial Narrow" w:hAnsi="Arial Narrow" w:cs="Arial"/>
                <w:sz w:val="20"/>
                <w:szCs w:val="20"/>
              </w:rPr>
              <w:t>Stage III non-small cell lung cancer</w:t>
            </w:r>
          </w:p>
        </w:tc>
      </w:tr>
      <w:tr w:rsidR="003E0016" w:rsidRPr="005F4582" w:rsidTr="00A619D2">
        <w:trPr>
          <w:cantSplit/>
          <w:trHeight w:val="369"/>
        </w:trPr>
        <w:tc>
          <w:tcPr>
            <w:tcW w:w="1004" w:type="pct"/>
            <w:tcBorders>
              <w:top w:val="single" w:sz="4" w:space="0" w:color="auto"/>
              <w:left w:val="single" w:sz="4" w:space="0" w:color="auto"/>
              <w:bottom w:val="single" w:sz="4" w:space="0" w:color="auto"/>
              <w:right w:val="single" w:sz="4" w:space="0" w:color="auto"/>
            </w:tcBorders>
          </w:tcPr>
          <w:p w:rsidR="003E0016" w:rsidRPr="005F4582" w:rsidRDefault="003E0016" w:rsidP="003E0016">
            <w:pPr>
              <w:jc w:val="both"/>
              <w:rPr>
                <w:rFonts w:ascii="Arial Narrow" w:hAnsi="Arial Narrow" w:cs="Arial"/>
                <w:b/>
                <w:sz w:val="20"/>
                <w:szCs w:val="20"/>
              </w:rPr>
            </w:pPr>
            <w:r w:rsidRPr="005F4582">
              <w:rPr>
                <w:rFonts w:ascii="Arial Narrow" w:hAnsi="Arial Narrow" w:cs="Arial"/>
                <w:b/>
                <w:sz w:val="20"/>
                <w:szCs w:val="20"/>
              </w:rPr>
              <w:t>PBS Indication:</w:t>
            </w:r>
          </w:p>
          <w:p w:rsidR="003E0016" w:rsidRPr="005F4582" w:rsidRDefault="003E0016" w:rsidP="003E0016">
            <w:pPr>
              <w:jc w:val="both"/>
              <w:rPr>
                <w:rFonts w:ascii="Arial Narrow" w:hAnsi="Arial Narrow" w:cs="Arial"/>
                <w:i/>
                <w:sz w:val="20"/>
                <w:szCs w:val="20"/>
              </w:rPr>
            </w:pPr>
          </w:p>
        </w:tc>
        <w:tc>
          <w:tcPr>
            <w:tcW w:w="3996" w:type="pct"/>
            <w:gridSpan w:val="6"/>
            <w:tcBorders>
              <w:top w:val="single" w:sz="4" w:space="0" w:color="auto"/>
              <w:left w:val="single" w:sz="4" w:space="0" w:color="auto"/>
              <w:bottom w:val="single" w:sz="4" w:space="0" w:color="auto"/>
              <w:right w:val="single" w:sz="4" w:space="0" w:color="auto"/>
            </w:tcBorders>
          </w:tcPr>
          <w:p w:rsidR="003E0016" w:rsidRPr="005F4582" w:rsidRDefault="003E0016" w:rsidP="003E0016">
            <w:pPr>
              <w:rPr>
                <w:rFonts w:ascii="Arial Narrow" w:hAnsi="Arial Narrow" w:cs="Arial"/>
                <w:sz w:val="20"/>
                <w:szCs w:val="20"/>
              </w:rPr>
            </w:pPr>
            <w:proofErr w:type="spellStart"/>
            <w:r w:rsidRPr="005F4582">
              <w:rPr>
                <w:rFonts w:ascii="Arial Narrow" w:hAnsi="Arial Narrow" w:cs="Arial"/>
                <w:sz w:val="20"/>
                <w:szCs w:val="20"/>
              </w:rPr>
              <w:t>Unresectable</w:t>
            </w:r>
            <w:proofErr w:type="spellEnd"/>
            <w:r w:rsidRPr="005F4582">
              <w:rPr>
                <w:rFonts w:ascii="Arial Narrow" w:hAnsi="Arial Narrow" w:cs="Arial"/>
                <w:sz w:val="20"/>
                <w:szCs w:val="20"/>
              </w:rPr>
              <w:t xml:space="preserve"> Stage III non-small cell lung cancer</w:t>
            </w:r>
          </w:p>
        </w:tc>
      </w:tr>
      <w:tr w:rsidR="003E0016" w:rsidRPr="005F4582" w:rsidTr="00A619D2">
        <w:trPr>
          <w:cantSplit/>
          <w:trHeight w:val="360"/>
        </w:trPr>
        <w:tc>
          <w:tcPr>
            <w:tcW w:w="1004" w:type="pct"/>
            <w:tcBorders>
              <w:top w:val="single" w:sz="4" w:space="0" w:color="auto"/>
              <w:left w:val="single" w:sz="4" w:space="0" w:color="auto"/>
              <w:bottom w:val="single" w:sz="4" w:space="0" w:color="auto"/>
              <w:right w:val="single" w:sz="4" w:space="0" w:color="auto"/>
            </w:tcBorders>
          </w:tcPr>
          <w:p w:rsidR="003E0016" w:rsidRPr="005F4582" w:rsidRDefault="003E0016" w:rsidP="00A619D2">
            <w:pPr>
              <w:jc w:val="both"/>
              <w:rPr>
                <w:rFonts w:ascii="Arial Narrow" w:hAnsi="Arial Narrow" w:cs="Arial"/>
                <w:sz w:val="20"/>
                <w:szCs w:val="20"/>
              </w:rPr>
            </w:pPr>
            <w:r w:rsidRPr="005F4582">
              <w:rPr>
                <w:rFonts w:ascii="Arial Narrow" w:hAnsi="Arial Narrow" w:cs="Arial"/>
                <w:b/>
                <w:sz w:val="20"/>
                <w:szCs w:val="20"/>
              </w:rPr>
              <w:t>Restriction Level / Method:</w:t>
            </w:r>
            <w:r w:rsidR="00A619D2" w:rsidRPr="005F4582">
              <w:rPr>
                <w:rFonts w:ascii="Arial Narrow" w:hAnsi="Arial Narrow" w:cs="Arial"/>
                <w:sz w:val="20"/>
                <w:szCs w:val="20"/>
              </w:rPr>
              <w:t xml:space="preserve"> </w:t>
            </w:r>
          </w:p>
        </w:tc>
        <w:tc>
          <w:tcPr>
            <w:tcW w:w="3996" w:type="pct"/>
            <w:gridSpan w:val="6"/>
            <w:tcBorders>
              <w:top w:val="single" w:sz="4" w:space="0" w:color="auto"/>
              <w:left w:val="single" w:sz="4" w:space="0" w:color="auto"/>
              <w:bottom w:val="single" w:sz="4" w:space="0" w:color="auto"/>
              <w:right w:val="single" w:sz="4" w:space="0" w:color="auto"/>
            </w:tcBorders>
          </w:tcPr>
          <w:p w:rsidR="003E0016" w:rsidRPr="005F4582" w:rsidRDefault="003E0016" w:rsidP="003E0016">
            <w:pPr>
              <w:rPr>
                <w:rFonts w:ascii="Arial Narrow" w:hAnsi="Arial Narrow" w:cs="Arial"/>
                <w:sz w:val="20"/>
                <w:szCs w:val="20"/>
              </w:rPr>
            </w:pPr>
            <w:r w:rsidRPr="00603F16">
              <w:rPr>
                <w:rFonts w:ascii="Arial Narrow" w:hAnsi="Arial Narrow" w:cs="Arial"/>
                <w:sz w:val="20"/>
                <w:szCs w:val="20"/>
              </w:rPr>
              <w:fldChar w:fldCharType="begin">
                <w:ffData>
                  <w:name w:val="Check1"/>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603F16">
              <w:rPr>
                <w:rFonts w:ascii="Arial Narrow" w:hAnsi="Arial Narrow" w:cs="Arial"/>
                <w:sz w:val="20"/>
                <w:szCs w:val="20"/>
              </w:rPr>
              <w:fldChar w:fldCharType="end"/>
            </w:r>
            <w:r w:rsidRPr="005F4582">
              <w:rPr>
                <w:rFonts w:ascii="Arial Narrow" w:hAnsi="Arial Narrow" w:cs="Arial"/>
                <w:sz w:val="20"/>
                <w:szCs w:val="20"/>
              </w:rPr>
              <w:t>Restricted benefit</w:t>
            </w:r>
          </w:p>
          <w:p w:rsidR="003E0016" w:rsidRPr="005F4582" w:rsidRDefault="003E0016" w:rsidP="003E0016">
            <w:pPr>
              <w:rPr>
                <w:rFonts w:ascii="Arial Narrow" w:hAnsi="Arial Narrow" w:cs="Arial"/>
                <w:sz w:val="20"/>
                <w:szCs w:val="20"/>
              </w:rPr>
            </w:pPr>
            <w:r w:rsidRPr="00603F16">
              <w:rPr>
                <w:rFonts w:ascii="Arial Narrow" w:hAnsi="Arial Narrow" w:cs="Arial"/>
                <w:sz w:val="20"/>
                <w:szCs w:val="20"/>
              </w:rPr>
              <w:fldChar w:fldCharType="begin">
                <w:ffData>
                  <w:name w:val=""/>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603F16">
              <w:rPr>
                <w:rFonts w:ascii="Arial Narrow" w:hAnsi="Arial Narrow" w:cs="Arial"/>
                <w:sz w:val="20"/>
                <w:szCs w:val="20"/>
              </w:rPr>
              <w:fldChar w:fldCharType="end"/>
            </w:r>
            <w:r w:rsidRPr="005F4582">
              <w:rPr>
                <w:rFonts w:ascii="Arial Narrow" w:hAnsi="Arial Narrow" w:cs="Arial"/>
                <w:sz w:val="20"/>
                <w:szCs w:val="20"/>
              </w:rPr>
              <w:t>Authority Required – In Writing</w:t>
            </w:r>
          </w:p>
          <w:p w:rsidR="003E0016" w:rsidRPr="005F4582" w:rsidRDefault="003E0016" w:rsidP="003E0016">
            <w:pPr>
              <w:rPr>
                <w:rFonts w:ascii="Arial Narrow" w:hAnsi="Arial Narrow" w:cs="Arial"/>
                <w:sz w:val="20"/>
                <w:szCs w:val="20"/>
              </w:rPr>
            </w:pPr>
            <w:r w:rsidRPr="00603F16">
              <w:rPr>
                <w:rFonts w:ascii="Arial Narrow" w:hAnsi="Arial Narrow" w:cs="Arial"/>
                <w:sz w:val="20"/>
                <w:szCs w:val="20"/>
              </w:rPr>
              <w:fldChar w:fldCharType="begin">
                <w:ffData>
                  <w:name w:val="Check3"/>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603F16">
              <w:rPr>
                <w:rFonts w:ascii="Arial Narrow" w:hAnsi="Arial Narrow" w:cs="Arial"/>
                <w:sz w:val="20"/>
                <w:szCs w:val="20"/>
              </w:rPr>
              <w:fldChar w:fldCharType="end"/>
            </w:r>
            <w:r w:rsidRPr="005F4582">
              <w:rPr>
                <w:rFonts w:ascii="Arial Narrow" w:hAnsi="Arial Narrow" w:cs="Arial"/>
                <w:sz w:val="20"/>
                <w:szCs w:val="20"/>
              </w:rPr>
              <w:t>Authority Required – Telephone/Electronic/Emergency</w:t>
            </w:r>
          </w:p>
          <w:p w:rsidR="003E0016" w:rsidRPr="005F4582" w:rsidRDefault="003E0016" w:rsidP="003E0016">
            <w:pPr>
              <w:rPr>
                <w:rFonts w:ascii="Arial Narrow" w:hAnsi="Arial Narrow" w:cs="Arial"/>
                <w:sz w:val="20"/>
                <w:szCs w:val="20"/>
              </w:rPr>
            </w:pPr>
            <w:r w:rsidRPr="00603F16">
              <w:rPr>
                <w:rFonts w:ascii="Arial Narrow" w:hAnsi="Arial Narrow" w:cs="Arial"/>
                <w:sz w:val="20"/>
                <w:szCs w:val="20"/>
              </w:rPr>
              <w:fldChar w:fldCharType="begin">
                <w:ffData>
                  <w:name w:val="Check5"/>
                  <w:enabled/>
                  <w:calcOnExit w:val="0"/>
                  <w:checkBox>
                    <w:sizeAuto/>
                    <w:default w:val="1"/>
                  </w:checkBox>
                </w:ffData>
              </w:fldChar>
            </w:r>
            <w:bookmarkStart w:id="0" w:name="Check5"/>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603F16">
              <w:rPr>
                <w:rFonts w:ascii="Arial Narrow" w:hAnsi="Arial Narrow" w:cs="Arial"/>
                <w:sz w:val="20"/>
                <w:szCs w:val="20"/>
              </w:rPr>
              <w:fldChar w:fldCharType="end"/>
            </w:r>
            <w:bookmarkEnd w:id="0"/>
            <w:r w:rsidRPr="005F4582">
              <w:rPr>
                <w:rFonts w:ascii="Arial Narrow" w:hAnsi="Arial Narrow" w:cs="Arial"/>
                <w:sz w:val="20"/>
                <w:szCs w:val="20"/>
              </w:rPr>
              <w:t>Streamlined</w:t>
            </w:r>
          </w:p>
        </w:tc>
      </w:tr>
      <w:tr w:rsidR="003E0016" w:rsidRPr="005F4582" w:rsidTr="00A619D2">
        <w:trPr>
          <w:cantSplit/>
          <w:trHeight w:val="657"/>
        </w:trPr>
        <w:tc>
          <w:tcPr>
            <w:tcW w:w="1004" w:type="pct"/>
            <w:tcBorders>
              <w:top w:val="single" w:sz="4" w:space="0" w:color="auto"/>
              <w:left w:val="single" w:sz="4" w:space="0" w:color="auto"/>
              <w:bottom w:val="single" w:sz="4" w:space="0" w:color="auto"/>
              <w:right w:val="single" w:sz="4" w:space="0" w:color="auto"/>
            </w:tcBorders>
          </w:tcPr>
          <w:p w:rsidR="003E0016" w:rsidRPr="005F4582" w:rsidRDefault="003E0016" w:rsidP="003E0016">
            <w:pPr>
              <w:jc w:val="both"/>
              <w:rPr>
                <w:rFonts w:ascii="Arial Narrow" w:hAnsi="Arial Narrow" w:cs="Arial"/>
                <w:b/>
                <w:sz w:val="20"/>
                <w:szCs w:val="20"/>
              </w:rPr>
            </w:pPr>
            <w:r w:rsidRPr="005F4582">
              <w:rPr>
                <w:rFonts w:ascii="Arial Narrow" w:hAnsi="Arial Narrow" w:cs="Arial"/>
                <w:b/>
                <w:sz w:val="20"/>
                <w:szCs w:val="20"/>
              </w:rPr>
              <w:lastRenderedPageBreak/>
              <w:t>Clinical criteria:</w:t>
            </w:r>
          </w:p>
          <w:p w:rsidR="003E0016" w:rsidRPr="005F4582" w:rsidRDefault="003E0016" w:rsidP="003E0016">
            <w:pPr>
              <w:jc w:val="both"/>
              <w:rPr>
                <w:rFonts w:ascii="Arial Narrow" w:hAnsi="Arial Narrow" w:cs="Arial"/>
                <w:b/>
                <w:sz w:val="20"/>
                <w:szCs w:val="20"/>
              </w:rPr>
            </w:pPr>
          </w:p>
        </w:tc>
        <w:tc>
          <w:tcPr>
            <w:tcW w:w="3996" w:type="pct"/>
            <w:gridSpan w:val="6"/>
            <w:tcBorders>
              <w:top w:val="single" w:sz="4" w:space="0" w:color="auto"/>
              <w:left w:val="single" w:sz="4" w:space="0" w:color="auto"/>
              <w:bottom w:val="single" w:sz="4" w:space="0" w:color="auto"/>
              <w:right w:val="single" w:sz="4" w:space="0" w:color="auto"/>
            </w:tcBorders>
          </w:tcPr>
          <w:p w:rsidR="003E0016" w:rsidRPr="005F4582" w:rsidRDefault="003E0016" w:rsidP="003E0016">
            <w:pPr>
              <w:pStyle w:val="TableText0"/>
              <w:rPr>
                <w:u w:val="single"/>
              </w:rPr>
            </w:pPr>
            <w:r w:rsidRPr="005F4582">
              <w:rPr>
                <w:u w:val="single"/>
              </w:rPr>
              <w:t>Initial</w:t>
            </w:r>
          </w:p>
          <w:p w:rsidR="003E0016" w:rsidRPr="005F4582" w:rsidRDefault="003E0016" w:rsidP="003E0016">
            <w:pPr>
              <w:pStyle w:val="TableText0"/>
            </w:pPr>
            <w:r w:rsidRPr="005F4582">
              <w:t xml:space="preserve">The patient must have received platinum based </w:t>
            </w:r>
            <w:proofErr w:type="spellStart"/>
            <w:r w:rsidRPr="005F4582">
              <w:t>chemoradiation</w:t>
            </w:r>
            <w:proofErr w:type="spellEnd"/>
            <w:r w:rsidRPr="005F4582">
              <w:t xml:space="preserve"> therapy </w:t>
            </w:r>
          </w:p>
          <w:p w:rsidR="003E0016" w:rsidRPr="005F4582" w:rsidRDefault="003E0016" w:rsidP="003E0016">
            <w:pPr>
              <w:pStyle w:val="TableText0"/>
            </w:pPr>
            <w:r w:rsidRPr="005F4582">
              <w:t xml:space="preserve">AND </w:t>
            </w:r>
          </w:p>
          <w:p w:rsidR="003E0016" w:rsidRPr="005F4582" w:rsidRDefault="003E0016" w:rsidP="003E0016">
            <w:pPr>
              <w:pStyle w:val="TableText0"/>
            </w:pPr>
            <w:r w:rsidRPr="005F4582">
              <w:t xml:space="preserve">The condition must not have progressed following platinum based </w:t>
            </w:r>
            <w:proofErr w:type="spellStart"/>
            <w:r w:rsidRPr="005F4582">
              <w:t>chemoradiation</w:t>
            </w:r>
            <w:proofErr w:type="spellEnd"/>
            <w:r w:rsidRPr="005F4582">
              <w:t xml:space="preserve"> therapy </w:t>
            </w:r>
          </w:p>
          <w:p w:rsidR="003E0016" w:rsidRPr="005F4582" w:rsidRDefault="003E0016" w:rsidP="003E0016">
            <w:pPr>
              <w:pStyle w:val="TableText0"/>
            </w:pPr>
            <w:r w:rsidRPr="005F4582">
              <w:t>AND</w:t>
            </w:r>
          </w:p>
          <w:p w:rsidR="003E0016" w:rsidRPr="005F4582" w:rsidRDefault="003E0016" w:rsidP="003E0016">
            <w:pPr>
              <w:pStyle w:val="TableText0"/>
            </w:pPr>
            <w:r w:rsidRPr="005F4582">
              <w:t>Patient must have a WHO performance status of 0 or 1</w:t>
            </w:r>
          </w:p>
          <w:p w:rsidR="003E0016" w:rsidRPr="005F4582" w:rsidRDefault="003E0016" w:rsidP="003E0016">
            <w:pPr>
              <w:pStyle w:val="TableText0"/>
            </w:pPr>
            <w:r w:rsidRPr="005F4582">
              <w:t>AND</w:t>
            </w:r>
          </w:p>
          <w:p w:rsidR="002E309E" w:rsidRPr="005F4582" w:rsidRDefault="002E309E" w:rsidP="003E0016">
            <w:pPr>
              <w:pStyle w:val="TableText0"/>
            </w:pPr>
            <w:r w:rsidRPr="005F4582">
              <w:rPr>
                <w:i/>
              </w:rPr>
              <w:t>Patient must</w:t>
            </w:r>
            <w:r w:rsidR="00BD42D3" w:rsidRPr="005F4582">
              <w:rPr>
                <w:i/>
              </w:rPr>
              <w:t xml:space="preserve"> not</w:t>
            </w:r>
            <w:r w:rsidRPr="005F4582">
              <w:rPr>
                <w:i/>
              </w:rPr>
              <w:t xml:space="preserve"> have previously received PBS-subsidised treatment with this drug for this condition</w:t>
            </w:r>
            <w:r w:rsidR="00BD42D3" w:rsidRPr="005F4582">
              <w:t xml:space="preserve"> </w:t>
            </w:r>
          </w:p>
          <w:p w:rsidR="003E0016" w:rsidRPr="005F4582" w:rsidRDefault="003E0016" w:rsidP="003E0016">
            <w:pPr>
              <w:pStyle w:val="TableText0"/>
              <w:rPr>
                <w:strike/>
              </w:rPr>
            </w:pPr>
            <w:r w:rsidRPr="005F4582">
              <w:rPr>
                <w:strike/>
              </w:rPr>
              <w:t xml:space="preserve">Patient must not have received prior treatment with a programmed cell death-1 (PD 1) inhibitor or programmed cell death ligand-1 (PD-L1) inhibitor. </w:t>
            </w:r>
          </w:p>
          <w:p w:rsidR="003E0016" w:rsidRPr="005F4582" w:rsidRDefault="003E0016" w:rsidP="003E0016">
            <w:pPr>
              <w:pStyle w:val="TableText0"/>
              <w:rPr>
                <w:strike/>
              </w:rPr>
            </w:pPr>
            <w:r w:rsidRPr="005F4582">
              <w:rPr>
                <w:strike/>
              </w:rPr>
              <w:t>Patient can only be administered one course of treatment with PD-1/PD-L1 inhibitors per life time</w:t>
            </w:r>
          </w:p>
          <w:p w:rsidR="003E0016" w:rsidRPr="005F4582" w:rsidRDefault="003E0016" w:rsidP="003E0016">
            <w:pPr>
              <w:pStyle w:val="TableText0"/>
            </w:pPr>
            <w:r w:rsidRPr="005F4582">
              <w:t xml:space="preserve">AND </w:t>
            </w:r>
          </w:p>
          <w:p w:rsidR="003E0016" w:rsidRPr="005F4582" w:rsidRDefault="003E0016" w:rsidP="003E0016">
            <w:pPr>
              <w:pStyle w:val="TableText0"/>
            </w:pPr>
            <w:r w:rsidRPr="005F4582">
              <w:rPr>
                <w:strike/>
              </w:rPr>
              <w:t>The treatment must be the sole PBS subsidised treatment for this condition</w:t>
            </w:r>
            <w:r w:rsidR="00BD42D3" w:rsidRPr="005F4582">
              <w:t xml:space="preserve"> </w:t>
            </w:r>
          </w:p>
          <w:p w:rsidR="00BD42D3" w:rsidRPr="005F4582" w:rsidRDefault="00BD42D3" w:rsidP="003E0016">
            <w:pPr>
              <w:pStyle w:val="TableText0"/>
            </w:pPr>
            <w:r w:rsidRPr="005F4582">
              <w:rPr>
                <w:i/>
              </w:rPr>
              <w:t>The treatment must be the sole PBS-subsidised systemic anti-cancer therapy for this condition</w:t>
            </w:r>
            <w:r w:rsidRPr="005F4582">
              <w:t xml:space="preserve"> </w:t>
            </w:r>
          </w:p>
          <w:p w:rsidR="003E0016" w:rsidRPr="005F4582" w:rsidRDefault="003E0016" w:rsidP="003E0016">
            <w:pPr>
              <w:pStyle w:val="TableText0"/>
              <w:rPr>
                <w:u w:val="single"/>
              </w:rPr>
            </w:pPr>
            <w:r w:rsidRPr="005F4582">
              <w:rPr>
                <w:u w:val="single"/>
              </w:rPr>
              <w:t>Continuing</w:t>
            </w:r>
          </w:p>
          <w:p w:rsidR="003E0016" w:rsidRPr="005F4582" w:rsidRDefault="003E0016" w:rsidP="003E0016">
            <w:pPr>
              <w:pStyle w:val="TableText0"/>
              <w:rPr>
                <w:strike/>
              </w:rPr>
            </w:pPr>
            <w:r w:rsidRPr="005F4582">
              <w:rPr>
                <w:strike/>
              </w:rPr>
              <w:t>Patient must have stable or responding disease</w:t>
            </w:r>
          </w:p>
          <w:p w:rsidR="00BD42D3" w:rsidRPr="005F4582" w:rsidRDefault="00BD42D3" w:rsidP="003E0016">
            <w:pPr>
              <w:pStyle w:val="TableText0"/>
            </w:pPr>
            <w:r w:rsidRPr="005F4582">
              <w:rPr>
                <w:bCs/>
                <w:i/>
              </w:rPr>
              <w:t xml:space="preserve">Patient must not have developed disease progression while being treated with this drug for this condition </w:t>
            </w:r>
          </w:p>
          <w:p w:rsidR="003E0016" w:rsidRPr="005F4582" w:rsidRDefault="003E0016" w:rsidP="003E0016">
            <w:pPr>
              <w:pStyle w:val="TableText0"/>
            </w:pPr>
            <w:r w:rsidRPr="005F4582">
              <w:t>AND</w:t>
            </w:r>
          </w:p>
          <w:p w:rsidR="003E0016" w:rsidRPr="005F4582" w:rsidRDefault="003E0016" w:rsidP="003E0016">
            <w:pPr>
              <w:pStyle w:val="TableText0"/>
              <w:rPr>
                <w:strike/>
              </w:rPr>
            </w:pPr>
            <w:r w:rsidRPr="005F4582">
              <w:rPr>
                <w:strike/>
              </w:rPr>
              <w:t>Patient must have previously been issued with an Authority prescription for this indication</w:t>
            </w:r>
          </w:p>
          <w:p w:rsidR="00BD42D3" w:rsidRPr="005F4582" w:rsidRDefault="00BD42D3" w:rsidP="003E0016">
            <w:pPr>
              <w:pStyle w:val="TableText0"/>
            </w:pPr>
            <w:r w:rsidRPr="005F4582">
              <w:rPr>
                <w:i/>
              </w:rPr>
              <w:t>Patient must have previously received PBS-subsidised treatment with this drug for this condition</w:t>
            </w:r>
            <w:r w:rsidRPr="005F4582">
              <w:t xml:space="preserve"> </w:t>
            </w:r>
          </w:p>
          <w:p w:rsidR="003E0016" w:rsidRPr="005F4582" w:rsidRDefault="003E0016" w:rsidP="003E0016">
            <w:pPr>
              <w:pStyle w:val="TableText0"/>
            </w:pPr>
            <w:r w:rsidRPr="005F4582">
              <w:t xml:space="preserve">AND </w:t>
            </w:r>
          </w:p>
          <w:p w:rsidR="003E0016" w:rsidRPr="005F4582" w:rsidRDefault="003E0016" w:rsidP="003E0016">
            <w:pPr>
              <w:pStyle w:val="TableText0"/>
            </w:pPr>
            <w:r w:rsidRPr="005F4582">
              <w:rPr>
                <w:strike/>
              </w:rPr>
              <w:t>The treatment must be the sole PBS subsidised treatment for this condition</w:t>
            </w:r>
            <w:r w:rsidRPr="005F4582">
              <w:t xml:space="preserve"> </w:t>
            </w:r>
          </w:p>
          <w:p w:rsidR="00BD42D3" w:rsidRPr="005F4582" w:rsidRDefault="00BD42D3" w:rsidP="00BD42D3">
            <w:pPr>
              <w:pStyle w:val="TableText0"/>
            </w:pPr>
            <w:r w:rsidRPr="005F4582">
              <w:rPr>
                <w:i/>
              </w:rPr>
              <w:t>The treatment must be the sole PBS-subsidised systemic anti-cancer therapy for this condition</w:t>
            </w:r>
            <w:r w:rsidRPr="005F4582">
              <w:t xml:space="preserve"> </w:t>
            </w:r>
          </w:p>
          <w:p w:rsidR="00BD42D3" w:rsidRPr="005F4582" w:rsidRDefault="00BD42D3" w:rsidP="003E0016">
            <w:pPr>
              <w:pStyle w:val="TableText0"/>
            </w:pPr>
          </w:p>
          <w:p w:rsidR="003E0016" w:rsidRPr="005F4582" w:rsidRDefault="003E0016" w:rsidP="003E0016">
            <w:pPr>
              <w:pStyle w:val="TableText0"/>
            </w:pPr>
            <w:r w:rsidRPr="005F4582">
              <w:t>AND</w:t>
            </w:r>
          </w:p>
          <w:p w:rsidR="003E0016" w:rsidRPr="005F4582" w:rsidRDefault="003777BD" w:rsidP="003E0016">
            <w:pPr>
              <w:pStyle w:val="TableText0"/>
              <w:rPr>
                <w:strike/>
              </w:rPr>
            </w:pPr>
            <w:r w:rsidRPr="005F4582">
              <w:rPr>
                <w:i/>
              </w:rPr>
              <w:t>The t</w:t>
            </w:r>
            <w:r w:rsidR="003E0016" w:rsidRPr="005F4582">
              <w:rPr>
                <w:i/>
              </w:rPr>
              <w:t>reatment</w:t>
            </w:r>
            <w:r w:rsidR="003E0016" w:rsidRPr="005F4582">
              <w:t xml:space="preserve"> must not exceed 12 months </w:t>
            </w:r>
            <w:r w:rsidRPr="005F4582">
              <w:rPr>
                <w:i/>
              </w:rPr>
              <w:t xml:space="preserve">duration </w:t>
            </w:r>
            <w:r w:rsidR="003E0016" w:rsidRPr="005F4582">
              <w:rPr>
                <w:strike/>
              </w:rPr>
              <w:t>in total, at a maximum dose of 10 mg per kg every 2 weeks, with this drug for this condition</w:t>
            </w:r>
          </w:p>
          <w:p w:rsidR="003E0016" w:rsidRPr="005F4582" w:rsidRDefault="003E0016" w:rsidP="003E0016">
            <w:pPr>
              <w:pStyle w:val="TableText0"/>
              <w:rPr>
                <w:u w:val="single"/>
              </w:rPr>
            </w:pPr>
            <w:r w:rsidRPr="005F4582">
              <w:rPr>
                <w:u w:val="single"/>
              </w:rPr>
              <w:t>Grandfathering</w:t>
            </w:r>
          </w:p>
          <w:p w:rsidR="003E0016" w:rsidRPr="005F4582" w:rsidRDefault="003E0016" w:rsidP="003E0016">
            <w:pPr>
              <w:pStyle w:val="TableText0"/>
            </w:pPr>
            <w:r w:rsidRPr="005F4582">
              <w:t xml:space="preserve">The patient must have received </w:t>
            </w:r>
            <w:r w:rsidR="0036728B" w:rsidRPr="005F4582">
              <w:rPr>
                <w:i/>
              </w:rPr>
              <w:t xml:space="preserve">non-PBS subsidised </w:t>
            </w:r>
            <w:r w:rsidRPr="005F4582">
              <w:t>treatment with this drug for this condition prior to [DATE]</w:t>
            </w:r>
            <w:r w:rsidR="0036728B" w:rsidRPr="005F4582">
              <w:t xml:space="preserve"> </w:t>
            </w:r>
          </w:p>
          <w:p w:rsidR="003E0016" w:rsidRPr="005F4582" w:rsidRDefault="003E0016" w:rsidP="003E0016">
            <w:pPr>
              <w:pStyle w:val="TableText0"/>
            </w:pPr>
            <w:r w:rsidRPr="005F4582">
              <w:t xml:space="preserve">AND </w:t>
            </w:r>
          </w:p>
          <w:p w:rsidR="003E0016" w:rsidRPr="005F4582" w:rsidRDefault="003E0016" w:rsidP="003E0016">
            <w:pPr>
              <w:pStyle w:val="TableText0"/>
            </w:pPr>
            <w:r w:rsidRPr="005F4582">
              <w:t>Patient must have had a WHO performance status of 0 or 1 prior to initiation of non-PBS subsidised treatment with this drug for this condition</w:t>
            </w:r>
          </w:p>
          <w:p w:rsidR="003E0016" w:rsidRPr="005F4582" w:rsidRDefault="003E0016" w:rsidP="003E0016">
            <w:pPr>
              <w:pStyle w:val="TableText0"/>
            </w:pPr>
            <w:r w:rsidRPr="005F4582">
              <w:t>AND</w:t>
            </w:r>
          </w:p>
          <w:p w:rsidR="003E0016" w:rsidRPr="005F4582" w:rsidRDefault="003E0016" w:rsidP="003E0016">
            <w:pPr>
              <w:pStyle w:val="TableText0"/>
            </w:pPr>
            <w:r w:rsidRPr="005F4582">
              <w:rPr>
                <w:strike/>
              </w:rPr>
              <w:t>The condition must not have progressed while receiving PBS-subsidised treatment with this drug for this condition</w:t>
            </w:r>
            <w:r w:rsidRPr="005F4582">
              <w:t>.</w:t>
            </w:r>
          </w:p>
          <w:p w:rsidR="003E0016" w:rsidRPr="005F4582" w:rsidRDefault="0036728B" w:rsidP="003E0016">
            <w:pPr>
              <w:pStyle w:val="TableText0"/>
            </w:pPr>
            <w:r w:rsidRPr="005F4582">
              <w:rPr>
                <w:bCs/>
                <w:i/>
              </w:rPr>
              <w:t xml:space="preserve">Patient must not have developed disease progression while being treated with this drug for this condition </w:t>
            </w:r>
            <w:r w:rsidR="003E0016" w:rsidRPr="005F4582">
              <w:t>AND</w:t>
            </w:r>
          </w:p>
          <w:p w:rsidR="003E0016" w:rsidRPr="005F4582" w:rsidRDefault="003E0016" w:rsidP="003E0016">
            <w:pPr>
              <w:pStyle w:val="TableText0"/>
              <w:rPr>
                <w:strike/>
              </w:rPr>
            </w:pPr>
            <w:r w:rsidRPr="005F4582">
              <w:rPr>
                <w:strike/>
              </w:rPr>
              <w:t>The treatment must be the sole PBS subsidised treatment for this condition</w:t>
            </w:r>
          </w:p>
          <w:p w:rsidR="003E0016" w:rsidRPr="005F4582" w:rsidRDefault="0036728B" w:rsidP="003E0016">
            <w:pPr>
              <w:pStyle w:val="TableText0"/>
            </w:pPr>
            <w:r w:rsidRPr="005F4582">
              <w:rPr>
                <w:i/>
              </w:rPr>
              <w:t>The treatment must be the sole PBS-subsidised systemic anti-cancer therapy for this condition</w:t>
            </w:r>
            <w:r w:rsidRPr="005F4582">
              <w:t xml:space="preserve"> </w:t>
            </w:r>
          </w:p>
          <w:p w:rsidR="003E0016" w:rsidRPr="005F4582" w:rsidRDefault="003E0016" w:rsidP="003E0016">
            <w:pPr>
              <w:jc w:val="both"/>
              <w:rPr>
                <w:rFonts w:ascii="Arial Narrow" w:hAnsi="Arial Narrow" w:cs="Arial"/>
                <w:sz w:val="20"/>
                <w:szCs w:val="20"/>
              </w:rPr>
            </w:pPr>
          </w:p>
        </w:tc>
      </w:tr>
      <w:tr w:rsidR="003E0016" w:rsidRPr="005F4582" w:rsidTr="00A619D2">
        <w:trPr>
          <w:cantSplit/>
          <w:trHeight w:val="360"/>
        </w:trPr>
        <w:tc>
          <w:tcPr>
            <w:tcW w:w="1004" w:type="pct"/>
            <w:tcBorders>
              <w:top w:val="single" w:sz="4" w:space="0" w:color="auto"/>
              <w:left w:val="single" w:sz="4" w:space="0" w:color="auto"/>
              <w:bottom w:val="single" w:sz="4" w:space="0" w:color="auto"/>
              <w:right w:val="single" w:sz="4" w:space="0" w:color="auto"/>
            </w:tcBorders>
          </w:tcPr>
          <w:p w:rsidR="003E0016" w:rsidRPr="005F4582" w:rsidRDefault="003E0016" w:rsidP="003E0016">
            <w:pPr>
              <w:jc w:val="both"/>
              <w:rPr>
                <w:rFonts w:ascii="Arial Narrow" w:hAnsi="Arial Narrow" w:cs="Arial"/>
                <w:b/>
                <w:sz w:val="20"/>
                <w:szCs w:val="20"/>
              </w:rPr>
            </w:pPr>
            <w:r w:rsidRPr="005F4582">
              <w:rPr>
                <w:rFonts w:ascii="Arial Narrow" w:hAnsi="Arial Narrow" w:cs="Arial"/>
                <w:b/>
                <w:sz w:val="20"/>
                <w:szCs w:val="20"/>
              </w:rPr>
              <w:t>Administrative Advice:</w:t>
            </w:r>
          </w:p>
          <w:p w:rsidR="003E0016" w:rsidRPr="005F4582" w:rsidRDefault="003E0016" w:rsidP="003E0016">
            <w:pPr>
              <w:jc w:val="both"/>
              <w:rPr>
                <w:rFonts w:ascii="Arial Narrow" w:hAnsi="Arial Narrow" w:cs="Arial"/>
                <w:i/>
                <w:sz w:val="20"/>
                <w:szCs w:val="20"/>
              </w:rPr>
            </w:pPr>
          </w:p>
        </w:tc>
        <w:tc>
          <w:tcPr>
            <w:tcW w:w="3996" w:type="pct"/>
            <w:gridSpan w:val="6"/>
            <w:tcBorders>
              <w:top w:val="single" w:sz="4" w:space="0" w:color="auto"/>
              <w:left w:val="single" w:sz="4" w:space="0" w:color="auto"/>
              <w:bottom w:val="single" w:sz="4" w:space="0" w:color="auto"/>
              <w:right w:val="single" w:sz="4" w:space="0" w:color="auto"/>
            </w:tcBorders>
          </w:tcPr>
          <w:p w:rsidR="003E0016" w:rsidRPr="005F4582" w:rsidRDefault="003E0016" w:rsidP="003E0016">
            <w:pPr>
              <w:jc w:val="both"/>
              <w:rPr>
                <w:rFonts w:ascii="Arial Narrow" w:hAnsi="Arial Narrow"/>
                <w:sz w:val="20"/>
                <w:szCs w:val="22"/>
              </w:rPr>
            </w:pPr>
            <w:r w:rsidRPr="005F4582">
              <w:rPr>
                <w:rFonts w:ascii="Arial Narrow" w:hAnsi="Arial Narrow"/>
                <w:sz w:val="20"/>
                <w:szCs w:val="22"/>
              </w:rPr>
              <w:t>No increase in the maximum number of repeats will be authorised.</w:t>
            </w:r>
          </w:p>
          <w:p w:rsidR="003E0016" w:rsidRPr="005F4582" w:rsidRDefault="003E0016" w:rsidP="003E0016">
            <w:pPr>
              <w:jc w:val="both"/>
              <w:rPr>
                <w:rFonts w:ascii="Arial Narrow" w:hAnsi="Arial Narrow"/>
                <w:sz w:val="20"/>
                <w:szCs w:val="22"/>
              </w:rPr>
            </w:pPr>
            <w:r w:rsidRPr="005F4582">
              <w:rPr>
                <w:rFonts w:ascii="Arial Narrow" w:hAnsi="Arial Narrow"/>
                <w:sz w:val="20"/>
                <w:szCs w:val="22"/>
              </w:rPr>
              <w:t>Special pricing arrangement apply</w:t>
            </w:r>
          </w:p>
          <w:p w:rsidR="00C62A35" w:rsidRPr="005F4582" w:rsidRDefault="00C62A35" w:rsidP="003E0016">
            <w:pPr>
              <w:jc w:val="both"/>
              <w:rPr>
                <w:rFonts w:ascii="Arial Narrow" w:hAnsi="Arial Narrow"/>
                <w:i/>
                <w:sz w:val="20"/>
                <w:szCs w:val="22"/>
              </w:rPr>
            </w:pPr>
            <w:r w:rsidRPr="005F4582">
              <w:rPr>
                <w:rFonts w:ascii="Arial Narrow" w:hAnsi="Arial Narrow"/>
                <w:i/>
                <w:sz w:val="20"/>
                <w:szCs w:val="22"/>
                <w:u w:val="single"/>
              </w:rPr>
              <w:t>Note</w:t>
            </w:r>
            <w:r w:rsidRPr="005F4582">
              <w:rPr>
                <w:rFonts w:ascii="Arial Narrow" w:hAnsi="Arial Narrow"/>
                <w:i/>
                <w:sz w:val="20"/>
                <w:szCs w:val="22"/>
              </w:rPr>
              <w:t xml:space="preserve"> (applies to grandfathering restriction)</w:t>
            </w:r>
          </w:p>
          <w:p w:rsidR="00C62A35" w:rsidRPr="005F4582" w:rsidRDefault="00C62A35" w:rsidP="003E0016">
            <w:pPr>
              <w:jc w:val="both"/>
              <w:rPr>
                <w:rFonts w:ascii="Arial Narrow" w:hAnsi="Arial Narrow"/>
                <w:i/>
                <w:sz w:val="20"/>
                <w:szCs w:val="22"/>
              </w:rPr>
            </w:pPr>
            <w:r w:rsidRPr="005F4582">
              <w:rPr>
                <w:rFonts w:ascii="Arial Narrow" w:hAnsi="Arial Narrow"/>
                <w:i/>
                <w:sz w:val="20"/>
                <w:szCs w:val="22"/>
              </w:rPr>
              <w:t xml:space="preserve">Patients may qualify for PBS-subsidised treatment under this restriction once only. </w:t>
            </w:r>
          </w:p>
          <w:p w:rsidR="003E0016" w:rsidRPr="005F4582" w:rsidRDefault="00C62A35" w:rsidP="00C62A35">
            <w:pPr>
              <w:jc w:val="both"/>
              <w:rPr>
                <w:rFonts w:ascii="Arial Narrow" w:hAnsi="Arial Narrow"/>
                <w:sz w:val="20"/>
                <w:szCs w:val="22"/>
              </w:rPr>
            </w:pPr>
            <w:r w:rsidRPr="005F4582">
              <w:rPr>
                <w:rFonts w:ascii="Arial Narrow" w:hAnsi="Arial Narrow"/>
                <w:i/>
                <w:sz w:val="20"/>
                <w:szCs w:val="22"/>
              </w:rPr>
              <w:t xml:space="preserve">For continuing PBS-subsidised treatment, a 'Grandfathered' patient must qualify under the 'Continuing treatment' criteria” </w:t>
            </w:r>
          </w:p>
        </w:tc>
      </w:tr>
    </w:tbl>
    <w:p w:rsidR="00234252" w:rsidRPr="005F4582" w:rsidRDefault="00234252" w:rsidP="009324A6">
      <w:pPr>
        <w:spacing w:after="120"/>
        <w:jc w:val="both"/>
        <w:rPr>
          <w:rFonts w:asciiTheme="minorHAnsi" w:eastAsiaTheme="minorHAnsi" w:hAnsiTheme="minorHAnsi" w:cstheme="minorBidi"/>
          <w:b/>
          <w:i/>
          <w:color w:val="000000" w:themeColor="text1"/>
          <w:lang w:eastAsia="en-US"/>
        </w:rPr>
      </w:pPr>
    </w:p>
    <w:p w:rsidR="0012749D" w:rsidRPr="005F4582" w:rsidRDefault="00CE10C4" w:rsidP="00477A9B">
      <w:pPr>
        <w:pStyle w:val="2Sections"/>
      </w:pPr>
      <w:r w:rsidRPr="005F4582">
        <w:lastRenderedPageBreak/>
        <w:t>Background</w:t>
      </w:r>
      <w:r w:rsidR="00771D07" w:rsidRPr="005F4582">
        <w:t xml:space="preserve"> </w:t>
      </w:r>
    </w:p>
    <w:p w:rsidR="003E54D1" w:rsidRPr="005F4582" w:rsidRDefault="009855A8" w:rsidP="003E54D1">
      <w:pPr>
        <w:pStyle w:val="Heading2"/>
      </w:pPr>
      <w:r w:rsidRPr="005F4582">
        <w:t>Registration status</w:t>
      </w:r>
    </w:p>
    <w:p w:rsidR="009855A8" w:rsidRPr="005F4582" w:rsidRDefault="003E54D1" w:rsidP="004E5E24">
      <w:pPr>
        <w:pStyle w:val="ListParagraph"/>
        <w:widowControl/>
        <w:numPr>
          <w:ilvl w:val="1"/>
          <w:numId w:val="1"/>
        </w:numPr>
        <w:spacing w:after="120"/>
        <w:contextualSpacing w:val="0"/>
        <w:rPr>
          <w:rFonts w:asciiTheme="minorHAnsi" w:hAnsiTheme="minorHAnsi"/>
          <w:sz w:val="24"/>
          <w:szCs w:val="24"/>
        </w:rPr>
      </w:pPr>
      <w:proofErr w:type="spellStart"/>
      <w:r w:rsidRPr="005F4582">
        <w:rPr>
          <w:rFonts w:asciiTheme="minorHAnsi" w:hAnsiTheme="minorHAnsi"/>
          <w:sz w:val="24"/>
          <w:szCs w:val="24"/>
        </w:rPr>
        <w:t>Durvalumab</w:t>
      </w:r>
      <w:proofErr w:type="spellEnd"/>
      <w:r w:rsidRPr="005F4582">
        <w:rPr>
          <w:rFonts w:asciiTheme="minorHAnsi" w:hAnsiTheme="minorHAnsi"/>
          <w:sz w:val="24"/>
          <w:szCs w:val="24"/>
        </w:rPr>
        <w:t xml:space="preserve"> was approved by the </w:t>
      </w:r>
      <w:r w:rsidR="00372E86" w:rsidRPr="005F4582">
        <w:rPr>
          <w:rFonts w:asciiTheme="minorHAnsi" w:hAnsiTheme="minorHAnsi"/>
          <w:sz w:val="24"/>
          <w:szCs w:val="24"/>
        </w:rPr>
        <w:t xml:space="preserve">Therapeutics Goods Administration </w:t>
      </w:r>
      <w:r w:rsidRPr="005F4582">
        <w:rPr>
          <w:rFonts w:asciiTheme="minorHAnsi" w:hAnsiTheme="minorHAnsi"/>
          <w:sz w:val="24"/>
          <w:szCs w:val="24"/>
        </w:rPr>
        <w:t xml:space="preserve">on 23 October 2018 for the treatment of patients with locally advanced, </w:t>
      </w:r>
      <w:proofErr w:type="spellStart"/>
      <w:r w:rsidRPr="005F4582">
        <w:rPr>
          <w:rFonts w:asciiTheme="minorHAnsi" w:hAnsiTheme="minorHAnsi"/>
          <w:sz w:val="24"/>
          <w:szCs w:val="24"/>
        </w:rPr>
        <w:t>unresectable</w:t>
      </w:r>
      <w:proofErr w:type="spellEnd"/>
      <w:r w:rsidRPr="005F4582">
        <w:rPr>
          <w:rFonts w:asciiTheme="minorHAnsi" w:hAnsiTheme="minorHAnsi"/>
          <w:sz w:val="24"/>
          <w:szCs w:val="24"/>
        </w:rPr>
        <w:t xml:space="preserve"> NSCLC whose disease has not progressed following platinum based </w:t>
      </w:r>
      <w:proofErr w:type="spellStart"/>
      <w:r w:rsidRPr="005F4582">
        <w:rPr>
          <w:rFonts w:asciiTheme="minorHAnsi" w:hAnsiTheme="minorHAnsi"/>
          <w:sz w:val="24"/>
          <w:szCs w:val="24"/>
        </w:rPr>
        <w:t>chemoradiation</w:t>
      </w:r>
      <w:proofErr w:type="spellEnd"/>
      <w:r w:rsidRPr="005F4582">
        <w:rPr>
          <w:rFonts w:asciiTheme="minorHAnsi" w:hAnsiTheme="minorHAnsi"/>
          <w:sz w:val="24"/>
          <w:szCs w:val="24"/>
        </w:rPr>
        <w:t xml:space="preserve"> therapy. </w:t>
      </w:r>
    </w:p>
    <w:p w:rsidR="0012749D" w:rsidRPr="005F4582" w:rsidRDefault="0012749D" w:rsidP="004E5E24">
      <w:pPr>
        <w:pStyle w:val="Heading2"/>
      </w:pPr>
      <w:r w:rsidRPr="005F4582">
        <w:t xml:space="preserve">Previous PBAC consideration </w:t>
      </w:r>
    </w:p>
    <w:p w:rsidR="00007A34" w:rsidRPr="005F4582" w:rsidRDefault="00007A34" w:rsidP="00BD6FC5">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5F4582">
        <w:rPr>
          <w:rFonts w:asciiTheme="minorHAnsi" w:hAnsiTheme="minorHAnsi"/>
          <w:sz w:val="24"/>
          <w:szCs w:val="24"/>
        </w:rPr>
        <w:t xml:space="preserve">The PBAC considered two previous submissions for </w:t>
      </w:r>
      <w:proofErr w:type="spellStart"/>
      <w:r w:rsidRPr="005F4582">
        <w:rPr>
          <w:rFonts w:asciiTheme="minorHAnsi" w:hAnsiTheme="minorHAnsi"/>
          <w:sz w:val="24"/>
          <w:szCs w:val="24"/>
        </w:rPr>
        <w:t>durvalumab</w:t>
      </w:r>
      <w:proofErr w:type="spellEnd"/>
      <w:r w:rsidRPr="005F4582">
        <w:rPr>
          <w:rFonts w:asciiTheme="minorHAnsi" w:hAnsiTheme="minorHAnsi"/>
          <w:sz w:val="24"/>
          <w:szCs w:val="24"/>
        </w:rPr>
        <w:t xml:space="preserve"> for the treatment of patients with </w:t>
      </w:r>
      <w:proofErr w:type="spellStart"/>
      <w:r w:rsidRPr="005F4582">
        <w:rPr>
          <w:rFonts w:asciiTheme="minorHAnsi" w:hAnsiTheme="minorHAnsi"/>
          <w:sz w:val="24"/>
          <w:szCs w:val="24"/>
        </w:rPr>
        <w:t>unresectable</w:t>
      </w:r>
      <w:proofErr w:type="spellEnd"/>
      <w:r w:rsidRPr="005F4582">
        <w:rPr>
          <w:rFonts w:asciiTheme="minorHAnsi" w:hAnsiTheme="minorHAnsi"/>
          <w:sz w:val="24"/>
          <w:szCs w:val="24"/>
        </w:rPr>
        <w:t xml:space="preserve"> stage III NSCLC </w:t>
      </w:r>
      <w:r w:rsidRPr="005F4582">
        <w:rPr>
          <w:rFonts w:asciiTheme="minorHAnsi" w:eastAsiaTheme="minorHAnsi" w:hAnsiTheme="minorHAnsi" w:cstheme="minorBidi"/>
          <w:snapToGrid/>
          <w:sz w:val="24"/>
          <w:szCs w:val="22"/>
        </w:rPr>
        <w:t xml:space="preserve">whose disease has not progressed following </w:t>
      </w:r>
      <w:proofErr w:type="spellStart"/>
      <w:r w:rsidRPr="005F4582">
        <w:rPr>
          <w:rFonts w:asciiTheme="minorHAnsi" w:eastAsiaTheme="minorHAnsi" w:hAnsiTheme="minorHAnsi" w:cstheme="minorBidi"/>
          <w:snapToGrid/>
          <w:sz w:val="24"/>
          <w:szCs w:val="22"/>
        </w:rPr>
        <w:t>chemoradiation</w:t>
      </w:r>
      <w:proofErr w:type="spellEnd"/>
      <w:r w:rsidRPr="005F4582">
        <w:rPr>
          <w:rFonts w:asciiTheme="minorHAnsi" w:eastAsiaTheme="minorHAnsi" w:hAnsiTheme="minorHAnsi" w:cstheme="minorBidi"/>
          <w:snapToGrid/>
          <w:sz w:val="24"/>
          <w:szCs w:val="22"/>
        </w:rPr>
        <w:t xml:space="preserve"> therapy (November 2018 and July 2019).</w:t>
      </w:r>
    </w:p>
    <w:p w:rsidR="00CF6A3C" w:rsidRPr="005F4582" w:rsidRDefault="00CF6A3C" w:rsidP="00E464AF">
      <w:pPr>
        <w:pStyle w:val="Bodytextitalics"/>
        <w:ind w:left="851" w:hanging="851"/>
        <w:jc w:val="both"/>
        <w:rPr>
          <w:rFonts w:eastAsia="Times New Roman" w:cs="Arial"/>
          <w:i w:val="0"/>
          <w:snapToGrid w:val="0"/>
          <w:szCs w:val="24"/>
          <w:lang w:eastAsia="en-US"/>
        </w:rPr>
      </w:pPr>
      <w:r w:rsidRPr="005F4582">
        <w:rPr>
          <w:rFonts w:eastAsia="Times New Roman" w:cs="Arial"/>
          <w:i w:val="0"/>
          <w:snapToGrid w:val="0"/>
          <w:szCs w:val="24"/>
          <w:lang w:eastAsia="en-US"/>
        </w:rPr>
        <w:t xml:space="preserve">The PBAC previously considered that, although the data remain immature, the claim </w:t>
      </w:r>
      <w:r w:rsidR="00A51EED" w:rsidRPr="005F4582">
        <w:rPr>
          <w:rFonts w:eastAsia="Times New Roman" w:cs="Arial"/>
          <w:i w:val="0"/>
          <w:snapToGrid w:val="0"/>
          <w:szCs w:val="24"/>
          <w:lang w:eastAsia="en-US"/>
        </w:rPr>
        <w:t xml:space="preserve">that </w:t>
      </w:r>
      <w:proofErr w:type="spellStart"/>
      <w:r w:rsidR="00A51EED" w:rsidRPr="005F4582">
        <w:rPr>
          <w:rFonts w:eastAsia="Times New Roman" w:cs="Arial"/>
          <w:i w:val="0"/>
          <w:snapToGrid w:val="0"/>
          <w:szCs w:val="24"/>
          <w:lang w:eastAsia="en-US"/>
        </w:rPr>
        <w:t>durvalumab</w:t>
      </w:r>
      <w:proofErr w:type="spellEnd"/>
      <w:r w:rsidR="00A51EED" w:rsidRPr="005F4582">
        <w:rPr>
          <w:rFonts w:eastAsia="Times New Roman" w:cs="Arial"/>
          <w:i w:val="0"/>
          <w:snapToGrid w:val="0"/>
          <w:szCs w:val="24"/>
          <w:lang w:eastAsia="en-US"/>
        </w:rPr>
        <w:t xml:space="preserve"> was of </w:t>
      </w:r>
      <w:r w:rsidRPr="005F4582">
        <w:rPr>
          <w:rFonts w:eastAsia="Times New Roman" w:cs="Arial"/>
          <w:i w:val="0"/>
          <w:snapToGrid w:val="0"/>
          <w:szCs w:val="24"/>
          <w:lang w:eastAsia="en-US"/>
        </w:rPr>
        <w:t>superior c</w:t>
      </w:r>
      <w:r w:rsidR="00253D50" w:rsidRPr="005F4582">
        <w:rPr>
          <w:rFonts w:eastAsia="Times New Roman" w:cs="Arial"/>
          <w:i w:val="0"/>
          <w:snapToGrid w:val="0"/>
          <w:szCs w:val="24"/>
          <w:lang w:eastAsia="en-US"/>
        </w:rPr>
        <w:t>omparative effectiveness versus ‘watch-and-wait’ monitoring plus best supportive care (</w:t>
      </w:r>
      <w:r w:rsidR="0078002B" w:rsidRPr="005F4582">
        <w:rPr>
          <w:rFonts w:eastAsia="Times New Roman" w:cs="Arial"/>
          <w:i w:val="0"/>
          <w:snapToGrid w:val="0"/>
          <w:szCs w:val="24"/>
          <w:lang w:eastAsia="en-US"/>
        </w:rPr>
        <w:t>best supportive care</w:t>
      </w:r>
      <w:r w:rsidR="00253D50" w:rsidRPr="005F4582">
        <w:rPr>
          <w:rFonts w:eastAsia="Times New Roman" w:cs="Arial"/>
          <w:i w:val="0"/>
          <w:snapToGrid w:val="0"/>
          <w:szCs w:val="24"/>
          <w:lang w:eastAsia="en-US"/>
        </w:rPr>
        <w:t xml:space="preserve">) </w:t>
      </w:r>
      <w:r w:rsidRPr="005F4582">
        <w:rPr>
          <w:rFonts w:eastAsia="Times New Roman" w:cs="Arial"/>
          <w:i w:val="0"/>
          <w:snapToGrid w:val="0"/>
          <w:szCs w:val="24"/>
          <w:lang w:eastAsia="en-US"/>
        </w:rPr>
        <w:t xml:space="preserve">was reasonable. The PBAC </w:t>
      </w:r>
      <w:r w:rsidR="00253D50" w:rsidRPr="005F4582">
        <w:rPr>
          <w:rFonts w:eastAsia="Times New Roman" w:cs="Arial"/>
          <w:i w:val="0"/>
          <w:snapToGrid w:val="0"/>
          <w:szCs w:val="24"/>
          <w:lang w:eastAsia="en-US"/>
        </w:rPr>
        <w:t xml:space="preserve">previously </w:t>
      </w:r>
      <w:r w:rsidRPr="005F4582">
        <w:rPr>
          <w:rFonts w:eastAsia="Times New Roman" w:cs="Arial"/>
          <w:i w:val="0"/>
          <w:snapToGrid w:val="0"/>
          <w:szCs w:val="24"/>
          <w:lang w:eastAsia="en-US"/>
        </w:rPr>
        <w:t xml:space="preserve">considered that </w:t>
      </w:r>
      <w:proofErr w:type="spellStart"/>
      <w:r w:rsidRPr="005F4582">
        <w:rPr>
          <w:rFonts w:eastAsia="Times New Roman" w:cs="Arial"/>
          <w:i w:val="0"/>
          <w:snapToGrid w:val="0"/>
          <w:szCs w:val="24"/>
          <w:lang w:eastAsia="en-US"/>
        </w:rPr>
        <w:t>durvalumab</w:t>
      </w:r>
      <w:proofErr w:type="spellEnd"/>
      <w:r w:rsidRPr="005F4582">
        <w:rPr>
          <w:rFonts w:eastAsia="Times New Roman" w:cs="Arial"/>
          <w:i w:val="0"/>
          <w:snapToGrid w:val="0"/>
          <w:szCs w:val="24"/>
          <w:lang w:eastAsia="en-US"/>
        </w:rPr>
        <w:t xml:space="preserve"> had inferior comparative safety compared to </w:t>
      </w:r>
      <w:r w:rsidR="0078002B" w:rsidRPr="005F4582">
        <w:rPr>
          <w:rFonts w:eastAsia="Times New Roman" w:cs="Arial"/>
          <w:i w:val="0"/>
          <w:snapToGrid w:val="0"/>
          <w:szCs w:val="24"/>
          <w:lang w:eastAsia="en-US"/>
        </w:rPr>
        <w:t>best supportive care</w:t>
      </w:r>
      <w:r w:rsidR="00253D50" w:rsidRPr="005F4582">
        <w:rPr>
          <w:rFonts w:eastAsia="Times New Roman" w:cs="Arial"/>
          <w:i w:val="0"/>
          <w:snapToGrid w:val="0"/>
          <w:szCs w:val="24"/>
          <w:lang w:eastAsia="en-US"/>
        </w:rPr>
        <w:t xml:space="preserve"> </w:t>
      </w:r>
      <w:r w:rsidRPr="005F4582">
        <w:rPr>
          <w:rFonts w:eastAsia="Times New Roman" w:cs="Arial"/>
          <w:i w:val="0"/>
          <w:snapToGrid w:val="0"/>
          <w:szCs w:val="24"/>
          <w:lang w:eastAsia="en-US"/>
        </w:rPr>
        <w:t>and that overall, the claim of a manageable safety profile was reasonable.</w:t>
      </w:r>
    </w:p>
    <w:p w:rsidR="0012749D" w:rsidRPr="00C44909" w:rsidRDefault="004C3F5E" w:rsidP="0012749D">
      <w:pPr>
        <w:pStyle w:val="ListParagraph"/>
        <w:widowControl/>
        <w:numPr>
          <w:ilvl w:val="1"/>
          <w:numId w:val="1"/>
        </w:numPr>
        <w:spacing w:after="120"/>
        <w:contextualSpacing w:val="0"/>
        <w:rPr>
          <w:rFonts w:asciiTheme="minorHAnsi" w:hAnsiTheme="minorHAnsi"/>
          <w:color w:val="7030A0"/>
          <w:sz w:val="24"/>
          <w:szCs w:val="24"/>
        </w:rPr>
      </w:pPr>
      <w:r w:rsidRPr="005F4582">
        <w:rPr>
          <w:rFonts w:asciiTheme="minorHAnsi" w:hAnsiTheme="minorHAnsi"/>
          <w:sz w:val="24"/>
          <w:szCs w:val="24"/>
        </w:rPr>
        <w:t xml:space="preserve">The July 2019 </w:t>
      </w:r>
      <w:r w:rsidR="00891394" w:rsidRPr="005F4582">
        <w:rPr>
          <w:rFonts w:asciiTheme="minorHAnsi" w:hAnsiTheme="minorHAnsi"/>
          <w:sz w:val="24"/>
          <w:szCs w:val="24"/>
        </w:rPr>
        <w:t>re</w:t>
      </w:r>
      <w:r w:rsidRPr="005F4582">
        <w:rPr>
          <w:rFonts w:asciiTheme="minorHAnsi" w:hAnsiTheme="minorHAnsi"/>
          <w:sz w:val="24"/>
          <w:szCs w:val="24"/>
        </w:rPr>
        <w:t xml:space="preserve">submission was rejected, with the PBAC </w:t>
      </w:r>
      <w:r w:rsidR="005B0AAE" w:rsidRPr="005F4582">
        <w:rPr>
          <w:rFonts w:asciiTheme="minorHAnsi" w:hAnsiTheme="minorHAnsi"/>
          <w:sz w:val="24"/>
          <w:szCs w:val="24"/>
        </w:rPr>
        <w:t xml:space="preserve">advising </w:t>
      </w:r>
      <w:r w:rsidRPr="005F4582">
        <w:rPr>
          <w:rFonts w:asciiTheme="minorHAnsi" w:hAnsiTheme="minorHAnsi"/>
          <w:sz w:val="24"/>
          <w:szCs w:val="24"/>
        </w:rPr>
        <w:t xml:space="preserve">that any resubmission could be a minor resubmission </w:t>
      </w:r>
      <w:r w:rsidR="00C54949" w:rsidRPr="005F4582">
        <w:rPr>
          <w:rFonts w:asciiTheme="minorHAnsi" w:hAnsiTheme="minorHAnsi"/>
          <w:sz w:val="24"/>
          <w:szCs w:val="24"/>
        </w:rPr>
        <w:t xml:space="preserve">and would be </w:t>
      </w:r>
      <w:r w:rsidRPr="005F4582">
        <w:rPr>
          <w:rFonts w:asciiTheme="minorHAnsi" w:hAnsiTheme="minorHAnsi"/>
          <w:sz w:val="24"/>
          <w:szCs w:val="24"/>
        </w:rPr>
        <w:t>required to address issues around the estimated incremental cost-effectiveness ratio (ICER), patient estimates, overall financial implications related to grandfathered patients and the cost offsets associated with avoiding subsequent lines of immunotherapy. The PBAC considered the ICER, based on the PBAC’s preferred assumption, was high and likely underestimated.</w:t>
      </w:r>
      <w:r w:rsidR="00F344FF" w:rsidRPr="005F4582">
        <w:rPr>
          <w:rFonts w:asciiTheme="minorHAnsi" w:hAnsiTheme="minorHAnsi"/>
          <w:sz w:val="24"/>
          <w:szCs w:val="24"/>
        </w:rPr>
        <w:t xml:space="preserve"> </w:t>
      </w:r>
      <w:r w:rsidRPr="005F4582">
        <w:rPr>
          <w:rFonts w:asciiTheme="minorHAnsi" w:hAnsiTheme="minorHAnsi"/>
          <w:sz w:val="24"/>
          <w:szCs w:val="24"/>
        </w:rPr>
        <w:t>The PBAC considered that a reasonable base case ICER in this treatment setting would be less than $</w:t>
      </w:r>
      <w:r w:rsidR="00CE5B03">
        <w:rPr>
          <w:rFonts w:asciiTheme="minorHAnsi" w:hAnsiTheme="minorHAnsi"/>
          <w:sz w:val="24"/>
          <w:szCs w:val="24"/>
        </w:rPr>
        <w:t>45,000 - $75,000</w:t>
      </w:r>
      <w:r w:rsidRPr="005F4582">
        <w:rPr>
          <w:rFonts w:asciiTheme="minorHAnsi" w:hAnsiTheme="minorHAnsi"/>
          <w:sz w:val="24"/>
          <w:szCs w:val="24"/>
        </w:rPr>
        <w:t xml:space="preserve"> per </w:t>
      </w:r>
      <w:r w:rsidR="00C84C75" w:rsidRPr="005F4582">
        <w:rPr>
          <w:rFonts w:asciiTheme="minorHAnsi" w:hAnsiTheme="minorHAnsi"/>
          <w:sz w:val="24"/>
          <w:szCs w:val="24"/>
        </w:rPr>
        <w:t>quality adjusted life year (</w:t>
      </w:r>
      <w:r w:rsidRPr="005F4582">
        <w:rPr>
          <w:rFonts w:asciiTheme="minorHAnsi" w:hAnsiTheme="minorHAnsi"/>
          <w:sz w:val="24"/>
          <w:szCs w:val="24"/>
        </w:rPr>
        <w:t>QALY</w:t>
      </w:r>
      <w:r w:rsidR="00C84C75" w:rsidRPr="005F4582">
        <w:rPr>
          <w:rFonts w:asciiTheme="minorHAnsi" w:hAnsiTheme="minorHAnsi"/>
          <w:sz w:val="24"/>
          <w:szCs w:val="24"/>
        </w:rPr>
        <w:t>)</w:t>
      </w:r>
      <w:r w:rsidRPr="005F4582">
        <w:rPr>
          <w:rFonts w:asciiTheme="minorHAnsi" w:hAnsiTheme="minorHAnsi"/>
          <w:sz w:val="24"/>
          <w:szCs w:val="24"/>
        </w:rPr>
        <w:t>, noting the uncertainties surrounding the continued immaturity of the clinical data and the uncertainty regarding the appropriateness of the utilities (</w:t>
      </w:r>
      <w:r w:rsidR="000C2ED3" w:rsidRPr="005F4582">
        <w:rPr>
          <w:rFonts w:asciiTheme="minorHAnsi" w:hAnsiTheme="minorHAnsi"/>
          <w:sz w:val="24"/>
          <w:szCs w:val="24"/>
        </w:rPr>
        <w:t xml:space="preserve">paragraphs 7.10 &amp; 7.11, </w:t>
      </w:r>
      <w:proofErr w:type="spellStart"/>
      <w:r w:rsidR="00193999" w:rsidRPr="005F4582">
        <w:rPr>
          <w:rFonts w:asciiTheme="minorHAnsi" w:hAnsiTheme="minorHAnsi"/>
          <w:sz w:val="24"/>
          <w:szCs w:val="24"/>
        </w:rPr>
        <w:t>durvalumab</w:t>
      </w:r>
      <w:proofErr w:type="spellEnd"/>
      <w:r w:rsidR="00193999" w:rsidRPr="005F4582">
        <w:rPr>
          <w:rFonts w:asciiTheme="minorHAnsi" w:hAnsiTheme="minorHAnsi"/>
          <w:sz w:val="24"/>
          <w:szCs w:val="24"/>
        </w:rPr>
        <w:t xml:space="preserve"> </w:t>
      </w:r>
      <w:r w:rsidR="00C62A35" w:rsidRPr="005F4582">
        <w:rPr>
          <w:rFonts w:asciiTheme="minorHAnsi" w:hAnsiTheme="minorHAnsi"/>
          <w:sz w:val="24"/>
          <w:szCs w:val="24"/>
        </w:rPr>
        <w:t>PSD</w:t>
      </w:r>
      <w:r w:rsidR="00193999" w:rsidRPr="005F4582">
        <w:rPr>
          <w:rFonts w:asciiTheme="minorHAnsi" w:hAnsiTheme="minorHAnsi"/>
        </w:rPr>
        <w:t xml:space="preserve">, </w:t>
      </w:r>
      <w:r w:rsidR="00193999" w:rsidRPr="005F4582">
        <w:rPr>
          <w:rFonts w:asciiTheme="minorHAnsi" w:hAnsiTheme="minorHAnsi"/>
          <w:sz w:val="24"/>
          <w:szCs w:val="24"/>
        </w:rPr>
        <w:t>July 2019</w:t>
      </w:r>
      <w:r w:rsidR="00ED1377" w:rsidRPr="005F4582">
        <w:rPr>
          <w:rFonts w:asciiTheme="minorHAnsi" w:hAnsiTheme="minorHAnsi"/>
          <w:sz w:val="24"/>
          <w:szCs w:val="24"/>
        </w:rPr>
        <w:t xml:space="preserve"> PBAC meeting</w:t>
      </w:r>
      <w:r w:rsidRPr="005F4582">
        <w:rPr>
          <w:rFonts w:asciiTheme="minorHAnsi" w:hAnsiTheme="minorHAnsi"/>
          <w:sz w:val="24"/>
          <w:szCs w:val="24"/>
        </w:rPr>
        <w:t>).</w:t>
      </w:r>
    </w:p>
    <w:p w:rsidR="004C3F5E" w:rsidRPr="00C44909" w:rsidRDefault="004C3F5E" w:rsidP="00C44909">
      <w:pPr>
        <w:pStyle w:val="ListParagraph"/>
        <w:widowControl/>
        <w:numPr>
          <w:ilvl w:val="1"/>
          <w:numId w:val="1"/>
        </w:numPr>
        <w:spacing w:after="120"/>
        <w:contextualSpacing w:val="0"/>
        <w:rPr>
          <w:rFonts w:asciiTheme="minorHAnsi" w:hAnsiTheme="minorHAnsi"/>
          <w:color w:val="7030A0"/>
          <w:sz w:val="24"/>
          <w:szCs w:val="24"/>
        </w:rPr>
      </w:pPr>
      <w:r w:rsidRPr="005F4582">
        <w:rPr>
          <w:rFonts w:asciiTheme="minorHAnsi" w:hAnsiTheme="minorHAnsi"/>
          <w:sz w:val="24"/>
          <w:szCs w:val="24"/>
        </w:rPr>
        <w:t>A summary of the outstanding matters of concern from the July 2019 consideration are provided in the table below.</w:t>
      </w:r>
    </w:p>
    <w:p w:rsidR="0012749D" w:rsidRPr="005F4582" w:rsidRDefault="0012749D" w:rsidP="00C44909">
      <w:pPr>
        <w:keepNext/>
        <w:keepLines/>
        <w:jc w:val="both"/>
        <w:rPr>
          <w:rFonts w:ascii="Arial Narrow" w:hAnsi="Arial Narrow"/>
          <w:b/>
          <w:sz w:val="20"/>
        </w:rPr>
      </w:pPr>
      <w:r w:rsidRPr="005F4582">
        <w:rPr>
          <w:rFonts w:ascii="Arial Narrow" w:hAnsi="Arial Narrow"/>
          <w:b/>
          <w:sz w:val="20"/>
          <w:szCs w:val="22"/>
        </w:rPr>
        <w:lastRenderedPageBreak/>
        <w:t xml:space="preserve">Table </w:t>
      </w:r>
      <w:r w:rsidR="001727B4" w:rsidRPr="005F4582">
        <w:rPr>
          <w:rFonts w:ascii="Arial Narrow" w:hAnsi="Arial Narrow"/>
          <w:b/>
          <w:sz w:val="20"/>
          <w:szCs w:val="22"/>
        </w:rPr>
        <w:t>1</w:t>
      </w:r>
      <w:r w:rsidRPr="005F4582">
        <w:rPr>
          <w:rFonts w:ascii="Arial Narrow" w:hAnsi="Arial Narrow"/>
          <w:b/>
          <w:sz w:val="20"/>
          <w:szCs w:val="22"/>
        </w:rPr>
        <w:t>: PBAC matters of concern in previous consideration (</w:t>
      </w:r>
      <w:r w:rsidR="00A469F5" w:rsidRPr="005F4582">
        <w:rPr>
          <w:rFonts w:ascii="Arial Narrow" w:hAnsi="Arial Narrow"/>
          <w:b/>
          <w:sz w:val="20"/>
          <w:szCs w:val="22"/>
        </w:rPr>
        <w:t>July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3969"/>
        <w:gridCol w:w="3776"/>
      </w:tblGrid>
      <w:tr w:rsidR="00A469F5" w:rsidRPr="005F4582" w:rsidTr="00B22235">
        <w:trPr>
          <w:trHeight w:val="240"/>
        </w:trPr>
        <w:tc>
          <w:tcPr>
            <w:tcW w:w="705" w:type="pct"/>
            <w:tcBorders>
              <w:top w:val="single" w:sz="4" w:space="0" w:color="auto"/>
              <w:left w:val="single" w:sz="4" w:space="0" w:color="auto"/>
              <w:bottom w:val="single" w:sz="4" w:space="0" w:color="auto"/>
              <w:right w:val="single" w:sz="4" w:space="0" w:color="auto"/>
            </w:tcBorders>
          </w:tcPr>
          <w:p w:rsidR="00A469F5" w:rsidRPr="005F4582" w:rsidRDefault="00A469F5" w:rsidP="00C44909">
            <w:pPr>
              <w:keepNext/>
              <w:keepLines/>
              <w:rPr>
                <w:rFonts w:ascii="Arial Narrow" w:hAnsi="Arial Narrow"/>
                <w:b/>
                <w:sz w:val="20"/>
              </w:rPr>
            </w:pPr>
            <w:r w:rsidRPr="005F4582">
              <w:rPr>
                <w:rFonts w:ascii="Arial Narrow" w:hAnsi="Arial Narrow"/>
                <w:b/>
                <w:sz w:val="20"/>
              </w:rPr>
              <w:t>Component</w:t>
            </w:r>
          </w:p>
        </w:tc>
        <w:tc>
          <w:tcPr>
            <w:tcW w:w="2201" w:type="pct"/>
            <w:tcBorders>
              <w:top w:val="single" w:sz="4" w:space="0" w:color="auto"/>
              <w:left w:val="single" w:sz="4" w:space="0" w:color="auto"/>
              <w:bottom w:val="single" w:sz="4" w:space="0" w:color="auto"/>
              <w:right w:val="single" w:sz="4" w:space="0" w:color="auto"/>
            </w:tcBorders>
            <w:hideMark/>
          </w:tcPr>
          <w:p w:rsidR="00A469F5" w:rsidRPr="005F4582" w:rsidRDefault="00A469F5" w:rsidP="00C44909">
            <w:pPr>
              <w:keepNext/>
              <w:keepLines/>
              <w:rPr>
                <w:rFonts w:ascii="Arial Narrow" w:hAnsi="Arial Narrow"/>
                <w:b/>
                <w:sz w:val="20"/>
              </w:rPr>
            </w:pPr>
            <w:r w:rsidRPr="005F4582">
              <w:rPr>
                <w:rFonts w:ascii="Arial Narrow" w:hAnsi="Arial Narrow"/>
                <w:b/>
                <w:sz w:val="20"/>
              </w:rPr>
              <w:t>Matters of concern (</w:t>
            </w:r>
            <w:proofErr w:type="spellStart"/>
            <w:r w:rsidR="00193999" w:rsidRPr="005F4582">
              <w:rPr>
                <w:rFonts w:ascii="Arial Narrow" w:hAnsi="Arial Narrow"/>
                <w:b/>
                <w:sz w:val="20"/>
              </w:rPr>
              <w:t>durvalumab</w:t>
            </w:r>
            <w:proofErr w:type="spellEnd"/>
            <w:r w:rsidR="00193999" w:rsidRPr="005F4582">
              <w:rPr>
                <w:rFonts w:ascii="Arial Narrow" w:hAnsi="Arial Narrow"/>
                <w:b/>
                <w:sz w:val="20"/>
              </w:rPr>
              <w:t xml:space="preserve"> </w:t>
            </w:r>
            <w:r w:rsidR="00980584" w:rsidRPr="005F4582">
              <w:rPr>
                <w:rFonts w:ascii="Arial Narrow" w:hAnsi="Arial Narrow"/>
                <w:b/>
                <w:sz w:val="20"/>
              </w:rPr>
              <w:t>PSD</w:t>
            </w:r>
            <w:r w:rsidR="00193999" w:rsidRPr="005F4582">
              <w:rPr>
                <w:rFonts w:ascii="Arial Narrow" w:hAnsi="Arial Narrow"/>
                <w:b/>
                <w:sz w:val="20"/>
              </w:rPr>
              <w:t>, July 2019</w:t>
            </w:r>
            <w:r w:rsidR="00980584" w:rsidRPr="005F4582">
              <w:rPr>
                <w:rFonts w:ascii="Arial Narrow" w:hAnsi="Arial Narrow"/>
                <w:b/>
                <w:sz w:val="20"/>
              </w:rPr>
              <w:t xml:space="preserve"> PBAC meeting</w:t>
            </w:r>
            <w:r w:rsidR="00193999" w:rsidRPr="005F4582">
              <w:rPr>
                <w:rFonts w:ascii="Arial Narrow" w:hAnsi="Arial Narrow"/>
                <w:b/>
                <w:sz w:val="20"/>
              </w:rPr>
              <w:t>)</w:t>
            </w:r>
          </w:p>
        </w:tc>
        <w:tc>
          <w:tcPr>
            <w:tcW w:w="2094" w:type="pct"/>
            <w:tcBorders>
              <w:top w:val="single" w:sz="4" w:space="0" w:color="auto"/>
              <w:left w:val="single" w:sz="4" w:space="0" w:color="auto"/>
              <w:bottom w:val="single" w:sz="4" w:space="0" w:color="auto"/>
              <w:right w:val="single" w:sz="4" w:space="0" w:color="auto"/>
            </w:tcBorders>
            <w:hideMark/>
          </w:tcPr>
          <w:p w:rsidR="00A469F5" w:rsidRPr="005F4582" w:rsidRDefault="00A469F5" w:rsidP="00C44909">
            <w:pPr>
              <w:keepNext/>
              <w:keepLines/>
              <w:jc w:val="center"/>
              <w:rPr>
                <w:rFonts w:ascii="Arial Narrow" w:hAnsi="Arial Narrow"/>
                <w:b/>
                <w:sz w:val="20"/>
              </w:rPr>
            </w:pPr>
            <w:r w:rsidRPr="005F4582">
              <w:rPr>
                <w:rFonts w:ascii="Arial Narrow" w:hAnsi="Arial Narrow"/>
                <w:b/>
                <w:sz w:val="20"/>
              </w:rPr>
              <w:t>How the resubmission addresses it</w:t>
            </w:r>
          </w:p>
        </w:tc>
      </w:tr>
      <w:tr w:rsidR="00BD6FC5" w:rsidRPr="005F4582" w:rsidTr="00B22235">
        <w:trPr>
          <w:trHeight w:val="788"/>
        </w:trPr>
        <w:tc>
          <w:tcPr>
            <w:tcW w:w="705" w:type="pct"/>
            <w:tcBorders>
              <w:top w:val="single" w:sz="4" w:space="0" w:color="auto"/>
              <w:left w:val="single" w:sz="4" w:space="0" w:color="auto"/>
              <w:bottom w:val="single" w:sz="4" w:space="0" w:color="auto"/>
              <w:right w:val="single" w:sz="4" w:space="0" w:color="auto"/>
            </w:tcBorders>
          </w:tcPr>
          <w:p w:rsidR="00BD6FC5" w:rsidRPr="005F4582" w:rsidRDefault="00BD6FC5" w:rsidP="00C44909">
            <w:pPr>
              <w:keepNext/>
              <w:keepLines/>
              <w:rPr>
                <w:rFonts w:ascii="Arial Narrow" w:hAnsi="Arial Narrow"/>
                <w:sz w:val="20"/>
              </w:rPr>
            </w:pPr>
            <w:r w:rsidRPr="005F4582">
              <w:rPr>
                <w:rFonts w:ascii="Arial Narrow" w:hAnsi="Arial Narrow"/>
                <w:sz w:val="20"/>
              </w:rPr>
              <w:t>Requested listing</w:t>
            </w:r>
          </w:p>
        </w:tc>
        <w:tc>
          <w:tcPr>
            <w:tcW w:w="2201" w:type="pct"/>
            <w:tcBorders>
              <w:top w:val="single" w:sz="4" w:space="0" w:color="auto"/>
              <w:left w:val="single" w:sz="4" w:space="0" w:color="auto"/>
              <w:bottom w:val="single" w:sz="4" w:space="0" w:color="auto"/>
              <w:right w:val="single" w:sz="4" w:space="0" w:color="auto"/>
            </w:tcBorders>
            <w:hideMark/>
          </w:tcPr>
          <w:p w:rsidR="00BD6FC5" w:rsidRPr="005F4582" w:rsidRDefault="00BD6FC5" w:rsidP="00C44909">
            <w:pPr>
              <w:keepNext/>
              <w:keepLines/>
              <w:rPr>
                <w:rFonts w:ascii="Arial Narrow" w:hAnsi="Arial Narrow"/>
                <w:sz w:val="20"/>
              </w:rPr>
            </w:pPr>
            <w:r w:rsidRPr="005F4582">
              <w:rPr>
                <w:rFonts w:ascii="Arial Narrow" w:hAnsi="Arial Narrow"/>
                <w:sz w:val="20"/>
              </w:rPr>
              <w:t>PBAC Secretariat recommended change to DPMA from 1240mg to 1200 mg (paragraph 2.1)</w:t>
            </w:r>
            <w:r w:rsidR="0023657F" w:rsidRPr="005F4582">
              <w:rPr>
                <w:rFonts w:ascii="Arial Narrow" w:hAnsi="Arial Narrow"/>
                <w:sz w:val="20"/>
              </w:rPr>
              <w:t>.</w:t>
            </w:r>
          </w:p>
          <w:p w:rsidR="00BD6FC5" w:rsidRPr="005F4582" w:rsidRDefault="00BD6FC5" w:rsidP="00C44909">
            <w:pPr>
              <w:keepNext/>
              <w:keepLines/>
              <w:rPr>
                <w:rFonts w:ascii="Arial Narrow" w:hAnsi="Arial Narrow"/>
                <w:sz w:val="20"/>
              </w:rPr>
            </w:pPr>
          </w:p>
          <w:p w:rsidR="00BD6FC5" w:rsidRPr="005F4582" w:rsidRDefault="00BD6FC5" w:rsidP="00C44909">
            <w:pPr>
              <w:keepNext/>
              <w:keepLines/>
              <w:rPr>
                <w:rFonts w:ascii="Arial Narrow" w:hAnsi="Arial Narrow"/>
                <w:sz w:val="20"/>
              </w:rPr>
            </w:pPr>
            <w:r w:rsidRPr="005F4582">
              <w:rPr>
                <w:rFonts w:ascii="Arial Narrow" w:hAnsi="Arial Narrow"/>
                <w:sz w:val="20"/>
              </w:rPr>
              <w:t xml:space="preserve">Changes to clinical criteria for </w:t>
            </w:r>
            <w:proofErr w:type="spellStart"/>
            <w:r w:rsidRPr="005F4582">
              <w:rPr>
                <w:rFonts w:ascii="Arial Narrow" w:hAnsi="Arial Narrow"/>
                <w:sz w:val="20"/>
              </w:rPr>
              <w:t>durvalumab</w:t>
            </w:r>
            <w:proofErr w:type="spellEnd"/>
            <w:r w:rsidRPr="005F4582">
              <w:rPr>
                <w:rFonts w:ascii="Arial Narrow" w:hAnsi="Arial Narrow"/>
                <w:sz w:val="20"/>
              </w:rPr>
              <w:t xml:space="preserve"> restrictions (paragraph 2.1, 2.3, </w:t>
            </w:r>
            <w:proofErr w:type="gramStart"/>
            <w:r w:rsidRPr="005F4582">
              <w:rPr>
                <w:rFonts w:ascii="Arial Narrow" w:hAnsi="Arial Narrow"/>
                <w:sz w:val="20"/>
              </w:rPr>
              <w:t>2.5</w:t>
            </w:r>
            <w:proofErr w:type="gramEnd"/>
            <w:r w:rsidRPr="005F4582">
              <w:rPr>
                <w:rFonts w:ascii="Arial Narrow" w:hAnsi="Arial Narrow"/>
                <w:sz w:val="20"/>
              </w:rPr>
              <w:t>)</w:t>
            </w:r>
            <w:r w:rsidR="0023657F" w:rsidRPr="005F4582">
              <w:rPr>
                <w:rFonts w:ascii="Arial Narrow" w:hAnsi="Arial Narrow"/>
                <w:sz w:val="20"/>
              </w:rPr>
              <w:t>.</w:t>
            </w:r>
          </w:p>
        </w:tc>
        <w:tc>
          <w:tcPr>
            <w:tcW w:w="2094" w:type="pct"/>
            <w:tcBorders>
              <w:top w:val="single" w:sz="4" w:space="0" w:color="auto"/>
              <w:left w:val="single" w:sz="4" w:space="0" w:color="auto"/>
              <w:bottom w:val="single" w:sz="4" w:space="0" w:color="auto"/>
              <w:right w:val="single" w:sz="4" w:space="0" w:color="auto"/>
            </w:tcBorders>
          </w:tcPr>
          <w:p w:rsidR="00A619D2" w:rsidRDefault="00BD6FC5" w:rsidP="0003480F">
            <w:pPr>
              <w:pStyle w:val="Tabletext"/>
              <w:keepNext/>
              <w:keepLines/>
              <w:spacing w:after="0"/>
              <w:rPr>
                <w:rFonts w:ascii="Arial Narrow" w:hAnsi="Arial Narrow"/>
              </w:rPr>
            </w:pPr>
            <w:r w:rsidRPr="005F4582">
              <w:rPr>
                <w:rFonts w:ascii="Arial Narrow" w:hAnsi="Arial Narrow"/>
              </w:rPr>
              <w:t>Changed DPMA to 1120 mg</w:t>
            </w:r>
            <w:r w:rsidR="0003480F">
              <w:rPr>
                <w:rFonts w:ascii="Arial Narrow" w:hAnsi="Arial Narrow"/>
              </w:rPr>
              <w:t>.</w:t>
            </w:r>
          </w:p>
          <w:p w:rsidR="00BD6FC5" w:rsidRPr="005F4582" w:rsidRDefault="00BD6FC5" w:rsidP="0003480F">
            <w:pPr>
              <w:pStyle w:val="Tabletext"/>
              <w:keepNext/>
              <w:keepLines/>
              <w:spacing w:before="480" w:after="0"/>
              <w:rPr>
                <w:rFonts w:ascii="Arial Narrow" w:hAnsi="Arial Narrow"/>
              </w:rPr>
            </w:pPr>
            <w:r w:rsidRPr="005F4582">
              <w:rPr>
                <w:rFonts w:ascii="Arial Narrow" w:hAnsi="Arial Narrow"/>
              </w:rPr>
              <w:t xml:space="preserve">Addressed </w:t>
            </w:r>
          </w:p>
          <w:p w:rsidR="00BD6FC5" w:rsidRPr="005F4582" w:rsidRDefault="00BD6FC5" w:rsidP="00C44909">
            <w:pPr>
              <w:keepNext/>
              <w:keepLines/>
              <w:rPr>
                <w:rFonts w:ascii="Arial Narrow" w:hAnsi="Arial Narrow"/>
                <w:sz w:val="20"/>
              </w:rPr>
            </w:pPr>
          </w:p>
        </w:tc>
      </w:tr>
      <w:tr w:rsidR="00BD6FC5" w:rsidRPr="005F4582" w:rsidTr="00B22235">
        <w:trPr>
          <w:trHeight w:val="339"/>
        </w:trPr>
        <w:tc>
          <w:tcPr>
            <w:tcW w:w="705" w:type="pct"/>
            <w:tcBorders>
              <w:top w:val="single" w:sz="4" w:space="0" w:color="auto"/>
              <w:left w:val="single" w:sz="4" w:space="0" w:color="auto"/>
              <w:bottom w:val="single" w:sz="4" w:space="0" w:color="auto"/>
              <w:right w:val="single" w:sz="4" w:space="0" w:color="auto"/>
            </w:tcBorders>
          </w:tcPr>
          <w:p w:rsidR="00BD6FC5" w:rsidRPr="005F4582" w:rsidRDefault="00BD6FC5" w:rsidP="00C44909">
            <w:pPr>
              <w:keepNext/>
              <w:keepLines/>
              <w:rPr>
                <w:rFonts w:ascii="Arial Narrow" w:hAnsi="Arial Narrow"/>
                <w:sz w:val="20"/>
              </w:rPr>
            </w:pPr>
            <w:r w:rsidRPr="005F4582">
              <w:rPr>
                <w:rFonts w:ascii="Arial Narrow" w:hAnsi="Arial Narrow"/>
                <w:sz w:val="20"/>
              </w:rPr>
              <w:t>Requested price</w:t>
            </w:r>
          </w:p>
        </w:tc>
        <w:tc>
          <w:tcPr>
            <w:tcW w:w="2201" w:type="pct"/>
            <w:tcBorders>
              <w:top w:val="single" w:sz="4" w:space="0" w:color="auto"/>
              <w:left w:val="single" w:sz="4" w:space="0" w:color="auto"/>
              <w:bottom w:val="single" w:sz="4" w:space="0" w:color="auto"/>
              <w:right w:val="single" w:sz="4" w:space="0" w:color="auto"/>
            </w:tcBorders>
          </w:tcPr>
          <w:p w:rsidR="00BD6FC5" w:rsidRPr="005F4582" w:rsidRDefault="00BD6FC5" w:rsidP="00C44909">
            <w:pPr>
              <w:pStyle w:val="TableBullet"/>
              <w:keepNext/>
              <w:keepLines/>
              <w:numPr>
                <w:ilvl w:val="0"/>
                <w:numId w:val="0"/>
              </w:numPr>
            </w:pPr>
            <w:r w:rsidRPr="005F4582">
              <w:t>AEMP: $</w:t>
            </w:r>
            <w:r w:rsidR="008D562F">
              <w:rPr>
                <w:noProof/>
                <w:color w:val="000000"/>
                <w:highlight w:val="black"/>
              </w:rPr>
              <w:t>''''''''''''''''''''</w:t>
            </w:r>
            <w:r w:rsidRPr="005F4582">
              <w:t>/500 mg vial</w:t>
            </w:r>
          </w:p>
        </w:tc>
        <w:tc>
          <w:tcPr>
            <w:tcW w:w="2094" w:type="pct"/>
            <w:tcBorders>
              <w:top w:val="single" w:sz="4" w:space="0" w:color="auto"/>
              <w:left w:val="single" w:sz="4" w:space="0" w:color="auto"/>
              <w:bottom w:val="single" w:sz="4" w:space="0" w:color="auto"/>
              <w:right w:val="single" w:sz="4" w:space="0" w:color="auto"/>
            </w:tcBorders>
          </w:tcPr>
          <w:p w:rsidR="00BD6FC5" w:rsidRPr="005F4582" w:rsidRDefault="00BD6FC5" w:rsidP="00C44909">
            <w:pPr>
              <w:pStyle w:val="TableBullet"/>
              <w:keepNext/>
              <w:keepLines/>
              <w:numPr>
                <w:ilvl w:val="0"/>
                <w:numId w:val="0"/>
              </w:numPr>
            </w:pPr>
            <w:r w:rsidRPr="005F4582">
              <w:t>AEMP: $</w:t>
            </w:r>
            <w:r w:rsidR="008D562F">
              <w:rPr>
                <w:noProof/>
                <w:color w:val="000000"/>
                <w:highlight w:val="black"/>
              </w:rPr>
              <w:t>''''''''''''</w:t>
            </w:r>
            <w:r w:rsidRPr="005F4582">
              <w:t>/500 mg</w:t>
            </w:r>
            <w:r w:rsidR="00891394" w:rsidRPr="005F4582">
              <w:t xml:space="preserve"> </w:t>
            </w:r>
            <w:r w:rsidR="00E664E1" w:rsidRPr="005F4582">
              <w:t xml:space="preserve">vial </w:t>
            </w:r>
            <w:r w:rsidR="00891394" w:rsidRPr="005F4582">
              <w:t>(</w:t>
            </w:r>
            <w:r w:rsidR="008D562F">
              <w:rPr>
                <w:noProof/>
                <w:color w:val="000000"/>
                <w:highlight w:val="black"/>
              </w:rPr>
              <w:t>'''''''''''</w:t>
            </w:r>
            <w:r w:rsidR="00891394" w:rsidRPr="005F4582">
              <w:t>% reduction)</w:t>
            </w:r>
          </w:p>
        </w:tc>
      </w:tr>
      <w:tr w:rsidR="00BD6FC5" w:rsidRPr="005F4582" w:rsidTr="00B22235">
        <w:trPr>
          <w:trHeight w:val="487"/>
        </w:trPr>
        <w:tc>
          <w:tcPr>
            <w:tcW w:w="705" w:type="pct"/>
            <w:tcBorders>
              <w:top w:val="single" w:sz="4" w:space="0" w:color="auto"/>
              <w:left w:val="single" w:sz="4" w:space="0" w:color="auto"/>
              <w:bottom w:val="single" w:sz="4" w:space="0" w:color="auto"/>
              <w:right w:val="single" w:sz="4" w:space="0" w:color="auto"/>
            </w:tcBorders>
          </w:tcPr>
          <w:p w:rsidR="00BD6FC5" w:rsidRPr="005F4582" w:rsidRDefault="00BD6FC5" w:rsidP="00C44909">
            <w:pPr>
              <w:keepNext/>
              <w:keepLines/>
              <w:rPr>
                <w:rFonts w:ascii="Arial Narrow" w:hAnsi="Arial Narrow"/>
                <w:sz w:val="20"/>
                <w:szCs w:val="20"/>
                <w:lang w:eastAsia="en-US"/>
              </w:rPr>
            </w:pPr>
            <w:r w:rsidRPr="005F4582">
              <w:rPr>
                <w:rFonts w:ascii="Arial Narrow" w:hAnsi="Arial Narrow"/>
                <w:sz w:val="20"/>
                <w:szCs w:val="20"/>
                <w:lang w:eastAsia="en-US"/>
              </w:rPr>
              <w:t>Economic evaluation</w:t>
            </w:r>
          </w:p>
        </w:tc>
        <w:tc>
          <w:tcPr>
            <w:tcW w:w="2201" w:type="pct"/>
            <w:tcBorders>
              <w:top w:val="single" w:sz="4" w:space="0" w:color="auto"/>
              <w:left w:val="single" w:sz="4" w:space="0" w:color="auto"/>
              <w:bottom w:val="single" w:sz="4" w:space="0" w:color="auto"/>
              <w:right w:val="single" w:sz="4" w:space="0" w:color="auto"/>
            </w:tcBorders>
          </w:tcPr>
          <w:p w:rsidR="00BD6FC5" w:rsidRPr="005F4582" w:rsidRDefault="00BD6FC5" w:rsidP="00C44909">
            <w:pPr>
              <w:pStyle w:val="Tabletext"/>
              <w:keepNext/>
              <w:keepLines/>
              <w:rPr>
                <w:rFonts w:ascii="Arial Narrow" w:hAnsi="Arial Narrow"/>
              </w:rPr>
            </w:pPr>
            <w:r w:rsidRPr="005F4582">
              <w:rPr>
                <w:rFonts w:ascii="Arial Narrow" w:hAnsi="Arial Narrow"/>
              </w:rPr>
              <w:t xml:space="preserve">The PBAC considered there were significant uncertainties with both the ITT and RPSFT economic models that likely underestimated the ICER. </w:t>
            </w:r>
          </w:p>
          <w:p w:rsidR="00BD6FC5" w:rsidRPr="005F4582" w:rsidRDefault="00BD6FC5" w:rsidP="00C44909">
            <w:pPr>
              <w:pStyle w:val="Tabletext"/>
              <w:keepNext/>
              <w:keepLines/>
              <w:rPr>
                <w:rFonts w:ascii="Arial Narrow" w:hAnsi="Arial Narrow"/>
              </w:rPr>
            </w:pPr>
            <w:r w:rsidRPr="005F4582">
              <w:rPr>
                <w:rFonts w:ascii="Arial Narrow" w:hAnsi="Arial Narrow"/>
              </w:rPr>
              <w:t xml:space="preserve">The PBAC considered that the respecified base case incorporating the effective price and adjusted duration of treatment for </w:t>
            </w:r>
            <w:proofErr w:type="spellStart"/>
            <w:r w:rsidRPr="005F4582">
              <w:rPr>
                <w:rFonts w:ascii="Arial Narrow" w:hAnsi="Arial Narrow"/>
              </w:rPr>
              <w:t>nivolumab</w:t>
            </w:r>
            <w:proofErr w:type="spellEnd"/>
            <w:r w:rsidRPr="005F4582">
              <w:rPr>
                <w:rFonts w:ascii="Arial Narrow" w:hAnsi="Arial Narrow"/>
              </w:rPr>
              <w:t>, as well as the changes for convergence and extrapolation (paragraph 7.7), provided a more appropriate basis for determining cost-effectiveness.</w:t>
            </w:r>
          </w:p>
          <w:p w:rsidR="00BD6FC5" w:rsidRPr="005F4582" w:rsidRDefault="0023657F" w:rsidP="00C44909">
            <w:pPr>
              <w:keepNext/>
              <w:keepLines/>
              <w:rPr>
                <w:rFonts w:ascii="Arial Narrow" w:hAnsi="Arial Narrow"/>
                <w:sz w:val="20"/>
                <w:szCs w:val="20"/>
                <w:lang w:eastAsia="en-US"/>
              </w:rPr>
            </w:pPr>
            <w:r w:rsidRPr="005F4582">
              <w:rPr>
                <w:rFonts w:ascii="Arial Narrow" w:hAnsi="Arial Narrow"/>
                <w:sz w:val="20"/>
                <w:szCs w:val="20"/>
                <w:lang w:eastAsia="en-US"/>
              </w:rPr>
              <w:t>R</w:t>
            </w:r>
            <w:r w:rsidR="00BD6FC5" w:rsidRPr="005F4582">
              <w:rPr>
                <w:rFonts w:ascii="Arial Narrow" w:hAnsi="Arial Narrow"/>
                <w:sz w:val="20"/>
                <w:szCs w:val="20"/>
                <w:lang w:eastAsia="en-US"/>
              </w:rPr>
              <w:t>e-specified base case ICER=</w:t>
            </w:r>
            <w:r w:rsidR="00E45453" w:rsidRPr="005F4582">
              <w:rPr>
                <w:rFonts w:ascii="Arial Narrow" w:hAnsi="Arial Narrow"/>
                <w:sz w:val="20"/>
                <w:szCs w:val="20"/>
                <w:lang w:eastAsia="en-US"/>
              </w:rPr>
              <w:t>$</w:t>
            </w:r>
            <w:proofErr w:type="gramStart"/>
            <w:r w:rsidR="008D562F">
              <w:rPr>
                <w:rFonts w:ascii="Arial Narrow" w:hAnsi="Arial Narrow"/>
                <w:noProof/>
                <w:color w:val="000000"/>
                <w:sz w:val="20"/>
                <w:szCs w:val="20"/>
                <w:highlight w:val="black"/>
                <w:lang w:eastAsia="en-US"/>
              </w:rPr>
              <w:t>''''''''''''''''</w:t>
            </w:r>
            <w:r w:rsidR="00E45453" w:rsidRPr="005F4582">
              <w:rPr>
                <w:rFonts w:ascii="Arial Narrow" w:hAnsi="Arial Narrow"/>
                <w:sz w:val="20"/>
                <w:szCs w:val="20"/>
                <w:lang w:eastAsia="en-US"/>
              </w:rPr>
              <w:t>(</w:t>
            </w:r>
            <w:proofErr w:type="gramEnd"/>
            <w:r w:rsidR="00E45453" w:rsidRPr="005F4582">
              <w:rPr>
                <w:rFonts w:ascii="Arial Narrow" w:hAnsi="Arial Narrow"/>
                <w:sz w:val="20"/>
                <w:szCs w:val="20"/>
                <w:lang w:eastAsia="en-US"/>
              </w:rPr>
              <w:t>ITT) and $</w:t>
            </w:r>
            <w:r w:rsidR="008D562F">
              <w:rPr>
                <w:rFonts w:ascii="Arial Narrow" w:hAnsi="Arial Narrow"/>
                <w:noProof/>
                <w:color w:val="000000"/>
                <w:sz w:val="20"/>
                <w:szCs w:val="20"/>
                <w:highlight w:val="black"/>
                <w:lang w:eastAsia="en-US"/>
              </w:rPr>
              <w:t>'''''''''''''''''</w:t>
            </w:r>
            <w:r w:rsidR="00E45453" w:rsidRPr="005F4582">
              <w:rPr>
                <w:rFonts w:ascii="Arial Narrow" w:hAnsi="Arial Narrow"/>
                <w:sz w:val="20"/>
                <w:szCs w:val="20"/>
                <w:lang w:eastAsia="en-US"/>
              </w:rPr>
              <w:t xml:space="preserve"> (RPSFT-adjusted) using published </w:t>
            </w:r>
            <w:proofErr w:type="spellStart"/>
            <w:r w:rsidR="00E45453" w:rsidRPr="005F4582">
              <w:rPr>
                <w:rFonts w:ascii="Arial Narrow" w:hAnsi="Arial Narrow"/>
                <w:sz w:val="20"/>
                <w:szCs w:val="20"/>
                <w:lang w:eastAsia="en-US"/>
              </w:rPr>
              <w:t>nivolumab</w:t>
            </w:r>
            <w:proofErr w:type="spellEnd"/>
            <w:r w:rsidR="00E45453" w:rsidRPr="005F4582">
              <w:rPr>
                <w:rFonts w:ascii="Arial Narrow" w:hAnsi="Arial Narrow"/>
                <w:sz w:val="20"/>
                <w:szCs w:val="20"/>
                <w:lang w:eastAsia="en-US"/>
              </w:rPr>
              <w:t xml:space="preserve"> price</w:t>
            </w:r>
            <w:r w:rsidR="00027935" w:rsidRPr="005F4582">
              <w:rPr>
                <w:rFonts w:ascii="Arial Narrow" w:hAnsi="Arial Narrow"/>
                <w:sz w:val="20"/>
                <w:szCs w:val="20"/>
                <w:lang w:eastAsia="en-US"/>
              </w:rPr>
              <w:t>.</w:t>
            </w:r>
            <w:r w:rsidR="00ED1377" w:rsidRPr="005F4582">
              <w:rPr>
                <w:rFonts w:ascii="Arial Narrow" w:hAnsi="Arial Narrow"/>
                <w:sz w:val="20"/>
                <w:szCs w:val="20"/>
                <w:lang w:eastAsia="en-US"/>
              </w:rPr>
              <w:t xml:space="preserve"> </w:t>
            </w:r>
          </w:p>
        </w:tc>
        <w:tc>
          <w:tcPr>
            <w:tcW w:w="2094" w:type="pct"/>
            <w:tcBorders>
              <w:top w:val="single" w:sz="4" w:space="0" w:color="auto"/>
              <w:left w:val="single" w:sz="4" w:space="0" w:color="auto"/>
              <w:bottom w:val="single" w:sz="4" w:space="0" w:color="auto"/>
              <w:right w:val="single" w:sz="4" w:space="0" w:color="auto"/>
            </w:tcBorders>
          </w:tcPr>
          <w:p w:rsidR="00BD6FC5" w:rsidRPr="005F4582" w:rsidRDefault="00BD6FC5" w:rsidP="00C44909">
            <w:pPr>
              <w:pStyle w:val="Tabletext"/>
              <w:keepNext/>
              <w:keepLines/>
              <w:spacing w:after="0"/>
              <w:rPr>
                <w:rFonts w:ascii="Arial Narrow" w:hAnsi="Arial Narrow"/>
              </w:rPr>
            </w:pPr>
            <w:r w:rsidRPr="005F4582">
              <w:rPr>
                <w:rFonts w:ascii="Arial Narrow" w:hAnsi="Arial Narrow"/>
              </w:rPr>
              <w:t>ICER= $</w:t>
            </w:r>
            <w:r w:rsidR="008D562F">
              <w:rPr>
                <w:rFonts w:ascii="Arial Narrow" w:hAnsi="Arial Narrow"/>
                <w:noProof/>
                <w:color w:val="000000"/>
                <w:highlight w:val="black"/>
              </w:rPr>
              <w:t>''''''''''''''''</w:t>
            </w:r>
            <w:r w:rsidRPr="005F4582">
              <w:rPr>
                <w:rFonts w:ascii="Arial Narrow" w:hAnsi="Arial Narrow"/>
              </w:rPr>
              <w:t>/QALY (RPSFT</w:t>
            </w:r>
            <w:r w:rsidR="009D71E0" w:rsidRPr="005F4582">
              <w:rPr>
                <w:rFonts w:ascii="Arial Narrow" w:hAnsi="Arial Narrow"/>
              </w:rPr>
              <w:t>-adjusted</w:t>
            </w:r>
            <w:r w:rsidRPr="005F4582">
              <w:rPr>
                <w:rFonts w:ascii="Arial Narrow" w:hAnsi="Arial Narrow"/>
              </w:rPr>
              <w:t>) -</w:t>
            </w:r>
            <w:r w:rsidR="00F344FF" w:rsidRPr="005F4582">
              <w:rPr>
                <w:rFonts w:ascii="Arial Narrow" w:hAnsi="Arial Narrow"/>
              </w:rPr>
              <w:t xml:space="preserve"> </w:t>
            </w:r>
            <w:r w:rsidRPr="005F4582">
              <w:rPr>
                <w:rFonts w:ascii="Arial Narrow" w:hAnsi="Arial Narrow"/>
              </w:rPr>
              <w:t>$</w:t>
            </w:r>
            <w:r w:rsidR="008D562F">
              <w:rPr>
                <w:rFonts w:ascii="Arial Narrow" w:hAnsi="Arial Narrow"/>
                <w:noProof/>
                <w:color w:val="000000"/>
                <w:highlight w:val="black"/>
              </w:rPr>
              <w:t>''''''''''''''''</w:t>
            </w:r>
            <w:r w:rsidRPr="005F4582">
              <w:rPr>
                <w:rFonts w:ascii="Arial Narrow" w:hAnsi="Arial Narrow"/>
              </w:rPr>
              <w:t>/QALY (ITT)</w:t>
            </w:r>
            <w:r w:rsidR="00ED1377" w:rsidRPr="005F4582">
              <w:rPr>
                <w:rFonts w:ascii="Arial Narrow" w:hAnsi="Arial Narrow"/>
              </w:rPr>
              <w:t xml:space="preserve"> </w:t>
            </w:r>
          </w:p>
          <w:p w:rsidR="00BD6FC5" w:rsidRPr="005F4582" w:rsidRDefault="00BD6FC5" w:rsidP="00C44909">
            <w:pPr>
              <w:pStyle w:val="Tabletext"/>
              <w:keepNext/>
              <w:keepLines/>
              <w:spacing w:after="0"/>
              <w:rPr>
                <w:rFonts w:ascii="Arial Narrow" w:hAnsi="Arial Narrow"/>
              </w:rPr>
            </w:pPr>
          </w:p>
          <w:p w:rsidR="00BD6FC5" w:rsidRPr="005F4582" w:rsidRDefault="00BD6FC5" w:rsidP="00C44909">
            <w:pPr>
              <w:pStyle w:val="Tabletext"/>
              <w:keepNext/>
              <w:keepLines/>
              <w:spacing w:after="0"/>
              <w:rPr>
                <w:rFonts w:ascii="Arial Narrow" w:hAnsi="Arial Narrow"/>
              </w:rPr>
            </w:pPr>
            <w:r w:rsidRPr="005F4582">
              <w:rPr>
                <w:rFonts w:ascii="Arial Narrow" w:hAnsi="Arial Narrow"/>
              </w:rPr>
              <w:t>The following changes were made to the economic model:</w:t>
            </w:r>
          </w:p>
          <w:p w:rsidR="00BD6FC5" w:rsidRPr="005F4582" w:rsidRDefault="00BD6FC5" w:rsidP="00B22235">
            <w:pPr>
              <w:pStyle w:val="Tabletext"/>
              <w:keepNext/>
              <w:keepLines/>
              <w:numPr>
                <w:ilvl w:val="0"/>
                <w:numId w:val="9"/>
              </w:numPr>
              <w:spacing w:after="0"/>
              <w:rPr>
                <w:rFonts w:ascii="Arial Narrow" w:hAnsi="Arial Narrow"/>
              </w:rPr>
            </w:pPr>
            <w:r w:rsidRPr="005F4582">
              <w:rPr>
                <w:rFonts w:ascii="Arial Narrow" w:hAnsi="Arial Narrow"/>
              </w:rPr>
              <w:t>Extrapolation of KM OS curves from 40 months (paragraph 6.46)</w:t>
            </w:r>
          </w:p>
          <w:p w:rsidR="00BD6FC5" w:rsidRPr="005F4582" w:rsidRDefault="00BD6FC5" w:rsidP="00B22235">
            <w:pPr>
              <w:pStyle w:val="Tabletext"/>
              <w:keepNext/>
              <w:keepLines/>
              <w:numPr>
                <w:ilvl w:val="0"/>
                <w:numId w:val="9"/>
              </w:numPr>
              <w:spacing w:after="0"/>
              <w:rPr>
                <w:rFonts w:ascii="Arial Narrow" w:hAnsi="Arial Narrow"/>
              </w:rPr>
            </w:pPr>
            <w:r w:rsidRPr="005F4582">
              <w:rPr>
                <w:rFonts w:ascii="Arial Narrow" w:hAnsi="Arial Narrow"/>
              </w:rPr>
              <w:t>Convergence of KM PFS and OS curves beginning Year 5 with full convergence by Year 10 (paragraph 6.46)</w:t>
            </w:r>
          </w:p>
          <w:p w:rsidR="00BD6FC5" w:rsidRPr="005F4582" w:rsidRDefault="00BD6FC5" w:rsidP="00B22235">
            <w:pPr>
              <w:pStyle w:val="Tabletext"/>
              <w:keepNext/>
              <w:keepLines/>
              <w:numPr>
                <w:ilvl w:val="0"/>
                <w:numId w:val="9"/>
              </w:numPr>
              <w:spacing w:after="0"/>
              <w:rPr>
                <w:rFonts w:ascii="Arial Narrow" w:hAnsi="Arial Narrow"/>
              </w:rPr>
            </w:pPr>
            <w:r w:rsidRPr="005F4582">
              <w:rPr>
                <w:rFonts w:ascii="Arial Narrow" w:hAnsi="Arial Narrow"/>
              </w:rPr>
              <w:t xml:space="preserve">Subsequent </w:t>
            </w:r>
            <w:proofErr w:type="spellStart"/>
            <w:r w:rsidRPr="005F4582">
              <w:rPr>
                <w:rFonts w:ascii="Arial Narrow" w:hAnsi="Arial Narrow"/>
              </w:rPr>
              <w:t>nivolumab</w:t>
            </w:r>
            <w:proofErr w:type="spellEnd"/>
            <w:r w:rsidRPr="005F4582">
              <w:rPr>
                <w:rFonts w:ascii="Arial Narrow" w:hAnsi="Arial Narrow"/>
              </w:rPr>
              <w:t xml:space="preserve"> duration of treatment changed from 7.5 to 12 doses (paragraph 6.34)</w:t>
            </w:r>
          </w:p>
          <w:p w:rsidR="00BD6FC5" w:rsidRPr="005F4582" w:rsidRDefault="00BD6FC5" w:rsidP="00B22235">
            <w:pPr>
              <w:pStyle w:val="Tabletext"/>
              <w:keepNext/>
              <w:keepLines/>
              <w:numPr>
                <w:ilvl w:val="0"/>
                <w:numId w:val="9"/>
              </w:numPr>
              <w:spacing w:after="0"/>
              <w:rPr>
                <w:rFonts w:ascii="Arial Narrow" w:hAnsi="Arial Narrow"/>
              </w:rPr>
            </w:pPr>
            <w:proofErr w:type="spellStart"/>
            <w:r w:rsidRPr="005F4582">
              <w:rPr>
                <w:rFonts w:ascii="Arial Narrow" w:hAnsi="Arial Narrow"/>
              </w:rPr>
              <w:t>nivolumab</w:t>
            </w:r>
            <w:proofErr w:type="spellEnd"/>
            <w:r w:rsidRPr="005F4582">
              <w:rPr>
                <w:rFonts w:ascii="Arial Narrow" w:hAnsi="Arial Narrow"/>
              </w:rPr>
              <w:t xml:space="preserve"> discount assumption</w:t>
            </w:r>
            <w:r w:rsidR="00891394" w:rsidRPr="005F4582">
              <w:rPr>
                <w:rFonts w:ascii="Arial Narrow" w:hAnsi="Arial Narrow"/>
              </w:rPr>
              <w:t xml:space="preserve"> of</w:t>
            </w:r>
            <w:r w:rsidRPr="005F4582">
              <w:rPr>
                <w:rFonts w:ascii="Arial Narrow" w:hAnsi="Arial Narrow"/>
              </w:rPr>
              <w:t xml:space="preserve"> </w:t>
            </w:r>
            <w:r w:rsidR="008D562F">
              <w:rPr>
                <w:rFonts w:ascii="Arial Narrow" w:hAnsi="Arial Narrow"/>
                <w:noProof/>
                <w:color w:val="000000"/>
                <w:highlight w:val="black"/>
              </w:rPr>
              <w:t>''''''</w:t>
            </w:r>
            <w:r w:rsidRPr="0018767C">
              <w:rPr>
                <w:rFonts w:ascii="Arial Narrow" w:hAnsi="Arial Narrow"/>
              </w:rPr>
              <w:t>%</w:t>
            </w:r>
          </w:p>
          <w:p w:rsidR="00BD6FC5" w:rsidRPr="005F4582" w:rsidRDefault="00BD6FC5" w:rsidP="00B22235">
            <w:pPr>
              <w:pStyle w:val="ListParagraph"/>
              <w:keepNext/>
              <w:keepLines/>
              <w:numPr>
                <w:ilvl w:val="0"/>
                <w:numId w:val="9"/>
              </w:numPr>
              <w:rPr>
                <w:rFonts w:ascii="Arial Narrow" w:hAnsi="Arial Narrow"/>
                <w:sz w:val="20"/>
              </w:rPr>
            </w:pPr>
            <w:proofErr w:type="spellStart"/>
            <w:r w:rsidRPr="005F4582">
              <w:rPr>
                <w:rFonts w:ascii="Arial Narrow" w:hAnsi="Arial Narrow"/>
                <w:sz w:val="20"/>
              </w:rPr>
              <w:t>durvalumab</w:t>
            </w:r>
            <w:proofErr w:type="spellEnd"/>
            <w:r w:rsidRPr="005F4582">
              <w:rPr>
                <w:rFonts w:ascii="Arial Narrow" w:hAnsi="Arial Narrow"/>
                <w:sz w:val="20"/>
              </w:rPr>
              <w:t xml:space="preserve"> effective price per mg changed to $</w:t>
            </w:r>
            <w:r w:rsidR="008D562F">
              <w:rPr>
                <w:rFonts w:ascii="Arial Narrow" w:hAnsi="Arial Narrow"/>
                <w:noProof/>
                <w:color w:val="000000"/>
                <w:sz w:val="20"/>
                <w:highlight w:val="black"/>
              </w:rPr>
              <w:t>''''''''''</w:t>
            </w:r>
          </w:p>
        </w:tc>
      </w:tr>
      <w:tr w:rsidR="00BD6FC5" w:rsidRPr="005F4582" w:rsidTr="00B22235">
        <w:trPr>
          <w:trHeight w:val="930"/>
        </w:trPr>
        <w:tc>
          <w:tcPr>
            <w:tcW w:w="705" w:type="pct"/>
            <w:tcBorders>
              <w:top w:val="single" w:sz="4" w:space="0" w:color="auto"/>
              <w:left w:val="single" w:sz="4" w:space="0" w:color="auto"/>
              <w:bottom w:val="single" w:sz="4" w:space="0" w:color="auto"/>
              <w:right w:val="single" w:sz="4" w:space="0" w:color="auto"/>
            </w:tcBorders>
          </w:tcPr>
          <w:p w:rsidR="00BD6FC5" w:rsidRPr="005F4582" w:rsidRDefault="00B92164" w:rsidP="00C44909">
            <w:pPr>
              <w:pStyle w:val="Tabletext"/>
              <w:keepNext/>
              <w:keepLines/>
              <w:rPr>
                <w:rFonts w:ascii="Arial Narrow" w:hAnsi="Arial Narrow"/>
                <w:highlight w:val="yellow"/>
              </w:rPr>
            </w:pPr>
            <w:r w:rsidRPr="005F4582">
              <w:rPr>
                <w:rFonts w:ascii="Arial Narrow" w:hAnsi="Arial Narrow"/>
              </w:rPr>
              <w:t>Utilisation/ Overall financial impact</w:t>
            </w:r>
          </w:p>
        </w:tc>
        <w:tc>
          <w:tcPr>
            <w:tcW w:w="2201" w:type="pct"/>
            <w:tcBorders>
              <w:top w:val="single" w:sz="4" w:space="0" w:color="auto"/>
              <w:left w:val="single" w:sz="4" w:space="0" w:color="auto"/>
              <w:bottom w:val="single" w:sz="4" w:space="0" w:color="auto"/>
              <w:right w:val="single" w:sz="4" w:space="0" w:color="auto"/>
            </w:tcBorders>
          </w:tcPr>
          <w:p w:rsidR="00914AC4" w:rsidRPr="005F4582" w:rsidRDefault="00B92164" w:rsidP="00C44909">
            <w:pPr>
              <w:pStyle w:val="Tabletext"/>
              <w:keepNext/>
              <w:keepLines/>
              <w:rPr>
                <w:rFonts w:ascii="Arial Narrow" w:hAnsi="Arial Narrow"/>
              </w:rPr>
            </w:pPr>
            <w:r w:rsidRPr="005F4582">
              <w:rPr>
                <w:rFonts w:ascii="Arial Narrow" w:hAnsi="Arial Narrow"/>
              </w:rPr>
              <w:t xml:space="preserve">The PBAC noted the high estimated financial impact of subsidising </w:t>
            </w:r>
            <w:proofErr w:type="spellStart"/>
            <w:r w:rsidRPr="005F4582">
              <w:rPr>
                <w:rFonts w:ascii="Arial Narrow" w:hAnsi="Arial Narrow"/>
              </w:rPr>
              <w:t>durvalumab</w:t>
            </w:r>
            <w:proofErr w:type="spellEnd"/>
            <w:r w:rsidRPr="005F4582">
              <w:rPr>
                <w:rFonts w:ascii="Arial Narrow" w:hAnsi="Arial Narrow"/>
              </w:rPr>
              <w:t xml:space="preserve"> in the proposed treatment setting, although it considered that the financial impact was overestimated in terms of the eligible patient population and inadequate inclusion of cost-offsets associated with avoiding subsequent immunotherapy.</w:t>
            </w:r>
            <w:r w:rsidR="00914AC4" w:rsidRPr="005F4582">
              <w:rPr>
                <w:rFonts w:ascii="Arial Narrow" w:hAnsi="Arial Narrow"/>
              </w:rPr>
              <w:t xml:space="preserve"> </w:t>
            </w:r>
          </w:p>
          <w:p w:rsidR="00B92164" w:rsidRPr="005F4582" w:rsidRDefault="00914AC4" w:rsidP="00C44909">
            <w:pPr>
              <w:pStyle w:val="Tabletext"/>
              <w:keepNext/>
              <w:keepLines/>
              <w:rPr>
                <w:rFonts w:ascii="Arial Narrow" w:hAnsi="Arial Narrow"/>
              </w:rPr>
            </w:pPr>
            <w:r w:rsidRPr="005F4582">
              <w:rPr>
                <w:rFonts w:ascii="Arial Narrow" w:hAnsi="Arial Narrow"/>
              </w:rPr>
              <w:t xml:space="preserve">The PBAC considered the cost-offsets were underestimated in the financial estimates and that it would be appropriate to assume that 70% of patients that initiate treatment with </w:t>
            </w:r>
            <w:proofErr w:type="spellStart"/>
            <w:r w:rsidRPr="005F4582">
              <w:rPr>
                <w:rFonts w:ascii="Arial Narrow" w:hAnsi="Arial Narrow"/>
              </w:rPr>
              <w:t>durvalumab</w:t>
            </w:r>
            <w:proofErr w:type="spellEnd"/>
            <w:r w:rsidRPr="005F4582">
              <w:rPr>
                <w:rFonts w:ascii="Arial Narrow" w:hAnsi="Arial Narrow"/>
              </w:rPr>
              <w:t xml:space="preserve"> would avoid subsequent use of PD-(L)1 inhibitors in the metastatic setting (paragraph 7.14).</w:t>
            </w:r>
          </w:p>
          <w:p w:rsidR="00BD6FC5" w:rsidRPr="00C44909" w:rsidRDefault="00B92164" w:rsidP="00C44909">
            <w:pPr>
              <w:pStyle w:val="Tabletext"/>
              <w:keepNext/>
              <w:keepLines/>
              <w:rPr>
                <w:rFonts w:ascii="Arial Narrow" w:hAnsi="Arial Narrow"/>
              </w:rPr>
            </w:pPr>
            <w:r w:rsidRPr="005F4582">
              <w:rPr>
                <w:rFonts w:ascii="Arial Narrow" w:hAnsi="Arial Narrow"/>
              </w:rPr>
              <w:t>The PBAC considered the financial estimates for grandfathered patients required revision to take into account only the number of patients accessing treatment at the time of PBAC reconsideration (paragraph 2.3) and a reduced cost per patient to account for treatment already received (paragraph 6.56).</w:t>
            </w:r>
          </w:p>
        </w:tc>
        <w:tc>
          <w:tcPr>
            <w:tcW w:w="2094" w:type="pct"/>
            <w:tcBorders>
              <w:top w:val="single" w:sz="4" w:space="0" w:color="auto"/>
              <w:left w:val="single" w:sz="4" w:space="0" w:color="auto"/>
              <w:bottom w:val="single" w:sz="4" w:space="0" w:color="auto"/>
              <w:right w:val="single" w:sz="4" w:space="0" w:color="auto"/>
            </w:tcBorders>
          </w:tcPr>
          <w:p w:rsidR="00B92164" w:rsidRPr="005F4582" w:rsidRDefault="00B92164" w:rsidP="00C44909">
            <w:pPr>
              <w:pStyle w:val="Tabletext"/>
              <w:keepNext/>
              <w:keepLines/>
              <w:rPr>
                <w:rFonts w:ascii="Arial Narrow" w:hAnsi="Arial Narrow"/>
              </w:rPr>
            </w:pPr>
            <w:r w:rsidRPr="005F4582">
              <w:rPr>
                <w:rFonts w:ascii="Arial Narrow" w:hAnsi="Arial Narrow"/>
              </w:rPr>
              <w:t xml:space="preserve">The following changes were made to the utilisation (Section 4) model: </w:t>
            </w:r>
          </w:p>
          <w:p w:rsidR="00B92164" w:rsidRPr="005F4582" w:rsidRDefault="00B92164" w:rsidP="00B22235">
            <w:pPr>
              <w:pStyle w:val="Tabletext"/>
              <w:keepNext/>
              <w:keepLines/>
              <w:numPr>
                <w:ilvl w:val="0"/>
                <w:numId w:val="9"/>
              </w:numPr>
              <w:spacing w:after="0"/>
              <w:rPr>
                <w:rFonts w:ascii="Arial Narrow" w:hAnsi="Arial Narrow"/>
              </w:rPr>
            </w:pPr>
            <w:r w:rsidRPr="005F4582">
              <w:rPr>
                <w:rFonts w:ascii="Arial Narrow" w:hAnsi="Arial Narrow"/>
              </w:rPr>
              <w:t>Uptake of CRT to 70% all years (paragraph 6.53, 7.13)</w:t>
            </w:r>
          </w:p>
          <w:p w:rsidR="00B92164" w:rsidRPr="005F4582" w:rsidRDefault="00B92164" w:rsidP="00B22235">
            <w:pPr>
              <w:pStyle w:val="Tabletext"/>
              <w:keepNext/>
              <w:keepLines/>
              <w:numPr>
                <w:ilvl w:val="0"/>
                <w:numId w:val="9"/>
              </w:numPr>
              <w:spacing w:after="0"/>
              <w:rPr>
                <w:rFonts w:ascii="Arial Narrow" w:hAnsi="Arial Narrow"/>
              </w:rPr>
            </w:pPr>
            <w:r w:rsidRPr="005F4582">
              <w:rPr>
                <w:rFonts w:ascii="Arial Narrow" w:hAnsi="Arial Narrow"/>
              </w:rPr>
              <w:t xml:space="preserve">Uptake of </w:t>
            </w:r>
            <w:proofErr w:type="spellStart"/>
            <w:r w:rsidRPr="005F4582">
              <w:rPr>
                <w:rFonts w:ascii="Arial Narrow" w:hAnsi="Arial Narrow"/>
              </w:rPr>
              <w:t>durvalumab</w:t>
            </w:r>
            <w:proofErr w:type="spellEnd"/>
            <w:r w:rsidRPr="005F4582">
              <w:rPr>
                <w:rFonts w:ascii="Arial Narrow" w:hAnsi="Arial Narrow"/>
              </w:rPr>
              <w:t xml:space="preserve"> to 90% in all years (paragraph 6.53, 7.13)</w:t>
            </w:r>
          </w:p>
          <w:p w:rsidR="00914AC4" w:rsidRPr="005F4582" w:rsidRDefault="00914AC4" w:rsidP="00C44909">
            <w:pPr>
              <w:keepNext/>
              <w:keepLines/>
              <w:rPr>
                <w:rFonts w:ascii="Arial Narrow" w:hAnsi="Arial Narrow"/>
                <w:sz w:val="20"/>
                <w:szCs w:val="20"/>
                <w:lang w:eastAsia="en-US"/>
              </w:rPr>
            </w:pPr>
          </w:p>
          <w:p w:rsidR="00914AC4" w:rsidRPr="0003480F" w:rsidRDefault="00914AC4" w:rsidP="0003480F">
            <w:pPr>
              <w:keepNext/>
              <w:keepLines/>
              <w:rPr>
                <w:rFonts w:ascii="Arial Narrow" w:hAnsi="Arial Narrow"/>
                <w:sz w:val="20"/>
                <w:szCs w:val="20"/>
                <w:lang w:eastAsia="en-US"/>
              </w:rPr>
            </w:pPr>
            <w:r w:rsidRPr="005F4582">
              <w:rPr>
                <w:rFonts w:ascii="Arial Narrow" w:hAnsi="Arial Narrow"/>
                <w:sz w:val="20"/>
                <w:szCs w:val="20"/>
                <w:lang w:eastAsia="en-US"/>
              </w:rPr>
              <w:t>A</w:t>
            </w:r>
            <w:r w:rsidR="00033672" w:rsidRPr="005F4582">
              <w:rPr>
                <w:rFonts w:ascii="Arial Narrow" w:hAnsi="Arial Narrow"/>
                <w:sz w:val="20"/>
                <w:szCs w:val="20"/>
                <w:lang w:eastAsia="en-US"/>
              </w:rPr>
              <w:t xml:space="preserve">ssumed that </w:t>
            </w:r>
            <w:r w:rsidR="00B92164" w:rsidRPr="005F4582">
              <w:rPr>
                <w:rFonts w:ascii="Arial Narrow" w:hAnsi="Arial Narrow"/>
                <w:sz w:val="20"/>
                <w:szCs w:val="20"/>
                <w:lang w:eastAsia="en-US"/>
              </w:rPr>
              <w:t>70% of</w:t>
            </w:r>
            <w:r w:rsidR="001727B4" w:rsidRPr="005F4582">
              <w:rPr>
                <w:rFonts w:ascii="Arial Narrow" w:hAnsi="Arial Narrow"/>
                <w:sz w:val="20"/>
                <w:szCs w:val="20"/>
                <w:lang w:eastAsia="en-US"/>
              </w:rPr>
              <w:t xml:space="preserve"> progressed</w:t>
            </w:r>
            <w:r w:rsidR="0039085D" w:rsidRPr="005F4582">
              <w:rPr>
                <w:rFonts w:ascii="Arial Narrow" w:hAnsi="Arial Narrow"/>
                <w:sz w:val="20"/>
                <w:szCs w:val="20"/>
                <w:u w:val="single"/>
                <w:lang w:eastAsia="en-US"/>
              </w:rPr>
              <w:t xml:space="preserve"> </w:t>
            </w:r>
            <w:r w:rsidR="001727B4" w:rsidRPr="005F4582">
              <w:rPr>
                <w:rFonts w:ascii="Arial Narrow" w:hAnsi="Arial Narrow"/>
                <w:sz w:val="20"/>
                <w:szCs w:val="20"/>
                <w:lang w:eastAsia="en-US"/>
              </w:rPr>
              <w:t>patients treated with</w:t>
            </w:r>
            <w:r w:rsidR="00B92164" w:rsidRPr="005F4582">
              <w:rPr>
                <w:rFonts w:ascii="Arial Narrow" w:hAnsi="Arial Narrow"/>
                <w:sz w:val="20"/>
                <w:szCs w:val="20"/>
                <w:lang w:eastAsia="en-US"/>
              </w:rPr>
              <w:t xml:space="preserve"> </w:t>
            </w:r>
            <w:proofErr w:type="spellStart"/>
            <w:r w:rsidR="00B92164" w:rsidRPr="005F4582">
              <w:rPr>
                <w:rFonts w:ascii="Arial Narrow" w:hAnsi="Arial Narrow"/>
                <w:sz w:val="20"/>
                <w:szCs w:val="20"/>
                <w:lang w:eastAsia="en-US"/>
              </w:rPr>
              <w:t>durvalumab</w:t>
            </w:r>
            <w:proofErr w:type="spellEnd"/>
            <w:r w:rsidR="00B1211E" w:rsidRPr="005F4582">
              <w:rPr>
                <w:rFonts w:ascii="Arial Narrow" w:hAnsi="Arial Narrow"/>
                <w:sz w:val="20"/>
                <w:szCs w:val="20"/>
                <w:lang w:eastAsia="en-US"/>
              </w:rPr>
              <w:t xml:space="preserve"> </w:t>
            </w:r>
            <w:r w:rsidR="001727B4" w:rsidRPr="005F4582">
              <w:rPr>
                <w:rFonts w:ascii="Arial Narrow" w:hAnsi="Arial Narrow"/>
                <w:sz w:val="20"/>
                <w:szCs w:val="20"/>
                <w:lang w:eastAsia="en-US"/>
              </w:rPr>
              <w:t>receive</w:t>
            </w:r>
            <w:r w:rsidR="00B92164" w:rsidRPr="005F4582">
              <w:rPr>
                <w:rFonts w:ascii="Arial Narrow" w:hAnsi="Arial Narrow"/>
                <w:sz w:val="20"/>
                <w:szCs w:val="20"/>
                <w:lang w:eastAsia="en-US"/>
              </w:rPr>
              <w:t xml:space="preserve"> </w:t>
            </w:r>
            <w:r w:rsidR="001727B4" w:rsidRPr="005F4582">
              <w:rPr>
                <w:rFonts w:ascii="Arial Narrow" w:hAnsi="Arial Narrow"/>
                <w:sz w:val="20"/>
                <w:szCs w:val="20"/>
                <w:lang w:eastAsia="en-US"/>
              </w:rPr>
              <w:t xml:space="preserve">subsequent </w:t>
            </w:r>
            <w:r w:rsidR="00B92164" w:rsidRPr="005F4582">
              <w:rPr>
                <w:rFonts w:ascii="Arial Narrow" w:hAnsi="Arial Narrow"/>
                <w:sz w:val="20"/>
                <w:szCs w:val="20"/>
                <w:lang w:eastAsia="en-US"/>
              </w:rPr>
              <w:t>immunotherapy costs offset as they are no longer eligible for immunotherapy in later stage disease</w:t>
            </w:r>
            <w:r w:rsidR="000C2ED3" w:rsidRPr="005F4582">
              <w:rPr>
                <w:rFonts w:ascii="Arial Narrow" w:hAnsi="Arial Narrow"/>
                <w:sz w:val="20"/>
                <w:szCs w:val="20"/>
                <w:lang w:eastAsia="en-US"/>
              </w:rPr>
              <w:t xml:space="preserve">. </w:t>
            </w:r>
          </w:p>
          <w:p w:rsidR="00B92164" w:rsidRPr="005F4582" w:rsidRDefault="00B92164" w:rsidP="0003480F">
            <w:pPr>
              <w:pStyle w:val="Tabletext"/>
              <w:keepNext/>
              <w:keepLines/>
              <w:spacing w:before="360"/>
              <w:rPr>
                <w:rFonts w:ascii="Arial Narrow" w:hAnsi="Arial Narrow"/>
              </w:rPr>
            </w:pPr>
            <w:r w:rsidRPr="005F4582">
              <w:rPr>
                <w:rFonts w:ascii="Arial Narrow" w:hAnsi="Arial Narrow"/>
              </w:rPr>
              <w:t xml:space="preserve">The minor resubmission increased the number of expected grandfathered patients by November 2019 to </w:t>
            </w:r>
            <w:r w:rsidR="008D562F">
              <w:rPr>
                <w:rFonts w:ascii="Arial Narrow" w:hAnsi="Arial Narrow"/>
                <w:noProof/>
                <w:color w:val="000000"/>
                <w:highlight w:val="black"/>
              </w:rPr>
              <w:t>''''''''''</w:t>
            </w:r>
            <w:r w:rsidRPr="005F4582">
              <w:rPr>
                <w:rFonts w:ascii="Arial Narrow" w:hAnsi="Arial Narrow"/>
              </w:rPr>
              <w:t xml:space="preserve">, however no adjustment was made to reduce treatment duration, therefore </w:t>
            </w:r>
            <w:r w:rsidR="000C2ED3" w:rsidRPr="005F4582">
              <w:rPr>
                <w:rFonts w:ascii="Arial Narrow" w:hAnsi="Arial Narrow"/>
              </w:rPr>
              <w:t xml:space="preserve">the </w:t>
            </w:r>
            <w:r w:rsidRPr="005F4582">
              <w:rPr>
                <w:rFonts w:ascii="Arial Narrow" w:hAnsi="Arial Narrow"/>
              </w:rPr>
              <w:t>cost per patient</w:t>
            </w:r>
            <w:r w:rsidR="000C2ED3" w:rsidRPr="005F4582">
              <w:rPr>
                <w:rFonts w:ascii="Arial Narrow" w:hAnsi="Arial Narrow"/>
              </w:rPr>
              <w:t xml:space="preserve"> is overestimated.</w:t>
            </w:r>
            <w:r w:rsidRPr="005F4582">
              <w:rPr>
                <w:rFonts w:ascii="Arial Narrow" w:hAnsi="Arial Narrow"/>
              </w:rPr>
              <w:t xml:space="preserve"> </w:t>
            </w:r>
          </w:p>
          <w:p w:rsidR="00B92164" w:rsidRPr="005F4582" w:rsidRDefault="00B92164" w:rsidP="00C44909">
            <w:pPr>
              <w:keepNext/>
              <w:keepLines/>
              <w:rPr>
                <w:rFonts w:ascii="Arial Narrow" w:hAnsi="Arial Narrow"/>
                <w:sz w:val="20"/>
                <w:highlight w:val="yellow"/>
              </w:rPr>
            </w:pPr>
          </w:p>
        </w:tc>
      </w:tr>
    </w:tbl>
    <w:p w:rsidR="00C84C75" w:rsidRPr="005F4582" w:rsidRDefault="007814C2" w:rsidP="00C44909">
      <w:pPr>
        <w:keepNext/>
        <w:keepLines/>
        <w:snapToGrid w:val="0"/>
        <w:jc w:val="both"/>
        <w:rPr>
          <w:rFonts w:ascii="Arial Narrow" w:hAnsi="Arial Narrow" w:cs="Arial"/>
          <w:sz w:val="18"/>
          <w:szCs w:val="20"/>
          <w:lang w:eastAsia="en-US"/>
        </w:rPr>
      </w:pPr>
      <w:r w:rsidRPr="005F4582">
        <w:rPr>
          <w:rFonts w:ascii="Arial Narrow" w:hAnsi="Arial Narrow" w:cs="Arial"/>
          <w:sz w:val="18"/>
          <w:szCs w:val="20"/>
          <w:lang w:eastAsia="en-US"/>
        </w:rPr>
        <w:t xml:space="preserve">AEMP </w:t>
      </w:r>
      <w:r w:rsidR="005B3CB5" w:rsidRPr="005F4582">
        <w:rPr>
          <w:rFonts w:ascii="Arial Narrow" w:hAnsi="Arial Narrow" w:cs="Arial"/>
          <w:sz w:val="18"/>
          <w:szCs w:val="20"/>
          <w:lang w:eastAsia="en-US"/>
        </w:rPr>
        <w:t xml:space="preserve">approved ex-manufacturer price; </w:t>
      </w:r>
      <w:r w:rsidRPr="005F4582">
        <w:rPr>
          <w:rFonts w:ascii="Arial Narrow" w:hAnsi="Arial Narrow" w:cs="Arial"/>
          <w:sz w:val="18"/>
          <w:szCs w:val="20"/>
          <w:lang w:eastAsia="en-US"/>
        </w:rPr>
        <w:t xml:space="preserve">CIC </w:t>
      </w:r>
      <w:r w:rsidR="005B3CB5" w:rsidRPr="005F4582">
        <w:rPr>
          <w:rFonts w:ascii="Arial Narrow" w:hAnsi="Arial Narrow" w:cs="Arial"/>
          <w:sz w:val="18"/>
          <w:szCs w:val="20"/>
          <w:lang w:eastAsia="en-US"/>
        </w:rPr>
        <w:t xml:space="preserve">committee in confidence; </w:t>
      </w:r>
      <w:r w:rsidRPr="005F4582">
        <w:rPr>
          <w:rFonts w:ascii="Arial Narrow" w:hAnsi="Arial Narrow" w:cs="Arial"/>
          <w:sz w:val="18"/>
          <w:szCs w:val="20"/>
          <w:lang w:eastAsia="en-US"/>
        </w:rPr>
        <w:t xml:space="preserve">CRT </w:t>
      </w:r>
      <w:proofErr w:type="spellStart"/>
      <w:r w:rsidR="005B3CB5" w:rsidRPr="005F4582">
        <w:rPr>
          <w:rFonts w:ascii="Arial Narrow" w:hAnsi="Arial Narrow" w:cs="Arial"/>
          <w:sz w:val="18"/>
          <w:szCs w:val="20"/>
          <w:lang w:eastAsia="en-US"/>
        </w:rPr>
        <w:t>chemoradiation</w:t>
      </w:r>
      <w:proofErr w:type="spellEnd"/>
      <w:r w:rsidR="005B3CB5" w:rsidRPr="005F4582">
        <w:rPr>
          <w:rFonts w:ascii="Arial Narrow" w:hAnsi="Arial Narrow" w:cs="Arial"/>
          <w:sz w:val="18"/>
          <w:szCs w:val="20"/>
          <w:lang w:eastAsia="en-US"/>
        </w:rPr>
        <w:t xml:space="preserve"> therapy; </w:t>
      </w:r>
      <w:r w:rsidRPr="005F4582">
        <w:rPr>
          <w:rFonts w:ascii="Arial Narrow" w:hAnsi="Arial Narrow" w:cs="Arial"/>
          <w:sz w:val="18"/>
          <w:szCs w:val="20"/>
          <w:lang w:eastAsia="en-US"/>
        </w:rPr>
        <w:t xml:space="preserve">DPMA </w:t>
      </w:r>
      <w:r w:rsidR="005B3CB5" w:rsidRPr="005F4582">
        <w:rPr>
          <w:rFonts w:ascii="Arial Narrow" w:hAnsi="Arial Narrow" w:cs="Arial"/>
          <w:sz w:val="18"/>
          <w:szCs w:val="20"/>
          <w:lang w:eastAsia="en-US"/>
        </w:rPr>
        <w:t xml:space="preserve">dispensed price for maximum amount; </w:t>
      </w:r>
      <w:r w:rsidRPr="005F4582">
        <w:rPr>
          <w:rFonts w:ascii="Arial Narrow" w:hAnsi="Arial Narrow" w:cs="Arial"/>
          <w:sz w:val="18"/>
          <w:szCs w:val="20"/>
          <w:lang w:eastAsia="en-US"/>
        </w:rPr>
        <w:t xml:space="preserve">ICER </w:t>
      </w:r>
      <w:r w:rsidR="005B3CB5" w:rsidRPr="005F4582">
        <w:rPr>
          <w:rFonts w:ascii="Arial Narrow" w:hAnsi="Arial Narrow" w:cs="Arial"/>
          <w:sz w:val="18"/>
          <w:szCs w:val="20"/>
          <w:lang w:eastAsia="en-US"/>
        </w:rPr>
        <w:t xml:space="preserve">incremental cost effectiveness ratio; </w:t>
      </w:r>
      <w:r w:rsidRPr="005F4582">
        <w:rPr>
          <w:rFonts w:ascii="Arial Narrow" w:hAnsi="Arial Narrow" w:cs="Arial"/>
          <w:sz w:val="18"/>
          <w:szCs w:val="20"/>
          <w:lang w:eastAsia="en-US"/>
        </w:rPr>
        <w:t xml:space="preserve">ITT </w:t>
      </w:r>
      <w:r w:rsidR="005B3CB5" w:rsidRPr="005F4582">
        <w:rPr>
          <w:rFonts w:ascii="Arial Narrow" w:hAnsi="Arial Narrow" w:cs="Arial"/>
          <w:sz w:val="18"/>
          <w:szCs w:val="20"/>
          <w:lang w:eastAsia="en-US"/>
        </w:rPr>
        <w:t xml:space="preserve">intention to treat; </w:t>
      </w:r>
      <w:r w:rsidRPr="005F4582">
        <w:rPr>
          <w:rFonts w:ascii="Arial Narrow" w:hAnsi="Arial Narrow" w:cs="Arial"/>
          <w:sz w:val="18"/>
          <w:szCs w:val="20"/>
          <w:lang w:eastAsia="en-US"/>
        </w:rPr>
        <w:t xml:space="preserve">KM </w:t>
      </w:r>
      <w:r w:rsidR="005B3CB5" w:rsidRPr="005F4582">
        <w:rPr>
          <w:rFonts w:ascii="Arial Narrow" w:hAnsi="Arial Narrow" w:cs="Arial"/>
          <w:sz w:val="18"/>
          <w:szCs w:val="20"/>
          <w:lang w:eastAsia="en-US"/>
        </w:rPr>
        <w:t xml:space="preserve">Kaplan Meier; </w:t>
      </w:r>
      <w:r w:rsidRPr="005F4582">
        <w:rPr>
          <w:rFonts w:ascii="Arial Narrow" w:hAnsi="Arial Narrow" w:cs="Arial"/>
          <w:sz w:val="18"/>
          <w:szCs w:val="20"/>
          <w:lang w:eastAsia="en-US"/>
        </w:rPr>
        <w:t xml:space="preserve">OS </w:t>
      </w:r>
      <w:r w:rsidR="005B3CB5" w:rsidRPr="005F4582">
        <w:rPr>
          <w:rFonts w:ascii="Arial Narrow" w:hAnsi="Arial Narrow" w:cs="Arial"/>
          <w:sz w:val="18"/>
          <w:szCs w:val="20"/>
          <w:lang w:eastAsia="en-US"/>
        </w:rPr>
        <w:t xml:space="preserve">overall survival; </w:t>
      </w:r>
      <w:r w:rsidR="00C84C75" w:rsidRPr="005F4582">
        <w:rPr>
          <w:rFonts w:ascii="Arial Narrow" w:hAnsi="Arial Narrow" w:cs="Arial"/>
          <w:sz w:val="18"/>
          <w:szCs w:val="20"/>
          <w:lang w:eastAsia="en-US"/>
        </w:rPr>
        <w:t xml:space="preserve">QALY </w:t>
      </w:r>
      <w:r w:rsidR="005B3CB5" w:rsidRPr="005F4582">
        <w:rPr>
          <w:rFonts w:ascii="Arial Narrow" w:hAnsi="Arial Narrow" w:cs="Arial"/>
          <w:sz w:val="18"/>
          <w:szCs w:val="20"/>
          <w:lang w:eastAsia="en-US"/>
        </w:rPr>
        <w:t xml:space="preserve">quality adjusted life year; </w:t>
      </w:r>
      <w:r w:rsidRPr="005F4582">
        <w:rPr>
          <w:rFonts w:ascii="Arial Narrow" w:hAnsi="Arial Narrow" w:cs="Arial"/>
          <w:sz w:val="18"/>
          <w:szCs w:val="20"/>
          <w:lang w:eastAsia="en-US"/>
        </w:rPr>
        <w:t xml:space="preserve">RPSFT </w:t>
      </w:r>
      <w:r w:rsidR="005B3CB5" w:rsidRPr="005F4582">
        <w:rPr>
          <w:rFonts w:ascii="Arial Narrow" w:hAnsi="Arial Narrow" w:cs="Arial"/>
          <w:sz w:val="18"/>
          <w:szCs w:val="20"/>
          <w:lang w:eastAsia="en-US"/>
        </w:rPr>
        <w:t>rank preserving structural failure of time</w:t>
      </w:r>
    </w:p>
    <w:p w:rsidR="0012749D" w:rsidRPr="005F4582" w:rsidRDefault="0012749D" w:rsidP="00C44909">
      <w:pPr>
        <w:keepNext/>
        <w:keepLines/>
        <w:snapToGrid w:val="0"/>
        <w:jc w:val="both"/>
        <w:rPr>
          <w:rFonts w:ascii="Arial Narrow" w:hAnsi="Arial Narrow" w:cs="Arial"/>
          <w:sz w:val="18"/>
          <w:szCs w:val="20"/>
          <w:lang w:eastAsia="en-US"/>
        </w:rPr>
      </w:pPr>
      <w:r w:rsidRPr="005F4582">
        <w:rPr>
          <w:rFonts w:ascii="Arial Narrow" w:hAnsi="Arial Narrow" w:cs="Arial"/>
          <w:sz w:val="18"/>
          <w:szCs w:val="20"/>
          <w:lang w:eastAsia="en-US"/>
        </w:rPr>
        <w:t xml:space="preserve">Source: Compiled during the evaluation. Paragraph references refer to the </w:t>
      </w:r>
      <w:proofErr w:type="spellStart"/>
      <w:r w:rsidR="004545D9" w:rsidRPr="005F4582">
        <w:rPr>
          <w:rFonts w:ascii="Arial Narrow" w:hAnsi="Arial Narrow" w:cs="Arial"/>
          <w:sz w:val="18"/>
          <w:szCs w:val="20"/>
          <w:lang w:eastAsia="en-US"/>
        </w:rPr>
        <w:t>durvalumab</w:t>
      </w:r>
      <w:proofErr w:type="spellEnd"/>
      <w:r w:rsidR="004545D9" w:rsidRPr="005F4582">
        <w:rPr>
          <w:rFonts w:ascii="Arial Narrow" w:hAnsi="Arial Narrow" w:cs="Arial"/>
          <w:sz w:val="18"/>
          <w:szCs w:val="20"/>
          <w:lang w:eastAsia="en-US"/>
        </w:rPr>
        <w:t xml:space="preserve"> </w:t>
      </w:r>
      <w:r w:rsidR="00980584" w:rsidRPr="005F4582">
        <w:rPr>
          <w:rFonts w:ascii="Arial Narrow" w:hAnsi="Arial Narrow" w:cs="Arial"/>
          <w:sz w:val="18"/>
          <w:szCs w:val="20"/>
          <w:lang w:eastAsia="en-US"/>
        </w:rPr>
        <w:t>PSD</w:t>
      </w:r>
      <w:r w:rsidR="00193999" w:rsidRPr="005F4582">
        <w:rPr>
          <w:rFonts w:ascii="Arial Narrow" w:hAnsi="Arial Narrow" w:cs="Arial"/>
          <w:sz w:val="18"/>
          <w:szCs w:val="20"/>
          <w:lang w:eastAsia="en-US"/>
        </w:rPr>
        <w:t>, July 2019</w:t>
      </w:r>
      <w:r w:rsidR="00421BFF" w:rsidRPr="005F4582">
        <w:rPr>
          <w:rFonts w:ascii="Arial Narrow" w:hAnsi="Arial Narrow" w:cs="Arial"/>
          <w:sz w:val="18"/>
          <w:szCs w:val="20"/>
          <w:lang w:eastAsia="en-US"/>
        </w:rPr>
        <w:t xml:space="preserve"> PBAC meeting</w:t>
      </w:r>
      <w:r w:rsidR="00CF0E42" w:rsidRPr="005F4582">
        <w:rPr>
          <w:rFonts w:ascii="Arial Narrow" w:hAnsi="Arial Narrow" w:cs="Arial"/>
          <w:sz w:val="18"/>
          <w:szCs w:val="20"/>
          <w:lang w:eastAsia="en-US"/>
        </w:rPr>
        <w:t>.</w:t>
      </w:r>
      <w:r w:rsidR="000C5F95" w:rsidRPr="005F4582">
        <w:rPr>
          <w:rFonts w:ascii="Arial Narrow" w:hAnsi="Arial Narrow" w:cs="Arial"/>
          <w:color w:val="FF0000"/>
          <w:sz w:val="18"/>
          <w:szCs w:val="20"/>
          <w:lang w:eastAsia="en-US"/>
        </w:rPr>
        <w:t xml:space="preserve"> </w:t>
      </w:r>
    </w:p>
    <w:p w:rsidR="0012749D" w:rsidRPr="005F4582" w:rsidRDefault="0012749D" w:rsidP="0012749D">
      <w:pPr>
        <w:spacing w:after="120"/>
        <w:ind w:left="720" w:hanging="720"/>
        <w:rPr>
          <w:rFonts w:asciiTheme="minorHAnsi" w:eastAsiaTheme="minorHAnsi" w:hAnsiTheme="minorHAnsi" w:cstheme="minorBidi"/>
          <w:szCs w:val="22"/>
        </w:rPr>
      </w:pPr>
    </w:p>
    <w:p w:rsidR="000B558D" w:rsidRPr="005F4582" w:rsidRDefault="008D7A41" w:rsidP="00BD6FC5">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5F4582">
        <w:rPr>
          <w:rFonts w:asciiTheme="minorHAnsi" w:hAnsiTheme="minorHAnsi"/>
          <w:sz w:val="32"/>
          <w:szCs w:val="32"/>
        </w:rPr>
        <w:lastRenderedPageBreak/>
        <w:t>C</w:t>
      </w:r>
      <w:r w:rsidR="00D84934" w:rsidRPr="005F4582">
        <w:rPr>
          <w:rFonts w:asciiTheme="minorHAnsi" w:hAnsiTheme="minorHAnsi"/>
          <w:sz w:val="32"/>
          <w:szCs w:val="32"/>
        </w:rPr>
        <w:t>onsideration of the evidence</w:t>
      </w:r>
    </w:p>
    <w:p w:rsidR="00DF20EA" w:rsidRDefault="00DF20EA" w:rsidP="00ED512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Sponsor hearing </w:t>
      </w:r>
    </w:p>
    <w:p w:rsidR="00DF20EA" w:rsidRPr="00DF20EA" w:rsidRDefault="00DF20EA" w:rsidP="00DF20EA">
      <w:pPr>
        <w:widowControl w:val="0"/>
        <w:numPr>
          <w:ilvl w:val="1"/>
          <w:numId w:val="1"/>
        </w:numPr>
        <w:spacing w:after="120"/>
        <w:ind w:left="720"/>
        <w:jc w:val="both"/>
        <w:rPr>
          <w:rFonts w:asciiTheme="minorHAnsi" w:hAnsiTheme="minorHAnsi" w:cs="Arial"/>
          <w:bCs/>
          <w:snapToGrid w:val="0"/>
        </w:rPr>
      </w:pPr>
      <w:r w:rsidRPr="00DF20EA">
        <w:rPr>
          <w:rFonts w:asciiTheme="minorHAnsi" w:hAnsiTheme="minorHAnsi" w:cs="Arial"/>
          <w:bCs/>
          <w:snapToGrid w:val="0"/>
        </w:rPr>
        <w:t>There was no hearing for this item as it was a minor submission.</w:t>
      </w:r>
    </w:p>
    <w:p w:rsidR="00ED512E" w:rsidRPr="005F4582" w:rsidRDefault="00ED512E" w:rsidP="00ED512E">
      <w:pPr>
        <w:pStyle w:val="Heading2"/>
        <w:keepLines/>
        <w:spacing w:before="240" w:after="120"/>
        <w:rPr>
          <w:rFonts w:asciiTheme="minorHAnsi" w:eastAsiaTheme="majorEastAsia" w:hAnsiTheme="minorHAnsi" w:cstheme="majorBidi"/>
          <w:sz w:val="28"/>
          <w:szCs w:val="28"/>
          <w:lang w:eastAsia="en-US"/>
        </w:rPr>
      </w:pPr>
      <w:r w:rsidRPr="005F4582">
        <w:rPr>
          <w:rFonts w:asciiTheme="minorHAnsi" w:eastAsiaTheme="majorEastAsia" w:hAnsiTheme="minorHAnsi" w:cstheme="majorBidi"/>
          <w:sz w:val="28"/>
          <w:szCs w:val="28"/>
          <w:lang w:eastAsia="en-US"/>
        </w:rPr>
        <w:t>Consumer comments</w:t>
      </w:r>
    </w:p>
    <w:p w:rsidR="00ED512E" w:rsidRPr="005F4582" w:rsidRDefault="00ED512E" w:rsidP="00ED512E">
      <w:pPr>
        <w:pStyle w:val="Bodytextitalics"/>
        <w:jc w:val="both"/>
        <w:rPr>
          <w:rFonts w:eastAsia="Times New Roman" w:cstheme="minorHAnsi"/>
          <w:i w:val="0"/>
          <w:snapToGrid w:val="0"/>
          <w:szCs w:val="24"/>
          <w:lang w:eastAsia="en-US"/>
        </w:rPr>
      </w:pPr>
      <w:r w:rsidRPr="005F4582">
        <w:rPr>
          <w:rFonts w:eastAsia="Times New Roman" w:cstheme="minorHAnsi"/>
          <w:i w:val="0"/>
          <w:snapToGrid w:val="0"/>
          <w:szCs w:val="24"/>
          <w:lang w:eastAsia="en-US"/>
        </w:rPr>
        <w:t>The PBAC noted and welcomed the input from individuals (2), and organisations (2) via the Consumer Comments facility on the PBS website.</w:t>
      </w:r>
      <w:r w:rsidR="00F344FF" w:rsidRPr="005F4582">
        <w:rPr>
          <w:rFonts w:eastAsia="Times New Roman" w:cstheme="minorHAnsi"/>
          <w:i w:val="0"/>
          <w:snapToGrid w:val="0"/>
          <w:szCs w:val="24"/>
          <w:lang w:eastAsia="en-US"/>
        </w:rPr>
        <w:t xml:space="preserve"> </w:t>
      </w:r>
      <w:r w:rsidR="00982FFB" w:rsidRPr="005F4582">
        <w:rPr>
          <w:rFonts w:eastAsia="Times New Roman" w:cstheme="minorHAnsi"/>
          <w:i w:val="0"/>
          <w:snapToGrid w:val="0"/>
          <w:szCs w:val="24"/>
          <w:lang w:eastAsia="en-US"/>
        </w:rPr>
        <w:t xml:space="preserve">The comments supported the listing of </w:t>
      </w:r>
      <w:proofErr w:type="spellStart"/>
      <w:r w:rsidR="00982FFB" w:rsidRPr="005F4582">
        <w:rPr>
          <w:rFonts w:eastAsia="Times New Roman" w:cstheme="minorHAnsi"/>
          <w:i w:val="0"/>
          <w:snapToGrid w:val="0"/>
          <w:szCs w:val="24"/>
          <w:lang w:eastAsia="en-US"/>
        </w:rPr>
        <w:t>durvalumab</w:t>
      </w:r>
      <w:proofErr w:type="spellEnd"/>
      <w:r w:rsidR="00982FFB" w:rsidRPr="005F4582">
        <w:rPr>
          <w:rFonts w:eastAsia="Times New Roman" w:cstheme="minorHAnsi"/>
          <w:i w:val="0"/>
          <w:snapToGrid w:val="0"/>
          <w:szCs w:val="24"/>
          <w:lang w:eastAsia="en-US"/>
        </w:rPr>
        <w:t xml:space="preserve"> based on patient experience</w:t>
      </w:r>
      <w:r w:rsidR="006E15E7" w:rsidRPr="005F4582">
        <w:rPr>
          <w:rFonts w:eastAsia="Times New Roman" w:cstheme="minorHAnsi"/>
          <w:i w:val="0"/>
          <w:snapToGrid w:val="0"/>
          <w:szCs w:val="24"/>
          <w:lang w:eastAsia="en-US"/>
        </w:rPr>
        <w:t xml:space="preserve"> and</w:t>
      </w:r>
      <w:r w:rsidR="00982FFB" w:rsidRPr="005F4582">
        <w:rPr>
          <w:rFonts w:eastAsia="Times New Roman" w:cstheme="minorHAnsi"/>
          <w:i w:val="0"/>
          <w:snapToGrid w:val="0"/>
          <w:szCs w:val="24"/>
          <w:lang w:eastAsia="en-US"/>
        </w:rPr>
        <w:t xml:space="preserve"> </w:t>
      </w:r>
      <w:r w:rsidR="00FB6A71" w:rsidRPr="005F4582">
        <w:rPr>
          <w:rFonts w:eastAsia="Times New Roman" w:cstheme="minorHAnsi"/>
          <w:i w:val="0"/>
          <w:snapToGrid w:val="0"/>
          <w:szCs w:val="24"/>
          <w:lang w:eastAsia="en-US"/>
        </w:rPr>
        <w:t xml:space="preserve">its </w:t>
      </w:r>
      <w:r w:rsidR="00982FFB" w:rsidRPr="005F4582">
        <w:rPr>
          <w:rFonts w:eastAsia="Times New Roman" w:cstheme="minorHAnsi"/>
          <w:i w:val="0"/>
          <w:snapToGrid w:val="0"/>
          <w:szCs w:val="24"/>
          <w:lang w:eastAsia="en-US"/>
        </w:rPr>
        <w:t xml:space="preserve">potential to be considered a treatment with curative intent. </w:t>
      </w:r>
    </w:p>
    <w:p w:rsidR="00ED512E" w:rsidRPr="005F4582" w:rsidRDefault="00982FFB" w:rsidP="00ED512E">
      <w:pPr>
        <w:pStyle w:val="Bodytextitalics"/>
        <w:jc w:val="both"/>
        <w:rPr>
          <w:rFonts w:eastAsia="Times New Roman" w:cstheme="minorHAnsi"/>
          <w:i w:val="0"/>
          <w:snapToGrid w:val="0"/>
          <w:szCs w:val="24"/>
          <w:lang w:eastAsia="en-US"/>
        </w:rPr>
      </w:pPr>
      <w:r w:rsidRPr="005F4582">
        <w:rPr>
          <w:rFonts w:cs="Arial"/>
          <w:bCs/>
          <w:i w:val="0"/>
          <w:snapToGrid w:val="0"/>
        </w:rPr>
        <w:t xml:space="preserve">The Medical Oncology Group of Australia (MOGA) also expressed its strong support for the </w:t>
      </w:r>
      <w:proofErr w:type="spellStart"/>
      <w:r w:rsidRPr="005F4582">
        <w:rPr>
          <w:rFonts w:cs="Arial"/>
          <w:bCs/>
          <w:i w:val="0"/>
          <w:snapToGrid w:val="0"/>
        </w:rPr>
        <w:t>durvalumab</w:t>
      </w:r>
      <w:proofErr w:type="spellEnd"/>
      <w:r w:rsidRPr="005F4582">
        <w:rPr>
          <w:rFonts w:cs="Arial"/>
          <w:bCs/>
          <w:i w:val="0"/>
          <w:snapToGrid w:val="0"/>
        </w:rPr>
        <w:t xml:space="preserve"> </w:t>
      </w:r>
      <w:r w:rsidR="00770FFE" w:rsidRPr="005F4582">
        <w:rPr>
          <w:rFonts w:cs="Arial"/>
          <w:bCs/>
          <w:i w:val="0"/>
          <w:snapToGrid w:val="0"/>
        </w:rPr>
        <w:t>re</w:t>
      </w:r>
      <w:r w:rsidRPr="005F4582">
        <w:rPr>
          <w:rFonts w:cs="Arial"/>
          <w:bCs/>
          <w:i w:val="0"/>
          <w:snapToGrid w:val="0"/>
        </w:rPr>
        <w:t xml:space="preserve">submission, categorising it as one of the therapies of “highest priority for PBS listing” on the basis of the PACIFIC trial. The PBAC noted that the MOGA presented a European Society for Medical Oncology Magnitude of Clinical Benefit Scale (ESMO-MCBS) for </w:t>
      </w:r>
      <w:proofErr w:type="spellStart"/>
      <w:r w:rsidRPr="005F4582">
        <w:rPr>
          <w:rFonts w:cs="Arial"/>
          <w:bCs/>
          <w:i w:val="0"/>
          <w:snapToGrid w:val="0"/>
        </w:rPr>
        <w:t>durvalumab</w:t>
      </w:r>
      <w:proofErr w:type="spellEnd"/>
      <w:r w:rsidRPr="005F4582">
        <w:rPr>
          <w:rFonts w:cs="Arial"/>
          <w:bCs/>
          <w:i w:val="0"/>
          <w:snapToGrid w:val="0"/>
        </w:rPr>
        <w:t>, which was limited to 3 (out of a maximum of 5, where 5 and 4 represent the grades with substantial improvement)</w:t>
      </w:r>
      <w:r w:rsidRPr="005F4582">
        <w:rPr>
          <w:rStyle w:val="FootnoteReference"/>
          <w:rFonts w:cs="Arial"/>
          <w:bCs/>
          <w:i w:val="0"/>
          <w:snapToGrid w:val="0"/>
        </w:rPr>
        <w:footnoteReference w:id="1"/>
      </w:r>
      <w:r w:rsidRPr="005F4582">
        <w:rPr>
          <w:rFonts w:cs="Arial"/>
          <w:bCs/>
          <w:i w:val="0"/>
          <w:snapToGrid w:val="0"/>
        </w:rPr>
        <w:t>, based on</w:t>
      </w:r>
      <w:r w:rsidR="00421BFF" w:rsidRPr="005F4582">
        <w:rPr>
          <w:rFonts w:cs="Arial"/>
          <w:bCs/>
          <w:i w:val="0"/>
          <w:snapToGrid w:val="0"/>
        </w:rPr>
        <w:t xml:space="preserve"> the</w:t>
      </w:r>
      <w:r w:rsidRPr="005F4582">
        <w:rPr>
          <w:rFonts w:cs="Arial"/>
          <w:bCs/>
          <w:i w:val="0"/>
          <w:snapToGrid w:val="0"/>
        </w:rPr>
        <w:t xml:space="preserve"> </w:t>
      </w:r>
      <w:r w:rsidR="00770FFE" w:rsidRPr="005F4582">
        <w:rPr>
          <w:rFonts w:cs="Arial"/>
          <w:bCs/>
          <w:i w:val="0"/>
          <w:snapToGrid w:val="0"/>
        </w:rPr>
        <w:t xml:space="preserve">progression free survival (PFS) outcome </w:t>
      </w:r>
      <w:r w:rsidRPr="005F4582">
        <w:rPr>
          <w:rFonts w:cs="Arial"/>
          <w:bCs/>
          <w:i w:val="0"/>
          <w:snapToGrid w:val="0"/>
        </w:rPr>
        <w:t>compar</w:t>
      </w:r>
      <w:r w:rsidR="00770FFE" w:rsidRPr="005F6BE7">
        <w:rPr>
          <w:rFonts w:cs="Arial"/>
          <w:bCs/>
          <w:i w:val="0"/>
          <w:snapToGrid w:val="0"/>
        </w:rPr>
        <w:t>ed</w:t>
      </w:r>
      <w:r w:rsidR="00ED1377" w:rsidRPr="005F6BE7">
        <w:rPr>
          <w:rFonts w:cs="Arial"/>
          <w:bCs/>
          <w:i w:val="0"/>
          <w:snapToGrid w:val="0"/>
        </w:rPr>
        <w:t xml:space="preserve"> </w:t>
      </w:r>
      <w:r w:rsidR="00421BFF" w:rsidRPr="005F4582">
        <w:rPr>
          <w:rFonts w:cs="Arial"/>
          <w:bCs/>
          <w:i w:val="0"/>
          <w:snapToGrid w:val="0"/>
        </w:rPr>
        <w:t>with</w:t>
      </w:r>
      <w:r w:rsidR="0078002B" w:rsidRPr="005F4582">
        <w:rPr>
          <w:rFonts w:cs="Arial"/>
          <w:bCs/>
          <w:i w:val="0"/>
          <w:snapToGrid w:val="0"/>
        </w:rPr>
        <w:t xml:space="preserve"> best supportive care</w:t>
      </w:r>
      <w:r w:rsidR="00A51EED" w:rsidRPr="005F4582">
        <w:rPr>
          <w:rFonts w:cs="Arial"/>
          <w:bCs/>
          <w:i w:val="0"/>
          <w:snapToGrid w:val="0"/>
        </w:rPr>
        <w:t xml:space="preserve"> (BSC)</w:t>
      </w:r>
      <w:r w:rsidRPr="005F4582">
        <w:rPr>
          <w:rFonts w:cs="Arial"/>
          <w:bCs/>
          <w:i w:val="0"/>
          <w:snapToGrid w:val="0"/>
        </w:rPr>
        <w:t>.</w:t>
      </w:r>
    </w:p>
    <w:p w:rsidR="005A3173" w:rsidRPr="005F4582" w:rsidRDefault="005A3173" w:rsidP="00966D0D">
      <w:pPr>
        <w:pStyle w:val="Heading2"/>
        <w:keepLines/>
        <w:spacing w:before="240" w:after="120"/>
        <w:rPr>
          <w:rFonts w:asciiTheme="minorHAnsi" w:eastAsiaTheme="majorEastAsia" w:hAnsiTheme="minorHAnsi" w:cstheme="majorBidi"/>
          <w:sz w:val="28"/>
          <w:szCs w:val="28"/>
          <w:lang w:eastAsia="en-US"/>
        </w:rPr>
      </w:pPr>
      <w:r w:rsidRPr="005F4582">
        <w:rPr>
          <w:rFonts w:asciiTheme="minorHAnsi" w:eastAsiaTheme="majorEastAsia" w:hAnsiTheme="minorHAnsi" w:cstheme="majorBidi"/>
          <w:sz w:val="28"/>
          <w:szCs w:val="28"/>
          <w:lang w:eastAsia="en-US"/>
        </w:rPr>
        <w:t>Economic analysis</w:t>
      </w:r>
      <w:r w:rsidR="009803E4" w:rsidRPr="005F4582">
        <w:rPr>
          <w:rFonts w:asciiTheme="minorHAnsi" w:eastAsiaTheme="majorEastAsia" w:hAnsiTheme="minorHAnsi" w:cstheme="majorBidi"/>
          <w:sz w:val="28"/>
          <w:szCs w:val="28"/>
          <w:lang w:eastAsia="en-US"/>
        </w:rPr>
        <w:t xml:space="preserve"> </w:t>
      </w:r>
    </w:p>
    <w:p w:rsidR="00977BF3" w:rsidRPr="005F4582" w:rsidRDefault="00CB772D" w:rsidP="00E45453">
      <w:pPr>
        <w:pStyle w:val="Bodytextitalics"/>
        <w:jc w:val="both"/>
        <w:rPr>
          <w:rFonts w:cstheme="minorHAnsi"/>
          <w:szCs w:val="24"/>
        </w:rPr>
      </w:pPr>
      <w:r w:rsidRPr="005F4582">
        <w:rPr>
          <w:rFonts w:eastAsia="Times New Roman" w:cstheme="minorHAnsi"/>
          <w:i w:val="0"/>
          <w:snapToGrid w:val="0"/>
          <w:szCs w:val="24"/>
          <w:lang w:eastAsia="en-US"/>
        </w:rPr>
        <w:t xml:space="preserve">The minor </w:t>
      </w:r>
      <w:r w:rsidR="00FB4061" w:rsidRPr="005F4582">
        <w:rPr>
          <w:rFonts w:eastAsia="Times New Roman" w:cstheme="minorHAnsi"/>
          <w:i w:val="0"/>
          <w:snapToGrid w:val="0"/>
          <w:szCs w:val="24"/>
          <w:lang w:eastAsia="en-US"/>
        </w:rPr>
        <w:t>re</w:t>
      </w:r>
      <w:r w:rsidRPr="005F4582">
        <w:rPr>
          <w:rFonts w:eastAsia="Times New Roman" w:cstheme="minorHAnsi"/>
          <w:i w:val="0"/>
          <w:snapToGrid w:val="0"/>
          <w:szCs w:val="24"/>
          <w:lang w:eastAsia="en-US"/>
        </w:rPr>
        <w:t>submission presented a re-specified economic model</w:t>
      </w:r>
      <w:r w:rsidR="00995C00" w:rsidRPr="005F4582">
        <w:rPr>
          <w:rFonts w:eastAsia="Times New Roman" w:cstheme="minorHAnsi"/>
          <w:i w:val="0"/>
          <w:snapToGrid w:val="0"/>
          <w:szCs w:val="24"/>
          <w:lang w:eastAsia="en-US"/>
        </w:rPr>
        <w:t xml:space="preserve"> for </w:t>
      </w:r>
      <w:r w:rsidR="007814C2" w:rsidRPr="005F4582">
        <w:rPr>
          <w:rFonts w:eastAsia="Times New Roman" w:cstheme="minorHAnsi"/>
          <w:i w:val="0"/>
          <w:snapToGrid w:val="0"/>
          <w:szCs w:val="24"/>
          <w:lang w:eastAsia="en-US"/>
        </w:rPr>
        <w:t>an intention to treat (</w:t>
      </w:r>
      <w:r w:rsidR="00995C00" w:rsidRPr="005F4582">
        <w:rPr>
          <w:rFonts w:eastAsia="Times New Roman" w:cstheme="minorHAnsi"/>
          <w:i w:val="0"/>
          <w:snapToGrid w:val="0"/>
          <w:szCs w:val="24"/>
          <w:lang w:eastAsia="en-US"/>
        </w:rPr>
        <w:t>ITT</w:t>
      </w:r>
      <w:r w:rsidR="007814C2" w:rsidRPr="005F4582">
        <w:rPr>
          <w:rFonts w:eastAsia="Times New Roman" w:cstheme="minorHAnsi"/>
          <w:i w:val="0"/>
          <w:snapToGrid w:val="0"/>
          <w:szCs w:val="24"/>
          <w:lang w:eastAsia="en-US"/>
        </w:rPr>
        <w:t>)</w:t>
      </w:r>
      <w:r w:rsidR="00995C00" w:rsidRPr="005F4582">
        <w:rPr>
          <w:rFonts w:eastAsia="Times New Roman" w:cstheme="minorHAnsi"/>
          <w:i w:val="0"/>
          <w:snapToGrid w:val="0"/>
          <w:szCs w:val="24"/>
          <w:lang w:eastAsia="en-US"/>
        </w:rPr>
        <w:t xml:space="preserve"> </w:t>
      </w:r>
      <w:r w:rsidR="007814C2" w:rsidRPr="005F4582">
        <w:rPr>
          <w:rFonts w:eastAsia="Times New Roman" w:cstheme="minorHAnsi"/>
          <w:i w:val="0"/>
          <w:snapToGrid w:val="0"/>
          <w:szCs w:val="24"/>
          <w:lang w:eastAsia="en-US"/>
        </w:rPr>
        <w:t xml:space="preserve">population </w:t>
      </w:r>
      <w:r w:rsidR="00995C00" w:rsidRPr="005F4582">
        <w:rPr>
          <w:rFonts w:eastAsia="Times New Roman" w:cstheme="minorHAnsi"/>
          <w:i w:val="0"/>
          <w:snapToGrid w:val="0"/>
          <w:szCs w:val="24"/>
          <w:lang w:eastAsia="en-US"/>
        </w:rPr>
        <w:t xml:space="preserve">and </w:t>
      </w:r>
      <w:r w:rsidR="007814C2" w:rsidRPr="005F4582">
        <w:rPr>
          <w:rFonts w:eastAsia="Times New Roman" w:cstheme="minorHAnsi"/>
          <w:i w:val="0"/>
          <w:snapToGrid w:val="0"/>
          <w:szCs w:val="24"/>
          <w:lang w:eastAsia="en-US"/>
        </w:rPr>
        <w:t>a rank preserving structural failure of time (</w:t>
      </w:r>
      <w:r w:rsidR="00995C00" w:rsidRPr="005F4582">
        <w:rPr>
          <w:rFonts w:eastAsia="Times New Roman" w:cstheme="minorHAnsi"/>
          <w:i w:val="0"/>
          <w:snapToGrid w:val="0"/>
          <w:szCs w:val="24"/>
          <w:lang w:eastAsia="en-US"/>
        </w:rPr>
        <w:t>RP</w:t>
      </w:r>
      <w:r w:rsidR="007814C2" w:rsidRPr="005F4582">
        <w:rPr>
          <w:rFonts w:eastAsia="Times New Roman" w:cstheme="minorHAnsi"/>
          <w:i w:val="0"/>
          <w:snapToGrid w:val="0"/>
          <w:szCs w:val="24"/>
          <w:lang w:eastAsia="en-US"/>
        </w:rPr>
        <w:t>SFT)</w:t>
      </w:r>
      <w:r w:rsidR="00995C00" w:rsidRPr="005F4582">
        <w:rPr>
          <w:rFonts w:eastAsia="Times New Roman" w:cstheme="minorHAnsi"/>
          <w:i w:val="0"/>
          <w:snapToGrid w:val="0"/>
          <w:szCs w:val="24"/>
          <w:lang w:eastAsia="en-US"/>
        </w:rPr>
        <w:t>-adjusted analysis,</w:t>
      </w:r>
      <w:r w:rsidRPr="005F4582">
        <w:rPr>
          <w:rFonts w:eastAsia="Times New Roman" w:cstheme="minorHAnsi"/>
          <w:i w:val="0"/>
          <w:snapToGrid w:val="0"/>
          <w:szCs w:val="24"/>
          <w:lang w:eastAsia="en-US"/>
        </w:rPr>
        <w:t xml:space="preserve"> consistent with the multivariate analysis considered reasonable by the PBAC in July 2019. </w:t>
      </w:r>
    </w:p>
    <w:p w:rsidR="00CB772D" w:rsidRPr="005F4582" w:rsidRDefault="00CB772D" w:rsidP="00E45453">
      <w:pPr>
        <w:pStyle w:val="Bodytextitalics"/>
        <w:jc w:val="both"/>
        <w:rPr>
          <w:rFonts w:cstheme="minorHAnsi"/>
          <w:szCs w:val="24"/>
        </w:rPr>
      </w:pPr>
      <w:r w:rsidRPr="005F4582">
        <w:rPr>
          <w:rFonts w:eastAsia="Times New Roman" w:cstheme="minorHAnsi"/>
          <w:i w:val="0"/>
          <w:snapToGrid w:val="0"/>
          <w:szCs w:val="24"/>
          <w:lang w:eastAsia="en-US"/>
        </w:rPr>
        <w:t xml:space="preserve">The </w:t>
      </w:r>
      <w:r w:rsidR="008C7C30" w:rsidRPr="005F4582">
        <w:rPr>
          <w:rFonts w:eastAsia="Times New Roman" w:cstheme="minorHAnsi"/>
          <w:i w:val="0"/>
          <w:snapToGrid w:val="0"/>
          <w:szCs w:val="24"/>
          <w:lang w:eastAsia="en-US"/>
        </w:rPr>
        <w:t xml:space="preserve">re-specified economic model </w:t>
      </w:r>
      <w:r w:rsidR="00FB4061" w:rsidRPr="005F4582">
        <w:rPr>
          <w:rFonts w:eastAsia="Times New Roman" w:cstheme="minorHAnsi"/>
          <w:i w:val="0"/>
          <w:snapToGrid w:val="0"/>
          <w:szCs w:val="24"/>
          <w:lang w:eastAsia="en-US"/>
        </w:rPr>
        <w:t xml:space="preserve">in the minor resubmission </w:t>
      </w:r>
      <w:r w:rsidR="008C7C30" w:rsidRPr="005F4582">
        <w:rPr>
          <w:rFonts w:eastAsia="Times New Roman" w:cstheme="minorHAnsi"/>
          <w:i w:val="0"/>
          <w:snapToGrid w:val="0"/>
          <w:szCs w:val="24"/>
          <w:lang w:eastAsia="en-US"/>
        </w:rPr>
        <w:t>converg</w:t>
      </w:r>
      <w:r w:rsidR="005826AE" w:rsidRPr="005F4582">
        <w:rPr>
          <w:rFonts w:eastAsia="Times New Roman" w:cstheme="minorHAnsi"/>
          <w:i w:val="0"/>
          <w:snapToGrid w:val="0"/>
          <w:szCs w:val="24"/>
          <w:lang w:eastAsia="en-US"/>
        </w:rPr>
        <w:t>ed</w:t>
      </w:r>
      <w:r w:rsidR="00770FFE" w:rsidRPr="005F4582">
        <w:rPr>
          <w:rFonts w:eastAsia="Times New Roman" w:cstheme="minorHAnsi"/>
          <w:i w:val="0"/>
          <w:snapToGrid w:val="0"/>
          <w:szCs w:val="24"/>
          <w:lang w:eastAsia="en-US"/>
        </w:rPr>
        <w:t xml:space="preserve"> </w:t>
      </w:r>
      <w:r w:rsidR="008C7C30" w:rsidRPr="005F4582">
        <w:rPr>
          <w:rFonts w:eastAsia="Times New Roman" w:cstheme="minorHAnsi"/>
          <w:i w:val="0"/>
          <w:snapToGrid w:val="0"/>
          <w:szCs w:val="24"/>
          <w:lang w:eastAsia="en-US"/>
        </w:rPr>
        <w:t xml:space="preserve">PFS and </w:t>
      </w:r>
      <w:r w:rsidR="00C47716" w:rsidRPr="005F4582">
        <w:rPr>
          <w:rFonts w:eastAsia="Times New Roman" w:cstheme="minorHAnsi"/>
          <w:i w:val="0"/>
          <w:snapToGrid w:val="0"/>
          <w:szCs w:val="24"/>
          <w:lang w:eastAsia="en-US"/>
        </w:rPr>
        <w:t>overall survival (</w:t>
      </w:r>
      <w:r w:rsidR="008C7C30" w:rsidRPr="005F4582">
        <w:rPr>
          <w:rFonts w:eastAsia="Times New Roman" w:cstheme="minorHAnsi"/>
          <w:i w:val="0"/>
          <w:snapToGrid w:val="0"/>
          <w:szCs w:val="24"/>
          <w:lang w:eastAsia="en-US"/>
        </w:rPr>
        <w:t>OS</w:t>
      </w:r>
      <w:r w:rsidR="00C47716" w:rsidRPr="005F4582">
        <w:rPr>
          <w:rFonts w:eastAsia="Times New Roman" w:cstheme="minorHAnsi"/>
          <w:i w:val="0"/>
          <w:snapToGrid w:val="0"/>
          <w:szCs w:val="24"/>
          <w:lang w:eastAsia="en-US"/>
        </w:rPr>
        <w:t>)</w:t>
      </w:r>
      <w:r w:rsidR="008C7C30" w:rsidRPr="005F4582">
        <w:rPr>
          <w:rFonts w:eastAsia="Times New Roman" w:cstheme="minorHAnsi"/>
          <w:i w:val="0"/>
          <w:snapToGrid w:val="0"/>
          <w:szCs w:val="24"/>
          <w:lang w:eastAsia="en-US"/>
        </w:rPr>
        <w:t xml:space="preserve"> </w:t>
      </w:r>
      <w:r w:rsidR="005826AE" w:rsidRPr="005F4582">
        <w:rPr>
          <w:rFonts w:eastAsia="Times New Roman" w:cstheme="minorHAnsi"/>
          <w:i w:val="0"/>
          <w:snapToGrid w:val="0"/>
          <w:szCs w:val="24"/>
          <w:lang w:eastAsia="en-US"/>
        </w:rPr>
        <w:t>from</w:t>
      </w:r>
      <w:r w:rsidR="008C7C30" w:rsidRPr="005F4582">
        <w:rPr>
          <w:rFonts w:eastAsia="Times New Roman" w:cstheme="minorHAnsi"/>
          <w:i w:val="0"/>
          <w:snapToGrid w:val="0"/>
          <w:szCs w:val="24"/>
          <w:lang w:eastAsia="en-US"/>
        </w:rPr>
        <w:t xml:space="preserve"> 5 years </w:t>
      </w:r>
      <w:r w:rsidR="005826AE" w:rsidRPr="005F4582">
        <w:rPr>
          <w:rFonts w:eastAsia="Times New Roman" w:cstheme="minorHAnsi"/>
          <w:i w:val="0"/>
          <w:snapToGrid w:val="0"/>
          <w:szCs w:val="24"/>
          <w:lang w:eastAsia="en-US"/>
        </w:rPr>
        <w:t>to</w:t>
      </w:r>
      <w:r w:rsidR="008C7C30" w:rsidRPr="005F4582">
        <w:rPr>
          <w:rFonts w:eastAsia="Times New Roman" w:cstheme="minorHAnsi"/>
          <w:i w:val="0"/>
          <w:snapToGrid w:val="0"/>
          <w:szCs w:val="24"/>
          <w:lang w:eastAsia="en-US"/>
        </w:rPr>
        <w:t xml:space="preserve"> 10 years, extrapolat</w:t>
      </w:r>
      <w:r w:rsidR="005826AE" w:rsidRPr="005F4582">
        <w:rPr>
          <w:rFonts w:eastAsia="Times New Roman" w:cstheme="minorHAnsi"/>
          <w:i w:val="0"/>
          <w:snapToGrid w:val="0"/>
          <w:szCs w:val="24"/>
          <w:lang w:eastAsia="en-US"/>
        </w:rPr>
        <w:t>ed</w:t>
      </w:r>
      <w:r w:rsidR="008C7C30" w:rsidRPr="005F4582">
        <w:rPr>
          <w:rFonts w:eastAsia="Times New Roman" w:cstheme="minorHAnsi"/>
          <w:i w:val="0"/>
          <w:snapToGrid w:val="0"/>
          <w:szCs w:val="24"/>
          <w:lang w:eastAsia="en-US"/>
        </w:rPr>
        <w:t xml:space="preserve"> OS from 40 months in both treatment arms</w:t>
      </w:r>
      <w:r w:rsidR="00FB4061" w:rsidRPr="005F4582">
        <w:rPr>
          <w:rFonts w:eastAsia="Times New Roman" w:cstheme="minorHAnsi"/>
          <w:i w:val="0"/>
          <w:snapToGrid w:val="0"/>
          <w:szCs w:val="24"/>
          <w:lang w:eastAsia="en-US"/>
        </w:rPr>
        <w:t xml:space="preserve"> and </w:t>
      </w:r>
      <w:r w:rsidR="008C7C30" w:rsidRPr="005F4582">
        <w:rPr>
          <w:rFonts w:eastAsia="Times New Roman" w:cstheme="minorHAnsi"/>
          <w:i w:val="0"/>
          <w:snapToGrid w:val="0"/>
          <w:szCs w:val="24"/>
          <w:lang w:eastAsia="en-US"/>
        </w:rPr>
        <w:t>adjust</w:t>
      </w:r>
      <w:r w:rsidR="00FB4061" w:rsidRPr="005F4582">
        <w:rPr>
          <w:rFonts w:eastAsia="Times New Roman" w:cstheme="minorHAnsi"/>
          <w:i w:val="0"/>
          <w:snapToGrid w:val="0"/>
          <w:szCs w:val="24"/>
          <w:lang w:eastAsia="en-US"/>
        </w:rPr>
        <w:t>ed</w:t>
      </w:r>
      <w:r w:rsidR="008C7C30" w:rsidRPr="005F4582">
        <w:rPr>
          <w:rFonts w:eastAsia="Times New Roman" w:cstheme="minorHAnsi"/>
          <w:i w:val="0"/>
          <w:snapToGrid w:val="0"/>
          <w:szCs w:val="24"/>
          <w:lang w:eastAsia="en-US"/>
        </w:rPr>
        <w:t xml:space="preserve"> the duration of treatment with </w:t>
      </w:r>
      <w:proofErr w:type="spellStart"/>
      <w:r w:rsidR="00E664E1" w:rsidRPr="005F4582">
        <w:rPr>
          <w:rFonts w:eastAsia="Times New Roman" w:cstheme="minorHAnsi"/>
          <w:i w:val="0"/>
          <w:snapToGrid w:val="0"/>
          <w:szCs w:val="24"/>
          <w:lang w:eastAsia="en-US"/>
        </w:rPr>
        <w:t>nivolumab</w:t>
      </w:r>
      <w:proofErr w:type="spellEnd"/>
      <w:r w:rsidR="008C7C30" w:rsidRPr="005F4582">
        <w:rPr>
          <w:rFonts w:eastAsia="Times New Roman" w:cstheme="minorHAnsi"/>
          <w:i w:val="0"/>
          <w:snapToGrid w:val="0"/>
          <w:szCs w:val="24"/>
          <w:lang w:eastAsia="en-US"/>
        </w:rPr>
        <w:t xml:space="preserve"> from 7.5 to 12 doses </w:t>
      </w:r>
      <w:r w:rsidR="00FB4061" w:rsidRPr="005F4582">
        <w:rPr>
          <w:rFonts w:eastAsia="Times New Roman" w:cstheme="minorHAnsi"/>
          <w:i w:val="0"/>
          <w:snapToGrid w:val="0"/>
          <w:szCs w:val="24"/>
          <w:lang w:eastAsia="en-US"/>
        </w:rPr>
        <w:t>as advised by the PBAC (</w:t>
      </w:r>
      <w:r w:rsidR="008C7C30" w:rsidRPr="005F4582">
        <w:rPr>
          <w:i w:val="0"/>
        </w:rPr>
        <w:t xml:space="preserve">paragraph 6.46 &amp; 6.47, </w:t>
      </w:r>
      <w:proofErr w:type="spellStart"/>
      <w:r w:rsidR="00193999" w:rsidRPr="005F4582">
        <w:rPr>
          <w:i w:val="0"/>
          <w:szCs w:val="24"/>
        </w:rPr>
        <w:t>durvalumab</w:t>
      </w:r>
      <w:proofErr w:type="spellEnd"/>
      <w:r w:rsidR="00193999" w:rsidRPr="005F4582">
        <w:rPr>
          <w:i w:val="0"/>
          <w:szCs w:val="24"/>
        </w:rPr>
        <w:t xml:space="preserve"> </w:t>
      </w:r>
      <w:r w:rsidR="00980584" w:rsidRPr="005F4582">
        <w:rPr>
          <w:i w:val="0"/>
          <w:szCs w:val="24"/>
        </w:rPr>
        <w:t>PSD</w:t>
      </w:r>
      <w:r w:rsidR="00193999" w:rsidRPr="005F4582">
        <w:rPr>
          <w:i w:val="0"/>
        </w:rPr>
        <w:t>, July 2019</w:t>
      </w:r>
      <w:r w:rsidR="00ED1377" w:rsidRPr="005F4582">
        <w:rPr>
          <w:i w:val="0"/>
        </w:rPr>
        <w:t xml:space="preserve"> PBAC meeting</w:t>
      </w:r>
      <w:r w:rsidR="008C7C30" w:rsidRPr="005F4582">
        <w:rPr>
          <w:i w:val="0"/>
        </w:rPr>
        <w:t>).</w:t>
      </w:r>
      <w:r w:rsidR="00FB4061" w:rsidRPr="005F4582">
        <w:rPr>
          <w:i w:val="0"/>
        </w:rPr>
        <w:t xml:space="preserve"> The model assumed a </w:t>
      </w:r>
      <w:r w:rsidR="008D562F">
        <w:rPr>
          <w:i w:val="0"/>
          <w:noProof/>
          <w:color w:val="000000"/>
          <w:highlight w:val="black"/>
        </w:rPr>
        <w:t>'''''</w:t>
      </w:r>
      <w:r w:rsidR="00FB4061" w:rsidRPr="000F5639">
        <w:rPr>
          <w:i w:val="0"/>
        </w:rPr>
        <w:t>%</w:t>
      </w:r>
      <w:r w:rsidR="00FB4061" w:rsidRPr="005F4582">
        <w:rPr>
          <w:i w:val="0"/>
        </w:rPr>
        <w:t xml:space="preserve"> rebate on the published price of </w:t>
      </w:r>
      <w:proofErr w:type="spellStart"/>
      <w:r w:rsidR="00FB4061" w:rsidRPr="005F4582">
        <w:rPr>
          <w:i w:val="0"/>
        </w:rPr>
        <w:t>nivolumab</w:t>
      </w:r>
      <w:proofErr w:type="spellEnd"/>
      <w:r w:rsidR="00FB4061" w:rsidRPr="005F4582">
        <w:rPr>
          <w:i w:val="0"/>
        </w:rPr>
        <w:t xml:space="preserve">. </w:t>
      </w:r>
    </w:p>
    <w:p w:rsidR="00670E58" w:rsidRPr="005F4582" w:rsidRDefault="00C32FD0" w:rsidP="00E45453">
      <w:pPr>
        <w:pStyle w:val="Bodytextitalics"/>
        <w:jc w:val="both"/>
        <w:rPr>
          <w:rFonts w:cstheme="minorHAnsi"/>
          <w:szCs w:val="24"/>
        </w:rPr>
      </w:pPr>
      <w:r w:rsidRPr="005F4582">
        <w:rPr>
          <w:rFonts w:cstheme="minorHAnsi"/>
          <w:i w:val="0"/>
          <w:szCs w:val="24"/>
        </w:rPr>
        <w:t>As with t</w:t>
      </w:r>
      <w:r w:rsidR="00CC0FEE" w:rsidRPr="005F4582">
        <w:rPr>
          <w:rFonts w:cstheme="minorHAnsi"/>
          <w:i w:val="0"/>
          <w:szCs w:val="24"/>
        </w:rPr>
        <w:t xml:space="preserve">he July 2019 </w:t>
      </w:r>
      <w:r w:rsidRPr="005F4582">
        <w:rPr>
          <w:rFonts w:cstheme="minorHAnsi"/>
          <w:i w:val="0"/>
          <w:szCs w:val="24"/>
        </w:rPr>
        <w:t xml:space="preserve">resubmission, the </w:t>
      </w:r>
      <w:r w:rsidR="00CC0FEE" w:rsidRPr="005F4582">
        <w:rPr>
          <w:rFonts w:cstheme="minorHAnsi"/>
          <w:i w:val="0"/>
          <w:szCs w:val="24"/>
        </w:rPr>
        <w:t>ITT analysis assumed that 22% and 46% of</w:t>
      </w:r>
      <w:r w:rsidR="00761D93" w:rsidRPr="005F4582">
        <w:rPr>
          <w:rFonts w:cstheme="minorHAnsi"/>
          <w:i w:val="0"/>
          <w:szCs w:val="24"/>
        </w:rPr>
        <w:t xml:space="preserve"> </w:t>
      </w:r>
      <w:r w:rsidR="006434CD" w:rsidRPr="005F4582">
        <w:rPr>
          <w:rFonts w:cstheme="minorHAnsi"/>
          <w:i w:val="0"/>
          <w:szCs w:val="24"/>
        </w:rPr>
        <w:t xml:space="preserve">progressed </w:t>
      </w:r>
      <w:r w:rsidR="00CC0FEE" w:rsidRPr="005F4582">
        <w:rPr>
          <w:rFonts w:cstheme="minorHAnsi"/>
          <w:i w:val="0"/>
          <w:szCs w:val="24"/>
        </w:rPr>
        <w:t xml:space="preserve">patients treated with </w:t>
      </w:r>
      <w:proofErr w:type="spellStart"/>
      <w:r w:rsidR="00CC0FEE" w:rsidRPr="005F4582">
        <w:rPr>
          <w:rFonts w:cstheme="minorHAnsi"/>
          <w:i w:val="0"/>
          <w:szCs w:val="24"/>
        </w:rPr>
        <w:t>durvalumab</w:t>
      </w:r>
      <w:proofErr w:type="spellEnd"/>
      <w:r w:rsidR="00CC0FEE" w:rsidRPr="005F4582">
        <w:rPr>
          <w:rFonts w:cstheme="minorHAnsi"/>
          <w:i w:val="0"/>
          <w:szCs w:val="24"/>
        </w:rPr>
        <w:t xml:space="preserve"> and BSC respectively received subsequent treatment with another PD-(L)1 inhibitor. </w:t>
      </w:r>
      <w:r w:rsidRPr="005F4582">
        <w:rPr>
          <w:rFonts w:cstheme="minorHAnsi"/>
          <w:i w:val="0"/>
          <w:szCs w:val="24"/>
        </w:rPr>
        <w:t xml:space="preserve">The RPSFT-adjusted analysis assumed 0% and 100% of </w:t>
      </w:r>
      <w:r w:rsidR="00A51EED" w:rsidRPr="005F4582">
        <w:rPr>
          <w:rFonts w:cstheme="minorHAnsi"/>
          <w:i w:val="0"/>
          <w:szCs w:val="24"/>
        </w:rPr>
        <w:t xml:space="preserve">progressed </w:t>
      </w:r>
      <w:r w:rsidRPr="005F4582">
        <w:rPr>
          <w:rFonts w:cstheme="minorHAnsi"/>
          <w:i w:val="0"/>
          <w:szCs w:val="24"/>
        </w:rPr>
        <w:t xml:space="preserve">patients treated with </w:t>
      </w:r>
      <w:proofErr w:type="spellStart"/>
      <w:r w:rsidRPr="005F4582">
        <w:rPr>
          <w:rFonts w:cstheme="minorHAnsi"/>
          <w:i w:val="0"/>
          <w:szCs w:val="24"/>
        </w:rPr>
        <w:t>durvalumab</w:t>
      </w:r>
      <w:proofErr w:type="spellEnd"/>
      <w:r w:rsidRPr="005F4582">
        <w:rPr>
          <w:rFonts w:cstheme="minorHAnsi"/>
          <w:i w:val="0"/>
          <w:szCs w:val="24"/>
        </w:rPr>
        <w:t xml:space="preserve"> and BSC respectively received subsequent treatment with another PD-(L)1 inhibitor. </w:t>
      </w:r>
    </w:p>
    <w:p w:rsidR="006F75DF" w:rsidRPr="005F4582" w:rsidRDefault="00D62F1E" w:rsidP="00E45453">
      <w:pPr>
        <w:pStyle w:val="Bodytextitalics"/>
        <w:jc w:val="both"/>
        <w:rPr>
          <w:rFonts w:eastAsia="Times New Roman" w:cstheme="minorHAnsi"/>
          <w:i w:val="0"/>
          <w:snapToGrid w:val="0"/>
          <w:szCs w:val="24"/>
          <w:lang w:eastAsia="en-US"/>
        </w:rPr>
      </w:pPr>
      <w:r w:rsidRPr="005F4582">
        <w:rPr>
          <w:rFonts w:eastAsia="Times New Roman" w:cstheme="minorHAnsi"/>
          <w:i w:val="0"/>
          <w:snapToGrid w:val="0"/>
          <w:szCs w:val="24"/>
          <w:lang w:eastAsia="en-US"/>
        </w:rPr>
        <w:lastRenderedPageBreak/>
        <w:t xml:space="preserve">The PBAC considered that a reasonable base case ICER in this treatment setting would be less </w:t>
      </w:r>
      <w:proofErr w:type="gramStart"/>
      <w:r w:rsidRPr="005F4582">
        <w:rPr>
          <w:rFonts w:eastAsia="Times New Roman" w:cstheme="minorHAnsi"/>
          <w:i w:val="0"/>
          <w:snapToGrid w:val="0"/>
          <w:szCs w:val="24"/>
          <w:lang w:eastAsia="en-US"/>
        </w:rPr>
        <w:t xml:space="preserve">than </w:t>
      </w:r>
      <w:r w:rsidR="00CA3FB5">
        <w:rPr>
          <w:rFonts w:eastAsia="Times New Roman" w:cstheme="minorHAnsi"/>
          <w:i w:val="0"/>
          <w:snapToGrid w:val="0"/>
          <w:szCs w:val="24"/>
          <w:lang w:eastAsia="en-US"/>
        </w:rPr>
        <w:t xml:space="preserve"> $</w:t>
      </w:r>
      <w:proofErr w:type="gramEnd"/>
      <w:r w:rsidR="00CA3FB5">
        <w:rPr>
          <w:rFonts w:eastAsia="Times New Roman" w:cstheme="minorHAnsi"/>
          <w:i w:val="0"/>
          <w:snapToGrid w:val="0"/>
          <w:szCs w:val="24"/>
          <w:lang w:eastAsia="en-US"/>
        </w:rPr>
        <w:t>45,000 - $75,000</w:t>
      </w:r>
      <w:r w:rsidRPr="005F4582">
        <w:rPr>
          <w:rFonts w:eastAsia="Times New Roman" w:cstheme="minorHAnsi"/>
          <w:i w:val="0"/>
          <w:snapToGrid w:val="0"/>
          <w:szCs w:val="24"/>
          <w:lang w:eastAsia="en-US"/>
        </w:rPr>
        <w:t xml:space="preserve"> per QALY (paragraph 7.11, </w:t>
      </w:r>
      <w:proofErr w:type="spellStart"/>
      <w:r w:rsidR="00193999" w:rsidRPr="005F4582">
        <w:rPr>
          <w:i w:val="0"/>
          <w:szCs w:val="24"/>
        </w:rPr>
        <w:t>durvalumab</w:t>
      </w:r>
      <w:proofErr w:type="spellEnd"/>
      <w:r w:rsidR="00193999" w:rsidRPr="005F4582">
        <w:rPr>
          <w:i w:val="0"/>
          <w:szCs w:val="24"/>
        </w:rPr>
        <w:t xml:space="preserve"> </w:t>
      </w:r>
      <w:r w:rsidR="00980584" w:rsidRPr="005F4582">
        <w:rPr>
          <w:i w:val="0"/>
          <w:szCs w:val="24"/>
        </w:rPr>
        <w:t>PSD</w:t>
      </w:r>
      <w:r w:rsidR="00193999" w:rsidRPr="005F4582">
        <w:rPr>
          <w:i w:val="0"/>
        </w:rPr>
        <w:t>, July 2019</w:t>
      </w:r>
      <w:r w:rsidR="00ED1377" w:rsidRPr="005F4582">
        <w:rPr>
          <w:i w:val="0"/>
          <w:szCs w:val="24"/>
        </w:rPr>
        <w:t xml:space="preserve"> PBAC meeting</w:t>
      </w:r>
      <w:r w:rsidRPr="005F4582">
        <w:rPr>
          <w:rFonts w:eastAsia="Times New Roman" w:cstheme="minorHAnsi"/>
          <w:i w:val="0"/>
          <w:snapToGrid w:val="0"/>
          <w:szCs w:val="24"/>
          <w:lang w:eastAsia="en-US"/>
        </w:rPr>
        <w:t>).</w:t>
      </w:r>
    </w:p>
    <w:p w:rsidR="00C32FD0" w:rsidRPr="005F4582" w:rsidRDefault="00670E58" w:rsidP="00E45453">
      <w:pPr>
        <w:pStyle w:val="Bodytextitalics"/>
        <w:jc w:val="both"/>
        <w:rPr>
          <w:rFonts w:eastAsia="Times New Roman" w:cstheme="minorHAnsi"/>
          <w:i w:val="0"/>
          <w:snapToGrid w:val="0"/>
          <w:szCs w:val="24"/>
          <w:lang w:eastAsia="en-US"/>
        </w:rPr>
      </w:pPr>
      <w:r w:rsidRPr="005F4582">
        <w:rPr>
          <w:i w:val="0"/>
          <w:snapToGrid w:val="0"/>
          <w:lang w:eastAsia="en-US"/>
        </w:rPr>
        <w:t xml:space="preserve">The re-specified economic models </w:t>
      </w:r>
      <w:r w:rsidR="00E664E1" w:rsidRPr="005F4582">
        <w:rPr>
          <w:i w:val="0"/>
          <w:snapToGrid w:val="0"/>
          <w:lang w:eastAsia="en-US"/>
        </w:rPr>
        <w:t>result</w:t>
      </w:r>
      <w:r w:rsidR="005826AE" w:rsidRPr="005F4582">
        <w:rPr>
          <w:i w:val="0"/>
          <w:snapToGrid w:val="0"/>
          <w:lang w:eastAsia="en-US"/>
        </w:rPr>
        <w:t>ed</w:t>
      </w:r>
      <w:r w:rsidR="00E664E1" w:rsidRPr="005F4582">
        <w:rPr>
          <w:i w:val="0"/>
          <w:snapToGrid w:val="0"/>
          <w:lang w:eastAsia="en-US"/>
        </w:rPr>
        <w:t xml:space="preserve"> in an </w:t>
      </w:r>
      <w:r w:rsidRPr="005F4582">
        <w:rPr>
          <w:i w:val="0"/>
          <w:snapToGrid w:val="0"/>
          <w:lang w:eastAsia="en-US"/>
        </w:rPr>
        <w:t xml:space="preserve">ICER </w:t>
      </w:r>
      <w:r w:rsidR="00E664E1" w:rsidRPr="005F4582">
        <w:rPr>
          <w:i w:val="0"/>
          <w:snapToGrid w:val="0"/>
          <w:lang w:eastAsia="en-US"/>
        </w:rPr>
        <w:t xml:space="preserve">of </w:t>
      </w:r>
      <w:r w:rsidRPr="005F4582">
        <w:rPr>
          <w:i w:val="0"/>
          <w:snapToGrid w:val="0"/>
          <w:lang w:eastAsia="en-US"/>
        </w:rPr>
        <w:t>between $</w:t>
      </w:r>
      <w:r w:rsidR="00032B54">
        <w:rPr>
          <w:i w:val="0"/>
          <w:snapToGrid w:val="0"/>
          <w:lang w:eastAsia="en-US"/>
        </w:rPr>
        <w:t>15,000 - $45,000</w:t>
      </w:r>
      <w:r w:rsidR="001123E9">
        <w:rPr>
          <w:i w:val="0"/>
          <w:snapToGrid w:val="0"/>
          <w:lang w:eastAsia="en-US"/>
        </w:rPr>
        <w:t xml:space="preserve"> </w:t>
      </w:r>
      <w:bookmarkStart w:id="1" w:name="_GoBack"/>
      <w:bookmarkEnd w:id="1"/>
      <w:r w:rsidR="00E664E1" w:rsidRPr="005F4582">
        <w:rPr>
          <w:i w:val="0"/>
          <w:snapToGrid w:val="0"/>
          <w:lang w:eastAsia="en-US"/>
        </w:rPr>
        <w:t xml:space="preserve">(RPSFT-adjusted analysis) </w:t>
      </w:r>
      <w:r w:rsidRPr="005F4582">
        <w:rPr>
          <w:i w:val="0"/>
          <w:snapToGrid w:val="0"/>
          <w:lang w:eastAsia="en-US"/>
        </w:rPr>
        <w:t>and $</w:t>
      </w:r>
      <w:r w:rsidR="00032B54">
        <w:rPr>
          <w:i w:val="0"/>
          <w:snapToGrid w:val="0"/>
          <w:lang w:eastAsia="en-US"/>
        </w:rPr>
        <w:t>45,000 - $75,000</w:t>
      </w:r>
      <w:r w:rsidR="00C15816" w:rsidRPr="005F4582">
        <w:rPr>
          <w:i w:val="0"/>
          <w:snapToGrid w:val="0"/>
          <w:lang w:eastAsia="en-US"/>
        </w:rPr>
        <w:t xml:space="preserve"> per </w:t>
      </w:r>
      <w:r w:rsidRPr="005F4582">
        <w:rPr>
          <w:i w:val="0"/>
          <w:snapToGrid w:val="0"/>
          <w:lang w:eastAsia="en-US"/>
        </w:rPr>
        <w:t xml:space="preserve">QALY </w:t>
      </w:r>
      <w:r w:rsidR="00E664E1" w:rsidRPr="005F4582">
        <w:rPr>
          <w:i w:val="0"/>
          <w:snapToGrid w:val="0"/>
          <w:lang w:eastAsia="en-US"/>
        </w:rPr>
        <w:t xml:space="preserve">(ITT analysis) </w:t>
      </w:r>
      <w:r w:rsidR="005A0EF4" w:rsidRPr="005F4582">
        <w:rPr>
          <w:i w:val="0"/>
          <w:snapToGrid w:val="0"/>
          <w:lang w:eastAsia="en-US"/>
        </w:rPr>
        <w:t>(</w:t>
      </w:r>
      <w:r w:rsidR="00A63577" w:rsidRPr="005F4582">
        <w:rPr>
          <w:i w:val="0"/>
          <w:snapToGrid w:val="0"/>
          <w:lang w:eastAsia="en-US"/>
        </w:rPr>
        <w:t xml:space="preserve">Table </w:t>
      </w:r>
      <w:r w:rsidR="007C124E" w:rsidRPr="005F4582">
        <w:rPr>
          <w:i w:val="0"/>
          <w:snapToGrid w:val="0"/>
          <w:lang w:eastAsia="en-US"/>
        </w:rPr>
        <w:t>2</w:t>
      </w:r>
      <w:r w:rsidR="005A0EF4" w:rsidRPr="005F4582">
        <w:rPr>
          <w:i w:val="0"/>
          <w:snapToGrid w:val="0"/>
          <w:lang w:eastAsia="en-US"/>
        </w:rPr>
        <w:t>)</w:t>
      </w:r>
      <w:r w:rsidR="00911344" w:rsidRPr="005F4582">
        <w:rPr>
          <w:szCs w:val="24"/>
        </w:rPr>
        <w:t xml:space="preserve"> </w:t>
      </w:r>
      <w:r w:rsidR="00911344" w:rsidRPr="005F4582">
        <w:rPr>
          <w:i w:val="0"/>
          <w:szCs w:val="24"/>
        </w:rPr>
        <w:t xml:space="preserve">(applying the published price of </w:t>
      </w:r>
      <w:proofErr w:type="spellStart"/>
      <w:r w:rsidR="00911344" w:rsidRPr="005F4582">
        <w:rPr>
          <w:i w:val="0"/>
          <w:szCs w:val="24"/>
        </w:rPr>
        <w:t>nivolumab</w:t>
      </w:r>
      <w:proofErr w:type="spellEnd"/>
      <w:r w:rsidR="00911344" w:rsidRPr="005F4582">
        <w:rPr>
          <w:i w:val="0"/>
          <w:szCs w:val="24"/>
        </w:rPr>
        <w:t xml:space="preserve"> with an assumed </w:t>
      </w:r>
      <w:r w:rsidR="009267FD">
        <w:rPr>
          <w:i w:val="0"/>
          <w:noProof/>
          <w:color w:val="000000"/>
          <w:szCs w:val="24"/>
          <w:highlight w:val="black"/>
        </w:rPr>
        <w:t>'''''</w:t>
      </w:r>
      <w:r w:rsidR="00911344" w:rsidRPr="005F4582">
        <w:rPr>
          <w:i w:val="0"/>
          <w:szCs w:val="24"/>
        </w:rPr>
        <w:t>% discount)</w:t>
      </w:r>
      <w:r w:rsidR="00A51EED" w:rsidRPr="005F4582">
        <w:rPr>
          <w:i w:val="0"/>
          <w:snapToGrid w:val="0"/>
          <w:lang w:eastAsia="en-US"/>
        </w:rPr>
        <w:t>. The ICER</w:t>
      </w:r>
      <w:r w:rsidR="00911344" w:rsidRPr="005F4582">
        <w:rPr>
          <w:i w:val="0"/>
          <w:snapToGrid w:val="0"/>
          <w:lang w:eastAsia="en-US"/>
        </w:rPr>
        <w:t>s applying</w:t>
      </w:r>
      <w:r w:rsidR="00A51EED" w:rsidRPr="005F4582">
        <w:rPr>
          <w:i w:val="0"/>
          <w:snapToGrid w:val="0"/>
          <w:lang w:eastAsia="en-US"/>
        </w:rPr>
        <w:t xml:space="preserve"> the effective </w:t>
      </w:r>
      <w:proofErr w:type="spellStart"/>
      <w:r w:rsidR="00A51EED" w:rsidRPr="005F4582">
        <w:rPr>
          <w:i w:val="0"/>
          <w:snapToGrid w:val="0"/>
          <w:lang w:eastAsia="en-US"/>
        </w:rPr>
        <w:t>nivolumab</w:t>
      </w:r>
      <w:proofErr w:type="spellEnd"/>
      <w:r w:rsidR="00A51EED" w:rsidRPr="005F4582">
        <w:rPr>
          <w:i w:val="0"/>
          <w:snapToGrid w:val="0"/>
          <w:lang w:eastAsia="en-US"/>
        </w:rPr>
        <w:t xml:space="preserve"> price are provided in paragraph </w:t>
      </w:r>
      <w:r w:rsidR="00911344" w:rsidRPr="005F4582">
        <w:rPr>
          <w:i w:val="0"/>
          <w:snapToGrid w:val="0"/>
          <w:lang w:eastAsia="en-US"/>
        </w:rPr>
        <w:t xml:space="preserve">4.10. </w:t>
      </w:r>
    </w:p>
    <w:p w:rsidR="00670E58" w:rsidRPr="005F4582" w:rsidRDefault="006275E6" w:rsidP="00E45453">
      <w:pPr>
        <w:pStyle w:val="Bodytextitalics"/>
        <w:jc w:val="both"/>
        <w:rPr>
          <w:rFonts w:eastAsia="Times New Roman" w:cstheme="minorHAnsi"/>
          <w:i w:val="0"/>
          <w:snapToGrid w:val="0"/>
          <w:szCs w:val="24"/>
          <w:lang w:eastAsia="en-US"/>
        </w:rPr>
      </w:pPr>
      <w:r w:rsidRPr="005F4582">
        <w:rPr>
          <w:rFonts w:eastAsia="Times New Roman" w:cstheme="minorHAnsi"/>
          <w:i w:val="0"/>
          <w:snapToGrid w:val="0"/>
          <w:szCs w:val="24"/>
          <w:lang w:eastAsia="en-US"/>
        </w:rPr>
        <w:t xml:space="preserve">The resubmission also presented ICERs for the ITT analysis and RPSFT-adjusted analysis assuming post-progression PD-(L)1 use </w:t>
      </w:r>
      <w:r w:rsidR="006434CD" w:rsidRPr="005F4582">
        <w:rPr>
          <w:rFonts w:eastAsia="Times New Roman" w:cstheme="minorHAnsi"/>
          <w:i w:val="0"/>
          <w:snapToGrid w:val="0"/>
          <w:szCs w:val="24"/>
          <w:lang w:eastAsia="en-US"/>
        </w:rPr>
        <w:t xml:space="preserve">in </w:t>
      </w:r>
      <w:r w:rsidRPr="005F4582">
        <w:rPr>
          <w:rFonts w:eastAsia="Times New Roman" w:cstheme="minorHAnsi"/>
          <w:i w:val="0"/>
          <w:snapToGrid w:val="0"/>
          <w:szCs w:val="24"/>
          <w:lang w:eastAsia="en-US"/>
        </w:rPr>
        <w:t xml:space="preserve"> 0% </w:t>
      </w:r>
      <w:r w:rsidR="00911344" w:rsidRPr="005F4582">
        <w:rPr>
          <w:rFonts w:eastAsia="Times New Roman" w:cstheme="minorHAnsi"/>
          <w:i w:val="0"/>
          <w:snapToGrid w:val="0"/>
          <w:szCs w:val="24"/>
          <w:lang w:eastAsia="en-US"/>
        </w:rPr>
        <w:t>of</w:t>
      </w:r>
      <w:r w:rsidR="006434CD" w:rsidRPr="005F4582">
        <w:rPr>
          <w:rFonts w:eastAsia="Times New Roman" w:cstheme="minorHAnsi"/>
          <w:i w:val="0"/>
          <w:snapToGrid w:val="0"/>
          <w:szCs w:val="24"/>
          <w:lang w:eastAsia="en-US"/>
        </w:rPr>
        <w:t xml:space="preserve"> progressed patients </w:t>
      </w:r>
      <w:r w:rsidRPr="005F4582">
        <w:rPr>
          <w:rFonts w:eastAsia="Times New Roman" w:cstheme="minorHAnsi"/>
          <w:i w:val="0"/>
          <w:snapToGrid w:val="0"/>
          <w:szCs w:val="24"/>
          <w:lang w:eastAsia="en-US"/>
        </w:rPr>
        <w:t xml:space="preserve">in the </w:t>
      </w:r>
      <w:proofErr w:type="spellStart"/>
      <w:r w:rsidRPr="005F4582">
        <w:rPr>
          <w:rFonts w:eastAsia="Times New Roman" w:cstheme="minorHAnsi"/>
          <w:i w:val="0"/>
          <w:snapToGrid w:val="0"/>
          <w:szCs w:val="24"/>
          <w:lang w:eastAsia="en-US"/>
        </w:rPr>
        <w:t>durvalumab</w:t>
      </w:r>
      <w:proofErr w:type="spellEnd"/>
      <w:r w:rsidRPr="005F4582">
        <w:rPr>
          <w:rFonts w:eastAsia="Times New Roman" w:cstheme="minorHAnsi"/>
          <w:i w:val="0"/>
          <w:snapToGrid w:val="0"/>
          <w:szCs w:val="24"/>
          <w:lang w:eastAsia="en-US"/>
        </w:rPr>
        <w:t xml:space="preserve"> treatment arm and 70% </w:t>
      </w:r>
      <w:r w:rsidR="006434CD" w:rsidRPr="005F4582">
        <w:rPr>
          <w:rFonts w:eastAsia="Times New Roman" w:cstheme="minorHAnsi"/>
          <w:i w:val="0"/>
          <w:snapToGrid w:val="0"/>
          <w:szCs w:val="24"/>
          <w:lang w:eastAsia="en-US"/>
        </w:rPr>
        <w:t xml:space="preserve">of progressed patients </w:t>
      </w:r>
      <w:r w:rsidRPr="005F4582">
        <w:rPr>
          <w:rFonts w:eastAsia="Times New Roman" w:cstheme="minorHAnsi"/>
          <w:i w:val="0"/>
          <w:snapToGrid w:val="0"/>
          <w:szCs w:val="24"/>
          <w:lang w:eastAsia="en-US"/>
        </w:rPr>
        <w:t xml:space="preserve">in the BSC treatment arm (Table </w:t>
      </w:r>
      <w:r w:rsidR="007C124E" w:rsidRPr="005F4582">
        <w:rPr>
          <w:rFonts w:eastAsia="Times New Roman" w:cstheme="minorHAnsi"/>
          <w:i w:val="0"/>
          <w:snapToGrid w:val="0"/>
          <w:szCs w:val="24"/>
          <w:lang w:eastAsia="en-US"/>
        </w:rPr>
        <w:t>2</w:t>
      </w:r>
      <w:r w:rsidRPr="005F4582">
        <w:rPr>
          <w:rFonts w:eastAsia="Times New Roman" w:cstheme="minorHAnsi"/>
          <w:i w:val="0"/>
          <w:snapToGrid w:val="0"/>
          <w:szCs w:val="24"/>
          <w:lang w:eastAsia="en-US"/>
        </w:rPr>
        <w:t>)</w:t>
      </w:r>
      <w:r w:rsidR="004227B0" w:rsidRPr="005F4582">
        <w:rPr>
          <w:rFonts w:eastAsia="Times New Roman" w:cstheme="minorHAnsi"/>
          <w:i w:val="0"/>
          <w:snapToGrid w:val="0"/>
          <w:szCs w:val="24"/>
          <w:lang w:eastAsia="en-US"/>
        </w:rPr>
        <w:t xml:space="preserve"> (to provide consistency with the financial estimates)</w:t>
      </w:r>
      <w:r w:rsidRPr="005F4582">
        <w:rPr>
          <w:rFonts w:eastAsia="Times New Roman" w:cstheme="minorHAnsi"/>
          <w:i w:val="0"/>
          <w:snapToGrid w:val="0"/>
          <w:szCs w:val="24"/>
          <w:lang w:eastAsia="en-US"/>
        </w:rPr>
        <w:t>. Th</w:t>
      </w:r>
      <w:r w:rsidR="0015573D" w:rsidRPr="005F4582">
        <w:rPr>
          <w:rFonts w:eastAsia="Times New Roman" w:cstheme="minorHAnsi"/>
          <w:i w:val="0"/>
          <w:snapToGrid w:val="0"/>
          <w:szCs w:val="24"/>
          <w:lang w:eastAsia="en-US"/>
        </w:rPr>
        <w:t>e</w:t>
      </w:r>
      <w:r w:rsidRPr="005F4582">
        <w:rPr>
          <w:rFonts w:eastAsia="Times New Roman" w:cstheme="minorHAnsi"/>
          <w:i w:val="0"/>
          <w:snapToGrid w:val="0"/>
          <w:szCs w:val="24"/>
          <w:lang w:eastAsia="en-US"/>
        </w:rPr>
        <w:t>s</w:t>
      </w:r>
      <w:r w:rsidR="0015573D" w:rsidRPr="005F4582">
        <w:rPr>
          <w:rFonts w:eastAsia="Times New Roman" w:cstheme="minorHAnsi"/>
          <w:i w:val="0"/>
          <w:snapToGrid w:val="0"/>
          <w:szCs w:val="24"/>
          <w:lang w:eastAsia="en-US"/>
        </w:rPr>
        <w:t>e</w:t>
      </w:r>
      <w:r w:rsidRPr="005F4582">
        <w:rPr>
          <w:rFonts w:eastAsia="Times New Roman" w:cstheme="minorHAnsi"/>
          <w:i w:val="0"/>
          <w:snapToGrid w:val="0"/>
          <w:szCs w:val="24"/>
          <w:lang w:eastAsia="en-US"/>
        </w:rPr>
        <w:t xml:space="preserve"> analys</w:t>
      </w:r>
      <w:r w:rsidR="0015573D" w:rsidRPr="005F4582">
        <w:rPr>
          <w:rFonts w:eastAsia="Times New Roman" w:cstheme="minorHAnsi"/>
          <w:i w:val="0"/>
          <w:snapToGrid w:val="0"/>
          <w:szCs w:val="24"/>
          <w:lang w:eastAsia="en-US"/>
        </w:rPr>
        <w:t>e</w:t>
      </w:r>
      <w:r w:rsidRPr="005F4582">
        <w:rPr>
          <w:rFonts w:eastAsia="Times New Roman" w:cstheme="minorHAnsi"/>
          <w:i w:val="0"/>
          <w:snapToGrid w:val="0"/>
          <w:szCs w:val="24"/>
          <w:lang w:eastAsia="en-US"/>
        </w:rPr>
        <w:t>s changed the costs only and did not change the outcomes.</w:t>
      </w:r>
      <w:r w:rsidR="00F344FF" w:rsidRPr="005F4582">
        <w:rPr>
          <w:rFonts w:eastAsia="Times New Roman" w:cstheme="minorHAnsi"/>
          <w:i w:val="0"/>
          <w:snapToGrid w:val="0"/>
          <w:szCs w:val="24"/>
          <w:lang w:eastAsia="en-US"/>
        </w:rPr>
        <w:t xml:space="preserve"> </w:t>
      </w:r>
    </w:p>
    <w:p w:rsidR="005A0EF4" w:rsidRPr="005F4582" w:rsidRDefault="005A0EF4" w:rsidP="005A0EF4">
      <w:pPr>
        <w:keepNext/>
        <w:jc w:val="both"/>
        <w:rPr>
          <w:rFonts w:ascii="Arial Narrow" w:hAnsi="Arial Narrow"/>
          <w:b/>
          <w:sz w:val="20"/>
          <w:szCs w:val="22"/>
        </w:rPr>
      </w:pPr>
      <w:bookmarkStart w:id="2" w:name="_Ref17220486"/>
      <w:bookmarkStart w:id="3" w:name="_Toc17274492"/>
      <w:bookmarkStart w:id="4" w:name="_Toc17456555"/>
      <w:r w:rsidRPr="005F4582">
        <w:rPr>
          <w:rFonts w:ascii="Arial Narrow" w:hAnsi="Arial Narrow"/>
          <w:b/>
          <w:sz w:val="20"/>
          <w:szCs w:val="22"/>
        </w:rPr>
        <w:t xml:space="preserve">Table </w:t>
      </w:r>
      <w:bookmarkEnd w:id="2"/>
      <w:r w:rsidR="007C124E" w:rsidRPr="005F4582">
        <w:rPr>
          <w:rFonts w:ascii="Arial Narrow" w:hAnsi="Arial Narrow"/>
          <w:b/>
          <w:sz w:val="20"/>
          <w:szCs w:val="22"/>
        </w:rPr>
        <w:t xml:space="preserve">2: </w:t>
      </w:r>
      <w:r w:rsidRPr="005F4582">
        <w:rPr>
          <w:rFonts w:ascii="Arial Narrow" w:hAnsi="Arial Narrow"/>
          <w:b/>
          <w:sz w:val="20"/>
          <w:szCs w:val="22"/>
        </w:rPr>
        <w:t>Results of the re-specified economic evaluation with and without adjustments for subsequent PD-(L</w:t>
      </w:r>
      <w:proofErr w:type="gramStart"/>
      <w:r w:rsidRPr="005F4582">
        <w:rPr>
          <w:rFonts w:ascii="Arial Narrow" w:hAnsi="Arial Narrow"/>
          <w:b/>
          <w:sz w:val="20"/>
          <w:szCs w:val="22"/>
        </w:rPr>
        <w:t>)1</w:t>
      </w:r>
      <w:proofErr w:type="gramEnd"/>
      <w:r w:rsidRPr="005F4582">
        <w:rPr>
          <w:rFonts w:ascii="Arial Narrow" w:hAnsi="Arial Narrow"/>
          <w:b/>
          <w:sz w:val="20"/>
          <w:szCs w:val="22"/>
        </w:rPr>
        <w:t xml:space="preserve"> use</w:t>
      </w:r>
      <w:bookmarkEnd w:id="3"/>
      <w:bookmarkEnd w:id="4"/>
    </w:p>
    <w:tbl>
      <w:tblPr>
        <w:tblStyle w:val="AZTable2"/>
        <w:tblW w:w="5000" w:type="pct"/>
        <w:tblLayout w:type="fixed"/>
        <w:tblLook w:val="04A0" w:firstRow="1" w:lastRow="0" w:firstColumn="1" w:lastColumn="0" w:noHBand="0" w:noVBand="1"/>
        <w:tblCaption w:val="Table 2: Results of the re-specified economic evaluation with and without adjustments for subsequent PD-(L)1 use"/>
      </w:tblPr>
      <w:tblGrid>
        <w:gridCol w:w="2438"/>
        <w:gridCol w:w="918"/>
        <w:gridCol w:w="919"/>
        <w:gridCol w:w="919"/>
        <w:gridCol w:w="919"/>
        <w:gridCol w:w="919"/>
        <w:gridCol w:w="919"/>
        <w:gridCol w:w="1065"/>
      </w:tblGrid>
      <w:tr w:rsidR="005A0EF4" w:rsidRPr="005F4582" w:rsidTr="00891394">
        <w:trPr>
          <w:cnfStyle w:val="100000000000" w:firstRow="1" w:lastRow="0" w:firstColumn="0" w:lastColumn="0" w:oddVBand="0" w:evenVBand="0" w:oddHBand="0" w:evenHBand="0" w:firstRowFirstColumn="0" w:firstRowLastColumn="0" w:lastRowFirstColumn="0" w:lastRowLastColumn="0"/>
          <w:tblHeader/>
        </w:trPr>
        <w:tc>
          <w:tcPr>
            <w:tcW w:w="396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0EF4" w:rsidRPr="005F4582" w:rsidRDefault="005A0EF4" w:rsidP="00891394">
            <w:pPr>
              <w:keepNext/>
              <w:keepLines/>
              <w:spacing w:before="20" w:after="20" w:line="276" w:lineRule="auto"/>
              <w:rPr>
                <w:rFonts w:ascii="Arial Narrow" w:eastAsiaTheme="majorEastAsia" w:hAnsi="Arial Narrow" w:cs="Arial"/>
                <w:b/>
                <w:sz w:val="20"/>
                <w:szCs w:val="20"/>
                <w:lang w:eastAsia="en-AU" w:bidi="en-US"/>
              </w:rPr>
            </w:pPr>
            <w:bookmarkStart w:id="5" w:name="_Hlk518368805"/>
          </w:p>
        </w:tc>
        <w:tc>
          <w:tcPr>
            <w:tcW w:w="41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0EF4" w:rsidRPr="005F4582" w:rsidRDefault="005A0EF4" w:rsidP="00891394">
            <w:pPr>
              <w:keepNext/>
              <w:keepLines/>
              <w:spacing w:before="20" w:after="20" w:line="276" w:lineRule="auto"/>
              <w:jc w:val="center"/>
              <w:rPr>
                <w:rFonts w:ascii="Arial Narrow" w:eastAsiaTheme="majorEastAsia" w:hAnsi="Arial Narrow" w:cs="Arial"/>
                <w:b/>
                <w:sz w:val="20"/>
                <w:szCs w:val="20"/>
                <w:lang w:eastAsia="en-AU" w:bidi="en-US"/>
              </w:rPr>
            </w:pPr>
            <w:r w:rsidRPr="005F4582">
              <w:rPr>
                <w:rFonts w:ascii="Arial Narrow" w:eastAsiaTheme="majorEastAsia" w:hAnsi="Arial Narrow" w:cs="Arial"/>
                <w:b/>
                <w:sz w:val="20"/>
                <w:szCs w:val="20"/>
                <w:lang w:bidi="en-US"/>
              </w:rPr>
              <w:t>Cost</w:t>
            </w:r>
          </w:p>
        </w:tc>
        <w:tc>
          <w:tcPr>
            <w:tcW w:w="417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0EF4" w:rsidRPr="005F4582" w:rsidRDefault="005A0EF4" w:rsidP="00891394">
            <w:pPr>
              <w:keepNext/>
              <w:keepLines/>
              <w:spacing w:before="20" w:after="20" w:line="276" w:lineRule="auto"/>
              <w:jc w:val="center"/>
              <w:rPr>
                <w:rFonts w:ascii="Arial Narrow" w:eastAsiaTheme="majorEastAsia" w:hAnsi="Arial Narrow" w:cs="Arial"/>
                <w:b/>
                <w:sz w:val="20"/>
                <w:szCs w:val="20"/>
                <w:lang w:eastAsia="en-AU" w:bidi="en-US"/>
              </w:rPr>
            </w:pPr>
            <w:r w:rsidRPr="005F4582">
              <w:rPr>
                <w:rFonts w:ascii="Arial Narrow" w:eastAsiaTheme="majorEastAsia" w:hAnsi="Arial Narrow" w:cs="Arial"/>
                <w:b/>
                <w:sz w:val="20"/>
                <w:szCs w:val="20"/>
                <w:lang w:bidi="en-US"/>
              </w:rPr>
              <w:t>Outcomes</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0EF4" w:rsidRPr="005F4582" w:rsidRDefault="005A0EF4" w:rsidP="00891394">
            <w:pPr>
              <w:keepNext/>
              <w:keepLines/>
              <w:spacing w:before="20" w:after="20" w:line="276" w:lineRule="auto"/>
              <w:jc w:val="center"/>
              <w:rPr>
                <w:rFonts w:ascii="Arial Narrow" w:eastAsiaTheme="majorEastAsia" w:hAnsi="Arial Narrow" w:cs="Arial"/>
                <w:b/>
                <w:sz w:val="20"/>
                <w:szCs w:val="20"/>
                <w:lang w:eastAsia="en-AU" w:bidi="en-US"/>
              </w:rPr>
            </w:pPr>
            <w:r w:rsidRPr="005F4582">
              <w:rPr>
                <w:rFonts w:ascii="Arial Narrow" w:eastAsiaTheme="majorEastAsia" w:hAnsi="Arial Narrow" w:cs="Arial"/>
                <w:b/>
                <w:sz w:val="20"/>
                <w:szCs w:val="20"/>
                <w:lang w:bidi="en-US"/>
              </w:rPr>
              <w:t>ICER</w:t>
            </w:r>
          </w:p>
          <w:p w:rsidR="005A0EF4" w:rsidRPr="005F4582" w:rsidRDefault="005A0EF4" w:rsidP="00891394">
            <w:pPr>
              <w:keepNext/>
              <w:keepLines/>
              <w:spacing w:before="20" w:after="20" w:line="276" w:lineRule="auto"/>
              <w:jc w:val="center"/>
              <w:rPr>
                <w:rFonts w:ascii="Arial Narrow" w:eastAsiaTheme="majorEastAsia" w:hAnsi="Arial Narrow" w:cs="Arial"/>
                <w:b/>
                <w:sz w:val="20"/>
                <w:szCs w:val="20"/>
                <w:lang w:eastAsia="en-AU" w:bidi="en-US"/>
              </w:rPr>
            </w:pPr>
            <w:r w:rsidRPr="005F4582">
              <w:rPr>
                <w:rFonts w:ascii="Arial Narrow" w:eastAsiaTheme="majorEastAsia" w:hAnsi="Arial Narrow" w:cs="Arial"/>
                <w:b/>
                <w:sz w:val="20"/>
                <w:szCs w:val="20"/>
                <w:lang w:bidi="en-US"/>
              </w:rPr>
              <w:t>($/QALY)</w:t>
            </w:r>
          </w:p>
        </w:tc>
      </w:tr>
      <w:tr w:rsidR="005A0EF4" w:rsidRPr="005F4582" w:rsidTr="00891394">
        <w:tc>
          <w:tcPr>
            <w:tcW w:w="3964" w:type="dxa"/>
            <w:vMerge/>
            <w:tcBorders>
              <w:top w:val="single" w:sz="4" w:space="0" w:color="auto"/>
              <w:left w:val="single" w:sz="4" w:space="0" w:color="auto"/>
              <w:bottom w:val="single" w:sz="4" w:space="0" w:color="auto"/>
              <w:right w:val="single" w:sz="4" w:space="0" w:color="auto"/>
            </w:tcBorders>
            <w:vAlign w:val="center"/>
            <w:hideMark/>
          </w:tcPr>
          <w:p w:rsidR="005A0EF4" w:rsidRPr="005F4582" w:rsidRDefault="005A0EF4" w:rsidP="00891394">
            <w:pPr>
              <w:rPr>
                <w:rFonts w:ascii="Arial Narrow" w:eastAsiaTheme="majorEastAsia" w:hAnsi="Arial Narrow" w:cs="Arial"/>
                <w:b/>
                <w:sz w:val="20"/>
                <w:szCs w:val="20"/>
                <w:lang w:eastAsia="en-AU" w:bidi="en-US"/>
              </w:rPr>
            </w:pP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A0EF4" w:rsidRPr="005F4582" w:rsidRDefault="005A0EF4" w:rsidP="00891394">
            <w:pPr>
              <w:spacing w:before="20" w:after="20" w:line="276" w:lineRule="auto"/>
              <w:jc w:val="center"/>
              <w:rPr>
                <w:rFonts w:ascii="Arial Narrow" w:eastAsiaTheme="majorEastAsia" w:hAnsi="Arial Narrow" w:cs="Arial"/>
                <w:b/>
                <w:sz w:val="20"/>
                <w:szCs w:val="20"/>
                <w:lang w:eastAsia="en-AU" w:bidi="en-US"/>
              </w:rPr>
            </w:pPr>
            <w:proofErr w:type="spellStart"/>
            <w:r w:rsidRPr="005F4582">
              <w:rPr>
                <w:rFonts w:ascii="Arial Narrow" w:eastAsiaTheme="majorEastAsia" w:hAnsi="Arial Narrow" w:cs="Arial"/>
                <w:b/>
                <w:sz w:val="20"/>
                <w:szCs w:val="20"/>
                <w:lang w:bidi="en-US"/>
              </w:rPr>
              <w:t>Durvalumab</w:t>
            </w:r>
            <w:proofErr w:type="spellEnd"/>
          </w:p>
        </w:tc>
        <w:tc>
          <w:tcPr>
            <w:tcW w:w="1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A0EF4" w:rsidRPr="005F4582" w:rsidRDefault="008170C5" w:rsidP="00891394">
            <w:pPr>
              <w:spacing w:before="20" w:after="20" w:line="276" w:lineRule="auto"/>
              <w:jc w:val="center"/>
              <w:rPr>
                <w:rFonts w:ascii="Arial Narrow" w:eastAsiaTheme="majorEastAsia" w:hAnsi="Arial Narrow" w:cs="Arial"/>
                <w:b/>
                <w:sz w:val="20"/>
                <w:szCs w:val="20"/>
                <w:lang w:eastAsia="en-AU" w:bidi="en-US"/>
              </w:rPr>
            </w:pPr>
            <w:r w:rsidRPr="005F4582">
              <w:rPr>
                <w:rFonts w:ascii="Arial Narrow" w:eastAsiaTheme="majorEastAsia" w:hAnsi="Arial Narrow" w:cs="Arial"/>
                <w:b/>
                <w:sz w:val="20"/>
                <w:szCs w:val="20"/>
                <w:lang w:bidi="en-US"/>
              </w:rPr>
              <w:t>BSC</w:t>
            </w:r>
          </w:p>
        </w:tc>
        <w:tc>
          <w:tcPr>
            <w:tcW w:w="1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A0EF4" w:rsidRPr="005F4582" w:rsidRDefault="005A0EF4" w:rsidP="00891394">
            <w:pPr>
              <w:spacing w:before="20" w:after="20" w:line="276" w:lineRule="auto"/>
              <w:jc w:val="center"/>
              <w:rPr>
                <w:rFonts w:ascii="Arial Narrow" w:eastAsiaTheme="majorEastAsia" w:hAnsi="Arial Narrow" w:cs="Arial"/>
                <w:b/>
                <w:sz w:val="20"/>
                <w:szCs w:val="20"/>
                <w:lang w:eastAsia="en-AU" w:bidi="en-US"/>
              </w:rPr>
            </w:pPr>
            <w:r w:rsidRPr="005F4582">
              <w:rPr>
                <w:rFonts w:ascii="Arial Narrow" w:eastAsiaTheme="majorEastAsia" w:hAnsi="Arial Narrow" w:cs="Arial"/>
                <w:b/>
                <w:sz w:val="20"/>
                <w:szCs w:val="20"/>
                <w:lang w:bidi="en-US"/>
              </w:rPr>
              <w:t>Incremental</w:t>
            </w:r>
          </w:p>
        </w:tc>
        <w:tc>
          <w:tcPr>
            <w:tcW w:w="1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A0EF4" w:rsidRPr="005F4582" w:rsidRDefault="005A0EF4" w:rsidP="00891394">
            <w:pPr>
              <w:spacing w:before="20" w:after="20" w:line="276" w:lineRule="auto"/>
              <w:jc w:val="center"/>
              <w:rPr>
                <w:rFonts w:ascii="Arial Narrow" w:eastAsiaTheme="majorEastAsia" w:hAnsi="Arial Narrow" w:cs="Arial"/>
                <w:b/>
                <w:sz w:val="20"/>
                <w:szCs w:val="20"/>
                <w:lang w:eastAsia="en-AU" w:bidi="en-US"/>
              </w:rPr>
            </w:pPr>
            <w:proofErr w:type="spellStart"/>
            <w:r w:rsidRPr="005F4582">
              <w:rPr>
                <w:rFonts w:ascii="Arial Narrow" w:eastAsiaTheme="majorEastAsia" w:hAnsi="Arial Narrow" w:cs="Arial"/>
                <w:b/>
                <w:sz w:val="20"/>
                <w:szCs w:val="20"/>
                <w:lang w:bidi="en-US"/>
              </w:rPr>
              <w:t>Durvalumab</w:t>
            </w:r>
            <w:proofErr w:type="spellEnd"/>
          </w:p>
        </w:tc>
        <w:tc>
          <w:tcPr>
            <w:tcW w:w="1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A0EF4" w:rsidRPr="005F4582" w:rsidRDefault="008170C5" w:rsidP="00891394">
            <w:pPr>
              <w:spacing w:before="20" w:after="20" w:line="276" w:lineRule="auto"/>
              <w:jc w:val="center"/>
              <w:rPr>
                <w:rFonts w:ascii="Arial Narrow" w:eastAsiaTheme="majorEastAsia" w:hAnsi="Arial Narrow" w:cs="Arial"/>
                <w:b/>
                <w:sz w:val="20"/>
                <w:szCs w:val="20"/>
                <w:lang w:eastAsia="en-AU" w:bidi="en-US"/>
              </w:rPr>
            </w:pPr>
            <w:r w:rsidRPr="005F4582">
              <w:rPr>
                <w:rFonts w:ascii="Arial Narrow" w:eastAsiaTheme="majorEastAsia" w:hAnsi="Arial Narrow" w:cs="Arial"/>
                <w:b/>
                <w:sz w:val="20"/>
                <w:szCs w:val="20"/>
                <w:lang w:bidi="en-US"/>
              </w:rPr>
              <w:t>BSC</w:t>
            </w:r>
          </w:p>
        </w:tc>
        <w:tc>
          <w:tcPr>
            <w:tcW w:w="1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A0EF4" w:rsidRPr="005F4582" w:rsidRDefault="005A0EF4" w:rsidP="00891394">
            <w:pPr>
              <w:spacing w:before="20" w:after="20" w:line="276" w:lineRule="auto"/>
              <w:jc w:val="center"/>
              <w:rPr>
                <w:rFonts w:ascii="Arial Narrow" w:eastAsiaTheme="majorEastAsia" w:hAnsi="Arial Narrow" w:cs="Arial"/>
                <w:b/>
                <w:sz w:val="20"/>
                <w:szCs w:val="20"/>
                <w:lang w:eastAsia="en-AU" w:bidi="en-US"/>
              </w:rPr>
            </w:pPr>
            <w:r w:rsidRPr="005F4582">
              <w:rPr>
                <w:rFonts w:ascii="Arial Narrow" w:eastAsiaTheme="majorEastAsia" w:hAnsi="Arial Narrow" w:cs="Arial"/>
                <w:b/>
                <w:sz w:val="20"/>
                <w:szCs w:val="20"/>
                <w:lang w:bidi="en-US"/>
              </w:rPr>
              <w:t>Incremental</w:t>
            </w:r>
          </w:p>
        </w:tc>
        <w:bookmarkEnd w:id="5"/>
        <w:tc>
          <w:tcPr>
            <w:tcW w:w="1639" w:type="dxa"/>
            <w:vMerge/>
            <w:tcBorders>
              <w:top w:val="single" w:sz="4" w:space="0" w:color="auto"/>
              <w:left w:val="single" w:sz="4" w:space="0" w:color="auto"/>
              <w:bottom w:val="single" w:sz="4" w:space="0" w:color="auto"/>
              <w:right w:val="single" w:sz="4" w:space="0" w:color="auto"/>
            </w:tcBorders>
            <w:vAlign w:val="center"/>
            <w:hideMark/>
          </w:tcPr>
          <w:p w:rsidR="005A0EF4" w:rsidRPr="005F4582" w:rsidRDefault="005A0EF4" w:rsidP="00891394">
            <w:pPr>
              <w:rPr>
                <w:rFonts w:ascii="Arial Narrow" w:eastAsiaTheme="majorEastAsia" w:hAnsi="Arial Narrow" w:cs="Arial"/>
                <w:b/>
                <w:sz w:val="20"/>
                <w:szCs w:val="20"/>
                <w:lang w:eastAsia="en-AU" w:bidi="en-US"/>
              </w:rPr>
            </w:pPr>
          </w:p>
        </w:tc>
      </w:tr>
      <w:tr w:rsidR="005A0EF4" w:rsidRPr="005F4582" w:rsidTr="00891394">
        <w:tc>
          <w:tcPr>
            <w:tcW w:w="1394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0EF4" w:rsidRPr="005F4582" w:rsidRDefault="005A0EF4" w:rsidP="00891394">
            <w:pPr>
              <w:spacing w:before="20" w:after="20" w:line="276" w:lineRule="auto"/>
              <w:rPr>
                <w:rFonts w:ascii="Arial Narrow" w:eastAsiaTheme="majorEastAsia" w:hAnsi="Arial Narrow" w:cs="Arial"/>
                <w:b/>
                <w:sz w:val="20"/>
                <w:szCs w:val="20"/>
                <w:lang w:bidi="en-US"/>
              </w:rPr>
            </w:pPr>
            <w:r w:rsidRPr="005F4582">
              <w:rPr>
                <w:rFonts w:ascii="Arial Narrow" w:eastAsiaTheme="majorEastAsia" w:hAnsi="Arial Narrow" w:cs="Arial"/>
                <w:b/>
                <w:sz w:val="20"/>
                <w:szCs w:val="20"/>
                <w:lang w:bidi="en-US"/>
              </w:rPr>
              <w:t>ITT population analysis</w:t>
            </w:r>
          </w:p>
        </w:tc>
      </w:tr>
      <w:tr w:rsidR="005A0EF4" w:rsidRPr="005F4582" w:rsidTr="00891394">
        <w:tc>
          <w:tcPr>
            <w:tcW w:w="3964" w:type="dxa"/>
            <w:tcBorders>
              <w:top w:val="single" w:sz="4" w:space="0" w:color="auto"/>
              <w:left w:val="single" w:sz="4" w:space="0" w:color="auto"/>
              <w:bottom w:val="single" w:sz="4" w:space="0" w:color="auto"/>
              <w:right w:val="single" w:sz="4" w:space="0" w:color="auto"/>
            </w:tcBorders>
            <w:hideMark/>
          </w:tcPr>
          <w:p w:rsidR="005A0EF4" w:rsidRPr="005F4582" w:rsidRDefault="005A0EF4" w:rsidP="00891394">
            <w:pPr>
              <w:spacing w:before="20" w:after="20" w:line="276" w:lineRule="auto"/>
              <w:rPr>
                <w:rFonts w:ascii="Arial Narrow" w:eastAsiaTheme="majorEastAsia" w:hAnsi="Arial Narrow" w:cs="Arial"/>
                <w:sz w:val="20"/>
                <w:szCs w:val="20"/>
                <w:lang w:bidi="en-US"/>
              </w:rPr>
            </w:pPr>
            <w:r w:rsidRPr="005F4582">
              <w:rPr>
                <w:rFonts w:ascii="Arial Narrow" w:eastAsiaTheme="majorEastAsia" w:hAnsi="Arial Narrow" w:cs="Arial"/>
                <w:sz w:val="20"/>
                <w:szCs w:val="20"/>
                <w:lang w:bidi="en-US"/>
              </w:rPr>
              <w:t>Re-specified model with subsequent PD-(L)-1 use:</w:t>
            </w:r>
          </w:p>
          <w:p w:rsidR="005A0EF4" w:rsidRPr="005F4582" w:rsidRDefault="005A0EF4" w:rsidP="00891394">
            <w:pPr>
              <w:spacing w:before="20" w:after="20" w:line="276" w:lineRule="auto"/>
              <w:rPr>
                <w:rFonts w:ascii="Arial Narrow" w:eastAsiaTheme="majorEastAsia" w:hAnsi="Arial Narrow" w:cs="Arial"/>
                <w:sz w:val="20"/>
                <w:szCs w:val="20"/>
                <w:lang w:bidi="en-US"/>
              </w:rPr>
            </w:pPr>
            <w:proofErr w:type="spellStart"/>
            <w:r w:rsidRPr="005F4582">
              <w:rPr>
                <w:rFonts w:ascii="Arial Narrow" w:eastAsiaTheme="majorEastAsia" w:hAnsi="Arial Narrow" w:cs="Arial"/>
                <w:sz w:val="20"/>
                <w:szCs w:val="20"/>
                <w:lang w:bidi="en-US"/>
              </w:rPr>
              <w:t>Durvalumab</w:t>
            </w:r>
            <w:proofErr w:type="spellEnd"/>
            <w:r w:rsidRPr="005F4582">
              <w:rPr>
                <w:rFonts w:ascii="Arial Narrow" w:eastAsiaTheme="majorEastAsia" w:hAnsi="Arial Narrow" w:cs="Arial"/>
                <w:sz w:val="20"/>
                <w:szCs w:val="20"/>
                <w:lang w:bidi="en-US"/>
              </w:rPr>
              <w:t xml:space="preserve"> = 22% and BSC = 46%</w:t>
            </w:r>
            <w:r w:rsidR="006434CD" w:rsidRPr="005F4582">
              <w:rPr>
                <w:rFonts w:ascii="Arial Narrow" w:eastAsiaTheme="majorEastAsia" w:hAnsi="Arial Narrow" w:cs="Arial"/>
                <w:sz w:val="20"/>
                <w:szCs w:val="20"/>
                <w:lang w:bidi="en-US"/>
              </w:rPr>
              <w:t xml:space="preserve"> of progressed patients</w:t>
            </w:r>
          </w:p>
        </w:tc>
        <w:tc>
          <w:tcPr>
            <w:tcW w:w="1390"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3.08</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2.45</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0.63</w:t>
            </w:r>
          </w:p>
        </w:tc>
        <w:tc>
          <w:tcPr>
            <w:tcW w:w="1639"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r>
      <w:tr w:rsidR="005A0EF4" w:rsidRPr="005F4582" w:rsidTr="00891394">
        <w:tc>
          <w:tcPr>
            <w:tcW w:w="3964" w:type="dxa"/>
            <w:tcBorders>
              <w:top w:val="single" w:sz="4" w:space="0" w:color="auto"/>
              <w:left w:val="single" w:sz="4" w:space="0" w:color="auto"/>
              <w:bottom w:val="single" w:sz="4" w:space="0" w:color="auto"/>
              <w:right w:val="single" w:sz="4" w:space="0" w:color="auto"/>
            </w:tcBorders>
            <w:hideMark/>
          </w:tcPr>
          <w:p w:rsidR="005A0EF4" w:rsidRPr="005F4582" w:rsidRDefault="005A0EF4" w:rsidP="00891394">
            <w:pPr>
              <w:spacing w:before="20" w:after="20" w:line="276" w:lineRule="auto"/>
              <w:rPr>
                <w:rFonts w:ascii="Arial Narrow" w:eastAsiaTheme="majorEastAsia" w:hAnsi="Arial Narrow" w:cs="Arial"/>
                <w:sz w:val="20"/>
                <w:szCs w:val="20"/>
                <w:lang w:bidi="en-US"/>
              </w:rPr>
            </w:pPr>
            <w:r w:rsidRPr="005F4582">
              <w:rPr>
                <w:rFonts w:ascii="Arial Narrow" w:eastAsiaTheme="majorEastAsia" w:hAnsi="Arial Narrow" w:cs="Arial"/>
                <w:sz w:val="20"/>
                <w:szCs w:val="20"/>
                <w:lang w:bidi="en-US"/>
              </w:rPr>
              <w:t>Re-specified model with subsequent PD-(L)-1 use:</w:t>
            </w:r>
          </w:p>
          <w:p w:rsidR="005A0EF4" w:rsidRPr="005F4582" w:rsidRDefault="005A0EF4" w:rsidP="00891394">
            <w:pPr>
              <w:spacing w:before="20" w:after="20" w:line="276" w:lineRule="auto"/>
              <w:rPr>
                <w:rFonts w:ascii="Arial Narrow" w:eastAsiaTheme="majorEastAsia" w:hAnsi="Arial Narrow" w:cs="Arial"/>
                <w:sz w:val="20"/>
                <w:szCs w:val="20"/>
                <w:lang w:bidi="en-US"/>
              </w:rPr>
            </w:pPr>
            <w:proofErr w:type="spellStart"/>
            <w:r w:rsidRPr="005F4582">
              <w:rPr>
                <w:rFonts w:ascii="Arial Narrow" w:eastAsiaTheme="majorEastAsia" w:hAnsi="Arial Narrow" w:cs="Arial"/>
                <w:sz w:val="20"/>
                <w:szCs w:val="20"/>
                <w:lang w:bidi="en-US"/>
              </w:rPr>
              <w:t>Durvalumab</w:t>
            </w:r>
            <w:proofErr w:type="spellEnd"/>
            <w:r w:rsidRPr="005F4582">
              <w:rPr>
                <w:rFonts w:ascii="Arial Narrow" w:eastAsiaTheme="majorEastAsia" w:hAnsi="Arial Narrow" w:cs="Arial"/>
                <w:sz w:val="20"/>
                <w:szCs w:val="20"/>
                <w:lang w:bidi="en-US"/>
              </w:rPr>
              <w:t xml:space="preserve"> = 0% and BSC = 70%</w:t>
            </w:r>
            <w:r w:rsidRPr="005F4582">
              <w:rPr>
                <w:rFonts w:ascii="Arial Narrow" w:eastAsiaTheme="majorEastAsia" w:hAnsi="Arial Narrow" w:cs="Arial"/>
                <w:sz w:val="20"/>
                <w:szCs w:val="20"/>
                <w:vertAlign w:val="superscript"/>
                <w:lang w:bidi="en-US"/>
              </w:rPr>
              <w:t>a</w:t>
            </w:r>
            <w:r w:rsidR="006434CD" w:rsidRPr="005F4582">
              <w:rPr>
                <w:rFonts w:ascii="Arial Narrow" w:eastAsiaTheme="majorEastAsia" w:hAnsi="Arial Narrow" w:cs="Arial"/>
                <w:sz w:val="20"/>
                <w:szCs w:val="20"/>
                <w:vertAlign w:val="superscript"/>
                <w:lang w:bidi="en-US"/>
              </w:rPr>
              <w:t xml:space="preserve"> </w:t>
            </w:r>
            <w:r w:rsidR="006434CD" w:rsidRPr="005F4582">
              <w:rPr>
                <w:rFonts w:ascii="Arial Narrow" w:eastAsiaTheme="majorEastAsia" w:hAnsi="Arial Narrow" w:cs="Arial"/>
                <w:sz w:val="20"/>
                <w:szCs w:val="20"/>
                <w:lang w:bidi="en-US"/>
              </w:rPr>
              <w:t>of progressed patients</w:t>
            </w:r>
          </w:p>
        </w:tc>
        <w:tc>
          <w:tcPr>
            <w:tcW w:w="1390"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3.08</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2.45</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0.63</w:t>
            </w:r>
          </w:p>
        </w:tc>
        <w:tc>
          <w:tcPr>
            <w:tcW w:w="1639"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r>
      <w:tr w:rsidR="005A0EF4" w:rsidRPr="005F4582" w:rsidTr="00891394">
        <w:tc>
          <w:tcPr>
            <w:tcW w:w="1394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0EF4" w:rsidRPr="005F4582" w:rsidRDefault="005A0EF4" w:rsidP="00891394">
            <w:pPr>
              <w:spacing w:before="20" w:after="20" w:line="276" w:lineRule="auto"/>
              <w:rPr>
                <w:rFonts w:ascii="Arial Narrow" w:eastAsiaTheme="majorEastAsia" w:hAnsi="Arial Narrow" w:cs="Arial"/>
                <w:b/>
                <w:sz w:val="20"/>
                <w:szCs w:val="20"/>
                <w:lang w:bidi="en-US"/>
              </w:rPr>
            </w:pPr>
            <w:r w:rsidRPr="005F4582">
              <w:rPr>
                <w:rFonts w:ascii="Arial Narrow" w:eastAsiaTheme="majorEastAsia" w:hAnsi="Arial Narrow" w:cs="Arial"/>
                <w:b/>
                <w:sz w:val="20"/>
                <w:szCs w:val="20"/>
                <w:lang w:bidi="en-US"/>
              </w:rPr>
              <w:t>RPSFT-adjusted analysis</w:t>
            </w:r>
          </w:p>
        </w:tc>
      </w:tr>
      <w:tr w:rsidR="005A0EF4" w:rsidRPr="005F4582" w:rsidTr="00891394">
        <w:tc>
          <w:tcPr>
            <w:tcW w:w="3964" w:type="dxa"/>
            <w:tcBorders>
              <w:top w:val="single" w:sz="4" w:space="0" w:color="auto"/>
              <w:left w:val="single" w:sz="4" w:space="0" w:color="auto"/>
              <w:bottom w:val="single" w:sz="4" w:space="0" w:color="auto"/>
              <w:right w:val="single" w:sz="4" w:space="0" w:color="auto"/>
            </w:tcBorders>
            <w:hideMark/>
          </w:tcPr>
          <w:p w:rsidR="005A0EF4" w:rsidRPr="005F4582" w:rsidRDefault="005A0EF4" w:rsidP="00891394">
            <w:pPr>
              <w:spacing w:before="20" w:after="20" w:line="276" w:lineRule="auto"/>
              <w:rPr>
                <w:rFonts w:ascii="Arial Narrow" w:eastAsiaTheme="majorEastAsia" w:hAnsi="Arial Narrow" w:cs="Arial"/>
                <w:sz w:val="20"/>
                <w:szCs w:val="20"/>
                <w:lang w:bidi="en-US"/>
              </w:rPr>
            </w:pPr>
            <w:r w:rsidRPr="005F4582">
              <w:rPr>
                <w:rFonts w:ascii="Arial Narrow" w:eastAsiaTheme="majorEastAsia" w:hAnsi="Arial Narrow" w:cs="Arial"/>
                <w:sz w:val="20"/>
                <w:szCs w:val="20"/>
                <w:lang w:bidi="en-US"/>
              </w:rPr>
              <w:t>Re-specified model with subsequent PD-(L)-1 use:</w:t>
            </w:r>
          </w:p>
          <w:p w:rsidR="005A0EF4" w:rsidRPr="005F4582" w:rsidRDefault="005A0EF4" w:rsidP="00891394">
            <w:pPr>
              <w:spacing w:before="20" w:after="20" w:line="276" w:lineRule="auto"/>
              <w:rPr>
                <w:rFonts w:ascii="Arial Narrow" w:eastAsiaTheme="majorEastAsia" w:hAnsi="Arial Narrow" w:cs="Arial"/>
                <w:sz w:val="20"/>
                <w:szCs w:val="20"/>
                <w:lang w:bidi="en-US"/>
              </w:rPr>
            </w:pPr>
            <w:proofErr w:type="spellStart"/>
            <w:r w:rsidRPr="005F4582">
              <w:rPr>
                <w:rFonts w:ascii="Arial Narrow" w:eastAsiaTheme="majorEastAsia" w:hAnsi="Arial Narrow" w:cs="Arial"/>
                <w:sz w:val="20"/>
                <w:szCs w:val="20"/>
                <w:lang w:bidi="en-US"/>
              </w:rPr>
              <w:t>Durvalumab</w:t>
            </w:r>
            <w:proofErr w:type="spellEnd"/>
            <w:r w:rsidRPr="005F4582">
              <w:rPr>
                <w:rFonts w:ascii="Arial Narrow" w:eastAsiaTheme="majorEastAsia" w:hAnsi="Arial Narrow" w:cs="Arial"/>
                <w:sz w:val="20"/>
                <w:szCs w:val="20"/>
                <w:lang w:bidi="en-US"/>
              </w:rPr>
              <w:t xml:space="preserve"> = 0% and BSC = 100%</w:t>
            </w:r>
            <w:r w:rsidR="006434CD" w:rsidRPr="005F4582">
              <w:rPr>
                <w:rFonts w:ascii="Arial Narrow" w:eastAsiaTheme="majorEastAsia" w:hAnsi="Arial Narrow" w:cs="Arial"/>
                <w:sz w:val="20"/>
                <w:szCs w:val="20"/>
                <w:lang w:bidi="en-US"/>
              </w:rPr>
              <w:t xml:space="preserve"> of progressed patients</w:t>
            </w:r>
          </w:p>
        </w:tc>
        <w:tc>
          <w:tcPr>
            <w:tcW w:w="1390"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3.07</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2.59</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0.48</w:t>
            </w:r>
          </w:p>
        </w:tc>
        <w:tc>
          <w:tcPr>
            <w:tcW w:w="1639"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r>
      <w:tr w:rsidR="005A0EF4" w:rsidRPr="005F4582" w:rsidTr="00891394">
        <w:tc>
          <w:tcPr>
            <w:tcW w:w="3964" w:type="dxa"/>
            <w:tcBorders>
              <w:top w:val="single" w:sz="4" w:space="0" w:color="auto"/>
              <w:left w:val="single" w:sz="4" w:space="0" w:color="auto"/>
              <w:bottom w:val="single" w:sz="4" w:space="0" w:color="auto"/>
              <w:right w:val="single" w:sz="4" w:space="0" w:color="auto"/>
            </w:tcBorders>
            <w:hideMark/>
          </w:tcPr>
          <w:p w:rsidR="005A0EF4" w:rsidRPr="005F4582" w:rsidRDefault="005A0EF4" w:rsidP="00891394">
            <w:pPr>
              <w:spacing w:before="20" w:after="20" w:line="276" w:lineRule="auto"/>
              <w:rPr>
                <w:rFonts w:ascii="Arial Narrow" w:eastAsiaTheme="majorEastAsia" w:hAnsi="Arial Narrow" w:cs="Arial"/>
                <w:sz w:val="20"/>
                <w:szCs w:val="20"/>
                <w:lang w:bidi="en-US"/>
              </w:rPr>
            </w:pPr>
            <w:r w:rsidRPr="005F4582">
              <w:rPr>
                <w:rFonts w:ascii="Arial Narrow" w:eastAsiaTheme="majorEastAsia" w:hAnsi="Arial Narrow" w:cs="Arial"/>
                <w:sz w:val="20"/>
                <w:szCs w:val="20"/>
                <w:lang w:bidi="en-US"/>
              </w:rPr>
              <w:t>Re-specified model with subsequent PD-(L)-1 use:</w:t>
            </w:r>
          </w:p>
          <w:p w:rsidR="005A0EF4" w:rsidRPr="005F4582" w:rsidRDefault="005A0EF4" w:rsidP="00891394">
            <w:pPr>
              <w:spacing w:before="20" w:after="20" w:line="276" w:lineRule="auto"/>
              <w:rPr>
                <w:rFonts w:ascii="Arial Narrow" w:eastAsiaTheme="majorEastAsia" w:hAnsi="Arial Narrow" w:cs="Arial"/>
                <w:sz w:val="20"/>
                <w:szCs w:val="20"/>
                <w:lang w:bidi="en-US"/>
              </w:rPr>
            </w:pPr>
            <w:proofErr w:type="spellStart"/>
            <w:r w:rsidRPr="005F4582">
              <w:rPr>
                <w:rFonts w:ascii="Arial Narrow" w:eastAsiaTheme="majorEastAsia" w:hAnsi="Arial Narrow" w:cs="Arial"/>
                <w:sz w:val="20"/>
                <w:szCs w:val="20"/>
                <w:lang w:bidi="en-US"/>
              </w:rPr>
              <w:t>Durvalumab</w:t>
            </w:r>
            <w:proofErr w:type="spellEnd"/>
            <w:r w:rsidRPr="005F4582">
              <w:rPr>
                <w:rFonts w:ascii="Arial Narrow" w:eastAsiaTheme="majorEastAsia" w:hAnsi="Arial Narrow" w:cs="Arial"/>
                <w:sz w:val="20"/>
                <w:szCs w:val="20"/>
                <w:lang w:bidi="en-US"/>
              </w:rPr>
              <w:t xml:space="preserve"> = 0% and BSC = 70%</w:t>
            </w:r>
            <w:r w:rsidRPr="005F4582">
              <w:rPr>
                <w:rFonts w:ascii="Arial Narrow" w:eastAsiaTheme="majorEastAsia" w:hAnsi="Arial Narrow" w:cs="Arial"/>
                <w:sz w:val="20"/>
                <w:szCs w:val="20"/>
                <w:vertAlign w:val="superscript"/>
                <w:lang w:bidi="en-US"/>
              </w:rPr>
              <w:t>a</w:t>
            </w:r>
            <w:r w:rsidR="006434CD" w:rsidRPr="005F4582">
              <w:rPr>
                <w:rFonts w:ascii="Arial Narrow" w:eastAsiaTheme="majorEastAsia" w:hAnsi="Arial Narrow" w:cs="Arial"/>
                <w:sz w:val="20"/>
                <w:szCs w:val="20"/>
                <w:vertAlign w:val="superscript"/>
                <w:lang w:bidi="en-US"/>
              </w:rPr>
              <w:t xml:space="preserve"> </w:t>
            </w:r>
            <w:r w:rsidR="006434CD" w:rsidRPr="005F4582">
              <w:rPr>
                <w:rFonts w:ascii="Arial Narrow" w:eastAsiaTheme="majorEastAsia" w:hAnsi="Arial Narrow" w:cs="Arial"/>
                <w:sz w:val="20"/>
                <w:szCs w:val="20"/>
                <w:lang w:bidi="en-US"/>
              </w:rPr>
              <w:t>of progressed patients</w:t>
            </w:r>
          </w:p>
        </w:tc>
        <w:tc>
          <w:tcPr>
            <w:tcW w:w="1390"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3.07</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2.59</w:t>
            </w:r>
          </w:p>
        </w:tc>
        <w:tc>
          <w:tcPr>
            <w:tcW w:w="1391"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0.48</w:t>
            </w:r>
          </w:p>
        </w:tc>
        <w:tc>
          <w:tcPr>
            <w:tcW w:w="1639" w:type="dxa"/>
            <w:tcBorders>
              <w:top w:val="single" w:sz="4" w:space="0" w:color="auto"/>
              <w:left w:val="single" w:sz="4" w:space="0" w:color="auto"/>
              <w:bottom w:val="single" w:sz="4" w:space="0" w:color="auto"/>
              <w:right w:val="single" w:sz="4" w:space="0" w:color="auto"/>
            </w:tcBorders>
            <w:vAlign w:val="center"/>
          </w:tcPr>
          <w:p w:rsidR="005A0EF4" w:rsidRPr="005F4582" w:rsidRDefault="005A0EF4" w:rsidP="00891394">
            <w:pPr>
              <w:spacing w:before="20" w:after="20" w:line="276" w:lineRule="auto"/>
              <w:jc w:val="center"/>
              <w:rPr>
                <w:rFonts w:ascii="Arial Narrow" w:eastAsiaTheme="majorEastAsia" w:hAnsi="Arial Narrow" w:cs="Arial"/>
                <w:sz w:val="20"/>
                <w:szCs w:val="20"/>
                <w:lang w:bidi="en-US"/>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r>
    </w:tbl>
    <w:p w:rsidR="005A0EF4" w:rsidRPr="005F4582" w:rsidRDefault="005A0EF4" w:rsidP="005A0EF4">
      <w:pPr>
        <w:rPr>
          <w:rFonts w:ascii="Arial Narrow" w:hAnsi="Arial Narrow"/>
          <w:sz w:val="18"/>
        </w:rPr>
      </w:pPr>
      <w:r w:rsidRPr="005F4582">
        <w:rPr>
          <w:rFonts w:ascii="Arial Narrow" w:hAnsi="Arial Narrow"/>
          <w:sz w:val="18"/>
        </w:rPr>
        <w:t xml:space="preserve">Source: Attachment 2 </w:t>
      </w:r>
      <w:proofErr w:type="spellStart"/>
      <w:r w:rsidRPr="005F4582">
        <w:rPr>
          <w:rFonts w:ascii="Arial Narrow" w:hAnsi="Arial Narrow"/>
          <w:sz w:val="18"/>
        </w:rPr>
        <w:t>Imfinzi</w:t>
      </w:r>
      <w:proofErr w:type="spellEnd"/>
      <w:r w:rsidRPr="005F4582">
        <w:rPr>
          <w:rFonts w:ascii="Arial Narrow" w:hAnsi="Arial Narrow"/>
          <w:sz w:val="18"/>
        </w:rPr>
        <w:t xml:space="preserve"> (</w:t>
      </w:r>
      <w:proofErr w:type="spellStart"/>
      <w:r w:rsidRPr="005F4582">
        <w:rPr>
          <w:rFonts w:ascii="Arial Narrow" w:hAnsi="Arial Narrow"/>
          <w:sz w:val="18"/>
        </w:rPr>
        <w:t>durvalumab</w:t>
      </w:r>
      <w:proofErr w:type="spellEnd"/>
      <w:r w:rsidRPr="005F4582">
        <w:rPr>
          <w:rFonts w:ascii="Arial Narrow" w:hAnsi="Arial Narrow"/>
          <w:sz w:val="18"/>
        </w:rPr>
        <w:t xml:space="preserve">) Economic Evaluation – ITT - minor.xlsx worksheet “Results” and Attachment 3 </w:t>
      </w:r>
      <w:proofErr w:type="spellStart"/>
      <w:r w:rsidRPr="005F4582">
        <w:rPr>
          <w:rFonts w:ascii="Arial Narrow" w:hAnsi="Arial Narrow"/>
          <w:sz w:val="18"/>
        </w:rPr>
        <w:t>Imfinzi</w:t>
      </w:r>
      <w:proofErr w:type="spellEnd"/>
      <w:r w:rsidRPr="005F4582">
        <w:rPr>
          <w:rFonts w:ascii="Arial Narrow" w:hAnsi="Arial Narrow"/>
          <w:sz w:val="18"/>
        </w:rPr>
        <w:t xml:space="preserve"> (</w:t>
      </w:r>
      <w:proofErr w:type="spellStart"/>
      <w:r w:rsidRPr="005F4582">
        <w:rPr>
          <w:rFonts w:ascii="Arial Narrow" w:hAnsi="Arial Narrow"/>
          <w:sz w:val="18"/>
        </w:rPr>
        <w:t>durvalumab</w:t>
      </w:r>
      <w:proofErr w:type="spellEnd"/>
      <w:r w:rsidRPr="005F4582">
        <w:rPr>
          <w:rFonts w:ascii="Arial Narrow" w:hAnsi="Arial Narrow"/>
          <w:sz w:val="18"/>
        </w:rPr>
        <w:t>) Economic Evaluation – RPSFT - Minor.xlsx worksheet “Results”</w:t>
      </w:r>
    </w:p>
    <w:p w:rsidR="005A0EF4" w:rsidRPr="005F4582" w:rsidRDefault="005A0EF4" w:rsidP="005A0EF4">
      <w:pPr>
        <w:rPr>
          <w:rFonts w:ascii="Arial Narrow" w:hAnsi="Arial Narrow"/>
          <w:sz w:val="18"/>
        </w:rPr>
      </w:pPr>
      <w:r w:rsidRPr="005F4582">
        <w:rPr>
          <w:rFonts w:ascii="Arial Narrow" w:hAnsi="Arial Narrow"/>
          <w:sz w:val="18"/>
        </w:rPr>
        <w:t xml:space="preserve">Abbreviations: </w:t>
      </w:r>
      <w:r w:rsidR="008170C5" w:rsidRPr="005F4582">
        <w:rPr>
          <w:rFonts w:ascii="Arial Narrow" w:hAnsi="Arial Narrow"/>
          <w:sz w:val="18"/>
        </w:rPr>
        <w:t xml:space="preserve">BSC: best supportive care; </w:t>
      </w:r>
      <w:r w:rsidRPr="005F4582">
        <w:rPr>
          <w:rFonts w:ascii="Arial Narrow" w:hAnsi="Arial Narrow"/>
          <w:sz w:val="18"/>
        </w:rPr>
        <w:t>ICER: incremental cost-effectiveness ratio; QALY: quality</w:t>
      </w:r>
      <w:r w:rsidRPr="005F4582">
        <w:rPr>
          <w:rFonts w:ascii="Arial Narrow" w:hAnsi="Arial Narrow"/>
          <w:sz w:val="18"/>
        </w:rPr>
        <w:noBreakHyphen/>
        <w:t>adjusted life year</w:t>
      </w:r>
    </w:p>
    <w:p w:rsidR="00344C32" w:rsidRPr="005F4582" w:rsidRDefault="005A0EF4" w:rsidP="005A0EF4">
      <w:pPr>
        <w:rPr>
          <w:rFonts w:ascii="Arial Narrow" w:hAnsi="Arial Narrow"/>
          <w:sz w:val="18"/>
        </w:rPr>
      </w:pPr>
      <w:r w:rsidRPr="005F4582">
        <w:rPr>
          <w:rFonts w:ascii="Arial Narrow" w:hAnsi="Arial Narrow"/>
          <w:sz w:val="18"/>
        </w:rPr>
        <w:t>a: The absolute change in the use of subsequent PD-(L)1 inhibitors from that observed in PACIFIC trial is proportionally re distributed across the other categories to ensure that the total use of subsequent therapies remains unchanged.</w:t>
      </w:r>
    </w:p>
    <w:p w:rsidR="00344C32" w:rsidRPr="005F4582" w:rsidRDefault="00344C32" w:rsidP="005A0EF4">
      <w:pPr>
        <w:rPr>
          <w:rFonts w:ascii="Arial Narrow" w:hAnsi="Arial Narrow"/>
          <w:sz w:val="18"/>
        </w:rPr>
      </w:pPr>
    </w:p>
    <w:p w:rsidR="00032B54" w:rsidRDefault="00800F2F" w:rsidP="00032B54">
      <w:pPr>
        <w:pStyle w:val="Bodytextitalics"/>
        <w:numPr>
          <w:ilvl w:val="0"/>
          <w:numId w:val="0"/>
        </w:numPr>
        <w:jc w:val="both"/>
        <w:rPr>
          <w:rFonts w:eastAsia="Times New Roman" w:cstheme="minorHAnsi"/>
          <w:i w:val="0"/>
          <w:snapToGrid w:val="0"/>
          <w:szCs w:val="24"/>
          <w:lang w:eastAsia="en-US"/>
        </w:rPr>
      </w:pPr>
      <w:r>
        <w:rPr>
          <w:rFonts w:eastAsia="Times New Roman" w:cstheme="minorHAnsi"/>
          <w:i w:val="0"/>
          <w:snapToGrid w:val="0"/>
          <w:szCs w:val="24"/>
          <w:lang w:eastAsia="en-US"/>
        </w:rPr>
        <w:t>The redacted table shows ICERs in the range of $15,000/QALY – $75,000/QALY.</w:t>
      </w:r>
    </w:p>
    <w:p w:rsidR="008D4FE5" w:rsidRPr="005F4582" w:rsidRDefault="00344C32" w:rsidP="008D4FE5">
      <w:pPr>
        <w:pStyle w:val="Bodytextitalics"/>
        <w:jc w:val="both"/>
        <w:rPr>
          <w:rFonts w:eastAsia="Times New Roman" w:cstheme="minorHAnsi"/>
          <w:i w:val="0"/>
          <w:snapToGrid w:val="0"/>
          <w:szCs w:val="24"/>
          <w:lang w:eastAsia="en-US"/>
        </w:rPr>
      </w:pPr>
      <w:r w:rsidRPr="005F4582">
        <w:rPr>
          <w:rFonts w:eastAsia="Times New Roman" w:cstheme="minorHAnsi"/>
          <w:i w:val="0"/>
          <w:snapToGrid w:val="0"/>
          <w:szCs w:val="24"/>
          <w:lang w:eastAsia="en-US"/>
        </w:rPr>
        <w:lastRenderedPageBreak/>
        <w:t xml:space="preserve">The minor resubmission considered </w:t>
      </w:r>
      <w:r w:rsidR="00C15816" w:rsidRPr="005F4582">
        <w:rPr>
          <w:rFonts w:eastAsia="Times New Roman" w:cstheme="minorHAnsi"/>
          <w:i w:val="0"/>
          <w:snapToGrid w:val="0"/>
          <w:szCs w:val="24"/>
          <w:lang w:eastAsia="en-US"/>
        </w:rPr>
        <w:t xml:space="preserve">the </w:t>
      </w:r>
      <w:r w:rsidRPr="005F4582">
        <w:rPr>
          <w:rFonts w:eastAsia="Times New Roman" w:cstheme="minorHAnsi"/>
          <w:i w:val="0"/>
          <w:snapToGrid w:val="0"/>
          <w:szCs w:val="24"/>
          <w:lang w:eastAsia="en-US"/>
        </w:rPr>
        <w:t xml:space="preserve">ITT analysis </w:t>
      </w:r>
      <w:r w:rsidR="00AB5EBC" w:rsidRPr="005F4582">
        <w:rPr>
          <w:rFonts w:eastAsia="Times New Roman" w:cstheme="minorHAnsi"/>
          <w:i w:val="0"/>
          <w:snapToGrid w:val="0"/>
          <w:szCs w:val="24"/>
          <w:lang w:eastAsia="en-US"/>
        </w:rPr>
        <w:t>with</w:t>
      </w:r>
      <w:r w:rsidRPr="005F4582">
        <w:rPr>
          <w:rFonts w:eastAsia="Times New Roman" w:cstheme="minorHAnsi"/>
          <w:i w:val="0"/>
          <w:snapToGrid w:val="0"/>
          <w:szCs w:val="24"/>
          <w:lang w:eastAsia="en-US"/>
        </w:rPr>
        <w:t xml:space="preserve"> </w:t>
      </w:r>
      <w:r w:rsidR="00CF0E42" w:rsidRPr="005F4582">
        <w:rPr>
          <w:rFonts w:eastAsia="Times New Roman" w:cstheme="minorHAnsi"/>
          <w:i w:val="0"/>
          <w:snapToGrid w:val="0"/>
          <w:szCs w:val="24"/>
          <w:lang w:eastAsia="en-US"/>
        </w:rPr>
        <w:t xml:space="preserve">the </w:t>
      </w:r>
      <w:r w:rsidR="004545D9" w:rsidRPr="005F4582">
        <w:rPr>
          <w:rFonts w:eastAsia="Times New Roman" w:cstheme="minorHAnsi"/>
          <w:i w:val="0"/>
          <w:snapToGrid w:val="0"/>
          <w:szCs w:val="24"/>
          <w:lang w:eastAsia="en-US"/>
        </w:rPr>
        <w:t xml:space="preserve">costs </w:t>
      </w:r>
      <w:r w:rsidR="00AB5EBC" w:rsidRPr="005F4582">
        <w:rPr>
          <w:rFonts w:eastAsia="Times New Roman" w:cstheme="minorHAnsi"/>
          <w:i w:val="0"/>
          <w:snapToGrid w:val="0"/>
          <w:szCs w:val="24"/>
          <w:lang w:eastAsia="en-US"/>
        </w:rPr>
        <w:t xml:space="preserve">adjusted </w:t>
      </w:r>
      <w:r w:rsidR="008170C5" w:rsidRPr="005F4582">
        <w:rPr>
          <w:rFonts w:eastAsia="Times New Roman" w:cstheme="minorHAnsi"/>
          <w:i w:val="0"/>
          <w:snapToGrid w:val="0"/>
          <w:szCs w:val="24"/>
          <w:lang w:eastAsia="en-US"/>
        </w:rPr>
        <w:t xml:space="preserve">for </w:t>
      </w:r>
      <w:r w:rsidRPr="005F4582">
        <w:rPr>
          <w:rFonts w:eastAsia="Times New Roman" w:cstheme="minorHAnsi"/>
          <w:i w:val="0"/>
          <w:snapToGrid w:val="0"/>
          <w:szCs w:val="24"/>
          <w:lang w:eastAsia="en-US"/>
        </w:rPr>
        <w:t>subsequent PD-(L</w:t>
      </w:r>
      <w:proofErr w:type="gramStart"/>
      <w:r w:rsidRPr="005F4582">
        <w:rPr>
          <w:rFonts w:eastAsia="Times New Roman" w:cstheme="minorHAnsi"/>
          <w:i w:val="0"/>
          <w:snapToGrid w:val="0"/>
          <w:szCs w:val="24"/>
          <w:lang w:eastAsia="en-US"/>
        </w:rPr>
        <w:t>)1</w:t>
      </w:r>
      <w:proofErr w:type="gramEnd"/>
      <w:r w:rsidRPr="005F4582">
        <w:rPr>
          <w:rFonts w:eastAsia="Times New Roman" w:cstheme="minorHAnsi"/>
          <w:i w:val="0"/>
          <w:snapToGrid w:val="0"/>
          <w:szCs w:val="24"/>
          <w:lang w:eastAsia="en-US"/>
        </w:rPr>
        <w:t xml:space="preserve"> use</w:t>
      </w:r>
      <w:r w:rsidR="006434CD" w:rsidRPr="005F4582">
        <w:rPr>
          <w:rFonts w:eastAsia="Times New Roman" w:cstheme="minorHAnsi"/>
          <w:i w:val="0"/>
          <w:snapToGrid w:val="0"/>
          <w:szCs w:val="24"/>
          <w:lang w:eastAsia="en-US"/>
        </w:rPr>
        <w:t xml:space="preserve"> in progressed patients</w:t>
      </w:r>
      <w:r w:rsidR="004545D9" w:rsidRPr="005F4582">
        <w:rPr>
          <w:rFonts w:eastAsia="Times New Roman" w:cstheme="minorHAnsi"/>
          <w:i w:val="0"/>
          <w:snapToGrid w:val="0"/>
          <w:szCs w:val="24"/>
          <w:lang w:eastAsia="en-US"/>
        </w:rPr>
        <w:t>,</w:t>
      </w:r>
      <w:r w:rsidR="00FA27BA" w:rsidRPr="005F4582">
        <w:rPr>
          <w:rFonts w:eastAsia="Times New Roman" w:cstheme="minorHAnsi"/>
          <w:i w:val="0"/>
          <w:snapToGrid w:val="0"/>
          <w:szCs w:val="24"/>
          <w:lang w:eastAsia="en-US"/>
        </w:rPr>
        <w:t xml:space="preserve"> with an ICER of $</w:t>
      </w:r>
      <w:r w:rsidR="00032B54">
        <w:rPr>
          <w:rFonts w:eastAsia="Times New Roman" w:cstheme="minorHAnsi"/>
          <w:i w:val="0"/>
          <w:snapToGrid w:val="0"/>
          <w:szCs w:val="24"/>
          <w:lang w:eastAsia="en-US"/>
        </w:rPr>
        <w:t>15,000</w:t>
      </w:r>
      <w:r w:rsidR="00FA27BA" w:rsidRPr="005F4582">
        <w:rPr>
          <w:rFonts w:eastAsia="Times New Roman" w:cstheme="minorHAnsi"/>
          <w:i w:val="0"/>
          <w:snapToGrid w:val="0"/>
          <w:szCs w:val="24"/>
          <w:lang w:eastAsia="en-US"/>
        </w:rPr>
        <w:t>/QALY</w:t>
      </w:r>
      <w:r w:rsidR="00032B54">
        <w:rPr>
          <w:rFonts w:eastAsia="Times New Roman" w:cstheme="minorHAnsi"/>
          <w:i w:val="0"/>
          <w:snapToGrid w:val="0"/>
          <w:szCs w:val="24"/>
          <w:lang w:eastAsia="en-US"/>
        </w:rPr>
        <w:t xml:space="preserve"> - $45,000/QALY</w:t>
      </w:r>
      <w:r w:rsidR="00FA27BA" w:rsidRPr="005F4582">
        <w:rPr>
          <w:rFonts w:eastAsia="Times New Roman" w:cstheme="minorHAnsi"/>
          <w:i w:val="0"/>
          <w:snapToGrid w:val="0"/>
          <w:szCs w:val="24"/>
          <w:lang w:eastAsia="en-US"/>
        </w:rPr>
        <w:t>,</w:t>
      </w:r>
      <w:r w:rsidRPr="005F4582">
        <w:rPr>
          <w:rFonts w:eastAsia="Times New Roman" w:cstheme="minorHAnsi"/>
          <w:i w:val="0"/>
          <w:snapToGrid w:val="0"/>
          <w:szCs w:val="24"/>
          <w:lang w:eastAsia="en-US"/>
        </w:rPr>
        <w:t xml:space="preserve"> to be the most appropriate base case for consideration by the PBAC. </w:t>
      </w:r>
      <w:r w:rsidR="00C15816" w:rsidRPr="005F4582">
        <w:rPr>
          <w:rFonts w:eastAsia="Times New Roman" w:cstheme="minorHAnsi"/>
          <w:i w:val="0"/>
          <w:snapToGrid w:val="0"/>
          <w:szCs w:val="24"/>
          <w:lang w:eastAsia="en-US"/>
        </w:rPr>
        <w:t xml:space="preserve">This analysis changed the costs in both treatment arms but did not change the outcomes in either treatment arm. </w:t>
      </w:r>
      <w:r w:rsidR="00B45F5C" w:rsidRPr="005F4582">
        <w:rPr>
          <w:rFonts w:eastAsia="Times New Roman" w:cstheme="minorHAnsi"/>
          <w:i w:val="0"/>
          <w:snapToGrid w:val="0"/>
          <w:szCs w:val="24"/>
          <w:lang w:eastAsia="en-US"/>
        </w:rPr>
        <w:t>Decreasing the proportion of subsequent PD-(L</w:t>
      </w:r>
      <w:proofErr w:type="gramStart"/>
      <w:r w:rsidR="00B45F5C" w:rsidRPr="005F4582">
        <w:rPr>
          <w:rFonts w:eastAsia="Times New Roman" w:cstheme="minorHAnsi"/>
          <w:i w:val="0"/>
          <w:snapToGrid w:val="0"/>
          <w:szCs w:val="24"/>
          <w:lang w:eastAsia="en-US"/>
        </w:rPr>
        <w:t>)1</w:t>
      </w:r>
      <w:proofErr w:type="gramEnd"/>
      <w:r w:rsidR="00B45F5C" w:rsidRPr="005F4582">
        <w:rPr>
          <w:rFonts w:eastAsia="Times New Roman" w:cstheme="minorHAnsi"/>
          <w:i w:val="0"/>
          <w:snapToGrid w:val="0"/>
          <w:szCs w:val="24"/>
          <w:lang w:eastAsia="en-US"/>
        </w:rPr>
        <w:t xml:space="preserve"> use</w:t>
      </w:r>
      <w:r w:rsidR="006434CD" w:rsidRPr="005F4582">
        <w:rPr>
          <w:rFonts w:eastAsia="Times New Roman" w:cstheme="minorHAnsi"/>
          <w:i w:val="0"/>
          <w:snapToGrid w:val="0"/>
          <w:szCs w:val="24"/>
          <w:lang w:eastAsia="en-US"/>
        </w:rPr>
        <w:t xml:space="preserve"> in progressed patients</w:t>
      </w:r>
      <w:r w:rsidR="00B45F5C" w:rsidRPr="005F4582">
        <w:rPr>
          <w:rFonts w:eastAsia="Times New Roman" w:cstheme="minorHAnsi"/>
          <w:i w:val="0"/>
          <w:snapToGrid w:val="0"/>
          <w:szCs w:val="24"/>
          <w:lang w:eastAsia="en-US"/>
        </w:rPr>
        <w:t xml:space="preserve"> in the </w:t>
      </w:r>
      <w:proofErr w:type="spellStart"/>
      <w:r w:rsidR="00B45F5C" w:rsidRPr="005F4582">
        <w:rPr>
          <w:rFonts w:eastAsia="Times New Roman" w:cstheme="minorHAnsi"/>
          <w:i w:val="0"/>
          <w:snapToGrid w:val="0"/>
          <w:szCs w:val="24"/>
          <w:lang w:eastAsia="en-US"/>
        </w:rPr>
        <w:t>durvalumab</w:t>
      </w:r>
      <w:proofErr w:type="spellEnd"/>
      <w:r w:rsidR="00B45F5C" w:rsidRPr="005F4582">
        <w:rPr>
          <w:rFonts w:eastAsia="Times New Roman" w:cstheme="minorHAnsi"/>
          <w:i w:val="0"/>
          <w:snapToGrid w:val="0"/>
          <w:szCs w:val="24"/>
          <w:lang w:eastAsia="en-US"/>
        </w:rPr>
        <w:t xml:space="preserve"> arm</w:t>
      </w:r>
      <w:r w:rsidR="00E54FFF" w:rsidRPr="005F4582">
        <w:rPr>
          <w:rFonts w:eastAsia="Times New Roman" w:cstheme="minorHAnsi"/>
          <w:i w:val="0"/>
          <w:snapToGrid w:val="0"/>
          <w:szCs w:val="24"/>
          <w:lang w:eastAsia="en-US"/>
        </w:rPr>
        <w:t xml:space="preserve"> </w:t>
      </w:r>
      <w:r w:rsidR="00B45F5C" w:rsidRPr="005F4582">
        <w:rPr>
          <w:rFonts w:eastAsia="Times New Roman" w:cstheme="minorHAnsi"/>
          <w:i w:val="0"/>
          <w:snapToGrid w:val="0"/>
          <w:szCs w:val="24"/>
          <w:lang w:eastAsia="en-US"/>
        </w:rPr>
        <w:t xml:space="preserve">from 22% to 0% </w:t>
      </w:r>
      <w:r w:rsidR="00F30A4D" w:rsidRPr="005F4582">
        <w:rPr>
          <w:rFonts w:eastAsia="Times New Roman" w:cstheme="minorHAnsi"/>
          <w:i w:val="0"/>
          <w:snapToGrid w:val="0"/>
          <w:szCs w:val="24"/>
          <w:lang w:eastAsia="en-US"/>
        </w:rPr>
        <w:t xml:space="preserve">would be expected to </w:t>
      </w:r>
      <w:r w:rsidR="009B0DE6" w:rsidRPr="005F4582">
        <w:rPr>
          <w:rFonts w:eastAsia="Times New Roman" w:cstheme="minorHAnsi"/>
          <w:i w:val="0"/>
          <w:snapToGrid w:val="0"/>
          <w:szCs w:val="24"/>
          <w:lang w:eastAsia="en-US"/>
        </w:rPr>
        <w:t>result in a lower survival benefit. I</w:t>
      </w:r>
      <w:r w:rsidR="00B45F5C" w:rsidRPr="005F4582">
        <w:rPr>
          <w:rFonts w:eastAsia="Times New Roman" w:cstheme="minorHAnsi"/>
          <w:i w:val="0"/>
          <w:snapToGrid w:val="0"/>
          <w:szCs w:val="24"/>
          <w:lang w:eastAsia="en-US"/>
        </w:rPr>
        <w:t>ncreasing the proportion of subsequent PD-(L</w:t>
      </w:r>
      <w:proofErr w:type="gramStart"/>
      <w:r w:rsidR="00B45F5C" w:rsidRPr="005F4582">
        <w:rPr>
          <w:rFonts w:eastAsia="Times New Roman" w:cstheme="minorHAnsi"/>
          <w:i w:val="0"/>
          <w:snapToGrid w:val="0"/>
          <w:szCs w:val="24"/>
          <w:lang w:eastAsia="en-US"/>
        </w:rPr>
        <w:t>)1</w:t>
      </w:r>
      <w:proofErr w:type="gramEnd"/>
      <w:r w:rsidR="00B45F5C" w:rsidRPr="005F4582">
        <w:rPr>
          <w:rFonts w:eastAsia="Times New Roman" w:cstheme="minorHAnsi"/>
          <w:i w:val="0"/>
          <w:snapToGrid w:val="0"/>
          <w:szCs w:val="24"/>
          <w:lang w:eastAsia="en-US"/>
        </w:rPr>
        <w:t xml:space="preserve"> use in the BSC arm from 46% to 70% </w:t>
      </w:r>
      <w:r w:rsidR="00F30A4D" w:rsidRPr="005F4582">
        <w:rPr>
          <w:rFonts w:eastAsia="Times New Roman" w:cstheme="minorHAnsi"/>
          <w:i w:val="0"/>
          <w:snapToGrid w:val="0"/>
          <w:szCs w:val="24"/>
          <w:lang w:eastAsia="en-US"/>
        </w:rPr>
        <w:t xml:space="preserve">would be expected to </w:t>
      </w:r>
      <w:r w:rsidR="00E54FFF" w:rsidRPr="005F4582">
        <w:rPr>
          <w:rFonts w:eastAsia="Times New Roman" w:cstheme="minorHAnsi"/>
          <w:i w:val="0"/>
          <w:snapToGrid w:val="0"/>
          <w:szCs w:val="24"/>
          <w:lang w:eastAsia="en-US"/>
        </w:rPr>
        <w:t xml:space="preserve">result in a higher survival benefit. Overall, the </w:t>
      </w:r>
      <w:r w:rsidR="00B45F5C" w:rsidRPr="005F4582">
        <w:rPr>
          <w:rFonts w:eastAsia="Times New Roman" w:cstheme="minorHAnsi"/>
          <w:i w:val="0"/>
          <w:snapToGrid w:val="0"/>
          <w:szCs w:val="24"/>
          <w:lang w:eastAsia="en-US"/>
        </w:rPr>
        <w:t>incremental benefit</w:t>
      </w:r>
      <w:r w:rsidR="00E54FFF" w:rsidRPr="005F4582">
        <w:rPr>
          <w:rFonts w:eastAsia="Times New Roman" w:cstheme="minorHAnsi"/>
          <w:i w:val="0"/>
          <w:snapToGrid w:val="0"/>
          <w:szCs w:val="24"/>
          <w:lang w:eastAsia="en-US"/>
        </w:rPr>
        <w:t xml:space="preserve"> of treatment with </w:t>
      </w:r>
      <w:proofErr w:type="spellStart"/>
      <w:r w:rsidR="00E54FFF" w:rsidRPr="005F4582">
        <w:rPr>
          <w:rFonts w:eastAsia="Times New Roman" w:cstheme="minorHAnsi"/>
          <w:i w:val="0"/>
          <w:snapToGrid w:val="0"/>
          <w:szCs w:val="24"/>
          <w:lang w:eastAsia="en-US"/>
        </w:rPr>
        <w:t>durvalumab</w:t>
      </w:r>
      <w:proofErr w:type="spellEnd"/>
      <w:r w:rsidR="00E54FFF" w:rsidRPr="005F4582">
        <w:rPr>
          <w:rFonts w:eastAsia="Times New Roman" w:cstheme="minorHAnsi"/>
          <w:i w:val="0"/>
          <w:snapToGrid w:val="0"/>
          <w:szCs w:val="24"/>
          <w:lang w:eastAsia="en-US"/>
        </w:rPr>
        <w:t xml:space="preserve"> would be expected to be lower and t</w:t>
      </w:r>
      <w:r w:rsidR="00B45F5C" w:rsidRPr="005F4582">
        <w:rPr>
          <w:rFonts w:eastAsia="Times New Roman" w:cstheme="minorHAnsi"/>
          <w:i w:val="0"/>
          <w:snapToGrid w:val="0"/>
          <w:szCs w:val="24"/>
          <w:lang w:eastAsia="en-US"/>
        </w:rPr>
        <w:t xml:space="preserve">he ICER from this analysis </w:t>
      </w:r>
      <w:r w:rsidR="006434CD" w:rsidRPr="005F4582">
        <w:rPr>
          <w:rFonts w:eastAsia="Times New Roman" w:cstheme="minorHAnsi"/>
          <w:i w:val="0"/>
          <w:snapToGrid w:val="0"/>
          <w:szCs w:val="24"/>
          <w:lang w:eastAsia="en-US"/>
        </w:rPr>
        <w:t>($</w:t>
      </w:r>
      <w:r w:rsidR="00032B54">
        <w:rPr>
          <w:rFonts w:eastAsia="Times New Roman" w:cstheme="minorHAnsi"/>
          <w:i w:val="0"/>
          <w:snapToGrid w:val="0"/>
          <w:szCs w:val="24"/>
          <w:lang w:eastAsia="en-US"/>
        </w:rPr>
        <w:t>15,000</w:t>
      </w:r>
      <w:r w:rsidR="006434CD" w:rsidRPr="005F4582">
        <w:rPr>
          <w:rFonts w:eastAsia="Times New Roman" w:cstheme="minorHAnsi"/>
          <w:i w:val="0"/>
          <w:snapToGrid w:val="0"/>
          <w:szCs w:val="24"/>
          <w:lang w:eastAsia="en-US"/>
        </w:rPr>
        <w:t>/ QALY</w:t>
      </w:r>
      <w:r w:rsidR="00032B54">
        <w:rPr>
          <w:rFonts w:eastAsia="Times New Roman" w:cstheme="minorHAnsi"/>
          <w:i w:val="0"/>
          <w:snapToGrid w:val="0"/>
          <w:szCs w:val="24"/>
          <w:lang w:eastAsia="en-US"/>
        </w:rPr>
        <w:t xml:space="preserve"> - $45,000/QALY</w:t>
      </w:r>
      <w:r w:rsidR="006434CD" w:rsidRPr="005F4582">
        <w:rPr>
          <w:rFonts w:eastAsia="Times New Roman" w:cstheme="minorHAnsi"/>
          <w:i w:val="0"/>
          <w:snapToGrid w:val="0"/>
          <w:szCs w:val="24"/>
          <w:lang w:eastAsia="en-US"/>
        </w:rPr>
        <w:t xml:space="preserve">) </w:t>
      </w:r>
      <w:r w:rsidR="00E54FFF" w:rsidRPr="005F4582">
        <w:rPr>
          <w:rFonts w:eastAsia="Times New Roman" w:cstheme="minorHAnsi"/>
          <w:i w:val="0"/>
          <w:snapToGrid w:val="0"/>
          <w:szCs w:val="24"/>
          <w:lang w:eastAsia="en-US"/>
        </w:rPr>
        <w:t xml:space="preserve">is </w:t>
      </w:r>
      <w:r w:rsidR="006434CD" w:rsidRPr="005F4582">
        <w:rPr>
          <w:rFonts w:eastAsia="Times New Roman" w:cstheme="minorHAnsi"/>
          <w:i w:val="0"/>
          <w:snapToGrid w:val="0"/>
          <w:szCs w:val="24"/>
          <w:lang w:eastAsia="en-US"/>
        </w:rPr>
        <w:t>likely to be an under</w:t>
      </w:r>
      <w:r w:rsidR="00B45F5C" w:rsidRPr="005F4582">
        <w:rPr>
          <w:rFonts w:eastAsia="Times New Roman" w:cstheme="minorHAnsi"/>
          <w:i w:val="0"/>
          <w:snapToGrid w:val="0"/>
          <w:szCs w:val="24"/>
          <w:lang w:eastAsia="en-US"/>
        </w:rPr>
        <w:t>estimate</w:t>
      </w:r>
      <w:r w:rsidR="006434CD" w:rsidRPr="005F4582">
        <w:rPr>
          <w:rFonts w:eastAsia="Times New Roman" w:cstheme="minorHAnsi"/>
          <w:i w:val="0"/>
          <w:snapToGrid w:val="0"/>
          <w:szCs w:val="24"/>
          <w:lang w:eastAsia="en-US"/>
        </w:rPr>
        <w:t xml:space="preserve"> of the true ICER</w:t>
      </w:r>
      <w:r w:rsidR="0094342A" w:rsidRPr="005F4582">
        <w:rPr>
          <w:rFonts w:eastAsia="Times New Roman" w:cstheme="minorHAnsi"/>
          <w:i w:val="0"/>
          <w:snapToGrid w:val="0"/>
          <w:szCs w:val="24"/>
          <w:lang w:eastAsia="en-US"/>
        </w:rPr>
        <w:t>.</w:t>
      </w:r>
    </w:p>
    <w:p w:rsidR="00ED1377" w:rsidRPr="005F4582" w:rsidRDefault="00ED1377" w:rsidP="00421BFF">
      <w:pPr>
        <w:pStyle w:val="Bodytextitalics"/>
        <w:numPr>
          <w:ilvl w:val="0"/>
          <w:numId w:val="0"/>
        </w:numPr>
        <w:ind w:left="720"/>
        <w:jc w:val="center"/>
        <w:rPr>
          <w:rFonts w:eastAsia="Times New Roman" w:cstheme="minorHAnsi"/>
          <w:b/>
          <w:i w:val="0"/>
          <w:snapToGrid w:val="0"/>
          <w:szCs w:val="24"/>
          <w:lang w:eastAsia="en-US"/>
        </w:rPr>
      </w:pPr>
      <w:r w:rsidRPr="005F4582">
        <w:rPr>
          <w:rFonts w:eastAsia="Times New Roman" w:cstheme="minorHAnsi"/>
          <w:b/>
          <w:i w:val="0"/>
          <w:snapToGrid w:val="0"/>
          <w:szCs w:val="24"/>
          <w:lang w:eastAsia="en-US"/>
        </w:rPr>
        <w:t>Committee-in-Confidence information</w:t>
      </w:r>
    </w:p>
    <w:p w:rsidR="00ED1377" w:rsidRPr="005F4582" w:rsidRDefault="00ED1377" w:rsidP="0061605C">
      <w:pPr>
        <w:pStyle w:val="Bodytextitalics"/>
        <w:jc w:val="both"/>
        <w:rPr>
          <w:rFonts w:eastAsia="Times New Roman" w:cstheme="minorHAnsi"/>
          <w:i w:val="0"/>
          <w:snapToGrid w:val="0"/>
          <w:szCs w:val="24"/>
          <w:lang w:eastAsia="en-US"/>
        </w:rPr>
      </w:pPr>
      <w:r w:rsidRPr="005F4582">
        <w:rPr>
          <w:i w:val="0"/>
          <w:snapToGrid w:val="0"/>
          <w:lang w:eastAsia="en-US"/>
        </w:rPr>
        <w:t xml:space="preserve">The ICERs for the base case </w:t>
      </w:r>
      <w:r w:rsidR="006434CD" w:rsidRPr="005F4582">
        <w:rPr>
          <w:i w:val="0"/>
          <w:snapToGrid w:val="0"/>
          <w:lang w:eastAsia="en-US"/>
        </w:rPr>
        <w:t xml:space="preserve">(ITT) </w:t>
      </w:r>
      <w:r w:rsidRPr="005F4582">
        <w:rPr>
          <w:i w:val="0"/>
          <w:snapToGrid w:val="0"/>
          <w:lang w:eastAsia="en-US"/>
        </w:rPr>
        <w:t xml:space="preserve">and RPSFT-adjusted </w:t>
      </w:r>
      <w:r w:rsidRPr="00C44909">
        <w:rPr>
          <w:i w:val="0"/>
          <w:snapToGrid w:val="0"/>
          <w:lang w:eastAsia="en-US"/>
        </w:rPr>
        <w:t xml:space="preserve">scenario analyses incorporating the effective </w:t>
      </w:r>
      <w:proofErr w:type="spellStart"/>
      <w:r w:rsidRPr="00C44909">
        <w:rPr>
          <w:i w:val="0"/>
          <w:snapToGrid w:val="0"/>
          <w:lang w:eastAsia="en-US"/>
        </w:rPr>
        <w:t>nivolumab</w:t>
      </w:r>
      <w:proofErr w:type="spellEnd"/>
      <w:r w:rsidRPr="00C44909">
        <w:rPr>
          <w:i w:val="0"/>
          <w:snapToGrid w:val="0"/>
          <w:lang w:eastAsia="en-US"/>
        </w:rPr>
        <w:t xml:space="preserve"> price (ex-manufacturer prices of $</w:t>
      </w:r>
      <w:r w:rsidR="00270947">
        <w:rPr>
          <w:i w:val="0"/>
          <w:noProof/>
          <w:snapToGrid w:val="0"/>
          <w:color w:val="000000"/>
          <w:highlight w:val="black"/>
          <w:lang w:eastAsia="en-US"/>
        </w:rPr>
        <w:t>''''''''''''</w:t>
      </w:r>
      <w:r w:rsidRPr="00C44909">
        <w:rPr>
          <w:i w:val="0"/>
          <w:snapToGrid w:val="0"/>
          <w:lang w:eastAsia="en-US"/>
        </w:rPr>
        <w:t xml:space="preserve"> per 40</w:t>
      </w:r>
      <w:r w:rsidR="00ED7CEB">
        <w:rPr>
          <w:i w:val="0"/>
          <w:snapToGrid w:val="0"/>
          <w:lang w:eastAsia="en-US"/>
        </w:rPr>
        <w:t xml:space="preserve"> </w:t>
      </w:r>
      <w:r w:rsidRPr="00C44909">
        <w:rPr>
          <w:i w:val="0"/>
          <w:snapToGrid w:val="0"/>
          <w:lang w:eastAsia="en-US"/>
        </w:rPr>
        <w:t>mg/4</w:t>
      </w:r>
      <w:r w:rsidR="00ED7CEB">
        <w:rPr>
          <w:i w:val="0"/>
          <w:snapToGrid w:val="0"/>
          <w:lang w:eastAsia="en-US"/>
        </w:rPr>
        <w:t xml:space="preserve"> </w:t>
      </w:r>
      <w:r w:rsidRPr="00C44909">
        <w:rPr>
          <w:i w:val="0"/>
          <w:snapToGrid w:val="0"/>
          <w:lang w:eastAsia="en-US"/>
        </w:rPr>
        <w:t>mL vial and $</w:t>
      </w:r>
      <w:r w:rsidR="00270947">
        <w:rPr>
          <w:i w:val="0"/>
          <w:noProof/>
          <w:snapToGrid w:val="0"/>
          <w:color w:val="000000"/>
          <w:highlight w:val="black"/>
          <w:lang w:eastAsia="en-US"/>
        </w:rPr>
        <w:t>'''''''''''''</w:t>
      </w:r>
      <w:r w:rsidR="00FC3E87" w:rsidRPr="00C44909">
        <w:rPr>
          <w:i w:val="0"/>
          <w:snapToGrid w:val="0"/>
          <w:lang w:eastAsia="en-US"/>
        </w:rPr>
        <w:t xml:space="preserve"> </w:t>
      </w:r>
      <w:r w:rsidRPr="00C44909">
        <w:rPr>
          <w:i w:val="0"/>
          <w:snapToGrid w:val="0"/>
          <w:lang w:eastAsia="en-US"/>
        </w:rPr>
        <w:t>per 100</w:t>
      </w:r>
      <w:r w:rsidR="00ED7CEB">
        <w:rPr>
          <w:i w:val="0"/>
          <w:snapToGrid w:val="0"/>
          <w:lang w:eastAsia="en-US"/>
        </w:rPr>
        <w:t xml:space="preserve"> </w:t>
      </w:r>
      <w:r w:rsidRPr="00C44909">
        <w:rPr>
          <w:i w:val="0"/>
          <w:snapToGrid w:val="0"/>
          <w:lang w:eastAsia="en-US"/>
        </w:rPr>
        <w:t>mg/10</w:t>
      </w:r>
      <w:r w:rsidR="00ED7CEB">
        <w:rPr>
          <w:i w:val="0"/>
          <w:snapToGrid w:val="0"/>
          <w:lang w:eastAsia="en-US"/>
        </w:rPr>
        <w:t xml:space="preserve"> </w:t>
      </w:r>
      <w:r w:rsidRPr="00C44909">
        <w:rPr>
          <w:i w:val="0"/>
          <w:snapToGrid w:val="0"/>
          <w:lang w:eastAsia="en-US"/>
        </w:rPr>
        <w:t xml:space="preserve">mL vial) </w:t>
      </w:r>
      <w:r w:rsidR="00F30A4D" w:rsidRPr="00C44909">
        <w:rPr>
          <w:i w:val="0"/>
          <w:snapToGrid w:val="0"/>
          <w:lang w:eastAsia="en-US"/>
        </w:rPr>
        <w:t xml:space="preserve">were </w:t>
      </w:r>
      <w:r w:rsidRPr="00C44909">
        <w:rPr>
          <w:i w:val="0"/>
          <w:snapToGrid w:val="0"/>
          <w:lang w:eastAsia="en-US"/>
        </w:rPr>
        <w:t>$</w:t>
      </w:r>
      <w:r w:rsidR="00270947">
        <w:rPr>
          <w:i w:val="0"/>
          <w:noProof/>
          <w:snapToGrid w:val="0"/>
          <w:color w:val="000000"/>
          <w:highlight w:val="black"/>
          <w:lang w:eastAsia="en-US"/>
        </w:rPr>
        <w:t>'''''''''''''</w:t>
      </w:r>
      <w:r w:rsidRPr="00C44909">
        <w:rPr>
          <w:i w:val="0"/>
          <w:snapToGrid w:val="0"/>
          <w:lang w:eastAsia="en-US"/>
        </w:rPr>
        <w:t xml:space="preserve"> and $</w:t>
      </w:r>
      <w:r w:rsidR="00270947">
        <w:rPr>
          <w:i w:val="0"/>
          <w:noProof/>
          <w:snapToGrid w:val="0"/>
          <w:color w:val="000000"/>
          <w:highlight w:val="black"/>
          <w:lang w:eastAsia="en-US"/>
        </w:rPr>
        <w:t>''''''''''''''</w:t>
      </w:r>
      <w:r w:rsidRPr="00C44909">
        <w:rPr>
          <w:i w:val="0"/>
          <w:snapToGrid w:val="0"/>
          <w:lang w:eastAsia="en-US"/>
        </w:rPr>
        <w:t xml:space="preserve">, respectively. </w:t>
      </w:r>
      <w:r w:rsidR="00823346" w:rsidRPr="00C44909">
        <w:rPr>
          <w:rFonts w:eastAsia="Times New Roman" w:cstheme="minorHAnsi"/>
          <w:i w:val="0"/>
          <w:snapToGrid w:val="0"/>
          <w:szCs w:val="24"/>
          <w:lang w:eastAsia="en-US"/>
        </w:rPr>
        <w:t>The</w:t>
      </w:r>
      <w:r w:rsidR="00823346" w:rsidRPr="005F4582">
        <w:rPr>
          <w:rFonts w:eastAsia="Times New Roman" w:cstheme="minorHAnsi"/>
          <w:i w:val="0"/>
          <w:snapToGrid w:val="0"/>
          <w:szCs w:val="24"/>
          <w:lang w:eastAsia="en-US"/>
        </w:rPr>
        <w:t xml:space="preserve"> PBAC noted the cost of treatment with PD-(L)1 inhibitors after disease progression was based on the </w:t>
      </w:r>
      <w:proofErr w:type="spellStart"/>
      <w:r w:rsidR="00823346" w:rsidRPr="005F4582">
        <w:rPr>
          <w:rFonts w:eastAsia="Times New Roman" w:cstheme="minorHAnsi"/>
          <w:i w:val="0"/>
          <w:snapToGrid w:val="0"/>
          <w:szCs w:val="24"/>
          <w:lang w:eastAsia="en-US"/>
        </w:rPr>
        <w:t>nivolumab</w:t>
      </w:r>
      <w:proofErr w:type="spellEnd"/>
      <w:r w:rsidR="00823346" w:rsidRPr="005F4582">
        <w:rPr>
          <w:rFonts w:eastAsia="Times New Roman" w:cstheme="minorHAnsi"/>
          <w:i w:val="0"/>
          <w:snapToGrid w:val="0"/>
          <w:szCs w:val="24"/>
          <w:lang w:eastAsia="en-US"/>
        </w:rPr>
        <w:t xml:space="preserve"> treatment cost per </w:t>
      </w:r>
      <w:r w:rsidR="00823346" w:rsidRPr="00C44909">
        <w:rPr>
          <w:rFonts w:eastAsia="Times New Roman" w:cstheme="minorHAnsi"/>
          <w:i w:val="0"/>
          <w:snapToGrid w:val="0"/>
          <w:szCs w:val="24"/>
          <w:lang w:eastAsia="en-US"/>
        </w:rPr>
        <w:t>course but there were a number of other PD-(L)1 inhibitors available (</w:t>
      </w:r>
      <w:proofErr w:type="spellStart"/>
      <w:r w:rsidR="00823346" w:rsidRPr="00C44909">
        <w:rPr>
          <w:rFonts w:eastAsia="Times New Roman" w:cstheme="minorHAnsi"/>
          <w:i w:val="0"/>
          <w:snapToGrid w:val="0"/>
          <w:szCs w:val="24"/>
          <w:lang w:eastAsia="en-US"/>
        </w:rPr>
        <w:t>atezolizumab</w:t>
      </w:r>
      <w:proofErr w:type="spellEnd"/>
      <w:r w:rsidR="00823346" w:rsidRPr="00C44909">
        <w:rPr>
          <w:rFonts w:eastAsia="Times New Roman" w:cstheme="minorHAnsi"/>
          <w:i w:val="0"/>
          <w:snapToGrid w:val="0"/>
          <w:szCs w:val="24"/>
          <w:lang w:eastAsia="en-US"/>
        </w:rPr>
        <w:t xml:space="preserve">, </w:t>
      </w:r>
      <w:proofErr w:type="spellStart"/>
      <w:r w:rsidR="00823346" w:rsidRPr="00C44909">
        <w:rPr>
          <w:rFonts w:eastAsia="Times New Roman" w:cstheme="minorHAnsi"/>
          <w:i w:val="0"/>
          <w:snapToGrid w:val="0"/>
          <w:szCs w:val="24"/>
          <w:lang w:eastAsia="en-US"/>
        </w:rPr>
        <w:t>pembrolizumab</w:t>
      </w:r>
      <w:proofErr w:type="spellEnd"/>
      <w:r w:rsidR="00823346" w:rsidRPr="00C44909">
        <w:rPr>
          <w:rFonts w:eastAsia="Times New Roman" w:cstheme="minorHAnsi"/>
          <w:i w:val="0"/>
          <w:snapToGrid w:val="0"/>
          <w:szCs w:val="24"/>
          <w:lang w:eastAsia="en-US"/>
        </w:rPr>
        <w:t xml:space="preserve">) </w:t>
      </w:r>
      <w:r w:rsidR="00270947">
        <w:rPr>
          <w:rFonts w:eastAsia="Times New Roman" w:cstheme="minorHAnsi"/>
          <w:i w:val="0"/>
          <w:noProof/>
          <w:snapToGrid w:val="0"/>
          <w:color w:val="000000"/>
          <w:szCs w:val="24"/>
          <w:highlight w:val="black"/>
          <w:lang w:eastAsia="en-US"/>
        </w:rPr>
        <w:t>'''''''' ''''''''' ''' '''''''''''' '''''''' '''''' '''''''''''''''''''' ''''''''''''''' ''''''' ''''''''' ''''''''''''''''' '''' '''''''' '''''''''''''''''''' ''''''''' '''' ''''''''''' '''' ''''''''''' '''''' ''''''''''' ''' ''''''' '''''''' ''''' '''''''''''' ''''''''''''''' '''''''''''''''''''' ''''''' '''''''''' ''''''''''' ''''''''' '''''' '''''''' '''' '''''''''''''''''''''</w:t>
      </w:r>
      <w:r w:rsidR="005F4582" w:rsidRPr="00C44909">
        <w:rPr>
          <w:i w:val="0"/>
          <w:snapToGrid w:val="0"/>
          <w:lang w:eastAsia="en-US"/>
        </w:rPr>
        <w:t xml:space="preserve"> </w:t>
      </w:r>
    </w:p>
    <w:p w:rsidR="00FC3E87" w:rsidRPr="005F6BE7" w:rsidRDefault="00FC3E87" w:rsidP="00421BFF">
      <w:pPr>
        <w:pStyle w:val="Bodytextitalics"/>
        <w:numPr>
          <w:ilvl w:val="0"/>
          <w:numId w:val="0"/>
        </w:numPr>
        <w:ind w:left="720"/>
        <w:jc w:val="center"/>
        <w:rPr>
          <w:rFonts w:cstheme="minorHAnsi"/>
          <w:szCs w:val="24"/>
        </w:rPr>
      </w:pPr>
      <w:r w:rsidRPr="005F6BE7">
        <w:rPr>
          <w:rFonts w:eastAsia="Times New Roman" w:cstheme="minorHAnsi"/>
          <w:b/>
          <w:i w:val="0"/>
          <w:snapToGrid w:val="0"/>
          <w:szCs w:val="24"/>
          <w:lang w:eastAsia="en-US"/>
        </w:rPr>
        <w:t>End Committee-In-Confidence information</w:t>
      </w:r>
    </w:p>
    <w:p w:rsidR="008D4FE5" w:rsidRPr="005F4582" w:rsidRDefault="008D4FE5" w:rsidP="00770FFE">
      <w:pPr>
        <w:pStyle w:val="Bodytextitalics"/>
        <w:numPr>
          <w:ilvl w:val="0"/>
          <w:numId w:val="0"/>
        </w:numPr>
        <w:ind w:left="720"/>
        <w:jc w:val="both"/>
        <w:rPr>
          <w:rFonts w:eastAsia="Times New Roman" w:cstheme="minorHAnsi"/>
          <w:i w:val="0"/>
          <w:snapToGrid w:val="0"/>
          <w:szCs w:val="24"/>
          <w:lang w:eastAsia="en-US"/>
        </w:rPr>
      </w:pPr>
      <w:r w:rsidRPr="005F4582">
        <w:t>For more deta</w:t>
      </w:r>
      <w:r w:rsidR="003341C5" w:rsidRPr="005F4582">
        <w:t>il on PBAC’s view, see section 5</w:t>
      </w:r>
      <w:r w:rsidRPr="005F4582">
        <w:t xml:space="preserve"> PBAC outcome.</w:t>
      </w:r>
    </w:p>
    <w:p w:rsidR="003C2FB5" w:rsidRPr="005F4582" w:rsidRDefault="00A55FEE" w:rsidP="008306F3">
      <w:pPr>
        <w:pStyle w:val="Heading2"/>
        <w:keepLines/>
        <w:spacing w:before="240" w:after="120"/>
        <w:rPr>
          <w:rFonts w:asciiTheme="minorHAnsi" w:eastAsiaTheme="majorEastAsia" w:hAnsiTheme="minorHAnsi" w:cstheme="majorBidi"/>
          <w:sz w:val="28"/>
          <w:szCs w:val="28"/>
          <w:lang w:eastAsia="en-US"/>
        </w:rPr>
      </w:pPr>
      <w:r w:rsidRPr="005F4582">
        <w:rPr>
          <w:rFonts w:asciiTheme="minorHAnsi" w:eastAsiaTheme="majorEastAsia" w:hAnsiTheme="minorHAnsi" w:cstheme="majorBidi"/>
          <w:sz w:val="28"/>
          <w:szCs w:val="28"/>
          <w:lang w:eastAsia="en-US"/>
        </w:rPr>
        <w:t>D</w:t>
      </w:r>
      <w:r w:rsidR="003969D3" w:rsidRPr="005F4582">
        <w:rPr>
          <w:rFonts w:asciiTheme="minorHAnsi" w:eastAsiaTheme="majorEastAsia" w:hAnsiTheme="minorHAnsi" w:cstheme="majorBidi"/>
          <w:sz w:val="28"/>
          <w:szCs w:val="28"/>
          <w:lang w:eastAsia="en-US"/>
        </w:rPr>
        <w:t>rug cost/</w:t>
      </w:r>
      <w:r w:rsidR="003969D3" w:rsidRPr="00DF20EA">
        <w:rPr>
          <w:rFonts w:asciiTheme="minorHAnsi" w:eastAsiaTheme="majorEastAsia" w:hAnsiTheme="minorHAnsi" w:cstheme="minorHAnsi"/>
          <w:sz w:val="32"/>
          <w:szCs w:val="28"/>
          <w:lang w:eastAsia="en-US"/>
        </w:rPr>
        <w:t>patient/</w:t>
      </w:r>
      <w:r w:rsidRPr="00DF20EA">
        <w:rPr>
          <w:rFonts w:asciiTheme="minorHAnsi" w:eastAsiaTheme="majorEastAsia" w:hAnsiTheme="minorHAnsi" w:cstheme="minorHAnsi"/>
          <w:sz w:val="32"/>
          <w:szCs w:val="28"/>
          <w:lang w:eastAsia="en-US"/>
        </w:rPr>
        <w:t>course</w:t>
      </w:r>
      <w:r w:rsidR="00D36A03" w:rsidRPr="00DF20EA">
        <w:rPr>
          <w:rFonts w:asciiTheme="minorHAnsi" w:eastAsiaTheme="majorEastAsia" w:hAnsiTheme="minorHAnsi" w:cstheme="minorHAnsi"/>
          <w:sz w:val="32"/>
          <w:szCs w:val="28"/>
          <w:lang w:eastAsia="en-US"/>
        </w:rPr>
        <w:t xml:space="preserve">: </w:t>
      </w:r>
      <w:r w:rsidR="002C06FD" w:rsidRPr="00DF20EA">
        <w:rPr>
          <w:rFonts w:asciiTheme="minorHAnsi" w:hAnsiTheme="minorHAnsi" w:cstheme="minorHAnsi"/>
          <w:i w:val="0"/>
          <w:snapToGrid w:val="0"/>
          <w:sz w:val="28"/>
          <w:lang w:eastAsia="en-US"/>
        </w:rPr>
        <w:t>$</w:t>
      </w:r>
      <w:r w:rsidR="008D562F">
        <w:rPr>
          <w:rFonts w:asciiTheme="minorHAnsi" w:hAnsiTheme="minorHAnsi" w:cstheme="minorHAnsi"/>
          <w:i w:val="0"/>
          <w:noProof/>
          <w:snapToGrid w:val="0"/>
          <w:color w:val="000000"/>
          <w:sz w:val="28"/>
          <w:highlight w:val="black"/>
          <w:lang w:eastAsia="en-US"/>
        </w:rPr>
        <w:t>''''''''''''</w:t>
      </w:r>
    </w:p>
    <w:p w:rsidR="003969D3" w:rsidRPr="005F4582" w:rsidRDefault="003969D3" w:rsidP="00CB0D20">
      <w:pPr>
        <w:pStyle w:val="Bodytextitalics"/>
        <w:jc w:val="both"/>
        <w:rPr>
          <w:rFonts w:eastAsia="Times New Roman" w:cstheme="minorHAnsi"/>
          <w:i w:val="0"/>
          <w:snapToGrid w:val="0"/>
          <w:szCs w:val="24"/>
          <w:lang w:eastAsia="en-US"/>
        </w:rPr>
      </w:pPr>
      <w:r w:rsidRPr="005F4582">
        <w:rPr>
          <w:rFonts w:eastAsia="Times New Roman" w:cstheme="minorHAnsi"/>
          <w:i w:val="0"/>
          <w:snapToGrid w:val="0"/>
          <w:szCs w:val="24"/>
          <w:lang w:eastAsia="en-US"/>
        </w:rPr>
        <w:t xml:space="preserve">The minor resubmission estimated that the cost of </w:t>
      </w:r>
      <w:proofErr w:type="spellStart"/>
      <w:r w:rsidRPr="005F4582">
        <w:rPr>
          <w:rFonts w:eastAsia="Times New Roman" w:cstheme="minorHAnsi"/>
          <w:i w:val="0"/>
          <w:snapToGrid w:val="0"/>
          <w:szCs w:val="24"/>
          <w:lang w:eastAsia="en-US"/>
        </w:rPr>
        <w:t>durvalumab</w:t>
      </w:r>
      <w:proofErr w:type="spellEnd"/>
      <w:r w:rsidRPr="005F4582">
        <w:rPr>
          <w:rFonts w:eastAsia="Times New Roman" w:cstheme="minorHAnsi"/>
          <w:i w:val="0"/>
          <w:snapToGrid w:val="0"/>
          <w:szCs w:val="24"/>
          <w:lang w:eastAsia="en-US"/>
        </w:rPr>
        <w:t xml:space="preserve"> per prescription </w:t>
      </w:r>
      <w:r w:rsidR="00194548" w:rsidRPr="005F4582">
        <w:rPr>
          <w:rFonts w:eastAsia="Times New Roman" w:cstheme="minorHAnsi"/>
          <w:i w:val="0"/>
          <w:snapToGrid w:val="0"/>
          <w:szCs w:val="24"/>
          <w:lang w:eastAsia="en-US"/>
        </w:rPr>
        <w:t>was</w:t>
      </w:r>
      <w:r w:rsidRPr="005F4582">
        <w:rPr>
          <w:rFonts w:eastAsia="Times New Roman" w:cstheme="minorHAnsi"/>
          <w:i w:val="0"/>
          <w:snapToGrid w:val="0"/>
          <w:szCs w:val="24"/>
          <w:lang w:eastAsia="en-US"/>
        </w:rPr>
        <w:t xml:space="preserve"> $</w:t>
      </w:r>
      <w:r w:rsidR="008D562F">
        <w:rPr>
          <w:rFonts w:eastAsia="Times New Roman" w:cstheme="minorHAnsi"/>
          <w:i w:val="0"/>
          <w:noProof/>
          <w:snapToGrid w:val="0"/>
          <w:color w:val="000000"/>
          <w:szCs w:val="24"/>
          <w:highlight w:val="black"/>
          <w:lang w:eastAsia="en-US"/>
        </w:rPr>
        <w:t>'''''''''''''''''</w:t>
      </w:r>
      <w:r w:rsidRPr="005F4582">
        <w:rPr>
          <w:rFonts w:eastAsia="Times New Roman" w:cstheme="minorHAnsi"/>
          <w:i w:val="0"/>
          <w:snapToGrid w:val="0"/>
          <w:szCs w:val="24"/>
          <w:lang w:eastAsia="en-US"/>
        </w:rPr>
        <w:t xml:space="preserve"> (effective) and $</w:t>
      </w:r>
      <w:r w:rsidR="008D562F">
        <w:rPr>
          <w:rFonts w:eastAsia="Times New Roman" w:cstheme="minorHAnsi"/>
          <w:i w:val="0"/>
          <w:noProof/>
          <w:snapToGrid w:val="0"/>
          <w:color w:val="000000"/>
          <w:szCs w:val="24"/>
          <w:highlight w:val="black"/>
          <w:lang w:eastAsia="en-US"/>
        </w:rPr>
        <w:t>''''''''''''''''</w:t>
      </w:r>
      <w:r w:rsidRPr="005F4582">
        <w:rPr>
          <w:rFonts w:eastAsia="Times New Roman" w:cstheme="minorHAnsi"/>
          <w:i w:val="0"/>
          <w:snapToGrid w:val="0"/>
          <w:szCs w:val="24"/>
          <w:lang w:eastAsia="en-US"/>
        </w:rPr>
        <w:t xml:space="preserve"> (published). This was based on a</w:t>
      </w:r>
      <w:r w:rsidR="00FA27BA" w:rsidRPr="005F4582">
        <w:rPr>
          <w:rFonts w:eastAsia="Times New Roman" w:cstheme="minorHAnsi"/>
          <w:i w:val="0"/>
          <w:snapToGrid w:val="0"/>
          <w:szCs w:val="24"/>
          <w:lang w:eastAsia="en-US"/>
        </w:rPr>
        <w:t xml:space="preserve"> revised</w:t>
      </w:r>
      <w:r w:rsidRPr="005F4582">
        <w:rPr>
          <w:rFonts w:eastAsia="Times New Roman" w:cstheme="minorHAnsi"/>
          <w:i w:val="0"/>
          <w:snapToGrid w:val="0"/>
          <w:szCs w:val="24"/>
          <w:lang w:eastAsia="en-US"/>
        </w:rPr>
        <w:t xml:space="preserve"> effective </w:t>
      </w:r>
      <w:r w:rsidR="006D086E" w:rsidRPr="005F4582">
        <w:rPr>
          <w:rFonts w:eastAsia="Times New Roman" w:cstheme="minorHAnsi"/>
          <w:i w:val="0"/>
          <w:snapToGrid w:val="0"/>
          <w:szCs w:val="24"/>
          <w:lang w:eastAsia="en-US"/>
        </w:rPr>
        <w:t>approved ex-manufacturer price (</w:t>
      </w:r>
      <w:r w:rsidRPr="005F4582">
        <w:rPr>
          <w:rFonts w:eastAsia="Times New Roman" w:cstheme="minorHAnsi"/>
          <w:i w:val="0"/>
          <w:snapToGrid w:val="0"/>
          <w:szCs w:val="24"/>
          <w:lang w:eastAsia="en-US"/>
        </w:rPr>
        <w:t>AEMP</w:t>
      </w:r>
      <w:r w:rsidR="006D086E" w:rsidRPr="005F4582">
        <w:rPr>
          <w:rFonts w:eastAsia="Times New Roman" w:cstheme="minorHAnsi"/>
          <w:i w:val="0"/>
          <w:snapToGrid w:val="0"/>
          <w:szCs w:val="24"/>
          <w:lang w:eastAsia="en-US"/>
        </w:rPr>
        <w:t>)</w:t>
      </w:r>
      <w:r w:rsidRPr="005F4582">
        <w:rPr>
          <w:rFonts w:eastAsia="Times New Roman" w:cstheme="minorHAnsi"/>
          <w:i w:val="0"/>
          <w:snapToGrid w:val="0"/>
          <w:szCs w:val="24"/>
          <w:lang w:eastAsia="en-US"/>
        </w:rPr>
        <w:t xml:space="preserve"> per vial of $</w:t>
      </w:r>
      <w:r w:rsidR="008D562F">
        <w:rPr>
          <w:rFonts w:eastAsia="Times New Roman" w:cstheme="minorHAnsi"/>
          <w:i w:val="0"/>
          <w:noProof/>
          <w:snapToGrid w:val="0"/>
          <w:color w:val="000000"/>
          <w:szCs w:val="24"/>
          <w:highlight w:val="black"/>
          <w:lang w:eastAsia="en-US"/>
        </w:rPr>
        <w:t>''''''''''''</w:t>
      </w:r>
      <w:r w:rsidRPr="005F4582">
        <w:rPr>
          <w:rFonts w:eastAsia="Times New Roman" w:cstheme="minorHAnsi"/>
          <w:i w:val="0"/>
          <w:snapToGrid w:val="0"/>
          <w:szCs w:val="24"/>
          <w:lang w:eastAsia="en-US"/>
        </w:rPr>
        <w:t xml:space="preserve"> for 120</w:t>
      </w:r>
      <w:r w:rsidR="00ED7CEB">
        <w:rPr>
          <w:rFonts w:eastAsia="Times New Roman" w:cstheme="minorHAnsi"/>
          <w:i w:val="0"/>
          <w:snapToGrid w:val="0"/>
          <w:szCs w:val="24"/>
          <w:lang w:eastAsia="en-US"/>
        </w:rPr>
        <w:t xml:space="preserve"> </w:t>
      </w:r>
      <w:r w:rsidRPr="005F4582">
        <w:rPr>
          <w:rFonts w:eastAsia="Times New Roman" w:cstheme="minorHAnsi"/>
          <w:i w:val="0"/>
          <w:snapToGrid w:val="0"/>
          <w:szCs w:val="24"/>
          <w:lang w:eastAsia="en-US"/>
        </w:rPr>
        <w:t>mg/2.4</w:t>
      </w:r>
      <w:r w:rsidR="00ED7CEB">
        <w:rPr>
          <w:rFonts w:eastAsia="Times New Roman" w:cstheme="minorHAnsi"/>
          <w:i w:val="0"/>
          <w:snapToGrid w:val="0"/>
          <w:szCs w:val="24"/>
          <w:lang w:eastAsia="en-US"/>
        </w:rPr>
        <w:t xml:space="preserve"> </w:t>
      </w:r>
      <w:r w:rsidRPr="005F4582">
        <w:rPr>
          <w:rFonts w:eastAsia="Times New Roman" w:cstheme="minorHAnsi"/>
          <w:i w:val="0"/>
          <w:snapToGrid w:val="0"/>
          <w:szCs w:val="24"/>
          <w:lang w:eastAsia="en-US"/>
        </w:rPr>
        <w:t>mL injection and $</w:t>
      </w:r>
      <w:r w:rsidR="008D562F">
        <w:rPr>
          <w:rFonts w:eastAsia="Times New Roman" w:cstheme="minorHAnsi"/>
          <w:i w:val="0"/>
          <w:noProof/>
          <w:snapToGrid w:val="0"/>
          <w:color w:val="000000"/>
          <w:szCs w:val="24"/>
          <w:highlight w:val="black"/>
          <w:lang w:eastAsia="en-US"/>
        </w:rPr>
        <w:t>''''''''''''''''</w:t>
      </w:r>
      <w:r w:rsidRPr="005F4582">
        <w:rPr>
          <w:rFonts w:eastAsia="Times New Roman" w:cstheme="minorHAnsi"/>
          <w:i w:val="0"/>
          <w:snapToGrid w:val="0"/>
          <w:szCs w:val="24"/>
          <w:lang w:eastAsia="en-US"/>
        </w:rPr>
        <w:t xml:space="preserve"> for 500</w:t>
      </w:r>
      <w:r w:rsidR="00ED7CEB">
        <w:rPr>
          <w:rFonts w:eastAsia="Times New Roman" w:cstheme="minorHAnsi"/>
          <w:i w:val="0"/>
          <w:snapToGrid w:val="0"/>
          <w:szCs w:val="24"/>
          <w:lang w:eastAsia="en-US"/>
        </w:rPr>
        <w:t xml:space="preserve"> </w:t>
      </w:r>
      <w:r w:rsidRPr="005F4582">
        <w:rPr>
          <w:rFonts w:eastAsia="Times New Roman" w:cstheme="minorHAnsi"/>
          <w:i w:val="0"/>
          <w:snapToGrid w:val="0"/>
          <w:szCs w:val="24"/>
          <w:lang w:eastAsia="en-US"/>
        </w:rPr>
        <w:t>mg/10</w:t>
      </w:r>
      <w:r w:rsidR="00ED7CEB">
        <w:rPr>
          <w:rFonts w:eastAsia="Times New Roman" w:cstheme="minorHAnsi"/>
          <w:i w:val="0"/>
          <w:snapToGrid w:val="0"/>
          <w:szCs w:val="24"/>
          <w:lang w:eastAsia="en-US"/>
        </w:rPr>
        <w:t xml:space="preserve"> </w:t>
      </w:r>
      <w:r w:rsidRPr="005F4582">
        <w:rPr>
          <w:rFonts w:eastAsia="Times New Roman" w:cstheme="minorHAnsi"/>
          <w:i w:val="0"/>
          <w:snapToGrid w:val="0"/>
          <w:szCs w:val="24"/>
          <w:lang w:eastAsia="en-US"/>
        </w:rPr>
        <w:t xml:space="preserve">mL injection. </w:t>
      </w:r>
    </w:p>
    <w:p w:rsidR="003969D3" w:rsidRPr="005F4582" w:rsidRDefault="003969D3" w:rsidP="00CB0D20">
      <w:pPr>
        <w:pStyle w:val="Bodytextitalics"/>
        <w:jc w:val="both"/>
        <w:rPr>
          <w:rFonts w:eastAsia="Times New Roman" w:cstheme="minorHAnsi"/>
          <w:i w:val="0"/>
          <w:snapToGrid w:val="0"/>
          <w:szCs w:val="24"/>
          <w:lang w:eastAsia="en-US"/>
        </w:rPr>
      </w:pPr>
      <w:r w:rsidRPr="005F4582">
        <w:rPr>
          <w:rFonts w:eastAsia="Times New Roman" w:cstheme="minorHAnsi"/>
          <w:i w:val="0"/>
          <w:snapToGrid w:val="0"/>
          <w:szCs w:val="24"/>
          <w:lang w:eastAsia="en-US"/>
        </w:rPr>
        <w:t>Using the</w:t>
      </w:r>
      <w:r w:rsidR="00D42BA9" w:rsidRPr="005F4582">
        <w:rPr>
          <w:rFonts w:eastAsia="Times New Roman" w:cstheme="minorHAnsi"/>
          <w:i w:val="0"/>
          <w:snapToGrid w:val="0"/>
          <w:szCs w:val="24"/>
          <w:lang w:eastAsia="en-US"/>
        </w:rPr>
        <w:t xml:space="preserve"> effective</w:t>
      </w:r>
      <w:r w:rsidRPr="005F4582">
        <w:rPr>
          <w:rFonts w:eastAsia="Times New Roman" w:cstheme="minorHAnsi"/>
          <w:i w:val="0"/>
          <w:snapToGrid w:val="0"/>
          <w:szCs w:val="24"/>
          <w:lang w:eastAsia="en-US"/>
        </w:rPr>
        <w:t xml:space="preserve"> drug cost</w:t>
      </w:r>
      <w:r w:rsidR="00194548" w:rsidRPr="005F4582">
        <w:rPr>
          <w:rFonts w:eastAsia="Times New Roman" w:cstheme="minorHAnsi"/>
          <w:i w:val="0"/>
          <w:snapToGrid w:val="0"/>
          <w:szCs w:val="24"/>
          <w:lang w:eastAsia="en-US"/>
        </w:rPr>
        <w:t xml:space="preserve"> per </w:t>
      </w:r>
      <w:r w:rsidRPr="005F4582">
        <w:rPr>
          <w:rFonts w:eastAsia="Times New Roman" w:cstheme="minorHAnsi"/>
          <w:i w:val="0"/>
          <w:snapToGrid w:val="0"/>
          <w:szCs w:val="24"/>
          <w:lang w:eastAsia="en-US"/>
        </w:rPr>
        <w:t xml:space="preserve">prescription </w:t>
      </w:r>
      <w:r w:rsidR="00D42BA9" w:rsidRPr="005F4582">
        <w:rPr>
          <w:rFonts w:eastAsia="Times New Roman" w:cstheme="minorHAnsi"/>
          <w:i w:val="0"/>
          <w:snapToGrid w:val="0"/>
          <w:szCs w:val="24"/>
          <w:lang w:eastAsia="en-US"/>
        </w:rPr>
        <w:t>(</w:t>
      </w:r>
      <w:r w:rsidR="00FF437F" w:rsidRPr="005F4582">
        <w:rPr>
          <w:rFonts w:eastAsia="Times New Roman" w:cstheme="minorHAnsi"/>
          <w:i w:val="0"/>
          <w:snapToGrid w:val="0"/>
          <w:szCs w:val="24"/>
          <w:lang w:eastAsia="en-US"/>
        </w:rPr>
        <w:t>$</w:t>
      </w:r>
      <w:r w:rsidR="008D562F">
        <w:rPr>
          <w:rFonts w:eastAsia="Times New Roman" w:cstheme="minorHAnsi"/>
          <w:i w:val="0"/>
          <w:noProof/>
          <w:snapToGrid w:val="0"/>
          <w:color w:val="000000"/>
          <w:szCs w:val="24"/>
          <w:highlight w:val="black"/>
          <w:lang w:eastAsia="en-US"/>
        </w:rPr>
        <w:t>''''''''''''''''''</w:t>
      </w:r>
      <w:r w:rsidR="00D42BA9" w:rsidRPr="005F4582">
        <w:rPr>
          <w:rFonts w:eastAsia="Times New Roman" w:cstheme="minorHAnsi"/>
          <w:i w:val="0"/>
          <w:snapToGrid w:val="0"/>
          <w:szCs w:val="24"/>
          <w:lang w:eastAsia="en-US"/>
        </w:rPr>
        <w:t xml:space="preserve">) </w:t>
      </w:r>
      <w:r w:rsidRPr="005F4582">
        <w:rPr>
          <w:rFonts w:eastAsia="Times New Roman" w:cstheme="minorHAnsi"/>
          <w:i w:val="0"/>
          <w:snapToGrid w:val="0"/>
          <w:szCs w:val="24"/>
          <w:lang w:eastAsia="en-US"/>
        </w:rPr>
        <w:t xml:space="preserve">and </w:t>
      </w:r>
      <w:r w:rsidR="006D086E" w:rsidRPr="005F4582">
        <w:rPr>
          <w:rFonts w:eastAsia="Times New Roman" w:cstheme="minorHAnsi"/>
          <w:i w:val="0"/>
          <w:snapToGrid w:val="0"/>
          <w:szCs w:val="24"/>
          <w:lang w:eastAsia="en-US"/>
        </w:rPr>
        <w:t xml:space="preserve">an average of </w:t>
      </w:r>
      <w:r w:rsidR="00D42BA9" w:rsidRPr="005F4582">
        <w:rPr>
          <w:rFonts w:eastAsia="Times New Roman" w:cstheme="minorHAnsi"/>
          <w:i w:val="0"/>
          <w:snapToGrid w:val="0"/>
          <w:szCs w:val="24"/>
          <w:lang w:eastAsia="en-US"/>
        </w:rPr>
        <w:t xml:space="preserve">17.75 prescriptions per patient, the </w:t>
      </w:r>
      <w:r w:rsidR="003425F1" w:rsidRPr="005F4582">
        <w:rPr>
          <w:rFonts w:eastAsia="Times New Roman" w:cstheme="minorHAnsi"/>
          <w:i w:val="0"/>
          <w:snapToGrid w:val="0"/>
          <w:szCs w:val="24"/>
          <w:lang w:eastAsia="en-US"/>
        </w:rPr>
        <w:t>estimated</w:t>
      </w:r>
      <w:r w:rsidR="00D42BA9" w:rsidRPr="005F4582">
        <w:rPr>
          <w:rFonts w:eastAsia="Times New Roman" w:cstheme="minorHAnsi"/>
          <w:i w:val="0"/>
          <w:snapToGrid w:val="0"/>
          <w:szCs w:val="24"/>
          <w:lang w:eastAsia="en-US"/>
        </w:rPr>
        <w:t xml:space="preserve"> </w:t>
      </w:r>
      <w:r w:rsidR="00B116C1" w:rsidRPr="005F4582">
        <w:rPr>
          <w:rFonts w:eastAsia="Times New Roman" w:cstheme="minorHAnsi"/>
          <w:i w:val="0"/>
          <w:snapToGrid w:val="0"/>
          <w:szCs w:val="24"/>
          <w:lang w:eastAsia="en-US"/>
        </w:rPr>
        <w:t xml:space="preserve">cost per </w:t>
      </w:r>
      <w:r w:rsidR="00D42BA9" w:rsidRPr="005F4582">
        <w:rPr>
          <w:rFonts w:eastAsia="Times New Roman" w:cstheme="minorHAnsi"/>
          <w:i w:val="0"/>
          <w:snapToGrid w:val="0"/>
          <w:szCs w:val="24"/>
          <w:lang w:eastAsia="en-US"/>
        </w:rPr>
        <w:t>patient</w:t>
      </w:r>
      <w:r w:rsidR="00B116C1" w:rsidRPr="005F4582">
        <w:rPr>
          <w:rFonts w:eastAsia="Times New Roman" w:cstheme="minorHAnsi"/>
          <w:i w:val="0"/>
          <w:snapToGrid w:val="0"/>
          <w:szCs w:val="24"/>
          <w:lang w:eastAsia="en-US"/>
        </w:rPr>
        <w:t xml:space="preserve"> </w:t>
      </w:r>
      <w:r w:rsidR="00D42BA9" w:rsidRPr="005F4582">
        <w:rPr>
          <w:rFonts w:eastAsia="Times New Roman" w:cstheme="minorHAnsi"/>
          <w:i w:val="0"/>
          <w:snapToGrid w:val="0"/>
          <w:szCs w:val="24"/>
          <w:lang w:eastAsia="en-US"/>
        </w:rPr>
        <w:t>is $</w:t>
      </w:r>
      <w:r w:rsidR="008D562F">
        <w:rPr>
          <w:rFonts w:eastAsia="Times New Roman" w:cstheme="minorHAnsi"/>
          <w:i w:val="0"/>
          <w:noProof/>
          <w:snapToGrid w:val="0"/>
          <w:color w:val="000000"/>
          <w:szCs w:val="24"/>
          <w:highlight w:val="black"/>
          <w:lang w:eastAsia="en-US"/>
        </w:rPr>
        <w:t>''''''''''''''</w:t>
      </w:r>
      <w:r w:rsidR="00D42BA9" w:rsidRPr="005F4582">
        <w:rPr>
          <w:rFonts w:eastAsia="Times New Roman" w:cstheme="minorHAnsi"/>
          <w:i w:val="0"/>
          <w:snapToGrid w:val="0"/>
          <w:szCs w:val="24"/>
          <w:lang w:eastAsia="en-US"/>
        </w:rPr>
        <w:t>. This compare</w:t>
      </w:r>
      <w:r w:rsidR="00FA27BA" w:rsidRPr="005F4582">
        <w:rPr>
          <w:rFonts w:eastAsia="Times New Roman" w:cstheme="minorHAnsi"/>
          <w:i w:val="0"/>
          <w:snapToGrid w:val="0"/>
          <w:szCs w:val="24"/>
          <w:lang w:eastAsia="en-US"/>
        </w:rPr>
        <w:t>s with $</w:t>
      </w:r>
      <w:r w:rsidR="008D562F">
        <w:rPr>
          <w:rFonts w:eastAsia="Times New Roman" w:cstheme="minorHAnsi"/>
          <w:i w:val="0"/>
          <w:noProof/>
          <w:snapToGrid w:val="0"/>
          <w:color w:val="000000"/>
          <w:szCs w:val="24"/>
          <w:highlight w:val="black"/>
          <w:lang w:eastAsia="en-US"/>
        </w:rPr>
        <w:t>'''''''''''''</w:t>
      </w:r>
      <w:r w:rsidR="00F93901" w:rsidRPr="005F4582">
        <w:rPr>
          <w:rFonts w:eastAsia="Times New Roman" w:cstheme="minorHAnsi"/>
          <w:i w:val="0"/>
          <w:snapToGrid w:val="0"/>
          <w:szCs w:val="24"/>
          <w:lang w:eastAsia="en-US"/>
        </w:rPr>
        <w:t xml:space="preserve"> per course</w:t>
      </w:r>
      <w:r w:rsidR="00FA27BA" w:rsidRPr="005F4582">
        <w:rPr>
          <w:rFonts w:eastAsia="Times New Roman" w:cstheme="minorHAnsi"/>
          <w:i w:val="0"/>
          <w:snapToGrid w:val="0"/>
          <w:szCs w:val="24"/>
          <w:lang w:eastAsia="en-US"/>
        </w:rPr>
        <w:t xml:space="preserve"> in</w:t>
      </w:r>
      <w:r w:rsidR="00D42BA9" w:rsidRPr="005F4582">
        <w:rPr>
          <w:rFonts w:eastAsia="Times New Roman" w:cstheme="minorHAnsi"/>
          <w:i w:val="0"/>
          <w:snapToGrid w:val="0"/>
          <w:szCs w:val="24"/>
          <w:lang w:eastAsia="en-US"/>
        </w:rPr>
        <w:t xml:space="preserve"> the July 2019 submission</w:t>
      </w:r>
      <w:r w:rsidR="00D42BA9" w:rsidRPr="005F4582">
        <w:rPr>
          <w:i w:val="0"/>
        </w:rPr>
        <w:t xml:space="preserve"> ($</w:t>
      </w:r>
      <w:r w:rsidR="008D562F">
        <w:rPr>
          <w:i w:val="0"/>
          <w:noProof/>
          <w:color w:val="000000"/>
          <w:highlight w:val="black"/>
        </w:rPr>
        <w:t>'''''''''''</w:t>
      </w:r>
      <w:r w:rsidR="00D42BA9" w:rsidRPr="005F4582">
        <w:rPr>
          <w:i w:val="0"/>
        </w:rPr>
        <w:t xml:space="preserve">/500mg </w:t>
      </w:r>
      <w:r w:rsidR="00F30A4D" w:rsidRPr="005F4582">
        <w:rPr>
          <w:i w:val="0"/>
        </w:rPr>
        <w:t>and</w:t>
      </w:r>
      <w:r w:rsidR="00D42BA9" w:rsidRPr="005F4582">
        <w:rPr>
          <w:i w:val="0"/>
        </w:rPr>
        <w:t xml:space="preserve"> </w:t>
      </w:r>
      <w:r w:rsidR="00194548" w:rsidRPr="005F4582">
        <w:rPr>
          <w:i w:val="0"/>
        </w:rPr>
        <w:t>$</w:t>
      </w:r>
      <w:r w:rsidR="008D562F">
        <w:rPr>
          <w:i w:val="0"/>
          <w:noProof/>
          <w:color w:val="000000"/>
          <w:highlight w:val="black"/>
        </w:rPr>
        <w:t>'''''''</w:t>
      </w:r>
      <w:r w:rsidR="00D42BA9" w:rsidRPr="005F4582">
        <w:rPr>
          <w:i w:val="0"/>
        </w:rPr>
        <w:t>/120mg effective price per vial)</w:t>
      </w:r>
      <w:r w:rsidR="00D42BA9" w:rsidRPr="005F4582">
        <w:rPr>
          <w:rFonts w:eastAsia="Times New Roman" w:cstheme="minorHAnsi"/>
          <w:i w:val="0"/>
          <w:snapToGrid w:val="0"/>
          <w:szCs w:val="24"/>
          <w:lang w:eastAsia="en-US"/>
        </w:rPr>
        <w:t>.</w:t>
      </w:r>
    </w:p>
    <w:p w:rsidR="005A3173" w:rsidRPr="005F4582" w:rsidRDefault="005A3173" w:rsidP="008306F3">
      <w:pPr>
        <w:pStyle w:val="Heading2"/>
        <w:keepLines/>
        <w:spacing w:before="240" w:after="120"/>
        <w:rPr>
          <w:rFonts w:asciiTheme="minorHAnsi" w:eastAsiaTheme="majorEastAsia" w:hAnsiTheme="minorHAnsi" w:cstheme="majorBidi"/>
          <w:sz w:val="28"/>
          <w:szCs w:val="28"/>
          <w:lang w:eastAsia="en-US"/>
        </w:rPr>
      </w:pPr>
      <w:r w:rsidRPr="005F4582">
        <w:rPr>
          <w:rFonts w:asciiTheme="minorHAnsi" w:eastAsiaTheme="majorEastAsia" w:hAnsiTheme="minorHAnsi" w:cstheme="majorBidi"/>
          <w:sz w:val="28"/>
          <w:szCs w:val="28"/>
          <w:lang w:eastAsia="en-US"/>
        </w:rPr>
        <w:t>Estimated PBS usage &amp; financial implications</w:t>
      </w:r>
    </w:p>
    <w:p w:rsidR="004D3DDB" w:rsidRPr="005F4582" w:rsidRDefault="004D3DDB" w:rsidP="00CB0D20">
      <w:pPr>
        <w:pStyle w:val="3Bodytext"/>
        <w:jc w:val="both"/>
        <w:rPr>
          <w:rFonts w:eastAsia="Times New Roman" w:cs="Arial"/>
          <w:snapToGrid w:val="0"/>
          <w:szCs w:val="24"/>
          <w:lang w:eastAsia="en-US"/>
        </w:rPr>
      </w:pPr>
      <w:r w:rsidRPr="005F4582">
        <w:rPr>
          <w:rFonts w:eastAsia="Times New Roman" w:cs="Arial"/>
          <w:snapToGrid w:val="0"/>
          <w:szCs w:val="24"/>
          <w:lang w:eastAsia="en-US"/>
        </w:rPr>
        <w:t xml:space="preserve">The minor resubmission </w:t>
      </w:r>
      <w:r w:rsidR="00F30A4D" w:rsidRPr="005F4582">
        <w:rPr>
          <w:rFonts w:eastAsia="Times New Roman" w:cs="Arial"/>
          <w:snapToGrid w:val="0"/>
          <w:szCs w:val="24"/>
          <w:lang w:eastAsia="en-US"/>
        </w:rPr>
        <w:t xml:space="preserve">estimated </w:t>
      </w:r>
      <w:r w:rsidRPr="005F4582">
        <w:rPr>
          <w:rFonts w:eastAsia="Times New Roman" w:cs="Arial"/>
          <w:snapToGrid w:val="0"/>
          <w:szCs w:val="24"/>
          <w:lang w:eastAsia="en-US"/>
        </w:rPr>
        <w:t xml:space="preserve">that </w:t>
      </w:r>
      <w:r w:rsidR="00C26C3B">
        <w:rPr>
          <w:rFonts w:eastAsia="Times New Roman" w:cs="Arial"/>
          <w:snapToGrid w:val="0"/>
          <w:szCs w:val="24"/>
          <w:lang w:eastAsia="en-US"/>
        </w:rPr>
        <w:t>less than 10,000</w:t>
      </w:r>
      <w:r w:rsidR="00C26C3B" w:rsidRPr="005F4582">
        <w:rPr>
          <w:rFonts w:eastAsia="Times New Roman" w:cs="Arial"/>
          <w:snapToGrid w:val="0"/>
          <w:szCs w:val="24"/>
          <w:lang w:eastAsia="en-US"/>
        </w:rPr>
        <w:t xml:space="preserve"> </w:t>
      </w:r>
      <w:r w:rsidRPr="005F4582">
        <w:rPr>
          <w:rFonts w:eastAsia="Times New Roman" w:cs="Arial"/>
          <w:snapToGrid w:val="0"/>
          <w:szCs w:val="24"/>
          <w:lang w:eastAsia="en-US"/>
        </w:rPr>
        <w:t xml:space="preserve">patients would be eligible for grandfathering </w:t>
      </w:r>
      <w:r w:rsidR="00F30A4D" w:rsidRPr="005F4582">
        <w:rPr>
          <w:rFonts w:eastAsia="Times New Roman" w:cs="Arial"/>
          <w:snapToGrid w:val="0"/>
          <w:szCs w:val="24"/>
          <w:lang w:eastAsia="en-US"/>
        </w:rPr>
        <w:t xml:space="preserve">at </w:t>
      </w:r>
      <w:r w:rsidRPr="005F4582">
        <w:rPr>
          <w:rFonts w:eastAsia="Times New Roman" w:cs="Arial"/>
          <w:snapToGrid w:val="0"/>
          <w:szCs w:val="24"/>
          <w:lang w:eastAsia="en-US"/>
        </w:rPr>
        <w:t xml:space="preserve">the time of PBAC consideration in November 2019. </w:t>
      </w:r>
      <w:r w:rsidRPr="005F4582">
        <w:rPr>
          <w:rFonts w:eastAsia="Times New Roman" w:cs="Arial"/>
          <w:snapToGrid w:val="0"/>
          <w:szCs w:val="24"/>
          <w:lang w:eastAsia="en-US"/>
        </w:rPr>
        <w:lastRenderedPageBreak/>
        <w:t>Accordingly</w:t>
      </w:r>
      <w:r w:rsidR="00880D32" w:rsidRPr="005F4582">
        <w:rPr>
          <w:rFonts w:eastAsia="Times New Roman" w:cs="Arial"/>
          <w:snapToGrid w:val="0"/>
          <w:szCs w:val="24"/>
          <w:lang w:eastAsia="en-US"/>
        </w:rPr>
        <w:t>,</w:t>
      </w:r>
      <w:r w:rsidRPr="005F4582">
        <w:rPr>
          <w:rFonts w:eastAsia="Times New Roman" w:cs="Arial"/>
          <w:snapToGrid w:val="0"/>
          <w:szCs w:val="24"/>
          <w:lang w:eastAsia="en-US"/>
        </w:rPr>
        <w:t xml:space="preserve"> the revised estimates for grandfathered patient numbers in Year 1 </w:t>
      </w:r>
      <w:r w:rsidR="00F30A4D" w:rsidRPr="005F4582">
        <w:rPr>
          <w:rFonts w:eastAsia="Times New Roman" w:cs="Arial"/>
          <w:snapToGrid w:val="0"/>
          <w:szCs w:val="24"/>
          <w:lang w:eastAsia="en-US"/>
        </w:rPr>
        <w:t>were</w:t>
      </w:r>
      <w:r w:rsidRPr="005F4582">
        <w:rPr>
          <w:rFonts w:eastAsia="Times New Roman" w:cs="Arial"/>
          <w:snapToGrid w:val="0"/>
          <w:szCs w:val="24"/>
          <w:lang w:eastAsia="en-US"/>
        </w:rPr>
        <w:t xml:space="preserve"> increased to </w:t>
      </w:r>
      <w:r w:rsidR="00C26C3B">
        <w:rPr>
          <w:rFonts w:eastAsia="Times New Roman" w:cs="Arial"/>
          <w:snapToGrid w:val="0"/>
          <w:szCs w:val="24"/>
          <w:lang w:eastAsia="en-US"/>
        </w:rPr>
        <w:t>less than 10,000</w:t>
      </w:r>
      <w:r w:rsidR="00593C15" w:rsidRPr="005F4582">
        <w:rPr>
          <w:rFonts w:eastAsia="Times New Roman" w:cs="Arial"/>
          <w:snapToGrid w:val="0"/>
          <w:szCs w:val="24"/>
          <w:lang w:eastAsia="en-US"/>
        </w:rPr>
        <w:t xml:space="preserve">(from </w:t>
      </w:r>
      <w:r w:rsidR="00C26C3B">
        <w:rPr>
          <w:rFonts w:eastAsia="Times New Roman" w:cs="Arial"/>
          <w:snapToGrid w:val="0"/>
          <w:szCs w:val="24"/>
          <w:lang w:eastAsia="en-US"/>
        </w:rPr>
        <w:t>less than 10,000</w:t>
      </w:r>
      <w:r w:rsidR="00C26C3B" w:rsidRPr="005F4582">
        <w:rPr>
          <w:rFonts w:eastAsia="Times New Roman" w:cs="Arial"/>
          <w:snapToGrid w:val="0"/>
          <w:szCs w:val="24"/>
          <w:lang w:eastAsia="en-US"/>
        </w:rPr>
        <w:t xml:space="preserve"> </w:t>
      </w:r>
      <w:r w:rsidR="00593C15" w:rsidRPr="005F4582">
        <w:rPr>
          <w:rFonts w:eastAsia="Times New Roman" w:cs="Arial"/>
          <w:snapToGrid w:val="0"/>
          <w:szCs w:val="24"/>
          <w:lang w:eastAsia="en-US"/>
        </w:rPr>
        <w:t>in the July 2019 resubmission)</w:t>
      </w:r>
      <w:r w:rsidRPr="005F4582">
        <w:rPr>
          <w:rFonts w:eastAsia="Times New Roman" w:cs="Arial"/>
          <w:snapToGrid w:val="0"/>
          <w:szCs w:val="24"/>
          <w:lang w:eastAsia="en-US"/>
        </w:rPr>
        <w:t xml:space="preserve">. </w:t>
      </w:r>
    </w:p>
    <w:p w:rsidR="00B804D1" w:rsidRPr="005F4582" w:rsidRDefault="004D3DDB" w:rsidP="00CB0D20">
      <w:pPr>
        <w:pStyle w:val="3Bodytext"/>
        <w:jc w:val="both"/>
        <w:rPr>
          <w:rFonts w:eastAsia="Times New Roman" w:cs="Arial"/>
          <w:snapToGrid w:val="0"/>
          <w:szCs w:val="24"/>
          <w:lang w:eastAsia="en-US"/>
        </w:rPr>
      </w:pPr>
      <w:r w:rsidRPr="005F4582">
        <w:rPr>
          <w:rFonts w:eastAsia="Times New Roman" w:cs="Arial"/>
          <w:snapToGrid w:val="0"/>
          <w:szCs w:val="24"/>
          <w:lang w:eastAsia="en-US"/>
        </w:rPr>
        <w:t xml:space="preserve">In July 2019, the PBAC </w:t>
      </w:r>
      <w:r w:rsidR="00F30A4D" w:rsidRPr="005F4582">
        <w:rPr>
          <w:rFonts w:eastAsia="Times New Roman" w:cs="Arial"/>
          <w:snapToGrid w:val="0"/>
          <w:szCs w:val="24"/>
          <w:lang w:eastAsia="en-US"/>
        </w:rPr>
        <w:t xml:space="preserve">noted </w:t>
      </w:r>
      <w:r w:rsidRPr="005F4582">
        <w:rPr>
          <w:rFonts w:eastAsia="Times New Roman" w:cs="Arial"/>
          <w:snapToGrid w:val="0"/>
          <w:szCs w:val="24"/>
          <w:lang w:eastAsia="en-US"/>
        </w:rPr>
        <w:t>a reduced cost of treatment for grandfathered patients</w:t>
      </w:r>
      <w:r w:rsidR="00F30A4D" w:rsidRPr="005F4582">
        <w:rPr>
          <w:rFonts w:eastAsia="Times New Roman" w:cs="Arial"/>
          <w:snapToGrid w:val="0"/>
          <w:szCs w:val="24"/>
          <w:lang w:eastAsia="en-US"/>
        </w:rPr>
        <w:t xml:space="preserve"> should</w:t>
      </w:r>
      <w:r w:rsidRPr="005F4582">
        <w:rPr>
          <w:rFonts w:eastAsia="Times New Roman" w:cs="Arial"/>
          <w:snapToGrid w:val="0"/>
          <w:szCs w:val="24"/>
          <w:lang w:eastAsia="en-US"/>
        </w:rPr>
        <w:t xml:space="preserve"> be applied, to take into account the treatment already received (paragraph 7.16, </w:t>
      </w:r>
      <w:proofErr w:type="spellStart"/>
      <w:r w:rsidR="00193999" w:rsidRPr="005F4582">
        <w:rPr>
          <w:szCs w:val="24"/>
        </w:rPr>
        <w:t>durvalumab</w:t>
      </w:r>
      <w:proofErr w:type="spellEnd"/>
      <w:r w:rsidR="00193999" w:rsidRPr="005F4582">
        <w:rPr>
          <w:szCs w:val="24"/>
        </w:rPr>
        <w:t xml:space="preserve"> </w:t>
      </w:r>
      <w:r w:rsidR="00980584" w:rsidRPr="005F4582">
        <w:rPr>
          <w:szCs w:val="24"/>
        </w:rPr>
        <w:t>PSD</w:t>
      </w:r>
      <w:r w:rsidR="00193999" w:rsidRPr="005F4582">
        <w:t>, July 2019</w:t>
      </w:r>
      <w:r w:rsidR="00980584" w:rsidRPr="005F4582">
        <w:t xml:space="preserve"> PBAC meeting</w:t>
      </w:r>
      <w:r w:rsidRPr="005F4582">
        <w:rPr>
          <w:rFonts w:eastAsia="Times New Roman" w:cs="Arial"/>
          <w:snapToGrid w:val="0"/>
          <w:szCs w:val="24"/>
          <w:lang w:eastAsia="en-US"/>
        </w:rPr>
        <w:t>).</w:t>
      </w:r>
      <w:r w:rsidR="0078731E" w:rsidRPr="005F4582">
        <w:rPr>
          <w:rFonts w:eastAsia="Times New Roman" w:cs="Arial"/>
          <w:snapToGrid w:val="0"/>
          <w:szCs w:val="24"/>
          <w:lang w:eastAsia="en-US"/>
        </w:rPr>
        <w:t xml:space="preserve"> As with the July 2019 resubmission, t</w:t>
      </w:r>
      <w:r w:rsidRPr="005F4582">
        <w:rPr>
          <w:rFonts w:eastAsia="Times New Roman" w:cs="Arial"/>
          <w:snapToGrid w:val="0"/>
          <w:szCs w:val="24"/>
          <w:lang w:eastAsia="en-US"/>
        </w:rPr>
        <w:t xml:space="preserve">he minor resubmission </w:t>
      </w:r>
      <w:r w:rsidR="00F30A4D" w:rsidRPr="005F4582">
        <w:rPr>
          <w:rFonts w:eastAsia="Times New Roman" w:cs="Arial"/>
          <w:snapToGrid w:val="0"/>
          <w:szCs w:val="24"/>
          <w:lang w:eastAsia="en-US"/>
        </w:rPr>
        <w:t>calculated the cost of treatment for the</w:t>
      </w:r>
      <w:r w:rsidRPr="005F4582">
        <w:rPr>
          <w:rFonts w:eastAsia="Times New Roman" w:cs="Arial"/>
          <w:snapToGrid w:val="0"/>
          <w:szCs w:val="24"/>
          <w:lang w:eastAsia="en-US"/>
        </w:rPr>
        <w:t xml:space="preserve"> </w:t>
      </w:r>
      <w:r w:rsidR="0078731E" w:rsidRPr="005F4582">
        <w:rPr>
          <w:rFonts w:eastAsia="Times New Roman" w:cs="Arial"/>
          <w:snapToGrid w:val="0"/>
          <w:szCs w:val="24"/>
          <w:lang w:eastAsia="en-US"/>
        </w:rPr>
        <w:t xml:space="preserve">grandfathered patients </w:t>
      </w:r>
      <w:r w:rsidR="00F30A4D" w:rsidRPr="005F4582">
        <w:rPr>
          <w:rFonts w:eastAsia="Times New Roman" w:cs="Arial"/>
          <w:snapToGrid w:val="0"/>
          <w:szCs w:val="24"/>
          <w:lang w:eastAsia="en-US"/>
        </w:rPr>
        <w:t xml:space="preserve">based on </w:t>
      </w:r>
      <w:r w:rsidR="0078731E" w:rsidRPr="005F4582">
        <w:rPr>
          <w:rFonts w:eastAsia="Times New Roman" w:cs="Arial"/>
          <w:snapToGrid w:val="0"/>
          <w:szCs w:val="24"/>
          <w:lang w:eastAsia="en-US"/>
        </w:rPr>
        <w:t>t</w:t>
      </w:r>
      <w:r w:rsidRPr="005F4582">
        <w:rPr>
          <w:rFonts w:eastAsia="Times New Roman" w:cs="Arial"/>
          <w:snapToGrid w:val="0"/>
          <w:szCs w:val="24"/>
          <w:lang w:eastAsia="en-US"/>
        </w:rPr>
        <w:t>he mean duration of treatment (35.5 weeks, 17.75 prescriptions) from the PACIFIC trial</w:t>
      </w:r>
      <w:r w:rsidR="00173757" w:rsidRPr="005F4582">
        <w:rPr>
          <w:rFonts w:eastAsia="Times New Roman" w:cs="Arial"/>
          <w:snapToGrid w:val="0"/>
          <w:szCs w:val="24"/>
          <w:lang w:eastAsia="en-US"/>
        </w:rPr>
        <w:t xml:space="preserve">. </w:t>
      </w:r>
      <w:r w:rsidR="00FC37AC" w:rsidRPr="005F4582">
        <w:rPr>
          <w:rFonts w:eastAsia="Times New Roman" w:cs="Arial"/>
          <w:snapToGrid w:val="0"/>
          <w:szCs w:val="24"/>
          <w:lang w:eastAsia="en-US"/>
        </w:rPr>
        <w:t>In its</w:t>
      </w:r>
      <w:r w:rsidR="005C4900" w:rsidRPr="005F4582">
        <w:rPr>
          <w:rFonts w:eastAsia="Times New Roman" w:cs="Arial"/>
          <w:snapToGrid w:val="0"/>
          <w:szCs w:val="24"/>
          <w:lang w:eastAsia="en-US"/>
        </w:rPr>
        <w:t xml:space="preserve"> </w:t>
      </w:r>
      <w:r w:rsidR="00593C15" w:rsidRPr="005F4582">
        <w:rPr>
          <w:rFonts w:eastAsia="Times New Roman" w:cs="Arial"/>
          <w:snapToGrid w:val="0"/>
          <w:szCs w:val="24"/>
          <w:lang w:eastAsia="en-US"/>
        </w:rPr>
        <w:t>p</w:t>
      </w:r>
      <w:r w:rsidR="005C4900" w:rsidRPr="005F4582">
        <w:rPr>
          <w:rFonts w:eastAsia="Times New Roman" w:cs="Arial"/>
          <w:snapToGrid w:val="0"/>
          <w:szCs w:val="24"/>
          <w:lang w:eastAsia="en-US"/>
        </w:rPr>
        <w:t xml:space="preserve">re-PBAC </w:t>
      </w:r>
      <w:proofErr w:type="gramStart"/>
      <w:r w:rsidR="005C4900" w:rsidRPr="005F4582">
        <w:rPr>
          <w:rFonts w:eastAsia="Times New Roman" w:cs="Arial"/>
          <w:snapToGrid w:val="0"/>
          <w:szCs w:val="24"/>
          <w:lang w:eastAsia="en-US"/>
        </w:rPr>
        <w:t>response</w:t>
      </w:r>
      <w:r w:rsidR="00271562" w:rsidRPr="005F4582">
        <w:rPr>
          <w:rFonts w:eastAsia="Times New Roman" w:cs="Arial"/>
          <w:snapToGrid w:val="0"/>
          <w:szCs w:val="24"/>
          <w:lang w:eastAsia="en-US"/>
        </w:rPr>
        <w:t xml:space="preserve"> </w:t>
      </w:r>
      <w:r w:rsidR="00DE1A07" w:rsidRPr="005F4582">
        <w:rPr>
          <w:rFonts w:eastAsia="Times New Roman" w:cs="Arial"/>
          <w:snapToGrid w:val="0"/>
          <w:szCs w:val="24"/>
          <w:lang w:eastAsia="en-US"/>
        </w:rPr>
        <w:t>,</w:t>
      </w:r>
      <w:proofErr w:type="gramEnd"/>
      <w:r w:rsidR="00DE1A07" w:rsidRPr="005F4582">
        <w:rPr>
          <w:rFonts w:eastAsia="Times New Roman" w:cs="Arial"/>
          <w:snapToGrid w:val="0"/>
          <w:szCs w:val="24"/>
          <w:lang w:eastAsia="en-US"/>
        </w:rPr>
        <w:t xml:space="preserve"> the S</w:t>
      </w:r>
      <w:r w:rsidR="00271562" w:rsidRPr="005F4582">
        <w:rPr>
          <w:rFonts w:eastAsia="Times New Roman" w:cs="Arial"/>
          <w:snapToGrid w:val="0"/>
          <w:szCs w:val="24"/>
          <w:lang w:eastAsia="en-US"/>
        </w:rPr>
        <w:t>ponsor</w:t>
      </w:r>
      <w:r w:rsidR="00F344FF" w:rsidRPr="005F4582">
        <w:rPr>
          <w:rFonts w:eastAsia="Times New Roman" w:cs="Arial"/>
          <w:snapToGrid w:val="0"/>
          <w:szCs w:val="24"/>
          <w:lang w:eastAsia="en-US"/>
        </w:rPr>
        <w:t xml:space="preserve"> provided revised financial estimates assuming grandfathered patients are treated for 17.75 weeks (8.875 prescriptions)</w:t>
      </w:r>
      <w:r w:rsidR="005F4582">
        <w:rPr>
          <w:rFonts w:eastAsia="Times New Roman" w:cs="Arial"/>
          <w:snapToGrid w:val="0"/>
          <w:szCs w:val="24"/>
          <w:lang w:eastAsia="en-US"/>
        </w:rPr>
        <w:t xml:space="preserve">. </w:t>
      </w:r>
    </w:p>
    <w:p w:rsidR="004777AA" w:rsidRPr="005F4582" w:rsidRDefault="00B804D1" w:rsidP="00CB0D20">
      <w:pPr>
        <w:pStyle w:val="3Bodytext"/>
        <w:jc w:val="both"/>
        <w:rPr>
          <w:rFonts w:eastAsia="Times New Roman" w:cs="Arial"/>
          <w:snapToGrid w:val="0"/>
          <w:szCs w:val="24"/>
          <w:lang w:eastAsia="en-US"/>
        </w:rPr>
      </w:pPr>
      <w:r w:rsidRPr="005F6BE7">
        <w:rPr>
          <w:rFonts w:eastAsia="Times New Roman" w:cs="Arial"/>
          <w:snapToGrid w:val="0"/>
          <w:szCs w:val="24"/>
          <w:lang w:eastAsia="en-US"/>
        </w:rPr>
        <w:t xml:space="preserve">Based on the PBAC’s advice in July 2019, the minor resubmission updated its estimated total number of eligible patients for </w:t>
      </w:r>
      <w:proofErr w:type="spellStart"/>
      <w:r w:rsidRPr="005F6BE7">
        <w:rPr>
          <w:rFonts w:eastAsia="Times New Roman" w:cs="Arial"/>
          <w:snapToGrid w:val="0"/>
          <w:szCs w:val="24"/>
          <w:lang w:eastAsia="en-US"/>
        </w:rPr>
        <w:t>durvalumab</w:t>
      </w:r>
      <w:proofErr w:type="spellEnd"/>
      <w:r w:rsidRPr="005F6BE7">
        <w:rPr>
          <w:rFonts w:eastAsia="Times New Roman" w:cs="Arial"/>
          <w:snapToGrid w:val="0"/>
          <w:szCs w:val="24"/>
          <w:lang w:eastAsia="en-US"/>
        </w:rPr>
        <w:t xml:space="preserve"> treatment, revising the </w:t>
      </w:r>
      <w:r w:rsidR="00FC37AC" w:rsidRPr="005F4582">
        <w:rPr>
          <w:rFonts w:eastAsia="Times New Roman" w:cs="Arial"/>
          <w:snapToGrid w:val="0"/>
          <w:szCs w:val="24"/>
          <w:lang w:eastAsia="en-US"/>
        </w:rPr>
        <w:t>CRT</w:t>
      </w:r>
      <w:r w:rsidRPr="005F4582">
        <w:rPr>
          <w:rFonts w:eastAsia="Times New Roman" w:cs="Arial"/>
          <w:snapToGrid w:val="0"/>
          <w:szCs w:val="24"/>
          <w:lang w:eastAsia="en-US"/>
        </w:rPr>
        <w:t xml:space="preserve"> uptake rate to 70% for all years, </w:t>
      </w:r>
      <w:r w:rsidR="006D19EC" w:rsidRPr="005F4582">
        <w:rPr>
          <w:rFonts w:eastAsia="Times New Roman" w:cs="Arial"/>
          <w:snapToGrid w:val="0"/>
          <w:szCs w:val="24"/>
          <w:lang w:eastAsia="en-US"/>
        </w:rPr>
        <w:t>and</w:t>
      </w:r>
      <w:r w:rsidRPr="005F4582">
        <w:rPr>
          <w:rFonts w:eastAsia="Times New Roman" w:cs="Arial"/>
          <w:snapToGrid w:val="0"/>
          <w:szCs w:val="24"/>
          <w:lang w:eastAsia="en-US"/>
        </w:rPr>
        <w:t xml:space="preserve"> adjusting the </w:t>
      </w:r>
      <w:proofErr w:type="spellStart"/>
      <w:r w:rsidRPr="005F4582">
        <w:rPr>
          <w:rFonts w:eastAsia="Times New Roman" w:cs="Arial"/>
          <w:snapToGrid w:val="0"/>
          <w:szCs w:val="24"/>
          <w:lang w:eastAsia="en-US"/>
        </w:rPr>
        <w:t>durvalumab</w:t>
      </w:r>
      <w:proofErr w:type="spellEnd"/>
      <w:r w:rsidRPr="005F4582">
        <w:rPr>
          <w:rFonts w:eastAsia="Times New Roman" w:cs="Arial"/>
          <w:snapToGrid w:val="0"/>
          <w:szCs w:val="24"/>
          <w:lang w:eastAsia="en-US"/>
        </w:rPr>
        <w:t xml:space="preserve"> uptake rate </w:t>
      </w:r>
      <w:r w:rsidR="00F93901" w:rsidRPr="005F4582">
        <w:rPr>
          <w:rFonts w:eastAsia="Times New Roman" w:cs="Arial"/>
          <w:snapToGrid w:val="0"/>
          <w:szCs w:val="24"/>
          <w:lang w:eastAsia="en-US"/>
        </w:rPr>
        <w:t xml:space="preserve">from </w:t>
      </w:r>
      <w:r w:rsidR="00313617" w:rsidRPr="005F4582">
        <w:rPr>
          <w:rFonts w:eastAsia="Times New Roman" w:cs="Arial"/>
          <w:snapToGrid w:val="0"/>
          <w:szCs w:val="24"/>
          <w:lang w:eastAsia="en-US"/>
        </w:rPr>
        <w:t xml:space="preserve">90% in Year 1 and 95% in Year 2 to 6 </w:t>
      </w:r>
      <w:r w:rsidRPr="005F4582">
        <w:rPr>
          <w:rFonts w:eastAsia="Times New Roman" w:cs="Arial"/>
          <w:snapToGrid w:val="0"/>
          <w:szCs w:val="24"/>
          <w:lang w:eastAsia="en-US"/>
        </w:rPr>
        <w:t>to 90% for all years.</w:t>
      </w:r>
      <w:r w:rsidR="00F344FF" w:rsidRPr="005F4582">
        <w:rPr>
          <w:rFonts w:eastAsia="Times New Roman" w:cs="Arial"/>
          <w:i/>
          <w:snapToGrid w:val="0"/>
          <w:szCs w:val="24"/>
          <w:lang w:eastAsia="en-US"/>
        </w:rPr>
        <w:t xml:space="preserve"> </w:t>
      </w:r>
      <w:r w:rsidR="000A720F" w:rsidRPr="005F4582">
        <w:rPr>
          <w:rFonts w:eastAsia="Times New Roman" w:cs="Arial"/>
          <w:snapToGrid w:val="0"/>
          <w:szCs w:val="24"/>
          <w:lang w:eastAsia="en-US"/>
        </w:rPr>
        <w:t xml:space="preserve">The PBAC considered the uptake </w:t>
      </w:r>
      <w:r w:rsidR="00593C15" w:rsidRPr="005F4582">
        <w:rPr>
          <w:rFonts w:eastAsia="Times New Roman" w:cs="Arial"/>
          <w:snapToGrid w:val="0"/>
          <w:szCs w:val="24"/>
          <w:lang w:eastAsia="en-US"/>
        </w:rPr>
        <w:t xml:space="preserve">of </w:t>
      </w:r>
      <w:proofErr w:type="spellStart"/>
      <w:r w:rsidR="00593C15" w:rsidRPr="005F4582">
        <w:rPr>
          <w:rFonts w:eastAsia="Times New Roman" w:cs="Arial"/>
          <w:snapToGrid w:val="0"/>
          <w:szCs w:val="24"/>
          <w:lang w:eastAsia="en-US"/>
        </w:rPr>
        <w:t>durvalumab</w:t>
      </w:r>
      <w:proofErr w:type="spellEnd"/>
      <w:r w:rsidR="00593C15" w:rsidRPr="005F4582">
        <w:rPr>
          <w:rFonts w:eastAsia="Times New Roman" w:cs="Arial"/>
          <w:snapToGrid w:val="0"/>
          <w:szCs w:val="24"/>
          <w:lang w:eastAsia="en-US"/>
        </w:rPr>
        <w:t xml:space="preserve"> </w:t>
      </w:r>
      <w:r w:rsidR="00B116C1" w:rsidRPr="005F4582">
        <w:rPr>
          <w:rFonts w:eastAsia="Times New Roman" w:cs="Arial"/>
          <w:snapToGrid w:val="0"/>
          <w:szCs w:val="24"/>
          <w:lang w:eastAsia="en-US"/>
        </w:rPr>
        <w:t xml:space="preserve">in Year 1 should </w:t>
      </w:r>
      <w:r w:rsidR="000A720F" w:rsidRPr="005F4582">
        <w:rPr>
          <w:rFonts w:eastAsia="Times New Roman" w:cs="Arial"/>
          <w:snapToGrid w:val="0"/>
          <w:szCs w:val="24"/>
          <w:lang w:eastAsia="en-US"/>
        </w:rPr>
        <w:t xml:space="preserve">be lower </w:t>
      </w:r>
      <w:r w:rsidR="00B116C1" w:rsidRPr="005F4582">
        <w:rPr>
          <w:rFonts w:eastAsia="Times New Roman" w:cs="Arial"/>
          <w:snapToGrid w:val="0"/>
          <w:szCs w:val="24"/>
          <w:lang w:eastAsia="en-US"/>
        </w:rPr>
        <w:t xml:space="preserve">to account for the fact </w:t>
      </w:r>
      <w:r w:rsidR="00253D50" w:rsidRPr="005F4582">
        <w:rPr>
          <w:rFonts w:eastAsia="Times New Roman" w:cs="Arial"/>
          <w:snapToGrid w:val="0"/>
          <w:szCs w:val="24"/>
          <w:lang w:eastAsia="en-US"/>
        </w:rPr>
        <w:t xml:space="preserve">that not all eligible (non-grandfathered) patients will receive a full treatment course in Year 1 as some patients will commence treatment later in the year. </w:t>
      </w:r>
      <w:r w:rsidR="000A720F" w:rsidRPr="005F4582">
        <w:rPr>
          <w:rFonts w:eastAsia="Times New Roman" w:cs="Arial"/>
          <w:snapToGrid w:val="0"/>
          <w:szCs w:val="24"/>
          <w:lang w:eastAsia="en-US"/>
        </w:rPr>
        <w:t xml:space="preserve">The PBAC considered an uptake </w:t>
      </w:r>
      <w:r w:rsidR="00171324" w:rsidRPr="005F4582">
        <w:rPr>
          <w:rFonts w:eastAsia="Times New Roman" w:cs="Arial"/>
          <w:snapToGrid w:val="0"/>
          <w:szCs w:val="24"/>
          <w:lang w:eastAsia="en-US"/>
        </w:rPr>
        <w:t xml:space="preserve">of 75% of that anticipated (i.e., 75% x 90%) </w:t>
      </w:r>
      <w:r w:rsidR="000A720F" w:rsidRPr="005F4582">
        <w:rPr>
          <w:rFonts w:eastAsia="Times New Roman" w:cs="Arial"/>
          <w:snapToGrid w:val="0"/>
          <w:szCs w:val="24"/>
          <w:lang w:eastAsia="en-US"/>
        </w:rPr>
        <w:t>in Year</w:t>
      </w:r>
      <w:r w:rsidR="00171324" w:rsidRPr="005F4582">
        <w:rPr>
          <w:rFonts w:eastAsia="Times New Roman" w:cs="Arial"/>
          <w:snapToGrid w:val="0"/>
          <w:szCs w:val="24"/>
          <w:lang w:eastAsia="en-US"/>
        </w:rPr>
        <w:t xml:space="preserve"> </w:t>
      </w:r>
      <w:r w:rsidR="000A720F" w:rsidRPr="005F4582">
        <w:rPr>
          <w:rFonts w:eastAsia="Times New Roman" w:cs="Arial"/>
          <w:snapToGrid w:val="0"/>
          <w:szCs w:val="24"/>
          <w:lang w:eastAsia="en-US"/>
        </w:rPr>
        <w:t>1 would be more reasonable</w:t>
      </w:r>
      <w:r w:rsidR="00593C15" w:rsidRPr="005F4582">
        <w:rPr>
          <w:rFonts w:eastAsia="Times New Roman" w:cs="Arial"/>
          <w:snapToGrid w:val="0"/>
          <w:szCs w:val="24"/>
          <w:lang w:eastAsia="en-US"/>
        </w:rPr>
        <w:t xml:space="preserve"> (see Table </w:t>
      </w:r>
      <w:r w:rsidR="00C74E46" w:rsidRPr="005F4582">
        <w:rPr>
          <w:rFonts w:eastAsia="Times New Roman" w:cs="Arial"/>
          <w:snapToGrid w:val="0"/>
          <w:szCs w:val="24"/>
          <w:lang w:eastAsia="en-US"/>
        </w:rPr>
        <w:t xml:space="preserve">4 </w:t>
      </w:r>
      <w:r w:rsidR="00593C15" w:rsidRPr="005F4582">
        <w:rPr>
          <w:rFonts w:eastAsia="Times New Roman" w:cs="Arial"/>
          <w:snapToGrid w:val="0"/>
          <w:szCs w:val="24"/>
          <w:lang w:eastAsia="en-US"/>
        </w:rPr>
        <w:t>for revised patient numbers)</w:t>
      </w:r>
      <w:r w:rsidR="005F4582">
        <w:rPr>
          <w:rFonts w:eastAsia="Times New Roman" w:cs="Arial"/>
          <w:snapToGrid w:val="0"/>
          <w:szCs w:val="24"/>
          <w:lang w:eastAsia="en-US"/>
        </w:rPr>
        <w:t xml:space="preserve">. </w:t>
      </w:r>
    </w:p>
    <w:p w:rsidR="00C00DA7" w:rsidRPr="005F4582" w:rsidRDefault="00FF2801" w:rsidP="00313617">
      <w:pPr>
        <w:pStyle w:val="3Bodytext"/>
        <w:jc w:val="both"/>
        <w:rPr>
          <w:rFonts w:eastAsia="Times New Roman" w:cs="Arial"/>
          <w:snapToGrid w:val="0"/>
          <w:szCs w:val="24"/>
          <w:lang w:eastAsia="en-US"/>
        </w:rPr>
      </w:pPr>
      <w:r w:rsidRPr="005F6BE7">
        <w:rPr>
          <w:szCs w:val="24"/>
        </w:rPr>
        <w:t xml:space="preserve">The minor </w:t>
      </w:r>
      <w:r w:rsidR="000A720F" w:rsidRPr="005F6BE7">
        <w:rPr>
          <w:szCs w:val="24"/>
        </w:rPr>
        <w:t>re</w:t>
      </w:r>
      <w:r w:rsidRPr="005F6BE7">
        <w:rPr>
          <w:szCs w:val="24"/>
        </w:rPr>
        <w:t>submission estimated</w:t>
      </w:r>
      <w:r w:rsidR="00C00DA7" w:rsidRPr="005F4582">
        <w:rPr>
          <w:szCs w:val="24"/>
        </w:rPr>
        <w:t xml:space="preserve"> a net cost to the </w:t>
      </w:r>
      <w:r w:rsidR="00FF437F" w:rsidRPr="005F4582">
        <w:rPr>
          <w:szCs w:val="24"/>
        </w:rPr>
        <w:t xml:space="preserve">health budget </w:t>
      </w:r>
      <w:r w:rsidR="00C00DA7" w:rsidRPr="005F4582">
        <w:rPr>
          <w:szCs w:val="24"/>
        </w:rPr>
        <w:t xml:space="preserve">of </w:t>
      </w:r>
      <w:r w:rsidR="006E2AF7" w:rsidRPr="005F4582">
        <w:rPr>
          <w:szCs w:val="24"/>
        </w:rPr>
        <w:t>$</w:t>
      </w:r>
      <w:r w:rsidR="00032B54">
        <w:rPr>
          <w:szCs w:val="24"/>
        </w:rPr>
        <w:t>30 - $60 million</w:t>
      </w:r>
      <w:r w:rsidR="00C00DA7" w:rsidRPr="005F4582">
        <w:rPr>
          <w:szCs w:val="24"/>
        </w:rPr>
        <w:t xml:space="preserve"> in Year </w:t>
      </w:r>
      <w:r w:rsidR="00977BF3" w:rsidRPr="005F4582">
        <w:rPr>
          <w:szCs w:val="24"/>
        </w:rPr>
        <w:t>6</w:t>
      </w:r>
      <w:r w:rsidR="00C00DA7" w:rsidRPr="005F4582">
        <w:rPr>
          <w:szCs w:val="24"/>
        </w:rPr>
        <w:t xml:space="preserve"> of listing, with a total net cost of</w:t>
      </w:r>
      <w:r w:rsidR="00032B54">
        <w:rPr>
          <w:szCs w:val="24"/>
        </w:rPr>
        <w:t xml:space="preserve"> more than</w:t>
      </w:r>
      <w:r w:rsidR="00C00DA7" w:rsidRPr="005F4582">
        <w:rPr>
          <w:szCs w:val="24"/>
        </w:rPr>
        <w:t xml:space="preserve"> </w:t>
      </w:r>
      <w:r w:rsidR="006E2AF7" w:rsidRPr="005F4582">
        <w:rPr>
          <w:szCs w:val="24"/>
        </w:rPr>
        <w:t>$</w:t>
      </w:r>
      <w:r w:rsidR="00032B54">
        <w:rPr>
          <w:szCs w:val="24"/>
        </w:rPr>
        <w:t>100 million</w:t>
      </w:r>
      <w:r w:rsidR="00C7409E" w:rsidRPr="005F4582">
        <w:rPr>
          <w:szCs w:val="24"/>
        </w:rPr>
        <w:t xml:space="preserve"> </w:t>
      </w:r>
      <w:r w:rsidR="00C00DA7" w:rsidRPr="005F4582">
        <w:rPr>
          <w:szCs w:val="24"/>
        </w:rPr>
        <w:t>ove</w:t>
      </w:r>
      <w:r w:rsidR="00C7409E" w:rsidRPr="005F4582">
        <w:rPr>
          <w:szCs w:val="24"/>
        </w:rPr>
        <w:t xml:space="preserve">r the first </w:t>
      </w:r>
      <w:r w:rsidR="00977BF3" w:rsidRPr="005F4582">
        <w:rPr>
          <w:szCs w:val="24"/>
        </w:rPr>
        <w:t>6</w:t>
      </w:r>
      <w:r w:rsidR="00C7409E" w:rsidRPr="005F4582">
        <w:rPr>
          <w:szCs w:val="24"/>
        </w:rPr>
        <w:t xml:space="preserve"> years of listing</w:t>
      </w:r>
      <w:r w:rsidR="00FC3E87" w:rsidRPr="005F4582">
        <w:rPr>
          <w:szCs w:val="24"/>
        </w:rPr>
        <w:t xml:space="preserve"> (applying the published price of </w:t>
      </w:r>
      <w:proofErr w:type="spellStart"/>
      <w:r w:rsidR="00FC3E87" w:rsidRPr="005F4582">
        <w:rPr>
          <w:szCs w:val="24"/>
        </w:rPr>
        <w:t>nivolumab</w:t>
      </w:r>
      <w:proofErr w:type="spellEnd"/>
      <w:r w:rsidR="00FC3E87" w:rsidRPr="005F4582">
        <w:rPr>
          <w:szCs w:val="24"/>
        </w:rPr>
        <w:t xml:space="preserve"> with an assumed </w:t>
      </w:r>
      <w:r w:rsidR="008D562F">
        <w:rPr>
          <w:noProof/>
          <w:color w:val="000000"/>
          <w:szCs w:val="24"/>
          <w:highlight w:val="black"/>
        </w:rPr>
        <w:t>'''''</w:t>
      </w:r>
      <w:r w:rsidR="00FC3E87" w:rsidRPr="000F5639">
        <w:rPr>
          <w:szCs w:val="24"/>
        </w:rPr>
        <w:t>%</w:t>
      </w:r>
      <w:r w:rsidR="00FC3E87" w:rsidRPr="005F4582">
        <w:rPr>
          <w:szCs w:val="24"/>
        </w:rPr>
        <w:t xml:space="preserve"> discount)</w:t>
      </w:r>
      <w:r w:rsidR="00C7409E" w:rsidRPr="005F4582">
        <w:rPr>
          <w:szCs w:val="24"/>
        </w:rPr>
        <w:t xml:space="preserve">. </w:t>
      </w:r>
      <w:r w:rsidR="0058570D" w:rsidRPr="005F4582">
        <w:rPr>
          <w:szCs w:val="24"/>
        </w:rPr>
        <w:t xml:space="preserve">Revised financial estimates </w:t>
      </w:r>
      <w:r w:rsidR="00DE1A07" w:rsidRPr="005F4582">
        <w:rPr>
          <w:szCs w:val="24"/>
        </w:rPr>
        <w:t xml:space="preserve">were </w:t>
      </w:r>
      <w:r w:rsidR="0058570D" w:rsidRPr="005F4582">
        <w:rPr>
          <w:szCs w:val="24"/>
        </w:rPr>
        <w:t xml:space="preserve">included in the </w:t>
      </w:r>
      <w:r w:rsidR="00DE1A07" w:rsidRPr="005F4582">
        <w:rPr>
          <w:szCs w:val="24"/>
        </w:rPr>
        <w:t xml:space="preserve">Sponsor’s </w:t>
      </w:r>
      <w:r w:rsidR="00593C15" w:rsidRPr="005F4582">
        <w:rPr>
          <w:szCs w:val="24"/>
        </w:rPr>
        <w:t>p</w:t>
      </w:r>
      <w:r w:rsidR="0058570D" w:rsidRPr="005F4582">
        <w:rPr>
          <w:szCs w:val="24"/>
        </w:rPr>
        <w:t xml:space="preserve">re-PBAC response </w:t>
      </w:r>
      <w:r w:rsidR="00275C9F" w:rsidRPr="005F4582">
        <w:rPr>
          <w:szCs w:val="24"/>
        </w:rPr>
        <w:t xml:space="preserve">and </w:t>
      </w:r>
      <w:r w:rsidR="0058570D" w:rsidRPr="005F4582">
        <w:rPr>
          <w:szCs w:val="24"/>
        </w:rPr>
        <w:t xml:space="preserve">are presented in Table </w:t>
      </w:r>
      <w:r w:rsidR="0061605C" w:rsidRPr="005F4582">
        <w:rPr>
          <w:szCs w:val="24"/>
        </w:rPr>
        <w:t xml:space="preserve">3 </w:t>
      </w:r>
      <w:r w:rsidR="0058570D" w:rsidRPr="005F4582">
        <w:rPr>
          <w:szCs w:val="24"/>
        </w:rPr>
        <w:t>below</w:t>
      </w:r>
      <w:r w:rsidR="00C00DA7" w:rsidRPr="005F4582">
        <w:rPr>
          <w:szCs w:val="24"/>
        </w:rPr>
        <w:t xml:space="preserve">. </w:t>
      </w:r>
    </w:p>
    <w:p w:rsidR="0025717F" w:rsidRPr="005F4582" w:rsidRDefault="001913C1" w:rsidP="00A85880">
      <w:pPr>
        <w:pStyle w:val="Bodytextitalics"/>
        <w:jc w:val="both"/>
        <w:rPr>
          <w:i w:val="0"/>
        </w:rPr>
      </w:pPr>
      <w:r w:rsidRPr="005F4582">
        <w:rPr>
          <w:i w:val="0"/>
        </w:rPr>
        <w:t xml:space="preserve">To calculate cost offsets from reduced </w:t>
      </w:r>
      <w:r w:rsidR="0025412D" w:rsidRPr="005F4582">
        <w:rPr>
          <w:i w:val="0"/>
        </w:rPr>
        <w:t>PD-(L</w:t>
      </w:r>
      <w:proofErr w:type="gramStart"/>
      <w:r w:rsidR="0025412D" w:rsidRPr="005F4582">
        <w:rPr>
          <w:i w:val="0"/>
        </w:rPr>
        <w:t>)1</w:t>
      </w:r>
      <w:proofErr w:type="gramEnd"/>
      <w:r w:rsidR="0025412D" w:rsidRPr="005F4582">
        <w:rPr>
          <w:i w:val="0"/>
        </w:rPr>
        <w:t xml:space="preserve"> inhibitor use</w:t>
      </w:r>
      <w:r w:rsidR="0039085D" w:rsidRPr="005F4582">
        <w:rPr>
          <w:i w:val="0"/>
        </w:rPr>
        <w:t xml:space="preserve"> in the Stage IV setting</w:t>
      </w:r>
      <w:r w:rsidRPr="005F4582">
        <w:rPr>
          <w:i w:val="0"/>
        </w:rPr>
        <w:t>, t</w:t>
      </w:r>
      <w:r w:rsidR="00E10672" w:rsidRPr="005F4582">
        <w:rPr>
          <w:i w:val="0"/>
        </w:rPr>
        <w:t>he total number of patients who</w:t>
      </w:r>
      <w:r w:rsidR="00253D50" w:rsidRPr="005F4582">
        <w:rPr>
          <w:i w:val="0"/>
        </w:rPr>
        <w:t xml:space="preserve"> would have been</w:t>
      </w:r>
      <w:r w:rsidR="00E10672" w:rsidRPr="005F4582">
        <w:rPr>
          <w:i w:val="0"/>
        </w:rPr>
        <w:t xml:space="preserve"> treated with a PD</w:t>
      </w:r>
      <w:r w:rsidR="0039085D" w:rsidRPr="005F4582">
        <w:rPr>
          <w:i w:val="0"/>
        </w:rPr>
        <w:t>-</w:t>
      </w:r>
      <w:r w:rsidR="00E10672" w:rsidRPr="005F4582">
        <w:rPr>
          <w:i w:val="0"/>
        </w:rPr>
        <w:t xml:space="preserve">(L)1 </w:t>
      </w:r>
      <w:r w:rsidR="00CF0E42" w:rsidRPr="005F4582">
        <w:rPr>
          <w:i w:val="0"/>
        </w:rPr>
        <w:t xml:space="preserve">inhibitor </w:t>
      </w:r>
      <w:r w:rsidR="00E10672" w:rsidRPr="005F4582">
        <w:rPr>
          <w:i w:val="0"/>
        </w:rPr>
        <w:t xml:space="preserve">subsequent to </w:t>
      </w:r>
      <w:r w:rsidR="00275C9F" w:rsidRPr="005F4582">
        <w:rPr>
          <w:i w:val="0"/>
        </w:rPr>
        <w:t>CRT</w:t>
      </w:r>
      <w:r w:rsidR="0019234E" w:rsidRPr="005F4582">
        <w:rPr>
          <w:i w:val="0"/>
        </w:rPr>
        <w:t xml:space="preserve"> </w:t>
      </w:r>
      <w:r w:rsidR="0016717E" w:rsidRPr="005F4582">
        <w:rPr>
          <w:i w:val="0"/>
        </w:rPr>
        <w:t>for Stage III disease</w:t>
      </w:r>
      <w:r w:rsidR="0025412D" w:rsidRPr="005F4582">
        <w:rPr>
          <w:i w:val="0"/>
        </w:rPr>
        <w:t xml:space="preserve"> </w:t>
      </w:r>
      <w:r w:rsidR="00E10672" w:rsidRPr="005F4582">
        <w:rPr>
          <w:i w:val="0"/>
        </w:rPr>
        <w:t xml:space="preserve">in each year was estimated </w:t>
      </w:r>
      <w:r w:rsidR="00005EB2" w:rsidRPr="005F4582">
        <w:rPr>
          <w:i w:val="0"/>
        </w:rPr>
        <w:t xml:space="preserve">using the modelled PFS </w:t>
      </w:r>
      <w:r w:rsidR="0016717E" w:rsidRPr="005F4582">
        <w:rPr>
          <w:i w:val="0"/>
        </w:rPr>
        <w:t>from</w:t>
      </w:r>
      <w:r w:rsidR="00005EB2" w:rsidRPr="005F4582">
        <w:rPr>
          <w:i w:val="0"/>
        </w:rPr>
        <w:t xml:space="preserve"> the economic evaluation. </w:t>
      </w:r>
      <w:r w:rsidR="00E10672" w:rsidRPr="005F4582">
        <w:rPr>
          <w:i w:val="0"/>
        </w:rPr>
        <w:t>The resubmission assume</w:t>
      </w:r>
      <w:r w:rsidR="00D210AD" w:rsidRPr="005F4582">
        <w:rPr>
          <w:i w:val="0"/>
        </w:rPr>
        <w:t>d</w:t>
      </w:r>
      <w:r w:rsidR="00E10672" w:rsidRPr="005F4582">
        <w:rPr>
          <w:i w:val="0"/>
        </w:rPr>
        <w:t xml:space="preserve"> that 70% of </w:t>
      </w:r>
      <w:r w:rsidR="0025412D" w:rsidRPr="005F4582">
        <w:rPr>
          <w:i w:val="0"/>
        </w:rPr>
        <w:t xml:space="preserve">progressed </w:t>
      </w:r>
      <w:r w:rsidR="00E10672" w:rsidRPr="005F4582">
        <w:rPr>
          <w:i w:val="0"/>
        </w:rPr>
        <w:t xml:space="preserve">patients </w:t>
      </w:r>
      <w:r w:rsidR="0025412D" w:rsidRPr="005F4582">
        <w:rPr>
          <w:i w:val="0"/>
        </w:rPr>
        <w:t xml:space="preserve">treated with </w:t>
      </w:r>
      <w:r w:rsidR="00275C9F" w:rsidRPr="005F4582">
        <w:rPr>
          <w:i w:val="0"/>
        </w:rPr>
        <w:t>CRT</w:t>
      </w:r>
      <w:r w:rsidR="0019234E" w:rsidRPr="005F4582">
        <w:rPr>
          <w:i w:val="0"/>
        </w:rPr>
        <w:t xml:space="preserve"> </w:t>
      </w:r>
      <w:r w:rsidR="00E10672" w:rsidRPr="005F4582">
        <w:rPr>
          <w:i w:val="0"/>
        </w:rPr>
        <w:t>w</w:t>
      </w:r>
      <w:r w:rsidR="0025412D" w:rsidRPr="005F4582">
        <w:rPr>
          <w:i w:val="0"/>
        </w:rPr>
        <w:t>ould</w:t>
      </w:r>
      <w:r w:rsidR="00E10672" w:rsidRPr="005F4582">
        <w:rPr>
          <w:i w:val="0"/>
        </w:rPr>
        <w:t xml:space="preserve"> </w:t>
      </w:r>
      <w:r w:rsidR="00166257" w:rsidRPr="005F4582">
        <w:rPr>
          <w:i w:val="0"/>
        </w:rPr>
        <w:t xml:space="preserve">have </w:t>
      </w:r>
      <w:r w:rsidR="00E10672" w:rsidRPr="005F4582">
        <w:rPr>
          <w:i w:val="0"/>
        </w:rPr>
        <w:t>receive</w:t>
      </w:r>
      <w:r w:rsidR="00B116C1" w:rsidRPr="005F4582">
        <w:rPr>
          <w:i w:val="0"/>
        </w:rPr>
        <w:t>d</w:t>
      </w:r>
      <w:r w:rsidR="0025412D" w:rsidRPr="005F4582">
        <w:rPr>
          <w:i w:val="0"/>
        </w:rPr>
        <w:t xml:space="preserve"> </w:t>
      </w:r>
      <w:r w:rsidR="00E10672" w:rsidRPr="005F4582">
        <w:rPr>
          <w:i w:val="0"/>
        </w:rPr>
        <w:t>subsequent treatment with a PD-(L</w:t>
      </w:r>
      <w:proofErr w:type="gramStart"/>
      <w:r w:rsidR="00E10672" w:rsidRPr="005F4582">
        <w:rPr>
          <w:i w:val="0"/>
        </w:rPr>
        <w:t>)1</w:t>
      </w:r>
      <w:proofErr w:type="gramEnd"/>
      <w:r w:rsidR="00E10672" w:rsidRPr="005F4582">
        <w:rPr>
          <w:i w:val="0"/>
        </w:rPr>
        <w:t xml:space="preserve"> inhibitor</w:t>
      </w:r>
      <w:r w:rsidR="0025412D" w:rsidRPr="005F4582">
        <w:rPr>
          <w:i w:val="0"/>
        </w:rPr>
        <w:t xml:space="preserve">. </w:t>
      </w:r>
      <w:r w:rsidR="00C66A3A" w:rsidRPr="005F4582">
        <w:rPr>
          <w:i w:val="0"/>
        </w:rPr>
        <w:t xml:space="preserve">Over 6 years, </w:t>
      </w:r>
      <w:r w:rsidR="00F52673" w:rsidRPr="005F4582">
        <w:rPr>
          <w:i w:val="0"/>
        </w:rPr>
        <w:t xml:space="preserve">it was estimated that </w:t>
      </w:r>
      <w:r w:rsidR="00C66A3A" w:rsidRPr="005F4582">
        <w:rPr>
          <w:i w:val="0"/>
        </w:rPr>
        <w:t>57%</w:t>
      </w:r>
      <w:r w:rsidR="00F52673" w:rsidRPr="005F4582">
        <w:rPr>
          <w:i w:val="0"/>
        </w:rPr>
        <w:t xml:space="preserve"> </w:t>
      </w:r>
      <w:r w:rsidR="00C66A3A" w:rsidRPr="005F4582">
        <w:rPr>
          <w:i w:val="0"/>
        </w:rPr>
        <w:t xml:space="preserve">of the </w:t>
      </w:r>
      <w:r w:rsidR="00800F2F">
        <w:rPr>
          <w:i w:val="0"/>
        </w:rPr>
        <w:t>less than 10,000</w:t>
      </w:r>
      <w:r w:rsidR="00C66A3A" w:rsidRPr="005F4582">
        <w:rPr>
          <w:i w:val="0"/>
        </w:rPr>
        <w:t xml:space="preserve"> patients treated in Year 1 </w:t>
      </w:r>
      <w:r w:rsidR="00166257" w:rsidRPr="005F4582">
        <w:rPr>
          <w:i w:val="0"/>
        </w:rPr>
        <w:t xml:space="preserve">would </w:t>
      </w:r>
      <w:r w:rsidR="00C66A3A" w:rsidRPr="005F4582">
        <w:rPr>
          <w:i w:val="0"/>
        </w:rPr>
        <w:t>no longer require PD-(L</w:t>
      </w:r>
      <w:proofErr w:type="gramStart"/>
      <w:r w:rsidR="00C66A3A" w:rsidRPr="005F4582">
        <w:rPr>
          <w:i w:val="0"/>
        </w:rPr>
        <w:t>)1</w:t>
      </w:r>
      <w:proofErr w:type="gramEnd"/>
      <w:r w:rsidR="00C66A3A" w:rsidRPr="005F4582">
        <w:rPr>
          <w:i w:val="0"/>
        </w:rPr>
        <w:t xml:space="preserve"> inhibitor</w:t>
      </w:r>
      <w:r w:rsidR="0025412D" w:rsidRPr="005F4582">
        <w:rPr>
          <w:i w:val="0"/>
        </w:rPr>
        <w:t xml:space="preserve"> </w:t>
      </w:r>
      <w:r w:rsidR="00C66A3A" w:rsidRPr="005F4582">
        <w:rPr>
          <w:i w:val="0"/>
        </w:rPr>
        <w:t>therapy for Stage IV disease</w:t>
      </w:r>
      <w:r w:rsidR="0025412D" w:rsidRPr="005F4582">
        <w:t xml:space="preserve">. </w:t>
      </w:r>
      <w:r w:rsidR="00B92507" w:rsidRPr="005F4582">
        <w:rPr>
          <w:i w:val="0"/>
        </w:rPr>
        <w:t xml:space="preserve">The PBAC previously considered it would be appropriate to assume that 70% of patients </w:t>
      </w:r>
      <w:r w:rsidR="00166257" w:rsidRPr="005F4582">
        <w:rPr>
          <w:i w:val="0"/>
        </w:rPr>
        <w:t xml:space="preserve">who </w:t>
      </w:r>
      <w:r w:rsidR="00B92507" w:rsidRPr="005F4582">
        <w:rPr>
          <w:i w:val="0"/>
        </w:rPr>
        <w:t xml:space="preserve">initiate treatment with </w:t>
      </w:r>
      <w:proofErr w:type="spellStart"/>
      <w:r w:rsidR="00B92507" w:rsidRPr="005F4582">
        <w:rPr>
          <w:i w:val="0"/>
        </w:rPr>
        <w:t>durvalumab</w:t>
      </w:r>
      <w:proofErr w:type="spellEnd"/>
      <w:r w:rsidR="00B92507" w:rsidRPr="005F4582">
        <w:rPr>
          <w:i w:val="0"/>
        </w:rPr>
        <w:t xml:space="preserve"> (not just 70% of progressed patients) would avoid subsequent use of PD-(L</w:t>
      </w:r>
      <w:proofErr w:type="gramStart"/>
      <w:r w:rsidR="00B92507" w:rsidRPr="005F4582">
        <w:rPr>
          <w:i w:val="0"/>
        </w:rPr>
        <w:t>)1</w:t>
      </w:r>
      <w:proofErr w:type="gramEnd"/>
      <w:r w:rsidR="00B92507" w:rsidRPr="005F4582">
        <w:rPr>
          <w:i w:val="0"/>
        </w:rPr>
        <w:t xml:space="preserve"> inhibitors in the Stage IV setting.</w:t>
      </w:r>
      <w:r w:rsidR="00EE1E7E" w:rsidRPr="005F4582">
        <w:rPr>
          <w:i w:val="0"/>
        </w:rPr>
        <w:t xml:space="preserve"> The </w:t>
      </w:r>
      <w:r w:rsidR="00593C15" w:rsidRPr="005F4582">
        <w:rPr>
          <w:i w:val="0"/>
        </w:rPr>
        <w:t>p</w:t>
      </w:r>
      <w:r w:rsidR="00214353" w:rsidRPr="005F4582">
        <w:rPr>
          <w:i w:val="0"/>
        </w:rPr>
        <w:t xml:space="preserve">re-PBAC response presented revised financial </w:t>
      </w:r>
      <w:proofErr w:type="gramStart"/>
      <w:r w:rsidR="00275C9F" w:rsidRPr="005F4582">
        <w:rPr>
          <w:i w:val="0"/>
        </w:rPr>
        <w:t xml:space="preserve">estimates </w:t>
      </w:r>
      <w:r w:rsidR="00214353" w:rsidRPr="005F4582">
        <w:rPr>
          <w:i w:val="0"/>
        </w:rPr>
        <w:t>,</w:t>
      </w:r>
      <w:proofErr w:type="gramEnd"/>
      <w:r w:rsidR="00214353" w:rsidRPr="005F4582">
        <w:rPr>
          <w:i w:val="0"/>
        </w:rPr>
        <w:t xml:space="preserve"> assuming that 70% of </w:t>
      </w:r>
      <w:r w:rsidR="00027935" w:rsidRPr="005F4582">
        <w:rPr>
          <w:i w:val="0"/>
        </w:rPr>
        <w:t xml:space="preserve">patients </w:t>
      </w:r>
      <w:r w:rsidR="0094342A" w:rsidRPr="005F4582">
        <w:rPr>
          <w:i w:val="0"/>
        </w:rPr>
        <w:t xml:space="preserve">who </w:t>
      </w:r>
      <w:r w:rsidR="00027935" w:rsidRPr="005F4582">
        <w:rPr>
          <w:i w:val="0"/>
        </w:rPr>
        <w:t xml:space="preserve">initiate treatment with </w:t>
      </w:r>
      <w:proofErr w:type="spellStart"/>
      <w:r w:rsidR="00214353" w:rsidRPr="005F4582">
        <w:rPr>
          <w:i w:val="0"/>
        </w:rPr>
        <w:t>durvalumab</w:t>
      </w:r>
      <w:proofErr w:type="spellEnd"/>
      <w:r w:rsidR="00027935" w:rsidRPr="005F4582">
        <w:rPr>
          <w:i w:val="0"/>
        </w:rPr>
        <w:t xml:space="preserve"> </w:t>
      </w:r>
      <w:r w:rsidR="00214353" w:rsidRPr="005F4582">
        <w:rPr>
          <w:i w:val="0"/>
        </w:rPr>
        <w:t>avoid subsequent use of PD</w:t>
      </w:r>
      <w:r w:rsidR="00214353" w:rsidRPr="005F4582">
        <w:rPr>
          <w:i w:val="0"/>
        </w:rPr>
        <w:noBreakHyphen/>
        <w:t xml:space="preserve">(L)1 inhibitors rather than only those who progressed following </w:t>
      </w:r>
      <w:proofErr w:type="spellStart"/>
      <w:r w:rsidR="00214353" w:rsidRPr="005F4582">
        <w:rPr>
          <w:i w:val="0"/>
        </w:rPr>
        <w:t>durvalumab</w:t>
      </w:r>
      <w:proofErr w:type="spellEnd"/>
      <w:r w:rsidR="00214353" w:rsidRPr="005F4582">
        <w:rPr>
          <w:i w:val="0"/>
        </w:rPr>
        <w:t xml:space="preserve"> treatment</w:t>
      </w:r>
      <w:r w:rsidR="00DE1A07" w:rsidRPr="005F4582">
        <w:rPr>
          <w:i w:val="0"/>
        </w:rPr>
        <w:t xml:space="preserve"> (Table </w:t>
      </w:r>
      <w:r w:rsidR="000C45EE" w:rsidRPr="005F4582">
        <w:rPr>
          <w:i w:val="0"/>
        </w:rPr>
        <w:t>3</w:t>
      </w:r>
      <w:r w:rsidR="00DE1A07" w:rsidRPr="005F4582">
        <w:rPr>
          <w:i w:val="0"/>
        </w:rPr>
        <w:t>)</w:t>
      </w:r>
      <w:r w:rsidR="00214353" w:rsidRPr="005F4582">
        <w:rPr>
          <w:i w:val="0"/>
        </w:rPr>
        <w:t>.</w:t>
      </w:r>
    </w:p>
    <w:p w:rsidR="00A05AF9" w:rsidRPr="005F4582" w:rsidRDefault="00AF70D0" w:rsidP="003801E1">
      <w:pPr>
        <w:pStyle w:val="Bodytextitalics"/>
        <w:jc w:val="both"/>
      </w:pPr>
      <w:bookmarkStart w:id="6" w:name="_Ref22842331"/>
      <w:r w:rsidRPr="005F4582">
        <w:rPr>
          <w:i w:val="0"/>
        </w:rPr>
        <w:lastRenderedPageBreak/>
        <w:t xml:space="preserve">The revised financial estimates presented in the </w:t>
      </w:r>
      <w:r w:rsidR="00593C15" w:rsidRPr="005F4582">
        <w:rPr>
          <w:i w:val="0"/>
        </w:rPr>
        <w:t>p</w:t>
      </w:r>
      <w:r w:rsidRPr="005F4582">
        <w:rPr>
          <w:i w:val="0"/>
        </w:rPr>
        <w:t>re-PBAC response</w:t>
      </w:r>
      <w:r w:rsidR="00275C9F" w:rsidRPr="005F4582">
        <w:rPr>
          <w:i w:val="0"/>
        </w:rPr>
        <w:t xml:space="preserve"> </w:t>
      </w:r>
      <w:r w:rsidRPr="005F4582">
        <w:rPr>
          <w:i w:val="0"/>
        </w:rPr>
        <w:t xml:space="preserve">, assuming a reduced treatment duration for grandfathered patients in Year 1 and cost offsets for 70% of </w:t>
      </w:r>
      <w:r w:rsidR="007C3396" w:rsidRPr="005F4582">
        <w:rPr>
          <w:i w:val="0"/>
        </w:rPr>
        <w:t xml:space="preserve">patients </w:t>
      </w:r>
      <w:r w:rsidR="00791CF9" w:rsidRPr="005F4582">
        <w:rPr>
          <w:i w:val="0"/>
        </w:rPr>
        <w:t xml:space="preserve">who </w:t>
      </w:r>
      <w:r w:rsidR="002D2B74" w:rsidRPr="005F4582">
        <w:rPr>
          <w:i w:val="0"/>
        </w:rPr>
        <w:t xml:space="preserve">initiate treatment with </w:t>
      </w:r>
      <w:proofErr w:type="spellStart"/>
      <w:r w:rsidRPr="005F4582">
        <w:rPr>
          <w:i w:val="0"/>
        </w:rPr>
        <w:t>durvalumab</w:t>
      </w:r>
      <w:proofErr w:type="spellEnd"/>
      <w:r w:rsidRPr="005F4582">
        <w:rPr>
          <w:i w:val="0"/>
        </w:rPr>
        <w:t xml:space="preserve">, resulted in a net cost of </w:t>
      </w:r>
      <w:proofErr w:type="spellStart"/>
      <w:r w:rsidRPr="005F4582">
        <w:rPr>
          <w:i w:val="0"/>
        </w:rPr>
        <w:t>durvalumab</w:t>
      </w:r>
      <w:proofErr w:type="spellEnd"/>
      <w:r w:rsidRPr="005F4582">
        <w:rPr>
          <w:i w:val="0"/>
        </w:rPr>
        <w:t xml:space="preserve"> to the health budget of $</w:t>
      </w:r>
      <w:r w:rsidR="00032B54">
        <w:rPr>
          <w:i w:val="0"/>
        </w:rPr>
        <w:t>20 - $30 million</w:t>
      </w:r>
      <w:r w:rsidRPr="005F4582">
        <w:rPr>
          <w:i w:val="0"/>
        </w:rPr>
        <w:t xml:space="preserve"> in Year 1, increasing to $</w:t>
      </w:r>
      <w:r w:rsidR="00032B54">
        <w:rPr>
          <w:i w:val="0"/>
        </w:rPr>
        <w:t>20 - $30 million</w:t>
      </w:r>
      <w:r w:rsidRPr="005F4582">
        <w:rPr>
          <w:i w:val="0"/>
        </w:rPr>
        <w:t xml:space="preserve"> by Year 6</w:t>
      </w:r>
      <w:r w:rsidR="000A63B2" w:rsidRPr="005F4582">
        <w:rPr>
          <w:i w:val="0"/>
        </w:rPr>
        <w:t>, with a total net cost of</w:t>
      </w:r>
      <w:r w:rsidR="00032B54">
        <w:rPr>
          <w:i w:val="0"/>
        </w:rPr>
        <w:t xml:space="preserve"> more than</w:t>
      </w:r>
      <w:r w:rsidR="000A63B2" w:rsidRPr="005F4582">
        <w:rPr>
          <w:i w:val="0"/>
        </w:rPr>
        <w:t xml:space="preserve"> $</w:t>
      </w:r>
      <w:r w:rsidR="00032B54">
        <w:rPr>
          <w:i w:val="0"/>
        </w:rPr>
        <w:t>100 million</w:t>
      </w:r>
      <w:r w:rsidR="000A63B2" w:rsidRPr="005F4582">
        <w:rPr>
          <w:i w:val="0"/>
        </w:rPr>
        <w:t xml:space="preserve"> over the first 6 years of listing</w:t>
      </w:r>
      <w:r w:rsidR="002D2B74" w:rsidRPr="005F4582">
        <w:rPr>
          <w:i w:val="0"/>
        </w:rPr>
        <w:t xml:space="preserve"> (using the published price of </w:t>
      </w:r>
      <w:proofErr w:type="spellStart"/>
      <w:r w:rsidR="002D2B74" w:rsidRPr="005F4582">
        <w:rPr>
          <w:i w:val="0"/>
        </w:rPr>
        <w:t>nivolumab</w:t>
      </w:r>
      <w:proofErr w:type="spellEnd"/>
      <w:r w:rsidR="002D2B74" w:rsidRPr="005F4582">
        <w:rPr>
          <w:i w:val="0"/>
        </w:rPr>
        <w:t xml:space="preserve"> with an assumed </w:t>
      </w:r>
      <w:r w:rsidR="008D562F">
        <w:rPr>
          <w:i w:val="0"/>
          <w:noProof/>
          <w:color w:val="000000"/>
          <w:highlight w:val="black"/>
        </w:rPr>
        <w:t>'''''</w:t>
      </w:r>
      <w:r w:rsidR="002D2B74" w:rsidRPr="00CA3FB5">
        <w:rPr>
          <w:i w:val="0"/>
        </w:rPr>
        <w:t>%</w:t>
      </w:r>
      <w:r w:rsidR="002D2B74" w:rsidRPr="005F4582">
        <w:rPr>
          <w:i w:val="0"/>
        </w:rPr>
        <w:t xml:space="preserve"> discount)</w:t>
      </w:r>
      <w:r w:rsidR="001B1872" w:rsidRPr="005F4582">
        <w:rPr>
          <w:i w:val="0"/>
        </w:rPr>
        <w:t xml:space="preserve"> </w:t>
      </w:r>
      <w:r w:rsidR="006C5BE1" w:rsidRPr="005F4582">
        <w:rPr>
          <w:i w:val="0"/>
        </w:rPr>
        <w:t xml:space="preserve">(Table </w:t>
      </w:r>
      <w:r w:rsidR="00C74E46" w:rsidRPr="005F4582">
        <w:rPr>
          <w:i w:val="0"/>
        </w:rPr>
        <w:t>3</w:t>
      </w:r>
      <w:r w:rsidR="00EE1E7E" w:rsidRPr="005F4582">
        <w:rPr>
          <w:i w:val="0"/>
        </w:rPr>
        <w:t>)</w:t>
      </w:r>
      <w:r w:rsidRPr="005F4582">
        <w:rPr>
          <w:i w:val="0"/>
        </w:rPr>
        <w:t xml:space="preserve">. </w:t>
      </w:r>
    </w:p>
    <w:p w:rsidR="00A05AF9" w:rsidRPr="00206AB2" w:rsidRDefault="00A05AF9" w:rsidP="007C3396">
      <w:pPr>
        <w:rPr>
          <w:rStyle w:val="CommentReference"/>
          <w:rFonts w:ascii="Arial Narrow" w:hAnsi="Arial Narrow"/>
          <w:sz w:val="20"/>
          <w:szCs w:val="20"/>
        </w:rPr>
      </w:pPr>
      <w:r w:rsidRPr="005F4582">
        <w:rPr>
          <w:rStyle w:val="CommentReference"/>
          <w:rFonts w:ascii="Arial Narrow" w:hAnsi="Arial Narrow"/>
          <w:b/>
          <w:sz w:val="20"/>
          <w:szCs w:val="20"/>
        </w:rPr>
        <w:t xml:space="preserve">Table </w:t>
      </w:r>
      <w:bookmarkEnd w:id="6"/>
      <w:r w:rsidR="00C74E46" w:rsidRPr="005F4582">
        <w:rPr>
          <w:rStyle w:val="CommentReference"/>
          <w:rFonts w:ascii="Arial Narrow" w:hAnsi="Arial Narrow"/>
          <w:b/>
          <w:sz w:val="20"/>
          <w:szCs w:val="20"/>
        </w:rPr>
        <w:t>3</w:t>
      </w:r>
      <w:r w:rsidRPr="005F4582">
        <w:rPr>
          <w:rStyle w:val="CommentReference"/>
          <w:rFonts w:ascii="Arial Narrow" w:hAnsi="Arial Narrow"/>
          <w:b/>
          <w:sz w:val="20"/>
          <w:szCs w:val="20"/>
        </w:rPr>
        <w:t xml:space="preserve">. Revised financial estimates changed duration of treatment for grandfathered patients in Year 1 and cost offsets for 70% of all patients initiating </w:t>
      </w:r>
      <w:proofErr w:type="spellStart"/>
      <w:r w:rsidRPr="005F4582">
        <w:rPr>
          <w:rStyle w:val="CommentReference"/>
          <w:rFonts w:ascii="Arial Narrow" w:hAnsi="Arial Narrow"/>
          <w:b/>
          <w:sz w:val="20"/>
          <w:szCs w:val="20"/>
        </w:rPr>
        <w:t>durvalumab</w:t>
      </w:r>
      <w:proofErr w:type="spellEnd"/>
      <w:r w:rsidRPr="005F4582">
        <w:rPr>
          <w:rStyle w:val="CommentReference"/>
          <w:rFonts w:ascii="Arial Narrow" w:hAnsi="Arial Narrow"/>
          <w:b/>
          <w:sz w:val="20"/>
          <w:szCs w:val="20"/>
        </w:rPr>
        <w:t xml:space="preserve"> treatment</w:t>
      </w:r>
    </w:p>
    <w:tbl>
      <w:tblPr>
        <w:tblStyle w:val="TableGrid"/>
        <w:tblW w:w="5000" w:type="pct"/>
        <w:tblLook w:val="04A0" w:firstRow="1" w:lastRow="0" w:firstColumn="1" w:lastColumn="0" w:noHBand="0" w:noVBand="1"/>
        <w:tblCaption w:val="Table 3. Revised financial estimates changed duration of treatment for grandfathered patients in Year 1 and cost offsets for 70% of all patients initiating durvalumab treatment"/>
      </w:tblPr>
      <w:tblGrid>
        <w:gridCol w:w="1887"/>
        <w:gridCol w:w="1188"/>
        <w:gridCol w:w="1220"/>
        <w:gridCol w:w="1125"/>
        <w:gridCol w:w="1188"/>
        <w:gridCol w:w="1188"/>
        <w:gridCol w:w="1220"/>
      </w:tblGrid>
      <w:tr w:rsidR="00A05AF9" w:rsidRPr="005F4582" w:rsidTr="00A619D2">
        <w:trPr>
          <w:tblHeader/>
        </w:trPr>
        <w:tc>
          <w:tcPr>
            <w:tcW w:w="1242" w:type="pct"/>
          </w:tcPr>
          <w:p w:rsidR="00A05AF9" w:rsidRPr="005F4582" w:rsidRDefault="00A05AF9" w:rsidP="00EC2C49">
            <w:pPr>
              <w:rPr>
                <w:rFonts w:ascii="Arial Narrow" w:hAnsi="Arial Narrow"/>
                <w:sz w:val="20"/>
                <w:szCs w:val="20"/>
              </w:rPr>
            </w:pPr>
          </w:p>
        </w:tc>
        <w:tc>
          <w:tcPr>
            <w:tcW w:w="626" w:type="pct"/>
          </w:tcPr>
          <w:p w:rsidR="00A05AF9" w:rsidRPr="005F4582" w:rsidRDefault="00A05AF9" w:rsidP="00EC2C49">
            <w:pPr>
              <w:jc w:val="center"/>
              <w:rPr>
                <w:rFonts w:ascii="Arial Narrow" w:hAnsi="Arial Narrow"/>
                <w:b/>
                <w:sz w:val="20"/>
                <w:szCs w:val="20"/>
              </w:rPr>
            </w:pPr>
            <w:r w:rsidRPr="005F4582">
              <w:rPr>
                <w:rFonts w:ascii="Arial Narrow" w:hAnsi="Arial Narrow"/>
                <w:b/>
                <w:sz w:val="20"/>
                <w:szCs w:val="20"/>
              </w:rPr>
              <w:t>Year 1</w:t>
            </w:r>
          </w:p>
        </w:tc>
        <w:tc>
          <w:tcPr>
            <w:tcW w:w="626" w:type="pct"/>
          </w:tcPr>
          <w:p w:rsidR="00A05AF9" w:rsidRPr="005F4582" w:rsidRDefault="00A05AF9" w:rsidP="00EC2C49">
            <w:pPr>
              <w:jc w:val="center"/>
              <w:rPr>
                <w:rFonts w:ascii="Arial Narrow" w:hAnsi="Arial Narrow"/>
                <w:b/>
                <w:sz w:val="20"/>
                <w:szCs w:val="20"/>
              </w:rPr>
            </w:pPr>
            <w:r w:rsidRPr="005F4582">
              <w:rPr>
                <w:rFonts w:ascii="Arial Narrow" w:hAnsi="Arial Narrow"/>
                <w:b/>
                <w:sz w:val="20"/>
                <w:szCs w:val="20"/>
              </w:rPr>
              <w:t>Year 2</w:t>
            </w:r>
          </w:p>
        </w:tc>
        <w:tc>
          <w:tcPr>
            <w:tcW w:w="626" w:type="pct"/>
          </w:tcPr>
          <w:p w:rsidR="00A05AF9" w:rsidRPr="005F4582" w:rsidRDefault="00A05AF9" w:rsidP="00EC2C49">
            <w:pPr>
              <w:jc w:val="center"/>
              <w:rPr>
                <w:rFonts w:ascii="Arial Narrow" w:hAnsi="Arial Narrow"/>
                <w:b/>
                <w:sz w:val="20"/>
                <w:szCs w:val="20"/>
              </w:rPr>
            </w:pPr>
            <w:r w:rsidRPr="005F4582">
              <w:rPr>
                <w:rFonts w:ascii="Arial Narrow" w:hAnsi="Arial Narrow"/>
                <w:b/>
                <w:sz w:val="20"/>
                <w:szCs w:val="20"/>
              </w:rPr>
              <w:t>Year 3</w:t>
            </w:r>
          </w:p>
        </w:tc>
        <w:tc>
          <w:tcPr>
            <w:tcW w:w="626" w:type="pct"/>
          </w:tcPr>
          <w:p w:rsidR="00A05AF9" w:rsidRPr="005F4582" w:rsidRDefault="00A05AF9" w:rsidP="00EC2C49">
            <w:pPr>
              <w:jc w:val="center"/>
              <w:rPr>
                <w:rFonts w:ascii="Arial Narrow" w:hAnsi="Arial Narrow"/>
                <w:b/>
                <w:sz w:val="20"/>
                <w:szCs w:val="20"/>
              </w:rPr>
            </w:pPr>
            <w:r w:rsidRPr="005F4582">
              <w:rPr>
                <w:rFonts w:ascii="Arial Narrow" w:hAnsi="Arial Narrow"/>
                <w:b/>
                <w:sz w:val="20"/>
                <w:szCs w:val="20"/>
              </w:rPr>
              <w:t>Year 4</w:t>
            </w:r>
          </w:p>
        </w:tc>
        <w:tc>
          <w:tcPr>
            <w:tcW w:w="626" w:type="pct"/>
          </w:tcPr>
          <w:p w:rsidR="00A05AF9" w:rsidRPr="005F4582" w:rsidRDefault="00A05AF9" w:rsidP="00EC2C49">
            <w:pPr>
              <w:jc w:val="center"/>
              <w:rPr>
                <w:rFonts w:ascii="Arial Narrow" w:hAnsi="Arial Narrow"/>
                <w:b/>
                <w:sz w:val="20"/>
                <w:szCs w:val="20"/>
              </w:rPr>
            </w:pPr>
            <w:r w:rsidRPr="005F4582">
              <w:rPr>
                <w:rFonts w:ascii="Arial Narrow" w:hAnsi="Arial Narrow"/>
                <w:b/>
                <w:sz w:val="20"/>
                <w:szCs w:val="20"/>
              </w:rPr>
              <w:t>Year 5</w:t>
            </w:r>
          </w:p>
        </w:tc>
        <w:tc>
          <w:tcPr>
            <w:tcW w:w="627" w:type="pct"/>
          </w:tcPr>
          <w:p w:rsidR="00A05AF9" w:rsidRPr="005F4582" w:rsidRDefault="00A05AF9" w:rsidP="00EC2C49">
            <w:pPr>
              <w:jc w:val="center"/>
              <w:rPr>
                <w:rFonts w:ascii="Arial Narrow" w:hAnsi="Arial Narrow"/>
                <w:b/>
                <w:sz w:val="20"/>
                <w:szCs w:val="20"/>
              </w:rPr>
            </w:pPr>
            <w:r w:rsidRPr="005F4582">
              <w:rPr>
                <w:rFonts w:ascii="Arial Narrow" w:hAnsi="Arial Narrow"/>
                <w:b/>
                <w:sz w:val="20"/>
                <w:szCs w:val="20"/>
              </w:rPr>
              <w:t>Year 6</w:t>
            </w:r>
          </w:p>
        </w:tc>
      </w:tr>
      <w:tr w:rsidR="00A05AF9" w:rsidRPr="005F4582" w:rsidTr="00B22235">
        <w:tc>
          <w:tcPr>
            <w:tcW w:w="5000" w:type="pct"/>
            <w:gridSpan w:val="7"/>
          </w:tcPr>
          <w:p w:rsidR="00A05AF9" w:rsidRPr="00942EC4" w:rsidRDefault="00A05AF9" w:rsidP="00EC2C49">
            <w:pPr>
              <w:rPr>
                <w:rFonts w:ascii="Arial Narrow" w:hAnsi="Arial Narrow"/>
                <w:b/>
                <w:sz w:val="20"/>
                <w:szCs w:val="20"/>
              </w:rPr>
            </w:pPr>
            <w:r w:rsidRPr="00942EC4">
              <w:rPr>
                <w:rFonts w:ascii="Arial Narrow" w:hAnsi="Arial Narrow"/>
                <w:b/>
                <w:sz w:val="20"/>
                <w:szCs w:val="20"/>
              </w:rPr>
              <w:t>Estimated extent of use</w:t>
            </w:r>
          </w:p>
        </w:tc>
      </w:tr>
      <w:tr w:rsidR="00A05AF9" w:rsidRPr="005F4582" w:rsidTr="00B22235">
        <w:tc>
          <w:tcPr>
            <w:tcW w:w="1242" w:type="pct"/>
          </w:tcPr>
          <w:p w:rsidR="00A05AF9" w:rsidRPr="005F4582" w:rsidRDefault="00A05AF9" w:rsidP="00EC2C49">
            <w:pPr>
              <w:rPr>
                <w:rFonts w:ascii="Arial Narrow" w:hAnsi="Arial Narrow"/>
                <w:sz w:val="20"/>
                <w:szCs w:val="20"/>
              </w:rPr>
            </w:pPr>
            <w:r w:rsidRPr="005F4582">
              <w:rPr>
                <w:rFonts w:ascii="Arial Narrow" w:hAnsi="Arial Narrow"/>
                <w:sz w:val="20"/>
                <w:szCs w:val="20"/>
              </w:rPr>
              <w:t xml:space="preserve">Number of </w:t>
            </w:r>
            <w:proofErr w:type="spellStart"/>
            <w:r w:rsidRPr="005F4582">
              <w:rPr>
                <w:rFonts w:ascii="Arial Narrow" w:hAnsi="Arial Narrow"/>
                <w:sz w:val="20"/>
                <w:szCs w:val="20"/>
              </w:rPr>
              <w:t>durvalumab</w:t>
            </w:r>
            <w:proofErr w:type="spellEnd"/>
            <w:r w:rsidRPr="005F4582">
              <w:rPr>
                <w:rFonts w:ascii="Arial Narrow" w:hAnsi="Arial Narrow"/>
                <w:sz w:val="20"/>
                <w:szCs w:val="20"/>
              </w:rPr>
              <w:t xml:space="preserve"> treated patients</w:t>
            </w:r>
          </w:p>
        </w:tc>
        <w:tc>
          <w:tcPr>
            <w:tcW w:w="626"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7"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05AF9" w:rsidRPr="005F4582" w:rsidTr="00B22235">
        <w:tc>
          <w:tcPr>
            <w:tcW w:w="1242" w:type="pct"/>
          </w:tcPr>
          <w:p w:rsidR="00A05AF9" w:rsidRPr="005F4582" w:rsidRDefault="00A05AF9" w:rsidP="00EC2C49">
            <w:pPr>
              <w:rPr>
                <w:rFonts w:ascii="Arial Narrow" w:hAnsi="Arial Narrow"/>
                <w:sz w:val="20"/>
                <w:szCs w:val="20"/>
              </w:rPr>
            </w:pPr>
            <w:r w:rsidRPr="005F4582">
              <w:rPr>
                <w:rFonts w:ascii="Arial Narrow" w:hAnsi="Arial Narrow"/>
                <w:sz w:val="20"/>
                <w:szCs w:val="20"/>
              </w:rPr>
              <w:t xml:space="preserve">Number of </w:t>
            </w:r>
            <w:proofErr w:type="spellStart"/>
            <w:r w:rsidRPr="005F4582">
              <w:rPr>
                <w:rFonts w:ascii="Arial Narrow" w:hAnsi="Arial Narrow"/>
                <w:sz w:val="20"/>
                <w:szCs w:val="20"/>
              </w:rPr>
              <w:t>nivolumab</w:t>
            </w:r>
            <w:proofErr w:type="spellEnd"/>
            <w:r w:rsidRPr="005F4582">
              <w:rPr>
                <w:rFonts w:ascii="Arial Narrow" w:hAnsi="Arial Narrow"/>
                <w:sz w:val="20"/>
                <w:szCs w:val="20"/>
              </w:rPr>
              <w:t xml:space="preserve"> patients with cost offsets</w:t>
            </w:r>
            <w:r w:rsidR="000C45EE" w:rsidRPr="005F4582">
              <w:rPr>
                <w:rFonts w:ascii="Arial Narrow" w:hAnsi="Arial Narrow"/>
                <w:sz w:val="20"/>
                <w:szCs w:val="20"/>
              </w:rPr>
              <w:t xml:space="preserve"> (70%)</w:t>
            </w:r>
          </w:p>
        </w:tc>
        <w:tc>
          <w:tcPr>
            <w:tcW w:w="626"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6"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7" w:type="pct"/>
          </w:tcPr>
          <w:p w:rsidR="00A05AF9" w:rsidRPr="008D562F" w:rsidRDefault="008D562F" w:rsidP="00EC2C4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05AF9" w:rsidRPr="005F4582" w:rsidTr="00B22235">
        <w:tc>
          <w:tcPr>
            <w:tcW w:w="5000" w:type="pct"/>
            <w:gridSpan w:val="7"/>
          </w:tcPr>
          <w:p w:rsidR="00A05AF9" w:rsidRPr="00942EC4" w:rsidRDefault="00A05AF9" w:rsidP="00EC2C49">
            <w:pPr>
              <w:rPr>
                <w:rFonts w:ascii="Arial Narrow" w:hAnsi="Arial Narrow"/>
                <w:b/>
                <w:sz w:val="20"/>
                <w:szCs w:val="20"/>
              </w:rPr>
            </w:pPr>
            <w:r w:rsidRPr="00942EC4">
              <w:rPr>
                <w:rFonts w:ascii="Arial Narrow" w:hAnsi="Arial Narrow"/>
                <w:b/>
                <w:sz w:val="20"/>
                <w:szCs w:val="20"/>
              </w:rPr>
              <w:t xml:space="preserve">Estimated financial implications of </w:t>
            </w:r>
            <w:proofErr w:type="spellStart"/>
            <w:r w:rsidRPr="00942EC4">
              <w:rPr>
                <w:rFonts w:ascii="Arial Narrow" w:hAnsi="Arial Narrow"/>
                <w:b/>
                <w:sz w:val="20"/>
                <w:szCs w:val="20"/>
              </w:rPr>
              <w:t>durvalumab</w:t>
            </w:r>
            <w:proofErr w:type="spellEnd"/>
          </w:p>
        </w:tc>
      </w:tr>
      <w:tr w:rsidR="00A05AF9" w:rsidRPr="005F4582" w:rsidTr="00B22235">
        <w:tc>
          <w:tcPr>
            <w:tcW w:w="1242" w:type="pct"/>
            <w:shd w:val="clear" w:color="auto" w:fill="FFFFFF" w:themeFill="background1"/>
          </w:tcPr>
          <w:p w:rsidR="00A05AF9" w:rsidRPr="005F4582" w:rsidRDefault="00A05AF9" w:rsidP="00EC2C49">
            <w:pPr>
              <w:rPr>
                <w:rFonts w:ascii="Arial Narrow" w:hAnsi="Arial Narrow"/>
                <w:sz w:val="20"/>
                <w:szCs w:val="20"/>
              </w:rPr>
            </w:pPr>
            <w:r w:rsidRPr="005F4582">
              <w:rPr>
                <w:rFonts w:ascii="Arial Narrow" w:hAnsi="Arial Narrow"/>
                <w:sz w:val="20"/>
                <w:szCs w:val="20"/>
              </w:rPr>
              <w:t>Net cost to PBS/RPBS (effective price minus co</w:t>
            </w:r>
            <w:r w:rsidRPr="005F4582">
              <w:rPr>
                <w:rFonts w:ascii="Arial Narrow" w:hAnsi="Arial Narrow"/>
                <w:sz w:val="20"/>
                <w:szCs w:val="20"/>
              </w:rPr>
              <w:noBreakHyphen/>
              <w:t>payments)</w:t>
            </w:r>
          </w:p>
        </w:tc>
        <w:tc>
          <w:tcPr>
            <w:tcW w:w="626"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7"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r>
      <w:tr w:rsidR="00A05AF9" w:rsidRPr="005F4582" w:rsidTr="00B22235">
        <w:tc>
          <w:tcPr>
            <w:tcW w:w="5000" w:type="pct"/>
            <w:gridSpan w:val="7"/>
          </w:tcPr>
          <w:p w:rsidR="00A05AF9" w:rsidRPr="00942EC4" w:rsidRDefault="00A05AF9" w:rsidP="00EC2C49">
            <w:pPr>
              <w:rPr>
                <w:rFonts w:ascii="Arial Narrow" w:hAnsi="Arial Narrow"/>
                <w:b/>
                <w:sz w:val="20"/>
                <w:szCs w:val="20"/>
              </w:rPr>
            </w:pPr>
            <w:r w:rsidRPr="00942EC4">
              <w:rPr>
                <w:rFonts w:ascii="Arial Narrow" w:hAnsi="Arial Narrow"/>
                <w:b/>
                <w:sz w:val="20"/>
                <w:szCs w:val="20"/>
              </w:rPr>
              <w:t>Net reduction in cost of PD</w:t>
            </w:r>
            <w:r w:rsidRPr="00942EC4">
              <w:rPr>
                <w:rFonts w:ascii="Arial Narrow" w:hAnsi="Arial Narrow"/>
                <w:b/>
                <w:sz w:val="20"/>
                <w:szCs w:val="20"/>
              </w:rPr>
              <w:noBreakHyphen/>
              <w:t xml:space="preserve">L1 medicines (at </w:t>
            </w:r>
            <w:proofErr w:type="spellStart"/>
            <w:r w:rsidRPr="00942EC4">
              <w:rPr>
                <w:rFonts w:ascii="Arial Narrow" w:hAnsi="Arial Narrow"/>
                <w:b/>
                <w:sz w:val="20"/>
                <w:szCs w:val="20"/>
              </w:rPr>
              <w:t>nivolumab</w:t>
            </w:r>
            <w:proofErr w:type="spellEnd"/>
            <w:r w:rsidRPr="00942EC4">
              <w:rPr>
                <w:rFonts w:ascii="Arial Narrow" w:hAnsi="Arial Narrow"/>
                <w:b/>
                <w:sz w:val="20"/>
                <w:szCs w:val="20"/>
              </w:rPr>
              <w:t xml:space="preserve"> rebate of </w:t>
            </w:r>
            <w:r w:rsidR="008D562F">
              <w:rPr>
                <w:rFonts w:ascii="Arial Narrow" w:hAnsi="Arial Narrow"/>
                <w:b/>
                <w:noProof/>
                <w:color w:val="000000"/>
                <w:sz w:val="20"/>
                <w:szCs w:val="20"/>
                <w:highlight w:val="black"/>
              </w:rPr>
              <w:t>'''''</w:t>
            </w:r>
            <w:r w:rsidRPr="00942EC4">
              <w:rPr>
                <w:rFonts w:ascii="Arial Narrow" w:hAnsi="Arial Narrow"/>
                <w:b/>
                <w:sz w:val="20"/>
                <w:szCs w:val="20"/>
              </w:rPr>
              <w:t>%)</w:t>
            </w:r>
          </w:p>
        </w:tc>
      </w:tr>
      <w:tr w:rsidR="00A05AF9" w:rsidRPr="005F4582" w:rsidTr="00B22235">
        <w:tc>
          <w:tcPr>
            <w:tcW w:w="1242" w:type="pct"/>
          </w:tcPr>
          <w:p w:rsidR="00A05AF9" w:rsidRPr="005F4582" w:rsidRDefault="00A05AF9" w:rsidP="00EC2C49">
            <w:pPr>
              <w:rPr>
                <w:rFonts w:ascii="Arial Narrow" w:hAnsi="Arial Narrow"/>
                <w:sz w:val="20"/>
                <w:szCs w:val="20"/>
              </w:rPr>
            </w:pPr>
            <w:r w:rsidRPr="005F4582">
              <w:rPr>
                <w:rFonts w:ascii="Arial Narrow" w:hAnsi="Arial Narrow"/>
                <w:sz w:val="20"/>
                <w:szCs w:val="20"/>
              </w:rPr>
              <w:t>Net cost to PBS/RPBS (effective price)</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7"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r>
      <w:tr w:rsidR="00A05AF9" w:rsidRPr="005F4582" w:rsidTr="00B22235">
        <w:tc>
          <w:tcPr>
            <w:tcW w:w="5000" w:type="pct"/>
            <w:gridSpan w:val="7"/>
          </w:tcPr>
          <w:p w:rsidR="00A05AF9" w:rsidRPr="00942EC4" w:rsidRDefault="00A05AF9" w:rsidP="00EC2C49">
            <w:pPr>
              <w:rPr>
                <w:rFonts w:ascii="Arial Narrow" w:hAnsi="Arial Narrow"/>
                <w:b/>
                <w:sz w:val="20"/>
                <w:szCs w:val="20"/>
              </w:rPr>
            </w:pPr>
            <w:r w:rsidRPr="00942EC4">
              <w:rPr>
                <w:rFonts w:ascii="Arial Narrow" w:hAnsi="Arial Narrow"/>
                <w:b/>
                <w:sz w:val="20"/>
                <w:szCs w:val="20"/>
              </w:rPr>
              <w:t>Net financial implications</w:t>
            </w:r>
          </w:p>
        </w:tc>
      </w:tr>
      <w:tr w:rsidR="00A05AF9" w:rsidRPr="005F4582" w:rsidTr="00B22235">
        <w:tc>
          <w:tcPr>
            <w:tcW w:w="1242" w:type="pct"/>
          </w:tcPr>
          <w:p w:rsidR="00A05AF9" w:rsidRPr="005F4582" w:rsidRDefault="00A05AF9" w:rsidP="00EC2C49">
            <w:pPr>
              <w:rPr>
                <w:rFonts w:ascii="Arial Narrow" w:hAnsi="Arial Narrow"/>
                <w:sz w:val="20"/>
                <w:szCs w:val="20"/>
              </w:rPr>
            </w:pPr>
            <w:r w:rsidRPr="005F4582">
              <w:rPr>
                <w:rFonts w:ascii="Arial Narrow" w:hAnsi="Arial Narrow"/>
                <w:sz w:val="20"/>
                <w:szCs w:val="20"/>
              </w:rPr>
              <w:t>Net cost to PBS/RPBS (effective price)</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7"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r>
      <w:tr w:rsidR="00A05AF9" w:rsidRPr="005F4582" w:rsidTr="00B22235">
        <w:tc>
          <w:tcPr>
            <w:tcW w:w="1242" w:type="pct"/>
          </w:tcPr>
          <w:p w:rsidR="00A05AF9" w:rsidRPr="005F4582" w:rsidRDefault="00A05AF9" w:rsidP="00EC2C49">
            <w:pPr>
              <w:rPr>
                <w:rFonts w:ascii="Arial Narrow" w:hAnsi="Arial Narrow"/>
                <w:sz w:val="20"/>
                <w:szCs w:val="20"/>
              </w:rPr>
            </w:pPr>
            <w:r w:rsidRPr="005F4582">
              <w:rPr>
                <w:rFonts w:ascii="Arial Narrow" w:hAnsi="Arial Narrow"/>
                <w:sz w:val="20"/>
                <w:szCs w:val="20"/>
              </w:rPr>
              <w:t>Net cost to MBS</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7" w:type="pct"/>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r>
      <w:tr w:rsidR="00A05AF9" w:rsidRPr="005F4582" w:rsidTr="00B22235">
        <w:tc>
          <w:tcPr>
            <w:tcW w:w="1242" w:type="pct"/>
            <w:shd w:val="clear" w:color="auto" w:fill="FFFFFF" w:themeFill="background1"/>
          </w:tcPr>
          <w:p w:rsidR="00A05AF9" w:rsidRPr="005F4582" w:rsidRDefault="00A05AF9" w:rsidP="00EC2C49">
            <w:pPr>
              <w:rPr>
                <w:rFonts w:ascii="Arial Narrow" w:hAnsi="Arial Narrow"/>
                <w:sz w:val="20"/>
                <w:szCs w:val="20"/>
              </w:rPr>
            </w:pPr>
            <w:r w:rsidRPr="005F4582">
              <w:rPr>
                <w:rFonts w:ascii="Arial Narrow" w:hAnsi="Arial Narrow"/>
                <w:sz w:val="20"/>
                <w:szCs w:val="20"/>
              </w:rPr>
              <w:t>Net cost to health budget</w:t>
            </w:r>
          </w:p>
        </w:tc>
        <w:tc>
          <w:tcPr>
            <w:tcW w:w="626"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6"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c>
          <w:tcPr>
            <w:tcW w:w="627" w:type="pct"/>
            <w:shd w:val="clear" w:color="auto" w:fill="FFFFFF" w:themeFill="background1"/>
          </w:tcPr>
          <w:p w:rsidR="00A05AF9" w:rsidRPr="005F4582" w:rsidRDefault="00A05AF9" w:rsidP="00EC2C49">
            <w:pPr>
              <w:jc w:val="center"/>
              <w:rPr>
                <w:rFonts w:ascii="Arial Narrow" w:hAnsi="Arial Narrow"/>
                <w:sz w:val="20"/>
                <w:szCs w:val="20"/>
              </w:rPr>
            </w:pPr>
            <w:r w:rsidRPr="005F4582">
              <w:rPr>
                <w:rFonts w:ascii="Arial Narrow" w:hAnsi="Arial Narrow"/>
                <w:sz w:val="20"/>
                <w:szCs w:val="20"/>
              </w:rPr>
              <w:t>$</w:t>
            </w:r>
            <w:r w:rsidR="008D562F">
              <w:rPr>
                <w:rFonts w:ascii="Arial Narrow" w:hAnsi="Arial Narrow"/>
                <w:noProof/>
                <w:color w:val="000000"/>
                <w:sz w:val="20"/>
                <w:szCs w:val="20"/>
                <w:highlight w:val="black"/>
              </w:rPr>
              <w:t>'''''''''''''''''''''''''''''</w:t>
            </w:r>
          </w:p>
        </w:tc>
      </w:tr>
    </w:tbl>
    <w:p w:rsidR="008D4FE5" w:rsidRPr="005F4582" w:rsidRDefault="0037439D" w:rsidP="007C3396">
      <w:pPr>
        <w:pStyle w:val="Bodytextitalics"/>
        <w:numPr>
          <w:ilvl w:val="0"/>
          <w:numId w:val="0"/>
        </w:numPr>
        <w:ind w:left="720" w:hanging="720"/>
        <w:jc w:val="both"/>
        <w:rPr>
          <w:i w:val="0"/>
        </w:rPr>
      </w:pPr>
      <w:r w:rsidRPr="005F4582">
        <w:rPr>
          <w:rFonts w:ascii="Arial Narrow" w:eastAsia="Times New Roman" w:hAnsi="Arial Narrow" w:cs="Times New Roman"/>
          <w:i w:val="0"/>
          <w:sz w:val="20"/>
          <w:szCs w:val="20"/>
        </w:rPr>
        <w:t xml:space="preserve">Source: </w:t>
      </w:r>
      <w:r w:rsidR="00593C15" w:rsidRPr="005F4582">
        <w:rPr>
          <w:rFonts w:ascii="Arial Narrow" w:eastAsia="Times New Roman" w:hAnsi="Arial Narrow" w:cs="Times New Roman"/>
          <w:i w:val="0"/>
          <w:sz w:val="20"/>
          <w:szCs w:val="20"/>
        </w:rPr>
        <w:t>p</w:t>
      </w:r>
      <w:r w:rsidRPr="005F4582">
        <w:rPr>
          <w:rFonts w:ascii="Arial Narrow" w:eastAsia="Times New Roman" w:hAnsi="Arial Narrow" w:cs="Times New Roman"/>
          <w:i w:val="0"/>
          <w:sz w:val="20"/>
          <w:szCs w:val="20"/>
        </w:rPr>
        <w:t>re-PBAC response, Table 2, p2</w:t>
      </w:r>
    </w:p>
    <w:p w:rsidR="00800F2F" w:rsidRPr="00800F2F" w:rsidRDefault="00800F2F" w:rsidP="007C3396">
      <w:pPr>
        <w:pStyle w:val="Bodytextitalics"/>
        <w:numPr>
          <w:ilvl w:val="0"/>
          <w:numId w:val="0"/>
        </w:numPr>
        <w:jc w:val="both"/>
        <w:rPr>
          <w:i w:val="0"/>
        </w:rPr>
      </w:pPr>
      <w:r>
        <w:rPr>
          <w:i w:val="0"/>
        </w:rPr>
        <w:t xml:space="preserve">The redacted table shows that at Year 6, the estimated number of patients was less than 10,000. </w:t>
      </w:r>
    </w:p>
    <w:p w:rsidR="00506FAD" w:rsidRPr="005F4582" w:rsidRDefault="008D4FE5" w:rsidP="007C3396">
      <w:pPr>
        <w:pStyle w:val="Bodytextitalics"/>
        <w:numPr>
          <w:ilvl w:val="0"/>
          <w:numId w:val="0"/>
        </w:numPr>
        <w:jc w:val="both"/>
      </w:pPr>
      <w:r w:rsidRPr="005F4582">
        <w:t>For more deta</w:t>
      </w:r>
      <w:r w:rsidR="003341C5" w:rsidRPr="005F4582">
        <w:t xml:space="preserve">il on PBAC’s view, see section </w:t>
      </w:r>
      <w:r w:rsidR="00FF7B3D" w:rsidRPr="005F4582">
        <w:t>5</w:t>
      </w:r>
      <w:r w:rsidR="00641C44" w:rsidRPr="005F4582">
        <w:t>.</w:t>
      </w:r>
    </w:p>
    <w:p w:rsidR="00005EB2" w:rsidRPr="005F4582" w:rsidRDefault="00005EB2" w:rsidP="00005EB2">
      <w:pPr>
        <w:pStyle w:val="Heading2"/>
        <w:keepLines/>
        <w:spacing w:before="240" w:after="120"/>
        <w:rPr>
          <w:rFonts w:asciiTheme="minorHAnsi" w:eastAsiaTheme="majorEastAsia" w:hAnsiTheme="minorHAnsi" w:cstheme="majorBidi"/>
          <w:sz w:val="28"/>
          <w:szCs w:val="28"/>
          <w:lang w:eastAsia="en-US"/>
        </w:rPr>
      </w:pPr>
      <w:r w:rsidRPr="005F4582">
        <w:rPr>
          <w:rFonts w:asciiTheme="minorHAnsi" w:eastAsiaTheme="majorEastAsia" w:hAnsiTheme="minorHAnsi" w:cstheme="majorBidi"/>
          <w:sz w:val="28"/>
          <w:szCs w:val="28"/>
          <w:lang w:eastAsia="en-US"/>
        </w:rPr>
        <w:t>Proposed increase in current Risk Sharing Arrangement caps for NSCLC</w:t>
      </w:r>
    </w:p>
    <w:p w:rsidR="00715D0C" w:rsidRPr="005F4582" w:rsidRDefault="00715D0C" w:rsidP="00313617">
      <w:pPr>
        <w:pStyle w:val="Bodytextitalics"/>
        <w:jc w:val="both"/>
        <w:rPr>
          <w:i w:val="0"/>
        </w:rPr>
      </w:pPr>
      <w:r w:rsidRPr="005F4582">
        <w:rPr>
          <w:i w:val="0"/>
          <w:szCs w:val="24"/>
        </w:rPr>
        <w:t>In July 2019, the PBAC co</w:t>
      </w:r>
      <w:r w:rsidRPr="005F4582">
        <w:rPr>
          <w:i w:val="0"/>
        </w:rPr>
        <w:t xml:space="preserve">nsidered that if </w:t>
      </w:r>
      <w:proofErr w:type="spellStart"/>
      <w:r w:rsidRPr="005F4582">
        <w:rPr>
          <w:i w:val="0"/>
        </w:rPr>
        <w:t>durvalumab</w:t>
      </w:r>
      <w:proofErr w:type="spellEnd"/>
      <w:r w:rsidRPr="005F4582">
        <w:rPr>
          <w:i w:val="0"/>
        </w:rPr>
        <w:t xml:space="preserve"> was to be PBS listed, there would only be a modest increase in the overall number of patients treated for NSCLC, provided sequential use with PD-(L</w:t>
      </w:r>
      <w:proofErr w:type="gramStart"/>
      <w:r w:rsidRPr="005F4582">
        <w:rPr>
          <w:i w:val="0"/>
        </w:rPr>
        <w:t>)1</w:t>
      </w:r>
      <w:proofErr w:type="gramEnd"/>
      <w:r w:rsidRPr="005F4582">
        <w:rPr>
          <w:i w:val="0"/>
        </w:rPr>
        <w:t xml:space="preserve"> inhibitor therapies was precluded</w:t>
      </w:r>
      <w:r w:rsidR="009A08BB" w:rsidRPr="005F4582">
        <w:rPr>
          <w:i w:val="0"/>
        </w:rPr>
        <w:t xml:space="preserve">. The PBAC also considered it was appropriate for </w:t>
      </w:r>
      <w:proofErr w:type="spellStart"/>
      <w:r w:rsidR="009A08BB" w:rsidRPr="005F4582">
        <w:rPr>
          <w:i w:val="0"/>
        </w:rPr>
        <w:t>durvalumab</w:t>
      </w:r>
      <w:proofErr w:type="spellEnd"/>
      <w:r w:rsidR="009A08BB" w:rsidRPr="005F4582">
        <w:rPr>
          <w:i w:val="0"/>
        </w:rPr>
        <w:t xml:space="preserve"> to share the RSA subsidisation cap in the current Deeds of Agreement for locally advanced/metastatic NSCLC for PD-L</w:t>
      </w:r>
      <w:r w:rsidR="00302549" w:rsidRPr="005F4582">
        <w:rPr>
          <w:i w:val="0"/>
        </w:rPr>
        <w:t>(</w:t>
      </w:r>
      <w:r w:rsidR="009A08BB" w:rsidRPr="005F4582">
        <w:rPr>
          <w:i w:val="0"/>
        </w:rPr>
        <w:t>1</w:t>
      </w:r>
      <w:r w:rsidR="00302549" w:rsidRPr="005F4582">
        <w:rPr>
          <w:i w:val="0"/>
        </w:rPr>
        <w:t>)</w:t>
      </w:r>
      <w:r w:rsidR="009A08BB" w:rsidRPr="005F4582">
        <w:rPr>
          <w:i w:val="0"/>
        </w:rPr>
        <w:t xml:space="preserve"> </w:t>
      </w:r>
      <w:r w:rsidR="00302549" w:rsidRPr="005F4582">
        <w:rPr>
          <w:i w:val="0"/>
        </w:rPr>
        <w:t xml:space="preserve">inhibitor </w:t>
      </w:r>
      <w:r w:rsidR="009A08BB" w:rsidRPr="005F4582">
        <w:rPr>
          <w:i w:val="0"/>
        </w:rPr>
        <w:t>therapies</w:t>
      </w:r>
      <w:r w:rsidRPr="005F4582">
        <w:rPr>
          <w:i w:val="0"/>
        </w:rPr>
        <w:t xml:space="preserve"> (paragraphs 7.15 &amp; 6.55, </w:t>
      </w:r>
      <w:proofErr w:type="spellStart"/>
      <w:r w:rsidR="00193999" w:rsidRPr="005F4582">
        <w:rPr>
          <w:i w:val="0"/>
          <w:szCs w:val="24"/>
        </w:rPr>
        <w:t>durvalumab</w:t>
      </w:r>
      <w:proofErr w:type="spellEnd"/>
      <w:r w:rsidR="00193999" w:rsidRPr="005F4582">
        <w:rPr>
          <w:i w:val="0"/>
          <w:szCs w:val="24"/>
        </w:rPr>
        <w:t xml:space="preserve"> </w:t>
      </w:r>
      <w:r w:rsidR="00980584" w:rsidRPr="005F4582">
        <w:rPr>
          <w:i w:val="0"/>
          <w:szCs w:val="24"/>
        </w:rPr>
        <w:t>PSD</w:t>
      </w:r>
      <w:r w:rsidR="00193999" w:rsidRPr="005F4582">
        <w:rPr>
          <w:i w:val="0"/>
        </w:rPr>
        <w:t>, July 2019</w:t>
      </w:r>
      <w:r w:rsidR="00980584" w:rsidRPr="005F4582">
        <w:rPr>
          <w:i w:val="0"/>
        </w:rPr>
        <w:t xml:space="preserve"> PBAC minutes</w:t>
      </w:r>
      <w:r w:rsidRPr="005F4582">
        <w:rPr>
          <w:i w:val="0"/>
        </w:rPr>
        <w:t xml:space="preserve">). </w:t>
      </w:r>
    </w:p>
    <w:p w:rsidR="00715D0C" w:rsidRPr="005F4582" w:rsidRDefault="00ED5137" w:rsidP="00313617">
      <w:pPr>
        <w:pStyle w:val="Bodytextitalics"/>
        <w:jc w:val="both"/>
        <w:rPr>
          <w:i w:val="0"/>
          <w:szCs w:val="24"/>
        </w:rPr>
      </w:pPr>
      <w:r w:rsidRPr="005F4582">
        <w:rPr>
          <w:i w:val="0"/>
          <w:szCs w:val="24"/>
        </w:rPr>
        <w:t>T</w:t>
      </w:r>
      <w:r w:rsidR="009A08BB" w:rsidRPr="005F4582">
        <w:rPr>
          <w:i w:val="0"/>
          <w:szCs w:val="24"/>
        </w:rPr>
        <w:t xml:space="preserve">he </w:t>
      </w:r>
      <w:r w:rsidRPr="005F4582">
        <w:rPr>
          <w:i w:val="0"/>
          <w:szCs w:val="24"/>
        </w:rPr>
        <w:t xml:space="preserve">resubmission estimated </w:t>
      </w:r>
      <w:r w:rsidR="009A08BB" w:rsidRPr="005F4582">
        <w:rPr>
          <w:i w:val="0"/>
          <w:szCs w:val="24"/>
        </w:rPr>
        <w:t xml:space="preserve">the </w:t>
      </w:r>
      <w:r w:rsidRPr="005F4582">
        <w:rPr>
          <w:i w:val="0"/>
          <w:szCs w:val="24"/>
        </w:rPr>
        <w:t xml:space="preserve">number </w:t>
      </w:r>
      <w:r w:rsidR="009A08BB" w:rsidRPr="005F4582">
        <w:rPr>
          <w:i w:val="0"/>
          <w:szCs w:val="24"/>
        </w:rPr>
        <w:t xml:space="preserve">of patients </w:t>
      </w:r>
      <w:r w:rsidRPr="005F4582">
        <w:rPr>
          <w:i w:val="0"/>
          <w:szCs w:val="24"/>
        </w:rPr>
        <w:t xml:space="preserve">treated with </w:t>
      </w:r>
      <w:proofErr w:type="spellStart"/>
      <w:r w:rsidRPr="005F4582">
        <w:rPr>
          <w:i w:val="0"/>
          <w:szCs w:val="24"/>
        </w:rPr>
        <w:t>durvalumab</w:t>
      </w:r>
      <w:proofErr w:type="spellEnd"/>
      <w:r w:rsidRPr="005F4582">
        <w:rPr>
          <w:i w:val="0"/>
          <w:szCs w:val="24"/>
        </w:rPr>
        <w:t xml:space="preserve"> </w:t>
      </w:r>
      <w:r w:rsidR="009A08BB" w:rsidRPr="005F4582">
        <w:rPr>
          <w:i w:val="0"/>
          <w:szCs w:val="24"/>
        </w:rPr>
        <w:t>who would not be covered by the current Deeds of Agreement for NSCLC.</w:t>
      </w:r>
      <w:r w:rsidR="00F344FF" w:rsidRPr="005F4582">
        <w:rPr>
          <w:i w:val="0"/>
          <w:szCs w:val="24"/>
        </w:rPr>
        <w:t xml:space="preserve"> </w:t>
      </w:r>
    </w:p>
    <w:p w:rsidR="00FC397E" w:rsidRPr="005F4582" w:rsidRDefault="003E1C2C" w:rsidP="00313617">
      <w:pPr>
        <w:pStyle w:val="Bodytextitalics"/>
        <w:jc w:val="both"/>
        <w:rPr>
          <w:szCs w:val="24"/>
        </w:rPr>
      </w:pPr>
      <w:r w:rsidRPr="005F4582">
        <w:rPr>
          <w:i w:val="0"/>
        </w:rPr>
        <w:lastRenderedPageBreak/>
        <w:t xml:space="preserve">Based on the </w:t>
      </w:r>
      <w:r w:rsidR="00ED5137" w:rsidRPr="005F4582">
        <w:rPr>
          <w:i w:val="0"/>
        </w:rPr>
        <w:t xml:space="preserve">modelled </w:t>
      </w:r>
      <w:r w:rsidRPr="005F4582">
        <w:rPr>
          <w:i w:val="0"/>
        </w:rPr>
        <w:t>PFS curves at 72 months (6 years)</w:t>
      </w:r>
      <w:r w:rsidR="006F1286" w:rsidRPr="005F4582">
        <w:rPr>
          <w:i w:val="0"/>
        </w:rPr>
        <w:t xml:space="preserve">, a timeframe considered </w:t>
      </w:r>
      <w:r w:rsidRPr="005F4582">
        <w:rPr>
          <w:i w:val="0"/>
        </w:rPr>
        <w:t>relevant for the financial estimates</w:t>
      </w:r>
      <w:r w:rsidR="006F1286" w:rsidRPr="005F4582">
        <w:rPr>
          <w:i w:val="0"/>
        </w:rPr>
        <w:t xml:space="preserve">, </w:t>
      </w:r>
      <w:r w:rsidR="001E355D" w:rsidRPr="005F4582">
        <w:rPr>
          <w:i w:val="0"/>
        </w:rPr>
        <w:t xml:space="preserve">the resubmission estimated </w:t>
      </w:r>
      <w:r w:rsidRPr="005F4582">
        <w:rPr>
          <w:i w:val="0"/>
        </w:rPr>
        <w:t xml:space="preserve">approximately 25% of </w:t>
      </w:r>
      <w:proofErr w:type="spellStart"/>
      <w:r w:rsidRPr="005F4582">
        <w:rPr>
          <w:i w:val="0"/>
        </w:rPr>
        <w:t>durvalumab</w:t>
      </w:r>
      <w:proofErr w:type="spellEnd"/>
      <w:r w:rsidRPr="005F4582">
        <w:rPr>
          <w:i w:val="0"/>
        </w:rPr>
        <w:t xml:space="preserve"> treated patients remain progression-free.</w:t>
      </w:r>
      <w:r w:rsidR="00F344FF" w:rsidRPr="005F4582">
        <w:rPr>
          <w:i w:val="0"/>
        </w:rPr>
        <w:t xml:space="preserve"> </w:t>
      </w:r>
      <w:r w:rsidR="006F1286" w:rsidRPr="005F4582">
        <w:rPr>
          <w:i w:val="0"/>
          <w:szCs w:val="24"/>
        </w:rPr>
        <w:t>Of the 75% of patients who have progressed at 72-months, the resubmission assumed approximately 70% would</w:t>
      </w:r>
      <w:r w:rsidR="006F1286" w:rsidRPr="005F4582">
        <w:rPr>
          <w:szCs w:val="24"/>
        </w:rPr>
        <w:t xml:space="preserve"> </w:t>
      </w:r>
      <w:r w:rsidR="006F1286" w:rsidRPr="005F4582">
        <w:rPr>
          <w:i w:val="0"/>
          <w:szCs w:val="24"/>
        </w:rPr>
        <w:t xml:space="preserve">have been candidates for subsequent immunotherapy, which equated to 52% of patients who initiate </w:t>
      </w:r>
      <w:proofErr w:type="spellStart"/>
      <w:r w:rsidR="006F1286" w:rsidRPr="005F4582">
        <w:rPr>
          <w:i w:val="0"/>
          <w:szCs w:val="24"/>
        </w:rPr>
        <w:t>durvalumab</w:t>
      </w:r>
      <w:proofErr w:type="spellEnd"/>
      <w:r w:rsidR="006F1286" w:rsidRPr="005F4582">
        <w:rPr>
          <w:i w:val="0"/>
          <w:szCs w:val="24"/>
        </w:rPr>
        <w:t xml:space="preserve"> treatment (75%*70% = 52%). </w:t>
      </w:r>
    </w:p>
    <w:p w:rsidR="008D4FE5" w:rsidRPr="005F4582" w:rsidRDefault="00E20DB2" w:rsidP="00494393">
      <w:pPr>
        <w:pStyle w:val="Bodytextitalics"/>
        <w:jc w:val="both"/>
      </w:pPr>
      <w:r w:rsidRPr="005F4582">
        <w:rPr>
          <w:i w:val="0"/>
          <w:szCs w:val="24"/>
        </w:rPr>
        <w:t xml:space="preserve">The PBAC previously noted that some patients (~25%) are cured by </w:t>
      </w:r>
      <w:r w:rsidR="000F2243" w:rsidRPr="005F4582">
        <w:rPr>
          <w:i w:val="0"/>
          <w:szCs w:val="24"/>
        </w:rPr>
        <w:t>CRT</w:t>
      </w:r>
      <w:r w:rsidR="00002E59" w:rsidRPr="005F4582">
        <w:rPr>
          <w:i w:val="0"/>
          <w:szCs w:val="24"/>
        </w:rPr>
        <w:t xml:space="preserve"> (paragraph 6.55, </w:t>
      </w:r>
      <w:proofErr w:type="spellStart"/>
      <w:r w:rsidR="00002E59" w:rsidRPr="005F4582">
        <w:rPr>
          <w:i w:val="0"/>
          <w:szCs w:val="24"/>
        </w:rPr>
        <w:t>durvalumab</w:t>
      </w:r>
      <w:proofErr w:type="spellEnd"/>
      <w:r w:rsidR="00980584" w:rsidRPr="005F4582">
        <w:rPr>
          <w:i w:val="0"/>
          <w:szCs w:val="24"/>
        </w:rPr>
        <w:t xml:space="preserve"> PSD</w:t>
      </w:r>
      <w:r w:rsidR="00002E59" w:rsidRPr="005F4582">
        <w:rPr>
          <w:i w:val="0"/>
          <w:szCs w:val="24"/>
        </w:rPr>
        <w:t>, July 2019</w:t>
      </w:r>
      <w:r w:rsidR="00980584" w:rsidRPr="005F4582">
        <w:rPr>
          <w:i w:val="0"/>
          <w:szCs w:val="24"/>
        </w:rPr>
        <w:t xml:space="preserve"> PBAC meeting</w:t>
      </w:r>
      <w:r w:rsidR="00002E59" w:rsidRPr="005F4582">
        <w:rPr>
          <w:i w:val="0"/>
          <w:szCs w:val="24"/>
        </w:rPr>
        <w:t>).</w:t>
      </w:r>
      <w:r w:rsidR="0019234E" w:rsidRPr="005F4582">
        <w:rPr>
          <w:i w:val="0"/>
          <w:szCs w:val="24"/>
        </w:rPr>
        <w:t xml:space="preserve"> </w:t>
      </w:r>
      <w:r w:rsidR="00002E59" w:rsidRPr="005F4582">
        <w:rPr>
          <w:i w:val="0"/>
          <w:szCs w:val="24"/>
        </w:rPr>
        <w:t>Therefore, i</w:t>
      </w:r>
      <w:r w:rsidRPr="005F4582">
        <w:rPr>
          <w:i w:val="0"/>
          <w:szCs w:val="24"/>
        </w:rPr>
        <w:t xml:space="preserve">t may be reasonable to assume that </w:t>
      </w:r>
      <w:r w:rsidR="00002E59" w:rsidRPr="005F4582">
        <w:rPr>
          <w:i w:val="0"/>
          <w:szCs w:val="24"/>
        </w:rPr>
        <w:t xml:space="preserve">25% </w:t>
      </w:r>
      <w:r w:rsidRPr="005F4582">
        <w:rPr>
          <w:i w:val="0"/>
          <w:szCs w:val="24"/>
        </w:rPr>
        <w:t>of the patients estimated to initiate treatment</w:t>
      </w:r>
      <w:r w:rsidR="00D478B3" w:rsidRPr="005F4582">
        <w:rPr>
          <w:i w:val="0"/>
          <w:szCs w:val="24"/>
        </w:rPr>
        <w:t xml:space="preserve"> with </w:t>
      </w:r>
      <w:proofErr w:type="spellStart"/>
      <w:r w:rsidR="005F6BE7" w:rsidRPr="005F4582">
        <w:rPr>
          <w:i w:val="0"/>
          <w:szCs w:val="24"/>
        </w:rPr>
        <w:t>durvalumab</w:t>
      </w:r>
      <w:proofErr w:type="spellEnd"/>
      <w:r w:rsidR="005F6BE7" w:rsidRPr="005F4582">
        <w:rPr>
          <w:i w:val="0"/>
          <w:szCs w:val="24"/>
        </w:rPr>
        <w:t xml:space="preserve"> would</w:t>
      </w:r>
      <w:r w:rsidRPr="005F4582">
        <w:rPr>
          <w:i w:val="0"/>
          <w:szCs w:val="24"/>
        </w:rPr>
        <w:t xml:space="preserve"> not </w:t>
      </w:r>
      <w:r w:rsidR="00D478B3" w:rsidRPr="005F4582">
        <w:rPr>
          <w:i w:val="0"/>
          <w:szCs w:val="24"/>
        </w:rPr>
        <w:t>have progressed to</w:t>
      </w:r>
      <w:r w:rsidR="00002E59" w:rsidRPr="005F4582">
        <w:rPr>
          <w:i w:val="0"/>
          <w:szCs w:val="24"/>
        </w:rPr>
        <w:t xml:space="preserve"> Stage IV</w:t>
      </w:r>
      <w:r w:rsidR="00D478B3" w:rsidRPr="005F4582">
        <w:rPr>
          <w:i w:val="0"/>
          <w:szCs w:val="24"/>
        </w:rPr>
        <w:t xml:space="preserve"> disease and are not </w:t>
      </w:r>
      <w:r w:rsidRPr="005F4582">
        <w:rPr>
          <w:i w:val="0"/>
          <w:szCs w:val="24"/>
        </w:rPr>
        <w:t>covered by the current Deed</w:t>
      </w:r>
      <w:r w:rsidRPr="005F4582">
        <w:rPr>
          <w:i w:val="0"/>
        </w:rPr>
        <w:t>(s).</w:t>
      </w:r>
      <w:r w:rsidR="00CC4A3C" w:rsidRPr="005F4582">
        <w:t xml:space="preserve"> </w:t>
      </w:r>
      <w:r w:rsidR="00CC4A3C" w:rsidRPr="005F4582">
        <w:rPr>
          <w:i w:val="0"/>
        </w:rPr>
        <w:t xml:space="preserve">In the </w:t>
      </w:r>
      <w:r w:rsidR="00CB73C7" w:rsidRPr="005F4582">
        <w:rPr>
          <w:i w:val="0"/>
        </w:rPr>
        <w:t>p</w:t>
      </w:r>
      <w:r w:rsidR="00CC4A3C" w:rsidRPr="005F4582">
        <w:rPr>
          <w:i w:val="0"/>
        </w:rPr>
        <w:t xml:space="preserve">re-PBAC </w:t>
      </w:r>
      <w:proofErr w:type="gramStart"/>
      <w:r w:rsidR="00CC4A3C" w:rsidRPr="005F4582">
        <w:rPr>
          <w:i w:val="0"/>
        </w:rPr>
        <w:t>response ,</w:t>
      </w:r>
      <w:proofErr w:type="gramEnd"/>
      <w:r w:rsidR="00CC4A3C" w:rsidRPr="005F4582">
        <w:rPr>
          <w:i w:val="0"/>
        </w:rPr>
        <w:t xml:space="preserve"> the Sponsor </w:t>
      </w:r>
      <w:r w:rsidR="000F1E9C" w:rsidRPr="005F4582">
        <w:rPr>
          <w:i w:val="0"/>
        </w:rPr>
        <w:t xml:space="preserve">provided revised estimates assuming </w:t>
      </w:r>
      <w:r w:rsidR="00CC4A3C" w:rsidRPr="005F4582">
        <w:rPr>
          <w:i w:val="0"/>
        </w:rPr>
        <w:t xml:space="preserve">25% of patients </w:t>
      </w:r>
      <w:r w:rsidR="00666E88" w:rsidRPr="005F4582">
        <w:rPr>
          <w:i w:val="0"/>
        </w:rPr>
        <w:t xml:space="preserve">who </w:t>
      </w:r>
      <w:r w:rsidR="00CC4A3C" w:rsidRPr="005F4582">
        <w:rPr>
          <w:i w:val="0"/>
        </w:rPr>
        <w:t xml:space="preserve">initiate on </w:t>
      </w:r>
      <w:proofErr w:type="spellStart"/>
      <w:r w:rsidR="00CC4A3C" w:rsidRPr="005F4582">
        <w:rPr>
          <w:i w:val="0"/>
        </w:rPr>
        <w:t>durvalumab</w:t>
      </w:r>
      <w:proofErr w:type="spellEnd"/>
      <w:r w:rsidR="00CC4A3C" w:rsidRPr="005F4582">
        <w:rPr>
          <w:i w:val="0"/>
        </w:rPr>
        <w:t xml:space="preserve"> treatment would not have progressed to Stage IV disease and are not already covered by the Deeds of Agreement for NSCLC.</w:t>
      </w:r>
      <w:r w:rsidR="00CC4A3C" w:rsidRPr="005F4582">
        <w:t xml:space="preserve"> </w:t>
      </w:r>
      <w:r w:rsidR="00F2279F" w:rsidRPr="005F4582">
        <w:rPr>
          <w:i w:val="0"/>
          <w:szCs w:val="24"/>
        </w:rPr>
        <w:t xml:space="preserve">The PBAC noted the revised number of </w:t>
      </w:r>
      <w:proofErr w:type="spellStart"/>
      <w:r w:rsidR="00F2279F" w:rsidRPr="005F4582">
        <w:rPr>
          <w:i w:val="0"/>
          <w:szCs w:val="24"/>
        </w:rPr>
        <w:t>durvalumab</w:t>
      </w:r>
      <w:proofErr w:type="spellEnd"/>
      <w:r w:rsidR="00F2279F" w:rsidRPr="005F4582">
        <w:rPr>
          <w:i w:val="0"/>
          <w:szCs w:val="24"/>
        </w:rPr>
        <w:t xml:space="preserve"> patients not included in the RSA subsidisation cap in the current Deeds of Agreement for NSCLC presented in Table 4, taking into account a reduced uptake in Year 1 (paragraph 4.16).</w:t>
      </w:r>
    </w:p>
    <w:p w:rsidR="00CC2480" w:rsidRPr="00206AB2" w:rsidRDefault="00CC2480" w:rsidP="000F64B6">
      <w:pPr>
        <w:rPr>
          <w:rStyle w:val="CommentReference"/>
          <w:rFonts w:ascii="Arial Narrow" w:hAnsi="Arial Narrow"/>
          <w:b/>
          <w:sz w:val="20"/>
          <w:szCs w:val="20"/>
        </w:rPr>
      </w:pPr>
      <w:r w:rsidRPr="005F4582">
        <w:rPr>
          <w:rStyle w:val="CommentReference"/>
          <w:rFonts w:ascii="Arial Narrow" w:hAnsi="Arial Narrow"/>
          <w:b/>
          <w:sz w:val="20"/>
          <w:szCs w:val="20"/>
        </w:rPr>
        <w:t xml:space="preserve">Table </w:t>
      </w:r>
      <w:r w:rsidR="00C74E46" w:rsidRPr="005F4582">
        <w:rPr>
          <w:rStyle w:val="CommentReference"/>
          <w:rFonts w:ascii="Arial Narrow" w:hAnsi="Arial Narrow"/>
          <w:b/>
          <w:sz w:val="20"/>
          <w:szCs w:val="20"/>
        </w:rPr>
        <w:t>4</w:t>
      </w:r>
      <w:r w:rsidRPr="005F4582">
        <w:rPr>
          <w:rStyle w:val="CommentReference"/>
          <w:rFonts w:ascii="Arial Narrow" w:hAnsi="Arial Narrow"/>
          <w:b/>
          <w:sz w:val="20"/>
          <w:szCs w:val="20"/>
        </w:rPr>
        <w:t xml:space="preserve">: </w:t>
      </w:r>
      <w:r w:rsidR="00166257" w:rsidRPr="005F4582">
        <w:rPr>
          <w:rStyle w:val="CommentReference"/>
          <w:rFonts w:ascii="Arial Narrow" w:hAnsi="Arial Narrow"/>
          <w:b/>
          <w:sz w:val="20"/>
          <w:szCs w:val="20"/>
        </w:rPr>
        <w:t>Estimated incremental increase in patient numbers over the existing risk</w:t>
      </w:r>
      <w:r w:rsidR="00166257" w:rsidRPr="005F4582">
        <w:rPr>
          <w:rStyle w:val="CommentReference"/>
          <w:rFonts w:ascii="Arial Narrow" w:hAnsi="Arial Narrow"/>
          <w:b/>
          <w:sz w:val="20"/>
          <w:szCs w:val="20"/>
        </w:rPr>
        <w:noBreakHyphen/>
        <w:t>sharing arrangement for PD</w:t>
      </w:r>
      <w:proofErr w:type="gramStart"/>
      <w:r w:rsidR="00166257" w:rsidRPr="005F4582">
        <w:rPr>
          <w:rStyle w:val="CommentReference"/>
          <w:rFonts w:ascii="Arial Narrow" w:hAnsi="Arial Narrow"/>
          <w:b/>
          <w:sz w:val="20"/>
          <w:szCs w:val="20"/>
        </w:rPr>
        <w:noBreakHyphen/>
        <w:t>(</w:t>
      </w:r>
      <w:proofErr w:type="gramEnd"/>
      <w:r w:rsidR="00166257" w:rsidRPr="005F4582">
        <w:rPr>
          <w:rStyle w:val="CommentReference"/>
          <w:rFonts w:ascii="Arial Narrow" w:hAnsi="Arial Narrow"/>
          <w:b/>
          <w:sz w:val="20"/>
          <w:szCs w:val="20"/>
        </w:rPr>
        <w:t>L)1 drugs for NSCLC – REVISED</w:t>
      </w:r>
    </w:p>
    <w:tbl>
      <w:tblPr>
        <w:tblStyle w:val="TableGrid"/>
        <w:tblW w:w="5000" w:type="pct"/>
        <w:tblLook w:val="04A0" w:firstRow="1" w:lastRow="0" w:firstColumn="1" w:lastColumn="0" w:noHBand="0" w:noVBand="1"/>
        <w:tblCaption w:val="Table 4: Estimated incremental increase in patient numbers over the existing risk sharing arrangement for PD (L)1 drugs for NSCLC – REVISED"/>
      </w:tblPr>
      <w:tblGrid>
        <w:gridCol w:w="2358"/>
        <w:gridCol w:w="1109"/>
        <w:gridCol w:w="1111"/>
        <w:gridCol w:w="1109"/>
        <w:gridCol w:w="1113"/>
        <w:gridCol w:w="1109"/>
        <w:gridCol w:w="1107"/>
      </w:tblGrid>
      <w:tr w:rsidR="00CC2480" w:rsidRPr="005F4582" w:rsidTr="00A619D2">
        <w:trPr>
          <w:tblHeader/>
        </w:trPr>
        <w:tc>
          <w:tcPr>
            <w:tcW w:w="1308" w:type="pct"/>
          </w:tcPr>
          <w:p w:rsidR="00CC2480" w:rsidRPr="005F4582" w:rsidRDefault="00CC2480" w:rsidP="00EC2C49"/>
        </w:tc>
        <w:tc>
          <w:tcPr>
            <w:tcW w:w="615" w:type="pct"/>
          </w:tcPr>
          <w:p w:rsidR="00CC2480" w:rsidRPr="005F4582" w:rsidRDefault="00CC2480" w:rsidP="00EC2C49">
            <w:pPr>
              <w:jc w:val="center"/>
              <w:rPr>
                <w:rFonts w:ascii="Arial Narrow" w:hAnsi="Arial Narrow"/>
                <w:b/>
                <w:sz w:val="20"/>
                <w:szCs w:val="20"/>
              </w:rPr>
            </w:pPr>
            <w:r w:rsidRPr="005F4582">
              <w:rPr>
                <w:rFonts w:ascii="Arial Narrow" w:hAnsi="Arial Narrow"/>
                <w:b/>
                <w:sz w:val="20"/>
                <w:szCs w:val="20"/>
              </w:rPr>
              <w:t>Year 1</w:t>
            </w:r>
          </w:p>
        </w:tc>
        <w:tc>
          <w:tcPr>
            <w:tcW w:w="616" w:type="pct"/>
          </w:tcPr>
          <w:p w:rsidR="00CC2480" w:rsidRPr="005F4582" w:rsidRDefault="00CC2480" w:rsidP="00EC2C49">
            <w:pPr>
              <w:jc w:val="center"/>
              <w:rPr>
                <w:rFonts w:ascii="Arial Narrow" w:hAnsi="Arial Narrow"/>
                <w:b/>
                <w:sz w:val="20"/>
                <w:szCs w:val="20"/>
              </w:rPr>
            </w:pPr>
            <w:r w:rsidRPr="005F4582">
              <w:rPr>
                <w:rFonts w:ascii="Arial Narrow" w:hAnsi="Arial Narrow"/>
                <w:b/>
                <w:sz w:val="20"/>
                <w:szCs w:val="20"/>
              </w:rPr>
              <w:t>Year 2</w:t>
            </w:r>
          </w:p>
        </w:tc>
        <w:tc>
          <w:tcPr>
            <w:tcW w:w="615" w:type="pct"/>
          </w:tcPr>
          <w:p w:rsidR="00CC2480" w:rsidRPr="005F4582" w:rsidRDefault="00CC2480" w:rsidP="00EC2C49">
            <w:pPr>
              <w:jc w:val="center"/>
              <w:rPr>
                <w:rFonts w:ascii="Arial Narrow" w:hAnsi="Arial Narrow"/>
                <w:b/>
                <w:sz w:val="20"/>
                <w:szCs w:val="20"/>
              </w:rPr>
            </w:pPr>
            <w:r w:rsidRPr="005F4582">
              <w:rPr>
                <w:rFonts w:ascii="Arial Narrow" w:hAnsi="Arial Narrow"/>
                <w:b/>
                <w:sz w:val="20"/>
                <w:szCs w:val="20"/>
              </w:rPr>
              <w:t>Year 3</w:t>
            </w:r>
          </w:p>
        </w:tc>
        <w:tc>
          <w:tcPr>
            <w:tcW w:w="617" w:type="pct"/>
          </w:tcPr>
          <w:p w:rsidR="00CC2480" w:rsidRPr="005F4582" w:rsidRDefault="00CC2480" w:rsidP="00EC2C49">
            <w:pPr>
              <w:jc w:val="center"/>
              <w:rPr>
                <w:rFonts w:ascii="Arial Narrow" w:hAnsi="Arial Narrow"/>
                <w:b/>
                <w:sz w:val="20"/>
                <w:szCs w:val="20"/>
              </w:rPr>
            </w:pPr>
            <w:r w:rsidRPr="005F4582">
              <w:rPr>
                <w:rFonts w:ascii="Arial Narrow" w:hAnsi="Arial Narrow"/>
                <w:b/>
                <w:sz w:val="20"/>
                <w:szCs w:val="20"/>
              </w:rPr>
              <w:t>Year 4</w:t>
            </w:r>
          </w:p>
        </w:tc>
        <w:tc>
          <w:tcPr>
            <w:tcW w:w="615" w:type="pct"/>
          </w:tcPr>
          <w:p w:rsidR="00CC2480" w:rsidRPr="005F4582" w:rsidRDefault="00CC2480" w:rsidP="00EC2C49">
            <w:pPr>
              <w:jc w:val="center"/>
              <w:rPr>
                <w:rFonts w:ascii="Arial Narrow" w:hAnsi="Arial Narrow"/>
                <w:b/>
                <w:sz w:val="20"/>
                <w:szCs w:val="20"/>
              </w:rPr>
            </w:pPr>
            <w:r w:rsidRPr="005F4582">
              <w:rPr>
                <w:rFonts w:ascii="Arial Narrow" w:hAnsi="Arial Narrow"/>
                <w:b/>
                <w:sz w:val="20"/>
                <w:szCs w:val="20"/>
              </w:rPr>
              <w:t>Year 5</w:t>
            </w:r>
          </w:p>
        </w:tc>
        <w:tc>
          <w:tcPr>
            <w:tcW w:w="614" w:type="pct"/>
          </w:tcPr>
          <w:p w:rsidR="00CC2480" w:rsidRPr="005F4582" w:rsidRDefault="00CC2480" w:rsidP="00EC2C49">
            <w:pPr>
              <w:jc w:val="center"/>
              <w:rPr>
                <w:rFonts w:ascii="Arial Narrow" w:hAnsi="Arial Narrow"/>
                <w:b/>
                <w:sz w:val="20"/>
                <w:szCs w:val="20"/>
              </w:rPr>
            </w:pPr>
            <w:r w:rsidRPr="005F4582">
              <w:rPr>
                <w:rFonts w:ascii="Arial Narrow" w:hAnsi="Arial Narrow"/>
                <w:b/>
                <w:sz w:val="20"/>
                <w:szCs w:val="20"/>
              </w:rPr>
              <w:t>Year 6</w:t>
            </w:r>
          </w:p>
        </w:tc>
      </w:tr>
      <w:tr w:rsidR="00CC2480" w:rsidRPr="005F4582" w:rsidTr="00B22235">
        <w:tc>
          <w:tcPr>
            <w:tcW w:w="5000" w:type="pct"/>
            <w:gridSpan w:val="7"/>
          </w:tcPr>
          <w:p w:rsidR="00CC2480" w:rsidRPr="005F4582" w:rsidRDefault="00CC2480" w:rsidP="00EC2C49">
            <w:pPr>
              <w:rPr>
                <w:rFonts w:ascii="Arial Narrow" w:hAnsi="Arial Narrow"/>
                <w:b/>
                <w:i/>
                <w:sz w:val="20"/>
                <w:szCs w:val="20"/>
              </w:rPr>
            </w:pPr>
            <w:r w:rsidRPr="005F4582">
              <w:rPr>
                <w:rFonts w:ascii="Arial Narrow" w:hAnsi="Arial Narrow"/>
                <w:b/>
                <w:i/>
                <w:sz w:val="20"/>
                <w:szCs w:val="20"/>
              </w:rPr>
              <w:t>Estimated extent of use</w:t>
            </w:r>
          </w:p>
        </w:tc>
      </w:tr>
      <w:tr w:rsidR="00166257" w:rsidRPr="005F4582" w:rsidTr="00B22235">
        <w:tc>
          <w:tcPr>
            <w:tcW w:w="1308" w:type="pct"/>
          </w:tcPr>
          <w:p w:rsidR="00166257" w:rsidRPr="005F4582" w:rsidRDefault="00166257" w:rsidP="00166257">
            <w:pPr>
              <w:rPr>
                <w:rFonts w:ascii="Arial Narrow" w:hAnsi="Arial Narrow"/>
                <w:sz w:val="20"/>
                <w:szCs w:val="20"/>
              </w:rPr>
            </w:pPr>
            <w:r w:rsidRPr="005F4582">
              <w:rPr>
                <w:rFonts w:ascii="Arial Narrow" w:eastAsiaTheme="majorEastAsia" w:hAnsi="Arial Narrow" w:cs="Arial"/>
                <w:sz w:val="20"/>
                <w:szCs w:val="20"/>
                <w:lang w:bidi="en-US"/>
              </w:rPr>
              <w:t>Total eligible patients</w:t>
            </w:r>
          </w:p>
        </w:tc>
        <w:tc>
          <w:tcPr>
            <w:tcW w:w="615" w:type="pct"/>
          </w:tcPr>
          <w:p w:rsidR="00166257" w:rsidRPr="008D562F" w:rsidRDefault="008D562F" w:rsidP="00166257">
            <w:pPr>
              <w:jc w:val="center"/>
              <w:rPr>
                <w:rFonts w:ascii="Arial Narrow" w:hAnsi="Arial Narrow"/>
                <w:sz w:val="20"/>
                <w:szCs w:val="20"/>
                <w:highlight w:val="black"/>
              </w:rPr>
            </w:pPr>
            <w:r>
              <w:rPr>
                <w:rFonts w:ascii="Arial Narrow" w:eastAsiaTheme="majorEastAsia" w:hAnsi="Arial Narrow" w:cs="Arial"/>
                <w:noProof/>
                <w:color w:val="000000"/>
                <w:sz w:val="20"/>
                <w:szCs w:val="20"/>
                <w:highlight w:val="black"/>
                <w:lang w:bidi="en-US"/>
              </w:rPr>
              <w:t>'''''''''''''</w:t>
            </w:r>
          </w:p>
        </w:tc>
        <w:tc>
          <w:tcPr>
            <w:tcW w:w="616" w:type="pct"/>
          </w:tcPr>
          <w:p w:rsidR="00166257" w:rsidRPr="008D562F" w:rsidRDefault="008D562F" w:rsidP="00166257">
            <w:pPr>
              <w:jc w:val="center"/>
              <w:rPr>
                <w:rFonts w:ascii="Arial Narrow" w:hAnsi="Arial Narrow"/>
                <w:sz w:val="20"/>
                <w:szCs w:val="20"/>
                <w:highlight w:val="black"/>
              </w:rPr>
            </w:pPr>
            <w:r>
              <w:rPr>
                <w:rFonts w:ascii="Arial Narrow" w:eastAsiaTheme="majorEastAsia" w:hAnsi="Arial Narrow" w:cs="Arial"/>
                <w:noProof/>
                <w:color w:val="000000"/>
                <w:sz w:val="20"/>
                <w:szCs w:val="20"/>
                <w:highlight w:val="black"/>
                <w:lang w:bidi="en-US"/>
              </w:rPr>
              <w:t>'''''''''''''</w:t>
            </w:r>
          </w:p>
        </w:tc>
        <w:tc>
          <w:tcPr>
            <w:tcW w:w="615" w:type="pct"/>
          </w:tcPr>
          <w:p w:rsidR="00166257" w:rsidRPr="008D562F" w:rsidRDefault="008D562F" w:rsidP="00166257">
            <w:pPr>
              <w:jc w:val="center"/>
              <w:rPr>
                <w:rFonts w:ascii="Arial Narrow" w:hAnsi="Arial Narrow"/>
                <w:sz w:val="20"/>
                <w:szCs w:val="20"/>
                <w:highlight w:val="black"/>
              </w:rPr>
            </w:pPr>
            <w:r>
              <w:rPr>
                <w:rFonts w:ascii="Arial Narrow" w:eastAsiaTheme="majorEastAsia" w:hAnsi="Arial Narrow" w:cs="Arial"/>
                <w:noProof/>
                <w:color w:val="000000"/>
                <w:sz w:val="20"/>
                <w:szCs w:val="20"/>
                <w:highlight w:val="black"/>
                <w:lang w:bidi="en-US"/>
              </w:rPr>
              <w:t>''''''''''''</w:t>
            </w:r>
          </w:p>
        </w:tc>
        <w:tc>
          <w:tcPr>
            <w:tcW w:w="617" w:type="pct"/>
          </w:tcPr>
          <w:p w:rsidR="00166257" w:rsidRPr="008D562F" w:rsidRDefault="008D562F" w:rsidP="00166257">
            <w:pPr>
              <w:jc w:val="center"/>
              <w:rPr>
                <w:rFonts w:ascii="Arial Narrow" w:hAnsi="Arial Narrow"/>
                <w:sz w:val="20"/>
                <w:szCs w:val="20"/>
                <w:highlight w:val="black"/>
              </w:rPr>
            </w:pPr>
            <w:r>
              <w:rPr>
                <w:rFonts w:ascii="Arial Narrow" w:eastAsiaTheme="majorEastAsia" w:hAnsi="Arial Narrow" w:cs="Arial"/>
                <w:noProof/>
                <w:color w:val="000000"/>
                <w:sz w:val="20"/>
                <w:szCs w:val="20"/>
                <w:highlight w:val="black"/>
                <w:lang w:bidi="en-US"/>
              </w:rPr>
              <w:t>'''''''''''''</w:t>
            </w:r>
          </w:p>
        </w:tc>
        <w:tc>
          <w:tcPr>
            <w:tcW w:w="615" w:type="pct"/>
          </w:tcPr>
          <w:p w:rsidR="00166257" w:rsidRPr="008D562F" w:rsidRDefault="008D562F" w:rsidP="00166257">
            <w:pPr>
              <w:jc w:val="center"/>
              <w:rPr>
                <w:rFonts w:ascii="Arial Narrow" w:hAnsi="Arial Narrow"/>
                <w:sz w:val="20"/>
                <w:szCs w:val="20"/>
                <w:highlight w:val="black"/>
              </w:rPr>
            </w:pPr>
            <w:r>
              <w:rPr>
                <w:rFonts w:ascii="Arial Narrow" w:eastAsiaTheme="majorEastAsia" w:hAnsi="Arial Narrow" w:cs="Arial"/>
                <w:noProof/>
                <w:color w:val="000000"/>
                <w:sz w:val="20"/>
                <w:szCs w:val="20"/>
                <w:highlight w:val="black"/>
                <w:lang w:bidi="en-US"/>
              </w:rPr>
              <w:t>'''''''''''''''</w:t>
            </w:r>
          </w:p>
        </w:tc>
        <w:tc>
          <w:tcPr>
            <w:tcW w:w="614" w:type="pct"/>
          </w:tcPr>
          <w:p w:rsidR="00166257" w:rsidRPr="008D562F" w:rsidRDefault="008D562F" w:rsidP="00166257">
            <w:pPr>
              <w:jc w:val="center"/>
              <w:rPr>
                <w:rFonts w:ascii="Arial Narrow" w:hAnsi="Arial Narrow"/>
                <w:sz w:val="20"/>
                <w:szCs w:val="20"/>
                <w:highlight w:val="black"/>
              </w:rPr>
            </w:pPr>
            <w:r>
              <w:rPr>
                <w:rFonts w:ascii="Arial Narrow" w:eastAsiaTheme="majorEastAsia" w:hAnsi="Arial Narrow" w:cs="Arial"/>
                <w:noProof/>
                <w:color w:val="000000"/>
                <w:sz w:val="20"/>
                <w:szCs w:val="20"/>
                <w:highlight w:val="black"/>
                <w:lang w:bidi="en-US"/>
              </w:rPr>
              <w:t>'''''''''''''</w:t>
            </w:r>
          </w:p>
        </w:tc>
      </w:tr>
      <w:tr w:rsidR="00166257" w:rsidRPr="005F4582" w:rsidTr="00B22235">
        <w:tc>
          <w:tcPr>
            <w:tcW w:w="1308" w:type="pct"/>
          </w:tcPr>
          <w:p w:rsidR="00166257" w:rsidRPr="005F4582" w:rsidRDefault="00166257" w:rsidP="00166257">
            <w:pPr>
              <w:rPr>
                <w:rFonts w:ascii="Arial Narrow" w:hAnsi="Arial Narrow"/>
                <w:sz w:val="20"/>
                <w:szCs w:val="20"/>
              </w:rPr>
            </w:pPr>
            <w:proofErr w:type="spellStart"/>
            <w:r w:rsidRPr="005F4582">
              <w:rPr>
                <w:rFonts w:ascii="Arial Narrow" w:eastAsiaTheme="majorEastAsia" w:hAnsi="Arial Narrow" w:cs="Arial"/>
                <w:sz w:val="20"/>
                <w:szCs w:val="20"/>
                <w:lang w:bidi="en-US"/>
              </w:rPr>
              <w:t>Durvalumab</w:t>
            </w:r>
            <w:proofErr w:type="spellEnd"/>
            <w:r w:rsidRPr="005F4582">
              <w:rPr>
                <w:rFonts w:ascii="Arial Narrow" w:eastAsiaTheme="majorEastAsia" w:hAnsi="Arial Narrow" w:cs="Arial"/>
                <w:sz w:val="20"/>
                <w:szCs w:val="20"/>
                <w:lang w:bidi="en-US"/>
              </w:rPr>
              <w:t xml:space="preserve"> uptake</w:t>
            </w:r>
          </w:p>
        </w:tc>
        <w:tc>
          <w:tcPr>
            <w:tcW w:w="615" w:type="pct"/>
          </w:tcPr>
          <w:p w:rsidR="00166257" w:rsidRPr="005F4582" w:rsidRDefault="00166257" w:rsidP="00166257">
            <w:pPr>
              <w:jc w:val="center"/>
              <w:rPr>
                <w:rFonts w:ascii="Arial Narrow" w:hAnsi="Arial Narrow"/>
                <w:sz w:val="20"/>
                <w:szCs w:val="20"/>
              </w:rPr>
            </w:pPr>
            <w:r w:rsidRPr="005F4582">
              <w:rPr>
                <w:rFonts w:ascii="Arial Narrow" w:eastAsiaTheme="majorEastAsia" w:hAnsi="Arial Narrow" w:cs="Arial"/>
                <w:sz w:val="20"/>
                <w:szCs w:val="20"/>
                <w:lang w:bidi="en-US"/>
              </w:rPr>
              <w:t>90% x 75%</w:t>
            </w:r>
          </w:p>
        </w:tc>
        <w:tc>
          <w:tcPr>
            <w:tcW w:w="616" w:type="pct"/>
          </w:tcPr>
          <w:p w:rsidR="00166257" w:rsidRPr="005F4582" w:rsidRDefault="00166257" w:rsidP="00166257">
            <w:pPr>
              <w:jc w:val="center"/>
              <w:rPr>
                <w:rFonts w:ascii="Arial Narrow" w:hAnsi="Arial Narrow"/>
                <w:sz w:val="20"/>
                <w:szCs w:val="20"/>
              </w:rPr>
            </w:pPr>
            <w:r w:rsidRPr="005F4582">
              <w:rPr>
                <w:rFonts w:ascii="Arial Narrow" w:eastAsiaTheme="majorEastAsia" w:hAnsi="Arial Narrow" w:cs="Arial"/>
                <w:sz w:val="20"/>
                <w:szCs w:val="20"/>
                <w:lang w:bidi="en-US"/>
              </w:rPr>
              <w:t>90%</w:t>
            </w:r>
          </w:p>
        </w:tc>
        <w:tc>
          <w:tcPr>
            <w:tcW w:w="615" w:type="pct"/>
          </w:tcPr>
          <w:p w:rsidR="00166257" w:rsidRPr="005F4582" w:rsidRDefault="00166257" w:rsidP="00166257">
            <w:pPr>
              <w:jc w:val="center"/>
              <w:rPr>
                <w:rFonts w:ascii="Arial Narrow" w:hAnsi="Arial Narrow"/>
                <w:sz w:val="20"/>
                <w:szCs w:val="20"/>
              </w:rPr>
            </w:pPr>
            <w:r w:rsidRPr="005F4582">
              <w:rPr>
                <w:rFonts w:ascii="Arial Narrow" w:eastAsiaTheme="majorEastAsia" w:hAnsi="Arial Narrow" w:cs="Arial"/>
                <w:sz w:val="20"/>
                <w:szCs w:val="20"/>
                <w:lang w:bidi="en-US"/>
              </w:rPr>
              <w:t>90%</w:t>
            </w:r>
          </w:p>
        </w:tc>
        <w:tc>
          <w:tcPr>
            <w:tcW w:w="617" w:type="pct"/>
          </w:tcPr>
          <w:p w:rsidR="00166257" w:rsidRPr="005F4582" w:rsidRDefault="00166257" w:rsidP="00166257">
            <w:pPr>
              <w:jc w:val="center"/>
              <w:rPr>
                <w:rFonts w:ascii="Arial Narrow" w:hAnsi="Arial Narrow"/>
                <w:sz w:val="20"/>
                <w:szCs w:val="20"/>
              </w:rPr>
            </w:pPr>
            <w:r w:rsidRPr="005F4582">
              <w:rPr>
                <w:rFonts w:ascii="Arial Narrow" w:eastAsiaTheme="majorEastAsia" w:hAnsi="Arial Narrow" w:cs="Arial"/>
                <w:sz w:val="20"/>
                <w:szCs w:val="20"/>
                <w:lang w:bidi="en-US"/>
              </w:rPr>
              <w:t>90%</w:t>
            </w:r>
          </w:p>
        </w:tc>
        <w:tc>
          <w:tcPr>
            <w:tcW w:w="615" w:type="pct"/>
          </w:tcPr>
          <w:p w:rsidR="00166257" w:rsidRPr="005F4582" w:rsidRDefault="00166257" w:rsidP="00166257">
            <w:pPr>
              <w:jc w:val="center"/>
              <w:rPr>
                <w:rFonts w:ascii="Arial Narrow" w:hAnsi="Arial Narrow"/>
                <w:sz w:val="20"/>
                <w:szCs w:val="20"/>
              </w:rPr>
            </w:pPr>
            <w:r w:rsidRPr="005F4582">
              <w:rPr>
                <w:rFonts w:ascii="Arial Narrow" w:eastAsiaTheme="majorEastAsia" w:hAnsi="Arial Narrow" w:cs="Arial"/>
                <w:sz w:val="20"/>
                <w:szCs w:val="20"/>
                <w:lang w:bidi="en-US"/>
              </w:rPr>
              <w:t>90%</w:t>
            </w:r>
          </w:p>
        </w:tc>
        <w:tc>
          <w:tcPr>
            <w:tcW w:w="614" w:type="pct"/>
          </w:tcPr>
          <w:p w:rsidR="00166257" w:rsidRPr="005F4582" w:rsidRDefault="00166257" w:rsidP="00166257">
            <w:pPr>
              <w:jc w:val="center"/>
              <w:rPr>
                <w:rFonts w:ascii="Arial Narrow" w:hAnsi="Arial Narrow"/>
                <w:sz w:val="20"/>
                <w:szCs w:val="20"/>
              </w:rPr>
            </w:pPr>
            <w:r w:rsidRPr="005F4582">
              <w:rPr>
                <w:rFonts w:ascii="Arial Narrow" w:eastAsiaTheme="majorEastAsia" w:hAnsi="Arial Narrow" w:cs="Arial"/>
                <w:sz w:val="20"/>
                <w:szCs w:val="20"/>
                <w:lang w:bidi="en-US"/>
              </w:rPr>
              <w:t>90%</w:t>
            </w:r>
          </w:p>
        </w:tc>
      </w:tr>
      <w:tr w:rsidR="00166257" w:rsidRPr="005F4582" w:rsidTr="00B22235">
        <w:tc>
          <w:tcPr>
            <w:tcW w:w="1308" w:type="pct"/>
          </w:tcPr>
          <w:p w:rsidR="00166257" w:rsidRPr="005F4582" w:rsidRDefault="00166257" w:rsidP="00166257">
            <w:pPr>
              <w:rPr>
                <w:rFonts w:ascii="Arial Narrow" w:hAnsi="Arial Narrow"/>
                <w:sz w:val="20"/>
                <w:szCs w:val="20"/>
              </w:rPr>
            </w:pPr>
            <w:r w:rsidRPr="005F4582">
              <w:rPr>
                <w:rFonts w:ascii="Arial Narrow" w:hAnsi="Arial Narrow"/>
                <w:sz w:val="20"/>
                <w:szCs w:val="20"/>
              </w:rPr>
              <w:t xml:space="preserve">Number of </w:t>
            </w:r>
            <w:proofErr w:type="spellStart"/>
            <w:r w:rsidRPr="005F4582">
              <w:rPr>
                <w:rFonts w:ascii="Arial Narrow" w:hAnsi="Arial Narrow"/>
                <w:sz w:val="20"/>
                <w:szCs w:val="20"/>
              </w:rPr>
              <w:t>durvalumab</w:t>
            </w:r>
            <w:proofErr w:type="spellEnd"/>
            <w:r w:rsidRPr="005F4582">
              <w:rPr>
                <w:rFonts w:ascii="Arial Narrow" w:hAnsi="Arial Narrow"/>
                <w:sz w:val="20"/>
                <w:szCs w:val="20"/>
              </w:rPr>
              <w:t xml:space="preserve"> treated patients</w:t>
            </w:r>
          </w:p>
        </w:tc>
        <w:tc>
          <w:tcPr>
            <w:tcW w:w="615" w:type="pct"/>
          </w:tcPr>
          <w:p w:rsidR="00166257" w:rsidRPr="005F4582" w:rsidRDefault="008D562F" w:rsidP="00166257">
            <w:pPr>
              <w:spacing w:before="20" w:after="20" w:line="276" w:lineRule="auto"/>
              <w:jc w:val="center"/>
              <w:rPr>
                <w:rFonts w:ascii="Arial Narrow" w:eastAsiaTheme="majorEastAsia" w:hAnsi="Arial Narrow" w:cs="Arial"/>
                <w:sz w:val="20"/>
                <w:szCs w:val="20"/>
                <w:lang w:bidi="en-US"/>
              </w:rPr>
            </w:pPr>
            <w:r>
              <w:rPr>
                <w:rFonts w:ascii="Arial Narrow" w:eastAsiaTheme="majorEastAsia" w:hAnsi="Arial Narrow" w:cs="Arial"/>
                <w:noProof/>
                <w:color w:val="000000"/>
                <w:sz w:val="20"/>
                <w:szCs w:val="20"/>
                <w:highlight w:val="black"/>
                <w:lang w:bidi="en-US"/>
              </w:rPr>
              <w:t xml:space="preserve">'''''''''' </w:t>
            </w:r>
            <w:r w:rsidR="00166257" w:rsidRPr="005F4582">
              <w:rPr>
                <w:rFonts w:ascii="Arial Narrow" w:eastAsiaTheme="majorEastAsia" w:hAnsi="Arial Narrow" w:cs="Arial"/>
                <w:sz w:val="20"/>
                <w:szCs w:val="20"/>
                <w:lang w:bidi="en-US"/>
              </w:rPr>
              <w:t>eligible</w:t>
            </w:r>
          </w:p>
          <w:p w:rsidR="00166257" w:rsidRPr="005F4582" w:rsidRDefault="008D562F" w:rsidP="00166257">
            <w:pPr>
              <w:spacing w:before="20" w:after="20" w:line="276" w:lineRule="auto"/>
              <w:jc w:val="center"/>
              <w:rPr>
                <w:rFonts w:ascii="Arial Narrow" w:eastAsiaTheme="majorEastAsia" w:hAnsi="Arial Narrow" w:cs="Arial"/>
                <w:sz w:val="20"/>
                <w:szCs w:val="20"/>
                <w:lang w:bidi="en-US"/>
              </w:rPr>
            </w:pPr>
            <w:r>
              <w:rPr>
                <w:rFonts w:ascii="Arial Narrow" w:eastAsiaTheme="majorEastAsia" w:hAnsi="Arial Narrow" w:cs="Arial"/>
                <w:noProof/>
                <w:color w:val="000000"/>
                <w:sz w:val="20"/>
                <w:szCs w:val="20"/>
                <w:highlight w:val="black"/>
                <w:lang w:bidi="en-US"/>
              </w:rPr>
              <w:t xml:space="preserve">'''''''' </w:t>
            </w:r>
            <w:r w:rsidR="00166257" w:rsidRPr="005F4582">
              <w:rPr>
                <w:rFonts w:ascii="Arial Narrow" w:eastAsiaTheme="majorEastAsia" w:hAnsi="Arial Narrow" w:cs="Arial"/>
                <w:sz w:val="20"/>
                <w:szCs w:val="20"/>
                <w:lang w:bidi="en-US"/>
              </w:rPr>
              <w:t>GF</w:t>
            </w:r>
          </w:p>
          <w:p w:rsidR="00166257" w:rsidRPr="005F4582" w:rsidRDefault="008D562F" w:rsidP="00166257">
            <w:pPr>
              <w:jc w:val="center"/>
              <w:rPr>
                <w:rFonts w:ascii="Arial Narrow" w:hAnsi="Arial Narrow"/>
                <w:sz w:val="20"/>
                <w:szCs w:val="20"/>
              </w:rPr>
            </w:pPr>
            <w:r>
              <w:rPr>
                <w:rFonts w:ascii="Arial Narrow" w:eastAsiaTheme="majorEastAsia" w:hAnsi="Arial Narrow" w:cs="Arial"/>
                <w:noProof/>
                <w:color w:val="000000"/>
                <w:sz w:val="20"/>
                <w:szCs w:val="20"/>
                <w:highlight w:val="black"/>
                <w:lang w:bidi="en-US"/>
              </w:rPr>
              <w:t>'''''''''''''</w:t>
            </w:r>
            <w:r w:rsidR="00166257" w:rsidRPr="005F4582">
              <w:rPr>
                <w:rFonts w:ascii="Arial Narrow" w:eastAsiaTheme="majorEastAsia" w:hAnsi="Arial Narrow" w:cs="Arial"/>
                <w:sz w:val="20"/>
                <w:szCs w:val="20"/>
                <w:lang w:bidi="en-US"/>
              </w:rPr>
              <w:t xml:space="preserve"> total</w:t>
            </w:r>
          </w:p>
        </w:tc>
        <w:tc>
          <w:tcPr>
            <w:tcW w:w="616" w:type="pct"/>
          </w:tcPr>
          <w:p w:rsidR="00166257" w:rsidRPr="008D562F" w:rsidRDefault="008D562F" w:rsidP="0016625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5" w:type="pct"/>
          </w:tcPr>
          <w:p w:rsidR="00166257" w:rsidRPr="008D562F" w:rsidRDefault="008D562F" w:rsidP="0016625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7" w:type="pct"/>
          </w:tcPr>
          <w:p w:rsidR="00166257" w:rsidRPr="008D562F" w:rsidRDefault="008D562F" w:rsidP="0016625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5" w:type="pct"/>
          </w:tcPr>
          <w:p w:rsidR="00166257" w:rsidRPr="008D562F" w:rsidRDefault="008D562F" w:rsidP="0016625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tcPr>
          <w:p w:rsidR="00166257" w:rsidRPr="008D562F" w:rsidRDefault="008D562F" w:rsidP="00166257">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66257" w:rsidRPr="005F4582" w:rsidTr="00B22235">
        <w:tc>
          <w:tcPr>
            <w:tcW w:w="1308" w:type="pct"/>
          </w:tcPr>
          <w:p w:rsidR="00166257" w:rsidRPr="005F4582" w:rsidRDefault="00166257" w:rsidP="00166257">
            <w:pPr>
              <w:rPr>
                <w:rFonts w:ascii="Arial Narrow" w:hAnsi="Arial Narrow"/>
                <w:sz w:val="20"/>
                <w:szCs w:val="20"/>
              </w:rPr>
            </w:pPr>
            <w:r w:rsidRPr="005F4582">
              <w:rPr>
                <w:rFonts w:ascii="Arial Narrow" w:hAnsi="Arial Narrow"/>
                <w:sz w:val="20"/>
                <w:szCs w:val="20"/>
              </w:rPr>
              <w:t xml:space="preserve">Number of </w:t>
            </w:r>
            <w:proofErr w:type="spellStart"/>
            <w:r w:rsidRPr="005F4582">
              <w:rPr>
                <w:rFonts w:ascii="Arial Narrow" w:hAnsi="Arial Narrow"/>
                <w:sz w:val="20"/>
                <w:szCs w:val="20"/>
              </w:rPr>
              <w:t>durvalumab</w:t>
            </w:r>
            <w:proofErr w:type="spellEnd"/>
            <w:r w:rsidRPr="005F4582">
              <w:rPr>
                <w:rFonts w:ascii="Arial Narrow" w:hAnsi="Arial Narrow"/>
                <w:sz w:val="20"/>
                <w:szCs w:val="20"/>
              </w:rPr>
              <w:t xml:space="preserve"> patients not currently included in RSA caps (25%)</w:t>
            </w:r>
          </w:p>
        </w:tc>
        <w:tc>
          <w:tcPr>
            <w:tcW w:w="615" w:type="pct"/>
          </w:tcPr>
          <w:p w:rsidR="00166257" w:rsidRPr="005F4582" w:rsidRDefault="008D562F" w:rsidP="00166257">
            <w:pPr>
              <w:spacing w:before="20" w:after="20" w:line="276" w:lineRule="auto"/>
              <w:jc w:val="center"/>
              <w:rPr>
                <w:rFonts w:ascii="Arial Narrow" w:eastAsiaTheme="majorEastAsia" w:hAnsi="Arial Narrow" w:cs="Arial"/>
                <w:sz w:val="20"/>
                <w:szCs w:val="20"/>
                <w:lang w:bidi="en-US"/>
              </w:rPr>
            </w:pPr>
            <w:r>
              <w:rPr>
                <w:rFonts w:ascii="Arial Narrow" w:eastAsiaTheme="majorEastAsia" w:hAnsi="Arial Narrow" w:cs="Arial"/>
                <w:noProof/>
                <w:color w:val="000000"/>
                <w:sz w:val="20"/>
                <w:szCs w:val="20"/>
                <w:highlight w:val="black"/>
                <w:lang w:bidi="en-US"/>
              </w:rPr>
              <w:t>''''''''''</w:t>
            </w:r>
            <w:r w:rsidR="00166257" w:rsidRPr="005F4582">
              <w:rPr>
                <w:rFonts w:ascii="Arial Narrow" w:eastAsiaTheme="majorEastAsia" w:hAnsi="Arial Narrow" w:cs="Arial"/>
                <w:sz w:val="20"/>
                <w:szCs w:val="20"/>
                <w:lang w:bidi="en-US"/>
              </w:rPr>
              <w:t xml:space="preserve"> eligible</w:t>
            </w:r>
          </w:p>
          <w:p w:rsidR="00166257" w:rsidRPr="005F4582" w:rsidRDefault="008D562F" w:rsidP="00166257">
            <w:pPr>
              <w:spacing w:before="20" w:after="20" w:line="276" w:lineRule="auto"/>
              <w:jc w:val="center"/>
              <w:rPr>
                <w:rFonts w:ascii="Arial Narrow" w:eastAsiaTheme="majorEastAsia" w:hAnsi="Arial Narrow" w:cs="Arial"/>
                <w:sz w:val="20"/>
                <w:szCs w:val="20"/>
                <w:lang w:bidi="en-US"/>
              </w:rPr>
            </w:pPr>
            <w:r>
              <w:rPr>
                <w:rFonts w:ascii="Arial Narrow" w:eastAsiaTheme="majorEastAsia" w:hAnsi="Arial Narrow" w:cs="Arial"/>
                <w:noProof/>
                <w:color w:val="000000"/>
                <w:sz w:val="20"/>
                <w:szCs w:val="20"/>
                <w:highlight w:val="black"/>
                <w:lang w:bidi="en-US"/>
              </w:rPr>
              <w:t>''''''''</w:t>
            </w:r>
            <w:r w:rsidR="00166257" w:rsidRPr="005F4582">
              <w:rPr>
                <w:rFonts w:ascii="Arial Narrow" w:eastAsiaTheme="majorEastAsia" w:hAnsi="Arial Narrow" w:cs="Arial"/>
                <w:sz w:val="20"/>
                <w:szCs w:val="20"/>
                <w:lang w:bidi="en-US"/>
              </w:rPr>
              <w:t xml:space="preserve"> GF</w:t>
            </w:r>
          </w:p>
          <w:p w:rsidR="00166257" w:rsidRPr="005F4582" w:rsidRDefault="008D562F" w:rsidP="00166257">
            <w:pPr>
              <w:jc w:val="center"/>
              <w:rPr>
                <w:rFonts w:ascii="Arial Narrow" w:hAnsi="Arial Narrow"/>
                <w:sz w:val="20"/>
                <w:szCs w:val="20"/>
              </w:rPr>
            </w:pPr>
            <w:r>
              <w:rPr>
                <w:rFonts w:ascii="Arial Narrow" w:eastAsiaTheme="majorEastAsia" w:hAnsi="Arial Narrow" w:cs="Arial"/>
                <w:noProof/>
                <w:color w:val="000000"/>
                <w:sz w:val="20"/>
                <w:szCs w:val="20"/>
                <w:highlight w:val="black"/>
                <w:lang w:bidi="en-US"/>
              </w:rPr>
              <w:t>''''''''''</w:t>
            </w:r>
            <w:r w:rsidR="00166257" w:rsidRPr="005F4582">
              <w:rPr>
                <w:rFonts w:ascii="Arial Narrow" w:eastAsiaTheme="majorEastAsia" w:hAnsi="Arial Narrow" w:cs="Arial"/>
                <w:sz w:val="20"/>
                <w:szCs w:val="20"/>
                <w:lang w:bidi="en-US"/>
              </w:rPr>
              <w:t xml:space="preserve"> total</w:t>
            </w:r>
          </w:p>
        </w:tc>
        <w:tc>
          <w:tcPr>
            <w:tcW w:w="616" w:type="pct"/>
          </w:tcPr>
          <w:p w:rsidR="00166257" w:rsidRPr="008D562F" w:rsidRDefault="008D562F" w:rsidP="0016625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5" w:type="pct"/>
          </w:tcPr>
          <w:p w:rsidR="00166257" w:rsidRPr="008D562F" w:rsidRDefault="008D562F" w:rsidP="0016625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7" w:type="pct"/>
          </w:tcPr>
          <w:p w:rsidR="00166257" w:rsidRPr="008D562F" w:rsidRDefault="008D562F" w:rsidP="0016625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5" w:type="pct"/>
          </w:tcPr>
          <w:p w:rsidR="00166257" w:rsidRPr="008D562F" w:rsidRDefault="008D562F" w:rsidP="0016625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tcPr>
          <w:p w:rsidR="00166257" w:rsidRPr="008D562F" w:rsidRDefault="008D562F" w:rsidP="00166257">
            <w:pPr>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B22235" w:rsidRPr="00B22235" w:rsidRDefault="00DB5876" w:rsidP="00DF4D32">
      <w:pPr>
        <w:pStyle w:val="Bodytextitalics"/>
        <w:numPr>
          <w:ilvl w:val="0"/>
          <w:numId w:val="0"/>
        </w:numPr>
        <w:ind w:left="720" w:hanging="720"/>
        <w:jc w:val="both"/>
        <w:rPr>
          <w:i w:val="0"/>
        </w:rPr>
      </w:pPr>
      <w:r w:rsidRPr="005F4582">
        <w:rPr>
          <w:rFonts w:ascii="Arial Narrow" w:eastAsia="Times New Roman" w:hAnsi="Arial Narrow" w:cs="Times New Roman"/>
          <w:i w:val="0"/>
          <w:sz w:val="20"/>
          <w:szCs w:val="20"/>
        </w:rPr>
        <w:t xml:space="preserve">Source: </w:t>
      </w:r>
      <w:r w:rsidR="000F1E9C" w:rsidRPr="005F4582">
        <w:rPr>
          <w:rFonts w:ascii="Arial Narrow" w:eastAsia="Times New Roman" w:hAnsi="Arial Narrow" w:cs="Times New Roman"/>
          <w:i w:val="0"/>
          <w:sz w:val="20"/>
          <w:szCs w:val="20"/>
        </w:rPr>
        <w:t xml:space="preserve">Year 1: calculated Year 2 to 6: </w:t>
      </w:r>
      <w:r w:rsidR="00CB73C7" w:rsidRPr="005F4582">
        <w:rPr>
          <w:rFonts w:ascii="Arial Narrow" w:eastAsia="Times New Roman" w:hAnsi="Arial Narrow" w:cs="Times New Roman"/>
          <w:i w:val="0"/>
          <w:sz w:val="20"/>
          <w:szCs w:val="20"/>
        </w:rPr>
        <w:t>p</w:t>
      </w:r>
      <w:r w:rsidRPr="005F4582">
        <w:rPr>
          <w:rFonts w:ascii="Arial Narrow" w:eastAsia="Times New Roman" w:hAnsi="Arial Narrow" w:cs="Times New Roman"/>
          <w:i w:val="0"/>
          <w:sz w:val="20"/>
          <w:szCs w:val="20"/>
        </w:rPr>
        <w:t>re-PBAC response, Table 3, p3</w:t>
      </w:r>
    </w:p>
    <w:p w:rsidR="008D4FE5" w:rsidRPr="005F4582" w:rsidRDefault="008D4FE5" w:rsidP="008D4FE5">
      <w:pPr>
        <w:pStyle w:val="Bodytextitalics"/>
        <w:numPr>
          <w:ilvl w:val="0"/>
          <w:numId w:val="0"/>
        </w:numPr>
        <w:jc w:val="both"/>
        <w:rPr>
          <w:i w:val="0"/>
          <w:szCs w:val="24"/>
        </w:rPr>
      </w:pPr>
      <w:r w:rsidRPr="005F4582">
        <w:t>For more deta</w:t>
      </w:r>
      <w:r w:rsidR="002126FA" w:rsidRPr="005F4582">
        <w:t>il on PBAC’s view, see section 5</w:t>
      </w:r>
      <w:r w:rsidRPr="005F4582">
        <w:t xml:space="preserve"> PBAC outcome.</w:t>
      </w:r>
    </w:p>
    <w:p w:rsidR="002126FA" w:rsidRPr="005F4582" w:rsidRDefault="002126FA" w:rsidP="003F50A6">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5F4582">
        <w:rPr>
          <w:rFonts w:asciiTheme="minorHAnsi" w:hAnsiTheme="minorHAnsi"/>
          <w:sz w:val="32"/>
          <w:szCs w:val="32"/>
        </w:rPr>
        <w:t>PBAC Outcome</w:t>
      </w:r>
    </w:p>
    <w:p w:rsidR="00A71E6F" w:rsidRPr="005F4582" w:rsidRDefault="003F50A6" w:rsidP="00F52673">
      <w:pPr>
        <w:pStyle w:val="Bodytextitalics"/>
        <w:jc w:val="both"/>
      </w:pPr>
      <w:r w:rsidRPr="005F4582">
        <w:rPr>
          <w:i w:val="0"/>
        </w:rPr>
        <w:t xml:space="preserve">The </w:t>
      </w:r>
      <w:r w:rsidR="0001535B" w:rsidRPr="005F4582">
        <w:rPr>
          <w:i w:val="0"/>
        </w:rPr>
        <w:t xml:space="preserve">PBAC recommended the listing of </w:t>
      </w:r>
      <w:proofErr w:type="spellStart"/>
      <w:r w:rsidR="0001535B" w:rsidRPr="005F4582">
        <w:rPr>
          <w:i w:val="0"/>
        </w:rPr>
        <w:t>durvalumab</w:t>
      </w:r>
      <w:proofErr w:type="spellEnd"/>
      <w:r w:rsidR="0001535B" w:rsidRPr="005F4582">
        <w:rPr>
          <w:i w:val="0"/>
        </w:rPr>
        <w:t xml:space="preserve">, </w:t>
      </w:r>
      <w:r w:rsidR="004E5346" w:rsidRPr="005F4582">
        <w:rPr>
          <w:i w:val="0"/>
        </w:rPr>
        <w:t xml:space="preserve">on the basis that it should be available only </w:t>
      </w:r>
      <w:r w:rsidR="0001535B" w:rsidRPr="005F4582">
        <w:rPr>
          <w:i w:val="0"/>
        </w:rPr>
        <w:t>under special arrangements under Section 100 (Efficient funding of chemotherapy)</w:t>
      </w:r>
      <w:r w:rsidR="004E5346" w:rsidRPr="005F4582">
        <w:rPr>
          <w:i w:val="0"/>
        </w:rPr>
        <w:t xml:space="preserve">. The PBAC recommended </w:t>
      </w:r>
      <w:proofErr w:type="spellStart"/>
      <w:r w:rsidR="00A71E6F" w:rsidRPr="005F4582">
        <w:rPr>
          <w:i w:val="0"/>
        </w:rPr>
        <w:t>durvalumab</w:t>
      </w:r>
      <w:proofErr w:type="spellEnd"/>
      <w:r w:rsidR="00A71E6F" w:rsidRPr="005F4582">
        <w:rPr>
          <w:i w:val="0"/>
        </w:rPr>
        <w:t xml:space="preserve"> </w:t>
      </w:r>
      <w:r w:rsidR="004E5346" w:rsidRPr="005F4582">
        <w:rPr>
          <w:i w:val="0"/>
        </w:rPr>
        <w:t xml:space="preserve">be made available </w:t>
      </w:r>
      <w:r w:rsidR="0001535B" w:rsidRPr="005F4582">
        <w:rPr>
          <w:i w:val="0"/>
        </w:rPr>
        <w:t>for the</w:t>
      </w:r>
      <w:r w:rsidR="00C72876" w:rsidRPr="005F4582">
        <w:rPr>
          <w:i w:val="0"/>
        </w:rPr>
        <w:t xml:space="preserve"> treatment of</w:t>
      </w:r>
      <w:r w:rsidR="0001535B" w:rsidRPr="005F4582">
        <w:rPr>
          <w:i w:val="0"/>
        </w:rPr>
        <w:t xml:space="preserve"> </w:t>
      </w:r>
      <w:proofErr w:type="spellStart"/>
      <w:r w:rsidR="0001535B" w:rsidRPr="005F4582">
        <w:rPr>
          <w:i w:val="0"/>
        </w:rPr>
        <w:t>unresectable</w:t>
      </w:r>
      <w:proofErr w:type="spellEnd"/>
      <w:r w:rsidR="0001535B" w:rsidRPr="005F4582">
        <w:rPr>
          <w:i w:val="0"/>
        </w:rPr>
        <w:t xml:space="preserve"> Stage III NSCLC</w:t>
      </w:r>
      <w:r w:rsidR="00C72876" w:rsidRPr="005F4582">
        <w:rPr>
          <w:i w:val="0"/>
        </w:rPr>
        <w:t xml:space="preserve"> in patients whose disease had</w:t>
      </w:r>
      <w:r w:rsidR="0001535B" w:rsidRPr="005F4582">
        <w:rPr>
          <w:i w:val="0"/>
        </w:rPr>
        <w:t xml:space="preserve"> not progressed following CRT</w:t>
      </w:r>
      <w:r w:rsidR="00AE744E" w:rsidRPr="005F4582">
        <w:rPr>
          <w:i w:val="0"/>
        </w:rPr>
        <w:t>,</w:t>
      </w:r>
      <w:r w:rsidR="004E5346" w:rsidRPr="005F4582">
        <w:rPr>
          <w:i w:val="0"/>
        </w:rPr>
        <w:t xml:space="preserve"> under the </w:t>
      </w:r>
      <w:r w:rsidR="00C72876" w:rsidRPr="005F4582">
        <w:rPr>
          <w:i w:val="0"/>
        </w:rPr>
        <w:t>circumstances</w:t>
      </w:r>
      <w:r w:rsidR="004E5346" w:rsidRPr="005F4582">
        <w:rPr>
          <w:i w:val="0"/>
        </w:rPr>
        <w:t xml:space="preserve"> shown</w:t>
      </w:r>
      <w:r w:rsidR="004E5346" w:rsidRPr="005F4582">
        <w:t xml:space="preserve"> </w:t>
      </w:r>
      <w:r w:rsidR="004E5346" w:rsidRPr="005F4582">
        <w:rPr>
          <w:i w:val="0"/>
        </w:rPr>
        <w:t>in Section 6</w:t>
      </w:r>
      <w:r w:rsidR="004E5346" w:rsidRPr="005F4582">
        <w:t>.</w:t>
      </w:r>
      <w:r w:rsidR="00F52673" w:rsidRPr="005F4582">
        <w:rPr>
          <w:i w:val="0"/>
        </w:rPr>
        <w:t xml:space="preserve"> </w:t>
      </w:r>
      <w:r w:rsidR="00AA2267" w:rsidRPr="005F4582">
        <w:rPr>
          <w:i w:val="0"/>
        </w:rPr>
        <w:t xml:space="preserve">The PBAC’s recommendation for listing was based on, among other matters, its assessment, as described above, that the cost-effectiveness of </w:t>
      </w:r>
      <w:proofErr w:type="spellStart"/>
      <w:r w:rsidR="00AA2267" w:rsidRPr="005F4582">
        <w:rPr>
          <w:i w:val="0"/>
        </w:rPr>
        <w:t>durvalumab</w:t>
      </w:r>
      <w:proofErr w:type="spellEnd"/>
      <w:r w:rsidR="00AA2267" w:rsidRPr="005F4582">
        <w:rPr>
          <w:i w:val="0"/>
        </w:rPr>
        <w:t xml:space="preserve"> would be acceptable </w:t>
      </w:r>
      <w:r w:rsidR="00E1674A">
        <w:rPr>
          <w:i w:val="0"/>
        </w:rPr>
        <w:t xml:space="preserve">with a small (around 5%) reduction to </w:t>
      </w:r>
      <w:r w:rsidR="00AA2267" w:rsidRPr="005F4582">
        <w:rPr>
          <w:i w:val="0"/>
        </w:rPr>
        <w:t xml:space="preserve">the price proposed in the </w:t>
      </w:r>
      <w:r w:rsidR="0078002B" w:rsidRPr="005F4582">
        <w:rPr>
          <w:i w:val="0"/>
        </w:rPr>
        <w:t>re</w:t>
      </w:r>
      <w:r w:rsidR="00AA2267" w:rsidRPr="005F4582">
        <w:rPr>
          <w:i w:val="0"/>
        </w:rPr>
        <w:t>submission</w:t>
      </w:r>
      <w:r w:rsidR="005F4582">
        <w:rPr>
          <w:i w:val="0"/>
        </w:rPr>
        <w:t xml:space="preserve">. </w:t>
      </w:r>
    </w:p>
    <w:p w:rsidR="000574D5" w:rsidRPr="005F4582" w:rsidRDefault="00A71E6F" w:rsidP="00F52673">
      <w:pPr>
        <w:pStyle w:val="Bodytextitalics"/>
        <w:jc w:val="both"/>
      </w:pPr>
      <w:r w:rsidRPr="005F6BE7">
        <w:rPr>
          <w:i w:val="0"/>
        </w:rPr>
        <w:lastRenderedPageBreak/>
        <w:t xml:space="preserve">The PBAC </w:t>
      </w:r>
      <w:r w:rsidR="004833C9" w:rsidRPr="005F6BE7">
        <w:rPr>
          <w:i w:val="0"/>
        </w:rPr>
        <w:t>wa</w:t>
      </w:r>
      <w:r w:rsidRPr="005F6BE7">
        <w:rPr>
          <w:i w:val="0"/>
        </w:rPr>
        <w:t xml:space="preserve">s satisfied that </w:t>
      </w:r>
      <w:proofErr w:type="spellStart"/>
      <w:r w:rsidRPr="005F6BE7">
        <w:rPr>
          <w:i w:val="0"/>
        </w:rPr>
        <w:t>durvalumab</w:t>
      </w:r>
      <w:proofErr w:type="spellEnd"/>
      <w:r w:rsidRPr="005F6BE7">
        <w:rPr>
          <w:i w:val="0"/>
        </w:rPr>
        <w:t xml:space="preserve"> provides, for some patients, a significant improvement in efficacy over</w:t>
      </w:r>
      <w:r w:rsidR="00AA2267" w:rsidRPr="005F4582">
        <w:rPr>
          <w:i w:val="0"/>
        </w:rPr>
        <w:t xml:space="preserve"> </w:t>
      </w:r>
      <w:r w:rsidR="00F35999" w:rsidRPr="005F4582">
        <w:rPr>
          <w:i w:val="0"/>
        </w:rPr>
        <w:t>“watch and wait” monitoring</w:t>
      </w:r>
      <w:r w:rsidR="00C3152A" w:rsidRPr="005F4582">
        <w:rPr>
          <w:i w:val="0"/>
        </w:rPr>
        <w:t xml:space="preserve"> plus best supportive care</w:t>
      </w:r>
      <w:r w:rsidR="00253D50" w:rsidRPr="005F4582">
        <w:rPr>
          <w:i w:val="0"/>
        </w:rPr>
        <w:t xml:space="preserve"> (</w:t>
      </w:r>
      <w:r w:rsidR="008170C5" w:rsidRPr="005F4582">
        <w:rPr>
          <w:i w:val="0"/>
        </w:rPr>
        <w:t>best supportive care</w:t>
      </w:r>
      <w:r w:rsidR="00253D50" w:rsidRPr="005F4582">
        <w:rPr>
          <w:i w:val="0"/>
        </w:rPr>
        <w:t>)</w:t>
      </w:r>
      <w:r w:rsidR="005F4582">
        <w:rPr>
          <w:i w:val="0"/>
        </w:rPr>
        <w:t xml:space="preserve">. </w:t>
      </w:r>
    </w:p>
    <w:p w:rsidR="000574D5" w:rsidRPr="005F4582" w:rsidRDefault="00AE744E" w:rsidP="0039684C">
      <w:pPr>
        <w:pStyle w:val="Bodytextitalics"/>
        <w:jc w:val="both"/>
        <w:rPr>
          <w:i w:val="0"/>
        </w:rPr>
      </w:pPr>
      <w:r w:rsidRPr="005F6BE7">
        <w:rPr>
          <w:i w:val="0"/>
          <w:szCs w:val="24"/>
        </w:rPr>
        <w:t>The PBAC recalled that</w:t>
      </w:r>
      <w:r w:rsidR="00C72876" w:rsidRPr="005F6BE7">
        <w:rPr>
          <w:i w:val="0"/>
          <w:szCs w:val="24"/>
        </w:rPr>
        <w:t xml:space="preserve"> it</w:t>
      </w:r>
      <w:r w:rsidRPr="005F6BE7">
        <w:rPr>
          <w:i w:val="0"/>
          <w:szCs w:val="24"/>
        </w:rPr>
        <w:t xml:space="preserve"> had previously considered the </w:t>
      </w:r>
      <w:r w:rsidR="0078002B" w:rsidRPr="005F4582">
        <w:rPr>
          <w:i w:val="0"/>
          <w:szCs w:val="24"/>
        </w:rPr>
        <w:t>S</w:t>
      </w:r>
      <w:r w:rsidRPr="005F4582">
        <w:rPr>
          <w:i w:val="0"/>
          <w:szCs w:val="24"/>
        </w:rPr>
        <w:t>ponsor’s claims of superior comparative effectiveness</w:t>
      </w:r>
      <w:r w:rsidR="00C531EA" w:rsidRPr="005F4582">
        <w:rPr>
          <w:i w:val="0"/>
          <w:szCs w:val="24"/>
        </w:rPr>
        <w:t xml:space="preserve"> (in terms of OS</w:t>
      </w:r>
      <w:r w:rsidR="003C4D35" w:rsidRPr="005F4582">
        <w:rPr>
          <w:i w:val="0"/>
          <w:szCs w:val="24"/>
        </w:rPr>
        <w:t xml:space="preserve"> and PFS</w:t>
      </w:r>
      <w:r w:rsidRPr="005F4582">
        <w:rPr>
          <w:i w:val="0"/>
          <w:szCs w:val="24"/>
        </w:rPr>
        <w:t>), relative</w:t>
      </w:r>
      <w:r w:rsidR="008170C5" w:rsidRPr="005F4582">
        <w:rPr>
          <w:i w:val="0"/>
          <w:szCs w:val="24"/>
        </w:rPr>
        <w:t xml:space="preserve"> to best supportive care (BSC)</w:t>
      </w:r>
      <w:r w:rsidRPr="005F4582">
        <w:rPr>
          <w:i w:val="0"/>
          <w:szCs w:val="24"/>
        </w:rPr>
        <w:t xml:space="preserve"> in patients with stage III NSCLC whose disease ha</w:t>
      </w:r>
      <w:r w:rsidR="006C5BE1" w:rsidRPr="005F4582">
        <w:rPr>
          <w:i w:val="0"/>
          <w:szCs w:val="24"/>
        </w:rPr>
        <w:t xml:space="preserve">d not progressed following CRT </w:t>
      </w:r>
      <w:r w:rsidRPr="005F4582">
        <w:rPr>
          <w:i w:val="0"/>
          <w:szCs w:val="24"/>
        </w:rPr>
        <w:t xml:space="preserve">was reasonable </w:t>
      </w:r>
      <w:r w:rsidR="00C745CC" w:rsidRPr="005F4582">
        <w:rPr>
          <w:i w:val="0"/>
          <w:szCs w:val="24"/>
        </w:rPr>
        <w:t xml:space="preserve">and that the trial data presented demonstrated </w:t>
      </w:r>
      <w:proofErr w:type="spellStart"/>
      <w:r w:rsidR="00C745CC" w:rsidRPr="005F4582">
        <w:rPr>
          <w:i w:val="0"/>
          <w:szCs w:val="24"/>
        </w:rPr>
        <w:t>durvalumab</w:t>
      </w:r>
      <w:proofErr w:type="spellEnd"/>
      <w:r w:rsidR="00C745CC" w:rsidRPr="005F4582">
        <w:rPr>
          <w:i w:val="0"/>
          <w:szCs w:val="24"/>
        </w:rPr>
        <w:t xml:space="preserve"> was likely to prolong OS in patients who respond to CRT (</w:t>
      </w:r>
      <w:r w:rsidR="00843FEB" w:rsidRPr="005F4582">
        <w:rPr>
          <w:i w:val="0"/>
          <w:szCs w:val="24"/>
        </w:rPr>
        <w:t>p</w:t>
      </w:r>
      <w:r w:rsidR="00C745CC" w:rsidRPr="005F4582">
        <w:rPr>
          <w:i w:val="0"/>
          <w:szCs w:val="24"/>
        </w:rPr>
        <w:t xml:space="preserve">aragraph 7.3, </w:t>
      </w:r>
      <w:proofErr w:type="spellStart"/>
      <w:r w:rsidR="00C745CC" w:rsidRPr="005F4582">
        <w:rPr>
          <w:i w:val="0"/>
          <w:szCs w:val="24"/>
        </w:rPr>
        <w:t>durvalumab</w:t>
      </w:r>
      <w:proofErr w:type="spellEnd"/>
      <w:r w:rsidR="00843FEB" w:rsidRPr="005F4582">
        <w:rPr>
          <w:i w:val="0"/>
          <w:szCs w:val="24"/>
        </w:rPr>
        <w:t xml:space="preserve"> PSD</w:t>
      </w:r>
      <w:r w:rsidR="00C745CC" w:rsidRPr="005F4582">
        <w:rPr>
          <w:i w:val="0"/>
          <w:szCs w:val="24"/>
        </w:rPr>
        <w:t>, July 2019</w:t>
      </w:r>
      <w:r w:rsidR="00CF222B" w:rsidRPr="005F4582">
        <w:rPr>
          <w:i w:val="0"/>
          <w:szCs w:val="24"/>
        </w:rPr>
        <w:t xml:space="preserve"> </w:t>
      </w:r>
      <w:r w:rsidR="00CF222B" w:rsidRPr="005F4582">
        <w:rPr>
          <w:i w:val="0"/>
        </w:rPr>
        <w:t>PBAC meeting</w:t>
      </w:r>
      <w:r w:rsidR="00C745CC" w:rsidRPr="005F4582">
        <w:rPr>
          <w:i w:val="0"/>
          <w:szCs w:val="24"/>
        </w:rPr>
        <w:t>).</w:t>
      </w:r>
      <w:r w:rsidR="000574D5" w:rsidRPr="005F4582">
        <w:rPr>
          <w:i w:val="0"/>
          <w:szCs w:val="24"/>
        </w:rPr>
        <w:t xml:space="preserve"> </w:t>
      </w:r>
    </w:p>
    <w:p w:rsidR="00C745CC" w:rsidRPr="005F4582" w:rsidRDefault="00C531EA" w:rsidP="000F1E9C">
      <w:pPr>
        <w:pStyle w:val="3Bodytext"/>
        <w:jc w:val="both"/>
      </w:pPr>
      <w:r w:rsidRPr="005F4582">
        <w:rPr>
          <w:szCs w:val="24"/>
        </w:rPr>
        <w:t xml:space="preserve">The PBAC considered that the minor </w:t>
      </w:r>
      <w:r w:rsidR="0039684C" w:rsidRPr="005F4582">
        <w:rPr>
          <w:szCs w:val="24"/>
        </w:rPr>
        <w:t>re</w:t>
      </w:r>
      <w:r w:rsidRPr="005F4582">
        <w:rPr>
          <w:szCs w:val="24"/>
        </w:rPr>
        <w:t xml:space="preserve">submission had adequately addressed the Committee’s concerns from the July 2019 </w:t>
      </w:r>
      <w:r w:rsidR="00F35999" w:rsidRPr="005F4582">
        <w:rPr>
          <w:szCs w:val="24"/>
        </w:rPr>
        <w:t>re</w:t>
      </w:r>
      <w:r w:rsidRPr="005F4582">
        <w:rPr>
          <w:szCs w:val="24"/>
        </w:rPr>
        <w:t xml:space="preserve">submission in relation to the economic evaluation. </w:t>
      </w:r>
      <w:r w:rsidR="00C54F6E" w:rsidRPr="005F4582">
        <w:t xml:space="preserve">The PBAC noted the minor resubmission presented a re-specified economic model </w:t>
      </w:r>
      <w:r w:rsidR="001B24D3" w:rsidRPr="005F4582">
        <w:t>based on the</w:t>
      </w:r>
      <w:r w:rsidR="00C54F6E" w:rsidRPr="005F4582">
        <w:t xml:space="preserve"> </w:t>
      </w:r>
      <w:r w:rsidR="00EE5ADF" w:rsidRPr="005F4582">
        <w:t>ITT</w:t>
      </w:r>
      <w:r w:rsidR="001B24D3" w:rsidRPr="005F4582">
        <w:t xml:space="preserve"> trial</w:t>
      </w:r>
      <w:r w:rsidR="00EE5ADF" w:rsidRPr="005F4582">
        <w:t xml:space="preserve"> </w:t>
      </w:r>
      <w:r w:rsidR="00C54F6E" w:rsidRPr="005F4582">
        <w:t xml:space="preserve">population and a </w:t>
      </w:r>
      <w:r w:rsidR="00EE5ADF" w:rsidRPr="005F4582">
        <w:t>RPSFT</w:t>
      </w:r>
      <w:r w:rsidR="00C54F6E" w:rsidRPr="005F4582">
        <w:t>-adjusted analysis, consistent with the multivariate analysis considered reasonable by the PBAC in July 2019</w:t>
      </w:r>
      <w:r w:rsidR="00941E46" w:rsidRPr="005F4582">
        <w:t>, as well as incorporating</w:t>
      </w:r>
      <w:r w:rsidR="00DB74E6" w:rsidRPr="005F4582">
        <w:t xml:space="preserve"> an additional </w:t>
      </w:r>
      <w:r w:rsidR="008D562F">
        <w:rPr>
          <w:noProof/>
          <w:snapToGrid w:val="0"/>
          <w:color w:val="000000"/>
          <w:highlight w:val="black"/>
          <w:lang w:eastAsia="en-US"/>
        </w:rPr>
        <w:t>''''''''</w:t>
      </w:r>
      <w:r w:rsidR="00DB74E6" w:rsidRPr="005F4582">
        <w:rPr>
          <w:snapToGrid w:val="0"/>
          <w:lang w:eastAsia="en-US"/>
        </w:rPr>
        <w:t xml:space="preserve">% </w:t>
      </w:r>
      <w:r w:rsidR="00EE5ADF" w:rsidRPr="005F4582">
        <w:rPr>
          <w:snapToGrid w:val="0"/>
          <w:lang w:eastAsia="en-US"/>
        </w:rPr>
        <w:t>reduction to</w:t>
      </w:r>
      <w:r w:rsidR="00941E46" w:rsidRPr="005F4582">
        <w:rPr>
          <w:snapToGrid w:val="0"/>
          <w:lang w:eastAsia="en-US"/>
        </w:rPr>
        <w:t xml:space="preserve"> the price of </w:t>
      </w:r>
      <w:proofErr w:type="spellStart"/>
      <w:r w:rsidR="00941E46" w:rsidRPr="005F4582">
        <w:rPr>
          <w:snapToGrid w:val="0"/>
          <w:lang w:eastAsia="en-US"/>
        </w:rPr>
        <w:t>durvalumab</w:t>
      </w:r>
      <w:proofErr w:type="spellEnd"/>
      <w:r w:rsidR="00941E46" w:rsidRPr="005F4582">
        <w:rPr>
          <w:snapToGrid w:val="0"/>
          <w:lang w:eastAsia="en-US"/>
        </w:rPr>
        <w:t xml:space="preserve"> </w:t>
      </w:r>
      <w:r w:rsidR="00B80F01" w:rsidRPr="005F4582">
        <w:rPr>
          <w:snapToGrid w:val="0"/>
          <w:lang w:eastAsia="en-US"/>
        </w:rPr>
        <w:t>compared</w:t>
      </w:r>
      <w:r w:rsidR="00941E46" w:rsidRPr="005F4582">
        <w:rPr>
          <w:snapToGrid w:val="0"/>
          <w:lang w:eastAsia="en-US"/>
        </w:rPr>
        <w:t xml:space="preserve"> to </w:t>
      </w:r>
      <w:r w:rsidR="001B24D3" w:rsidRPr="005F4582">
        <w:rPr>
          <w:snapToGrid w:val="0"/>
          <w:lang w:eastAsia="en-US"/>
        </w:rPr>
        <w:t>that</w:t>
      </w:r>
      <w:r w:rsidR="00941E46" w:rsidRPr="005F4582">
        <w:rPr>
          <w:snapToGrid w:val="0"/>
          <w:lang w:eastAsia="en-US"/>
        </w:rPr>
        <w:t xml:space="preserve"> in the July 2019 </w:t>
      </w:r>
      <w:r w:rsidR="0039684C" w:rsidRPr="005F4582">
        <w:rPr>
          <w:snapToGrid w:val="0"/>
          <w:lang w:eastAsia="en-US"/>
        </w:rPr>
        <w:t>re</w:t>
      </w:r>
      <w:r w:rsidR="00941E46" w:rsidRPr="005F4582">
        <w:rPr>
          <w:snapToGrid w:val="0"/>
          <w:lang w:eastAsia="en-US"/>
        </w:rPr>
        <w:t>submission</w:t>
      </w:r>
      <w:r w:rsidR="00C54F6E" w:rsidRPr="005F4582">
        <w:t xml:space="preserve">. </w:t>
      </w:r>
    </w:p>
    <w:p w:rsidR="002F131B" w:rsidRPr="00206AB2" w:rsidRDefault="00DC3553" w:rsidP="00F9119B">
      <w:pPr>
        <w:pStyle w:val="Bodytextitalics"/>
        <w:jc w:val="both"/>
        <w:rPr>
          <w:i w:val="0"/>
          <w:snapToGrid w:val="0"/>
          <w:lang w:eastAsia="en-US"/>
        </w:rPr>
      </w:pPr>
      <w:r w:rsidRPr="00206AB2">
        <w:rPr>
          <w:i w:val="0"/>
          <w:snapToGrid w:val="0"/>
          <w:lang w:eastAsia="en-US"/>
        </w:rPr>
        <w:t>The PBAC recalled that</w:t>
      </w:r>
      <w:r w:rsidR="00CD0601" w:rsidRPr="00206AB2">
        <w:rPr>
          <w:i w:val="0"/>
          <w:snapToGrid w:val="0"/>
          <w:lang w:eastAsia="en-US"/>
        </w:rPr>
        <w:t xml:space="preserve"> in July 2019, </w:t>
      </w:r>
      <w:r w:rsidRPr="00206AB2">
        <w:rPr>
          <w:i w:val="0"/>
          <w:snapToGrid w:val="0"/>
          <w:lang w:eastAsia="en-US"/>
        </w:rPr>
        <w:t>it considered a reasonable base case ICER in this treatment setting would be less than $</w:t>
      </w:r>
      <w:r w:rsidR="00CA3FB5">
        <w:rPr>
          <w:i w:val="0"/>
          <w:snapToGrid w:val="0"/>
          <w:lang w:eastAsia="en-US"/>
        </w:rPr>
        <w:t>45</w:t>
      </w:r>
      <w:r w:rsidR="00032B54">
        <w:rPr>
          <w:i w:val="0"/>
          <w:snapToGrid w:val="0"/>
          <w:lang w:eastAsia="en-US"/>
        </w:rPr>
        <w:t>,000 - $</w:t>
      </w:r>
      <w:r w:rsidR="00CA3FB5">
        <w:rPr>
          <w:i w:val="0"/>
          <w:snapToGrid w:val="0"/>
          <w:lang w:eastAsia="en-US"/>
        </w:rPr>
        <w:t>75</w:t>
      </w:r>
      <w:r w:rsidR="00032B54">
        <w:rPr>
          <w:i w:val="0"/>
          <w:snapToGrid w:val="0"/>
          <w:lang w:eastAsia="en-US"/>
        </w:rPr>
        <w:t>,000</w:t>
      </w:r>
      <w:r w:rsidRPr="00206AB2">
        <w:rPr>
          <w:i w:val="0"/>
          <w:snapToGrid w:val="0"/>
          <w:lang w:eastAsia="en-US"/>
        </w:rPr>
        <w:t xml:space="preserve"> per QALY (</w:t>
      </w:r>
      <w:r w:rsidR="00F86A92" w:rsidRPr="00206AB2">
        <w:rPr>
          <w:i w:val="0"/>
          <w:snapToGrid w:val="0"/>
          <w:lang w:eastAsia="en-US"/>
        </w:rPr>
        <w:t>p</w:t>
      </w:r>
      <w:r w:rsidRPr="00206AB2">
        <w:rPr>
          <w:i w:val="0"/>
          <w:snapToGrid w:val="0"/>
          <w:lang w:eastAsia="en-US"/>
        </w:rPr>
        <w:t xml:space="preserve">aragraph 7.11, </w:t>
      </w:r>
      <w:proofErr w:type="spellStart"/>
      <w:r w:rsidRPr="00206AB2">
        <w:rPr>
          <w:i w:val="0"/>
          <w:snapToGrid w:val="0"/>
          <w:lang w:eastAsia="en-US"/>
        </w:rPr>
        <w:t>durvalumab</w:t>
      </w:r>
      <w:proofErr w:type="spellEnd"/>
      <w:r w:rsidR="00F86A92" w:rsidRPr="00206AB2">
        <w:rPr>
          <w:i w:val="0"/>
          <w:snapToGrid w:val="0"/>
          <w:lang w:eastAsia="en-US"/>
        </w:rPr>
        <w:t xml:space="preserve"> PSD</w:t>
      </w:r>
      <w:r w:rsidRPr="00206AB2">
        <w:rPr>
          <w:i w:val="0"/>
          <w:snapToGrid w:val="0"/>
          <w:lang w:eastAsia="en-US"/>
        </w:rPr>
        <w:t>, July 2019</w:t>
      </w:r>
      <w:r w:rsidR="00CF222B" w:rsidRPr="00206AB2">
        <w:rPr>
          <w:i w:val="0"/>
          <w:snapToGrid w:val="0"/>
          <w:lang w:eastAsia="en-US"/>
        </w:rPr>
        <w:t xml:space="preserve"> PBAC meeting</w:t>
      </w:r>
      <w:r w:rsidRPr="00206AB2">
        <w:rPr>
          <w:i w:val="0"/>
          <w:snapToGrid w:val="0"/>
          <w:lang w:eastAsia="en-US"/>
        </w:rPr>
        <w:t xml:space="preserve">). </w:t>
      </w:r>
      <w:r w:rsidR="00F86A92" w:rsidRPr="00206AB2">
        <w:rPr>
          <w:i w:val="0"/>
          <w:snapToGrid w:val="0"/>
          <w:lang w:eastAsia="en-US"/>
        </w:rPr>
        <w:t xml:space="preserve">The PBAC previously considered that the true ICER is likely to lie between the ITT analysis and the RPSFT–adjusted analysis, however given the uncertainty of the RPSFT–adjusted analysis, the true ICER may be more closely aligned with the ITT analysis (paragraph 7.10, </w:t>
      </w:r>
      <w:proofErr w:type="spellStart"/>
      <w:r w:rsidR="00F86A92" w:rsidRPr="00206AB2">
        <w:rPr>
          <w:i w:val="0"/>
          <w:snapToGrid w:val="0"/>
          <w:lang w:eastAsia="en-US"/>
        </w:rPr>
        <w:t>durvalumab</w:t>
      </w:r>
      <w:proofErr w:type="spellEnd"/>
      <w:r w:rsidR="00F86A92" w:rsidRPr="00206AB2">
        <w:rPr>
          <w:i w:val="0"/>
          <w:snapToGrid w:val="0"/>
          <w:lang w:eastAsia="en-US"/>
        </w:rPr>
        <w:t xml:space="preserve"> </w:t>
      </w:r>
      <w:r w:rsidR="00980584" w:rsidRPr="00206AB2">
        <w:rPr>
          <w:i w:val="0"/>
          <w:snapToGrid w:val="0"/>
          <w:lang w:eastAsia="en-US"/>
        </w:rPr>
        <w:t>PSD</w:t>
      </w:r>
      <w:r w:rsidR="00F86A92" w:rsidRPr="00206AB2">
        <w:rPr>
          <w:i w:val="0"/>
          <w:snapToGrid w:val="0"/>
          <w:lang w:eastAsia="en-US"/>
        </w:rPr>
        <w:t xml:space="preserve">, July 2019 </w:t>
      </w:r>
      <w:r w:rsidR="00980584" w:rsidRPr="00206AB2">
        <w:rPr>
          <w:i w:val="0"/>
          <w:snapToGrid w:val="0"/>
          <w:lang w:eastAsia="en-US"/>
        </w:rPr>
        <w:t xml:space="preserve">PBAC </w:t>
      </w:r>
      <w:r w:rsidR="00F86A92" w:rsidRPr="00206AB2">
        <w:rPr>
          <w:i w:val="0"/>
          <w:snapToGrid w:val="0"/>
          <w:lang w:eastAsia="en-US"/>
        </w:rPr>
        <w:t>meeting).</w:t>
      </w:r>
      <w:r w:rsidR="001B24D3" w:rsidRPr="00206AB2">
        <w:rPr>
          <w:i w:val="0"/>
          <w:snapToGrid w:val="0"/>
          <w:lang w:eastAsia="en-US"/>
        </w:rPr>
        <w:t xml:space="preserve"> </w:t>
      </w:r>
      <w:r w:rsidR="00CD0601" w:rsidRPr="00206AB2">
        <w:rPr>
          <w:i w:val="0"/>
          <w:snapToGrid w:val="0"/>
          <w:lang w:eastAsia="en-US"/>
        </w:rPr>
        <w:t xml:space="preserve">The PBAC noted the </w:t>
      </w:r>
      <w:r w:rsidR="00666E88" w:rsidRPr="00206AB2">
        <w:rPr>
          <w:i w:val="0"/>
          <w:snapToGrid w:val="0"/>
          <w:lang w:eastAsia="en-US"/>
        </w:rPr>
        <w:t xml:space="preserve">ICERs for the </w:t>
      </w:r>
      <w:r w:rsidR="00CD0601" w:rsidRPr="00206AB2">
        <w:rPr>
          <w:i w:val="0"/>
          <w:snapToGrid w:val="0"/>
          <w:lang w:eastAsia="en-US"/>
        </w:rPr>
        <w:t>respecified economic model</w:t>
      </w:r>
      <w:r w:rsidR="00666E88" w:rsidRPr="00206AB2">
        <w:rPr>
          <w:i w:val="0"/>
          <w:snapToGrid w:val="0"/>
          <w:lang w:eastAsia="en-US"/>
        </w:rPr>
        <w:t xml:space="preserve"> using the effective price for </w:t>
      </w:r>
      <w:proofErr w:type="spellStart"/>
      <w:r w:rsidR="00666E88" w:rsidRPr="00206AB2">
        <w:rPr>
          <w:i w:val="0"/>
          <w:snapToGrid w:val="0"/>
          <w:lang w:eastAsia="en-US"/>
        </w:rPr>
        <w:t>nivolumab</w:t>
      </w:r>
      <w:proofErr w:type="spellEnd"/>
      <w:r w:rsidR="00CD0601" w:rsidRPr="00206AB2">
        <w:rPr>
          <w:i w:val="0"/>
          <w:snapToGrid w:val="0"/>
          <w:lang w:eastAsia="en-US"/>
        </w:rPr>
        <w:t xml:space="preserve"> </w:t>
      </w:r>
      <w:r w:rsidR="00666E88" w:rsidRPr="00206AB2">
        <w:rPr>
          <w:i w:val="0"/>
          <w:snapToGrid w:val="0"/>
          <w:lang w:eastAsia="en-US"/>
        </w:rPr>
        <w:t>(paragraph 4.1</w:t>
      </w:r>
      <w:r w:rsidR="00E1674A">
        <w:rPr>
          <w:i w:val="0"/>
          <w:snapToGrid w:val="0"/>
          <w:lang w:eastAsia="en-US"/>
        </w:rPr>
        <w:t>0</w:t>
      </w:r>
      <w:r w:rsidR="00666E88" w:rsidRPr="00206AB2">
        <w:rPr>
          <w:i w:val="0"/>
          <w:snapToGrid w:val="0"/>
          <w:lang w:eastAsia="en-US"/>
        </w:rPr>
        <w:t xml:space="preserve">) and considered </w:t>
      </w:r>
      <w:r w:rsidR="00206AB2" w:rsidRPr="00206AB2">
        <w:rPr>
          <w:i w:val="0"/>
          <w:snapToGrid w:val="0"/>
          <w:lang w:eastAsia="en-US"/>
        </w:rPr>
        <w:t xml:space="preserve">a small (around 5%) reduction </w:t>
      </w:r>
      <w:r w:rsidR="00206AB2">
        <w:rPr>
          <w:i w:val="0"/>
          <w:snapToGrid w:val="0"/>
          <w:lang w:eastAsia="en-US"/>
        </w:rPr>
        <w:t xml:space="preserve">to the </w:t>
      </w:r>
      <w:r w:rsidR="00206AB2" w:rsidRPr="00206AB2">
        <w:rPr>
          <w:i w:val="0"/>
          <w:snapToGrid w:val="0"/>
          <w:lang w:eastAsia="en-US"/>
        </w:rPr>
        <w:t xml:space="preserve">price </w:t>
      </w:r>
      <w:r w:rsidR="00206AB2">
        <w:rPr>
          <w:i w:val="0"/>
          <w:snapToGrid w:val="0"/>
          <w:lang w:eastAsia="en-US"/>
        </w:rPr>
        <w:t xml:space="preserve">proposed in the resubmission </w:t>
      </w:r>
      <w:r w:rsidR="00206AB2" w:rsidRPr="00206AB2">
        <w:rPr>
          <w:i w:val="0"/>
          <w:snapToGrid w:val="0"/>
          <w:lang w:eastAsia="en-US"/>
        </w:rPr>
        <w:t xml:space="preserve">was required to </w:t>
      </w:r>
      <w:r w:rsidR="00206AB2">
        <w:rPr>
          <w:i w:val="0"/>
          <w:snapToGrid w:val="0"/>
          <w:lang w:eastAsia="en-US"/>
        </w:rPr>
        <w:t xml:space="preserve">ensure </w:t>
      </w:r>
      <w:proofErr w:type="spellStart"/>
      <w:r w:rsidR="00206AB2">
        <w:rPr>
          <w:i w:val="0"/>
          <w:snapToGrid w:val="0"/>
          <w:lang w:eastAsia="en-US"/>
        </w:rPr>
        <w:t>durvalumab</w:t>
      </w:r>
      <w:proofErr w:type="spellEnd"/>
      <w:r w:rsidR="00206AB2">
        <w:rPr>
          <w:i w:val="0"/>
          <w:snapToGrid w:val="0"/>
          <w:lang w:eastAsia="en-US"/>
        </w:rPr>
        <w:t xml:space="preserve"> was of acceptable cost-effectiveness.</w:t>
      </w:r>
      <w:r w:rsidR="00DD5020">
        <w:rPr>
          <w:i w:val="0"/>
          <w:snapToGrid w:val="0"/>
          <w:lang w:eastAsia="en-US"/>
        </w:rPr>
        <w:t xml:space="preserve"> </w:t>
      </w:r>
    </w:p>
    <w:p w:rsidR="00506FAD" w:rsidRPr="005F4582" w:rsidRDefault="00506FAD" w:rsidP="00666882">
      <w:pPr>
        <w:pStyle w:val="Bodytextitalics"/>
        <w:jc w:val="both"/>
      </w:pPr>
      <w:r w:rsidRPr="005F6BE7">
        <w:rPr>
          <w:i w:val="0"/>
          <w:szCs w:val="24"/>
        </w:rPr>
        <w:t xml:space="preserve">The PBAC reaffirmed its July 2019 advice that due to a lack of evidence to support the sequential use of immunotherapies, precluding prior and subsequent use of PD-(L)1 inhibitors remained appropriate (paragraph 7.15, </w:t>
      </w:r>
      <w:proofErr w:type="spellStart"/>
      <w:r w:rsidRPr="005F6BE7">
        <w:rPr>
          <w:i w:val="0"/>
          <w:szCs w:val="24"/>
        </w:rPr>
        <w:t>durvalumab</w:t>
      </w:r>
      <w:proofErr w:type="spellEnd"/>
      <w:r w:rsidRPr="005F6BE7">
        <w:rPr>
          <w:i w:val="0"/>
          <w:szCs w:val="24"/>
        </w:rPr>
        <w:t xml:space="preserve"> PSD, July 2019 PBAC meeting). The PBAC previously noted that should any </w:t>
      </w:r>
      <w:r w:rsidRPr="005F4582">
        <w:rPr>
          <w:i w:val="0"/>
          <w:szCs w:val="24"/>
        </w:rPr>
        <w:t>PD-(L</w:t>
      </w:r>
      <w:proofErr w:type="gramStart"/>
      <w:r w:rsidRPr="005F4582">
        <w:rPr>
          <w:i w:val="0"/>
          <w:szCs w:val="24"/>
        </w:rPr>
        <w:t>)1</w:t>
      </w:r>
      <w:proofErr w:type="gramEnd"/>
      <w:r w:rsidRPr="005F4582">
        <w:rPr>
          <w:i w:val="0"/>
          <w:szCs w:val="24"/>
        </w:rPr>
        <w:t xml:space="preserve"> inhibitors be listed in an earlier disease stage, additi</w:t>
      </w:r>
      <w:r w:rsidRPr="005F4582">
        <w:rPr>
          <w:i w:val="0"/>
        </w:rPr>
        <w:t xml:space="preserve">onal restriction wording for all PD-(L)1 inhibitors may be warranted (paragraph 6.10, </w:t>
      </w:r>
      <w:proofErr w:type="spellStart"/>
      <w:r w:rsidRPr="005F4582">
        <w:rPr>
          <w:i w:val="0"/>
        </w:rPr>
        <w:t>pembrolizumab</w:t>
      </w:r>
      <w:proofErr w:type="spellEnd"/>
      <w:r w:rsidRPr="005F4582">
        <w:rPr>
          <w:i w:val="0"/>
        </w:rPr>
        <w:t xml:space="preserve"> PSD, July 2018 PBAC meeting). The PBAC considered flow-on restriction changes were required for first-line listings of Stage IV NSCLC (</w:t>
      </w:r>
      <w:proofErr w:type="spellStart"/>
      <w:r w:rsidRPr="005F4582">
        <w:rPr>
          <w:i w:val="0"/>
        </w:rPr>
        <w:t>pembrolizumab</w:t>
      </w:r>
      <w:proofErr w:type="spellEnd"/>
      <w:r w:rsidRPr="005F4582">
        <w:rPr>
          <w:i w:val="0"/>
        </w:rPr>
        <w:t xml:space="preserve"> and </w:t>
      </w:r>
      <w:proofErr w:type="spellStart"/>
      <w:r w:rsidRPr="005F4582">
        <w:rPr>
          <w:i w:val="0"/>
        </w:rPr>
        <w:t>atezolizumab</w:t>
      </w:r>
      <w:proofErr w:type="spellEnd"/>
      <w:r w:rsidRPr="005F4582">
        <w:rPr>
          <w:i w:val="0"/>
        </w:rPr>
        <w:t>), as well as second-line listings in locally advanced or metastatic NSCLC (</w:t>
      </w:r>
      <w:proofErr w:type="spellStart"/>
      <w:r w:rsidRPr="005F4582">
        <w:rPr>
          <w:i w:val="0"/>
        </w:rPr>
        <w:t>nivolumab</w:t>
      </w:r>
      <w:proofErr w:type="spellEnd"/>
      <w:r w:rsidRPr="005F4582">
        <w:rPr>
          <w:i w:val="0"/>
        </w:rPr>
        <w:t xml:space="preserve"> and </w:t>
      </w:r>
      <w:proofErr w:type="spellStart"/>
      <w:r w:rsidRPr="005F4582">
        <w:rPr>
          <w:i w:val="0"/>
        </w:rPr>
        <w:t>atezolizumab</w:t>
      </w:r>
      <w:proofErr w:type="spellEnd"/>
      <w:r w:rsidRPr="005F4582">
        <w:rPr>
          <w:i w:val="0"/>
        </w:rPr>
        <w:t xml:space="preserve">), to include sufficient provisions to ensure that the PBS does not subsidise sequential immunotherapy for NSCLC. </w:t>
      </w:r>
    </w:p>
    <w:p w:rsidR="0036132D" w:rsidRPr="00906975" w:rsidRDefault="0036132D" w:rsidP="00D464EB">
      <w:pPr>
        <w:pStyle w:val="Bodytextitalics"/>
        <w:jc w:val="both"/>
        <w:rPr>
          <w:i w:val="0"/>
        </w:rPr>
      </w:pPr>
      <w:r w:rsidRPr="005F4582">
        <w:rPr>
          <w:i w:val="0"/>
        </w:rPr>
        <w:t xml:space="preserve">The PBAC reaffirmed its July 2019 advice that it was appropriate for </w:t>
      </w:r>
      <w:proofErr w:type="spellStart"/>
      <w:r w:rsidRPr="005F4582">
        <w:rPr>
          <w:i w:val="0"/>
        </w:rPr>
        <w:t>durvalumab</w:t>
      </w:r>
      <w:proofErr w:type="spellEnd"/>
      <w:r w:rsidRPr="005F4582">
        <w:rPr>
          <w:i w:val="0"/>
        </w:rPr>
        <w:t xml:space="preserve"> to share the RSA subsidisation cap in the current Deed</w:t>
      </w:r>
      <w:r w:rsidR="00BB7531" w:rsidRPr="005F4582">
        <w:rPr>
          <w:i w:val="0"/>
        </w:rPr>
        <w:t>(</w:t>
      </w:r>
      <w:r w:rsidRPr="005F4582">
        <w:rPr>
          <w:i w:val="0"/>
        </w:rPr>
        <w:t>s</w:t>
      </w:r>
      <w:r w:rsidR="00BB7531" w:rsidRPr="005F4582">
        <w:rPr>
          <w:i w:val="0"/>
        </w:rPr>
        <w:t>)</w:t>
      </w:r>
      <w:r w:rsidRPr="005F4582">
        <w:rPr>
          <w:i w:val="0"/>
        </w:rPr>
        <w:t xml:space="preserve"> of Agreement for locally </w:t>
      </w:r>
      <w:r w:rsidRPr="005F4582">
        <w:rPr>
          <w:i w:val="0"/>
        </w:rPr>
        <w:lastRenderedPageBreak/>
        <w:t xml:space="preserve">advanced/metastatic NSCLC for PD-(L)1 therapies (paragraph 7.15, </w:t>
      </w:r>
      <w:proofErr w:type="spellStart"/>
      <w:r w:rsidRPr="005F4582">
        <w:rPr>
          <w:i w:val="0"/>
        </w:rPr>
        <w:t>durvalumab</w:t>
      </w:r>
      <w:proofErr w:type="spellEnd"/>
      <w:r w:rsidR="00BB7531" w:rsidRPr="005F4582">
        <w:rPr>
          <w:i w:val="0"/>
        </w:rPr>
        <w:t xml:space="preserve"> PSD</w:t>
      </w:r>
      <w:r w:rsidRPr="005F4582">
        <w:rPr>
          <w:i w:val="0"/>
        </w:rPr>
        <w:t xml:space="preserve">, July 2019 PBAC meeting). </w:t>
      </w:r>
      <w:r w:rsidR="000F2243" w:rsidRPr="005F4582">
        <w:rPr>
          <w:i w:val="0"/>
        </w:rPr>
        <w:t xml:space="preserve">The PBAC </w:t>
      </w:r>
      <w:r w:rsidRPr="005F4582">
        <w:rPr>
          <w:i w:val="0"/>
        </w:rPr>
        <w:t>recalled its previous advice</w:t>
      </w:r>
      <w:r w:rsidR="000F2243" w:rsidRPr="005F4582">
        <w:rPr>
          <w:i w:val="0"/>
        </w:rPr>
        <w:t xml:space="preserve"> </w:t>
      </w:r>
      <w:r w:rsidR="00BB7531" w:rsidRPr="005F4582">
        <w:rPr>
          <w:i w:val="0"/>
        </w:rPr>
        <w:t xml:space="preserve">that </w:t>
      </w:r>
      <w:r w:rsidR="000F2243" w:rsidRPr="005F4582">
        <w:rPr>
          <w:i w:val="0"/>
        </w:rPr>
        <w:t>some patients (~25%) are cured by CRT</w:t>
      </w:r>
      <w:r w:rsidR="000A694B" w:rsidRPr="005F4582">
        <w:rPr>
          <w:i w:val="0"/>
        </w:rPr>
        <w:t xml:space="preserve"> (paragraph 7.1</w:t>
      </w:r>
      <w:r w:rsidR="000F2243" w:rsidRPr="005F4582">
        <w:rPr>
          <w:i w:val="0"/>
        </w:rPr>
        <w:t xml:space="preserve">, </w:t>
      </w:r>
      <w:proofErr w:type="spellStart"/>
      <w:r w:rsidR="000F2243" w:rsidRPr="005F4582">
        <w:rPr>
          <w:i w:val="0"/>
        </w:rPr>
        <w:t>durvalumab</w:t>
      </w:r>
      <w:proofErr w:type="spellEnd"/>
      <w:r w:rsidR="000F2243" w:rsidRPr="005F4582">
        <w:rPr>
          <w:i w:val="0"/>
        </w:rPr>
        <w:t xml:space="preserve"> </w:t>
      </w:r>
      <w:r w:rsidR="000A694B" w:rsidRPr="005F4582">
        <w:rPr>
          <w:i w:val="0"/>
        </w:rPr>
        <w:t>Public Summary Document</w:t>
      </w:r>
      <w:r w:rsidR="000F2243" w:rsidRPr="005F4582">
        <w:rPr>
          <w:i w:val="0"/>
        </w:rPr>
        <w:t xml:space="preserve">, </w:t>
      </w:r>
      <w:r w:rsidR="000A694B" w:rsidRPr="005F4582">
        <w:rPr>
          <w:i w:val="0"/>
        </w:rPr>
        <w:t>November 2018</w:t>
      </w:r>
      <w:r w:rsidR="00E8475C" w:rsidRPr="005F4582">
        <w:rPr>
          <w:i w:val="0"/>
        </w:rPr>
        <w:t xml:space="preserve"> PBAC meeting</w:t>
      </w:r>
      <w:r w:rsidR="000F2243" w:rsidRPr="005F4582">
        <w:rPr>
          <w:i w:val="0"/>
        </w:rPr>
        <w:t>)</w:t>
      </w:r>
      <w:r w:rsidRPr="005F4582">
        <w:rPr>
          <w:i w:val="0"/>
        </w:rPr>
        <w:t xml:space="preserve">. The PBAC considered that, based on this assumption, 25% of patients </w:t>
      </w:r>
      <w:r w:rsidR="002851E7" w:rsidRPr="005F4582">
        <w:rPr>
          <w:i w:val="0"/>
        </w:rPr>
        <w:t xml:space="preserve">who </w:t>
      </w:r>
      <w:r w:rsidRPr="005F4582">
        <w:rPr>
          <w:i w:val="0"/>
        </w:rPr>
        <w:t xml:space="preserve">initiate treatment with </w:t>
      </w:r>
      <w:proofErr w:type="spellStart"/>
      <w:r w:rsidRPr="005F4582">
        <w:rPr>
          <w:i w:val="0"/>
        </w:rPr>
        <w:t>durvalumab</w:t>
      </w:r>
      <w:proofErr w:type="spellEnd"/>
      <w:r w:rsidRPr="005F4582">
        <w:rPr>
          <w:i w:val="0"/>
        </w:rPr>
        <w:t xml:space="preserve"> would not have progressed to Stage IV disease (in the absence of </w:t>
      </w:r>
      <w:proofErr w:type="spellStart"/>
      <w:r w:rsidRPr="005F4582">
        <w:rPr>
          <w:i w:val="0"/>
        </w:rPr>
        <w:t>durvalumab</w:t>
      </w:r>
      <w:proofErr w:type="spellEnd"/>
      <w:r w:rsidRPr="005F4582">
        <w:rPr>
          <w:i w:val="0"/>
        </w:rPr>
        <w:t>) and are therefore not covered by the current Deed(s).</w:t>
      </w:r>
      <w:r w:rsidR="00D464EB" w:rsidRPr="005F4582">
        <w:rPr>
          <w:i w:val="0"/>
        </w:rPr>
        <w:t xml:space="preserve"> </w:t>
      </w:r>
      <w:r w:rsidR="00D464EB" w:rsidRPr="005F4582">
        <w:rPr>
          <w:i w:val="0"/>
          <w:szCs w:val="24"/>
        </w:rPr>
        <w:t xml:space="preserve">The PBAC considered it may be reasonable to further </w:t>
      </w:r>
      <w:r w:rsidR="002851E7" w:rsidRPr="005F4582">
        <w:rPr>
          <w:i w:val="0"/>
          <w:szCs w:val="24"/>
        </w:rPr>
        <w:t xml:space="preserve">increase the cap </w:t>
      </w:r>
      <w:r w:rsidR="00D464EB" w:rsidRPr="005F4582">
        <w:rPr>
          <w:i w:val="0"/>
          <w:szCs w:val="24"/>
        </w:rPr>
        <w:t xml:space="preserve">to account for </w:t>
      </w:r>
      <w:r w:rsidR="002851E7" w:rsidRPr="005F4582">
        <w:rPr>
          <w:i w:val="0"/>
          <w:szCs w:val="24"/>
        </w:rPr>
        <w:t xml:space="preserve">the small proportion of </w:t>
      </w:r>
      <w:r w:rsidR="00D464EB" w:rsidRPr="005F4582">
        <w:rPr>
          <w:i w:val="0"/>
          <w:szCs w:val="24"/>
        </w:rPr>
        <w:t xml:space="preserve">patients </w:t>
      </w:r>
      <w:r w:rsidR="002851E7" w:rsidRPr="005F4582">
        <w:rPr>
          <w:i w:val="0"/>
          <w:szCs w:val="24"/>
        </w:rPr>
        <w:t xml:space="preserve">who </w:t>
      </w:r>
      <w:r w:rsidR="00D464EB" w:rsidRPr="005F4582">
        <w:rPr>
          <w:i w:val="0"/>
          <w:szCs w:val="24"/>
        </w:rPr>
        <w:t xml:space="preserve">would have progressed after CRT but would not have been treated with PD-(L)1 inhibitors </w:t>
      </w:r>
      <w:r w:rsidR="00F11C58" w:rsidRPr="005F4582">
        <w:rPr>
          <w:i w:val="0"/>
          <w:szCs w:val="24"/>
        </w:rPr>
        <w:t xml:space="preserve">for Stage IV disease </w:t>
      </w:r>
      <w:r w:rsidR="00D464EB" w:rsidRPr="005F4582">
        <w:rPr>
          <w:i w:val="0"/>
          <w:szCs w:val="24"/>
        </w:rPr>
        <w:t xml:space="preserve">and </w:t>
      </w:r>
      <w:r w:rsidR="00F11C58" w:rsidRPr="005F4582">
        <w:rPr>
          <w:i w:val="0"/>
          <w:szCs w:val="24"/>
        </w:rPr>
        <w:t>h</w:t>
      </w:r>
      <w:r w:rsidR="00F11C58" w:rsidRPr="00906975">
        <w:rPr>
          <w:i w:val="0"/>
          <w:szCs w:val="24"/>
        </w:rPr>
        <w:t xml:space="preserve">ence </w:t>
      </w:r>
      <w:r w:rsidR="00D464EB" w:rsidRPr="00906975">
        <w:rPr>
          <w:i w:val="0"/>
          <w:szCs w:val="24"/>
        </w:rPr>
        <w:t>are not covered by the current Deed(s).</w:t>
      </w:r>
      <w:r w:rsidR="002851E7" w:rsidRPr="00906975">
        <w:rPr>
          <w:i w:val="0"/>
          <w:szCs w:val="24"/>
        </w:rPr>
        <w:t xml:space="preserve"> The PBAC considered</w:t>
      </w:r>
      <w:r w:rsidR="0061605C" w:rsidRPr="00906975">
        <w:rPr>
          <w:i w:val="0"/>
          <w:szCs w:val="24"/>
        </w:rPr>
        <w:t xml:space="preserve"> </w:t>
      </w:r>
      <w:r w:rsidR="00F11C58" w:rsidRPr="00906975">
        <w:rPr>
          <w:i w:val="0"/>
          <w:szCs w:val="24"/>
        </w:rPr>
        <w:t xml:space="preserve">this would be the case for </w:t>
      </w:r>
      <w:r w:rsidR="002851E7" w:rsidRPr="00906975">
        <w:rPr>
          <w:i w:val="0"/>
          <w:szCs w:val="24"/>
        </w:rPr>
        <w:t>less than 5% of</w:t>
      </w:r>
      <w:r w:rsidR="00F11C58" w:rsidRPr="00906975">
        <w:rPr>
          <w:i w:val="0"/>
          <w:szCs w:val="24"/>
        </w:rPr>
        <w:t xml:space="preserve"> patients</w:t>
      </w:r>
      <w:r w:rsidR="0061605C" w:rsidRPr="00906975">
        <w:rPr>
          <w:i w:val="0"/>
          <w:szCs w:val="24"/>
        </w:rPr>
        <w:t xml:space="preserve"> who initiate treatment with </w:t>
      </w:r>
      <w:proofErr w:type="spellStart"/>
      <w:r w:rsidR="0061605C" w:rsidRPr="00906975">
        <w:rPr>
          <w:i w:val="0"/>
          <w:szCs w:val="24"/>
        </w:rPr>
        <w:t>durvalumab</w:t>
      </w:r>
      <w:proofErr w:type="spellEnd"/>
      <w:r w:rsidR="00F11C58" w:rsidRPr="00906975">
        <w:rPr>
          <w:i w:val="0"/>
          <w:szCs w:val="24"/>
        </w:rPr>
        <w:t xml:space="preserve">. </w:t>
      </w:r>
      <w:r w:rsidR="0074412E" w:rsidRPr="00906975">
        <w:rPr>
          <w:i w:val="0"/>
          <w:iCs/>
        </w:rPr>
        <w:t xml:space="preserve">The PBAC noted that assuming 30% (i.e., 25% + 5%) of patients who initiate treatment with </w:t>
      </w:r>
      <w:proofErr w:type="spellStart"/>
      <w:r w:rsidR="0074412E" w:rsidRPr="00906975">
        <w:rPr>
          <w:i w:val="0"/>
          <w:iCs/>
        </w:rPr>
        <w:t>durvalumab</w:t>
      </w:r>
      <w:proofErr w:type="spellEnd"/>
      <w:r w:rsidR="0074412E" w:rsidRPr="00906975">
        <w:rPr>
          <w:i w:val="0"/>
          <w:iCs/>
        </w:rPr>
        <w:t xml:space="preserve"> would not have progressed to Stage IV disease is consistent with applying an offset for 70% of patients who initiate treatment with </w:t>
      </w:r>
      <w:proofErr w:type="spellStart"/>
      <w:r w:rsidR="0074412E" w:rsidRPr="00906975">
        <w:rPr>
          <w:i w:val="0"/>
          <w:iCs/>
        </w:rPr>
        <w:t>durvalumab</w:t>
      </w:r>
      <w:proofErr w:type="spellEnd"/>
      <w:r w:rsidR="0074412E" w:rsidRPr="00906975">
        <w:rPr>
          <w:i w:val="0"/>
          <w:iCs/>
        </w:rPr>
        <w:t xml:space="preserve"> in the financial estimates. The PBAC considered the financial estimates in Table 3 (</w:t>
      </w:r>
      <w:r w:rsidR="00890105" w:rsidRPr="00906975">
        <w:rPr>
          <w:i w:val="0"/>
          <w:iCs/>
        </w:rPr>
        <w:t xml:space="preserve">revised to </w:t>
      </w:r>
      <w:r w:rsidR="0074412E" w:rsidRPr="00906975">
        <w:rPr>
          <w:i w:val="0"/>
          <w:iCs/>
        </w:rPr>
        <w:t>account</w:t>
      </w:r>
      <w:r w:rsidR="00890105" w:rsidRPr="00906975">
        <w:rPr>
          <w:i w:val="0"/>
          <w:iCs/>
        </w:rPr>
        <w:t xml:space="preserve"> </w:t>
      </w:r>
      <w:r w:rsidR="0074412E" w:rsidRPr="00906975">
        <w:rPr>
          <w:i w:val="0"/>
          <w:iCs/>
        </w:rPr>
        <w:t xml:space="preserve">for paragraph 4.15 and paragraph 5.8), should be consistent with multiplying the number of eligible patients not covered by the current cap by the </w:t>
      </w:r>
      <w:proofErr w:type="spellStart"/>
      <w:r w:rsidR="0074412E" w:rsidRPr="00906975">
        <w:rPr>
          <w:i w:val="0"/>
          <w:iCs/>
        </w:rPr>
        <w:t>durvalumab</w:t>
      </w:r>
      <w:proofErr w:type="spellEnd"/>
      <w:r w:rsidR="0074412E" w:rsidRPr="00906975">
        <w:rPr>
          <w:i w:val="0"/>
          <w:iCs/>
        </w:rPr>
        <w:t xml:space="preserve"> treatment cost per patient. </w:t>
      </w:r>
      <w:r w:rsidR="00166257" w:rsidRPr="00906975">
        <w:rPr>
          <w:i w:val="0"/>
        </w:rPr>
        <w:t xml:space="preserve">The </w:t>
      </w:r>
      <w:r w:rsidR="00506FAD" w:rsidRPr="00906975">
        <w:rPr>
          <w:i w:val="0"/>
        </w:rPr>
        <w:t xml:space="preserve">cost for the </w:t>
      </w:r>
      <w:r w:rsidR="00166257" w:rsidRPr="00906975">
        <w:rPr>
          <w:i w:val="0"/>
        </w:rPr>
        <w:t>additional grandfathered patients not currently</w:t>
      </w:r>
      <w:r w:rsidR="0061605C" w:rsidRPr="00906975">
        <w:rPr>
          <w:i w:val="0"/>
        </w:rPr>
        <w:t xml:space="preserve"> covered</w:t>
      </w:r>
      <w:r w:rsidR="00166257" w:rsidRPr="00906975">
        <w:rPr>
          <w:i w:val="0"/>
        </w:rPr>
        <w:t xml:space="preserve"> </w:t>
      </w:r>
      <w:r w:rsidR="0061605C" w:rsidRPr="00906975">
        <w:rPr>
          <w:i w:val="0"/>
        </w:rPr>
        <w:t xml:space="preserve">by </w:t>
      </w:r>
      <w:r w:rsidR="00166257" w:rsidRPr="00906975">
        <w:rPr>
          <w:i w:val="0"/>
        </w:rPr>
        <w:t>the ex</w:t>
      </w:r>
      <w:r w:rsidR="00506FAD" w:rsidRPr="00906975">
        <w:rPr>
          <w:i w:val="0"/>
        </w:rPr>
        <w:t>isting RSA caps should take into account the reduced cost per</w:t>
      </w:r>
      <w:r w:rsidR="00641C44" w:rsidRPr="00906975">
        <w:rPr>
          <w:i w:val="0"/>
        </w:rPr>
        <w:t xml:space="preserve"> patient </w:t>
      </w:r>
      <w:r w:rsidR="00506FAD" w:rsidRPr="00906975">
        <w:rPr>
          <w:i w:val="0"/>
        </w:rPr>
        <w:t>(paragraph 4.1</w:t>
      </w:r>
      <w:r w:rsidR="00890105" w:rsidRPr="00906975">
        <w:rPr>
          <w:i w:val="0"/>
        </w:rPr>
        <w:t>4</w:t>
      </w:r>
      <w:r w:rsidR="00506FAD" w:rsidRPr="00906975">
        <w:rPr>
          <w:i w:val="0"/>
        </w:rPr>
        <w:t xml:space="preserve">). </w:t>
      </w:r>
    </w:p>
    <w:p w:rsidR="0074412E" w:rsidRPr="00906975" w:rsidRDefault="0074412E" w:rsidP="0050430B">
      <w:pPr>
        <w:pStyle w:val="Bodytextitalics"/>
        <w:jc w:val="both"/>
        <w:rPr>
          <w:i w:val="0"/>
        </w:rPr>
      </w:pPr>
      <w:r w:rsidRPr="00906975">
        <w:rPr>
          <w:i w:val="0"/>
        </w:rPr>
        <w:t xml:space="preserve">The PBAC noted the revised financial estimates in Table 3 applied the treatment cost per patient for </w:t>
      </w:r>
      <w:proofErr w:type="spellStart"/>
      <w:r w:rsidRPr="00906975">
        <w:rPr>
          <w:i w:val="0"/>
        </w:rPr>
        <w:t>nivolumab</w:t>
      </w:r>
      <w:proofErr w:type="spellEnd"/>
      <w:r w:rsidRPr="00906975">
        <w:rPr>
          <w:i w:val="0"/>
        </w:rPr>
        <w:t xml:space="preserve"> to estimate the net reduction in cost of PD-(L)1 inhibitors but there are alternative</w:t>
      </w:r>
      <w:r w:rsidR="00DD5020">
        <w:rPr>
          <w:i w:val="0"/>
        </w:rPr>
        <w:t xml:space="preserve"> </w:t>
      </w:r>
      <w:r w:rsidRPr="00906975">
        <w:rPr>
          <w:i w:val="0"/>
        </w:rPr>
        <w:t>PD-(L)1 inhibitors available in the first-line and second-line setting (</w:t>
      </w:r>
      <w:proofErr w:type="spellStart"/>
      <w:r w:rsidRPr="00906975">
        <w:rPr>
          <w:i w:val="0"/>
        </w:rPr>
        <w:t>pembrolizumab</w:t>
      </w:r>
      <w:proofErr w:type="spellEnd"/>
      <w:r w:rsidRPr="00906975">
        <w:rPr>
          <w:i w:val="0"/>
        </w:rPr>
        <w:t xml:space="preserve">, </w:t>
      </w:r>
      <w:proofErr w:type="spellStart"/>
      <w:r w:rsidRPr="00906975">
        <w:rPr>
          <w:i w:val="0"/>
        </w:rPr>
        <w:t>atezolizumab</w:t>
      </w:r>
      <w:proofErr w:type="spellEnd"/>
      <w:r w:rsidRPr="00906975">
        <w:rPr>
          <w:i w:val="0"/>
        </w:rPr>
        <w:t>). The PBAC noted the PD-(L</w:t>
      </w:r>
      <w:proofErr w:type="gramStart"/>
      <w:r w:rsidRPr="00906975">
        <w:rPr>
          <w:i w:val="0"/>
        </w:rPr>
        <w:t>)1</w:t>
      </w:r>
      <w:proofErr w:type="gramEnd"/>
      <w:r w:rsidRPr="00906975">
        <w:rPr>
          <w:i w:val="0"/>
        </w:rPr>
        <w:t xml:space="preserve"> inhibitor costs for the offset patients (in both the first-line or second-line setting) are already accounted for in current subsidisation caps for NSCLC. The PBAC was also of the view that </w:t>
      </w:r>
      <w:proofErr w:type="spellStart"/>
      <w:r w:rsidRPr="00906975">
        <w:rPr>
          <w:i w:val="0"/>
        </w:rPr>
        <w:t>nivolumab</w:t>
      </w:r>
      <w:proofErr w:type="spellEnd"/>
      <w:r w:rsidRPr="00906975">
        <w:rPr>
          <w:i w:val="0"/>
        </w:rPr>
        <w:t xml:space="preserve"> should not be considered the most likely therapy for the purposes of the estimated offset population, as the PBAC has previously considered that the majority of patients were likely to switch to first line treatment with PD-(L)1 inhibitors once these are available.</w:t>
      </w:r>
    </w:p>
    <w:p w:rsidR="00DC0B2E" w:rsidRPr="00906975" w:rsidRDefault="00DC0B2E" w:rsidP="00210599">
      <w:pPr>
        <w:pStyle w:val="Bodytextitalics"/>
        <w:jc w:val="both"/>
        <w:rPr>
          <w:i w:val="0"/>
        </w:rPr>
      </w:pPr>
      <w:r w:rsidRPr="00906975">
        <w:rPr>
          <w:i w:val="0"/>
        </w:rPr>
        <w:t xml:space="preserve">The PBAC found that the criteria prescribed by the National Health (Pharmaceuticals and Vaccines – Cost Recovery) Regulations 2009 for Pricing Pathway A were not met. Specifically the PBAC found that in the circumstances of its recommendation for </w:t>
      </w:r>
      <w:proofErr w:type="spellStart"/>
      <w:r w:rsidRPr="00906975">
        <w:rPr>
          <w:i w:val="0"/>
        </w:rPr>
        <w:t>durvalumab</w:t>
      </w:r>
      <w:proofErr w:type="spellEnd"/>
      <w:r w:rsidRPr="00906975">
        <w:rPr>
          <w:i w:val="0"/>
        </w:rPr>
        <w:t>:</w:t>
      </w:r>
    </w:p>
    <w:p w:rsidR="00DC0B2E" w:rsidRPr="00906975" w:rsidRDefault="00DC0B2E" w:rsidP="00B22235">
      <w:pPr>
        <w:pStyle w:val="Bodytextitalics"/>
        <w:numPr>
          <w:ilvl w:val="0"/>
          <w:numId w:val="10"/>
        </w:numPr>
        <w:jc w:val="both"/>
        <w:rPr>
          <w:i w:val="0"/>
        </w:rPr>
      </w:pPr>
      <w:r w:rsidRPr="00906975">
        <w:rPr>
          <w:i w:val="0"/>
        </w:rPr>
        <w:t>The treatment</w:t>
      </w:r>
      <w:r w:rsidR="006C3199" w:rsidRPr="00906975">
        <w:rPr>
          <w:i w:val="0"/>
        </w:rPr>
        <w:t xml:space="preserve"> </w:t>
      </w:r>
      <w:r w:rsidR="00854F28" w:rsidRPr="00906975">
        <w:rPr>
          <w:i w:val="0"/>
        </w:rPr>
        <w:t>may not</w:t>
      </w:r>
      <w:r w:rsidRPr="00906975">
        <w:rPr>
          <w:i w:val="0"/>
        </w:rPr>
        <w:t xml:space="preserve"> provide a substantial and clinically relevant improvement in efficacy</w:t>
      </w:r>
      <w:r w:rsidR="006C3199" w:rsidRPr="00906975">
        <w:rPr>
          <w:i w:val="0"/>
        </w:rPr>
        <w:t xml:space="preserve"> </w:t>
      </w:r>
      <w:r w:rsidRPr="00906975">
        <w:rPr>
          <w:i w:val="0"/>
        </w:rPr>
        <w:t>over alternative therapies</w:t>
      </w:r>
      <w:r w:rsidR="0033210E" w:rsidRPr="00906975">
        <w:rPr>
          <w:i w:val="0"/>
        </w:rPr>
        <w:t xml:space="preserve"> given the</w:t>
      </w:r>
      <w:r w:rsidR="00DC51FF" w:rsidRPr="00906975">
        <w:rPr>
          <w:i w:val="0"/>
        </w:rPr>
        <w:t xml:space="preserve"> uncertainty in the magnitude </w:t>
      </w:r>
      <w:r w:rsidR="0055152D" w:rsidRPr="00906975">
        <w:rPr>
          <w:i w:val="0"/>
        </w:rPr>
        <w:t xml:space="preserve">of the overall survival benefit (due to immaturity of the clinical data and </w:t>
      </w:r>
      <w:r w:rsidR="00906975" w:rsidRPr="00906975">
        <w:rPr>
          <w:i w:val="0"/>
        </w:rPr>
        <w:t xml:space="preserve">uncertainty </w:t>
      </w:r>
      <w:r w:rsidR="0055152D" w:rsidRPr="00906975">
        <w:rPr>
          <w:i w:val="0"/>
        </w:rPr>
        <w:t>regarding the impact of post-progression treatment with PD-(L</w:t>
      </w:r>
      <w:proofErr w:type="gramStart"/>
      <w:r w:rsidR="0055152D" w:rsidRPr="00906975">
        <w:rPr>
          <w:i w:val="0"/>
        </w:rPr>
        <w:t>)1</w:t>
      </w:r>
      <w:proofErr w:type="gramEnd"/>
      <w:r w:rsidR="0055152D" w:rsidRPr="00906975">
        <w:rPr>
          <w:i w:val="0"/>
        </w:rPr>
        <w:t xml:space="preserve"> inhibitors in the clinical trial).</w:t>
      </w:r>
      <w:r w:rsidR="00DC51FF" w:rsidRPr="00906975">
        <w:rPr>
          <w:i w:val="0"/>
        </w:rPr>
        <w:t xml:space="preserve"> </w:t>
      </w:r>
    </w:p>
    <w:p w:rsidR="00DC0B2E" w:rsidRPr="00906975" w:rsidRDefault="00DC0B2E" w:rsidP="00B22235">
      <w:pPr>
        <w:pStyle w:val="Bodytextitalics"/>
        <w:numPr>
          <w:ilvl w:val="0"/>
          <w:numId w:val="10"/>
        </w:numPr>
        <w:jc w:val="both"/>
        <w:rPr>
          <w:i w:val="0"/>
        </w:rPr>
      </w:pPr>
      <w:r w:rsidRPr="00906975">
        <w:rPr>
          <w:i w:val="0"/>
        </w:rPr>
        <w:t xml:space="preserve">The treatment </w:t>
      </w:r>
      <w:r w:rsidR="006C3199" w:rsidRPr="00906975">
        <w:rPr>
          <w:i w:val="0"/>
        </w:rPr>
        <w:t>i</w:t>
      </w:r>
      <w:r w:rsidRPr="00906975">
        <w:rPr>
          <w:i w:val="0"/>
        </w:rPr>
        <w:t>s expected to address a high and urgent unmet clinical need</w:t>
      </w:r>
      <w:r w:rsidR="00E21716" w:rsidRPr="00906975">
        <w:rPr>
          <w:i w:val="0"/>
        </w:rPr>
        <w:t xml:space="preserve">. </w:t>
      </w:r>
    </w:p>
    <w:p w:rsidR="00DC0B2E" w:rsidRPr="00906975" w:rsidRDefault="00DC0B2E" w:rsidP="00B22235">
      <w:pPr>
        <w:pStyle w:val="Bodytextitalics"/>
        <w:numPr>
          <w:ilvl w:val="0"/>
          <w:numId w:val="10"/>
        </w:numPr>
        <w:jc w:val="both"/>
        <w:rPr>
          <w:i w:val="0"/>
        </w:rPr>
      </w:pPr>
      <w:r w:rsidRPr="00906975">
        <w:rPr>
          <w:i w:val="0"/>
        </w:rPr>
        <w:lastRenderedPageBreak/>
        <w:t>It was not necessary to make a finding in relation to whether it would be in the public interest for the subsequent pricing application to be progressed under Pricing Pathway A because one or more of the preceding tests had failed</w:t>
      </w:r>
      <w:r w:rsidR="0055152D" w:rsidRPr="00906975">
        <w:rPr>
          <w:i w:val="0"/>
        </w:rPr>
        <w:t>.</w:t>
      </w:r>
      <w:r w:rsidRPr="00906975">
        <w:rPr>
          <w:i w:val="0"/>
        </w:rPr>
        <w:t xml:space="preserve"> </w:t>
      </w:r>
    </w:p>
    <w:p w:rsidR="00EC2C49" w:rsidRPr="005F4582" w:rsidRDefault="00EC2C49" w:rsidP="00210599">
      <w:pPr>
        <w:pStyle w:val="Bodytextitalics"/>
        <w:jc w:val="both"/>
      </w:pPr>
      <w:r w:rsidRPr="005F6BE7">
        <w:rPr>
          <w:i w:val="0"/>
        </w:rPr>
        <w:t xml:space="preserve">The PBAC advised that under subsection 101(3BA) of the National Health Act 1953, </w:t>
      </w:r>
      <w:proofErr w:type="spellStart"/>
      <w:r w:rsidRPr="005F6BE7">
        <w:rPr>
          <w:i w:val="0"/>
        </w:rPr>
        <w:t>durvalumab</w:t>
      </w:r>
      <w:proofErr w:type="spellEnd"/>
      <w:r w:rsidRPr="005F6BE7">
        <w:rPr>
          <w:i w:val="0"/>
        </w:rPr>
        <w:t xml:space="preserve"> should not be treated as interchangeable on an individual patient basis with any other drugs. </w:t>
      </w:r>
    </w:p>
    <w:p w:rsidR="00EC2C49" w:rsidRPr="005F4582" w:rsidRDefault="00EC2C49" w:rsidP="00210599">
      <w:pPr>
        <w:pStyle w:val="Bodytextitalics"/>
        <w:jc w:val="both"/>
      </w:pPr>
      <w:r w:rsidRPr="005F4582">
        <w:rPr>
          <w:i w:val="0"/>
        </w:rPr>
        <w:t xml:space="preserve">The PBAC advised that </w:t>
      </w:r>
      <w:proofErr w:type="spellStart"/>
      <w:r w:rsidRPr="005F4582">
        <w:rPr>
          <w:i w:val="0"/>
        </w:rPr>
        <w:t>durvalumab</w:t>
      </w:r>
      <w:proofErr w:type="spellEnd"/>
      <w:r w:rsidRPr="005F4582">
        <w:rPr>
          <w:i w:val="0"/>
        </w:rPr>
        <w:t xml:space="preserve"> was not suitable for prescribing by nurse practitioners. </w:t>
      </w:r>
    </w:p>
    <w:p w:rsidR="00EC2C49" w:rsidRPr="005F4582" w:rsidRDefault="00EC2C49" w:rsidP="00210599">
      <w:pPr>
        <w:pStyle w:val="Bodytextitalics"/>
        <w:jc w:val="both"/>
      </w:pPr>
      <w:r w:rsidRPr="005F4582">
        <w:rPr>
          <w:i w:val="0"/>
        </w:rPr>
        <w:t xml:space="preserve">The PBAC noted that this submission is not eligible for an Independent Review as it received a positive recommendation. </w:t>
      </w:r>
    </w:p>
    <w:p w:rsidR="00EC2C49" w:rsidRPr="005F4582" w:rsidRDefault="00EC2C49" w:rsidP="0039684C">
      <w:pPr>
        <w:pStyle w:val="Bodytextitalics"/>
        <w:numPr>
          <w:ilvl w:val="0"/>
          <w:numId w:val="0"/>
        </w:numPr>
        <w:spacing w:after="0"/>
      </w:pPr>
      <w:r w:rsidRPr="005F4582">
        <w:rPr>
          <w:b/>
          <w:i w:val="0"/>
        </w:rPr>
        <w:t xml:space="preserve">Outcome: </w:t>
      </w:r>
    </w:p>
    <w:p w:rsidR="00EC2C49" w:rsidRPr="005F4582" w:rsidRDefault="00EC2C49" w:rsidP="0039684C">
      <w:pPr>
        <w:pStyle w:val="Bodytextitalics"/>
        <w:numPr>
          <w:ilvl w:val="0"/>
          <w:numId w:val="0"/>
        </w:numPr>
        <w:spacing w:after="0"/>
        <w:rPr>
          <w:i w:val="0"/>
        </w:rPr>
      </w:pPr>
      <w:r w:rsidRPr="005F4582">
        <w:rPr>
          <w:i w:val="0"/>
        </w:rPr>
        <w:t xml:space="preserve">Recommended </w:t>
      </w:r>
    </w:p>
    <w:p w:rsidR="00210599" w:rsidRPr="005F4582" w:rsidRDefault="00210599" w:rsidP="0039684C">
      <w:pPr>
        <w:pStyle w:val="Bodytextitalics"/>
        <w:numPr>
          <w:ilvl w:val="0"/>
          <w:numId w:val="0"/>
        </w:numPr>
        <w:spacing w:after="0"/>
        <w:rPr>
          <w:b/>
          <w:i w:val="0"/>
        </w:rPr>
      </w:pPr>
    </w:p>
    <w:p w:rsidR="000574D5" w:rsidRPr="005F6BE7" w:rsidRDefault="00EC2C49" w:rsidP="0039684C">
      <w:pPr>
        <w:pStyle w:val="Heading1"/>
        <w:keepNext/>
        <w:keepLines/>
        <w:widowControl/>
        <w:numPr>
          <w:ilvl w:val="0"/>
          <w:numId w:val="3"/>
        </w:numPr>
        <w:spacing w:before="240" w:after="120"/>
        <w:ind w:left="709" w:hanging="709"/>
        <w:contextualSpacing w:val="0"/>
        <w:jc w:val="left"/>
      </w:pPr>
      <w:r w:rsidRPr="005F6BE7">
        <w:rPr>
          <w:rFonts w:asciiTheme="minorHAnsi" w:hAnsiTheme="minorHAnsi"/>
          <w:sz w:val="32"/>
          <w:szCs w:val="32"/>
        </w:rPr>
        <w:t>Recommended Listing</w:t>
      </w:r>
    </w:p>
    <w:p w:rsidR="00AD162C" w:rsidRPr="005F4582" w:rsidRDefault="00AD162C" w:rsidP="0039684C">
      <w:pPr>
        <w:pStyle w:val="3Bodytext"/>
        <w:numPr>
          <w:ilvl w:val="0"/>
          <w:numId w:val="0"/>
        </w:numPr>
        <w:ind w:left="720" w:hanging="720"/>
      </w:pPr>
      <w:r w:rsidRPr="005F4582">
        <w:t>Add new item:</w:t>
      </w:r>
    </w:p>
    <w:p w:rsidR="00AD162C" w:rsidRPr="005F4582" w:rsidRDefault="00AD162C" w:rsidP="0039684C"/>
    <w:tbl>
      <w:tblPr>
        <w:tblW w:w="5000" w:type="pct"/>
        <w:tblLook w:val="0000" w:firstRow="0" w:lastRow="0" w:firstColumn="0" w:lastColumn="0" w:noHBand="0" w:noVBand="0"/>
      </w:tblPr>
      <w:tblGrid>
        <w:gridCol w:w="734"/>
        <w:gridCol w:w="1651"/>
        <w:gridCol w:w="453"/>
        <w:gridCol w:w="701"/>
        <w:gridCol w:w="735"/>
        <w:gridCol w:w="735"/>
        <w:gridCol w:w="1369"/>
        <w:gridCol w:w="2634"/>
        <w:gridCol w:w="14"/>
      </w:tblGrid>
      <w:tr w:rsidR="00AD162C" w:rsidRPr="005F4582" w:rsidTr="00B22235">
        <w:trPr>
          <w:cantSplit/>
          <w:trHeight w:val="471"/>
        </w:trPr>
        <w:tc>
          <w:tcPr>
            <w:tcW w:w="1615" w:type="pct"/>
            <w:gridSpan w:val="3"/>
            <w:tcBorders>
              <w:bottom w:val="single" w:sz="4" w:space="0" w:color="auto"/>
            </w:tcBorders>
          </w:tcPr>
          <w:p w:rsidR="00AD162C" w:rsidRPr="005F4582" w:rsidRDefault="00AD162C" w:rsidP="007D1291">
            <w:pPr>
              <w:keepNext/>
              <w:ind w:left="-108"/>
              <w:jc w:val="both"/>
              <w:rPr>
                <w:rFonts w:ascii="Arial Narrow" w:hAnsi="Arial Narrow" w:cs="Arial"/>
                <w:sz w:val="20"/>
                <w:szCs w:val="20"/>
              </w:rPr>
            </w:pPr>
            <w:r w:rsidRPr="005F4582">
              <w:rPr>
                <w:rFonts w:ascii="Arial Narrow" w:hAnsi="Arial Narrow" w:cs="Arial"/>
                <w:sz w:val="20"/>
                <w:szCs w:val="20"/>
              </w:rPr>
              <w:t>Name, Restriction,</w:t>
            </w:r>
          </w:p>
          <w:p w:rsidR="00AD162C" w:rsidRPr="005F4582" w:rsidRDefault="00AD162C" w:rsidP="007D1291">
            <w:pPr>
              <w:keepNext/>
              <w:ind w:left="-108"/>
              <w:jc w:val="both"/>
              <w:rPr>
                <w:rFonts w:ascii="Arial Narrow" w:hAnsi="Arial Narrow" w:cs="Arial"/>
                <w:sz w:val="20"/>
                <w:szCs w:val="20"/>
              </w:rPr>
            </w:pPr>
            <w:r w:rsidRPr="005F4582">
              <w:rPr>
                <w:rFonts w:ascii="Arial Narrow" w:hAnsi="Arial Narrow" w:cs="Arial"/>
                <w:sz w:val="20"/>
                <w:szCs w:val="20"/>
              </w:rPr>
              <w:t>Manner of administration and form</w:t>
            </w:r>
          </w:p>
        </w:tc>
        <w:tc>
          <w:tcPr>
            <w:tcW w:w="281" w:type="pct"/>
            <w:tcBorders>
              <w:bottom w:val="single" w:sz="4" w:space="0" w:color="auto"/>
            </w:tcBorders>
          </w:tcPr>
          <w:p w:rsidR="00AD162C" w:rsidRPr="005F4582" w:rsidRDefault="00AD162C" w:rsidP="007D1291">
            <w:pPr>
              <w:keepNext/>
              <w:ind w:left="-108"/>
              <w:jc w:val="both"/>
              <w:rPr>
                <w:rFonts w:ascii="Arial Narrow" w:hAnsi="Arial Narrow" w:cs="Arial"/>
                <w:sz w:val="20"/>
                <w:szCs w:val="20"/>
              </w:rPr>
            </w:pPr>
            <w:r w:rsidRPr="005F4582">
              <w:rPr>
                <w:rFonts w:ascii="Arial Narrow" w:hAnsi="Arial Narrow" w:cs="Arial"/>
                <w:sz w:val="20"/>
                <w:szCs w:val="20"/>
              </w:rPr>
              <w:t>Max.</w:t>
            </w:r>
          </w:p>
          <w:p w:rsidR="00AD162C" w:rsidRPr="005F4582" w:rsidRDefault="00AD162C" w:rsidP="007D1291">
            <w:pPr>
              <w:keepNext/>
              <w:ind w:left="-108"/>
              <w:jc w:val="both"/>
              <w:rPr>
                <w:rFonts w:ascii="Arial Narrow" w:hAnsi="Arial Narrow" w:cs="Arial"/>
                <w:sz w:val="20"/>
                <w:szCs w:val="20"/>
              </w:rPr>
            </w:pPr>
            <w:r w:rsidRPr="005F4582">
              <w:rPr>
                <w:rFonts w:ascii="Arial Narrow" w:hAnsi="Arial Narrow" w:cs="Arial"/>
                <w:sz w:val="20"/>
                <w:szCs w:val="20"/>
              </w:rPr>
              <w:t>amount</w:t>
            </w:r>
          </w:p>
        </w:tc>
        <w:tc>
          <w:tcPr>
            <w:tcW w:w="421" w:type="pct"/>
            <w:tcBorders>
              <w:bottom w:val="single" w:sz="4" w:space="0" w:color="auto"/>
            </w:tcBorders>
          </w:tcPr>
          <w:p w:rsidR="00AD162C" w:rsidRPr="005F4582" w:rsidRDefault="00AD162C" w:rsidP="007D1291">
            <w:pPr>
              <w:keepNext/>
              <w:ind w:left="-108"/>
              <w:jc w:val="both"/>
              <w:rPr>
                <w:rFonts w:ascii="Arial Narrow" w:hAnsi="Arial Narrow" w:cs="Arial"/>
                <w:sz w:val="20"/>
                <w:szCs w:val="20"/>
              </w:rPr>
            </w:pPr>
          </w:p>
        </w:tc>
        <w:tc>
          <w:tcPr>
            <w:tcW w:w="421" w:type="pct"/>
            <w:tcBorders>
              <w:bottom w:val="single" w:sz="4" w:space="0" w:color="auto"/>
            </w:tcBorders>
          </w:tcPr>
          <w:p w:rsidR="00AD162C" w:rsidRPr="005F4582" w:rsidRDefault="00AD162C" w:rsidP="007D1291">
            <w:pPr>
              <w:keepNext/>
              <w:ind w:left="-108"/>
              <w:jc w:val="both"/>
              <w:rPr>
                <w:rFonts w:ascii="Arial Narrow" w:hAnsi="Arial Narrow" w:cs="Arial"/>
                <w:sz w:val="20"/>
                <w:szCs w:val="20"/>
              </w:rPr>
            </w:pPr>
            <w:r w:rsidRPr="005F4582">
              <w:rPr>
                <w:rFonts w:ascii="Arial Narrow" w:hAnsi="Arial Narrow" w:cs="Arial"/>
                <w:sz w:val="20"/>
                <w:szCs w:val="20"/>
              </w:rPr>
              <w:t>№.of</w:t>
            </w:r>
          </w:p>
          <w:p w:rsidR="00AD162C" w:rsidRPr="005F4582" w:rsidRDefault="00AD162C" w:rsidP="007D1291">
            <w:pPr>
              <w:keepNext/>
              <w:ind w:left="-108"/>
              <w:jc w:val="both"/>
              <w:rPr>
                <w:rFonts w:ascii="Arial Narrow" w:hAnsi="Arial Narrow" w:cs="Arial"/>
                <w:sz w:val="20"/>
                <w:szCs w:val="20"/>
              </w:rPr>
            </w:pPr>
            <w:proofErr w:type="spellStart"/>
            <w:r w:rsidRPr="005F4582">
              <w:rPr>
                <w:rFonts w:ascii="Arial Narrow" w:hAnsi="Arial Narrow" w:cs="Arial"/>
                <w:sz w:val="20"/>
                <w:szCs w:val="20"/>
              </w:rPr>
              <w:t>Rpts</w:t>
            </w:r>
            <w:proofErr w:type="spellEnd"/>
          </w:p>
        </w:tc>
        <w:tc>
          <w:tcPr>
            <w:tcW w:w="2263" w:type="pct"/>
            <w:gridSpan w:val="3"/>
            <w:tcBorders>
              <w:bottom w:val="single" w:sz="4" w:space="0" w:color="auto"/>
            </w:tcBorders>
          </w:tcPr>
          <w:p w:rsidR="00AD162C" w:rsidRPr="00E1674A" w:rsidRDefault="00AD162C" w:rsidP="007D1291">
            <w:pPr>
              <w:keepNext/>
              <w:jc w:val="both"/>
              <w:rPr>
                <w:rFonts w:ascii="Arial Narrow" w:hAnsi="Arial Narrow" w:cs="Arial"/>
                <w:sz w:val="20"/>
                <w:szCs w:val="20"/>
              </w:rPr>
            </w:pPr>
            <w:r w:rsidRPr="005F4582">
              <w:rPr>
                <w:rFonts w:ascii="Arial Narrow" w:hAnsi="Arial Narrow" w:cs="Arial"/>
                <w:sz w:val="20"/>
                <w:szCs w:val="20"/>
              </w:rPr>
              <w:t>Proprietary Name and Manufacturer</w:t>
            </w:r>
          </w:p>
        </w:tc>
      </w:tr>
      <w:tr w:rsidR="00AD162C" w:rsidRPr="005F4582" w:rsidTr="00B22235">
        <w:trPr>
          <w:cantSplit/>
          <w:trHeight w:val="223"/>
        </w:trPr>
        <w:tc>
          <w:tcPr>
            <w:tcW w:w="1615" w:type="pct"/>
            <w:gridSpan w:val="3"/>
          </w:tcPr>
          <w:p w:rsidR="00AD162C" w:rsidRPr="005F4582" w:rsidRDefault="00AD162C" w:rsidP="007D1291">
            <w:pPr>
              <w:keepNext/>
              <w:ind w:left="-108"/>
              <w:jc w:val="both"/>
              <w:rPr>
                <w:rFonts w:ascii="Arial Narrow" w:hAnsi="Arial Narrow" w:cs="Arial"/>
                <w:smallCaps/>
                <w:sz w:val="20"/>
                <w:szCs w:val="20"/>
              </w:rPr>
            </w:pPr>
            <w:r w:rsidRPr="005F4582">
              <w:rPr>
                <w:rFonts w:ascii="Arial Narrow" w:hAnsi="Arial Narrow" w:cs="Arial"/>
                <w:smallCaps/>
                <w:sz w:val="20"/>
                <w:szCs w:val="20"/>
              </w:rPr>
              <w:t>DURVALUMAB</w:t>
            </w:r>
          </w:p>
          <w:p w:rsidR="00AD162C" w:rsidRPr="005F4582" w:rsidRDefault="00AD162C" w:rsidP="007D1291">
            <w:pPr>
              <w:keepNext/>
              <w:ind w:left="-108"/>
              <w:jc w:val="both"/>
              <w:rPr>
                <w:rFonts w:ascii="Arial Narrow" w:hAnsi="Arial Narrow" w:cs="Arial"/>
                <w:sz w:val="20"/>
                <w:szCs w:val="20"/>
              </w:rPr>
            </w:pPr>
            <w:r w:rsidRPr="005F4582">
              <w:rPr>
                <w:rFonts w:ascii="Arial Narrow" w:hAnsi="Arial Narrow" w:cs="Arial"/>
                <w:sz w:val="20"/>
                <w:szCs w:val="20"/>
              </w:rPr>
              <w:t xml:space="preserve">Solution concentrate for I.V. infusion </w:t>
            </w:r>
          </w:p>
          <w:p w:rsidR="00AD162C" w:rsidRPr="005F4582" w:rsidRDefault="00AD162C" w:rsidP="007D1291">
            <w:pPr>
              <w:keepNext/>
              <w:ind w:left="-108"/>
              <w:jc w:val="both"/>
              <w:rPr>
                <w:rFonts w:ascii="Arial Narrow" w:hAnsi="Arial Narrow" w:cs="Arial"/>
                <w:sz w:val="20"/>
                <w:szCs w:val="20"/>
              </w:rPr>
            </w:pPr>
            <w:r w:rsidRPr="005F4582">
              <w:rPr>
                <w:rFonts w:ascii="Arial Narrow" w:hAnsi="Arial Narrow" w:cs="Arial"/>
                <w:sz w:val="20"/>
                <w:szCs w:val="20"/>
              </w:rPr>
              <w:t>120 mg/ 2.4 mL; 10 mL</w:t>
            </w:r>
          </w:p>
          <w:p w:rsidR="00AD162C" w:rsidRPr="005F4582" w:rsidRDefault="00AD162C" w:rsidP="007D1291">
            <w:pPr>
              <w:keepNext/>
              <w:ind w:left="-108"/>
              <w:jc w:val="both"/>
              <w:rPr>
                <w:rFonts w:ascii="Arial Narrow" w:hAnsi="Arial Narrow" w:cs="Arial"/>
                <w:sz w:val="20"/>
                <w:szCs w:val="20"/>
              </w:rPr>
            </w:pPr>
            <w:r w:rsidRPr="005F4582">
              <w:rPr>
                <w:rFonts w:ascii="Arial Narrow" w:hAnsi="Arial Narrow" w:cs="Arial"/>
                <w:sz w:val="20"/>
                <w:szCs w:val="20"/>
              </w:rPr>
              <w:t>500 mg/ 10 mL; 10 mL</w:t>
            </w:r>
          </w:p>
        </w:tc>
        <w:tc>
          <w:tcPr>
            <w:tcW w:w="281" w:type="pct"/>
          </w:tcPr>
          <w:p w:rsidR="00AD162C" w:rsidRPr="005F4582" w:rsidRDefault="00AD162C" w:rsidP="007D1291">
            <w:pPr>
              <w:keepNext/>
              <w:ind w:left="-108"/>
              <w:jc w:val="both"/>
              <w:rPr>
                <w:rFonts w:ascii="Arial Narrow" w:hAnsi="Arial Narrow" w:cs="Arial"/>
                <w:strike/>
                <w:sz w:val="20"/>
                <w:szCs w:val="20"/>
              </w:rPr>
            </w:pPr>
          </w:p>
          <w:p w:rsidR="00AD162C" w:rsidRPr="005F4582" w:rsidRDefault="00AD162C" w:rsidP="007D1291">
            <w:pPr>
              <w:keepNext/>
              <w:ind w:left="-108"/>
              <w:jc w:val="both"/>
              <w:rPr>
                <w:rFonts w:ascii="Arial Narrow" w:hAnsi="Arial Narrow" w:cs="Arial"/>
                <w:strike/>
                <w:sz w:val="20"/>
                <w:szCs w:val="20"/>
              </w:rPr>
            </w:pPr>
            <w:r w:rsidRPr="005F4582">
              <w:rPr>
                <w:rFonts w:ascii="Arial Narrow" w:hAnsi="Arial Narrow"/>
                <w:sz w:val="20"/>
                <w:szCs w:val="22"/>
              </w:rPr>
              <w:t>1200mg</w:t>
            </w:r>
          </w:p>
        </w:tc>
        <w:tc>
          <w:tcPr>
            <w:tcW w:w="421" w:type="pct"/>
          </w:tcPr>
          <w:p w:rsidR="00AD162C" w:rsidRPr="005F4582" w:rsidRDefault="00AD162C" w:rsidP="007D1291">
            <w:pPr>
              <w:keepNext/>
              <w:ind w:left="-108"/>
              <w:jc w:val="both"/>
              <w:rPr>
                <w:rFonts w:ascii="Arial Narrow" w:hAnsi="Arial Narrow"/>
                <w:sz w:val="20"/>
                <w:szCs w:val="22"/>
              </w:rPr>
            </w:pPr>
          </w:p>
        </w:tc>
        <w:tc>
          <w:tcPr>
            <w:tcW w:w="421" w:type="pct"/>
          </w:tcPr>
          <w:p w:rsidR="00AD162C" w:rsidRPr="005F4582" w:rsidRDefault="00AD162C" w:rsidP="007D1291">
            <w:pPr>
              <w:keepNext/>
              <w:ind w:left="-108"/>
              <w:jc w:val="both"/>
              <w:rPr>
                <w:rFonts w:ascii="Arial Narrow" w:hAnsi="Arial Narrow"/>
                <w:sz w:val="20"/>
                <w:szCs w:val="22"/>
              </w:rPr>
            </w:pPr>
          </w:p>
          <w:p w:rsidR="00AD162C" w:rsidRPr="005F4582" w:rsidRDefault="00AD162C" w:rsidP="007D1291">
            <w:pPr>
              <w:keepNext/>
              <w:ind w:left="-108"/>
              <w:jc w:val="both"/>
              <w:rPr>
                <w:rFonts w:ascii="Arial Narrow" w:hAnsi="Arial Narrow"/>
                <w:sz w:val="20"/>
                <w:szCs w:val="22"/>
              </w:rPr>
            </w:pPr>
            <w:r w:rsidRPr="005F4582">
              <w:rPr>
                <w:rFonts w:ascii="Arial Narrow" w:hAnsi="Arial Narrow"/>
                <w:sz w:val="20"/>
                <w:szCs w:val="22"/>
              </w:rPr>
              <w:t xml:space="preserve"> 8</w:t>
            </w:r>
          </w:p>
          <w:p w:rsidR="00AD162C" w:rsidRPr="005F4582" w:rsidRDefault="00AD162C" w:rsidP="007D1291">
            <w:pPr>
              <w:keepNext/>
              <w:jc w:val="both"/>
              <w:rPr>
                <w:rFonts w:ascii="Arial Narrow" w:hAnsi="Arial Narrow"/>
                <w:i/>
                <w:sz w:val="20"/>
                <w:szCs w:val="22"/>
              </w:rPr>
            </w:pPr>
          </w:p>
        </w:tc>
        <w:tc>
          <w:tcPr>
            <w:tcW w:w="772" w:type="pct"/>
          </w:tcPr>
          <w:p w:rsidR="00AD162C" w:rsidRPr="005F4582" w:rsidRDefault="00AD162C" w:rsidP="007D1291">
            <w:pPr>
              <w:keepNext/>
              <w:jc w:val="both"/>
              <w:rPr>
                <w:rFonts w:ascii="Arial Narrow" w:hAnsi="Arial Narrow" w:cs="Arial"/>
                <w:sz w:val="20"/>
                <w:szCs w:val="20"/>
              </w:rPr>
            </w:pPr>
            <w:proofErr w:type="spellStart"/>
            <w:r w:rsidRPr="005F4582">
              <w:rPr>
                <w:rFonts w:ascii="Arial Narrow" w:hAnsi="Arial Narrow" w:cs="Arial"/>
                <w:sz w:val="20"/>
                <w:szCs w:val="20"/>
              </w:rPr>
              <w:t>Imfinzi</w:t>
            </w:r>
            <w:proofErr w:type="spellEnd"/>
          </w:p>
        </w:tc>
        <w:tc>
          <w:tcPr>
            <w:tcW w:w="1491" w:type="pct"/>
            <w:gridSpan w:val="2"/>
          </w:tcPr>
          <w:p w:rsidR="00AD162C" w:rsidRPr="005F4582" w:rsidRDefault="00AD162C" w:rsidP="007D1291">
            <w:pPr>
              <w:keepNext/>
              <w:jc w:val="both"/>
              <w:rPr>
                <w:rFonts w:ascii="Arial Narrow" w:hAnsi="Arial Narrow" w:cs="Arial"/>
                <w:sz w:val="20"/>
                <w:szCs w:val="20"/>
              </w:rPr>
            </w:pPr>
            <w:r w:rsidRPr="005F4582">
              <w:rPr>
                <w:rFonts w:ascii="Arial Narrow" w:hAnsi="Arial Narrow" w:cs="Arial"/>
                <w:sz w:val="20"/>
                <w:szCs w:val="20"/>
              </w:rPr>
              <w:t>AstraZeneca Pty Ltd</w:t>
            </w:r>
          </w:p>
        </w:tc>
      </w:tr>
      <w:tr w:rsidR="00AD162C" w:rsidRPr="005F4582" w:rsidTr="00B22235">
        <w:trPr>
          <w:gridAfter w:val="1"/>
          <w:wAfter w:w="17" w:type="pct"/>
          <w:cantSplit/>
          <w:trHeight w:val="360"/>
        </w:trPr>
        <w:tc>
          <w:tcPr>
            <w:tcW w:w="421" w:type="pct"/>
            <w:tcBorders>
              <w:bottom w:val="single" w:sz="4" w:space="0" w:color="auto"/>
            </w:tcBorders>
          </w:tcPr>
          <w:p w:rsidR="00AD162C" w:rsidRPr="005F4582" w:rsidRDefault="00AD162C" w:rsidP="007D1291">
            <w:pPr>
              <w:jc w:val="both"/>
              <w:rPr>
                <w:rFonts w:ascii="Arial Narrow" w:hAnsi="Arial Narrow" w:cs="Arial"/>
                <w:sz w:val="20"/>
                <w:szCs w:val="20"/>
              </w:rPr>
            </w:pPr>
          </w:p>
        </w:tc>
        <w:tc>
          <w:tcPr>
            <w:tcW w:w="4562" w:type="pct"/>
            <w:gridSpan w:val="7"/>
            <w:tcBorders>
              <w:bottom w:val="single" w:sz="4" w:space="0" w:color="auto"/>
            </w:tcBorders>
          </w:tcPr>
          <w:p w:rsidR="00AD162C" w:rsidRPr="005F4582" w:rsidRDefault="00AD162C" w:rsidP="007D1291">
            <w:pPr>
              <w:jc w:val="both"/>
              <w:rPr>
                <w:rFonts w:ascii="Arial Narrow" w:hAnsi="Arial Narrow" w:cs="Arial"/>
                <w:sz w:val="20"/>
                <w:szCs w:val="20"/>
              </w:rPr>
            </w:pPr>
          </w:p>
        </w:tc>
      </w:tr>
      <w:tr w:rsidR="00B22235" w:rsidRPr="005F4582" w:rsidTr="00B22235">
        <w:trPr>
          <w:gridAfter w:val="1"/>
          <w:wAfter w:w="17" w:type="pct"/>
          <w:cantSplit/>
          <w:trHeight w:val="360"/>
        </w:trPr>
        <w:tc>
          <w:tcPr>
            <w:tcW w:w="1350" w:type="pct"/>
            <w:gridSpan w:val="2"/>
            <w:tcBorders>
              <w:top w:val="single" w:sz="4" w:space="0" w:color="auto"/>
              <w:left w:val="single" w:sz="4" w:space="0" w:color="auto"/>
              <w:bottom w:val="single" w:sz="4" w:space="0" w:color="auto"/>
              <w:right w:val="single" w:sz="4" w:space="0" w:color="auto"/>
            </w:tcBorders>
          </w:tcPr>
          <w:p w:rsidR="00B22235" w:rsidRPr="005F4582" w:rsidRDefault="00B22235" w:rsidP="007D1291">
            <w:pPr>
              <w:rPr>
                <w:rFonts w:ascii="Arial Narrow" w:hAnsi="Arial Narrow" w:cs="Arial"/>
                <w:sz w:val="20"/>
                <w:szCs w:val="20"/>
              </w:rPr>
            </w:pPr>
            <w:r w:rsidRPr="005F4582">
              <w:rPr>
                <w:rFonts w:ascii="Arial Narrow" w:hAnsi="Arial Narrow" w:cs="Arial"/>
                <w:b/>
                <w:sz w:val="20"/>
                <w:szCs w:val="20"/>
              </w:rPr>
              <w:t>Category / Program:</w:t>
            </w:r>
          </w:p>
        </w:tc>
        <w:tc>
          <w:tcPr>
            <w:tcW w:w="3633" w:type="pct"/>
            <w:gridSpan w:val="6"/>
            <w:tcBorders>
              <w:top w:val="single" w:sz="4" w:space="0" w:color="auto"/>
              <w:left w:val="single" w:sz="4" w:space="0" w:color="auto"/>
              <w:bottom w:val="single" w:sz="4" w:space="0" w:color="auto"/>
              <w:right w:val="single" w:sz="4" w:space="0" w:color="auto"/>
            </w:tcBorders>
          </w:tcPr>
          <w:p w:rsidR="00B22235" w:rsidRPr="005F4582" w:rsidRDefault="00B22235" w:rsidP="007D1291">
            <w:pPr>
              <w:rPr>
                <w:rFonts w:ascii="Arial Narrow" w:hAnsi="Arial Narrow" w:cs="Arial"/>
                <w:sz w:val="20"/>
                <w:szCs w:val="20"/>
              </w:rPr>
            </w:pPr>
            <w:r w:rsidRPr="005F4582">
              <w:rPr>
                <w:rFonts w:ascii="Arial Narrow" w:hAnsi="Arial Narrow" w:cs="Arial"/>
                <w:sz w:val="20"/>
                <w:szCs w:val="20"/>
              </w:rPr>
              <w:t>Section 100 – Efficient Funding of Chemotherapy {Related Benefits}</w:t>
            </w:r>
          </w:p>
        </w:tc>
      </w:tr>
      <w:tr w:rsidR="00B22235" w:rsidRPr="005F4582" w:rsidTr="00B22235">
        <w:trPr>
          <w:gridAfter w:val="1"/>
          <w:wAfter w:w="17" w:type="pct"/>
          <w:cantSplit/>
          <w:trHeight w:val="360"/>
        </w:trPr>
        <w:tc>
          <w:tcPr>
            <w:tcW w:w="1350" w:type="pct"/>
            <w:gridSpan w:val="2"/>
            <w:tcBorders>
              <w:top w:val="single" w:sz="4" w:space="0" w:color="auto"/>
              <w:left w:val="single" w:sz="4" w:space="0" w:color="auto"/>
              <w:bottom w:val="single" w:sz="4" w:space="0" w:color="auto"/>
              <w:right w:val="single" w:sz="4" w:space="0" w:color="auto"/>
            </w:tcBorders>
          </w:tcPr>
          <w:p w:rsidR="00B22235" w:rsidRPr="005F4582" w:rsidRDefault="00B22235" w:rsidP="007D1291">
            <w:pPr>
              <w:jc w:val="both"/>
              <w:rPr>
                <w:rFonts w:ascii="Arial Narrow" w:hAnsi="Arial Narrow" w:cs="Arial"/>
                <w:b/>
                <w:sz w:val="20"/>
                <w:szCs w:val="20"/>
              </w:rPr>
            </w:pPr>
            <w:r w:rsidRPr="005F4582">
              <w:rPr>
                <w:rFonts w:ascii="Arial Narrow" w:hAnsi="Arial Narrow" w:cs="Arial"/>
                <w:b/>
                <w:sz w:val="20"/>
                <w:szCs w:val="20"/>
              </w:rPr>
              <w:t>Prescriber type:</w:t>
            </w:r>
          </w:p>
          <w:p w:rsidR="00B22235" w:rsidRPr="005F4582" w:rsidRDefault="00B22235" w:rsidP="007D1291">
            <w:pPr>
              <w:rPr>
                <w:rFonts w:ascii="Arial Narrow" w:hAnsi="Arial Narrow" w:cs="Arial"/>
                <w:sz w:val="20"/>
                <w:szCs w:val="20"/>
              </w:rPr>
            </w:pPr>
          </w:p>
        </w:tc>
        <w:tc>
          <w:tcPr>
            <w:tcW w:w="3633" w:type="pct"/>
            <w:gridSpan w:val="6"/>
            <w:tcBorders>
              <w:top w:val="single" w:sz="4" w:space="0" w:color="auto"/>
              <w:left w:val="single" w:sz="4" w:space="0" w:color="auto"/>
              <w:bottom w:val="single" w:sz="4" w:space="0" w:color="auto"/>
              <w:right w:val="single" w:sz="4" w:space="0" w:color="auto"/>
            </w:tcBorders>
          </w:tcPr>
          <w:p w:rsidR="00B22235" w:rsidRPr="005F4582" w:rsidRDefault="00B22235" w:rsidP="007D1291">
            <w:pPr>
              <w:rPr>
                <w:rFonts w:ascii="Arial Narrow" w:hAnsi="Arial Narrow" w:cs="Arial"/>
                <w:sz w:val="20"/>
                <w:szCs w:val="20"/>
              </w:rPr>
            </w:pPr>
            <w:r w:rsidRPr="00B550F9">
              <w:rPr>
                <w:rFonts w:ascii="Arial Narrow" w:hAnsi="Arial Narrow" w:cs="Arial"/>
                <w:sz w:val="20"/>
                <w:szCs w:val="20"/>
              </w:rPr>
              <w:fldChar w:fldCharType="begin">
                <w:ffData>
                  <w:name w:val="Check1"/>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B550F9">
              <w:rPr>
                <w:rFonts w:ascii="Arial Narrow" w:hAnsi="Arial Narrow" w:cs="Arial"/>
                <w:sz w:val="20"/>
                <w:szCs w:val="20"/>
              </w:rPr>
              <w:fldChar w:fldCharType="end"/>
            </w:r>
            <w:r w:rsidRPr="005F4582">
              <w:rPr>
                <w:rFonts w:ascii="Arial Narrow" w:hAnsi="Arial Narrow" w:cs="Arial"/>
                <w:sz w:val="20"/>
                <w:szCs w:val="20"/>
              </w:rPr>
              <w:t xml:space="preserve">Dental </w:t>
            </w:r>
            <w:r w:rsidRPr="00B550F9">
              <w:rPr>
                <w:rFonts w:ascii="Arial Narrow" w:hAnsi="Arial Narrow" w:cs="Arial"/>
                <w:sz w:val="20"/>
                <w:szCs w:val="20"/>
              </w:rPr>
              <w:fldChar w:fldCharType="begin">
                <w:ffData>
                  <w:name w:val=""/>
                  <w:enabled/>
                  <w:calcOnExit w:val="0"/>
                  <w:checkBox>
                    <w:sizeAuto/>
                    <w:default w:val="1"/>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B550F9">
              <w:rPr>
                <w:rFonts w:ascii="Arial Narrow" w:hAnsi="Arial Narrow" w:cs="Arial"/>
                <w:sz w:val="20"/>
                <w:szCs w:val="20"/>
              </w:rPr>
              <w:fldChar w:fldCharType="end"/>
            </w:r>
            <w:r w:rsidRPr="005F4582">
              <w:rPr>
                <w:rFonts w:ascii="Arial Narrow" w:hAnsi="Arial Narrow" w:cs="Arial"/>
                <w:sz w:val="20"/>
                <w:szCs w:val="20"/>
              </w:rPr>
              <w:t xml:space="preserve">Medical Practitioners </w:t>
            </w:r>
            <w:r w:rsidRPr="00B550F9">
              <w:rPr>
                <w:rFonts w:ascii="Arial Narrow" w:hAnsi="Arial Narrow" w:cs="Arial"/>
                <w:sz w:val="20"/>
                <w:szCs w:val="20"/>
              </w:rPr>
              <w:fldChar w:fldCharType="begin">
                <w:ffData>
                  <w:name w:val="Check3"/>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B550F9">
              <w:rPr>
                <w:rFonts w:ascii="Arial Narrow" w:hAnsi="Arial Narrow" w:cs="Arial"/>
                <w:sz w:val="20"/>
                <w:szCs w:val="20"/>
              </w:rPr>
              <w:fldChar w:fldCharType="end"/>
            </w:r>
            <w:r w:rsidRPr="005F4582">
              <w:rPr>
                <w:rFonts w:ascii="Arial Narrow" w:hAnsi="Arial Narrow" w:cs="Arial"/>
                <w:sz w:val="20"/>
                <w:szCs w:val="20"/>
              </w:rPr>
              <w:t xml:space="preserve">Nurse practitioners </w:t>
            </w:r>
            <w:r w:rsidRPr="00B550F9">
              <w:rPr>
                <w:rFonts w:ascii="Arial Narrow" w:hAnsi="Arial Narrow" w:cs="Arial"/>
                <w:sz w:val="20"/>
                <w:szCs w:val="20"/>
              </w:rPr>
              <w:fldChar w:fldCharType="begin">
                <w:ffData>
                  <w:name w:val=""/>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B550F9">
              <w:rPr>
                <w:rFonts w:ascii="Arial Narrow" w:hAnsi="Arial Narrow" w:cs="Arial"/>
                <w:sz w:val="20"/>
                <w:szCs w:val="20"/>
              </w:rPr>
              <w:fldChar w:fldCharType="end"/>
            </w:r>
            <w:r w:rsidRPr="005F4582">
              <w:rPr>
                <w:rFonts w:ascii="Arial Narrow" w:hAnsi="Arial Narrow" w:cs="Arial"/>
                <w:sz w:val="20"/>
                <w:szCs w:val="20"/>
              </w:rPr>
              <w:t xml:space="preserve">Optometrists </w:t>
            </w:r>
            <w:r w:rsidRPr="00B550F9">
              <w:rPr>
                <w:rFonts w:ascii="Arial Narrow" w:hAnsi="Arial Narrow" w:cs="Arial"/>
                <w:sz w:val="20"/>
                <w:szCs w:val="20"/>
              </w:rPr>
              <w:fldChar w:fldCharType="begin">
                <w:ffData>
                  <w:name w:val="Check5"/>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B550F9">
              <w:rPr>
                <w:rFonts w:ascii="Arial Narrow" w:hAnsi="Arial Narrow" w:cs="Arial"/>
                <w:sz w:val="20"/>
                <w:szCs w:val="20"/>
              </w:rPr>
              <w:fldChar w:fldCharType="end"/>
            </w:r>
            <w:r w:rsidRPr="005F4582">
              <w:rPr>
                <w:rFonts w:ascii="Arial Narrow" w:hAnsi="Arial Narrow" w:cs="Arial"/>
                <w:sz w:val="20"/>
                <w:szCs w:val="20"/>
              </w:rPr>
              <w:t>Midwives</w:t>
            </w:r>
          </w:p>
        </w:tc>
      </w:tr>
      <w:tr w:rsidR="00B22235" w:rsidRPr="005F4582" w:rsidTr="00B22235">
        <w:trPr>
          <w:gridAfter w:val="1"/>
          <w:wAfter w:w="17" w:type="pct"/>
          <w:cantSplit/>
          <w:trHeight w:val="360"/>
        </w:trPr>
        <w:tc>
          <w:tcPr>
            <w:tcW w:w="1350" w:type="pct"/>
            <w:gridSpan w:val="2"/>
            <w:tcBorders>
              <w:top w:val="single" w:sz="4" w:space="0" w:color="auto"/>
              <w:left w:val="single" w:sz="4" w:space="0" w:color="auto"/>
              <w:bottom w:val="single" w:sz="4" w:space="0" w:color="auto"/>
              <w:right w:val="single" w:sz="4" w:space="0" w:color="auto"/>
            </w:tcBorders>
          </w:tcPr>
          <w:p w:rsidR="00B22235" w:rsidRPr="005F4582" w:rsidRDefault="00B22235" w:rsidP="007D1291">
            <w:pPr>
              <w:rPr>
                <w:rFonts w:ascii="Arial Narrow" w:hAnsi="Arial Narrow" w:cs="Arial"/>
                <w:sz w:val="20"/>
                <w:szCs w:val="20"/>
              </w:rPr>
            </w:pPr>
            <w:r w:rsidRPr="005F4582">
              <w:rPr>
                <w:rFonts w:ascii="Arial Narrow" w:hAnsi="Arial Narrow" w:cs="Arial"/>
                <w:b/>
                <w:sz w:val="20"/>
                <w:szCs w:val="20"/>
              </w:rPr>
              <w:t>Severity:</w:t>
            </w:r>
          </w:p>
        </w:tc>
        <w:tc>
          <w:tcPr>
            <w:tcW w:w="3633" w:type="pct"/>
            <w:gridSpan w:val="6"/>
            <w:tcBorders>
              <w:top w:val="single" w:sz="4" w:space="0" w:color="auto"/>
              <w:left w:val="single" w:sz="4" w:space="0" w:color="auto"/>
              <w:bottom w:val="single" w:sz="4" w:space="0" w:color="auto"/>
              <w:right w:val="single" w:sz="4" w:space="0" w:color="auto"/>
            </w:tcBorders>
          </w:tcPr>
          <w:p w:rsidR="00B22235" w:rsidRPr="005F4582" w:rsidRDefault="00B22235" w:rsidP="007D1291">
            <w:pPr>
              <w:rPr>
                <w:rFonts w:ascii="Arial Narrow" w:hAnsi="Arial Narrow" w:cs="Arial"/>
                <w:sz w:val="20"/>
                <w:szCs w:val="20"/>
              </w:rPr>
            </w:pPr>
            <w:proofErr w:type="spellStart"/>
            <w:r w:rsidRPr="005F4582">
              <w:rPr>
                <w:rFonts w:ascii="Arial Narrow" w:hAnsi="Arial Narrow" w:cs="Arial"/>
                <w:sz w:val="20"/>
                <w:szCs w:val="20"/>
              </w:rPr>
              <w:t>Unresectable</w:t>
            </w:r>
            <w:proofErr w:type="spellEnd"/>
          </w:p>
        </w:tc>
      </w:tr>
      <w:tr w:rsidR="00B22235" w:rsidRPr="005F4582" w:rsidTr="00B22235">
        <w:trPr>
          <w:gridAfter w:val="1"/>
          <w:wAfter w:w="17" w:type="pct"/>
          <w:cantSplit/>
          <w:trHeight w:val="360"/>
        </w:trPr>
        <w:tc>
          <w:tcPr>
            <w:tcW w:w="1350" w:type="pct"/>
            <w:gridSpan w:val="2"/>
            <w:tcBorders>
              <w:top w:val="single" w:sz="4" w:space="0" w:color="auto"/>
              <w:left w:val="single" w:sz="4" w:space="0" w:color="auto"/>
              <w:bottom w:val="single" w:sz="4" w:space="0" w:color="auto"/>
              <w:right w:val="single" w:sz="4" w:space="0" w:color="auto"/>
            </w:tcBorders>
          </w:tcPr>
          <w:p w:rsidR="00B22235" w:rsidRPr="005F4582" w:rsidRDefault="00B22235" w:rsidP="007D1291">
            <w:pPr>
              <w:rPr>
                <w:rFonts w:ascii="Arial Narrow" w:hAnsi="Arial Narrow" w:cs="Arial"/>
                <w:sz w:val="20"/>
                <w:szCs w:val="20"/>
              </w:rPr>
            </w:pPr>
            <w:r w:rsidRPr="005F4582">
              <w:rPr>
                <w:rFonts w:ascii="Arial Narrow" w:hAnsi="Arial Narrow" w:cs="Arial"/>
                <w:b/>
                <w:sz w:val="20"/>
                <w:szCs w:val="20"/>
              </w:rPr>
              <w:t>Condition:</w:t>
            </w:r>
          </w:p>
        </w:tc>
        <w:tc>
          <w:tcPr>
            <w:tcW w:w="3633" w:type="pct"/>
            <w:gridSpan w:val="6"/>
            <w:tcBorders>
              <w:top w:val="single" w:sz="4" w:space="0" w:color="auto"/>
              <w:left w:val="single" w:sz="4" w:space="0" w:color="auto"/>
              <w:bottom w:val="single" w:sz="4" w:space="0" w:color="auto"/>
              <w:right w:val="single" w:sz="4" w:space="0" w:color="auto"/>
            </w:tcBorders>
          </w:tcPr>
          <w:p w:rsidR="00B22235" w:rsidRPr="005F4582" w:rsidRDefault="00B22235" w:rsidP="007D1291">
            <w:pPr>
              <w:rPr>
                <w:rFonts w:ascii="Arial Narrow" w:hAnsi="Arial Narrow" w:cs="Arial"/>
                <w:sz w:val="20"/>
                <w:szCs w:val="20"/>
              </w:rPr>
            </w:pPr>
            <w:r w:rsidRPr="005F4582">
              <w:rPr>
                <w:rFonts w:ascii="Arial Narrow" w:hAnsi="Arial Narrow" w:cs="Arial"/>
                <w:sz w:val="20"/>
                <w:szCs w:val="20"/>
              </w:rPr>
              <w:t>Stage III non-small cell lung cancer</w:t>
            </w:r>
          </w:p>
        </w:tc>
      </w:tr>
      <w:tr w:rsidR="00B22235" w:rsidRPr="005F4582" w:rsidTr="00B22235">
        <w:trPr>
          <w:gridAfter w:val="1"/>
          <w:wAfter w:w="17" w:type="pct"/>
          <w:cantSplit/>
          <w:trHeight w:val="369"/>
        </w:trPr>
        <w:tc>
          <w:tcPr>
            <w:tcW w:w="1350" w:type="pct"/>
            <w:gridSpan w:val="2"/>
            <w:tcBorders>
              <w:top w:val="single" w:sz="4" w:space="0" w:color="auto"/>
              <w:left w:val="single" w:sz="4" w:space="0" w:color="auto"/>
              <w:bottom w:val="single" w:sz="4" w:space="0" w:color="auto"/>
              <w:right w:val="single" w:sz="4" w:space="0" w:color="auto"/>
            </w:tcBorders>
          </w:tcPr>
          <w:p w:rsidR="00B22235" w:rsidRPr="005F4582" w:rsidRDefault="00B22235" w:rsidP="007D1291">
            <w:pPr>
              <w:jc w:val="both"/>
              <w:rPr>
                <w:rFonts w:ascii="Arial Narrow" w:hAnsi="Arial Narrow" w:cs="Arial"/>
                <w:b/>
                <w:sz w:val="20"/>
                <w:szCs w:val="20"/>
              </w:rPr>
            </w:pPr>
            <w:r w:rsidRPr="005F4582">
              <w:rPr>
                <w:rFonts w:ascii="Arial Narrow" w:hAnsi="Arial Narrow" w:cs="Arial"/>
                <w:b/>
                <w:sz w:val="20"/>
                <w:szCs w:val="20"/>
              </w:rPr>
              <w:t>PBS Indication:</w:t>
            </w:r>
          </w:p>
          <w:p w:rsidR="00B22235" w:rsidRPr="005F4582" w:rsidRDefault="00B22235" w:rsidP="007D1291">
            <w:pPr>
              <w:rPr>
                <w:rFonts w:ascii="Arial Narrow" w:hAnsi="Arial Narrow" w:cs="Arial"/>
                <w:sz w:val="20"/>
                <w:szCs w:val="20"/>
              </w:rPr>
            </w:pPr>
          </w:p>
        </w:tc>
        <w:tc>
          <w:tcPr>
            <w:tcW w:w="3633" w:type="pct"/>
            <w:gridSpan w:val="6"/>
            <w:tcBorders>
              <w:top w:val="single" w:sz="4" w:space="0" w:color="auto"/>
              <w:left w:val="single" w:sz="4" w:space="0" w:color="auto"/>
              <w:bottom w:val="single" w:sz="4" w:space="0" w:color="auto"/>
              <w:right w:val="single" w:sz="4" w:space="0" w:color="auto"/>
            </w:tcBorders>
          </w:tcPr>
          <w:p w:rsidR="00B22235" w:rsidRPr="005F4582" w:rsidRDefault="00B22235" w:rsidP="007D1291">
            <w:pPr>
              <w:rPr>
                <w:rFonts w:ascii="Arial Narrow" w:hAnsi="Arial Narrow" w:cs="Arial"/>
                <w:sz w:val="20"/>
                <w:szCs w:val="20"/>
              </w:rPr>
            </w:pPr>
            <w:proofErr w:type="spellStart"/>
            <w:r w:rsidRPr="005F4582">
              <w:rPr>
                <w:rFonts w:ascii="Arial Narrow" w:hAnsi="Arial Narrow" w:cs="Arial"/>
                <w:sz w:val="20"/>
                <w:szCs w:val="20"/>
              </w:rPr>
              <w:t>Unresectable</w:t>
            </w:r>
            <w:proofErr w:type="spellEnd"/>
            <w:r w:rsidRPr="005F4582">
              <w:rPr>
                <w:rFonts w:ascii="Arial Narrow" w:hAnsi="Arial Narrow" w:cs="Arial"/>
                <w:sz w:val="20"/>
                <w:szCs w:val="20"/>
              </w:rPr>
              <w:t xml:space="preserve"> Stage III non-small cell lung cancer</w:t>
            </w:r>
          </w:p>
        </w:tc>
      </w:tr>
      <w:tr w:rsidR="00B22235" w:rsidRPr="005F4582" w:rsidTr="00B22235">
        <w:trPr>
          <w:gridAfter w:val="1"/>
          <w:wAfter w:w="17" w:type="pct"/>
          <w:cantSplit/>
          <w:trHeight w:val="360"/>
        </w:trPr>
        <w:tc>
          <w:tcPr>
            <w:tcW w:w="1350" w:type="pct"/>
            <w:gridSpan w:val="2"/>
            <w:tcBorders>
              <w:top w:val="single" w:sz="4" w:space="0" w:color="auto"/>
              <w:left w:val="single" w:sz="4" w:space="0" w:color="auto"/>
              <w:bottom w:val="single" w:sz="4" w:space="0" w:color="auto"/>
              <w:right w:val="single" w:sz="4" w:space="0" w:color="auto"/>
            </w:tcBorders>
          </w:tcPr>
          <w:p w:rsidR="00B22235" w:rsidRPr="005F4582" w:rsidRDefault="00B22235" w:rsidP="00A619D2">
            <w:pPr>
              <w:jc w:val="both"/>
              <w:rPr>
                <w:rFonts w:ascii="Arial Narrow" w:hAnsi="Arial Narrow" w:cs="Arial"/>
                <w:sz w:val="20"/>
                <w:szCs w:val="20"/>
              </w:rPr>
            </w:pPr>
            <w:r w:rsidRPr="005F4582">
              <w:rPr>
                <w:rFonts w:ascii="Arial Narrow" w:hAnsi="Arial Narrow" w:cs="Arial"/>
                <w:b/>
                <w:sz w:val="20"/>
                <w:szCs w:val="20"/>
              </w:rPr>
              <w:t>Restriction Level / Method:</w:t>
            </w:r>
            <w:r w:rsidR="00A619D2" w:rsidRPr="005F4582">
              <w:rPr>
                <w:rFonts w:ascii="Arial Narrow" w:hAnsi="Arial Narrow" w:cs="Arial"/>
                <w:sz w:val="20"/>
                <w:szCs w:val="20"/>
              </w:rPr>
              <w:t xml:space="preserve"> </w:t>
            </w:r>
          </w:p>
        </w:tc>
        <w:tc>
          <w:tcPr>
            <w:tcW w:w="3633" w:type="pct"/>
            <w:gridSpan w:val="6"/>
            <w:tcBorders>
              <w:top w:val="single" w:sz="4" w:space="0" w:color="auto"/>
              <w:left w:val="single" w:sz="4" w:space="0" w:color="auto"/>
              <w:bottom w:val="single" w:sz="4" w:space="0" w:color="auto"/>
              <w:right w:val="single" w:sz="4" w:space="0" w:color="auto"/>
            </w:tcBorders>
          </w:tcPr>
          <w:p w:rsidR="00B22235" w:rsidRPr="005F4582" w:rsidRDefault="00B22235" w:rsidP="007D1291">
            <w:pPr>
              <w:rPr>
                <w:rFonts w:ascii="Arial Narrow" w:hAnsi="Arial Narrow" w:cs="Arial"/>
                <w:sz w:val="20"/>
                <w:szCs w:val="20"/>
              </w:rPr>
            </w:pPr>
            <w:r w:rsidRPr="00B550F9">
              <w:rPr>
                <w:rFonts w:ascii="Arial Narrow" w:hAnsi="Arial Narrow" w:cs="Arial"/>
                <w:sz w:val="20"/>
                <w:szCs w:val="20"/>
              </w:rPr>
              <w:fldChar w:fldCharType="begin">
                <w:ffData>
                  <w:name w:val="Check1"/>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B550F9">
              <w:rPr>
                <w:rFonts w:ascii="Arial Narrow" w:hAnsi="Arial Narrow" w:cs="Arial"/>
                <w:sz w:val="20"/>
                <w:szCs w:val="20"/>
              </w:rPr>
              <w:fldChar w:fldCharType="end"/>
            </w:r>
            <w:r w:rsidRPr="005F4582">
              <w:rPr>
                <w:rFonts w:ascii="Arial Narrow" w:hAnsi="Arial Narrow" w:cs="Arial"/>
                <w:sz w:val="20"/>
                <w:szCs w:val="20"/>
              </w:rPr>
              <w:t>Restricted benefit</w:t>
            </w:r>
          </w:p>
          <w:p w:rsidR="00B22235" w:rsidRPr="005F4582" w:rsidRDefault="00B22235" w:rsidP="007D1291">
            <w:pPr>
              <w:rPr>
                <w:rFonts w:ascii="Arial Narrow" w:hAnsi="Arial Narrow" w:cs="Arial"/>
                <w:sz w:val="20"/>
                <w:szCs w:val="20"/>
              </w:rPr>
            </w:pPr>
            <w:r w:rsidRPr="00B550F9">
              <w:rPr>
                <w:rFonts w:ascii="Arial Narrow" w:hAnsi="Arial Narrow" w:cs="Arial"/>
                <w:sz w:val="20"/>
                <w:szCs w:val="20"/>
              </w:rPr>
              <w:fldChar w:fldCharType="begin">
                <w:ffData>
                  <w:name w:val=""/>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B550F9">
              <w:rPr>
                <w:rFonts w:ascii="Arial Narrow" w:hAnsi="Arial Narrow" w:cs="Arial"/>
                <w:sz w:val="20"/>
                <w:szCs w:val="20"/>
              </w:rPr>
              <w:fldChar w:fldCharType="end"/>
            </w:r>
            <w:r w:rsidRPr="005F4582">
              <w:rPr>
                <w:rFonts w:ascii="Arial Narrow" w:hAnsi="Arial Narrow" w:cs="Arial"/>
                <w:sz w:val="20"/>
                <w:szCs w:val="20"/>
              </w:rPr>
              <w:t>Authority Required – In Writing</w:t>
            </w:r>
          </w:p>
          <w:p w:rsidR="00B22235" w:rsidRPr="005F6BE7" w:rsidRDefault="00B22235" w:rsidP="007D1291">
            <w:pPr>
              <w:rPr>
                <w:rFonts w:ascii="Arial Narrow" w:hAnsi="Arial Narrow" w:cs="Arial"/>
                <w:sz w:val="20"/>
                <w:szCs w:val="20"/>
              </w:rPr>
            </w:pPr>
            <w:r w:rsidRPr="00B550F9">
              <w:rPr>
                <w:rFonts w:ascii="Arial Narrow" w:hAnsi="Arial Narrow" w:cs="Arial"/>
                <w:sz w:val="20"/>
                <w:szCs w:val="20"/>
              </w:rPr>
              <w:fldChar w:fldCharType="begin">
                <w:ffData>
                  <w:name w:val="Check3"/>
                  <w:enabled/>
                  <w:calcOnExit w:val="0"/>
                  <w:checkBox>
                    <w:sizeAuto/>
                    <w:default w:val="0"/>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B550F9">
              <w:rPr>
                <w:rFonts w:ascii="Arial Narrow" w:hAnsi="Arial Narrow" w:cs="Arial"/>
                <w:sz w:val="20"/>
                <w:szCs w:val="20"/>
              </w:rPr>
              <w:fldChar w:fldCharType="end"/>
            </w:r>
            <w:r w:rsidRPr="005F4582">
              <w:rPr>
                <w:rFonts w:ascii="Arial Narrow" w:hAnsi="Arial Narrow" w:cs="Arial"/>
                <w:sz w:val="20"/>
                <w:szCs w:val="20"/>
              </w:rPr>
              <w:t>Authority Required – Telephone/</w:t>
            </w:r>
            <w:r w:rsidRPr="005F6BE7">
              <w:rPr>
                <w:rFonts w:ascii="Arial Narrow" w:hAnsi="Arial Narrow" w:cs="Arial"/>
                <w:sz w:val="20"/>
                <w:szCs w:val="20"/>
              </w:rPr>
              <w:t>Electronic/Emergency</w:t>
            </w:r>
          </w:p>
          <w:p w:rsidR="00B22235" w:rsidRPr="005F4582" w:rsidRDefault="00B22235" w:rsidP="007D1291">
            <w:pPr>
              <w:rPr>
                <w:rFonts w:ascii="Arial Narrow" w:hAnsi="Arial Narrow" w:cs="Arial"/>
                <w:sz w:val="20"/>
                <w:szCs w:val="20"/>
              </w:rPr>
            </w:pPr>
            <w:r w:rsidRPr="00B550F9">
              <w:rPr>
                <w:rFonts w:ascii="Arial Narrow" w:hAnsi="Arial Narrow" w:cs="Arial"/>
                <w:sz w:val="20"/>
                <w:szCs w:val="20"/>
              </w:rPr>
              <w:fldChar w:fldCharType="begin">
                <w:ffData>
                  <w:name w:val="Check5"/>
                  <w:enabled/>
                  <w:calcOnExit w:val="0"/>
                  <w:checkBox>
                    <w:sizeAuto/>
                    <w:default w:val="1"/>
                  </w:checkBox>
                </w:ffData>
              </w:fldChar>
            </w:r>
            <w:r w:rsidRPr="005F4582">
              <w:rPr>
                <w:rFonts w:ascii="Arial Narrow" w:hAnsi="Arial Narrow" w:cs="Arial"/>
                <w:sz w:val="20"/>
                <w:szCs w:val="20"/>
              </w:rPr>
              <w:instrText xml:space="preserve"> FORMCHECKBOX </w:instrText>
            </w:r>
            <w:r w:rsidR="001123E9">
              <w:rPr>
                <w:rFonts w:ascii="Arial Narrow" w:hAnsi="Arial Narrow" w:cs="Arial"/>
                <w:sz w:val="20"/>
                <w:szCs w:val="20"/>
              </w:rPr>
            </w:r>
            <w:r w:rsidR="001123E9">
              <w:rPr>
                <w:rFonts w:ascii="Arial Narrow" w:hAnsi="Arial Narrow" w:cs="Arial"/>
                <w:sz w:val="20"/>
                <w:szCs w:val="20"/>
              </w:rPr>
              <w:fldChar w:fldCharType="separate"/>
            </w:r>
            <w:r w:rsidRPr="00B550F9">
              <w:rPr>
                <w:rFonts w:ascii="Arial Narrow" w:hAnsi="Arial Narrow" w:cs="Arial"/>
                <w:sz w:val="20"/>
                <w:szCs w:val="20"/>
              </w:rPr>
              <w:fldChar w:fldCharType="end"/>
            </w:r>
            <w:r w:rsidRPr="005F4582">
              <w:rPr>
                <w:rFonts w:ascii="Arial Narrow" w:hAnsi="Arial Narrow" w:cs="Arial"/>
                <w:sz w:val="20"/>
                <w:szCs w:val="20"/>
              </w:rPr>
              <w:t>Streamlined</w:t>
            </w:r>
          </w:p>
        </w:tc>
      </w:tr>
      <w:tr w:rsidR="00B22235" w:rsidRPr="005F4582" w:rsidTr="00B22235">
        <w:trPr>
          <w:gridAfter w:val="1"/>
          <w:wAfter w:w="17" w:type="pct"/>
          <w:cantSplit/>
          <w:trHeight w:val="657"/>
        </w:trPr>
        <w:tc>
          <w:tcPr>
            <w:tcW w:w="1350" w:type="pct"/>
            <w:gridSpan w:val="2"/>
            <w:tcBorders>
              <w:top w:val="single" w:sz="4" w:space="0" w:color="auto"/>
              <w:left w:val="single" w:sz="4" w:space="0" w:color="auto"/>
              <w:bottom w:val="single" w:sz="4" w:space="0" w:color="auto"/>
              <w:right w:val="single" w:sz="4" w:space="0" w:color="auto"/>
            </w:tcBorders>
          </w:tcPr>
          <w:p w:rsidR="00B22235" w:rsidRPr="005F4582" w:rsidRDefault="00B22235" w:rsidP="007D1291">
            <w:pPr>
              <w:jc w:val="both"/>
              <w:rPr>
                <w:rFonts w:ascii="Arial Narrow" w:hAnsi="Arial Narrow" w:cs="Arial"/>
                <w:b/>
                <w:sz w:val="20"/>
                <w:szCs w:val="20"/>
              </w:rPr>
            </w:pPr>
            <w:r w:rsidRPr="005F4582">
              <w:rPr>
                <w:rFonts w:ascii="Arial Narrow" w:hAnsi="Arial Narrow" w:cs="Arial"/>
                <w:b/>
                <w:sz w:val="20"/>
                <w:szCs w:val="20"/>
              </w:rPr>
              <w:lastRenderedPageBreak/>
              <w:t>Clinical criteria:</w:t>
            </w:r>
          </w:p>
          <w:p w:rsidR="00B22235" w:rsidRPr="005F4582" w:rsidRDefault="00B22235" w:rsidP="007D1291">
            <w:pPr>
              <w:pStyle w:val="TableText0"/>
              <w:rPr>
                <w:u w:val="single"/>
              </w:rPr>
            </w:pPr>
          </w:p>
        </w:tc>
        <w:tc>
          <w:tcPr>
            <w:tcW w:w="3633" w:type="pct"/>
            <w:gridSpan w:val="6"/>
            <w:tcBorders>
              <w:top w:val="single" w:sz="4" w:space="0" w:color="auto"/>
              <w:left w:val="single" w:sz="4" w:space="0" w:color="auto"/>
              <w:bottom w:val="single" w:sz="4" w:space="0" w:color="auto"/>
              <w:right w:val="single" w:sz="4" w:space="0" w:color="auto"/>
            </w:tcBorders>
          </w:tcPr>
          <w:p w:rsidR="00B22235" w:rsidRPr="005F4582" w:rsidRDefault="00B22235" w:rsidP="007D1291">
            <w:pPr>
              <w:pStyle w:val="TableText0"/>
              <w:rPr>
                <w:u w:val="single"/>
              </w:rPr>
            </w:pPr>
            <w:r w:rsidRPr="005F4582">
              <w:rPr>
                <w:u w:val="single"/>
              </w:rPr>
              <w:t>Initial</w:t>
            </w:r>
          </w:p>
          <w:p w:rsidR="00B22235" w:rsidRPr="005F4582" w:rsidRDefault="00B22235" w:rsidP="007D1291">
            <w:pPr>
              <w:pStyle w:val="TableText0"/>
            </w:pPr>
            <w:r w:rsidRPr="005F4582">
              <w:t xml:space="preserve">The patient must have received platinum based </w:t>
            </w:r>
            <w:proofErr w:type="spellStart"/>
            <w:r w:rsidRPr="005F4582">
              <w:t>chemoradiation</w:t>
            </w:r>
            <w:proofErr w:type="spellEnd"/>
            <w:r w:rsidRPr="005F4582">
              <w:t xml:space="preserve"> therapy </w:t>
            </w:r>
          </w:p>
          <w:p w:rsidR="00B22235" w:rsidRPr="005F4582" w:rsidRDefault="00B22235" w:rsidP="007D1291">
            <w:pPr>
              <w:pStyle w:val="TableText0"/>
            </w:pPr>
            <w:r w:rsidRPr="005F4582">
              <w:t xml:space="preserve">AND </w:t>
            </w:r>
          </w:p>
          <w:p w:rsidR="00B22235" w:rsidRPr="005F4582" w:rsidRDefault="00B22235" w:rsidP="007D1291">
            <w:pPr>
              <w:pStyle w:val="TableText0"/>
            </w:pPr>
            <w:r w:rsidRPr="005F4582">
              <w:t xml:space="preserve">The condition must not have progressed following platinum based </w:t>
            </w:r>
            <w:proofErr w:type="spellStart"/>
            <w:r w:rsidRPr="005F4582">
              <w:t>chemoradiation</w:t>
            </w:r>
            <w:proofErr w:type="spellEnd"/>
            <w:r w:rsidRPr="005F4582">
              <w:t xml:space="preserve"> therapy </w:t>
            </w:r>
          </w:p>
          <w:p w:rsidR="00B22235" w:rsidRPr="005F4582" w:rsidRDefault="00B22235" w:rsidP="007D1291">
            <w:pPr>
              <w:pStyle w:val="TableText0"/>
            </w:pPr>
            <w:r w:rsidRPr="005F4582">
              <w:t>AND</w:t>
            </w:r>
          </w:p>
          <w:p w:rsidR="00B22235" w:rsidRPr="005F4582" w:rsidRDefault="00B22235" w:rsidP="007D1291">
            <w:pPr>
              <w:pStyle w:val="TableText0"/>
            </w:pPr>
            <w:r w:rsidRPr="005F4582">
              <w:t>Patient must have a WHO performance status of 0 or 1</w:t>
            </w:r>
          </w:p>
          <w:p w:rsidR="00B22235" w:rsidRPr="005F4582" w:rsidRDefault="00B22235" w:rsidP="007D1291">
            <w:pPr>
              <w:pStyle w:val="TableText0"/>
            </w:pPr>
            <w:r w:rsidRPr="005F4582">
              <w:t>AND</w:t>
            </w:r>
          </w:p>
          <w:p w:rsidR="00B22235" w:rsidRPr="005F4582" w:rsidRDefault="00B22235" w:rsidP="007D1291">
            <w:pPr>
              <w:pStyle w:val="TableText0"/>
            </w:pPr>
            <w:r w:rsidRPr="005F4582">
              <w:t xml:space="preserve">Patient must not have previously received PBS-subsidised treatment with this drug for this condition </w:t>
            </w:r>
          </w:p>
          <w:p w:rsidR="00B22235" w:rsidRPr="005F4582" w:rsidRDefault="00B22235" w:rsidP="007D1291">
            <w:pPr>
              <w:pStyle w:val="TableText0"/>
            </w:pPr>
            <w:r w:rsidRPr="005F4582">
              <w:t xml:space="preserve">AND </w:t>
            </w:r>
          </w:p>
          <w:p w:rsidR="00B22235" w:rsidRPr="005F4582" w:rsidRDefault="00B22235" w:rsidP="007D1291">
            <w:pPr>
              <w:pStyle w:val="TableText0"/>
            </w:pPr>
            <w:r w:rsidRPr="005F4582">
              <w:t xml:space="preserve">The treatment must be the sole PBS-subsidised systemic anti-cancer therapy for this condition </w:t>
            </w:r>
          </w:p>
          <w:p w:rsidR="00B22235" w:rsidRPr="005F4582" w:rsidRDefault="00B22235" w:rsidP="007D1291">
            <w:pPr>
              <w:pStyle w:val="TableText0"/>
              <w:rPr>
                <w:u w:val="single"/>
              </w:rPr>
            </w:pPr>
            <w:r w:rsidRPr="005F4582">
              <w:rPr>
                <w:u w:val="single"/>
              </w:rPr>
              <w:t>Continuing</w:t>
            </w:r>
          </w:p>
          <w:p w:rsidR="00B22235" w:rsidRPr="005F4582" w:rsidRDefault="00B22235" w:rsidP="007D1291">
            <w:pPr>
              <w:pStyle w:val="TableText0"/>
            </w:pPr>
            <w:r w:rsidRPr="005F4582">
              <w:rPr>
                <w:bCs/>
              </w:rPr>
              <w:t xml:space="preserve">Patient must not have developed disease progression while being treated with this drug for this condition </w:t>
            </w:r>
          </w:p>
          <w:p w:rsidR="00B22235" w:rsidRPr="005F4582" w:rsidRDefault="00B22235" w:rsidP="007D1291">
            <w:pPr>
              <w:pStyle w:val="TableText0"/>
            </w:pPr>
            <w:r w:rsidRPr="005F4582">
              <w:t>AND</w:t>
            </w:r>
          </w:p>
          <w:p w:rsidR="00B22235" w:rsidRPr="005F4582" w:rsidRDefault="00B22235" w:rsidP="007D1291">
            <w:pPr>
              <w:pStyle w:val="TableText0"/>
            </w:pPr>
            <w:r w:rsidRPr="005F4582">
              <w:t xml:space="preserve">Patient must have previously received PBS-subsidised treatment with this drug for this condition </w:t>
            </w:r>
          </w:p>
          <w:p w:rsidR="00B22235" w:rsidRPr="005F4582" w:rsidRDefault="00B22235" w:rsidP="007D1291">
            <w:pPr>
              <w:pStyle w:val="TableText0"/>
            </w:pPr>
            <w:r w:rsidRPr="005F4582">
              <w:t xml:space="preserve">AND </w:t>
            </w:r>
          </w:p>
          <w:p w:rsidR="00B22235" w:rsidRPr="005F4582" w:rsidRDefault="00B22235" w:rsidP="007D1291">
            <w:pPr>
              <w:pStyle w:val="TableText0"/>
            </w:pPr>
            <w:r w:rsidRPr="005F4582">
              <w:t xml:space="preserve">The treatment must be the sole PBS-subsidised systemic anti-cancer therapy for this condition </w:t>
            </w:r>
          </w:p>
          <w:p w:rsidR="00B22235" w:rsidRPr="005F4582" w:rsidRDefault="00B22235" w:rsidP="007D1291">
            <w:pPr>
              <w:pStyle w:val="TableText0"/>
            </w:pPr>
            <w:r w:rsidRPr="005F4582">
              <w:t>AND</w:t>
            </w:r>
          </w:p>
          <w:p w:rsidR="00B22235" w:rsidRPr="005F4582" w:rsidRDefault="00B22235" w:rsidP="007D1291">
            <w:pPr>
              <w:pStyle w:val="TableText0"/>
              <w:rPr>
                <w:strike/>
              </w:rPr>
            </w:pPr>
            <w:r w:rsidRPr="005F4582">
              <w:rPr>
                <w:i/>
              </w:rPr>
              <w:t xml:space="preserve">The </w:t>
            </w:r>
            <w:r w:rsidRPr="005F4582">
              <w:t xml:space="preserve">treatment must not exceed 12 months duration </w:t>
            </w:r>
          </w:p>
          <w:p w:rsidR="00B22235" w:rsidRPr="005F4582" w:rsidRDefault="00B22235" w:rsidP="007D1291">
            <w:pPr>
              <w:pStyle w:val="TableText0"/>
              <w:rPr>
                <w:u w:val="single"/>
              </w:rPr>
            </w:pPr>
            <w:r w:rsidRPr="005F4582">
              <w:rPr>
                <w:u w:val="single"/>
              </w:rPr>
              <w:t>Grandfathering</w:t>
            </w:r>
          </w:p>
          <w:p w:rsidR="00B22235" w:rsidRPr="005F4582" w:rsidRDefault="00B22235" w:rsidP="007D1291">
            <w:pPr>
              <w:pStyle w:val="TableText0"/>
            </w:pPr>
            <w:r w:rsidRPr="005F4582">
              <w:t xml:space="preserve">The patient must have received </w:t>
            </w:r>
            <w:r w:rsidRPr="005F4582">
              <w:rPr>
                <w:i/>
              </w:rPr>
              <w:t xml:space="preserve">non-PBS subsidised </w:t>
            </w:r>
            <w:r w:rsidRPr="005F4582">
              <w:t xml:space="preserve">treatment with this drug for this condition prior to [DATE] </w:t>
            </w:r>
          </w:p>
          <w:p w:rsidR="00B22235" w:rsidRPr="005F4582" w:rsidRDefault="00B22235" w:rsidP="007D1291">
            <w:pPr>
              <w:pStyle w:val="TableText0"/>
            </w:pPr>
            <w:r w:rsidRPr="005F4582">
              <w:t xml:space="preserve">AND </w:t>
            </w:r>
          </w:p>
          <w:p w:rsidR="00B22235" w:rsidRPr="005F4582" w:rsidRDefault="00B22235" w:rsidP="007D1291">
            <w:pPr>
              <w:pStyle w:val="TableText0"/>
            </w:pPr>
            <w:r w:rsidRPr="005F4582">
              <w:t>Patient must have had a WHO performance status of 0 or 1 prior to initiation of non-PBS subsidised treatment with this drug for this condition</w:t>
            </w:r>
          </w:p>
          <w:p w:rsidR="00B22235" w:rsidRPr="005F4582" w:rsidRDefault="00B22235" w:rsidP="007D1291">
            <w:pPr>
              <w:pStyle w:val="TableText0"/>
            </w:pPr>
            <w:r w:rsidRPr="005F4582">
              <w:t>AND</w:t>
            </w:r>
          </w:p>
          <w:p w:rsidR="00B22235" w:rsidRPr="005F4582" w:rsidRDefault="00B22235" w:rsidP="007D1291">
            <w:pPr>
              <w:pStyle w:val="TableText0"/>
              <w:rPr>
                <w:bCs/>
              </w:rPr>
            </w:pPr>
            <w:r w:rsidRPr="005F4582">
              <w:rPr>
                <w:bCs/>
              </w:rPr>
              <w:t>Patient must not have developed disease progression while being treated with this drug for this condition</w:t>
            </w:r>
          </w:p>
          <w:p w:rsidR="00B22235" w:rsidRPr="005F4582" w:rsidRDefault="00B22235" w:rsidP="007D1291">
            <w:pPr>
              <w:pStyle w:val="TableText0"/>
            </w:pPr>
            <w:r w:rsidRPr="005F4582">
              <w:rPr>
                <w:bCs/>
                <w:i/>
              </w:rPr>
              <w:t xml:space="preserve"> </w:t>
            </w:r>
            <w:r w:rsidRPr="005F4582">
              <w:t>AND</w:t>
            </w:r>
          </w:p>
          <w:p w:rsidR="00B22235" w:rsidRPr="005F4582" w:rsidRDefault="00B22235" w:rsidP="00D54EB2">
            <w:pPr>
              <w:pStyle w:val="TableText0"/>
            </w:pPr>
            <w:r w:rsidRPr="005F4582">
              <w:t xml:space="preserve">The treatment must be the sole PBS-subsidised systemic anti-cancer therapy for this condition </w:t>
            </w:r>
          </w:p>
        </w:tc>
      </w:tr>
      <w:tr w:rsidR="00B22235" w:rsidRPr="005F4582" w:rsidTr="00B22235">
        <w:trPr>
          <w:gridAfter w:val="1"/>
          <w:wAfter w:w="17" w:type="pct"/>
          <w:cantSplit/>
          <w:trHeight w:val="360"/>
        </w:trPr>
        <w:tc>
          <w:tcPr>
            <w:tcW w:w="1350" w:type="pct"/>
            <w:gridSpan w:val="2"/>
            <w:tcBorders>
              <w:top w:val="single" w:sz="4" w:space="0" w:color="auto"/>
              <w:left w:val="single" w:sz="4" w:space="0" w:color="auto"/>
              <w:bottom w:val="single" w:sz="4" w:space="0" w:color="auto"/>
              <w:right w:val="single" w:sz="4" w:space="0" w:color="auto"/>
            </w:tcBorders>
          </w:tcPr>
          <w:p w:rsidR="00B22235" w:rsidRPr="005F4582" w:rsidRDefault="00B22235" w:rsidP="007D1291">
            <w:pPr>
              <w:jc w:val="both"/>
              <w:rPr>
                <w:rFonts w:ascii="Arial Narrow" w:hAnsi="Arial Narrow" w:cs="Arial"/>
                <w:b/>
                <w:sz w:val="20"/>
                <w:szCs w:val="20"/>
              </w:rPr>
            </w:pPr>
            <w:r w:rsidRPr="005F4582">
              <w:rPr>
                <w:rFonts w:ascii="Arial Narrow" w:hAnsi="Arial Narrow" w:cs="Arial"/>
                <w:b/>
                <w:sz w:val="20"/>
                <w:szCs w:val="20"/>
              </w:rPr>
              <w:t>Administrative Advice:</w:t>
            </w:r>
          </w:p>
          <w:p w:rsidR="00B22235" w:rsidRPr="005F4582" w:rsidRDefault="00B22235" w:rsidP="007D1291">
            <w:pPr>
              <w:jc w:val="both"/>
              <w:rPr>
                <w:rFonts w:ascii="Arial Narrow" w:hAnsi="Arial Narrow"/>
                <w:sz w:val="20"/>
                <w:szCs w:val="22"/>
              </w:rPr>
            </w:pPr>
          </w:p>
        </w:tc>
        <w:tc>
          <w:tcPr>
            <w:tcW w:w="3633" w:type="pct"/>
            <w:gridSpan w:val="6"/>
            <w:tcBorders>
              <w:top w:val="single" w:sz="4" w:space="0" w:color="auto"/>
              <w:left w:val="single" w:sz="4" w:space="0" w:color="auto"/>
              <w:bottom w:val="single" w:sz="4" w:space="0" w:color="auto"/>
              <w:right w:val="single" w:sz="4" w:space="0" w:color="auto"/>
            </w:tcBorders>
          </w:tcPr>
          <w:p w:rsidR="00B22235" w:rsidRPr="005F4582" w:rsidRDefault="00B22235" w:rsidP="007D1291">
            <w:pPr>
              <w:jc w:val="both"/>
              <w:rPr>
                <w:rFonts w:ascii="Arial Narrow" w:hAnsi="Arial Narrow"/>
                <w:sz w:val="20"/>
                <w:szCs w:val="22"/>
              </w:rPr>
            </w:pPr>
            <w:r w:rsidRPr="005F4582">
              <w:rPr>
                <w:rFonts w:ascii="Arial Narrow" w:hAnsi="Arial Narrow"/>
                <w:sz w:val="20"/>
                <w:szCs w:val="22"/>
              </w:rPr>
              <w:t>No increase in the maximum number of repeats will be authorised.</w:t>
            </w:r>
          </w:p>
          <w:p w:rsidR="00B22235" w:rsidRPr="005F4582" w:rsidRDefault="00B22235" w:rsidP="007D1291">
            <w:pPr>
              <w:jc w:val="both"/>
              <w:rPr>
                <w:rFonts w:ascii="Arial Narrow" w:hAnsi="Arial Narrow"/>
                <w:sz w:val="20"/>
                <w:szCs w:val="22"/>
              </w:rPr>
            </w:pPr>
            <w:r w:rsidRPr="005F4582">
              <w:rPr>
                <w:rFonts w:ascii="Arial Narrow" w:hAnsi="Arial Narrow"/>
                <w:sz w:val="20"/>
                <w:szCs w:val="22"/>
              </w:rPr>
              <w:t>Special pricing arrangement apply</w:t>
            </w:r>
          </w:p>
          <w:p w:rsidR="00B22235" w:rsidRPr="005F4582" w:rsidRDefault="00B22235" w:rsidP="007D1291">
            <w:pPr>
              <w:jc w:val="both"/>
              <w:rPr>
                <w:rFonts w:ascii="Arial Narrow" w:hAnsi="Arial Narrow"/>
                <w:sz w:val="20"/>
                <w:szCs w:val="22"/>
              </w:rPr>
            </w:pPr>
            <w:r w:rsidRPr="005F4582">
              <w:rPr>
                <w:rFonts w:ascii="Arial Narrow" w:hAnsi="Arial Narrow"/>
                <w:sz w:val="20"/>
                <w:szCs w:val="22"/>
              </w:rPr>
              <w:t>[For grandfathering restriction only]:</w:t>
            </w:r>
          </w:p>
          <w:p w:rsidR="00B22235" w:rsidRPr="005F4582" w:rsidRDefault="00B22235" w:rsidP="007D1291">
            <w:pPr>
              <w:jc w:val="both"/>
              <w:rPr>
                <w:rFonts w:ascii="Arial Narrow" w:hAnsi="Arial Narrow"/>
                <w:sz w:val="20"/>
                <w:szCs w:val="22"/>
              </w:rPr>
            </w:pPr>
            <w:r w:rsidRPr="005F4582">
              <w:rPr>
                <w:rFonts w:ascii="Arial Narrow" w:hAnsi="Arial Narrow"/>
                <w:sz w:val="20"/>
                <w:szCs w:val="22"/>
              </w:rPr>
              <w:t>Patients may qualify for PBS-subsidised treatment under this restriction once only. For continuing PBS-subsidised treatment, a 'Grandfathered' patient must qualify under the 'Continuing treatment' criteria.</w:t>
            </w:r>
          </w:p>
        </w:tc>
      </w:tr>
    </w:tbl>
    <w:p w:rsidR="000574D5" w:rsidRPr="005F4582" w:rsidRDefault="007D1291" w:rsidP="0071396A">
      <w:pPr>
        <w:pStyle w:val="Heading2"/>
        <w:keepLines/>
        <w:spacing w:before="240" w:after="120"/>
        <w:rPr>
          <w:rFonts w:eastAsiaTheme="majorEastAsia" w:cstheme="majorBidi"/>
          <w:sz w:val="28"/>
          <w:szCs w:val="28"/>
        </w:rPr>
      </w:pPr>
      <w:r w:rsidRPr="005F4582">
        <w:rPr>
          <w:rFonts w:asciiTheme="minorHAnsi" w:eastAsiaTheme="majorEastAsia" w:hAnsiTheme="minorHAnsi" w:cstheme="majorBidi"/>
          <w:sz w:val="28"/>
          <w:szCs w:val="28"/>
          <w:lang w:eastAsia="en-US"/>
        </w:rPr>
        <w:t xml:space="preserve">Flow-on Restriction changes </w:t>
      </w:r>
    </w:p>
    <w:p w:rsidR="000574D5" w:rsidRPr="005F4582" w:rsidRDefault="00412F70" w:rsidP="0071396A">
      <w:pPr>
        <w:pStyle w:val="3Bodytext"/>
        <w:numPr>
          <w:ilvl w:val="0"/>
          <w:numId w:val="0"/>
        </w:numPr>
        <w:ind w:left="720" w:hanging="720"/>
      </w:pPr>
      <w:proofErr w:type="spellStart"/>
      <w:r w:rsidRPr="005F4582">
        <w:rPr>
          <w:b/>
          <w:i/>
        </w:rPr>
        <w:t>Pembrolizumab</w:t>
      </w:r>
      <w:proofErr w:type="spellEnd"/>
      <w:r w:rsidR="00445451" w:rsidRPr="005F4582">
        <w:rPr>
          <w:b/>
          <w:i/>
        </w:rPr>
        <w:t xml:space="preserve">- </w:t>
      </w:r>
      <w:r w:rsidR="00445451" w:rsidRPr="005F4582">
        <w:t>11494Y (Public)</w:t>
      </w:r>
      <w:r w:rsidR="008A5759" w:rsidRPr="005F4582">
        <w:t>/ 11492W (Private)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7846"/>
      </w:tblGrid>
      <w:tr w:rsidR="00B94D92" w:rsidRPr="005F4582" w:rsidTr="00B22235">
        <w:trPr>
          <w:trHeight w:val="1450"/>
        </w:trPr>
        <w:tc>
          <w:tcPr>
            <w:tcW w:w="649" w:type="pct"/>
            <w:hideMark/>
          </w:tcPr>
          <w:p w:rsidR="00B94D92" w:rsidRPr="005F4582" w:rsidRDefault="00B94D92" w:rsidP="00316D56">
            <w:pPr>
              <w:jc w:val="both"/>
              <w:rPr>
                <w:rFonts w:ascii="Arial Narrow" w:hAnsi="Arial Narrow" w:cs="Arial"/>
                <w:b/>
                <w:sz w:val="20"/>
                <w:szCs w:val="20"/>
              </w:rPr>
            </w:pPr>
            <w:r w:rsidRPr="005F4582">
              <w:rPr>
                <w:rFonts w:ascii="Arial Narrow" w:hAnsi="Arial Narrow" w:cs="Arial"/>
                <w:b/>
                <w:sz w:val="20"/>
                <w:szCs w:val="20"/>
              </w:rPr>
              <w:lastRenderedPageBreak/>
              <w:t>Administrative Advice:</w:t>
            </w:r>
          </w:p>
          <w:p w:rsidR="00B94D92" w:rsidRPr="005F4582" w:rsidRDefault="00B94D92" w:rsidP="00316D56">
            <w:pPr>
              <w:jc w:val="center"/>
              <w:rPr>
                <w:rFonts w:ascii="Arial Narrow" w:hAnsi="Arial Narrow"/>
                <w:sz w:val="18"/>
                <w:szCs w:val="18"/>
              </w:rPr>
            </w:pPr>
          </w:p>
        </w:tc>
        <w:tc>
          <w:tcPr>
            <w:tcW w:w="4351" w:type="pct"/>
            <w:vAlign w:val="center"/>
            <w:hideMark/>
          </w:tcPr>
          <w:p w:rsidR="00B94D92" w:rsidRPr="005F4582" w:rsidRDefault="00B94D92" w:rsidP="00316D56">
            <w:pPr>
              <w:jc w:val="both"/>
              <w:rPr>
                <w:rFonts w:ascii="Arial Narrow" w:hAnsi="Arial Narrow"/>
                <w:sz w:val="20"/>
                <w:szCs w:val="22"/>
              </w:rPr>
            </w:pPr>
            <w:r w:rsidRPr="005F4582">
              <w:rPr>
                <w:rFonts w:ascii="Arial Narrow" w:hAnsi="Arial Narrow"/>
                <w:sz w:val="20"/>
                <w:szCs w:val="22"/>
              </w:rPr>
              <w:t>No increase in the maximum quantity or number of units may be authorised.</w:t>
            </w:r>
          </w:p>
          <w:p w:rsidR="00B94D92" w:rsidRPr="005F4582" w:rsidRDefault="00B94D92" w:rsidP="00316D56">
            <w:pPr>
              <w:jc w:val="both"/>
              <w:rPr>
                <w:rFonts w:ascii="Arial Narrow" w:hAnsi="Arial Narrow"/>
                <w:sz w:val="20"/>
                <w:szCs w:val="22"/>
              </w:rPr>
            </w:pPr>
            <w:r w:rsidRPr="005F4582">
              <w:rPr>
                <w:rFonts w:ascii="Arial Narrow" w:hAnsi="Arial Narrow"/>
                <w:sz w:val="20"/>
                <w:szCs w:val="22"/>
              </w:rPr>
              <w:t>No increase in the maximum number of repeats may be authorised</w:t>
            </w:r>
          </w:p>
          <w:p w:rsidR="00B94D92" w:rsidRPr="005F4582" w:rsidRDefault="00B94D92" w:rsidP="00316D56">
            <w:pPr>
              <w:jc w:val="both"/>
              <w:rPr>
                <w:rFonts w:ascii="Arial Narrow" w:hAnsi="Arial Narrow"/>
                <w:sz w:val="20"/>
                <w:szCs w:val="22"/>
              </w:rPr>
            </w:pPr>
            <w:r w:rsidRPr="005F4582">
              <w:rPr>
                <w:rFonts w:ascii="Arial Narrow" w:hAnsi="Arial Narrow"/>
                <w:sz w:val="20"/>
                <w:szCs w:val="22"/>
              </w:rPr>
              <w:t>Special Pricing Arrangements apply.</w:t>
            </w:r>
          </w:p>
          <w:p w:rsidR="00B94D92" w:rsidRPr="005F4582" w:rsidRDefault="00B94D92" w:rsidP="00316D56">
            <w:pPr>
              <w:jc w:val="both"/>
              <w:rPr>
                <w:rFonts w:ascii="Arial Narrow" w:hAnsi="Arial Narrow"/>
                <w:sz w:val="20"/>
                <w:szCs w:val="22"/>
              </w:rPr>
            </w:pPr>
            <w:r w:rsidRPr="005F4582">
              <w:rPr>
                <w:rFonts w:ascii="Arial Narrow" w:hAnsi="Arial Narrow"/>
                <w:sz w:val="20"/>
                <w:szCs w:val="22"/>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94D92" w:rsidRPr="005F4582" w:rsidTr="00B22235">
        <w:tc>
          <w:tcPr>
            <w:tcW w:w="649" w:type="pct"/>
            <w:vAlign w:val="center"/>
            <w:hideMark/>
          </w:tcPr>
          <w:p w:rsidR="00B94D92" w:rsidRPr="005F4582" w:rsidRDefault="00B94D92" w:rsidP="00316D56">
            <w:pPr>
              <w:jc w:val="both"/>
              <w:rPr>
                <w:rFonts w:ascii="Arial Narrow" w:hAnsi="Arial Narrow"/>
                <w:sz w:val="18"/>
                <w:szCs w:val="18"/>
              </w:rPr>
            </w:pPr>
            <w:r w:rsidRPr="005F4582">
              <w:rPr>
                <w:rFonts w:ascii="Arial Narrow" w:hAnsi="Arial Narrow" w:cs="Arial"/>
                <w:b/>
                <w:sz w:val="20"/>
                <w:szCs w:val="20"/>
              </w:rPr>
              <w:t>Indication:</w:t>
            </w:r>
          </w:p>
        </w:tc>
        <w:tc>
          <w:tcPr>
            <w:tcW w:w="4351" w:type="pct"/>
            <w:vAlign w:val="center"/>
            <w:hideMark/>
          </w:tcPr>
          <w:p w:rsidR="00B94D92" w:rsidRPr="005F4582" w:rsidRDefault="00B94D92" w:rsidP="00316D56">
            <w:pPr>
              <w:jc w:val="both"/>
              <w:rPr>
                <w:rFonts w:ascii="Arial Narrow" w:hAnsi="Arial Narrow"/>
                <w:sz w:val="20"/>
                <w:szCs w:val="22"/>
              </w:rPr>
            </w:pPr>
            <w:r w:rsidRPr="005F4582">
              <w:rPr>
                <w:rFonts w:ascii="Arial Narrow" w:hAnsi="Arial Narrow"/>
                <w:sz w:val="20"/>
                <w:szCs w:val="22"/>
              </w:rPr>
              <w:t>Previously untreated Stage IV (metastatic) non-small cell lung cancer (NSCLC)</w:t>
            </w:r>
          </w:p>
        </w:tc>
      </w:tr>
      <w:tr w:rsidR="00B94D92" w:rsidRPr="005F4582" w:rsidTr="00B22235">
        <w:tc>
          <w:tcPr>
            <w:tcW w:w="649" w:type="pct"/>
            <w:vAlign w:val="center"/>
            <w:hideMark/>
          </w:tcPr>
          <w:p w:rsidR="00B94D92" w:rsidRPr="005F4582" w:rsidRDefault="00B94D92" w:rsidP="00316D56">
            <w:pPr>
              <w:jc w:val="both"/>
              <w:rPr>
                <w:rFonts w:ascii="Arial Narrow" w:hAnsi="Arial Narrow" w:cs="Arial"/>
                <w:b/>
                <w:sz w:val="20"/>
                <w:szCs w:val="20"/>
              </w:rPr>
            </w:pPr>
            <w:r w:rsidRPr="005F4582">
              <w:rPr>
                <w:rFonts w:ascii="Arial Narrow" w:hAnsi="Arial Narrow" w:cs="Arial"/>
                <w:b/>
                <w:sz w:val="20"/>
                <w:szCs w:val="20"/>
              </w:rPr>
              <w:t>Treatment Phase:</w:t>
            </w:r>
          </w:p>
        </w:tc>
        <w:tc>
          <w:tcPr>
            <w:tcW w:w="4351" w:type="pct"/>
            <w:vAlign w:val="center"/>
            <w:hideMark/>
          </w:tcPr>
          <w:p w:rsidR="00B94D92" w:rsidRPr="005F4582" w:rsidRDefault="00B94D92" w:rsidP="00316D56">
            <w:pPr>
              <w:rPr>
                <w:rFonts w:ascii="Arial Narrow" w:hAnsi="Arial Narrow"/>
                <w:sz w:val="20"/>
                <w:szCs w:val="22"/>
              </w:rPr>
            </w:pPr>
            <w:r w:rsidRPr="005F4582">
              <w:rPr>
                <w:rFonts w:ascii="Arial Narrow" w:hAnsi="Arial Narrow"/>
                <w:sz w:val="20"/>
                <w:szCs w:val="22"/>
              </w:rPr>
              <w:t>Initial treatment</w:t>
            </w:r>
          </w:p>
        </w:tc>
      </w:tr>
      <w:tr w:rsidR="00B94D92" w:rsidRPr="005F4582" w:rsidTr="00B22235">
        <w:trPr>
          <w:trHeight w:val="3031"/>
        </w:trPr>
        <w:tc>
          <w:tcPr>
            <w:tcW w:w="649" w:type="pct"/>
            <w:hideMark/>
          </w:tcPr>
          <w:p w:rsidR="00B94D92" w:rsidRPr="005F4582" w:rsidRDefault="00B94D92" w:rsidP="00316D56">
            <w:pPr>
              <w:jc w:val="both"/>
              <w:rPr>
                <w:rFonts w:ascii="Arial Narrow" w:hAnsi="Arial Narrow" w:cs="Arial"/>
                <w:b/>
                <w:sz w:val="20"/>
                <w:szCs w:val="20"/>
              </w:rPr>
            </w:pPr>
            <w:r w:rsidRPr="005F4582">
              <w:rPr>
                <w:rFonts w:ascii="Arial Narrow" w:hAnsi="Arial Narrow" w:cs="Arial"/>
                <w:b/>
                <w:sz w:val="20"/>
                <w:szCs w:val="20"/>
              </w:rPr>
              <w:t>Clinical criteria:</w:t>
            </w:r>
          </w:p>
          <w:p w:rsidR="00B94D92" w:rsidRPr="005F4582" w:rsidRDefault="00B94D92" w:rsidP="00316D56">
            <w:pPr>
              <w:jc w:val="both"/>
              <w:rPr>
                <w:rFonts w:ascii="Arial Narrow" w:hAnsi="Arial Narrow" w:cs="Arial"/>
                <w:b/>
                <w:sz w:val="20"/>
                <w:szCs w:val="20"/>
              </w:rPr>
            </w:pPr>
          </w:p>
        </w:tc>
        <w:tc>
          <w:tcPr>
            <w:tcW w:w="4351" w:type="pct"/>
            <w:hideMark/>
          </w:tcPr>
          <w:p w:rsidR="00B94D92" w:rsidRPr="005F4582" w:rsidRDefault="00B94D92" w:rsidP="00316D56">
            <w:pPr>
              <w:rPr>
                <w:rFonts w:ascii="Arial Narrow" w:hAnsi="Arial Narrow"/>
                <w:i/>
                <w:strike/>
                <w:sz w:val="22"/>
                <w:szCs w:val="22"/>
              </w:rPr>
            </w:pPr>
            <w:r w:rsidRPr="005F4582">
              <w:rPr>
                <w:rFonts w:ascii="Arial Narrow" w:hAnsi="Arial Narrow"/>
                <w:strike/>
                <w:sz w:val="20"/>
                <w:szCs w:val="22"/>
              </w:rPr>
              <w:t>Patient must not have previously been treated for this condition in the metastatic setting</w:t>
            </w:r>
            <w:r w:rsidR="00CF45A5" w:rsidRPr="005F4582">
              <w:rPr>
                <w:rFonts w:ascii="Arial Narrow" w:hAnsi="Arial Narrow"/>
                <w:strike/>
                <w:sz w:val="20"/>
                <w:szCs w:val="22"/>
              </w:rPr>
              <w:t xml:space="preserve"> </w:t>
            </w:r>
            <w:r w:rsidR="00CF45A5" w:rsidRPr="005F4582">
              <w:rPr>
                <w:rFonts w:ascii="Arial Narrow" w:hAnsi="Arial Narrow"/>
                <w:i/>
                <w:sz w:val="20"/>
                <w:szCs w:val="18"/>
              </w:rPr>
              <w:t>Patient must not have received prior treatment with a programmed cell death-1 (PD-1) inhibitor or a programmed cell death ligand-1 (PD-L1) inhibitor for non-small cell lung cancer</w:t>
            </w:r>
          </w:p>
          <w:p w:rsidR="00B94D92" w:rsidRPr="005F4582" w:rsidRDefault="00B94D92" w:rsidP="00316D56">
            <w:pPr>
              <w:rPr>
                <w:rFonts w:ascii="Arial Narrow" w:hAnsi="Arial Narrow"/>
                <w:sz w:val="20"/>
                <w:szCs w:val="22"/>
              </w:rPr>
            </w:pPr>
            <w:r w:rsidRPr="005F4582">
              <w:rPr>
                <w:rFonts w:ascii="Arial Narrow" w:hAnsi="Arial Narrow"/>
                <w:sz w:val="20"/>
                <w:szCs w:val="22"/>
              </w:rPr>
              <w:t>AND</w:t>
            </w:r>
            <w:r w:rsidRPr="005F4582">
              <w:rPr>
                <w:rFonts w:ascii="Arial Narrow" w:hAnsi="Arial Narrow"/>
                <w:sz w:val="20"/>
                <w:szCs w:val="22"/>
              </w:rPr>
              <w:br/>
              <w:t>The treatment must be the sole PBS-subsidised therapy for this condition</w:t>
            </w:r>
          </w:p>
          <w:p w:rsidR="00B94D92" w:rsidRPr="005F4582" w:rsidRDefault="00B94D92" w:rsidP="00316D56">
            <w:pPr>
              <w:rPr>
                <w:rFonts w:ascii="Arial Narrow" w:hAnsi="Arial Narrow"/>
                <w:sz w:val="20"/>
                <w:szCs w:val="22"/>
              </w:rPr>
            </w:pPr>
            <w:r w:rsidRPr="005F4582">
              <w:rPr>
                <w:rFonts w:ascii="Arial Narrow" w:hAnsi="Arial Narrow"/>
                <w:sz w:val="20"/>
                <w:szCs w:val="22"/>
              </w:rPr>
              <w:t>AND</w:t>
            </w:r>
          </w:p>
          <w:p w:rsidR="00B94D92" w:rsidRPr="005F4582" w:rsidRDefault="00B94D92" w:rsidP="00316D56">
            <w:pPr>
              <w:rPr>
                <w:rFonts w:ascii="Arial Narrow" w:hAnsi="Arial Narrow"/>
                <w:sz w:val="20"/>
                <w:szCs w:val="22"/>
              </w:rPr>
            </w:pPr>
            <w:r w:rsidRPr="005F4582">
              <w:rPr>
                <w:rFonts w:ascii="Arial Narrow" w:hAnsi="Arial Narrow"/>
                <w:sz w:val="20"/>
                <w:szCs w:val="22"/>
              </w:rPr>
              <w:t>Patient must have a WHO performance status of 0 or 1</w:t>
            </w:r>
          </w:p>
          <w:p w:rsidR="00B94D92" w:rsidRPr="005F4582" w:rsidRDefault="00B94D92" w:rsidP="00316D56">
            <w:pPr>
              <w:rPr>
                <w:rFonts w:ascii="Arial Narrow" w:hAnsi="Arial Narrow"/>
                <w:sz w:val="20"/>
                <w:szCs w:val="22"/>
              </w:rPr>
            </w:pPr>
            <w:r w:rsidRPr="005F4582">
              <w:rPr>
                <w:rFonts w:ascii="Arial Narrow" w:hAnsi="Arial Narrow"/>
                <w:sz w:val="20"/>
                <w:szCs w:val="22"/>
              </w:rPr>
              <w:t>AND</w:t>
            </w:r>
          </w:p>
          <w:p w:rsidR="00B94D92" w:rsidRPr="005F4582" w:rsidRDefault="00B94D92" w:rsidP="00316D56">
            <w:pPr>
              <w:rPr>
                <w:rFonts w:ascii="Arial Narrow" w:hAnsi="Arial Narrow"/>
                <w:sz w:val="20"/>
                <w:szCs w:val="22"/>
              </w:rPr>
            </w:pPr>
            <w:r w:rsidRPr="005F4582">
              <w:rPr>
                <w:rFonts w:ascii="Arial Narrow" w:hAnsi="Arial Narrow"/>
                <w:sz w:val="20"/>
                <w:szCs w:val="22"/>
              </w:rPr>
              <w:t>The condition must express programmed cell death ligand (PD-L1) with a tumour score of at least 50% in the tumour sample; and</w:t>
            </w:r>
          </w:p>
          <w:p w:rsidR="00B94D92" w:rsidRPr="005F4582" w:rsidRDefault="00B94D92" w:rsidP="00316D56">
            <w:pPr>
              <w:rPr>
                <w:rFonts w:ascii="Arial Narrow" w:hAnsi="Arial Narrow"/>
                <w:sz w:val="20"/>
                <w:szCs w:val="22"/>
              </w:rPr>
            </w:pPr>
            <w:r w:rsidRPr="005F4582">
              <w:rPr>
                <w:rFonts w:ascii="Arial Narrow" w:hAnsi="Arial Narrow"/>
                <w:sz w:val="20"/>
                <w:szCs w:val="22"/>
              </w:rPr>
              <w:t xml:space="preserve">The condition must </w:t>
            </w:r>
            <w:r w:rsidR="00E44F15">
              <w:rPr>
                <w:rFonts w:ascii="Arial Narrow" w:hAnsi="Arial Narrow"/>
                <w:sz w:val="20"/>
                <w:szCs w:val="22"/>
              </w:rPr>
              <w:t xml:space="preserve">not </w:t>
            </w:r>
            <w:r w:rsidRPr="005F4582">
              <w:rPr>
                <w:rFonts w:ascii="Arial Narrow" w:hAnsi="Arial Narrow"/>
                <w:sz w:val="20"/>
                <w:szCs w:val="22"/>
              </w:rPr>
              <w:t>have evidence of an activating epidermal growth factor receptor (EGFR) gene or an anaplastic lymphoma kinase (ALK) gene rearrangement in tumour material</w:t>
            </w:r>
          </w:p>
          <w:p w:rsidR="00B94D92" w:rsidRPr="005F4582" w:rsidRDefault="00B94D92" w:rsidP="00316D56">
            <w:pPr>
              <w:rPr>
                <w:rFonts w:ascii="Arial Narrow" w:hAnsi="Arial Narrow"/>
                <w:sz w:val="20"/>
                <w:szCs w:val="22"/>
              </w:rPr>
            </w:pPr>
            <w:r w:rsidRPr="005F4582">
              <w:rPr>
                <w:rFonts w:ascii="Arial Narrow" w:hAnsi="Arial Narrow"/>
                <w:sz w:val="20"/>
                <w:szCs w:val="22"/>
              </w:rPr>
              <w:t>AND</w:t>
            </w:r>
            <w:r w:rsidRPr="005F4582">
              <w:rPr>
                <w:rFonts w:ascii="Arial Narrow" w:hAnsi="Arial Narrow"/>
                <w:sz w:val="20"/>
                <w:szCs w:val="22"/>
              </w:rPr>
              <w:br/>
              <w:t>The treatment must not exceed a total of 7 doses at a maximum dose of 200mg every 3 weeks for this condition under this restriction</w:t>
            </w:r>
          </w:p>
          <w:p w:rsidR="00B94D92" w:rsidRPr="005F4582" w:rsidRDefault="00B94D92" w:rsidP="00316D56">
            <w:pPr>
              <w:rPr>
                <w:rFonts w:ascii="Arial Narrow" w:hAnsi="Arial Narrow"/>
                <w:sz w:val="20"/>
                <w:szCs w:val="22"/>
              </w:rPr>
            </w:pPr>
          </w:p>
        </w:tc>
      </w:tr>
      <w:tr w:rsidR="00B94D92" w:rsidRPr="005F4582" w:rsidTr="00B22235">
        <w:trPr>
          <w:trHeight w:val="1019"/>
        </w:trPr>
        <w:tc>
          <w:tcPr>
            <w:tcW w:w="649" w:type="pct"/>
            <w:vAlign w:val="center"/>
            <w:hideMark/>
          </w:tcPr>
          <w:p w:rsidR="00B94D92" w:rsidRPr="005F4582" w:rsidRDefault="00B94D92" w:rsidP="00316D56">
            <w:pPr>
              <w:jc w:val="both"/>
              <w:rPr>
                <w:rFonts w:ascii="Arial Narrow" w:hAnsi="Arial Narrow" w:cs="Arial"/>
                <w:b/>
                <w:sz w:val="20"/>
                <w:szCs w:val="20"/>
              </w:rPr>
            </w:pPr>
            <w:r w:rsidRPr="005F4582">
              <w:rPr>
                <w:rFonts w:ascii="Arial Narrow" w:hAnsi="Arial Narrow" w:cs="Arial"/>
                <w:b/>
                <w:sz w:val="20"/>
                <w:szCs w:val="20"/>
              </w:rPr>
              <w:t>Prescribing Instructions:</w:t>
            </w:r>
          </w:p>
          <w:p w:rsidR="00B94D92" w:rsidRPr="005F4582" w:rsidRDefault="00B94D92" w:rsidP="00316D56">
            <w:pPr>
              <w:jc w:val="both"/>
              <w:rPr>
                <w:rFonts w:ascii="Arial Narrow" w:hAnsi="Arial Narrow" w:cs="Arial"/>
                <w:b/>
                <w:sz w:val="20"/>
                <w:szCs w:val="20"/>
              </w:rPr>
            </w:pPr>
          </w:p>
        </w:tc>
        <w:tc>
          <w:tcPr>
            <w:tcW w:w="4351" w:type="pct"/>
            <w:vAlign w:val="center"/>
            <w:hideMark/>
          </w:tcPr>
          <w:p w:rsidR="00B94D92" w:rsidRPr="005F4582" w:rsidRDefault="00B94D92" w:rsidP="00316D56">
            <w:pPr>
              <w:rPr>
                <w:rFonts w:ascii="Arial Narrow" w:hAnsi="Arial Narrow"/>
                <w:sz w:val="20"/>
                <w:szCs w:val="22"/>
              </w:rPr>
            </w:pPr>
            <w:r w:rsidRPr="005F4582">
              <w:rPr>
                <w:rFonts w:ascii="Arial Narrow" w:hAnsi="Arial Narrow"/>
                <w:sz w:val="20"/>
                <w:szCs w:val="22"/>
              </w:rPr>
              <w:t>The patient's body weight must be documented in the patient's medical records at the time treatment is initiated.</w:t>
            </w:r>
          </w:p>
          <w:p w:rsidR="00B94D92" w:rsidRPr="005F4582" w:rsidRDefault="00B94D92" w:rsidP="00316D56">
            <w:pPr>
              <w:rPr>
                <w:rFonts w:ascii="Arial Narrow" w:hAnsi="Arial Narrow"/>
                <w:sz w:val="20"/>
                <w:szCs w:val="22"/>
              </w:rPr>
            </w:pPr>
          </w:p>
        </w:tc>
      </w:tr>
    </w:tbl>
    <w:p w:rsidR="00B94D92" w:rsidRPr="005F4582" w:rsidRDefault="00B94D92" w:rsidP="0071396A">
      <w:pPr>
        <w:pStyle w:val="3Bodytext"/>
        <w:numPr>
          <w:ilvl w:val="0"/>
          <w:numId w:val="0"/>
        </w:numPr>
        <w:ind w:left="720" w:hanging="72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7846"/>
      </w:tblGrid>
      <w:tr w:rsidR="00D82BCF" w:rsidRPr="005F4582" w:rsidTr="00B22235">
        <w:trPr>
          <w:trHeight w:val="2167"/>
        </w:trPr>
        <w:tc>
          <w:tcPr>
            <w:tcW w:w="649" w:type="pct"/>
            <w:hideMark/>
          </w:tcPr>
          <w:p w:rsidR="00D82BCF" w:rsidRPr="005F4582" w:rsidRDefault="00D82BCF" w:rsidP="00316D56">
            <w:pPr>
              <w:jc w:val="both"/>
              <w:rPr>
                <w:rFonts w:ascii="Arial Narrow" w:hAnsi="Arial Narrow" w:cs="Arial"/>
                <w:b/>
                <w:sz w:val="20"/>
                <w:szCs w:val="20"/>
              </w:rPr>
            </w:pPr>
            <w:r w:rsidRPr="005F4582">
              <w:rPr>
                <w:rFonts w:ascii="Arial Narrow" w:hAnsi="Arial Narrow" w:cs="Arial"/>
                <w:b/>
                <w:sz w:val="20"/>
                <w:szCs w:val="20"/>
              </w:rPr>
              <w:t>Administrative Advice:</w:t>
            </w:r>
          </w:p>
          <w:p w:rsidR="00D82BCF" w:rsidRPr="005F4582" w:rsidRDefault="00D82BCF" w:rsidP="00316D56">
            <w:pPr>
              <w:jc w:val="center"/>
              <w:rPr>
                <w:rFonts w:ascii="Arial Narrow" w:hAnsi="Arial Narrow"/>
                <w:sz w:val="18"/>
                <w:szCs w:val="18"/>
              </w:rPr>
            </w:pPr>
          </w:p>
        </w:tc>
        <w:tc>
          <w:tcPr>
            <w:tcW w:w="4351" w:type="pct"/>
            <w:vAlign w:val="center"/>
            <w:hideMark/>
          </w:tcPr>
          <w:p w:rsidR="00D82BCF" w:rsidRPr="005F4582" w:rsidRDefault="00D82BCF" w:rsidP="00316D56">
            <w:pPr>
              <w:jc w:val="both"/>
              <w:rPr>
                <w:rFonts w:ascii="Arial Narrow" w:hAnsi="Arial Narrow"/>
                <w:sz w:val="20"/>
                <w:szCs w:val="22"/>
              </w:rPr>
            </w:pPr>
            <w:r w:rsidRPr="005F4582">
              <w:rPr>
                <w:rFonts w:ascii="Arial Narrow" w:hAnsi="Arial Narrow"/>
                <w:sz w:val="20"/>
                <w:szCs w:val="22"/>
              </w:rPr>
              <w:t>No increase in the maximum quantity or number of units may be authorised.</w:t>
            </w:r>
          </w:p>
          <w:p w:rsidR="00D82BCF" w:rsidRPr="005F4582" w:rsidRDefault="00D82BCF" w:rsidP="00316D56">
            <w:pPr>
              <w:jc w:val="both"/>
              <w:rPr>
                <w:rFonts w:ascii="Arial Narrow" w:hAnsi="Arial Narrow"/>
                <w:sz w:val="20"/>
                <w:szCs w:val="22"/>
              </w:rPr>
            </w:pPr>
            <w:r w:rsidRPr="005F4582">
              <w:rPr>
                <w:rFonts w:ascii="Arial Narrow" w:hAnsi="Arial Narrow"/>
                <w:sz w:val="20"/>
                <w:szCs w:val="22"/>
              </w:rPr>
              <w:t>No increase in the maximum number of repeats may be authorised</w:t>
            </w:r>
          </w:p>
          <w:p w:rsidR="00D82BCF" w:rsidRPr="005F4582" w:rsidRDefault="00D82BCF" w:rsidP="00316D56">
            <w:pPr>
              <w:jc w:val="both"/>
              <w:rPr>
                <w:rFonts w:ascii="Arial Narrow" w:hAnsi="Arial Narrow"/>
                <w:sz w:val="20"/>
                <w:szCs w:val="22"/>
              </w:rPr>
            </w:pPr>
            <w:r w:rsidRPr="005F4582">
              <w:rPr>
                <w:rFonts w:ascii="Arial Narrow" w:hAnsi="Arial Narrow"/>
                <w:sz w:val="20"/>
                <w:szCs w:val="22"/>
              </w:rPr>
              <w:t>Special Pricing Arrangements apply.</w:t>
            </w:r>
          </w:p>
          <w:p w:rsidR="00D82BCF" w:rsidRPr="005F4582" w:rsidRDefault="00D82BCF" w:rsidP="00316D56">
            <w:pPr>
              <w:jc w:val="both"/>
              <w:rPr>
                <w:rFonts w:ascii="Arial Narrow" w:hAnsi="Arial Narrow"/>
                <w:sz w:val="20"/>
                <w:szCs w:val="22"/>
              </w:rPr>
            </w:pPr>
            <w:r w:rsidRPr="005F4582">
              <w:rPr>
                <w:rFonts w:ascii="Arial Narrow" w:hAnsi="Arial Narrow"/>
                <w:sz w:val="20"/>
                <w:szCs w:val="22"/>
              </w:rPr>
              <w:t>In the first few months after start of immunotherapy, some patients can have a transient tumour flare with subsequent disease response. When progression is suspected, this should be confirmed through a confirmatory scan, taken at least 4 weeks later.</w:t>
            </w:r>
          </w:p>
          <w:p w:rsidR="007E355E" w:rsidRPr="005F4582" w:rsidRDefault="007E355E" w:rsidP="00316D56">
            <w:pPr>
              <w:jc w:val="both"/>
              <w:rPr>
                <w:rFonts w:ascii="Arial Narrow" w:hAnsi="Arial Narrow"/>
                <w:sz w:val="20"/>
                <w:szCs w:val="22"/>
              </w:rPr>
            </w:pPr>
            <w:r w:rsidRPr="005F4582">
              <w:rPr>
                <w:rFonts w:ascii="Arial Narrow" w:hAnsi="Arial Narrow"/>
                <w:sz w:val="20"/>
                <w:szCs w:val="22"/>
              </w:rPr>
              <w:t>A patient may only qualify for PBS-subsidised treatment under this restriction once</w:t>
            </w:r>
          </w:p>
          <w:p w:rsidR="007E355E" w:rsidRPr="005F4582" w:rsidRDefault="007E355E" w:rsidP="00316D56">
            <w:pPr>
              <w:jc w:val="both"/>
              <w:rPr>
                <w:rFonts w:ascii="Arial Narrow" w:hAnsi="Arial Narrow"/>
                <w:sz w:val="20"/>
                <w:szCs w:val="22"/>
              </w:rPr>
            </w:pPr>
            <w:r w:rsidRPr="005F4582">
              <w:rPr>
                <w:rFonts w:ascii="Arial Narrow" w:hAnsi="Arial Narrow"/>
                <w:sz w:val="20"/>
                <w:szCs w:val="22"/>
              </w:rPr>
              <w:t>Following completion of the initial PBS subsidised course, further applications for treatment will be assessed under the continuing restriction</w:t>
            </w:r>
          </w:p>
          <w:p w:rsidR="00D82BCF" w:rsidRPr="005F4582" w:rsidRDefault="00D82BCF" w:rsidP="00316D56">
            <w:pPr>
              <w:jc w:val="both"/>
              <w:rPr>
                <w:rFonts w:ascii="Arial Narrow" w:hAnsi="Arial Narrow"/>
                <w:sz w:val="20"/>
                <w:szCs w:val="22"/>
              </w:rPr>
            </w:pPr>
          </w:p>
        </w:tc>
      </w:tr>
      <w:tr w:rsidR="00D82BCF" w:rsidRPr="005F4582" w:rsidTr="00B22235">
        <w:tc>
          <w:tcPr>
            <w:tcW w:w="649" w:type="pct"/>
            <w:vAlign w:val="center"/>
            <w:hideMark/>
          </w:tcPr>
          <w:p w:rsidR="00D82BCF" w:rsidRPr="005F4582" w:rsidRDefault="00D82BCF" w:rsidP="00316D56">
            <w:pPr>
              <w:jc w:val="both"/>
              <w:rPr>
                <w:rFonts w:ascii="Arial Narrow" w:hAnsi="Arial Narrow"/>
                <w:sz w:val="18"/>
                <w:szCs w:val="18"/>
              </w:rPr>
            </w:pPr>
            <w:r w:rsidRPr="005F4582">
              <w:rPr>
                <w:rFonts w:ascii="Arial Narrow" w:hAnsi="Arial Narrow" w:cs="Arial"/>
                <w:b/>
                <w:sz w:val="20"/>
                <w:szCs w:val="20"/>
              </w:rPr>
              <w:t>Indication:</w:t>
            </w:r>
          </w:p>
        </w:tc>
        <w:tc>
          <w:tcPr>
            <w:tcW w:w="4351" w:type="pct"/>
            <w:vAlign w:val="center"/>
            <w:hideMark/>
          </w:tcPr>
          <w:p w:rsidR="00D82BCF" w:rsidRPr="005F4582" w:rsidRDefault="00D82BCF" w:rsidP="00316D56">
            <w:pPr>
              <w:jc w:val="both"/>
              <w:rPr>
                <w:rFonts w:ascii="Arial Narrow" w:hAnsi="Arial Narrow"/>
                <w:sz w:val="20"/>
                <w:szCs w:val="22"/>
              </w:rPr>
            </w:pPr>
            <w:r w:rsidRPr="005F4582">
              <w:rPr>
                <w:rFonts w:ascii="Arial Narrow" w:hAnsi="Arial Narrow"/>
                <w:sz w:val="20"/>
                <w:szCs w:val="22"/>
              </w:rPr>
              <w:t>Previously untreated Stage IV (metastatic) non-small cell lung cancer (NSCLC)</w:t>
            </w:r>
          </w:p>
        </w:tc>
      </w:tr>
      <w:tr w:rsidR="00D82BCF" w:rsidRPr="005F4582" w:rsidTr="00B22235">
        <w:tc>
          <w:tcPr>
            <w:tcW w:w="649" w:type="pct"/>
            <w:vAlign w:val="center"/>
            <w:hideMark/>
          </w:tcPr>
          <w:p w:rsidR="00D82BCF" w:rsidRPr="005F4582" w:rsidRDefault="00D82BCF" w:rsidP="00316D56">
            <w:pPr>
              <w:jc w:val="both"/>
              <w:rPr>
                <w:rFonts w:ascii="Arial Narrow" w:hAnsi="Arial Narrow" w:cs="Arial"/>
                <w:b/>
                <w:sz w:val="20"/>
                <w:szCs w:val="20"/>
              </w:rPr>
            </w:pPr>
            <w:r w:rsidRPr="005F4582">
              <w:rPr>
                <w:rFonts w:ascii="Arial Narrow" w:hAnsi="Arial Narrow" w:cs="Arial"/>
                <w:b/>
                <w:sz w:val="20"/>
                <w:szCs w:val="20"/>
              </w:rPr>
              <w:t>Treatment Phase:</w:t>
            </w:r>
          </w:p>
        </w:tc>
        <w:tc>
          <w:tcPr>
            <w:tcW w:w="4351" w:type="pct"/>
            <w:vAlign w:val="center"/>
            <w:hideMark/>
          </w:tcPr>
          <w:p w:rsidR="00D82BCF" w:rsidRPr="005F4582" w:rsidRDefault="007E355E" w:rsidP="00316D56">
            <w:pPr>
              <w:rPr>
                <w:rFonts w:ascii="Arial Narrow" w:hAnsi="Arial Narrow"/>
                <w:sz w:val="20"/>
                <w:szCs w:val="22"/>
              </w:rPr>
            </w:pPr>
            <w:r w:rsidRPr="005F4582">
              <w:rPr>
                <w:rFonts w:ascii="Arial Narrow" w:hAnsi="Arial Narrow"/>
                <w:sz w:val="20"/>
                <w:szCs w:val="22"/>
              </w:rPr>
              <w:t>Grandfathering</w:t>
            </w:r>
            <w:r w:rsidR="00D82BCF" w:rsidRPr="005F4582">
              <w:rPr>
                <w:rFonts w:ascii="Arial Narrow" w:hAnsi="Arial Narrow"/>
                <w:sz w:val="20"/>
                <w:szCs w:val="22"/>
              </w:rPr>
              <w:t xml:space="preserve"> treatment</w:t>
            </w:r>
          </w:p>
        </w:tc>
      </w:tr>
      <w:tr w:rsidR="00D82BCF" w:rsidRPr="005F4582" w:rsidTr="00B22235">
        <w:trPr>
          <w:trHeight w:val="1253"/>
        </w:trPr>
        <w:tc>
          <w:tcPr>
            <w:tcW w:w="649" w:type="pct"/>
            <w:hideMark/>
          </w:tcPr>
          <w:p w:rsidR="00D82BCF" w:rsidRPr="005F4582" w:rsidRDefault="00D82BCF" w:rsidP="00316D56">
            <w:pPr>
              <w:jc w:val="both"/>
              <w:rPr>
                <w:rFonts w:ascii="Arial Narrow" w:hAnsi="Arial Narrow" w:cs="Arial"/>
                <w:b/>
                <w:sz w:val="20"/>
                <w:szCs w:val="20"/>
              </w:rPr>
            </w:pPr>
            <w:r w:rsidRPr="005F4582">
              <w:rPr>
                <w:rFonts w:ascii="Arial Narrow" w:hAnsi="Arial Narrow" w:cs="Arial"/>
                <w:b/>
                <w:sz w:val="20"/>
                <w:szCs w:val="20"/>
              </w:rPr>
              <w:t>Clinical criteria:</w:t>
            </w:r>
          </w:p>
          <w:p w:rsidR="00D82BCF" w:rsidRPr="005F4582" w:rsidRDefault="00D82BCF" w:rsidP="00316D56">
            <w:pPr>
              <w:jc w:val="both"/>
              <w:rPr>
                <w:rFonts w:ascii="Arial Narrow" w:hAnsi="Arial Narrow" w:cs="Arial"/>
                <w:b/>
                <w:sz w:val="20"/>
                <w:szCs w:val="20"/>
              </w:rPr>
            </w:pPr>
          </w:p>
        </w:tc>
        <w:tc>
          <w:tcPr>
            <w:tcW w:w="4351" w:type="pct"/>
            <w:hideMark/>
          </w:tcPr>
          <w:p w:rsidR="00D82BCF" w:rsidRPr="005F4582" w:rsidRDefault="00D82BCF" w:rsidP="00316D56">
            <w:pPr>
              <w:rPr>
                <w:rFonts w:ascii="Arial Narrow" w:hAnsi="Arial Narrow"/>
                <w:sz w:val="20"/>
                <w:szCs w:val="22"/>
              </w:rPr>
            </w:pPr>
            <w:r w:rsidRPr="005F4582">
              <w:rPr>
                <w:rFonts w:ascii="Arial Narrow" w:hAnsi="Arial Narrow"/>
                <w:sz w:val="20"/>
                <w:szCs w:val="22"/>
              </w:rPr>
              <w:t xml:space="preserve">Patient must not have previously </w:t>
            </w:r>
            <w:r w:rsidR="008A6B1B" w:rsidRPr="005F4582">
              <w:rPr>
                <w:rFonts w:ascii="Arial Narrow" w:hAnsi="Arial Narrow"/>
                <w:sz w:val="20"/>
                <w:szCs w:val="22"/>
              </w:rPr>
              <w:t>received non-PBS subsidised treatment with this drug</w:t>
            </w:r>
            <w:r w:rsidRPr="005F4582">
              <w:rPr>
                <w:rFonts w:ascii="Arial Narrow" w:hAnsi="Arial Narrow"/>
                <w:sz w:val="20"/>
                <w:szCs w:val="22"/>
              </w:rPr>
              <w:t xml:space="preserve"> for this condition </w:t>
            </w:r>
            <w:r w:rsidR="008A6B1B" w:rsidRPr="005F4582">
              <w:rPr>
                <w:rFonts w:ascii="Arial Narrow" w:hAnsi="Arial Narrow"/>
                <w:sz w:val="20"/>
                <w:szCs w:val="22"/>
              </w:rPr>
              <w:t>prior to 1 November 2018,</w:t>
            </w:r>
          </w:p>
          <w:p w:rsidR="00CF45A5" w:rsidRPr="005F4582" w:rsidRDefault="00314EA2" w:rsidP="00316D56">
            <w:pPr>
              <w:rPr>
                <w:rFonts w:ascii="Arial Narrow" w:hAnsi="Arial Narrow"/>
                <w:sz w:val="20"/>
                <w:szCs w:val="22"/>
              </w:rPr>
            </w:pPr>
            <w:r w:rsidRPr="005F4582">
              <w:rPr>
                <w:rFonts w:ascii="Arial Narrow" w:hAnsi="Arial Narrow"/>
                <w:sz w:val="20"/>
                <w:szCs w:val="22"/>
              </w:rPr>
              <w:t>AND</w:t>
            </w:r>
          </w:p>
          <w:p w:rsidR="00CF45A5" w:rsidRPr="005F4582" w:rsidRDefault="00CF45A5" w:rsidP="00316D56">
            <w:pPr>
              <w:rPr>
                <w:rFonts w:ascii="Arial Narrow" w:hAnsi="Arial Narrow"/>
                <w:i/>
                <w:sz w:val="20"/>
                <w:szCs w:val="18"/>
              </w:rPr>
            </w:pPr>
            <w:r w:rsidRPr="005F4582">
              <w:rPr>
                <w:rFonts w:ascii="Arial Narrow" w:hAnsi="Arial Narrow"/>
                <w:i/>
                <w:sz w:val="20"/>
                <w:szCs w:val="18"/>
              </w:rPr>
              <w:t>Patient must not have received prior PBS-subsidised treatment with a programmed cell death-1 (PD-1) inhibitor or a programmed cell death ligand-1 (PD-L1) inhibitor for</w:t>
            </w:r>
            <w:r w:rsidRPr="005F4582">
              <w:rPr>
                <w:rFonts w:ascii="Arial Narrow" w:hAnsi="Arial Narrow"/>
                <w:sz w:val="20"/>
                <w:szCs w:val="18"/>
              </w:rPr>
              <w:t xml:space="preserve"> </w:t>
            </w:r>
            <w:r w:rsidRPr="005F4582">
              <w:rPr>
                <w:rFonts w:ascii="Arial Narrow" w:hAnsi="Arial Narrow"/>
                <w:i/>
                <w:sz w:val="20"/>
                <w:szCs w:val="18"/>
              </w:rPr>
              <w:t>non-small cell lung cancer.</w:t>
            </w:r>
          </w:p>
          <w:p w:rsidR="00D82BCF" w:rsidRPr="005F4582" w:rsidRDefault="00CF45A5" w:rsidP="00316D56">
            <w:pPr>
              <w:rPr>
                <w:rFonts w:ascii="Arial Narrow" w:hAnsi="Arial Narrow"/>
                <w:sz w:val="20"/>
                <w:szCs w:val="22"/>
              </w:rPr>
            </w:pPr>
            <w:r w:rsidRPr="005F4582">
              <w:rPr>
                <w:rFonts w:ascii="Arial Narrow" w:hAnsi="Arial Narrow"/>
                <w:i/>
                <w:sz w:val="20"/>
                <w:szCs w:val="18"/>
              </w:rPr>
              <w:t>AND</w:t>
            </w:r>
            <w:r w:rsidR="00314EA2" w:rsidRPr="005F4582">
              <w:rPr>
                <w:rFonts w:ascii="Arial Narrow" w:hAnsi="Arial Narrow"/>
                <w:sz w:val="20"/>
                <w:szCs w:val="22"/>
              </w:rPr>
              <w:br/>
              <w:t>Patient must have stable or responding disease</w:t>
            </w:r>
          </w:p>
          <w:p w:rsidR="00D82BCF" w:rsidRPr="005F4582" w:rsidRDefault="00D82BCF" w:rsidP="00316D56">
            <w:pPr>
              <w:rPr>
                <w:rFonts w:ascii="Arial Narrow" w:hAnsi="Arial Narrow"/>
                <w:sz w:val="20"/>
                <w:szCs w:val="22"/>
              </w:rPr>
            </w:pPr>
            <w:r w:rsidRPr="005F4582">
              <w:rPr>
                <w:rFonts w:ascii="Arial Narrow" w:hAnsi="Arial Narrow"/>
                <w:sz w:val="20"/>
                <w:szCs w:val="22"/>
              </w:rPr>
              <w:lastRenderedPageBreak/>
              <w:t>AND</w:t>
            </w:r>
          </w:p>
          <w:p w:rsidR="00314EA2" w:rsidRPr="005F4582" w:rsidRDefault="00314EA2" w:rsidP="00316D56">
            <w:pPr>
              <w:rPr>
                <w:rFonts w:ascii="Arial Narrow" w:hAnsi="Arial Narrow"/>
                <w:sz w:val="20"/>
                <w:szCs w:val="22"/>
              </w:rPr>
            </w:pPr>
            <w:r w:rsidRPr="005F4582">
              <w:rPr>
                <w:rFonts w:ascii="Arial Narrow" w:hAnsi="Arial Narrow"/>
                <w:sz w:val="20"/>
                <w:szCs w:val="22"/>
              </w:rPr>
              <w:t>The treatment must be the sole PBS-subsidised therapy for this condition</w:t>
            </w:r>
          </w:p>
          <w:p w:rsidR="00314EA2" w:rsidRPr="005F4582" w:rsidRDefault="00314EA2" w:rsidP="00316D56">
            <w:pPr>
              <w:rPr>
                <w:rFonts w:ascii="Arial Narrow" w:hAnsi="Arial Narrow"/>
                <w:sz w:val="20"/>
                <w:szCs w:val="22"/>
              </w:rPr>
            </w:pPr>
            <w:r w:rsidRPr="005F4582">
              <w:rPr>
                <w:rFonts w:ascii="Arial Narrow" w:hAnsi="Arial Narrow"/>
                <w:sz w:val="20"/>
                <w:szCs w:val="22"/>
              </w:rPr>
              <w:t>AND</w:t>
            </w:r>
          </w:p>
          <w:p w:rsidR="00D82BCF" w:rsidRPr="005F4582" w:rsidRDefault="00D82BCF" w:rsidP="00316D56">
            <w:pPr>
              <w:rPr>
                <w:rFonts w:ascii="Arial Narrow" w:hAnsi="Arial Narrow"/>
                <w:sz w:val="20"/>
                <w:szCs w:val="22"/>
              </w:rPr>
            </w:pPr>
            <w:r w:rsidRPr="005F4582">
              <w:rPr>
                <w:rFonts w:ascii="Arial Narrow" w:hAnsi="Arial Narrow"/>
                <w:sz w:val="20"/>
                <w:szCs w:val="22"/>
              </w:rPr>
              <w:t>Patient must have a WHO performance status of 0 or 1</w:t>
            </w:r>
            <w:r w:rsidR="00314EA2" w:rsidRPr="005F4582">
              <w:rPr>
                <w:rFonts w:ascii="Arial Narrow" w:hAnsi="Arial Narrow"/>
                <w:sz w:val="20"/>
                <w:szCs w:val="22"/>
              </w:rPr>
              <w:t xml:space="preserve"> prior to initiation of non-PBS subsidised treatment with this drug for this condition</w:t>
            </w:r>
          </w:p>
          <w:p w:rsidR="00D82BCF" w:rsidRPr="005F4582" w:rsidRDefault="00D82BCF" w:rsidP="00316D56">
            <w:pPr>
              <w:rPr>
                <w:rFonts w:ascii="Arial Narrow" w:hAnsi="Arial Narrow"/>
                <w:sz w:val="20"/>
                <w:szCs w:val="22"/>
              </w:rPr>
            </w:pPr>
            <w:r w:rsidRPr="005F4582">
              <w:rPr>
                <w:rFonts w:ascii="Arial Narrow" w:hAnsi="Arial Narrow"/>
                <w:sz w:val="20"/>
                <w:szCs w:val="22"/>
              </w:rPr>
              <w:t>AND</w:t>
            </w:r>
          </w:p>
          <w:p w:rsidR="00314EA2" w:rsidRPr="005F4582" w:rsidRDefault="00D82BCF" w:rsidP="00314EA2">
            <w:pPr>
              <w:rPr>
                <w:rFonts w:ascii="Arial Narrow" w:hAnsi="Arial Narrow"/>
                <w:sz w:val="20"/>
                <w:szCs w:val="22"/>
              </w:rPr>
            </w:pPr>
            <w:r w:rsidRPr="005F4582">
              <w:rPr>
                <w:rFonts w:ascii="Arial Narrow" w:hAnsi="Arial Narrow"/>
                <w:sz w:val="20"/>
                <w:szCs w:val="22"/>
              </w:rPr>
              <w:t>The condition must express programmed cell death ligand (PD-L1) with a tumour score of at least 50% in the tumour sample</w:t>
            </w:r>
            <w:r w:rsidR="00314EA2" w:rsidRPr="005F4582">
              <w:rPr>
                <w:rFonts w:ascii="Arial Narrow" w:hAnsi="Arial Narrow"/>
                <w:sz w:val="20"/>
                <w:szCs w:val="22"/>
              </w:rPr>
              <w:t xml:space="preserve"> prior to initiation of non-PBS subsidised treatment with this drug for this condition</w:t>
            </w:r>
          </w:p>
          <w:p w:rsidR="00D82BCF" w:rsidRPr="005F4582" w:rsidRDefault="00D82BCF" w:rsidP="00316D56">
            <w:pPr>
              <w:rPr>
                <w:rFonts w:ascii="Arial Narrow" w:hAnsi="Arial Narrow"/>
                <w:sz w:val="20"/>
                <w:szCs w:val="22"/>
              </w:rPr>
            </w:pPr>
            <w:r w:rsidRPr="005F4582">
              <w:rPr>
                <w:rFonts w:ascii="Arial Narrow" w:hAnsi="Arial Narrow"/>
                <w:sz w:val="20"/>
                <w:szCs w:val="22"/>
              </w:rPr>
              <w:t>; and</w:t>
            </w:r>
          </w:p>
          <w:p w:rsidR="00D82BCF" w:rsidRPr="005F4582" w:rsidRDefault="00D82BCF" w:rsidP="00316D56">
            <w:pPr>
              <w:rPr>
                <w:rFonts w:ascii="Arial Narrow" w:hAnsi="Arial Narrow"/>
                <w:sz w:val="20"/>
                <w:szCs w:val="22"/>
              </w:rPr>
            </w:pPr>
            <w:r w:rsidRPr="005F4582">
              <w:rPr>
                <w:rFonts w:ascii="Arial Narrow" w:hAnsi="Arial Narrow"/>
                <w:sz w:val="20"/>
                <w:szCs w:val="22"/>
              </w:rPr>
              <w:t xml:space="preserve">The condition must </w:t>
            </w:r>
            <w:r w:rsidR="00E44F15">
              <w:rPr>
                <w:rFonts w:ascii="Arial Narrow" w:hAnsi="Arial Narrow"/>
                <w:sz w:val="20"/>
                <w:szCs w:val="22"/>
              </w:rPr>
              <w:t xml:space="preserve">not </w:t>
            </w:r>
            <w:r w:rsidRPr="005F4582">
              <w:rPr>
                <w:rFonts w:ascii="Arial Narrow" w:hAnsi="Arial Narrow"/>
                <w:sz w:val="20"/>
                <w:szCs w:val="22"/>
              </w:rPr>
              <w:t>have evidence of an activating epidermal growth factor receptor (EGFR) gene or an anaplastic lymphoma kinase (ALK) gene rearrangement in tumour material</w:t>
            </w:r>
          </w:p>
          <w:p w:rsidR="00D82BCF" w:rsidRPr="005F4582" w:rsidRDefault="00D82BCF" w:rsidP="00316D56">
            <w:pPr>
              <w:rPr>
                <w:rFonts w:ascii="Arial Narrow" w:hAnsi="Arial Narrow"/>
                <w:sz w:val="20"/>
                <w:szCs w:val="22"/>
              </w:rPr>
            </w:pPr>
            <w:r w:rsidRPr="005F4582">
              <w:rPr>
                <w:rFonts w:ascii="Arial Narrow" w:hAnsi="Arial Narrow"/>
                <w:sz w:val="20"/>
                <w:szCs w:val="22"/>
              </w:rPr>
              <w:t>AND</w:t>
            </w:r>
            <w:r w:rsidRPr="005F4582">
              <w:rPr>
                <w:rFonts w:ascii="Arial Narrow" w:hAnsi="Arial Narrow"/>
                <w:sz w:val="20"/>
                <w:szCs w:val="22"/>
              </w:rPr>
              <w:br/>
              <w:t xml:space="preserve">The treatment must not exceed </w:t>
            </w:r>
            <w:r w:rsidR="00314EA2" w:rsidRPr="005F4582">
              <w:rPr>
                <w:rFonts w:ascii="Arial Narrow" w:hAnsi="Arial Narrow"/>
                <w:sz w:val="20"/>
                <w:szCs w:val="22"/>
              </w:rPr>
              <w:t>35</w:t>
            </w:r>
            <w:r w:rsidRPr="005F4582">
              <w:rPr>
                <w:rFonts w:ascii="Arial Narrow" w:hAnsi="Arial Narrow"/>
                <w:sz w:val="20"/>
                <w:szCs w:val="22"/>
              </w:rPr>
              <w:t xml:space="preserve"> doses </w:t>
            </w:r>
            <w:r w:rsidR="00314EA2" w:rsidRPr="005F4582">
              <w:rPr>
                <w:rFonts w:ascii="Arial Narrow" w:hAnsi="Arial Narrow"/>
                <w:sz w:val="20"/>
                <w:szCs w:val="22"/>
              </w:rPr>
              <w:t>in total or up to 24 months of treatment, at a dose of 200mg every 3 weeks, with this drug for this condition</w:t>
            </w:r>
          </w:p>
          <w:p w:rsidR="00D82BCF" w:rsidRPr="005F4582" w:rsidRDefault="00D82BCF">
            <w:pPr>
              <w:rPr>
                <w:rFonts w:ascii="Arial Narrow" w:hAnsi="Arial Narrow"/>
                <w:sz w:val="20"/>
                <w:szCs w:val="22"/>
              </w:rPr>
            </w:pPr>
            <w:r w:rsidRPr="005F4582">
              <w:rPr>
                <w:rFonts w:ascii="Arial Narrow" w:hAnsi="Arial Narrow"/>
                <w:sz w:val="20"/>
                <w:szCs w:val="22"/>
              </w:rPr>
              <w:t xml:space="preserve"> </w:t>
            </w:r>
          </w:p>
        </w:tc>
      </w:tr>
    </w:tbl>
    <w:p w:rsidR="00D82BCF" w:rsidRPr="005F4582" w:rsidRDefault="00D82BCF" w:rsidP="0071396A">
      <w:pPr>
        <w:pStyle w:val="3Bodytext"/>
        <w:numPr>
          <w:ilvl w:val="0"/>
          <w:numId w:val="0"/>
        </w:numPr>
        <w:ind w:left="720" w:hanging="720"/>
        <w:rPr>
          <w:i/>
        </w:rPr>
      </w:pPr>
    </w:p>
    <w:p w:rsidR="000574D5" w:rsidRPr="005F4582" w:rsidRDefault="005F0883" w:rsidP="0071396A">
      <w:pPr>
        <w:pStyle w:val="3Bodytext"/>
        <w:numPr>
          <w:ilvl w:val="0"/>
          <w:numId w:val="0"/>
        </w:numPr>
        <w:ind w:left="720" w:hanging="720"/>
        <w:rPr>
          <w:i/>
        </w:rPr>
      </w:pPr>
      <w:proofErr w:type="spellStart"/>
      <w:r w:rsidRPr="005F4582">
        <w:rPr>
          <w:b/>
          <w:i/>
        </w:rPr>
        <w:t>Nivolumab</w:t>
      </w:r>
      <w:proofErr w:type="spellEnd"/>
      <w:r w:rsidRPr="005F4582">
        <w:rPr>
          <w:b/>
          <w:i/>
        </w:rPr>
        <w:t xml:space="preserve">- </w:t>
      </w:r>
      <w:r w:rsidRPr="005F4582">
        <w:t>11158G (Public) / 11143L (Private)</w:t>
      </w:r>
    </w:p>
    <w:p w:rsidR="005F0883" w:rsidRPr="0062431E" w:rsidRDefault="005F0883" w:rsidP="005F08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7846"/>
      </w:tblGrid>
      <w:tr w:rsidR="005F0883" w:rsidRPr="005F4582" w:rsidTr="0071396A">
        <w:trPr>
          <w:trHeight w:val="1159"/>
        </w:trPr>
        <w:tc>
          <w:tcPr>
            <w:tcW w:w="649" w:type="pct"/>
            <w:hideMark/>
          </w:tcPr>
          <w:p w:rsidR="005F0883" w:rsidRPr="005F4582" w:rsidRDefault="005F0883" w:rsidP="005F0883">
            <w:pPr>
              <w:jc w:val="both"/>
              <w:rPr>
                <w:rFonts w:ascii="Arial Narrow" w:hAnsi="Arial Narrow" w:cs="Arial"/>
                <w:b/>
                <w:sz w:val="20"/>
                <w:szCs w:val="20"/>
              </w:rPr>
            </w:pPr>
            <w:r w:rsidRPr="005F4582">
              <w:rPr>
                <w:rFonts w:ascii="Arial Narrow" w:hAnsi="Arial Narrow" w:cs="Arial"/>
                <w:b/>
                <w:sz w:val="20"/>
                <w:szCs w:val="20"/>
              </w:rPr>
              <w:t>Administrative Advice:</w:t>
            </w:r>
          </w:p>
          <w:p w:rsidR="005F0883" w:rsidRPr="005F6BE7" w:rsidRDefault="005F0883" w:rsidP="00316D56">
            <w:pPr>
              <w:jc w:val="center"/>
              <w:rPr>
                <w:rFonts w:ascii="Arial Narrow" w:hAnsi="Arial Narrow"/>
                <w:sz w:val="18"/>
                <w:szCs w:val="18"/>
              </w:rPr>
            </w:pPr>
          </w:p>
        </w:tc>
        <w:tc>
          <w:tcPr>
            <w:tcW w:w="0" w:type="auto"/>
            <w:vAlign w:val="center"/>
            <w:hideMark/>
          </w:tcPr>
          <w:p w:rsidR="005F0883" w:rsidRPr="005F4582" w:rsidRDefault="005F0883" w:rsidP="005F0883">
            <w:pPr>
              <w:jc w:val="both"/>
              <w:rPr>
                <w:rFonts w:ascii="Arial Narrow" w:hAnsi="Arial Narrow"/>
                <w:sz w:val="20"/>
                <w:szCs w:val="22"/>
              </w:rPr>
            </w:pPr>
            <w:r w:rsidRPr="005F4582">
              <w:rPr>
                <w:rFonts w:ascii="Arial Narrow" w:hAnsi="Arial Narrow"/>
                <w:sz w:val="20"/>
                <w:szCs w:val="22"/>
              </w:rPr>
              <w:t>No increase in the maximum number of repeats may be authorised.</w:t>
            </w:r>
          </w:p>
          <w:p w:rsidR="005F0883" w:rsidRPr="005F4582" w:rsidRDefault="005F0883" w:rsidP="005F0883">
            <w:pPr>
              <w:jc w:val="both"/>
              <w:rPr>
                <w:rFonts w:ascii="Arial Narrow" w:hAnsi="Arial Narrow"/>
                <w:sz w:val="20"/>
                <w:szCs w:val="22"/>
              </w:rPr>
            </w:pPr>
            <w:r w:rsidRPr="005F4582">
              <w:rPr>
                <w:rFonts w:ascii="Arial Narrow" w:hAnsi="Arial Narrow"/>
                <w:sz w:val="20"/>
                <w:szCs w:val="22"/>
              </w:rPr>
              <w:t>Special Pricing Arrangements apply.</w:t>
            </w:r>
          </w:p>
          <w:p w:rsidR="005F0883" w:rsidRPr="005F4582" w:rsidRDefault="005F0883" w:rsidP="0071396A">
            <w:pPr>
              <w:jc w:val="both"/>
              <w:rPr>
                <w:rFonts w:ascii="Arial Narrow" w:hAnsi="Arial Narrow"/>
                <w:sz w:val="20"/>
                <w:szCs w:val="22"/>
              </w:rPr>
            </w:pPr>
            <w:r w:rsidRPr="005F4582">
              <w:rPr>
                <w:rFonts w:ascii="Arial Narrow" w:hAnsi="Arial Narrow"/>
                <w:sz w:val="20"/>
                <w:szCs w:val="22"/>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5F0883" w:rsidRPr="005F4582" w:rsidTr="005F0883">
        <w:tc>
          <w:tcPr>
            <w:tcW w:w="649" w:type="pct"/>
            <w:vAlign w:val="center"/>
            <w:hideMark/>
          </w:tcPr>
          <w:p w:rsidR="005F0883" w:rsidRPr="005F4582" w:rsidRDefault="005F0883" w:rsidP="0071396A">
            <w:pPr>
              <w:jc w:val="both"/>
              <w:rPr>
                <w:rFonts w:ascii="Arial Narrow" w:hAnsi="Arial Narrow"/>
                <w:sz w:val="18"/>
                <w:szCs w:val="18"/>
              </w:rPr>
            </w:pPr>
            <w:r w:rsidRPr="005F4582">
              <w:rPr>
                <w:rFonts w:ascii="Arial Narrow" w:hAnsi="Arial Narrow" w:cs="Arial"/>
                <w:b/>
                <w:sz w:val="20"/>
                <w:szCs w:val="20"/>
              </w:rPr>
              <w:t>Indication:</w:t>
            </w:r>
          </w:p>
        </w:tc>
        <w:tc>
          <w:tcPr>
            <w:tcW w:w="0" w:type="auto"/>
            <w:vAlign w:val="center"/>
            <w:hideMark/>
          </w:tcPr>
          <w:p w:rsidR="005F0883" w:rsidRPr="005F4582" w:rsidRDefault="005F0883" w:rsidP="0071396A">
            <w:pPr>
              <w:jc w:val="both"/>
              <w:rPr>
                <w:rFonts w:ascii="Arial Narrow" w:hAnsi="Arial Narrow"/>
                <w:sz w:val="20"/>
                <w:szCs w:val="22"/>
              </w:rPr>
            </w:pPr>
            <w:r w:rsidRPr="005F4582">
              <w:rPr>
                <w:rFonts w:ascii="Arial Narrow" w:hAnsi="Arial Narrow"/>
                <w:sz w:val="20"/>
                <w:szCs w:val="22"/>
              </w:rPr>
              <w:t>Locally advanced or metastatic non-small cell lung cancer</w:t>
            </w:r>
          </w:p>
        </w:tc>
      </w:tr>
      <w:tr w:rsidR="005F0883" w:rsidRPr="005F4582" w:rsidTr="005F0883">
        <w:tc>
          <w:tcPr>
            <w:tcW w:w="649" w:type="pct"/>
            <w:vAlign w:val="center"/>
            <w:hideMark/>
          </w:tcPr>
          <w:p w:rsidR="005F0883" w:rsidRPr="005F4582" w:rsidRDefault="005F0883" w:rsidP="0071396A">
            <w:pPr>
              <w:jc w:val="both"/>
              <w:rPr>
                <w:rFonts w:ascii="Arial Narrow" w:hAnsi="Arial Narrow" w:cs="Arial"/>
                <w:b/>
                <w:sz w:val="20"/>
                <w:szCs w:val="20"/>
              </w:rPr>
            </w:pPr>
            <w:r w:rsidRPr="005F4582">
              <w:rPr>
                <w:rFonts w:ascii="Arial Narrow" w:hAnsi="Arial Narrow" w:cs="Arial"/>
                <w:b/>
                <w:sz w:val="20"/>
                <w:szCs w:val="20"/>
              </w:rPr>
              <w:t>Treatment Phase:</w:t>
            </w:r>
          </w:p>
        </w:tc>
        <w:tc>
          <w:tcPr>
            <w:tcW w:w="0" w:type="auto"/>
            <w:vAlign w:val="center"/>
            <w:hideMark/>
          </w:tcPr>
          <w:p w:rsidR="005F0883" w:rsidRPr="005F4582" w:rsidRDefault="005F0883" w:rsidP="00316D56">
            <w:pPr>
              <w:rPr>
                <w:rFonts w:ascii="Arial Narrow" w:hAnsi="Arial Narrow"/>
                <w:sz w:val="20"/>
                <w:szCs w:val="22"/>
              </w:rPr>
            </w:pPr>
            <w:r w:rsidRPr="005F4582">
              <w:rPr>
                <w:rFonts w:ascii="Arial Narrow" w:hAnsi="Arial Narrow"/>
                <w:sz w:val="20"/>
                <w:szCs w:val="22"/>
              </w:rPr>
              <w:t>Initial treatment</w:t>
            </w:r>
          </w:p>
        </w:tc>
      </w:tr>
      <w:tr w:rsidR="005F0883" w:rsidRPr="005F4582" w:rsidTr="0071396A">
        <w:trPr>
          <w:trHeight w:val="1943"/>
        </w:trPr>
        <w:tc>
          <w:tcPr>
            <w:tcW w:w="649" w:type="pct"/>
            <w:hideMark/>
          </w:tcPr>
          <w:p w:rsidR="005F0883" w:rsidRPr="005F4582" w:rsidRDefault="005F0883" w:rsidP="0071396A">
            <w:pPr>
              <w:jc w:val="both"/>
              <w:rPr>
                <w:rFonts w:ascii="Arial Narrow" w:hAnsi="Arial Narrow" w:cs="Arial"/>
                <w:b/>
                <w:sz w:val="20"/>
                <w:szCs w:val="20"/>
              </w:rPr>
            </w:pPr>
            <w:r w:rsidRPr="005F4582">
              <w:rPr>
                <w:rFonts w:ascii="Arial Narrow" w:hAnsi="Arial Narrow" w:cs="Arial"/>
                <w:b/>
                <w:sz w:val="20"/>
                <w:szCs w:val="20"/>
              </w:rPr>
              <w:t>Clinical criteria:</w:t>
            </w:r>
          </w:p>
          <w:p w:rsidR="005F0883" w:rsidRPr="005F4582" w:rsidRDefault="005F0883" w:rsidP="0071396A">
            <w:pPr>
              <w:jc w:val="both"/>
              <w:rPr>
                <w:rFonts w:ascii="Arial Narrow" w:hAnsi="Arial Narrow" w:cs="Arial"/>
                <w:b/>
                <w:sz w:val="20"/>
                <w:szCs w:val="20"/>
              </w:rPr>
            </w:pPr>
          </w:p>
        </w:tc>
        <w:tc>
          <w:tcPr>
            <w:tcW w:w="0" w:type="auto"/>
            <w:hideMark/>
          </w:tcPr>
          <w:p w:rsidR="005F0883" w:rsidRPr="005F4582" w:rsidRDefault="005F0883" w:rsidP="00316D56">
            <w:pPr>
              <w:rPr>
                <w:rFonts w:ascii="Arial Narrow" w:hAnsi="Arial Narrow"/>
                <w:sz w:val="20"/>
                <w:szCs w:val="22"/>
              </w:rPr>
            </w:pPr>
            <w:r w:rsidRPr="005F4582">
              <w:rPr>
                <w:rFonts w:ascii="Arial Narrow" w:hAnsi="Arial Narrow"/>
                <w:sz w:val="20"/>
                <w:szCs w:val="22"/>
              </w:rPr>
              <w:t xml:space="preserve">Patient must not have received prior treatment with a programmed cell death-1 (PD-1) inhibitor or a programmed cell death ligand-1 (PD-L1) inhibitor for </w:t>
            </w:r>
            <w:r w:rsidRPr="005F4582">
              <w:rPr>
                <w:rFonts w:ascii="Arial Narrow" w:hAnsi="Arial Narrow"/>
                <w:strike/>
                <w:sz w:val="20"/>
                <w:szCs w:val="22"/>
              </w:rPr>
              <w:t>this condition</w:t>
            </w:r>
            <w:r w:rsidRPr="005F4582">
              <w:rPr>
                <w:rFonts w:ascii="Arial Narrow" w:hAnsi="Arial Narrow"/>
                <w:sz w:val="20"/>
                <w:szCs w:val="22"/>
              </w:rPr>
              <w:t xml:space="preserve"> </w:t>
            </w:r>
            <w:r w:rsidRPr="005F4582">
              <w:rPr>
                <w:rFonts w:ascii="Arial Narrow" w:hAnsi="Arial Narrow"/>
                <w:i/>
                <w:sz w:val="20"/>
                <w:szCs w:val="22"/>
              </w:rPr>
              <w:t>non-small cell lung cancer</w:t>
            </w:r>
            <w:r w:rsidRPr="005F4582">
              <w:rPr>
                <w:rFonts w:ascii="Arial Narrow" w:hAnsi="Arial Narrow"/>
                <w:sz w:val="20"/>
                <w:szCs w:val="22"/>
              </w:rPr>
              <w:t>.</w:t>
            </w:r>
          </w:p>
          <w:p w:rsidR="005F0883" w:rsidRPr="005F4582" w:rsidRDefault="005F0883" w:rsidP="00316D56">
            <w:pPr>
              <w:rPr>
                <w:rFonts w:ascii="Arial Narrow" w:hAnsi="Arial Narrow"/>
                <w:sz w:val="20"/>
                <w:szCs w:val="22"/>
              </w:rPr>
            </w:pPr>
            <w:r w:rsidRPr="005F4582">
              <w:rPr>
                <w:rFonts w:ascii="Arial Narrow" w:hAnsi="Arial Narrow"/>
                <w:sz w:val="20"/>
                <w:szCs w:val="22"/>
              </w:rPr>
              <w:t>AND</w:t>
            </w:r>
          </w:p>
          <w:p w:rsidR="005F0883" w:rsidRPr="005F4582" w:rsidRDefault="005F0883" w:rsidP="00316D56">
            <w:pPr>
              <w:rPr>
                <w:rFonts w:ascii="Arial Narrow" w:hAnsi="Arial Narrow"/>
                <w:sz w:val="20"/>
                <w:szCs w:val="22"/>
              </w:rPr>
            </w:pPr>
            <w:r w:rsidRPr="005F4582">
              <w:rPr>
                <w:rFonts w:ascii="Arial Narrow" w:hAnsi="Arial Narrow"/>
                <w:sz w:val="20"/>
                <w:szCs w:val="22"/>
              </w:rPr>
              <w:t>Patient must have a WHO performance status of 0 or 1</w:t>
            </w:r>
          </w:p>
          <w:p w:rsidR="005F0883" w:rsidRPr="005F4582" w:rsidRDefault="005F0883" w:rsidP="00316D56">
            <w:pPr>
              <w:rPr>
                <w:rFonts w:ascii="Arial Narrow" w:hAnsi="Arial Narrow"/>
                <w:sz w:val="20"/>
                <w:szCs w:val="22"/>
              </w:rPr>
            </w:pPr>
            <w:r w:rsidRPr="005F4582">
              <w:rPr>
                <w:rFonts w:ascii="Arial Narrow" w:hAnsi="Arial Narrow"/>
                <w:sz w:val="20"/>
                <w:szCs w:val="22"/>
              </w:rPr>
              <w:t>AND</w:t>
            </w:r>
          </w:p>
          <w:p w:rsidR="005F0883" w:rsidRPr="005F4582" w:rsidRDefault="005F0883" w:rsidP="00316D56">
            <w:pPr>
              <w:rPr>
                <w:rFonts w:ascii="Arial Narrow" w:hAnsi="Arial Narrow"/>
                <w:sz w:val="20"/>
                <w:szCs w:val="22"/>
              </w:rPr>
            </w:pPr>
            <w:r w:rsidRPr="005F4582">
              <w:rPr>
                <w:rFonts w:ascii="Arial Narrow" w:hAnsi="Arial Narrow"/>
                <w:sz w:val="20"/>
                <w:szCs w:val="22"/>
              </w:rPr>
              <w:t>The treatment must be the sole PBS subsidised treatment for this condition</w:t>
            </w:r>
          </w:p>
          <w:p w:rsidR="005F0883" w:rsidRPr="005F4582" w:rsidRDefault="005F0883" w:rsidP="00316D56">
            <w:pPr>
              <w:rPr>
                <w:rFonts w:ascii="Arial Narrow" w:hAnsi="Arial Narrow"/>
                <w:sz w:val="20"/>
                <w:szCs w:val="22"/>
              </w:rPr>
            </w:pPr>
            <w:r w:rsidRPr="005F4582">
              <w:rPr>
                <w:rFonts w:ascii="Arial Narrow" w:hAnsi="Arial Narrow"/>
                <w:sz w:val="20"/>
                <w:szCs w:val="22"/>
              </w:rPr>
              <w:t>AND</w:t>
            </w:r>
          </w:p>
          <w:p w:rsidR="005F0883" w:rsidRPr="005F4582" w:rsidRDefault="005F0883" w:rsidP="005F0883">
            <w:pPr>
              <w:rPr>
                <w:rFonts w:ascii="Arial Narrow" w:hAnsi="Arial Narrow"/>
                <w:sz w:val="20"/>
                <w:szCs w:val="22"/>
              </w:rPr>
            </w:pPr>
            <w:r w:rsidRPr="005F4582">
              <w:rPr>
                <w:rFonts w:ascii="Arial Narrow" w:hAnsi="Arial Narrow"/>
                <w:sz w:val="20"/>
                <w:szCs w:val="22"/>
              </w:rPr>
              <w:t>The condition must have progressed on or after prior platinum based chemotherapy</w:t>
            </w:r>
          </w:p>
          <w:p w:rsidR="005F0883" w:rsidRPr="005F4582" w:rsidRDefault="005F0883">
            <w:pPr>
              <w:rPr>
                <w:rFonts w:ascii="Arial Narrow" w:hAnsi="Arial Narrow"/>
                <w:sz w:val="20"/>
                <w:szCs w:val="22"/>
              </w:rPr>
            </w:pPr>
          </w:p>
        </w:tc>
      </w:tr>
      <w:tr w:rsidR="005F0883" w:rsidRPr="005F4582" w:rsidTr="00316D56">
        <w:trPr>
          <w:trHeight w:val="1019"/>
        </w:trPr>
        <w:tc>
          <w:tcPr>
            <w:tcW w:w="649" w:type="pct"/>
            <w:vAlign w:val="center"/>
            <w:hideMark/>
          </w:tcPr>
          <w:p w:rsidR="005F0883" w:rsidRPr="005F4582" w:rsidRDefault="005F0883" w:rsidP="0071396A">
            <w:pPr>
              <w:jc w:val="both"/>
              <w:rPr>
                <w:rFonts w:ascii="Arial Narrow" w:hAnsi="Arial Narrow" w:cs="Arial"/>
                <w:b/>
                <w:sz w:val="20"/>
                <w:szCs w:val="20"/>
              </w:rPr>
            </w:pPr>
            <w:r w:rsidRPr="005F4582">
              <w:rPr>
                <w:rFonts w:ascii="Arial Narrow" w:hAnsi="Arial Narrow" w:cs="Arial"/>
                <w:b/>
                <w:sz w:val="20"/>
                <w:szCs w:val="20"/>
              </w:rPr>
              <w:t>Prescribing Instructions:</w:t>
            </w:r>
          </w:p>
          <w:p w:rsidR="005F0883" w:rsidRPr="005F4582" w:rsidRDefault="005F0883" w:rsidP="0071396A">
            <w:pPr>
              <w:jc w:val="both"/>
              <w:rPr>
                <w:rFonts w:ascii="Arial Narrow" w:hAnsi="Arial Narrow" w:cs="Arial"/>
                <w:b/>
                <w:sz w:val="20"/>
                <w:szCs w:val="20"/>
              </w:rPr>
            </w:pPr>
          </w:p>
        </w:tc>
        <w:tc>
          <w:tcPr>
            <w:tcW w:w="0" w:type="auto"/>
            <w:vAlign w:val="center"/>
            <w:hideMark/>
          </w:tcPr>
          <w:p w:rsidR="005F0883" w:rsidRPr="005F4582" w:rsidRDefault="005F0883" w:rsidP="00316D56">
            <w:pPr>
              <w:rPr>
                <w:rFonts w:ascii="Arial Narrow" w:hAnsi="Arial Narrow"/>
                <w:sz w:val="20"/>
                <w:szCs w:val="22"/>
              </w:rPr>
            </w:pPr>
            <w:r w:rsidRPr="005F4582">
              <w:rPr>
                <w:rFonts w:ascii="Arial Narrow" w:hAnsi="Arial Narrow"/>
                <w:sz w:val="20"/>
                <w:szCs w:val="22"/>
              </w:rPr>
              <w:t>The patient's body weight must be documented in the patient's medical records at the time treatment is initiated.</w:t>
            </w:r>
          </w:p>
          <w:p w:rsidR="005F0883" w:rsidRPr="005F4582" w:rsidRDefault="005F0883" w:rsidP="00316D56">
            <w:pPr>
              <w:rPr>
                <w:rFonts w:ascii="Arial Narrow" w:hAnsi="Arial Narrow"/>
                <w:sz w:val="20"/>
                <w:szCs w:val="22"/>
              </w:rPr>
            </w:pPr>
            <w:r w:rsidRPr="005F4582">
              <w:rPr>
                <w:rFonts w:ascii="Arial Narrow" w:hAnsi="Arial Narrow"/>
                <w:sz w:val="20"/>
                <w:szCs w:val="22"/>
              </w:rPr>
              <w:t>Patients must only receive a maximum of 240 mg every two weeks or 480 mg every four weeks under a weight based or flat dosing regimen.</w:t>
            </w:r>
          </w:p>
        </w:tc>
      </w:tr>
    </w:tbl>
    <w:p w:rsidR="00BA347C" w:rsidRPr="005F4582" w:rsidRDefault="00BA347C" w:rsidP="00AE22D3">
      <w:pPr>
        <w:rPr>
          <w:rFonts w:asciiTheme="minorHAnsi" w:hAnsiTheme="minorHAnsi"/>
          <w:sz w:val="22"/>
          <w:szCs w:val="22"/>
        </w:rPr>
      </w:pPr>
    </w:p>
    <w:p w:rsidR="007C7D51" w:rsidRPr="00B22235" w:rsidRDefault="007C7D51" w:rsidP="00B22235">
      <w:pPr>
        <w:pStyle w:val="3Bodytext"/>
        <w:numPr>
          <w:ilvl w:val="0"/>
          <w:numId w:val="0"/>
        </w:numPr>
        <w:ind w:left="720" w:hanging="720"/>
        <w:rPr>
          <w:b/>
          <w:i/>
        </w:rPr>
      </w:pPr>
      <w:proofErr w:type="spellStart"/>
      <w:r w:rsidRPr="005F4582">
        <w:rPr>
          <w:b/>
          <w:i/>
        </w:rPr>
        <w:t>Atezolizumab</w:t>
      </w:r>
      <w:proofErr w:type="spellEnd"/>
      <w:r w:rsidRPr="005F4582">
        <w:rPr>
          <w:b/>
          <w:i/>
        </w:rPr>
        <w:t>-</w:t>
      </w:r>
      <w:r w:rsidRPr="00B22235">
        <w:rPr>
          <w:b/>
          <w:i/>
        </w:rPr>
        <w:t xml:space="preserve"> 11284 (Public) / 11309F (Private)</w:t>
      </w:r>
    </w:p>
    <w:p w:rsidR="007C7D51" w:rsidRPr="005F4582" w:rsidRDefault="007C7D51" w:rsidP="007C7D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7846"/>
      </w:tblGrid>
      <w:tr w:rsidR="007C7D51" w:rsidRPr="005F4582" w:rsidTr="00CD567F">
        <w:tc>
          <w:tcPr>
            <w:tcW w:w="649" w:type="pct"/>
            <w:vAlign w:val="center"/>
            <w:hideMark/>
          </w:tcPr>
          <w:p w:rsidR="007C7D51" w:rsidRPr="005F4582" w:rsidRDefault="007C7D51" w:rsidP="0071396A">
            <w:pPr>
              <w:jc w:val="both"/>
              <w:rPr>
                <w:rFonts w:ascii="Arial Narrow" w:hAnsi="Arial Narrow"/>
                <w:color w:val="333333"/>
                <w:sz w:val="18"/>
                <w:szCs w:val="18"/>
              </w:rPr>
            </w:pPr>
            <w:r w:rsidRPr="005F4582">
              <w:rPr>
                <w:rFonts w:ascii="Arial Narrow" w:hAnsi="Arial Narrow" w:cs="Arial"/>
                <w:b/>
                <w:sz w:val="20"/>
                <w:szCs w:val="20"/>
              </w:rPr>
              <w:t>Indication:</w:t>
            </w:r>
          </w:p>
        </w:tc>
        <w:tc>
          <w:tcPr>
            <w:tcW w:w="4351" w:type="pct"/>
            <w:vAlign w:val="center"/>
            <w:hideMark/>
          </w:tcPr>
          <w:p w:rsidR="007C7D51" w:rsidRPr="005F4582" w:rsidRDefault="007C7D51" w:rsidP="00316D56">
            <w:pPr>
              <w:spacing w:before="100" w:beforeAutospacing="1" w:after="100" w:afterAutospacing="1"/>
              <w:rPr>
                <w:rFonts w:ascii="Arial Narrow" w:hAnsi="Arial Narrow"/>
                <w:color w:val="333333"/>
                <w:sz w:val="20"/>
                <w:szCs w:val="18"/>
              </w:rPr>
            </w:pPr>
            <w:r w:rsidRPr="005F4582">
              <w:rPr>
                <w:rFonts w:ascii="Arial Narrow" w:hAnsi="Arial Narrow"/>
                <w:color w:val="333333"/>
                <w:sz w:val="20"/>
                <w:szCs w:val="18"/>
              </w:rPr>
              <w:t>Locally advanced or metastatic non-small cell lung cancer</w:t>
            </w:r>
          </w:p>
        </w:tc>
      </w:tr>
      <w:tr w:rsidR="007C7D51" w:rsidRPr="005F4582" w:rsidTr="00CD567F">
        <w:tc>
          <w:tcPr>
            <w:tcW w:w="649" w:type="pct"/>
            <w:vAlign w:val="center"/>
            <w:hideMark/>
          </w:tcPr>
          <w:p w:rsidR="007C7D51" w:rsidRPr="005F4582" w:rsidRDefault="007C7D51" w:rsidP="0071396A">
            <w:pPr>
              <w:jc w:val="both"/>
              <w:rPr>
                <w:rFonts w:ascii="Arial Narrow" w:hAnsi="Arial Narrow"/>
                <w:color w:val="333333"/>
                <w:sz w:val="18"/>
                <w:szCs w:val="18"/>
              </w:rPr>
            </w:pPr>
            <w:r w:rsidRPr="005F4582">
              <w:rPr>
                <w:rFonts w:ascii="Arial Narrow" w:hAnsi="Arial Narrow" w:cs="Arial"/>
                <w:b/>
                <w:sz w:val="20"/>
                <w:szCs w:val="20"/>
              </w:rPr>
              <w:t>Treatment Phase:</w:t>
            </w:r>
          </w:p>
        </w:tc>
        <w:tc>
          <w:tcPr>
            <w:tcW w:w="4351" w:type="pct"/>
            <w:vAlign w:val="center"/>
            <w:hideMark/>
          </w:tcPr>
          <w:p w:rsidR="007C7D51" w:rsidRPr="005F4582" w:rsidRDefault="007C7D51" w:rsidP="00316D56">
            <w:pPr>
              <w:spacing w:before="100" w:beforeAutospacing="1" w:after="100" w:afterAutospacing="1"/>
              <w:rPr>
                <w:rFonts w:ascii="Arial Narrow" w:hAnsi="Arial Narrow"/>
                <w:color w:val="333333"/>
                <w:sz w:val="20"/>
                <w:szCs w:val="18"/>
              </w:rPr>
            </w:pPr>
            <w:r w:rsidRPr="005F4582">
              <w:rPr>
                <w:rFonts w:ascii="Arial Narrow" w:hAnsi="Arial Narrow"/>
                <w:color w:val="333333"/>
                <w:sz w:val="20"/>
                <w:szCs w:val="18"/>
              </w:rPr>
              <w:t>Initial treatment</w:t>
            </w:r>
          </w:p>
        </w:tc>
      </w:tr>
      <w:tr w:rsidR="00CD567F" w:rsidRPr="005F4582" w:rsidTr="0071396A">
        <w:trPr>
          <w:trHeight w:val="1658"/>
        </w:trPr>
        <w:tc>
          <w:tcPr>
            <w:tcW w:w="649" w:type="pct"/>
          </w:tcPr>
          <w:p w:rsidR="00CD567F" w:rsidRPr="005F4582" w:rsidRDefault="00CD567F" w:rsidP="00CD567F">
            <w:pPr>
              <w:jc w:val="both"/>
              <w:rPr>
                <w:rFonts w:ascii="Arial Narrow" w:hAnsi="Arial Narrow" w:cs="Arial"/>
                <w:b/>
                <w:sz w:val="20"/>
                <w:szCs w:val="20"/>
              </w:rPr>
            </w:pPr>
            <w:r w:rsidRPr="005F4582">
              <w:rPr>
                <w:rFonts w:ascii="Arial Narrow" w:hAnsi="Arial Narrow" w:cs="Arial"/>
                <w:b/>
                <w:sz w:val="20"/>
                <w:szCs w:val="20"/>
              </w:rPr>
              <w:lastRenderedPageBreak/>
              <w:t>Clinical criteria:</w:t>
            </w:r>
          </w:p>
          <w:p w:rsidR="00CD567F" w:rsidRPr="005F4582" w:rsidRDefault="00CD567F" w:rsidP="00316D56">
            <w:pPr>
              <w:jc w:val="center"/>
              <w:rPr>
                <w:rFonts w:ascii="Arial Narrow" w:hAnsi="Arial Narrow"/>
                <w:color w:val="333333"/>
                <w:sz w:val="18"/>
                <w:szCs w:val="18"/>
              </w:rPr>
            </w:pPr>
          </w:p>
        </w:tc>
        <w:tc>
          <w:tcPr>
            <w:tcW w:w="4351" w:type="pct"/>
          </w:tcPr>
          <w:p w:rsidR="00CD567F" w:rsidRPr="005F4582" w:rsidRDefault="00CD567F" w:rsidP="00316D56">
            <w:pPr>
              <w:rPr>
                <w:rFonts w:ascii="Arial Narrow" w:hAnsi="Arial Narrow"/>
                <w:i/>
                <w:color w:val="333333"/>
                <w:sz w:val="20"/>
                <w:szCs w:val="18"/>
              </w:rPr>
            </w:pPr>
            <w:r w:rsidRPr="005F4582">
              <w:rPr>
                <w:rFonts w:ascii="Arial Narrow" w:hAnsi="Arial Narrow"/>
                <w:color w:val="333333"/>
                <w:sz w:val="20"/>
                <w:szCs w:val="18"/>
              </w:rPr>
              <w:t xml:space="preserve">Patient must not have received prior treatment with a programmed cell death-1 (PD-1) inhibitor or a programmed cell death ligand-1 (PD-L1) inhibitor for </w:t>
            </w:r>
            <w:r w:rsidRPr="005F4582">
              <w:rPr>
                <w:rFonts w:ascii="Arial Narrow" w:hAnsi="Arial Narrow"/>
                <w:strike/>
                <w:color w:val="333333"/>
                <w:sz w:val="20"/>
                <w:szCs w:val="18"/>
              </w:rPr>
              <w:t xml:space="preserve">this condition </w:t>
            </w:r>
            <w:r w:rsidRPr="005F4582">
              <w:rPr>
                <w:rFonts w:ascii="Arial Narrow" w:hAnsi="Arial Narrow"/>
                <w:i/>
                <w:color w:val="333333"/>
                <w:sz w:val="20"/>
                <w:szCs w:val="18"/>
              </w:rPr>
              <w:t>non-small cell lung cancer.</w:t>
            </w:r>
          </w:p>
          <w:p w:rsidR="00CD567F" w:rsidRPr="005F4582" w:rsidRDefault="00CD567F" w:rsidP="00316D56">
            <w:pPr>
              <w:rPr>
                <w:rFonts w:ascii="Arial Narrow" w:hAnsi="Arial Narrow"/>
                <w:color w:val="333333"/>
                <w:sz w:val="20"/>
                <w:szCs w:val="18"/>
              </w:rPr>
            </w:pPr>
            <w:r w:rsidRPr="005F4582">
              <w:rPr>
                <w:rFonts w:ascii="Arial Narrow" w:hAnsi="Arial Narrow"/>
                <w:b/>
                <w:bCs/>
                <w:color w:val="333333"/>
                <w:sz w:val="20"/>
                <w:szCs w:val="18"/>
              </w:rPr>
              <w:t>AND</w:t>
            </w:r>
          </w:p>
          <w:p w:rsidR="00CD567F" w:rsidRPr="005F4582" w:rsidRDefault="00CD567F" w:rsidP="00316D56">
            <w:pPr>
              <w:rPr>
                <w:rFonts w:ascii="Arial Narrow" w:hAnsi="Arial Narrow"/>
                <w:color w:val="333333"/>
                <w:sz w:val="20"/>
                <w:szCs w:val="18"/>
              </w:rPr>
            </w:pPr>
            <w:r w:rsidRPr="005F4582">
              <w:rPr>
                <w:rFonts w:ascii="Arial Narrow" w:hAnsi="Arial Narrow"/>
                <w:color w:val="333333"/>
                <w:sz w:val="20"/>
                <w:szCs w:val="18"/>
              </w:rPr>
              <w:t>Patient must have a WHO performance status of 0 or 1</w:t>
            </w:r>
          </w:p>
          <w:p w:rsidR="00CD567F" w:rsidRPr="005F4582" w:rsidRDefault="00CD567F" w:rsidP="00316D56">
            <w:pPr>
              <w:rPr>
                <w:rFonts w:ascii="Arial Narrow" w:hAnsi="Arial Narrow"/>
                <w:color w:val="333333"/>
                <w:sz w:val="20"/>
                <w:szCs w:val="18"/>
              </w:rPr>
            </w:pPr>
            <w:r w:rsidRPr="005F4582">
              <w:rPr>
                <w:rFonts w:ascii="Arial Narrow" w:hAnsi="Arial Narrow"/>
                <w:b/>
                <w:bCs/>
                <w:color w:val="333333"/>
                <w:sz w:val="20"/>
                <w:szCs w:val="18"/>
              </w:rPr>
              <w:t>AND</w:t>
            </w:r>
          </w:p>
          <w:p w:rsidR="00CD567F" w:rsidRPr="005F4582" w:rsidRDefault="00CD567F" w:rsidP="00316D56">
            <w:pPr>
              <w:rPr>
                <w:rFonts w:ascii="Arial Narrow" w:hAnsi="Arial Narrow"/>
                <w:color w:val="333333"/>
                <w:sz w:val="20"/>
                <w:szCs w:val="18"/>
              </w:rPr>
            </w:pPr>
            <w:r w:rsidRPr="005F4582">
              <w:rPr>
                <w:rFonts w:ascii="Arial Narrow" w:hAnsi="Arial Narrow"/>
                <w:color w:val="333333"/>
                <w:sz w:val="20"/>
                <w:szCs w:val="18"/>
              </w:rPr>
              <w:t>The treatment must be the sole PBS subsidised treatment for this condition</w:t>
            </w:r>
          </w:p>
          <w:p w:rsidR="00CD567F" w:rsidRPr="005F4582" w:rsidRDefault="00CD567F" w:rsidP="00316D56">
            <w:pPr>
              <w:rPr>
                <w:rFonts w:ascii="Arial Narrow" w:hAnsi="Arial Narrow"/>
                <w:color w:val="333333"/>
                <w:sz w:val="20"/>
                <w:szCs w:val="18"/>
              </w:rPr>
            </w:pPr>
            <w:r w:rsidRPr="005F4582">
              <w:rPr>
                <w:rFonts w:ascii="Arial Narrow" w:hAnsi="Arial Narrow"/>
                <w:b/>
                <w:bCs/>
                <w:color w:val="333333"/>
                <w:sz w:val="20"/>
                <w:szCs w:val="18"/>
              </w:rPr>
              <w:t>AND</w:t>
            </w:r>
          </w:p>
          <w:p w:rsidR="00CD567F" w:rsidRPr="005F4582" w:rsidRDefault="00CD567F" w:rsidP="00316D56">
            <w:pPr>
              <w:rPr>
                <w:rFonts w:ascii="Arial Narrow" w:hAnsi="Arial Narrow"/>
                <w:b/>
                <w:bCs/>
                <w:color w:val="333333"/>
                <w:sz w:val="20"/>
                <w:szCs w:val="18"/>
              </w:rPr>
            </w:pPr>
            <w:r w:rsidRPr="005F4582">
              <w:rPr>
                <w:rFonts w:ascii="Arial Narrow" w:hAnsi="Arial Narrow"/>
                <w:color w:val="333333"/>
                <w:sz w:val="20"/>
                <w:szCs w:val="18"/>
              </w:rPr>
              <w:t>The condition must have progressed on or after prior platinum based chemotherapy</w:t>
            </w:r>
          </w:p>
        </w:tc>
      </w:tr>
      <w:tr w:rsidR="00CD567F" w:rsidRPr="005F4582" w:rsidTr="0071396A">
        <w:trPr>
          <w:trHeight w:val="1359"/>
        </w:trPr>
        <w:tc>
          <w:tcPr>
            <w:tcW w:w="649" w:type="pct"/>
          </w:tcPr>
          <w:p w:rsidR="00CD567F" w:rsidRPr="005F4582" w:rsidRDefault="00CD567F" w:rsidP="007C7D51">
            <w:pPr>
              <w:jc w:val="both"/>
              <w:rPr>
                <w:rFonts w:ascii="Arial Narrow" w:hAnsi="Arial Narrow" w:cs="Arial"/>
                <w:b/>
                <w:sz w:val="20"/>
                <w:szCs w:val="20"/>
              </w:rPr>
            </w:pPr>
            <w:r w:rsidRPr="005F4582">
              <w:rPr>
                <w:rFonts w:ascii="Arial Narrow" w:hAnsi="Arial Narrow" w:cs="Arial"/>
                <w:b/>
                <w:sz w:val="20"/>
                <w:szCs w:val="20"/>
              </w:rPr>
              <w:t>Administrative Advice:</w:t>
            </w:r>
          </w:p>
          <w:p w:rsidR="00CD567F" w:rsidRPr="005F4582" w:rsidRDefault="00CD567F" w:rsidP="00316D56">
            <w:pPr>
              <w:spacing w:before="100" w:beforeAutospacing="1" w:after="100" w:afterAutospacing="1"/>
              <w:jc w:val="center"/>
              <w:rPr>
                <w:rFonts w:ascii="Arial Narrow" w:hAnsi="Arial Narrow"/>
                <w:color w:val="333333"/>
                <w:sz w:val="18"/>
                <w:szCs w:val="18"/>
              </w:rPr>
            </w:pPr>
          </w:p>
        </w:tc>
        <w:tc>
          <w:tcPr>
            <w:tcW w:w="4351" w:type="pct"/>
          </w:tcPr>
          <w:p w:rsidR="00CD567F" w:rsidRPr="005F4582" w:rsidRDefault="00CD567F" w:rsidP="0071396A">
            <w:pPr>
              <w:rPr>
                <w:rFonts w:ascii="Arial Narrow" w:hAnsi="Arial Narrow"/>
                <w:sz w:val="20"/>
                <w:szCs w:val="22"/>
              </w:rPr>
            </w:pPr>
            <w:r w:rsidRPr="005F4582">
              <w:rPr>
                <w:rFonts w:ascii="Arial Narrow" w:hAnsi="Arial Narrow"/>
                <w:sz w:val="20"/>
                <w:szCs w:val="22"/>
              </w:rPr>
              <w:t>No increase in the maximum number of repeats may be authorised.</w:t>
            </w:r>
          </w:p>
          <w:p w:rsidR="00CD567F" w:rsidRPr="005F4582" w:rsidRDefault="00CD567F" w:rsidP="0071396A">
            <w:pPr>
              <w:rPr>
                <w:rFonts w:ascii="Arial Narrow" w:hAnsi="Arial Narrow"/>
                <w:sz w:val="20"/>
                <w:szCs w:val="22"/>
              </w:rPr>
            </w:pPr>
            <w:r w:rsidRPr="005F4582">
              <w:rPr>
                <w:rFonts w:ascii="Arial Narrow" w:hAnsi="Arial Narrow"/>
                <w:sz w:val="20"/>
                <w:szCs w:val="22"/>
              </w:rPr>
              <w:t>In the first few months after start of immunotherapy, some patients can have a transient tumour flare with subsequent disease response. When progression is suspected, this should be confirmed through a confirmatory scan, taken at least 4 weeks later.</w:t>
            </w:r>
          </w:p>
          <w:p w:rsidR="00CD567F" w:rsidRPr="005F4582" w:rsidRDefault="00CD567F" w:rsidP="0071396A">
            <w:pPr>
              <w:rPr>
                <w:rFonts w:ascii="Arial Narrow" w:hAnsi="Arial Narrow"/>
                <w:b/>
                <w:bCs/>
                <w:color w:val="333333"/>
                <w:sz w:val="18"/>
                <w:szCs w:val="18"/>
              </w:rPr>
            </w:pPr>
            <w:r w:rsidRPr="005F4582">
              <w:rPr>
                <w:rFonts w:ascii="Arial Narrow" w:hAnsi="Arial Narrow"/>
                <w:sz w:val="20"/>
                <w:szCs w:val="22"/>
              </w:rPr>
              <w:t>Special Pricing Arrangements apply.</w:t>
            </w:r>
          </w:p>
        </w:tc>
      </w:tr>
    </w:tbl>
    <w:p w:rsidR="00CD567F" w:rsidRPr="005F4582" w:rsidRDefault="00CD567F" w:rsidP="00AE22D3">
      <w:pPr>
        <w:rPr>
          <w:rFonts w:asciiTheme="minorHAnsi" w:hAnsiTheme="minorHAnsi"/>
          <w:sz w:val="22"/>
          <w:szCs w:val="22"/>
        </w:rPr>
      </w:pPr>
    </w:p>
    <w:p w:rsidR="00CD567F" w:rsidRPr="00B22235" w:rsidRDefault="00CD567F" w:rsidP="00B22235">
      <w:pPr>
        <w:pStyle w:val="3Bodytext"/>
        <w:numPr>
          <w:ilvl w:val="0"/>
          <w:numId w:val="0"/>
        </w:numPr>
        <w:ind w:left="720" w:hanging="720"/>
        <w:rPr>
          <w:b/>
          <w:i/>
        </w:rPr>
      </w:pPr>
      <w:r w:rsidRPr="00B22235">
        <w:rPr>
          <w:b/>
          <w:i/>
        </w:rPr>
        <w:t>11284 (Public) / 11309F (Private)</w:t>
      </w:r>
    </w:p>
    <w:p w:rsidR="00CD567F" w:rsidRPr="005F4582" w:rsidRDefault="00CD567F" w:rsidP="00CD56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7846"/>
      </w:tblGrid>
      <w:tr w:rsidR="00CD567F" w:rsidRPr="005F4582" w:rsidTr="0071396A">
        <w:tc>
          <w:tcPr>
            <w:tcW w:w="649" w:type="pct"/>
            <w:vAlign w:val="center"/>
            <w:hideMark/>
          </w:tcPr>
          <w:p w:rsidR="00CD567F" w:rsidRPr="005F4582" w:rsidRDefault="003D526A" w:rsidP="0071396A">
            <w:pPr>
              <w:spacing w:before="100" w:beforeAutospacing="1" w:after="100" w:afterAutospacing="1"/>
              <w:rPr>
                <w:rFonts w:ascii="Arial Narrow" w:hAnsi="Arial Narrow"/>
                <w:color w:val="333333"/>
                <w:sz w:val="18"/>
                <w:szCs w:val="18"/>
              </w:rPr>
            </w:pPr>
            <w:r w:rsidRPr="005F4582">
              <w:rPr>
                <w:rFonts w:ascii="Arial Narrow" w:hAnsi="Arial Narrow" w:cs="Arial"/>
                <w:b/>
                <w:sz w:val="20"/>
                <w:szCs w:val="20"/>
              </w:rPr>
              <w:t>Indication:</w:t>
            </w:r>
          </w:p>
        </w:tc>
        <w:tc>
          <w:tcPr>
            <w:tcW w:w="4351" w:type="pct"/>
            <w:vAlign w:val="center"/>
            <w:hideMark/>
          </w:tcPr>
          <w:p w:rsidR="00CD567F" w:rsidRPr="005F4582" w:rsidRDefault="00CD567F" w:rsidP="00316D56">
            <w:pPr>
              <w:spacing w:before="100" w:beforeAutospacing="1" w:after="100" w:afterAutospacing="1"/>
              <w:rPr>
                <w:rFonts w:ascii="Arial Narrow" w:hAnsi="Arial Narrow"/>
                <w:color w:val="333333"/>
                <w:sz w:val="20"/>
                <w:szCs w:val="18"/>
              </w:rPr>
            </w:pPr>
            <w:r w:rsidRPr="005F4582">
              <w:rPr>
                <w:rFonts w:ascii="Arial Narrow" w:hAnsi="Arial Narrow"/>
                <w:color w:val="333333"/>
                <w:sz w:val="20"/>
                <w:szCs w:val="18"/>
              </w:rPr>
              <w:t>Locally advanced or metastatic non-small cell lung cancer</w:t>
            </w:r>
          </w:p>
        </w:tc>
      </w:tr>
      <w:tr w:rsidR="00CD567F" w:rsidRPr="005F4582" w:rsidTr="0071396A">
        <w:tc>
          <w:tcPr>
            <w:tcW w:w="649" w:type="pct"/>
            <w:vAlign w:val="center"/>
            <w:hideMark/>
          </w:tcPr>
          <w:p w:rsidR="00CD567F" w:rsidRPr="005F4582" w:rsidRDefault="003D526A" w:rsidP="0071396A">
            <w:pPr>
              <w:rPr>
                <w:rFonts w:ascii="Arial Narrow" w:hAnsi="Arial Narrow"/>
                <w:color w:val="333333"/>
                <w:sz w:val="18"/>
                <w:szCs w:val="18"/>
              </w:rPr>
            </w:pPr>
            <w:r w:rsidRPr="005F4582">
              <w:rPr>
                <w:rFonts w:ascii="Arial Narrow" w:hAnsi="Arial Narrow" w:cs="Arial"/>
                <w:b/>
                <w:sz w:val="20"/>
                <w:szCs w:val="20"/>
              </w:rPr>
              <w:t>Treatment Phase:</w:t>
            </w:r>
          </w:p>
        </w:tc>
        <w:tc>
          <w:tcPr>
            <w:tcW w:w="4351" w:type="pct"/>
            <w:vAlign w:val="center"/>
            <w:hideMark/>
          </w:tcPr>
          <w:p w:rsidR="00CD567F" w:rsidRPr="005F4582" w:rsidRDefault="00CD567F" w:rsidP="00316D56">
            <w:pPr>
              <w:spacing w:before="100" w:beforeAutospacing="1" w:after="100" w:afterAutospacing="1"/>
              <w:rPr>
                <w:rFonts w:ascii="Arial Narrow" w:hAnsi="Arial Narrow"/>
                <w:color w:val="333333"/>
                <w:sz w:val="20"/>
                <w:szCs w:val="18"/>
              </w:rPr>
            </w:pPr>
            <w:r w:rsidRPr="005F4582">
              <w:rPr>
                <w:rFonts w:ascii="Arial Narrow" w:hAnsi="Arial Narrow"/>
                <w:color w:val="333333"/>
                <w:sz w:val="20"/>
                <w:szCs w:val="18"/>
              </w:rPr>
              <w:t>Initial treatment</w:t>
            </w:r>
          </w:p>
        </w:tc>
      </w:tr>
      <w:tr w:rsidR="003D526A" w:rsidRPr="005F4582" w:rsidTr="0071396A">
        <w:trPr>
          <w:trHeight w:val="1678"/>
        </w:trPr>
        <w:tc>
          <w:tcPr>
            <w:tcW w:w="649" w:type="pct"/>
          </w:tcPr>
          <w:p w:rsidR="003D526A" w:rsidRPr="005F4582" w:rsidRDefault="003D526A" w:rsidP="003D526A">
            <w:pPr>
              <w:jc w:val="both"/>
              <w:rPr>
                <w:rFonts w:ascii="Arial Narrow" w:hAnsi="Arial Narrow" w:cs="Arial"/>
                <w:b/>
                <w:sz w:val="20"/>
                <w:szCs w:val="20"/>
              </w:rPr>
            </w:pPr>
            <w:r w:rsidRPr="005F4582">
              <w:rPr>
                <w:rFonts w:ascii="Arial Narrow" w:hAnsi="Arial Narrow" w:cs="Arial"/>
                <w:b/>
                <w:sz w:val="20"/>
                <w:szCs w:val="20"/>
              </w:rPr>
              <w:t>Clinical criteria:</w:t>
            </w:r>
          </w:p>
          <w:p w:rsidR="003D526A" w:rsidRPr="005F4582" w:rsidRDefault="003D526A" w:rsidP="00316D56">
            <w:pPr>
              <w:jc w:val="center"/>
              <w:rPr>
                <w:rFonts w:ascii="Arial Narrow" w:hAnsi="Arial Narrow"/>
                <w:color w:val="333333"/>
                <w:sz w:val="18"/>
                <w:szCs w:val="18"/>
              </w:rPr>
            </w:pPr>
          </w:p>
        </w:tc>
        <w:tc>
          <w:tcPr>
            <w:tcW w:w="4351" w:type="pct"/>
          </w:tcPr>
          <w:p w:rsidR="003D526A" w:rsidRPr="005F4582" w:rsidRDefault="003D526A" w:rsidP="00316D56">
            <w:pPr>
              <w:rPr>
                <w:rFonts w:ascii="Arial Narrow" w:hAnsi="Arial Narrow"/>
                <w:i/>
                <w:color w:val="333333"/>
                <w:sz w:val="20"/>
                <w:szCs w:val="18"/>
              </w:rPr>
            </w:pPr>
            <w:r w:rsidRPr="005F4582">
              <w:rPr>
                <w:rFonts w:ascii="Arial Narrow" w:hAnsi="Arial Narrow"/>
                <w:color w:val="333333"/>
                <w:sz w:val="20"/>
                <w:szCs w:val="18"/>
              </w:rPr>
              <w:t xml:space="preserve">Patient must not have received prior treatment with a programmed cell death-1 (PD-1) inhibitor or a programmed cell death ligand-1 (PD-L1) inhibitor for </w:t>
            </w:r>
            <w:r w:rsidRPr="005F4582">
              <w:rPr>
                <w:rFonts w:ascii="Arial Narrow" w:hAnsi="Arial Narrow"/>
                <w:strike/>
                <w:color w:val="333333"/>
                <w:sz w:val="20"/>
                <w:szCs w:val="18"/>
              </w:rPr>
              <w:t xml:space="preserve">this condition </w:t>
            </w:r>
            <w:r w:rsidRPr="005F4582">
              <w:rPr>
                <w:rFonts w:ascii="Arial Narrow" w:hAnsi="Arial Narrow"/>
                <w:i/>
                <w:color w:val="333333"/>
                <w:sz w:val="20"/>
                <w:szCs w:val="18"/>
              </w:rPr>
              <w:t>non-small cell lung cancer.</w:t>
            </w:r>
          </w:p>
          <w:p w:rsidR="003D526A" w:rsidRPr="005F4582" w:rsidRDefault="003D526A" w:rsidP="00316D56">
            <w:pPr>
              <w:rPr>
                <w:rFonts w:ascii="Arial Narrow" w:hAnsi="Arial Narrow"/>
                <w:color w:val="333333"/>
                <w:sz w:val="20"/>
                <w:szCs w:val="18"/>
              </w:rPr>
            </w:pPr>
            <w:r w:rsidRPr="005F4582">
              <w:rPr>
                <w:rFonts w:ascii="Arial Narrow" w:hAnsi="Arial Narrow"/>
                <w:b/>
                <w:bCs/>
                <w:color w:val="333333"/>
                <w:sz w:val="20"/>
                <w:szCs w:val="18"/>
              </w:rPr>
              <w:t>AND</w:t>
            </w:r>
          </w:p>
          <w:p w:rsidR="003D526A" w:rsidRPr="005F4582" w:rsidRDefault="003D526A" w:rsidP="00316D56">
            <w:pPr>
              <w:rPr>
                <w:rFonts w:ascii="Arial Narrow" w:hAnsi="Arial Narrow"/>
                <w:color w:val="333333"/>
                <w:sz w:val="20"/>
                <w:szCs w:val="18"/>
              </w:rPr>
            </w:pPr>
            <w:r w:rsidRPr="005F4582">
              <w:rPr>
                <w:rFonts w:ascii="Arial Narrow" w:hAnsi="Arial Narrow"/>
                <w:color w:val="333333"/>
                <w:sz w:val="20"/>
                <w:szCs w:val="18"/>
              </w:rPr>
              <w:t>Patient must have a WHO performance status of 0 or 1</w:t>
            </w:r>
          </w:p>
          <w:p w:rsidR="003D526A" w:rsidRPr="005F4582" w:rsidRDefault="003D526A" w:rsidP="00316D56">
            <w:pPr>
              <w:rPr>
                <w:rFonts w:ascii="Arial Narrow" w:hAnsi="Arial Narrow"/>
                <w:color w:val="333333"/>
                <w:sz w:val="20"/>
                <w:szCs w:val="18"/>
              </w:rPr>
            </w:pPr>
            <w:r w:rsidRPr="005F4582">
              <w:rPr>
                <w:rFonts w:ascii="Arial Narrow" w:hAnsi="Arial Narrow"/>
                <w:b/>
                <w:bCs/>
                <w:color w:val="333333"/>
                <w:sz w:val="20"/>
                <w:szCs w:val="18"/>
              </w:rPr>
              <w:t>AND</w:t>
            </w:r>
          </w:p>
          <w:p w:rsidR="003D526A" w:rsidRPr="005F4582" w:rsidRDefault="003D526A" w:rsidP="00316D56">
            <w:pPr>
              <w:rPr>
                <w:rFonts w:ascii="Arial Narrow" w:hAnsi="Arial Narrow"/>
                <w:color w:val="333333"/>
                <w:sz w:val="20"/>
                <w:szCs w:val="18"/>
              </w:rPr>
            </w:pPr>
            <w:r w:rsidRPr="005F4582">
              <w:rPr>
                <w:rFonts w:ascii="Arial Narrow" w:hAnsi="Arial Narrow"/>
                <w:color w:val="333333"/>
                <w:sz w:val="20"/>
                <w:szCs w:val="18"/>
              </w:rPr>
              <w:t>The treatment must be the sole PBS subsidised treatment for this condition</w:t>
            </w:r>
          </w:p>
          <w:p w:rsidR="003D526A" w:rsidRPr="005F4582" w:rsidRDefault="003D526A" w:rsidP="00316D56">
            <w:pPr>
              <w:rPr>
                <w:rFonts w:ascii="Arial Narrow" w:hAnsi="Arial Narrow"/>
                <w:color w:val="333333"/>
                <w:sz w:val="20"/>
                <w:szCs w:val="18"/>
              </w:rPr>
            </w:pPr>
            <w:r w:rsidRPr="005F4582">
              <w:rPr>
                <w:rFonts w:ascii="Arial Narrow" w:hAnsi="Arial Narrow"/>
                <w:b/>
                <w:bCs/>
                <w:color w:val="333333"/>
                <w:sz w:val="20"/>
                <w:szCs w:val="18"/>
              </w:rPr>
              <w:t>AND</w:t>
            </w:r>
          </w:p>
          <w:p w:rsidR="003D526A" w:rsidRPr="005F4582" w:rsidRDefault="003D526A" w:rsidP="00316D56">
            <w:pPr>
              <w:rPr>
                <w:rFonts w:ascii="Arial Narrow" w:hAnsi="Arial Narrow"/>
                <w:b/>
                <w:bCs/>
                <w:color w:val="333333"/>
                <w:sz w:val="18"/>
                <w:szCs w:val="18"/>
              </w:rPr>
            </w:pPr>
            <w:r w:rsidRPr="005F4582">
              <w:rPr>
                <w:rFonts w:ascii="Arial Narrow" w:hAnsi="Arial Narrow"/>
                <w:color w:val="333333"/>
                <w:sz w:val="20"/>
                <w:szCs w:val="18"/>
              </w:rPr>
              <w:t>The condition must have progressed on or after prior platinum based chemotherapy</w:t>
            </w:r>
          </w:p>
        </w:tc>
      </w:tr>
      <w:tr w:rsidR="003D526A" w:rsidRPr="005F4582" w:rsidTr="0071396A">
        <w:trPr>
          <w:trHeight w:val="1359"/>
        </w:trPr>
        <w:tc>
          <w:tcPr>
            <w:tcW w:w="649" w:type="pct"/>
          </w:tcPr>
          <w:p w:rsidR="003D526A" w:rsidRPr="005F4582" w:rsidRDefault="003D526A" w:rsidP="003D526A">
            <w:pPr>
              <w:jc w:val="both"/>
              <w:rPr>
                <w:rFonts w:ascii="Arial Narrow" w:hAnsi="Arial Narrow" w:cs="Arial"/>
                <w:b/>
                <w:sz w:val="20"/>
                <w:szCs w:val="20"/>
              </w:rPr>
            </w:pPr>
            <w:r w:rsidRPr="005F4582">
              <w:rPr>
                <w:rFonts w:ascii="Arial Narrow" w:hAnsi="Arial Narrow" w:cs="Arial"/>
                <w:b/>
                <w:sz w:val="20"/>
                <w:szCs w:val="20"/>
              </w:rPr>
              <w:t>Administrative Advice:</w:t>
            </w:r>
          </w:p>
          <w:p w:rsidR="003D526A" w:rsidRPr="005F4582" w:rsidRDefault="003D526A" w:rsidP="00316D56">
            <w:pPr>
              <w:spacing w:before="100" w:beforeAutospacing="1" w:after="100" w:afterAutospacing="1"/>
              <w:jc w:val="center"/>
              <w:rPr>
                <w:rFonts w:ascii="Arial Narrow" w:hAnsi="Arial Narrow"/>
                <w:color w:val="333333"/>
                <w:sz w:val="18"/>
                <w:szCs w:val="18"/>
              </w:rPr>
            </w:pPr>
          </w:p>
        </w:tc>
        <w:tc>
          <w:tcPr>
            <w:tcW w:w="4351" w:type="pct"/>
          </w:tcPr>
          <w:p w:rsidR="003D526A" w:rsidRPr="005F4582" w:rsidRDefault="003D526A" w:rsidP="0071396A">
            <w:pPr>
              <w:rPr>
                <w:rFonts w:ascii="Arial Narrow" w:hAnsi="Arial Narrow"/>
                <w:sz w:val="20"/>
                <w:szCs w:val="22"/>
              </w:rPr>
            </w:pPr>
            <w:r w:rsidRPr="005F4582">
              <w:rPr>
                <w:rFonts w:ascii="Arial Narrow" w:hAnsi="Arial Narrow"/>
                <w:sz w:val="20"/>
                <w:szCs w:val="22"/>
              </w:rPr>
              <w:t>No increase in the maximum number of repeats may be authorised.</w:t>
            </w:r>
          </w:p>
          <w:p w:rsidR="003D526A" w:rsidRPr="005F4582" w:rsidRDefault="003D526A" w:rsidP="0071396A">
            <w:pPr>
              <w:rPr>
                <w:rFonts w:ascii="Arial Narrow" w:hAnsi="Arial Narrow"/>
                <w:sz w:val="20"/>
                <w:szCs w:val="22"/>
              </w:rPr>
            </w:pPr>
            <w:r w:rsidRPr="005F4582">
              <w:rPr>
                <w:rFonts w:ascii="Arial Narrow" w:hAnsi="Arial Narrow"/>
                <w:sz w:val="20"/>
                <w:szCs w:val="22"/>
              </w:rPr>
              <w:t>In the first few months after start of immunotherapy, some patients can have a transient tumour flare with subsequent disease response. When progression is suspected, this should be confirmed through a confirmatory scan, taken at least 4 weeks later.</w:t>
            </w:r>
          </w:p>
          <w:p w:rsidR="003D526A" w:rsidRPr="005F4582" w:rsidRDefault="003D526A" w:rsidP="0071396A">
            <w:pPr>
              <w:rPr>
                <w:rFonts w:ascii="Arial Narrow" w:hAnsi="Arial Narrow"/>
                <w:b/>
                <w:bCs/>
                <w:color w:val="333333"/>
                <w:sz w:val="18"/>
                <w:szCs w:val="18"/>
              </w:rPr>
            </w:pPr>
            <w:r w:rsidRPr="005F4582">
              <w:rPr>
                <w:rFonts w:ascii="Arial Narrow" w:hAnsi="Arial Narrow"/>
                <w:sz w:val="20"/>
                <w:szCs w:val="22"/>
              </w:rPr>
              <w:t>Special Pricing Arrangements apply.</w:t>
            </w:r>
          </w:p>
        </w:tc>
      </w:tr>
    </w:tbl>
    <w:p w:rsidR="00CD567F" w:rsidRPr="005F4582" w:rsidRDefault="00CD567F" w:rsidP="00AE22D3">
      <w:pPr>
        <w:rPr>
          <w:rFonts w:asciiTheme="minorHAnsi" w:hAnsiTheme="minorHAnsi"/>
          <w:sz w:val="22"/>
          <w:szCs w:val="22"/>
        </w:rPr>
      </w:pPr>
    </w:p>
    <w:p w:rsidR="003D526A" w:rsidRPr="00B22235" w:rsidRDefault="003D526A" w:rsidP="00B22235">
      <w:pPr>
        <w:pStyle w:val="3Bodytext"/>
        <w:numPr>
          <w:ilvl w:val="0"/>
          <w:numId w:val="0"/>
        </w:numPr>
        <w:ind w:left="720" w:hanging="720"/>
        <w:rPr>
          <w:b/>
          <w:i/>
        </w:rPr>
      </w:pPr>
      <w:r w:rsidRPr="00B22235">
        <w:rPr>
          <w:b/>
          <w:i/>
        </w:rPr>
        <w:t>11807K (Public) / 11792P (Private)</w:t>
      </w:r>
    </w:p>
    <w:p w:rsidR="003D526A" w:rsidRPr="005F4582" w:rsidRDefault="003D526A" w:rsidP="00AE22D3">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7745"/>
      </w:tblGrid>
      <w:tr w:rsidR="003D526A" w:rsidRPr="005F4582" w:rsidTr="00316D56">
        <w:trPr>
          <w:trHeight w:val="1159"/>
        </w:trPr>
        <w:tc>
          <w:tcPr>
            <w:tcW w:w="705" w:type="pct"/>
            <w:vAlign w:val="center"/>
            <w:hideMark/>
          </w:tcPr>
          <w:p w:rsidR="003D526A" w:rsidRPr="005F4582" w:rsidRDefault="003D526A" w:rsidP="003D526A">
            <w:pPr>
              <w:jc w:val="both"/>
              <w:rPr>
                <w:rFonts w:ascii="Arial Narrow" w:hAnsi="Arial Narrow" w:cs="Arial"/>
                <w:b/>
                <w:sz w:val="20"/>
                <w:szCs w:val="20"/>
              </w:rPr>
            </w:pPr>
            <w:r w:rsidRPr="005F4582">
              <w:rPr>
                <w:rFonts w:ascii="Arial Narrow" w:hAnsi="Arial Narrow" w:cs="Arial"/>
                <w:b/>
                <w:sz w:val="20"/>
                <w:szCs w:val="20"/>
              </w:rPr>
              <w:t>Administrative Advice:</w:t>
            </w:r>
          </w:p>
          <w:p w:rsidR="003D526A" w:rsidRPr="005F4582" w:rsidRDefault="003D526A" w:rsidP="00316D56">
            <w:pPr>
              <w:jc w:val="center"/>
              <w:rPr>
                <w:rFonts w:ascii="Arial Narrow" w:hAnsi="Arial Narrow"/>
                <w:sz w:val="18"/>
                <w:szCs w:val="18"/>
              </w:rPr>
            </w:pPr>
          </w:p>
        </w:tc>
        <w:tc>
          <w:tcPr>
            <w:tcW w:w="4295" w:type="pct"/>
            <w:vAlign w:val="center"/>
            <w:hideMark/>
          </w:tcPr>
          <w:p w:rsidR="003D526A" w:rsidRPr="005F4582" w:rsidRDefault="003D526A" w:rsidP="00316D56">
            <w:pPr>
              <w:rPr>
                <w:rFonts w:ascii="Arial Narrow" w:hAnsi="Arial Narrow"/>
                <w:sz w:val="20"/>
                <w:szCs w:val="18"/>
              </w:rPr>
            </w:pPr>
            <w:r w:rsidRPr="005F4582">
              <w:rPr>
                <w:rFonts w:ascii="Arial Narrow" w:hAnsi="Arial Narrow"/>
                <w:sz w:val="20"/>
                <w:szCs w:val="18"/>
              </w:rPr>
              <w:t>No increase in the maximum number of repeats may be authorised.</w:t>
            </w:r>
          </w:p>
          <w:p w:rsidR="003D526A" w:rsidRPr="005F4582" w:rsidRDefault="003D526A" w:rsidP="00316D56">
            <w:pPr>
              <w:rPr>
                <w:rFonts w:ascii="Arial Narrow" w:hAnsi="Arial Narrow"/>
                <w:sz w:val="20"/>
                <w:szCs w:val="18"/>
              </w:rPr>
            </w:pPr>
            <w:r w:rsidRPr="005F4582">
              <w:rPr>
                <w:rFonts w:ascii="Arial Narrow" w:hAnsi="Arial Narrow"/>
                <w:sz w:val="20"/>
                <w:szCs w:val="18"/>
              </w:rPr>
              <w:t>In the first few months after start of immunotherapy, some patients can have a transient tumour flare with subsequent disease response. When progression is suspected, this should be confirmed through a confirmatory scan, taken at least 4 weeks later.</w:t>
            </w:r>
          </w:p>
          <w:p w:rsidR="003D526A" w:rsidRPr="005F4582" w:rsidRDefault="003D526A" w:rsidP="00316D56">
            <w:pPr>
              <w:rPr>
                <w:rFonts w:ascii="Arial Narrow" w:hAnsi="Arial Narrow"/>
                <w:sz w:val="20"/>
                <w:szCs w:val="18"/>
              </w:rPr>
            </w:pPr>
            <w:r w:rsidRPr="005F4582">
              <w:rPr>
                <w:rFonts w:ascii="Arial Narrow" w:hAnsi="Arial Narrow"/>
                <w:sz w:val="20"/>
                <w:szCs w:val="18"/>
              </w:rPr>
              <w:t>Special Pricing Arrangements apply.</w:t>
            </w:r>
          </w:p>
        </w:tc>
      </w:tr>
      <w:tr w:rsidR="003D526A" w:rsidRPr="005F4582" w:rsidTr="0071396A">
        <w:tc>
          <w:tcPr>
            <w:tcW w:w="705" w:type="pct"/>
            <w:vAlign w:val="center"/>
            <w:hideMark/>
          </w:tcPr>
          <w:p w:rsidR="003D526A" w:rsidRPr="005F4582" w:rsidRDefault="003D526A" w:rsidP="0071396A">
            <w:pPr>
              <w:rPr>
                <w:rFonts w:ascii="Arial Narrow" w:hAnsi="Arial Narrow"/>
                <w:sz w:val="18"/>
                <w:szCs w:val="18"/>
              </w:rPr>
            </w:pPr>
            <w:r w:rsidRPr="005F4582">
              <w:rPr>
                <w:rFonts w:ascii="Arial Narrow" w:hAnsi="Arial Narrow" w:cs="Arial"/>
                <w:b/>
                <w:sz w:val="20"/>
                <w:szCs w:val="20"/>
              </w:rPr>
              <w:t>Indication:</w:t>
            </w:r>
          </w:p>
        </w:tc>
        <w:tc>
          <w:tcPr>
            <w:tcW w:w="4295" w:type="pct"/>
            <w:vAlign w:val="center"/>
            <w:hideMark/>
          </w:tcPr>
          <w:p w:rsidR="003D526A" w:rsidRPr="005F4582" w:rsidRDefault="003D526A" w:rsidP="00316D56">
            <w:pPr>
              <w:rPr>
                <w:rFonts w:ascii="Arial Narrow" w:hAnsi="Arial Narrow"/>
                <w:sz w:val="20"/>
                <w:szCs w:val="18"/>
              </w:rPr>
            </w:pPr>
            <w:r w:rsidRPr="005F4582">
              <w:rPr>
                <w:rFonts w:ascii="Arial Narrow" w:hAnsi="Arial Narrow"/>
                <w:sz w:val="20"/>
                <w:szCs w:val="18"/>
              </w:rPr>
              <w:t>Stage IV (metastatic) non-small cell lung cancer (NSCLC)</w:t>
            </w:r>
          </w:p>
        </w:tc>
      </w:tr>
      <w:tr w:rsidR="003D526A" w:rsidRPr="005F4582" w:rsidTr="0071396A">
        <w:tc>
          <w:tcPr>
            <w:tcW w:w="705" w:type="pct"/>
            <w:hideMark/>
          </w:tcPr>
          <w:p w:rsidR="003D526A" w:rsidRPr="005F4582" w:rsidRDefault="003D526A" w:rsidP="0071396A">
            <w:pPr>
              <w:rPr>
                <w:rFonts w:ascii="Arial Narrow" w:hAnsi="Arial Narrow"/>
                <w:sz w:val="18"/>
                <w:szCs w:val="18"/>
              </w:rPr>
            </w:pPr>
            <w:r w:rsidRPr="005F4582">
              <w:rPr>
                <w:rFonts w:ascii="Arial Narrow" w:hAnsi="Arial Narrow" w:cs="Arial"/>
                <w:b/>
                <w:sz w:val="20"/>
                <w:szCs w:val="20"/>
              </w:rPr>
              <w:t>Treatment Phase:</w:t>
            </w:r>
          </w:p>
        </w:tc>
        <w:tc>
          <w:tcPr>
            <w:tcW w:w="4295" w:type="pct"/>
            <w:hideMark/>
          </w:tcPr>
          <w:p w:rsidR="003D526A" w:rsidRPr="005F4582" w:rsidRDefault="003D526A" w:rsidP="00316D56">
            <w:pPr>
              <w:rPr>
                <w:rFonts w:ascii="Arial Narrow" w:hAnsi="Arial Narrow"/>
                <w:sz w:val="20"/>
                <w:szCs w:val="18"/>
              </w:rPr>
            </w:pPr>
            <w:r w:rsidRPr="005F4582">
              <w:rPr>
                <w:rFonts w:ascii="Arial Narrow" w:hAnsi="Arial Narrow"/>
                <w:sz w:val="20"/>
                <w:szCs w:val="18"/>
              </w:rPr>
              <w:t xml:space="preserve"> Initial treatment 1</w:t>
            </w:r>
          </w:p>
        </w:tc>
      </w:tr>
      <w:tr w:rsidR="003D526A" w:rsidRPr="005F4582" w:rsidTr="0071396A">
        <w:trPr>
          <w:trHeight w:val="682"/>
        </w:trPr>
        <w:tc>
          <w:tcPr>
            <w:tcW w:w="705" w:type="pct"/>
            <w:hideMark/>
          </w:tcPr>
          <w:p w:rsidR="003D526A" w:rsidRPr="005F4582" w:rsidRDefault="003D526A">
            <w:pPr>
              <w:rPr>
                <w:rFonts w:ascii="Arial Narrow" w:hAnsi="Arial Narrow" w:cs="Arial"/>
                <w:b/>
                <w:sz w:val="20"/>
                <w:szCs w:val="20"/>
              </w:rPr>
            </w:pPr>
            <w:r w:rsidRPr="005F4582">
              <w:rPr>
                <w:rFonts w:ascii="Arial Narrow" w:hAnsi="Arial Narrow" w:cs="Arial"/>
                <w:b/>
                <w:sz w:val="20"/>
                <w:szCs w:val="20"/>
              </w:rPr>
              <w:t>Treatment criteria:</w:t>
            </w:r>
          </w:p>
          <w:p w:rsidR="003D526A" w:rsidRPr="005F4582" w:rsidRDefault="003D526A" w:rsidP="0071396A">
            <w:pPr>
              <w:rPr>
                <w:rFonts w:ascii="Arial Narrow" w:hAnsi="Arial Narrow"/>
                <w:sz w:val="18"/>
                <w:szCs w:val="18"/>
              </w:rPr>
            </w:pPr>
          </w:p>
        </w:tc>
        <w:tc>
          <w:tcPr>
            <w:tcW w:w="4295" w:type="pct"/>
            <w:hideMark/>
          </w:tcPr>
          <w:p w:rsidR="003D526A" w:rsidRPr="005F4582" w:rsidRDefault="003D526A" w:rsidP="00316D56">
            <w:pPr>
              <w:rPr>
                <w:rFonts w:ascii="Arial Narrow" w:hAnsi="Arial Narrow"/>
                <w:sz w:val="20"/>
                <w:szCs w:val="18"/>
              </w:rPr>
            </w:pPr>
            <w:r w:rsidRPr="005F4582">
              <w:rPr>
                <w:rFonts w:ascii="Arial Narrow" w:hAnsi="Arial Narrow"/>
                <w:sz w:val="20"/>
                <w:szCs w:val="18"/>
              </w:rPr>
              <w:t>Patient must be undergoing combination treatment with bevacizumab and platinum-doublet chemotherapy</w:t>
            </w:r>
          </w:p>
          <w:p w:rsidR="003D526A" w:rsidRPr="005F4582" w:rsidRDefault="003D526A" w:rsidP="00316D56">
            <w:pPr>
              <w:rPr>
                <w:rFonts w:ascii="Arial Narrow" w:hAnsi="Arial Narrow"/>
                <w:sz w:val="20"/>
                <w:szCs w:val="18"/>
              </w:rPr>
            </w:pPr>
            <w:r w:rsidRPr="005F4582">
              <w:rPr>
                <w:rFonts w:ascii="Arial Narrow" w:hAnsi="Arial Narrow"/>
                <w:b/>
                <w:bCs/>
                <w:sz w:val="20"/>
                <w:szCs w:val="18"/>
              </w:rPr>
              <w:t>AND</w:t>
            </w:r>
          </w:p>
        </w:tc>
      </w:tr>
      <w:tr w:rsidR="003D526A" w:rsidRPr="005F4582" w:rsidTr="0071396A">
        <w:trPr>
          <w:trHeight w:val="2540"/>
        </w:trPr>
        <w:tc>
          <w:tcPr>
            <w:tcW w:w="705" w:type="pct"/>
            <w:hideMark/>
          </w:tcPr>
          <w:p w:rsidR="003D526A" w:rsidRPr="005F4582" w:rsidRDefault="003D526A" w:rsidP="003D526A">
            <w:pPr>
              <w:jc w:val="both"/>
              <w:rPr>
                <w:rFonts w:ascii="Arial Narrow" w:hAnsi="Arial Narrow" w:cs="Arial"/>
                <w:b/>
                <w:sz w:val="20"/>
                <w:szCs w:val="20"/>
              </w:rPr>
            </w:pPr>
            <w:r w:rsidRPr="005F4582">
              <w:rPr>
                <w:rFonts w:ascii="Arial Narrow" w:hAnsi="Arial Narrow" w:cs="Arial"/>
                <w:b/>
                <w:sz w:val="20"/>
                <w:szCs w:val="20"/>
              </w:rPr>
              <w:lastRenderedPageBreak/>
              <w:t>Clinical criteria:</w:t>
            </w:r>
          </w:p>
          <w:p w:rsidR="003D526A" w:rsidRPr="005F4582" w:rsidRDefault="003D526A" w:rsidP="00316D56">
            <w:pPr>
              <w:jc w:val="center"/>
              <w:rPr>
                <w:rFonts w:ascii="Arial Narrow" w:hAnsi="Arial Narrow"/>
                <w:sz w:val="18"/>
                <w:szCs w:val="18"/>
              </w:rPr>
            </w:pPr>
          </w:p>
        </w:tc>
        <w:tc>
          <w:tcPr>
            <w:tcW w:w="4295" w:type="pct"/>
            <w:hideMark/>
          </w:tcPr>
          <w:p w:rsidR="003D526A" w:rsidRPr="005F4582" w:rsidRDefault="003D526A" w:rsidP="00316D56">
            <w:pPr>
              <w:rPr>
                <w:rFonts w:ascii="Arial Narrow" w:hAnsi="Arial Narrow"/>
                <w:sz w:val="20"/>
                <w:szCs w:val="18"/>
              </w:rPr>
            </w:pPr>
            <w:r w:rsidRPr="005F4582">
              <w:rPr>
                <w:rFonts w:ascii="Arial Narrow" w:hAnsi="Arial Narrow"/>
                <w:sz w:val="20"/>
                <w:szCs w:val="18"/>
              </w:rPr>
              <w:t>The condition must be non-squamous type non-small cell lung cancer (NSCLC)</w:t>
            </w:r>
          </w:p>
          <w:p w:rsidR="003D526A" w:rsidRPr="005F4582" w:rsidRDefault="003D526A" w:rsidP="00316D56">
            <w:pPr>
              <w:rPr>
                <w:rFonts w:ascii="Arial Narrow" w:hAnsi="Arial Narrow"/>
                <w:sz w:val="20"/>
                <w:szCs w:val="18"/>
              </w:rPr>
            </w:pPr>
            <w:r w:rsidRPr="005F4582">
              <w:rPr>
                <w:rFonts w:ascii="Arial Narrow" w:hAnsi="Arial Narrow"/>
                <w:b/>
                <w:bCs/>
                <w:sz w:val="20"/>
                <w:szCs w:val="18"/>
              </w:rPr>
              <w:t>AND</w:t>
            </w:r>
          </w:p>
          <w:p w:rsidR="003D526A" w:rsidRPr="005F4582" w:rsidRDefault="003D526A" w:rsidP="00316D56">
            <w:pPr>
              <w:rPr>
                <w:rFonts w:ascii="Arial Narrow" w:hAnsi="Arial Narrow"/>
                <w:sz w:val="20"/>
                <w:szCs w:val="18"/>
              </w:rPr>
            </w:pPr>
            <w:r w:rsidRPr="005F4582">
              <w:rPr>
                <w:rFonts w:ascii="Arial Narrow" w:hAnsi="Arial Narrow"/>
                <w:sz w:val="20"/>
                <w:szCs w:val="18"/>
              </w:rPr>
              <w:t>Patient must not have previously been treated for this condition in the metastatic setting</w:t>
            </w:r>
          </w:p>
          <w:p w:rsidR="003D526A" w:rsidRPr="005F4582" w:rsidRDefault="003D526A" w:rsidP="00316D56">
            <w:pPr>
              <w:rPr>
                <w:rFonts w:ascii="Arial Narrow" w:hAnsi="Arial Narrow"/>
                <w:b/>
                <w:i/>
                <w:sz w:val="20"/>
                <w:szCs w:val="18"/>
              </w:rPr>
            </w:pPr>
            <w:r w:rsidRPr="005F4582">
              <w:rPr>
                <w:rFonts w:ascii="Arial Narrow" w:hAnsi="Arial Narrow"/>
                <w:b/>
                <w:i/>
                <w:sz w:val="20"/>
                <w:szCs w:val="18"/>
              </w:rPr>
              <w:t>AND</w:t>
            </w:r>
          </w:p>
          <w:p w:rsidR="003D526A" w:rsidRPr="005F4582" w:rsidRDefault="003D526A" w:rsidP="00316D56">
            <w:pPr>
              <w:rPr>
                <w:rFonts w:ascii="Arial Narrow" w:hAnsi="Arial Narrow"/>
                <w:i/>
                <w:color w:val="333333"/>
                <w:sz w:val="20"/>
                <w:szCs w:val="18"/>
              </w:rPr>
            </w:pPr>
            <w:r w:rsidRPr="005F4582">
              <w:rPr>
                <w:rFonts w:ascii="Arial Narrow" w:hAnsi="Arial Narrow"/>
                <w:i/>
                <w:color w:val="333333"/>
                <w:sz w:val="20"/>
                <w:szCs w:val="18"/>
              </w:rPr>
              <w:t>Patient must not have received prior treatment with a programmed cell death-1 (PD-1) inhibitor or a programmed cell death ligand-1 (PD-L1) inhibitor for</w:t>
            </w:r>
            <w:r w:rsidRPr="005F4582">
              <w:rPr>
                <w:rFonts w:ascii="Arial Narrow" w:hAnsi="Arial Narrow"/>
                <w:color w:val="333333"/>
                <w:sz w:val="20"/>
                <w:szCs w:val="18"/>
              </w:rPr>
              <w:t xml:space="preserve"> </w:t>
            </w:r>
            <w:r w:rsidRPr="005F4582">
              <w:rPr>
                <w:rFonts w:ascii="Arial Narrow" w:hAnsi="Arial Narrow"/>
                <w:strike/>
                <w:color w:val="333333"/>
                <w:sz w:val="20"/>
                <w:szCs w:val="18"/>
              </w:rPr>
              <w:t xml:space="preserve">this condition </w:t>
            </w:r>
            <w:r w:rsidRPr="005F4582">
              <w:rPr>
                <w:rFonts w:ascii="Arial Narrow" w:hAnsi="Arial Narrow"/>
                <w:i/>
                <w:color w:val="333333"/>
                <w:sz w:val="20"/>
                <w:szCs w:val="18"/>
              </w:rPr>
              <w:t>non-small cell lung cancer.</w:t>
            </w:r>
          </w:p>
          <w:p w:rsidR="003D526A" w:rsidRPr="005F4582" w:rsidRDefault="003D526A" w:rsidP="00316D56">
            <w:pPr>
              <w:rPr>
                <w:rFonts w:ascii="Arial Narrow" w:hAnsi="Arial Narrow"/>
                <w:sz w:val="20"/>
                <w:szCs w:val="18"/>
              </w:rPr>
            </w:pPr>
            <w:r w:rsidRPr="005F4582">
              <w:rPr>
                <w:rFonts w:ascii="Arial Narrow" w:hAnsi="Arial Narrow"/>
                <w:b/>
                <w:bCs/>
                <w:sz w:val="20"/>
                <w:szCs w:val="18"/>
              </w:rPr>
              <w:t>AND</w:t>
            </w:r>
          </w:p>
          <w:p w:rsidR="003D526A" w:rsidRPr="005F4582" w:rsidRDefault="003D526A" w:rsidP="00316D56">
            <w:pPr>
              <w:rPr>
                <w:rFonts w:ascii="Arial Narrow" w:hAnsi="Arial Narrow"/>
                <w:sz w:val="20"/>
                <w:szCs w:val="18"/>
              </w:rPr>
            </w:pPr>
            <w:r w:rsidRPr="005F4582">
              <w:rPr>
                <w:rFonts w:ascii="Arial Narrow" w:hAnsi="Arial Narrow"/>
                <w:sz w:val="20"/>
                <w:szCs w:val="18"/>
              </w:rPr>
              <w:t>Patient must have a WHO performance status of 0 or 1</w:t>
            </w:r>
          </w:p>
          <w:p w:rsidR="003D526A" w:rsidRPr="005F4582" w:rsidRDefault="003D526A" w:rsidP="00316D56">
            <w:pPr>
              <w:rPr>
                <w:rFonts w:ascii="Arial Narrow" w:hAnsi="Arial Narrow"/>
                <w:sz w:val="20"/>
                <w:szCs w:val="18"/>
              </w:rPr>
            </w:pPr>
            <w:r w:rsidRPr="005F4582">
              <w:rPr>
                <w:rFonts w:ascii="Arial Narrow" w:hAnsi="Arial Narrow"/>
                <w:b/>
                <w:bCs/>
                <w:sz w:val="20"/>
                <w:szCs w:val="18"/>
              </w:rPr>
              <w:t>AND</w:t>
            </w:r>
          </w:p>
          <w:p w:rsidR="003D526A" w:rsidRPr="005F4582" w:rsidRDefault="003D526A" w:rsidP="00316D56">
            <w:pPr>
              <w:rPr>
                <w:rFonts w:ascii="Arial Narrow" w:hAnsi="Arial Narrow"/>
                <w:sz w:val="18"/>
                <w:szCs w:val="18"/>
              </w:rPr>
            </w:pPr>
            <w:r w:rsidRPr="005F4582">
              <w:rPr>
                <w:rFonts w:ascii="Arial Narrow" w:hAnsi="Arial Narrow"/>
                <w:sz w:val="20"/>
                <w:szCs w:val="18"/>
              </w:rPr>
              <w:t>The condition must not have evidence of an activating epidermal growth factor receptor (EGFR) gene mutation or an anaplastic lymphoma kinase (ALK) gene rearrangement in tumour material</w:t>
            </w:r>
          </w:p>
        </w:tc>
      </w:tr>
    </w:tbl>
    <w:p w:rsidR="003D526A" w:rsidRPr="005F4582" w:rsidRDefault="003D526A" w:rsidP="00AE22D3">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7745"/>
      </w:tblGrid>
      <w:tr w:rsidR="003D526A" w:rsidRPr="005F4582" w:rsidTr="0071396A">
        <w:tc>
          <w:tcPr>
            <w:tcW w:w="705" w:type="pct"/>
            <w:vAlign w:val="center"/>
            <w:hideMark/>
          </w:tcPr>
          <w:p w:rsidR="003D526A" w:rsidRPr="005F4582" w:rsidRDefault="003D526A" w:rsidP="0071396A">
            <w:pPr>
              <w:rPr>
                <w:rFonts w:ascii="Arial Narrow" w:hAnsi="Arial Narrow"/>
                <w:sz w:val="18"/>
                <w:szCs w:val="18"/>
              </w:rPr>
            </w:pPr>
            <w:r w:rsidRPr="005F4582">
              <w:rPr>
                <w:rFonts w:ascii="Arial Narrow" w:hAnsi="Arial Narrow" w:cs="Arial"/>
                <w:b/>
                <w:sz w:val="20"/>
                <w:szCs w:val="20"/>
              </w:rPr>
              <w:t>Treatment Phase:</w:t>
            </w:r>
          </w:p>
        </w:tc>
        <w:tc>
          <w:tcPr>
            <w:tcW w:w="4295" w:type="pct"/>
            <w:vAlign w:val="center"/>
            <w:hideMark/>
          </w:tcPr>
          <w:p w:rsidR="003D526A" w:rsidRPr="005F4582" w:rsidRDefault="003D526A" w:rsidP="00316D56">
            <w:pPr>
              <w:rPr>
                <w:rFonts w:ascii="Arial Narrow" w:hAnsi="Arial Narrow"/>
                <w:sz w:val="20"/>
                <w:szCs w:val="18"/>
              </w:rPr>
            </w:pPr>
            <w:r w:rsidRPr="005F4582">
              <w:rPr>
                <w:rFonts w:ascii="Arial Narrow" w:hAnsi="Arial Narrow"/>
                <w:sz w:val="20"/>
                <w:szCs w:val="18"/>
              </w:rPr>
              <w:t>Initial treatment 2</w:t>
            </w:r>
          </w:p>
        </w:tc>
      </w:tr>
      <w:tr w:rsidR="003D526A" w:rsidRPr="005F4582" w:rsidTr="0071396A">
        <w:trPr>
          <w:trHeight w:val="806"/>
        </w:trPr>
        <w:tc>
          <w:tcPr>
            <w:tcW w:w="705" w:type="pct"/>
            <w:vAlign w:val="center"/>
            <w:hideMark/>
          </w:tcPr>
          <w:p w:rsidR="007D19B8" w:rsidRPr="005F4582" w:rsidRDefault="007D19B8" w:rsidP="007D19B8">
            <w:pPr>
              <w:rPr>
                <w:rFonts w:ascii="Arial Narrow" w:hAnsi="Arial Narrow" w:cs="Arial"/>
                <w:b/>
                <w:sz w:val="20"/>
                <w:szCs w:val="20"/>
              </w:rPr>
            </w:pPr>
            <w:r w:rsidRPr="005F4582">
              <w:rPr>
                <w:rFonts w:ascii="Arial Narrow" w:hAnsi="Arial Narrow" w:cs="Arial"/>
                <w:b/>
                <w:sz w:val="20"/>
                <w:szCs w:val="20"/>
              </w:rPr>
              <w:t>Treatment criteria:</w:t>
            </w:r>
          </w:p>
          <w:p w:rsidR="003D526A" w:rsidRPr="005F4582" w:rsidRDefault="003D526A" w:rsidP="00316D56">
            <w:pPr>
              <w:jc w:val="center"/>
              <w:rPr>
                <w:rFonts w:ascii="Arial Narrow" w:hAnsi="Arial Narrow"/>
                <w:sz w:val="18"/>
                <w:szCs w:val="18"/>
              </w:rPr>
            </w:pPr>
          </w:p>
        </w:tc>
        <w:tc>
          <w:tcPr>
            <w:tcW w:w="4295" w:type="pct"/>
            <w:vAlign w:val="center"/>
            <w:hideMark/>
          </w:tcPr>
          <w:p w:rsidR="003D526A" w:rsidRPr="005F4582" w:rsidRDefault="003D526A" w:rsidP="00316D56">
            <w:pPr>
              <w:rPr>
                <w:rFonts w:ascii="Arial Narrow" w:hAnsi="Arial Narrow"/>
                <w:sz w:val="20"/>
                <w:szCs w:val="18"/>
              </w:rPr>
            </w:pPr>
            <w:r w:rsidRPr="005F4582">
              <w:rPr>
                <w:rFonts w:ascii="Arial Narrow" w:hAnsi="Arial Narrow"/>
                <w:sz w:val="20"/>
                <w:szCs w:val="18"/>
              </w:rPr>
              <w:t>Patient must be undergoing combination treatment with bevacizumab and platinum-doublet chemotherapy</w:t>
            </w:r>
          </w:p>
          <w:p w:rsidR="007D19B8" w:rsidRPr="005F4582" w:rsidRDefault="007D19B8" w:rsidP="00316D56">
            <w:pPr>
              <w:rPr>
                <w:rFonts w:ascii="Arial Narrow" w:hAnsi="Arial Narrow"/>
                <w:sz w:val="20"/>
                <w:szCs w:val="18"/>
              </w:rPr>
            </w:pPr>
            <w:r w:rsidRPr="005F4582">
              <w:rPr>
                <w:rFonts w:ascii="Arial Narrow" w:hAnsi="Arial Narrow"/>
                <w:b/>
                <w:bCs/>
                <w:sz w:val="20"/>
                <w:szCs w:val="18"/>
              </w:rPr>
              <w:t>AND</w:t>
            </w:r>
          </w:p>
          <w:p w:rsidR="007D19B8" w:rsidRPr="005F4582" w:rsidRDefault="007D19B8" w:rsidP="00316D56">
            <w:pPr>
              <w:rPr>
                <w:rFonts w:ascii="Arial Narrow" w:hAnsi="Arial Narrow"/>
                <w:sz w:val="18"/>
                <w:szCs w:val="18"/>
              </w:rPr>
            </w:pPr>
          </w:p>
        </w:tc>
      </w:tr>
      <w:tr w:rsidR="007D19B8" w:rsidRPr="005F4582" w:rsidTr="0071396A">
        <w:trPr>
          <w:trHeight w:val="3107"/>
        </w:trPr>
        <w:tc>
          <w:tcPr>
            <w:tcW w:w="705" w:type="pct"/>
          </w:tcPr>
          <w:p w:rsidR="007D19B8" w:rsidRPr="005F4582" w:rsidRDefault="007D19B8" w:rsidP="007D19B8">
            <w:pPr>
              <w:jc w:val="both"/>
              <w:rPr>
                <w:rFonts w:ascii="Arial Narrow" w:hAnsi="Arial Narrow" w:cs="Arial"/>
                <w:b/>
                <w:sz w:val="20"/>
                <w:szCs w:val="20"/>
              </w:rPr>
            </w:pPr>
            <w:r w:rsidRPr="005F4582">
              <w:rPr>
                <w:rFonts w:ascii="Arial Narrow" w:hAnsi="Arial Narrow" w:cs="Arial"/>
                <w:b/>
                <w:sz w:val="20"/>
                <w:szCs w:val="20"/>
              </w:rPr>
              <w:t>Clinical criteria:</w:t>
            </w:r>
          </w:p>
          <w:p w:rsidR="007D19B8" w:rsidRPr="005F4582" w:rsidRDefault="007D19B8" w:rsidP="00316D56">
            <w:pPr>
              <w:jc w:val="center"/>
              <w:rPr>
                <w:rFonts w:ascii="Arial Narrow" w:hAnsi="Arial Narrow"/>
                <w:sz w:val="18"/>
                <w:szCs w:val="18"/>
              </w:rPr>
            </w:pPr>
          </w:p>
        </w:tc>
        <w:tc>
          <w:tcPr>
            <w:tcW w:w="4295" w:type="pct"/>
          </w:tcPr>
          <w:p w:rsidR="007D19B8" w:rsidRPr="005F4582" w:rsidRDefault="007D19B8" w:rsidP="00316D56">
            <w:pPr>
              <w:rPr>
                <w:rFonts w:ascii="Arial Narrow" w:hAnsi="Arial Narrow"/>
                <w:sz w:val="20"/>
                <w:szCs w:val="18"/>
              </w:rPr>
            </w:pPr>
            <w:r w:rsidRPr="005F4582">
              <w:rPr>
                <w:rFonts w:ascii="Arial Narrow" w:hAnsi="Arial Narrow"/>
                <w:sz w:val="20"/>
                <w:szCs w:val="18"/>
              </w:rPr>
              <w:t>The condition must be non-squamous type non-small cell lung cancer (NSCLC)</w:t>
            </w:r>
          </w:p>
          <w:p w:rsidR="007D19B8" w:rsidRPr="005F4582" w:rsidRDefault="007D19B8" w:rsidP="00316D56">
            <w:pPr>
              <w:rPr>
                <w:rFonts w:ascii="Arial Narrow" w:hAnsi="Arial Narrow"/>
                <w:sz w:val="20"/>
                <w:szCs w:val="18"/>
              </w:rPr>
            </w:pPr>
            <w:r w:rsidRPr="005F4582">
              <w:rPr>
                <w:rFonts w:ascii="Arial Narrow" w:hAnsi="Arial Narrow"/>
                <w:b/>
                <w:bCs/>
                <w:sz w:val="20"/>
                <w:szCs w:val="18"/>
              </w:rPr>
              <w:t>AND</w:t>
            </w:r>
          </w:p>
          <w:p w:rsidR="007D19B8" w:rsidRPr="005F4582" w:rsidRDefault="007D19B8" w:rsidP="00316D56">
            <w:pPr>
              <w:rPr>
                <w:rFonts w:ascii="Arial Narrow" w:hAnsi="Arial Narrow"/>
                <w:sz w:val="20"/>
                <w:szCs w:val="18"/>
              </w:rPr>
            </w:pPr>
            <w:r w:rsidRPr="005F4582">
              <w:rPr>
                <w:rFonts w:ascii="Arial Narrow" w:hAnsi="Arial Narrow"/>
                <w:sz w:val="20"/>
                <w:szCs w:val="18"/>
              </w:rPr>
              <w:t>Patient must have a WHO performance status of 0 or 1</w:t>
            </w:r>
          </w:p>
          <w:p w:rsidR="007D19B8" w:rsidRPr="005F4582" w:rsidRDefault="007D19B8" w:rsidP="00316D56">
            <w:pPr>
              <w:rPr>
                <w:rFonts w:ascii="Arial Narrow" w:hAnsi="Arial Narrow"/>
                <w:sz w:val="20"/>
                <w:szCs w:val="18"/>
              </w:rPr>
            </w:pPr>
            <w:r w:rsidRPr="005F4582">
              <w:rPr>
                <w:rFonts w:ascii="Arial Narrow" w:hAnsi="Arial Narrow"/>
                <w:b/>
                <w:bCs/>
                <w:sz w:val="20"/>
                <w:szCs w:val="18"/>
              </w:rPr>
              <w:t>AND</w:t>
            </w:r>
          </w:p>
          <w:p w:rsidR="007D19B8" w:rsidRPr="005F4582" w:rsidRDefault="007D19B8" w:rsidP="00316D56">
            <w:pPr>
              <w:rPr>
                <w:rFonts w:ascii="Arial Narrow" w:hAnsi="Arial Narrow"/>
                <w:sz w:val="20"/>
                <w:szCs w:val="18"/>
              </w:rPr>
            </w:pPr>
            <w:r w:rsidRPr="005F4582">
              <w:rPr>
                <w:rFonts w:ascii="Arial Narrow" w:hAnsi="Arial Narrow"/>
                <w:sz w:val="20"/>
                <w:szCs w:val="18"/>
              </w:rPr>
              <w:t>Patient must have evidence of an activating epidermal growth factor receptor (EGFR) gene mutation or of an anaplastic lymphoma kinase (ALK) gene rearrangement in tumour material</w:t>
            </w:r>
          </w:p>
          <w:p w:rsidR="007D19B8" w:rsidRPr="005F4582" w:rsidRDefault="007D19B8" w:rsidP="00316D56">
            <w:pPr>
              <w:rPr>
                <w:rFonts w:ascii="Arial Narrow" w:hAnsi="Arial Narrow"/>
                <w:sz w:val="20"/>
                <w:szCs w:val="18"/>
              </w:rPr>
            </w:pPr>
            <w:r w:rsidRPr="005F4582">
              <w:rPr>
                <w:rFonts w:ascii="Arial Narrow" w:hAnsi="Arial Narrow"/>
                <w:b/>
                <w:bCs/>
                <w:sz w:val="20"/>
                <w:szCs w:val="18"/>
              </w:rPr>
              <w:t>AND</w:t>
            </w:r>
          </w:p>
          <w:p w:rsidR="007D19B8" w:rsidRPr="005F4582" w:rsidRDefault="007D19B8" w:rsidP="00316D56">
            <w:pPr>
              <w:rPr>
                <w:rFonts w:ascii="Arial Narrow" w:hAnsi="Arial Narrow"/>
                <w:sz w:val="20"/>
                <w:szCs w:val="18"/>
              </w:rPr>
            </w:pPr>
            <w:r w:rsidRPr="005F4582">
              <w:rPr>
                <w:rFonts w:ascii="Arial Narrow" w:hAnsi="Arial Narrow"/>
                <w:sz w:val="20"/>
                <w:szCs w:val="18"/>
              </w:rPr>
              <w:t>Patient must have progressive disease following treatment with an epidermal growth factor receptor (EGFR) tyrosine kinase inhibitor (TKI) OR an anaplastic lymphoma kinase (ALK) tyrosine kinase inhibitor (TKI)</w:t>
            </w:r>
          </w:p>
          <w:p w:rsidR="007D19B8" w:rsidRPr="005F4582" w:rsidRDefault="007D19B8" w:rsidP="00316D56">
            <w:pPr>
              <w:rPr>
                <w:rFonts w:ascii="Arial Narrow" w:hAnsi="Arial Narrow"/>
                <w:sz w:val="20"/>
                <w:szCs w:val="18"/>
              </w:rPr>
            </w:pPr>
            <w:r w:rsidRPr="005F4582">
              <w:rPr>
                <w:rFonts w:ascii="Arial Narrow" w:hAnsi="Arial Narrow"/>
                <w:b/>
                <w:bCs/>
                <w:sz w:val="20"/>
                <w:szCs w:val="18"/>
              </w:rPr>
              <w:t>AND</w:t>
            </w:r>
          </w:p>
          <w:p w:rsidR="007D19B8" w:rsidRPr="005F4582" w:rsidRDefault="007D19B8" w:rsidP="00316D56">
            <w:pPr>
              <w:rPr>
                <w:rFonts w:ascii="Arial Narrow" w:hAnsi="Arial Narrow"/>
                <w:sz w:val="18"/>
                <w:szCs w:val="18"/>
              </w:rPr>
            </w:pPr>
            <w:r w:rsidRPr="005F4582">
              <w:rPr>
                <w:rFonts w:ascii="Arial Narrow" w:hAnsi="Arial Narrow"/>
                <w:sz w:val="20"/>
                <w:szCs w:val="18"/>
              </w:rPr>
              <w:t xml:space="preserve">Patient must not have received prior treatment with a programmed cell death-1 (PD-1) inhibitor or a programmed cell death ligand-1 (PD-L1) inhibitor for </w:t>
            </w:r>
            <w:r w:rsidRPr="005F4582">
              <w:rPr>
                <w:rFonts w:ascii="Arial Narrow" w:hAnsi="Arial Narrow"/>
                <w:strike/>
                <w:sz w:val="20"/>
                <w:szCs w:val="18"/>
              </w:rPr>
              <w:t>this condition</w:t>
            </w:r>
            <w:r w:rsidRPr="005F4582">
              <w:rPr>
                <w:rFonts w:ascii="Arial Narrow" w:hAnsi="Arial Narrow"/>
                <w:sz w:val="20"/>
                <w:szCs w:val="18"/>
              </w:rPr>
              <w:t xml:space="preserve"> </w:t>
            </w:r>
            <w:r w:rsidRPr="005F4582">
              <w:rPr>
                <w:rFonts w:ascii="Arial Narrow" w:hAnsi="Arial Narrow"/>
                <w:i/>
                <w:sz w:val="20"/>
                <w:szCs w:val="18"/>
              </w:rPr>
              <w:t>non-small cell lung cancer</w:t>
            </w:r>
          </w:p>
        </w:tc>
      </w:tr>
    </w:tbl>
    <w:p w:rsidR="00EA252F" w:rsidRPr="009E410B" w:rsidRDefault="00EA252F" w:rsidP="00685832">
      <w:pPr>
        <w:pStyle w:val="ListParagraph"/>
        <w:widowControl/>
        <w:ind w:left="0"/>
        <w:contextualSpacing w:val="0"/>
        <w:jc w:val="left"/>
        <w:rPr>
          <w:i/>
        </w:rPr>
      </w:pPr>
    </w:p>
    <w:p w:rsidR="00AC1F7F" w:rsidRPr="009E410B" w:rsidRDefault="009E410B" w:rsidP="00685832">
      <w:pPr>
        <w:pStyle w:val="ListParagraph"/>
        <w:widowControl/>
        <w:ind w:left="0"/>
        <w:contextualSpacing w:val="0"/>
        <w:jc w:val="left"/>
        <w:rPr>
          <w:rFonts w:asciiTheme="minorHAnsi" w:hAnsiTheme="minorHAnsi" w:cstheme="minorHAnsi"/>
          <w:i/>
          <w:sz w:val="24"/>
        </w:rPr>
      </w:pPr>
      <w:r w:rsidRPr="009E410B">
        <w:rPr>
          <w:rFonts w:asciiTheme="minorHAnsi" w:hAnsiTheme="minorHAnsi" w:cstheme="minorHAnsi"/>
          <w:i/>
          <w:sz w:val="24"/>
        </w:rPr>
        <w:t>This restriction may be subject to further review. Should there be any changes made to the restriction the Sponsor will be informed.</w:t>
      </w:r>
    </w:p>
    <w:p w:rsidR="00AC1F7F" w:rsidRPr="005F4582" w:rsidRDefault="00AC1F7F" w:rsidP="00685832">
      <w:pPr>
        <w:pStyle w:val="ListParagraph"/>
        <w:widowControl/>
        <w:ind w:left="0"/>
        <w:contextualSpacing w:val="0"/>
        <w:jc w:val="left"/>
      </w:pPr>
    </w:p>
    <w:p w:rsidR="00CE5B03" w:rsidRPr="00CE5B03" w:rsidRDefault="00CE5B03" w:rsidP="00CE5B03">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CE5B03">
        <w:rPr>
          <w:rFonts w:asciiTheme="minorHAnsi" w:hAnsiTheme="minorHAnsi"/>
          <w:sz w:val="32"/>
          <w:szCs w:val="32"/>
        </w:rPr>
        <w:t>Context for Decision</w:t>
      </w:r>
    </w:p>
    <w:p w:rsidR="00CE5B03" w:rsidRPr="00CE5B03" w:rsidRDefault="00052F1C" w:rsidP="00CE5B03">
      <w:pPr>
        <w:spacing w:line="276" w:lineRule="auto"/>
        <w:jc w:val="both"/>
        <w:rPr>
          <w:rFonts w:asciiTheme="minorHAnsi" w:eastAsiaTheme="minorHAnsi" w:hAnsiTheme="minorHAnsi" w:cs="Arial"/>
          <w:szCs w:val="22"/>
          <w:lang w:eastAsia="en-US"/>
        </w:rPr>
      </w:pPr>
      <w:r w:rsidRPr="00052F1C">
        <w:rPr>
          <w:rFonts w:asciiTheme="minorHAnsi" w:eastAsiaTheme="minorHAnsi" w:hAnsiTheme="minorHAnsi" w:cs="Arial"/>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C1F7F" w:rsidRPr="005F4582" w:rsidRDefault="00AC1F7F" w:rsidP="00685832">
      <w:pPr>
        <w:pStyle w:val="ListParagraph"/>
        <w:widowControl/>
        <w:ind w:left="0"/>
        <w:contextualSpacing w:val="0"/>
        <w:jc w:val="left"/>
      </w:pPr>
    </w:p>
    <w:p w:rsidR="00CE5B03" w:rsidRPr="00CE5B03" w:rsidRDefault="00CE5B03" w:rsidP="00CE5B03">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CE5B03">
        <w:rPr>
          <w:rFonts w:asciiTheme="minorHAnsi" w:hAnsiTheme="minorHAnsi"/>
          <w:sz w:val="32"/>
          <w:szCs w:val="32"/>
        </w:rPr>
        <w:lastRenderedPageBreak/>
        <w:t>Sponsor’s Comment</w:t>
      </w:r>
    </w:p>
    <w:p w:rsidR="00AD162C" w:rsidRPr="00CE5B03" w:rsidRDefault="00CE5B03" w:rsidP="00CE5B03">
      <w:pPr>
        <w:spacing w:after="120" w:line="276" w:lineRule="auto"/>
        <w:jc w:val="both"/>
        <w:rPr>
          <w:rFonts w:asciiTheme="minorHAnsi" w:eastAsiaTheme="minorHAnsi" w:hAnsiTheme="minorHAnsi" w:cs="Arial"/>
          <w:bCs/>
          <w:szCs w:val="22"/>
          <w:lang w:eastAsia="en-US"/>
        </w:rPr>
      </w:pPr>
      <w:r w:rsidRPr="00CE5B03">
        <w:rPr>
          <w:rFonts w:asciiTheme="minorHAnsi" w:eastAsiaTheme="minorHAnsi" w:hAnsiTheme="minorHAnsi" w:cs="Arial"/>
          <w:bCs/>
          <w:szCs w:val="22"/>
          <w:lang w:eastAsia="en-US"/>
        </w:rPr>
        <w:t>The sponsor had no comment.</w:t>
      </w:r>
    </w:p>
    <w:sectPr w:rsidR="00AD162C" w:rsidRPr="00CE5B03"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7FD" w:rsidRDefault="009267FD">
      <w:r>
        <w:separator/>
      </w:r>
    </w:p>
    <w:p w:rsidR="009267FD" w:rsidRDefault="009267FD"/>
  </w:endnote>
  <w:endnote w:type="continuationSeparator" w:id="0">
    <w:p w:rsidR="009267FD" w:rsidRDefault="009267FD">
      <w:r>
        <w:continuationSeparator/>
      </w:r>
    </w:p>
    <w:p w:rsidR="009267FD" w:rsidRDefault="00926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C6CBE" w:rsidTr="005A3173">
      <w:trPr>
        <w:trHeight w:val="151"/>
      </w:trPr>
      <w:tc>
        <w:tcPr>
          <w:tcW w:w="2250" w:type="pct"/>
          <w:tcBorders>
            <w:top w:val="nil"/>
            <w:left w:val="nil"/>
            <w:bottom w:val="single" w:sz="4" w:space="0" w:color="4F81BD"/>
            <w:right w:val="nil"/>
          </w:tcBorders>
        </w:tcPr>
        <w:p w:rsidR="003C6CBE" w:rsidRPr="005A3173" w:rsidRDefault="003C6CB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C6CBE" w:rsidRPr="005A3173" w:rsidRDefault="003C6C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C6CBE" w:rsidRPr="005A3173" w:rsidRDefault="003C6CBE" w:rsidP="005A3173">
          <w:pPr>
            <w:pStyle w:val="Header"/>
            <w:spacing w:line="276" w:lineRule="auto"/>
            <w:rPr>
              <w:rFonts w:ascii="Calibri" w:eastAsia="MS Gothic" w:hAnsi="Calibri"/>
              <w:b/>
              <w:bCs/>
              <w:color w:val="4F81BD"/>
            </w:rPr>
          </w:pPr>
        </w:p>
      </w:tc>
    </w:tr>
    <w:tr w:rsidR="003C6CBE" w:rsidTr="005A3173">
      <w:trPr>
        <w:trHeight w:val="150"/>
      </w:trPr>
      <w:tc>
        <w:tcPr>
          <w:tcW w:w="2250" w:type="pct"/>
          <w:tcBorders>
            <w:top w:val="single" w:sz="4" w:space="0" w:color="4F81BD"/>
            <w:left w:val="nil"/>
            <w:bottom w:val="nil"/>
            <w:right w:val="nil"/>
          </w:tcBorders>
        </w:tcPr>
        <w:p w:rsidR="003C6CBE" w:rsidRPr="005A3173" w:rsidRDefault="003C6CBE" w:rsidP="005A3173">
          <w:pPr>
            <w:pStyle w:val="Header"/>
            <w:spacing w:line="276" w:lineRule="auto"/>
            <w:rPr>
              <w:rFonts w:ascii="Calibri" w:eastAsia="MS Gothic" w:hAnsi="Calibri"/>
              <w:b/>
              <w:bCs/>
              <w:color w:val="4F81BD"/>
            </w:rPr>
          </w:pPr>
        </w:p>
      </w:tc>
      <w:tc>
        <w:tcPr>
          <w:tcW w:w="0" w:type="auto"/>
          <w:vMerge/>
          <w:vAlign w:val="center"/>
          <w:hideMark/>
        </w:tcPr>
        <w:p w:rsidR="003C6CBE" w:rsidRPr="005A3173" w:rsidRDefault="003C6CBE" w:rsidP="005A3173">
          <w:pPr>
            <w:rPr>
              <w:rFonts w:ascii="Calibri" w:hAnsi="Calibri"/>
              <w:color w:val="365F91"/>
              <w:sz w:val="22"/>
              <w:szCs w:val="22"/>
            </w:rPr>
          </w:pPr>
        </w:p>
      </w:tc>
      <w:tc>
        <w:tcPr>
          <w:tcW w:w="2250" w:type="pct"/>
          <w:tcBorders>
            <w:top w:val="single" w:sz="4" w:space="0" w:color="4F81BD"/>
            <w:left w:val="nil"/>
            <w:bottom w:val="nil"/>
            <w:right w:val="nil"/>
          </w:tcBorders>
        </w:tcPr>
        <w:p w:rsidR="003C6CBE" w:rsidRPr="005A3173" w:rsidRDefault="003C6CBE" w:rsidP="005A3173">
          <w:pPr>
            <w:pStyle w:val="Header"/>
            <w:spacing w:line="276" w:lineRule="auto"/>
            <w:rPr>
              <w:rFonts w:ascii="Calibri" w:eastAsia="MS Gothic" w:hAnsi="Calibri"/>
              <w:b/>
              <w:bCs/>
              <w:color w:val="4F81BD"/>
            </w:rPr>
          </w:pPr>
        </w:p>
      </w:tc>
    </w:tr>
  </w:tbl>
  <w:p w:rsidR="003C6CBE" w:rsidRDefault="003C6CB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BE" w:rsidRDefault="003C6CBE">
    <w:pPr>
      <w:pStyle w:val="Footer"/>
    </w:pPr>
  </w:p>
  <w:p w:rsidR="003C6CBE" w:rsidRDefault="003C6C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074651"/>
      <w:docPartObj>
        <w:docPartGallery w:val="Page Numbers (Bottom of Page)"/>
        <w:docPartUnique/>
      </w:docPartObj>
    </w:sdtPr>
    <w:sdtEndPr>
      <w:rPr>
        <w:rFonts w:asciiTheme="minorHAnsi" w:hAnsiTheme="minorHAnsi"/>
        <w:b/>
        <w:noProof/>
      </w:rPr>
    </w:sdtEndPr>
    <w:sdtContent>
      <w:p w:rsidR="003C6CBE" w:rsidRDefault="003C6CBE">
        <w:pPr>
          <w:pStyle w:val="Footer"/>
          <w:jc w:val="center"/>
        </w:pPr>
      </w:p>
      <w:p w:rsidR="003C6CBE" w:rsidRPr="008D4FE5" w:rsidRDefault="003C6CBE">
        <w:pPr>
          <w:pStyle w:val="Footer"/>
          <w:jc w:val="center"/>
          <w:rPr>
            <w:rFonts w:asciiTheme="minorHAnsi" w:hAnsiTheme="minorHAnsi"/>
            <w:b/>
          </w:rPr>
        </w:pPr>
        <w:r w:rsidRPr="008D4FE5">
          <w:rPr>
            <w:rFonts w:asciiTheme="minorHAnsi" w:hAnsiTheme="minorHAnsi"/>
            <w:b/>
          </w:rPr>
          <w:fldChar w:fldCharType="begin"/>
        </w:r>
        <w:r w:rsidRPr="008D4FE5">
          <w:rPr>
            <w:rFonts w:asciiTheme="minorHAnsi" w:hAnsiTheme="minorHAnsi"/>
            <w:b/>
          </w:rPr>
          <w:instrText xml:space="preserve"> PAGE   \* MERGEFORMAT </w:instrText>
        </w:r>
        <w:r w:rsidRPr="008D4FE5">
          <w:rPr>
            <w:rFonts w:asciiTheme="minorHAnsi" w:hAnsiTheme="minorHAnsi"/>
            <w:b/>
          </w:rPr>
          <w:fldChar w:fldCharType="separate"/>
        </w:r>
        <w:r w:rsidR="001123E9">
          <w:rPr>
            <w:rFonts w:asciiTheme="minorHAnsi" w:hAnsiTheme="minorHAnsi"/>
            <w:b/>
            <w:noProof/>
          </w:rPr>
          <w:t>20</w:t>
        </w:r>
        <w:r w:rsidRPr="008D4FE5">
          <w:rPr>
            <w:rFonts w:asciiTheme="minorHAnsi" w:hAnsiTheme="minorHAnsi"/>
            <w:b/>
            <w:noProof/>
          </w:rPr>
          <w:fldChar w:fldCharType="end"/>
        </w:r>
      </w:p>
    </w:sdtContent>
  </w:sdt>
  <w:p w:rsidR="003C6CBE" w:rsidRPr="000F3384" w:rsidRDefault="003C6CBE"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3C6CBE" w:rsidTr="005A3173">
      <w:trPr>
        <w:trHeight w:val="151"/>
      </w:trPr>
      <w:tc>
        <w:tcPr>
          <w:tcW w:w="2250" w:type="pct"/>
          <w:tcBorders>
            <w:top w:val="nil"/>
            <w:left w:val="nil"/>
            <w:bottom w:val="single" w:sz="4" w:space="0" w:color="4F81BD"/>
            <w:right w:val="nil"/>
          </w:tcBorders>
        </w:tcPr>
        <w:p w:rsidR="003C6CBE" w:rsidRPr="005A3173" w:rsidRDefault="003C6CB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C6CBE" w:rsidRPr="005A3173" w:rsidRDefault="003C6C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C6CBE" w:rsidRPr="005A3173" w:rsidRDefault="003C6CBE" w:rsidP="005A3173">
          <w:pPr>
            <w:pStyle w:val="Header"/>
            <w:spacing w:line="276" w:lineRule="auto"/>
            <w:rPr>
              <w:rFonts w:ascii="Calibri" w:eastAsia="MS Gothic" w:hAnsi="Calibri"/>
              <w:b/>
              <w:bCs/>
              <w:color w:val="4F81BD"/>
            </w:rPr>
          </w:pPr>
        </w:p>
      </w:tc>
    </w:tr>
    <w:tr w:rsidR="003C6CBE" w:rsidTr="005A3173">
      <w:trPr>
        <w:trHeight w:val="150"/>
      </w:trPr>
      <w:tc>
        <w:tcPr>
          <w:tcW w:w="2250" w:type="pct"/>
          <w:tcBorders>
            <w:top w:val="single" w:sz="4" w:space="0" w:color="4F81BD"/>
            <w:left w:val="nil"/>
            <w:bottom w:val="nil"/>
            <w:right w:val="nil"/>
          </w:tcBorders>
        </w:tcPr>
        <w:p w:rsidR="003C6CBE" w:rsidRPr="005A3173" w:rsidRDefault="003C6CBE" w:rsidP="005A3173">
          <w:pPr>
            <w:pStyle w:val="Header"/>
            <w:spacing w:line="276" w:lineRule="auto"/>
            <w:rPr>
              <w:rFonts w:ascii="Calibri" w:eastAsia="MS Gothic" w:hAnsi="Calibri"/>
              <w:b/>
              <w:bCs/>
              <w:color w:val="4F81BD"/>
            </w:rPr>
          </w:pPr>
        </w:p>
      </w:tc>
      <w:tc>
        <w:tcPr>
          <w:tcW w:w="0" w:type="auto"/>
          <w:vMerge/>
          <w:vAlign w:val="center"/>
          <w:hideMark/>
        </w:tcPr>
        <w:p w:rsidR="003C6CBE" w:rsidRPr="005A3173" w:rsidRDefault="003C6CBE" w:rsidP="005A3173">
          <w:pPr>
            <w:rPr>
              <w:rFonts w:ascii="Calibri" w:hAnsi="Calibri"/>
              <w:color w:val="365F91"/>
              <w:sz w:val="22"/>
              <w:szCs w:val="22"/>
            </w:rPr>
          </w:pPr>
        </w:p>
      </w:tc>
      <w:tc>
        <w:tcPr>
          <w:tcW w:w="2250" w:type="pct"/>
          <w:tcBorders>
            <w:top w:val="single" w:sz="4" w:space="0" w:color="4F81BD"/>
            <w:left w:val="nil"/>
            <w:bottom w:val="nil"/>
            <w:right w:val="nil"/>
          </w:tcBorders>
        </w:tcPr>
        <w:p w:rsidR="003C6CBE" w:rsidRPr="005A3173" w:rsidRDefault="003C6CB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C6CBE" w:rsidTr="005A3173">
      <w:trPr>
        <w:trHeight w:val="151"/>
      </w:trPr>
      <w:tc>
        <w:tcPr>
          <w:tcW w:w="2250" w:type="pct"/>
          <w:tcBorders>
            <w:top w:val="nil"/>
            <w:left w:val="nil"/>
            <w:bottom w:val="single" w:sz="4" w:space="0" w:color="4F81BD"/>
            <w:right w:val="nil"/>
          </w:tcBorders>
        </w:tcPr>
        <w:p w:rsidR="003C6CBE" w:rsidRPr="005A3173" w:rsidRDefault="003C6CB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C6CBE" w:rsidRPr="005A3173" w:rsidRDefault="003C6C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C6CBE" w:rsidRPr="005A3173" w:rsidRDefault="003C6CBE" w:rsidP="005A3173">
          <w:pPr>
            <w:pStyle w:val="Header"/>
            <w:spacing w:line="276" w:lineRule="auto"/>
            <w:rPr>
              <w:rFonts w:ascii="Calibri" w:eastAsia="MS Gothic" w:hAnsi="Calibri"/>
              <w:b/>
              <w:bCs/>
              <w:color w:val="4F81BD"/>
            </w:rPr>
          </w:pPr>
        </w:p>
      </w:tc>
    </w:tr>
    <w:tr w:rsidR="003C6CBE" w:rsidTr="005A3173">
      <w:trPr>
        <w:trHeight w:val="150"/>
      </w:trPr>
      <w:tc>
        <w:tcPr>
          <w:tcW w:w="2250" w:type="pct"/>
          <w:tcBorders>
            <w:top w:val="single" w:sz="4" w:space="0" w:color="4F81BD"/>
            <w:left w:val="nil"/>
            <w:bottom w:val="nil"/>
            <w:right w:val="nil"/>
          </w:tcBorders>
        </w:tcPr>
        <w:p w:rsidR="003C6CBE" w:rsidRPr="005A3173" w:rsidRDefault="003C6CBE" w:rsidP="005A3173">
          <w:pPr>
            <w:pStyle w:val="Header"/>
            <w:spacing w:line="276" w:lineRule="auto"/>
            <w:rPr>
              <w:rFonts w:ascii="Calibri" w:eastAsia="MS Gothic" w:hAnsi="Calibri"/>
              <w:b/>
              <w:bCs/>
              <w:color w:val="4F81BD"/>
            </w:rPr>
          </w:pPr>
        </w:p>
      </w:tc>
      <w:tc>
        <w:tcPr>
          <w:tcW w:w="0" w:type="auto"/>
          <w:vMerge/>
          <w:vAlign w:val="center"/>
          <w:hideMark/>
        </w:tcPr>
        <w:p w:rsidR="003C6CBE" w:rsidRPr="005A3173" w:rsidRDefault="003C6CBE" w:rsidP="005A3173">
          <w:pPr>
            <w:rPr>
              <w:rFonts w:ascii="Calibri" w:hAnsi="Calibri"/>
              <w:color w:val="365F91"/>
              <w:sz w:val="22"/>
              <w:szCs w:val="22"/>
            </w:rPr>
          </w:pPr>
        </w:p>
      </w:tc>
      <w:tc>
        <w:tcPr>
          <w:tcW w:w="2250" w:type="pct"/>
          <w:tcBorders>
            <w:top w:val="single" w:sz="4" w:space="0" w:color="4F81BD"/>
            <w:left w:val="nil"/>
            <w:bottom w:val="nil"/>
            <w:right w:val="nil"/>
          </w:tcBorders>
        </w:tcPr>
        <w:p w:rsidR="003C6CBE" w:rsidRPr="005A3173" w:rsidRDefault="003C6CBE" w:rsidP="005A3173">
          <w:pPr>
            <w:pStyle w:val="Header"/>
            <w:spacing w:line="276" w:lineRule="auto"/>
            <w:rPr>
              <w:rFonts w:ascii="Calibri" w:eastAsia="MS Gothic" w:hAnsi="Calibri"/>
              <w:b/>
              <w:bCs/>
              <w:color w:val="4F81BD"/>
            </w:rPr>
          </w:pPr>
        </w:p>
      </w:tc>
    </w:tr>
  </w:tbl>
  <w:p w:rsidR="003C6CBE" w:rsidRPr="007C0F57" w:rsidRDefault="003C6CB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C6CBE" w:rsidRPr="007C0F57" w:rsidRDefault="003C6CBE" w:rsidP="007C0F57">
    <w:pPr>
      <w:pStyle w:val="Footer"/>
      <w:jc w:val="center"/>
      <w:rPr>
        <w:b/>
        <w:i/>
        <w:sz w:val="20"/>
        <w:szCs w:val="20"/>
      </w:rPr>
    </w:pPr>
    <w:r w:rsidRPr="007C0F57">
      <w:rPr>
        <w:b/>
        <w:i/>
        <w:sz w:val="20"/>
        <w:szCs w:val="20"/>
      </w:rPr>
      <w:t>Commercial-in-Confidence</w:t>
    </w:r>
  </w:p>
  <w:p w:rsidR="003C6CBE" w:rsidRDefault="003C6C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7FD" w:rsidRDefault="009267FD">
      <w:r>
        <w:separator/>
      </w:r>
    </w:p>
    <w:p w:rsidR="009267FD" w:rsidRDefault="009267FD"/>
  </w:footnote>
  <w:footnote w:type="continuationSeparator" w:id="0">
    <w:p w:rsidR="009267FD" w:rsidRDefault="009267FD">
      <w:r>
        <w:continuationSeparator/>
      </w:r>
    </w:p>
    <w:p w:rsidR="009267FD" w:rsidRDefault="009267FD"/>
  </w:footnote>
  <w:footnote w:id="1">
    <w:p w:rsidR="003C6CBE" w:rsidRDefault="003C6CBE">
      <w:pPr>
        <w:pStyle w:val="FootnoteText"/>
      </w:pPr>
      <w:r>
        <w:rPr>
          <w:rStyle w:val="FootnoteReference"/>
        </w:rPr>
        <w:footnoteRef/>
      </w:r>
      <w:r>
        <w:t xml:space="preserve"> </w:t>
      </w:r>
      <w:proofErr w:type="spellStart"/>
      <w:r w:rsidRPr="00525B39">
        <w:rPr>
          <w:rFonts w:asciiTheme="minorHAnsi" w:hAnsiTheme="minorHAnsi" w:cs="Arial"/>
          <w:bCs/>
          <w:snapToGrid w:val="0"/>
          <w:sz w:val="16"/>
        </w:rPr>
        <w:t>Cherny</w:t>
      </w:r>
      <w:proofErr w:type="spellEnd"/>
      <w:r w:rsidRPr="00525B39">
        <w:rPr>
          <w:rFonts w:asciiTheme="minorHAnsi" w:hAnsiTheme="minorHAnsi" w:cs="Arial"/>
          <w:bCs/>
          <w:snapToGrid w:val="0"/>
          <w:sz w:val="16"/>
        </w:rPr>
        <w:t xml:space="preserve"> NI, Dafni U, </w:t>
      </w:r>
      <w:proofErr w:type="spellStart"/>
      <w:r w:rsidRPr="00525B39">
        <w:rPr>
          <w:rFonts w:asciiTheme="minorHAnsi" w:hAnsiTheme="minorHAnsi" w:cs="Arial"/>
          <w:bCs/>
          <w:snapToGrid w:val="0"/>
          <w:sz w:val="16"/>
        </w:rPr>
        <w:t>Bogaerts</w:t>
      </w:r>
      <w:proofErr w:type="spellEnd"/>
      <w:r w:rsidRPr="00525B39">
        <w:rPr>
          <w:rFonts w:asciiTheme="minorHAnsi" w:hAnsiTheme="minorHAnsi" w:cs="Arial"/>
          <w:bCs/>
          <w:snapToGrid w:val="0"/>
          <w:sz w:val="16"/>
        </w:rPr>
        <w:t xml:space="preserve">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C6CBE" w:rsidRPr="008E0D90" w:rsidTr="00A06225">
      <w:trPr>
        <w:trHeight w:val="151"/>
      </w:trPr>
      <w:tc>
        <w:tcPr>
          <w:tcW w:w="2389" w:type="pct"/>
          <w:tcBorders>
            <w:top w:val="nil"/>
            <w:left w:val="nil"/>
            <w:bottom w:val="single" w:sz="4" w:space="0" w:color="4F81BD"/>
            <w:right w:val="nil"/>
          </w:tcBorders>
        </w:tcPr>
        <w:p w:rsidR="003C6CBE" w:rsidRPr="00A06225" w:rsidRDefault="003C6CBE">
          <w:pPr>
            <w:pStyle w:val="Header"/>
            <w:spacing w:line="276" w:lineRule="auto"/>
            <w:rPr>
              <w:rFonts w:ascii="Cambria" w:eastAsia="MS Gothic" w:hAnsi="Cambria"/>
              <w:b/>
              <w:bCs/>
              <w:color w:val="4F81BD"/>
            </w:rPr>
          </w:pPr>
        </w:p>
      </w:tc>
      <w:tc>
        <w:tcPr>
          <w:tcW w:w="333" w:type="pct"/>
          <w:vMerge w:val="restart"/>
          <w:noWrap/>
          <w:vAlign w:val="center"/>
          <w:hideMark/>
        </w:tcPr>
        <w:p w:rsidR="003C6CBE" w:rsidRPr="00A06225" w:rsidRDefault="003C6CB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C6CBE" w:rsidRPr="00A06225" w:rsidRDefault="003C6CBE">
          <w:pPr>
            <w:pStyle w:val="Header"/>
            <w:spacing w:line="276" w:lineRule="auto"/>
            <w:rPr>
              <w:rFonts w:ascii="Cambria" w:eastAsia="MS Gothic" w:hAnsi="Cambria"/>
              <w:b/>
              <w:bCs/>
              <w:color w:val="4F81BD"/>
            </w:rPr>
          </w:pPr>
        </w:p>
      </w:tc>
    </w:tr>
    <w:tr w:rsidR="003C6CBE" w:rsidRPr="008E0D90" w:rsidTr="00A06225">
      <w:trPr>
        <w:trHeight w:val="150"/>
      </w:trPr>
      <w:tc>
        <w:tcPr>
          <w:tcW w:w="2389" w:type="pct"/>
          <w:tcBorders>
            <w:top w:val="single" w:sz="4" w:space="0" w:color="4F81BD"/>
            <w:left w:val="nil"/>
            <w:bottom w:val="nil"/>
            <w:right w:val="nil"/>
          </w:tcBorders>
        </w:tcPr>
        <w:p w:rsidR="003C6CBE" w:rsidRPr="00A06225" w:rsidRDefault="003C6CBE">
          <w:pPr>
            <w:pStyle w:val="Header"/>
            <w:spacing w:line="276" w:lineRule="auto"/>
            <w:rPr>
              <w:rFonts w:ascii="Cambria" w:eastAsia="MS Gothic" w:hAnsi="Cambria"/>
              <w:b/>
              <w:bCs/>
              <w:color w:val="4F81BD"/>
            </w:rPr>
          </w:pPr>
        </w:p>
      </w:tc>
      <w:tc>
        <w:tcPr>
          <w:tcW w:w="0" w:type="auto"/>
          <w:vMerge/>
          <w:vAlign w:val="center"/>
          <w:hideMark/>
        </w:tcPr>
        <w:p w:rsidR="003C6CBE" w:rsidRPr="00A06225" w:rsidRDefault="003C6CBE">
          <w:pPr>
            <w:rPr>
              <w:rFonts w:ascii="Cambria" w:hAnsi="Cambria"/>
              <w:color w:val="4F81BD"/>
              <w:sz w:val="22"/>
              <w:szCs w:val="22"/>
            </w:rPr>
          </w:pPr>
        </w:p>
      </w:tc>
      <w:tc>
        <w:tcPr>
          <w:tcW w:w="2278" w:type="pct"/>
          <w:tcBorders>
            <w:top w:val="single" w:sz="4" w:space="0" w:color="4F81BD"/>
            <w:left w:val="nil"/>
            <w:bottom w:val="nil"/>
            <w:right w:val="nil"/>
          </w:tcBorders>
        </w:tcPr>
        <w:p w:rsidR="003C6CBE" w:rsidRPr="00A06225" w:rsidRDefault="003C6CBE">
          <w:pPr>
            <w:pStyle w:val="Header"/>
            <w:spacing w:line="276" w:lineRule="auto"/>
            <w:rPr>
              <w:rFonts w:ascii="Cambria" w:eastAsia="MS Gothic" w:hAnsi="Cambria"/>
              <w:b/>
              <w:bCs/>
              <w:color w:val="4F81BD"/>
            </w:rPr>
          </w:pPr>
        </w:p>
      </w:tc>
    </w:tr>
  </w:tbl>
  <w:p w:rsidR="003C6CBE" w:rsidRDefault="003C6CBE">
    <w:pPr>
      <w:pStyle w:val="Header"/>
    </w:pPr>
  </w:p>
  <w:p w:rsidR="003C6CBE" w:rsidRDefault="003C6C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BE" w:rsidRPr="00056684" w:rsidRDefault="003C6CBE" w:rsidP="008D4FE5">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w:t>
    </w:r>
    <w:r w:rsidRPr="00056684">
      <w:rPr>
        <w:rFonts w:asciiTheme="minorHAnsi" w:hAnsiTheme="minorHAnsi" w:cs="Arial"/>
        <w:i/>
        <w:color w:val="808080"/>
      </w:rPr>
      <w:t xml:space="preserve"> – </w:t>
    </w:r>
    <w:r>
      <w:rPr>
        <w:rFonts w:asciiTheme="minorHAnsi" w:hAnsiTheme="minorHAnsi" w:cs="Arial"/>
        <w:i/>
        <w:color w:val="808080"/>
      </w:rPr>
      <w:t>November 2019</w:t>
    </w:r>
    <w:r w:rsidRPr="00056684">
      <w:rPr>
        <w:rFonts w:asciiTheme="minorHAnsi" w:hAnsiTheme="minorHAnsi" w:cs="Arial"/>
        <w:i/>
        <w:color w:val="808080"/>
      </w:rPr>
      <w:t xml:space="preserve"> PBAC Meeting</w:t>
    </w:r>
  </w:p>
  <w:p w:rsidR="003C6CBE" w:rsidRDefault="003C6CBE" w:rsidP="008D4FE5">
    <w:pPr>
      <w:pStyle w:val="Header"/>
      <w:keepNext/>
      <w:ind w:left="360"/>
      <w:jc w:val="center"/>
      <w:rPr>
        <w:rFonts w:asciiTheme="minorHAnsi" w:hAnsiTheme="minorHAnsi" w:cs="Arial"/>
        <w:i/>
        <w:color w:val="808080"/>
      </w:rPr>
    </w:pPr>
  </w:p>
  <w:p w:rsidR="003C6CBE" w:rsidRDefault="003C6CB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05" w:rsidRDefault="008E2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2DEA1CC1"/>
    <w:multiLevelType w:val="hybridMultilevel"/>
    <w:tmpl w:val="4A66AAC4"/>
    <w:lvl w:ilvl="0" w:tplc="7F0A01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AB3190A"/>
    <w:multiLevelType w:val="hybridMultilevel"/>
    <w:tmpl w:val="7E505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84D033C"/>
    <w:multiLevelType w:val="multilevel"/>
    <w:tmpl w:val="1E448BF4"/>
    <w:lvl w:ilvl="0">
      <w:start w:val="1"/>
      <w:numFmt w:val="decimal"/>
      <w:pStyle w:val="2Sections"/>
      <w:lvlText w:val="%1"/>
      <w:lvlJc w:val="left"/>
      <w:pPr>
        <w:ind w:left="720" w:hanging="720"/>
      </w:pPr>
      <w:rPr>
        <w:rFonts w:asciiTheme="minorHAnsi" w:hAnsiTheme="minorHAnsi" w:cstheme="minorHAnsi" w:hint="default"/>
        <w:b/>
        <w:color w:val="000000" w:themeColor="text1"/>
        <w:sz w:val="32"/>
      </w:rPr>
    </w:lvl>
    <w:lvl w:ilvl="1">
      <w:start w:val="1"/>
      <w:numFmt w:val="decimal"/>
      <w:pStyle w:val="Bodytextitalics"/>
      <w:lvlText w:val="%1.%2"/>
      <w:lvlJc w:val="left"/>
      <w:pPr>
        <w:ind w:left="1003"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7"/>
  </w:num>
  <w:num w:numId="4">
    <w:abstractNumId w:val="5"/>
  </w:num>
  <w:num w:numId="5">
    <w:abstractNumId w:val="3"/>
  </w:num>
  <w:num w:numId="6">
    <w:abstractNumId w:val="2"/>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2E59"/>
    <w:rsid w:val="0000335D"/>
    <w:rsid w:val="00005EB2"/>
    <w:rsid w:val="00007A34"/>
    <w:rsid w:val="00010DBA"/>
    <w:rsid w:val="00011A59"/>
    <w:rsid w:val="000151AA"/>
    <w:rsid w:val="0001535B"/>
    <w:rsid w:val="00016A41"/>
    <w:rsid w:val="000214D1"/>
    <w:rsid w:val="00021F38"/>
    <w:rsid w:val="0002464A"/>
    <w:rsid w:val="00027935"/>
    <w:rsid w:val="0003106B"/>
    <w:rsid w:val="00032B54"/>
    <w:rsid w:val="00033672"/>
    <w:rsid w:val="00033899"/>
    <w:rsid w:val="0003480F"/>
    <w:rsid w:val="00034905"/>
    <w:rsid w:val="00035DD2"/>
    <w:rsid w:val="00041535"/>
    <w:rsid w:val="000421A1"/>
    <w:rsid w:val="0004240E"/>
    <w:rsid w:val="00044D9C"/>
    <w:rsid w:val="00045E26"/>
    <w:rsid w:val="000514B5"/>
    <w:rsid w:val="00052F1C"/>
    <w:rsid w:val="00054933"/>
    <w:rsid w:val="000574D5"/>
    <w:rsid w:val="00060E64"/>
    <w:rsid w:val="00062C11"/>
    <w:rsid w:val="000632FB"/>
    <w:rsid w:val="00066755"/>
    <w:rsid w:val="0007141A"/>
    <w:rsid w:val="00071984"/>
    <w:rsid w:val="00074A8F"/>
    <w:rsid w:val="00075FF9"/>
    <w:rsid w:val="000763D5"/>
    <w:rsid w:val="00077143"/>
    <w:rsid w:val="00080D8E"/>
    <w:rsid w:val="00082169"/>
    <w:rsid w:val="00084B86"/>
    <w:rsid w:val="000918CB"/>
    <w:rsid w:val="00091B06"/>
    <w:rsid w:val="00091E3F"/>
    <w:rsid w:val="000951C4"/>
    <w:rsid w:val="00095ADA"/>
    <w:rsid w:val="000969AD"/>
    <w:rsid w:val="000A2613"/>
    <w:rsid w:val="000A3AA2"/>
    <w:rsid w:val="000A3E84"/>
    <w:rsid w:val="000A44B2"/>
    <w:rsid w:val="000A63B2"/>
    <w:rsid w:val="000A694B"/>
    <w:rsid w:val="000A720F"/>
    <w:rsid w:val="000B44C3"/>
    <w:rsid w:val="000B558D"/>
    <w:rsid w:val="000C2ED3"/>
    <w:rsid w:val="000C45EE"/>
    <w:rsid w:val="000C5F95"/>
    <w:rsid w:val="000C6996"/>
    <w:rsid w:val="000D09E9"/>
    <w:rsid w:val="000D23BA"/>
    <w:rsid w:val="000D63A9"/>
    <w:rsid w:val="000D7203"/>
    <w:rsid w:val="000E335F"/>
    <w:rsid w:val="000E66C3"/>
    <w:rsid w:val="000E681E"/>
    <w:rsid w:val="000F0003"/>
    <w:rsid w:val="000F1E9C"/>
    <w:rsid w:val="000F2243"/>
    <w:rsid w:val="000F3384"/>
    <w:rsid w:val="000F4E6A"/>
    <w:rsid w:val="000F5639"/>
    <w:rsid w:val="000F60CF"/>
    <w:rsid w:val="000F64B6"/>
    <w:rsid w:val="000F6ABB"/>
    <w:rsid w:val="000F6D59"/>
    <w:rsid w:val="000F7354"/>
    <w:rsid w:val="00102202"/>
    <w:rsid w:val="00104227"/>
    <w:rsid w:val="00104C80"/>
    <w:rsid w:val="001107BF"/>
    <w:rsid w:val="001123E9"/>
    <w:rsid w:val="00113649"/>
    <w:rsid w:val="0012417C"/>
    <w:rsid w:val="00125B36"/>
    <w:rsid w:val="0012749D"/>
    <w:rsid w:val="001276FE"/>
    <w:rsid w:val="00136B82"/>
    <w:rsid w:val="00142395"/>
    <w:rsid w:val="00142714"/>
    <w:rsid w:val="001445CD"/>
    <w:rsid w:val="001452ED"/>
    <w:rsid w:val="00147D84"/>
    <w:rsid w:val="001549C1"/>
    <w:rsid w:val="0015573D"/>
    <w:rsid w:val="00162D4E"/>
    <w:rsid w:val="00163329"/>
    <w:rsid w:val="0016456F"/>
    <w:rsid w:val="00164623"/>
    <w:rsid w:val="001652DE"/>
    <w:rsid w:val="00165B1D"/>
    <w:rsid w:val="00165B64"/>
    <w:rsid w:val="00166257"/>
    <w:rsid w:val="0016717E"/>
    <w:rsid w:val="00171324"/>
    <w:rsid w:val="001727B4"/>
    <w:rsid w:val="00173723"/>
    <w:rsid w:val="00173757"/>
    <w:rsid w:val="0017612E"/>
    <w:rsid w:val="00177850"/>
    <w:rsid w:val="00180713"/>
    <w:rsid w:val="00181949"/>
    <w:rsid w:val="00182E5C"/>
    <w:rsid w:val="001830CE"/>
    <w:rsid w:val="0018643B"/>
    <w:rsid w:val="0018767C"/>
    <w:rsid w:val="001913C1"/>
    <w:rsid w:val="0019234E"/>
    <w:rsid w:val="00193999"/>
    <w:rsid w:val="00194548"/>
    <w:rsid w:val="00196307"/>
    <w:rsid w:val="001A33EA"/>
    <w:rsid w:val="001A4866"/>
    <w:rsid w:val="001A4C4F"/>
    <w:rsid w:val="001A5EB5"/>
    <w:rsid w:val="001A76FB"/>
    <w:rsid w:val="001B017F"/>
    <w:rsid w:val="001B1872"/>
    <w:rsid w:val="001B24D3"/>
    <w:rsid w:val="001B2BBC"/>
    <w:rsid w:val="001B3FFE"/>
    <w:rsid w:val="001B5129"/>
    <w:rsid w:val="001C0B4C"/>
    <w:rsid w:val="001C1195"/>
    <w:rsid w:val="001C47F7"/>
    <w:rsid w:val="001C6712"/>
    <w:rsid w:val="001D1F5F"/>
    <w:rsid w:val="001E06D2"/>
    <w:rsid w:val="001E2D82"/>
    <w:rsid w:val="001E355D"/>
    <w:rsid w:val="001E4E8B"/>
    <w:rsid w:val="001F1850"/>
    <w:rsid w:val="001F3189"/>
    <w:rsid w:val="00203FAC"/>
    <w:rsid w:val="00206AB2"/>
    <w:rsid w:val="00210599"/>
    <w:rsid w:val="002126FA"/>
    <w:rsid w:val="00213CFB"/>
    <w:rsid w:val="00214353"/>
    <w:rsid w:val="0021553C"/>
    <w:rsid w:val="0021557B"/>
    <w:rsid w:val="002174FD"/>
    <w:rsid w:val="00217BE1"/>
    <w:rsid w:val="00220D60"/>
    <w:rsid w:val="002244FC"/>
    <w:rsid w:val="00226FE6"/>
    <w:rsid w:val="00230144"/>
    <w:rsid w:val="00232C57"/>
    <w:rsid w:val="0023415B"/>
    <w:rsid w:val="00234252"/>
    <w:rsid w:val="0023657F"/>
    <w:rsid w:val="00237AC6"/>
    <w:rsid w:val="00244490"/>
    <w:rsid w:val="00246C69"/>
    <w:rsid w:val="00253499"/>
    <w:rsid w:val="00253D50"/>
    <w:rsid w:val="00253D81"/>
    <w:rsid w:val="0025412D"/>
    <w:rsid w:val="002551A4"/>
    <w:rsid w:val="00256868"/>
    <w:rsid w:val="0025717F"/>
    <w:rsid w:val="00257664"/>
    <w:rsid w:val="00263C8D"/>
    <w:rsid w:val="00265151"/>
    <w:rsid w:val="00266509"/>
    <w:rsid w:val="00270947"/>
    <w:rsid w:val="00271562"/>
    <w:rsid w:val="00271BA1"/>
    <w:rsid w:val="00275C9F"/>
    <w:rsid w:val="002762FA"/>
    <w:rsid w:val="00277505"/>
    <w:rsid w:val="002823B6"/>
    <w:rsid w:val="00283243"/>
    <w:rsid w:val="002851E7"/>
    <w:rsid w:val="00293CB1"/>
    <w:rsid w:val="00294274"/>
    <w:rsid w:val="0029458F"/>
    <w:rsid w:val="002965E2"/>
    <w:rsid w:val="002A0E04"/>
    <w:rsid w:val="002A104C"/>
    <w:rsid w:val="002A3EC9"/>
    <w:rsid w:val="002A494D"/>
    <w:rsid w:val="002A4960"/>
    <w:rsid w:val="002B0AE0"/>
    <w:rsid w:val="002B1AE6"/>
    <w:rsid w:val="002B1D51"/>
    <w:rsid w:val="002B1D91"/>
    <w:rsid w:val="002B2DE8"/>
    <w:rsid w:val="002B30F8"/>
    <w:rsid w:val="002B388A"/>
    <w:rsid w:val="002B5596"/>
    <w:rsid w:val="002C06FD"/>
    <w:rsid w:val="002C1024"/>
    <w:rsid w:val="002C212F"/>
    <w:rsid w:val="002C6C8E"/>
    <w:rsid w:val="002C7485"/>
    <w:rsid w:val="002D283A"/>
    <w:rsid w:val="002D2B74"/>
    <w:rsid w:val="002D4543"/>
    <w:rsid w:val="002E0688"/>
    <w:rsid w:val="002E309E"/>
    <w:rsid w:val="002E3153"/>
    <w:rsid w:val="002E5292"/>
    <w:rsid w:val="002E72CA"/>
    <w:rsid w:val="002F131B"/>
    <w:rsid w:val="002F600D"/>
    <w:rsid w:val="002F7973"/>
    <w:rsid w:val="00300AD6"/>
    <w:rsid w:val="00300B1B"/>
    <w:rsid w:val="003012FA"/>
    <w:rsid w:val="003019D0"/>
    <w:rsid w:val="00302549"/>
    <w:rsid w:val="003064AF"/>
    <w:rsid w:val="00313617"/>
    <w:rsid w:val="00313F90"/>
    <w:rsid w:val="00314EA2"/>
    <w:rsid w:val="00316D56"/>
    <w:rsid w:val="00317C6C"/>
    <w:rsid w:val="00320CD3"/>
    <w:rsid w:val="00321BC1"/>
    <w:rsid w:val="00326E79"/>
    <w:rsid w:val="003301B1"/>
    <w:rsid w:val="00330EFC"/>
    <w:rsid w:val="00331189"/>
    <w:rsid w:val="0033210E"/>
    <w:rsid w:val="0033263D"/>
    <w:rsid w:val="003341C5"/>
    <w:rsid w:val="0033518A"/>
    <w:rsid w:val="00335947"/>
    <w:rsid w:val="003367EF"/>
    <w:rsid w:val="00341AE4"/>
    <w:rsid w:val="003425F1"/>
    <w:rsid w:val="00344C32"/>
    <w:rsid w:val="003476EE"/>
    <w:rsid w:val="0036132D"/>
    <w:rsid w:val="003649A9"/>
    <w:rsid w:val="0036728B"/>
    <w:rsid w:val="0037139D"/>
    <w:rsid w:val="00372E86"/>
    <w:rsid w:val="00372F09"/>
    <w:rsid w:val="003736C9"/>
    <w:rsid w:val="0037439D"/>
    <w:rsid w:val="00374CAC"/>
    <w:rsid w:val="00374E84"/>
    <w:rsid w:val="003765F6"/>
    <w:rsid w:val="003777BD"/>
    <w:rsid w:val="003801E1"/>
    <w:rsid w:val="00384988"/>
    <w:rsid w:val="003872CF"/>
    <w:rsid w:val="0039085D"/>
    <w:rsid w:val="0039684C"/>
    <w:rsid w:val="003969D3"/>
    <w:rsid w:val="003974B3"/>
    <w:rsid w:val="0039782C"/>
    <w:rsid w:val="003A5B4A"/>
    <w:rsid w:val="003B23C5"/>
    <w:rsid w:val="003B2A75"/>
    <w:rsid w:val="003B6124"/>
    <w:rsid w:val="003C093A"/>
    <w:rsid w:val="003C1ECF"/>
    <w:rsid w:val="003C2FB5"/>
    <w:rsid w:val="003C4D35"/>
    <w:rsid w:val="003C652C"/>
    <w:rsid w:val="003C6CBE"/>
    <w:rsid w:val="003C723D"/>
    <w:rsid w:val="003D24C5"/>
    <w:rsid w:val="003D4AC4"/>
    <w:rsid w:val="003D526A"/>
    <w:rsid w:val="003D63B7"/>
    <w:rsid w:val="003E0016"/>
    <w:rsid w:val="003E1465"/>
    <w:rsid w:val="003E1C2C"/>
    <w:rsid w:val="003E3BF1"/>
    <w:rsid w:val="003E448C"/>
    <w:rsid w:val="003E468B"/>
    <w:rsid w:val="003E54D1"/>
    <w:rsid w:val="003E62BD"/>
    <w:rsid w:val="003F0C3A"/>
    <w:rsid w:val="003F1266"/>
    <w:rsid w:val="003F3228"/>
    <w:rsid w:val="003F50A6"/>
    <w:rsid w:val="003F5C8C"/>
    <w:rsid w:val="003F74F9"/>
    <w:rsid w:val="003F775A"/>
    <w:rsid w:val="003F780C"/>
    <w:rsid w:val="00400E55"/>
    <w:rsid w:val="0040128E"/>
    <w:rsid w:val="0040216B"/>
    <w:rsid w:val="00412F70"/>
    <w:rsid w:val="00421BFF"/>
    <w:rsid w:val="004227B0"/>
    <w:rsid w:val="004252EC"/>
    <w:rsid w:val="00425406"/>
    <w:rsid w:val="004267FB"/>
    <w:rsid w:val="0042732D"/>
    <w:rsid w:val="00430D39"/>
    <w:rsid w:val="00434BC9"/>
    <w:rsid w:val="00445451"/>
    <w:rsid w:val="004465BD"/>
    <w:rsid w:val="00451D33"/>
    <w:rsid w:val="0045410B"/>
    <w:rsid w:val="004545D9"/>
    <w:rsid w:val="00457DE3"/>
    <w:rsid w:val="00461A44"/>
    <w:rsid w:val="00463B28"/>
    <w:rsid w:val="00466ADA"/>
    <w:rsid w:val="004702BB"/>
    <w:rsid w:val="0047494B"/>
    <w:rsid w:val="00476245"/>
    <w:rsid w:val="004777AA"/>
    <w:rsid w:val="00477A9B"/>
    <w:rsid w:val="00477E59"/>
    <w:rsid w:val="00483035"/>
    <w:rsid w:val="004833C9"/>
    <w:rsid w:val="00485940"/>
    <w:rsid w:val="00487FE3"/>
    <w:rsid w:val="004904B9"/>
    <w:rsid w:val="00494393"/>
    <w:rsid w:val="004978AF"/>
    <w:rsid w:val="004A2484"/>
    <w:rsid w:val="004A5A85"/>
    <w:rsid w:val="004A633B"/>
    <w:rsid w:val="004A6D99"/>
    <w:rsid w:val="004A71D1"/>
    <w:rsid w:val="004A7C5B"/>
    <w:rsid w:val="004B0304"/>
    <w:rsid w:val="004B0AE0"/>
    <w:rsid w:val="004B2E98"/>
    <w:rsid w:val="004B3509"/>
    <w:rsid w:val="004B5640"/>
    <w:rsid w:val="004B7581"/>
    <w:rsid w:val="004C1BD7"/>
    <w:rsid w:val="004C31FE"/>
    <w:rsid w:val="004C3F5E"/>
    <w:rsid w:val="004C416A"/>
    <w:rsid w:val="004C524C"/>
    <w:rsid w:val="004C691D"/>
    <w:rsid w:val="004C6C07"/>
    <w:rsid w:val="004D2A34"/>
    <w:rsid w:val="004D3DDB"/>
    <w:rsid w:val="004D4FF6"/>
    <w:rsid w:val="004E5346"/>
    <w:rsid w:val="004E5E24"/>
    <w:rsid w:val="004E692D"/>
    <w:rsid w:val="004E7D87"/>
    <w:rsid w:val="004F172F"/>
    <w:rsid w:val="004F2553"/>
    <w:rsid w:val="00501554"/>
    <w:rsid w:val="00502AFE"/>
    <w:rsid w:val="00503AD7"/>
    <w:rsid w:val="0050430B"/>
    <w:rsid w:val="00504A05"/>
    <w:rsid w:val="00504E0C"/>
    <w:rsid w:val="00506FAD"/>
    <w:rsid w:val="005109D4"/>
    <w:rsid w:val="00514CD7"/>
    <w:rsid w:val="00520D6A"/>
    <w:rsid w:val="00522DB6"/>
    <w:rsid w:val="0052792D"/>
    <w:rsid w:val="005319B2"/>
    <w:rsid w:val="00532402"/>
    <w:rsid w:val="00532C74"/>
    <w:rsid w:val="0053383C"/>
    <w:rsid w:val="00534E2E"/>
    <w:rsid w:val="005371DB"/>
    <w:rsid w:val="0054089C"/>
    <w:rsid w:val="00544552"/>
    <w:rsid w:val="00544B83"/>
    <w:rsid w:val="005502AF"/>
    <w:rsid w:val="0055152D"/>
    <w:rsid w:val="0055286A"/>
    <w:rsid w:val="00555745"/>
    <w:rsid w:val="00555A5C"/>
    <w:rsid w:val="00557D4F"/>
    <w:rsid w:val="00561378"/>
    <w:rsid w:val="0056484E"/>
    <w:rsid w:val="00570803"/>
    <w:rsid w:val="005764CD"/>
    <w:rsid w:val="00577C4D"/>
    <w:rsid w:val="00580532"/>
    <w:rsid w:val="00581932"/>
    <w:rsid w:val="005821DB"/>
    <w:rsid w:val="005826AE"/>
    <w:rsid w:val="00584AB4"/>
    <w:rsid w:val="0058570D"/>
    <w:rsid w:val="0058584E"/>
    <w:rsid w:val="00593C15"/>
    <w:rsid w:val="005963BB"/>
    <w:rsid w:val="005A0EF4"/>
    <w:rsid w:val="005A3173"/>
    <w:rsid w:val="005A3223"/>
    <w:rsid w:val="005A3DA3"/>
    <w:rsid w:val="005A52C4"/>
    <w:rsid w:val="005B0AAE"/>
    <w:rsid w:val="005B3CB5"/>
    <w:rsid w:val="005C0CCB"/>
    <w:rsid w:val="005C2585"/>
    <w:rsid w:val="005C4900"/>
    <w:rsid w:val="005D03AB"/>
    <w:rsid w:val="005D3E26"/>
    <w:rsid w:val="005D5017"/>
    <w:rsid w:val="005D63FA"/>
    <w:rsid w:val="005E0E4A"/>
    <w:rsid w:val="005E1333"/>
    <w:rsid w:val="005E3136"/>
    <w:rsid w:val="005E507D"/>
    <w:rsid w:val="005F0883"/>
    <w:rsid w:val="005F26F5"/>
    <w:rsid w:val="005F4582"/>
    <w:rsid w:val="005F6209"/>
    <w:rsid w:val="005F6BE7"/>
    <w:rsid w:val="00601A91"/>
    <w:rsid w:val="006028B2"/>
    <w:rsid w:val="00602BA3"/>
    <w:rsid w:val="00603F16"/>
    <w:rsid w:val="00605B63"/>
    <w:rsid w:val="00606EED"/>
    <w:rsid w:val="00612E34"/>
    <w:rsid w:val="00614159"/>
    <w:rsid w:val="0061452F"/>
    <w:rsid w:val="0061605C"/>
    <w:rsid w:val="00616C5F"/>
    <w:rsid w:val="00616DAC"/>
    <w:rsid w:val="00617C00"/>
    <w:rsid w:val="00620590"/>
    <w:rsid w:val="00620B36"/>
    <w:rsid w:val="0062431E"/>
    <w:rsid w:val="006263BF"/>
    <w:rsid w:val="0062748A"/>
    <w:rsid w:val="006275E6"/>
    <w:rsid w:val="00630A2C"/>
    <w:rsid w:val="00631C1A"/>
    <w:rsid w:val="0063682E"/>
    <w:rsid w:val="00641C44"/>
    <w:rsid w:val="00642DA8"/>
    <w:rsid w:val="006434CD"/>
    <w:rsid w:val="006436CD"/>
    <w:rsid w:val="00644E12"/>
    <w:rsid w:val="00651169"/>
    <w:rsid w:val="00653D69"/>
    <w:rsid w:val="006552E6"/>
    <w:rsid w:val="00657C63"/>
    <w:rsid w:val="00660768"/>
    <w:rsid w:val="00666086"/>
    <w:rsid w:val="00666882"/>
    <w:rsid w:val="00666E88"/>
    <w:rsid w:val="006670BE"/>
    <w:rsid w:val="00670A76"/>
    <w:rsid w:val="00670E58"/>
    <w:rsid w:val="006711AA"/>
    <w:rsid w:val="00672ADA"/>
    <w:rsid w:val="00672B57"/>
    <w:rsid w:val="006737C3"/>
    <w:rsid w:val="00673AED"/>
    <w:rsid w:val="00675622"/>
    <w:rsid w:val="00676E6E"/>
    <w:rsid w:val="0067747D"/>
    <w:rsid w:val="00681CA4"/>
    <w:rsid w:val="00685832"/>
    <w:rsid w:val="0069039D"/>
    <w:rsid w:val="006906DB"/>
    <w:rsid w:val="00691E6C"/>
    <w:rsid w:val="00693DFB"/>
    <w:rsid w:val="006947E2"/>
    <w:rsid w:val="0069501D"/>
    <w:rsid w:val="00696129"/>
    <w:rsid w:val="00697CF2"/>
    <w:rsid w:val="006A12A5"/>
    <w:rsid w:val="006A333E"/>
    <w:rsid w:val="006A4248"/>
    <w:rsid w:val="006A5E20"/>
    <w:rsid w:val="006B0D94"/>
    <w:rsid w:val="006B485D"/>
    <w:rsid w:val="006C1D92"/>
    <w:rsid w:val="006C3199"/>
    <w:rsid w:val="006C334C"/>
    <w:rsid w:val="006C5BE1"/>
    <w:rsid w:val="006C708E"/>
    <w:rsid w:val="006C7D57"/>
    <w:rsid w:val="006D086E"/>
    <w:rsid w:val="006D14E7"/>
    <w:rsid w:val="006D19EC"/>
    <w:rsid w:val="006D4444"/>
    <w:rsid w:val="006D6493"/>
    <w:rsid w:val="006D6932"/>
    <w:rsid w:val="006D6EC7"/>
    <w:rsid w:val="006E15E7"/>
    <w:rsid w:val="006E1BCD"/>
    <w:rsid w:val="006E288D"/>
    <w:rsid w:val="006E2AF7"/>
    <w:rsid w:val="006E40BC"/>
    <w:rsid w:val="006F1286"/>
    <w:rsid w:val="006F5125"/>
    <w:rsid w:val="006F54A7"/>
    <w:rsid w:val="006F6F17"/>
    <w:rsid w:val="006F733D"/>
    <w:rsid w:val="006F75DF"/>
    <w:rsid w:val="00701D8A"/>
    <w:rsid w:val="00702B6F"/>
    <w:rsid w:val="00706A2F"/>
    <w:rsid w:val="0070718E"/>
    <w:rsid w:val="0071340B"/>
    <w:rsid w:val="0071396A"/>
    <w:rsid w:val="00715A99"/>
    <w:rsid w:val="00715D0C"/>
    <w:rsid w:val="007174BB"/>
    <w:rsid w:val="0072025D"/>
    <w:rsid w:val="00720A60"/>
    <w:rsid w:val="0072148C"/>
    <w:rsid w:val="00727CEC"/>
    <w:rsid w:val="0073137C"/>
    <w:rsid w:val="007334EA"/>
    <w:rsid w:val="007353D3"/>
    <w:rsid w:val="00736078"/>
    <w:rsid w:val="0074156B"/>
    <w:rsid w:val="0074412E"/>
    <w:rsid w:val="00751F1C"/>
    <w:rsid w:val="007555E8"/>
    <w:rsid w:val="00761C9B"/>
    <w:rsid w:val="00761D93"/>
    <w:rsid w:val="007636D7"/>
    <w:rsid w:val="0076420C"/>
    <w:rsid w:val="00765EC1"/>
    <w:rsid w:val="00767251"/>
    <w:rsid w:val="00770FFE"/>
    <w:rsid w:val="00771D07"/>
    <w:rsid w:val="00774E2C"/>
    <w:rsid w:val="007753C2"/>
    <w:rsid w:val="0078002B"/>
    <w:rsid w:val="00781161"/>
    <w:rsid w:val="007814C2"/>
    <w:rsid w:val="007838B8"/>
    <w:rsid w:val="0078731E"/>
    <w:rsid w:val="007915BA"/>
    <w:rsid w:val="00791722"/>
    <w:rsid w:val="00791CF9"/>
    <w:rsid w:val="00795409"/>
    <w:rsid w:val="007956DB"/>
    <w:rsid w:val="007A46AC"/>
    <w:rsid w:val="007A6FB0"/>
    <w:rsid w:val="007A7B38"/>
    <w:rsid w:val="007A7DAD"/>
    <w:rsid w:val="007B19D3"/>
    <w:rsid w:val="007B314B"/>
    <w:rsid w:val="007B3DDC"/>
    <w:rsid w:val="007B72A6"/>
    <w:rsid w:val="007C0F57"/>
    <w:rsid w:val="007C124E"/>
    <w:rsid w:val="007C3396"/>
    <w:rsid w:val="007C40B6"/>
    <w:rsid w:val="007C729F"/>
    <w:rsid w:val="007C7D51"/>
    <w:rsid w:val="007D1291"/>
    <w:rsid w:val="007D19B8"/>
    <w:rsid w:val="007D1C98"/>
    <w:rsid w:val="007D2AEC"/>
    <w:rsid w:val="007D6D67"/>
    <w:rsid w:val="007E1D28"/>
    <w:rsid w:val="007E355E"/>
    <w:rsid w:val="007F0021"/>
    <w:rsid w:val="007F2641"/>
    <w:rsid w:val="007F2B30"/>
    <w:rsid w:val="007F2C09"/>
    <w:rsid w:val="007F50DB"/>
    <w:rsid w:val="007F7C36"/>
    <w:rsid w:val="008002BC"/>
    <w:rsid w:val="00800F2F"/>
    <w:rsid w:val="00801625"/>
    <w:rsid w:val="00806508"/>
    <w:rsid w:val="00806796"/>
    <w:rsid w:val="00810C74"/>
    <w:rsid w:val="00811CC0"/>
    <w:rsid w:val="008151D6"/>
    <w:rsid w:val="008170C5"/>
    <w:rsid w:val="00817D4C"/>
    <w:rsid w:val="00821527"/>
    <w:rsid w:val="00823346"/>
    <w:rsid w:val="008268BB"/>
    <w:rsid w:val="00826F6D"/>
    <w:rsid w:val="008306F3"/>
    <w:rsid w:val="00830E40"/>
    <w:rsid w:val="00834E1E"/>
    <w:rsid w:val="00843FEB"/>
    <w:rsid w:val="00854F28"/>
    <w:rsid w:val="00855994"/>
    <w:rsid w:val="00855FD6"/>
    <w:rsid w:val="00856DDD"/>
    <w:rsid w:val="00863E68"/>
    <w:rsid w:val="008647B5"/>
    <w:rsid w:val="0086533A"/>
    <w:rsid w:val="008709BD"/>
    <w:rsid w:val="00875DCB"/>
    <w:rsid w:val="00880837"/>
    <w:rsid w:val="00880D32"/>
    <w:rsid w:val="00882085"/>
    <w:rsid w:val="00883188"/>
    <w:rsid w:val="00884785"/>
    <w:rsid w:val="00885689"/>
    <w:rsid w:val="00890105"/>
    <w:rsid w:val="00891394"/>
    <w:rsid w:val="00892D68"/>
    <w:rsid w:val="00897D58"/>
    <w:rsid w:val="00897F22"/>
    <w:rsid w:val="008A0B39"/>
    <w:rsid w:val="008A0FB1"/>
    <w:rsid w:val="008A1956"/>
    <w:rsid w:val="008A460D"/>
    <w:rsid w:val="008A4937"/>
    <w:rsid w:val="008A50F1"/>
    <w:rsid w:val="008A5759"/>
    <w:rsid w:val="008A59D9"/>
    <w:rsid w:val="008A6819"/>
    <w:rsid w:val="008A6B1B"/>
    <w:rsid w:val="008B2EC0"/>
    <w:rsid w:val="008C038E"/>
    <w:rsid w:val="008C515E"/>
    <w:rsid w:val="008C7C1D"/>
    <w:rsid w:val="008C7C30"/>
    <w:rsid w:val="008D047F"/>
    <w:rsid w:val="008D1B5C"/>
    <w:rsid w:val="008D3C82"/>
    <w:rsid w:val="008D447E"/>
    <w:rsid w:val="008D4FE5"/>
    <w:rsid w:val="008D562F"/>
    <w:rsid w:val="008D7A41"/>
    <w:rsid w:val="008E07BE"/>
    <w:rsid w:val="008E2C72"/>
    <w:rsid w:val="008E2D05"/>
    <w:rsid w:val="008E3680"/>
    <w:rsid w:val="008E5870"/>
    <w:rsid w:val="008F1434"/>
    <w:rsid w:val="008F54C3"/>
    <w:rsid w:val="008F7355"/>
    <w:rsid w:val="009023DC"/>
    <w:rsid w:val="00903C0F"/>
    <w:rsid w:val="0090664A"/>
    <w:rsid w:val="009067B7"/>
    <w:rsid w:val="00906975"/>
    <w:rsid w:val="00911344"/>
    <w:rsid w:val="00914AC4"/>
    <w:rsid w:val="00925F9F"/>
    <w:rsid w:val="00926560"/>
    <w:rsid w:val="009267FD"/>
    <w:rsid w:val="00930937"/>
    <w:rsid w:val="00930E37"/>
    <w:rsid w:val="009324A6"/>
    <w:rsid w:val="00933E6C"/>
    <w:rsid w:val="00937958"/>
    <w:rsid w:val="00941602"/>
    <w:rsid w:val="00941E46"/>
    <w:rsid w:val="00942092"/>
    <w:rsid w:val="00942160"/>
    <w:rsid w:val="00942EC4"/>
    <w:rsid w:val="0094342A"/>
    <w:rsid w:val="00945063"/>
    <w:rsid w:val="0095146F"/>
    <w:rsid w:val="009520C3"/>
    <w:rsid w:val="00957670"/>
    <w:rsid w:val="00957944"/>
    <w:rsid w:val="009602C5"/>
    <w:rsid w:val="00962223"/>
    <w:rsid w:val="009635FB"/>
    <w:rsid w:val="00966D0D"/>
    <w:rsid w:val="0096783C"/>
    <w:rsid w:val="00970EF0"/>
    <w:rsid w:val="009722B3"/>
    <w:rsid w:val="00973D55"/>
    <w:rsid w:val="00974C21"/>
    <w:rsid w:val="00977BF3"/>
    <w:rsid w:val="009803E4"/>
    <w:rsid w:val="00980584"/>
    <w:rsid w:val="00980B0E"/>
    <w:rsid w:val="00980F85"/>
    <w:rsid w:val="00982FFB"/>
    <w:rsid w:val="009836A3"/>
    <w:rsid w:val="009855A8"/>
    <w:rsid w:val="009913F4"/>
    <w:rsid w:val="0099465B"/>
    <w:rsid w:val="00995C00"/>
    <w:rsid w:val="009A08BB"/>
    <w:rsid w:val="009A0CDD"/>
    <w:rsid w:val="009A3168"/>
    <w:rsid w:val="009A61CA"/>
    <w:rsid w:val="009B0C64"/>
    <w:rsid w:val="009B0DE6"/>
    <w:rsid w:val="009B0F67"/>
    <w:rsid w:val="009B2B8D"/>
    <w:rsid w:val="009B7963"/>
    <w:rsid w:val="009C13C6"/>
    <w:rsid w:val="009C703C"/>
    <w:rsid w:val="009D206E"/>
    <w:rsid w:val="009D3CAA"/>
    <w:rsid w:val="009D6532"/>
    <w:rsid w:val="009D71E0"/>
    <w:rsid w:val="009E1749"/>
    <w:rsid w:val="009E40E1"/>
    <w:rsid w:val="009E410B"/>
    <w:rsid w:val="009F0EFA"/>
    <w:rsid w:val="009F4E46"/>
    <w:rsid w:val="009F5B65"/>
    <w:rsid w:val="009F5F2E"/>
    <w:rsid w:val="009F721B"/>
    <w:rsid w:val="00A05AF9"/>
    <w:rsid w:val="00A06225"/>
    <w:rsid w:val="00A12751"/>
    <w:rsid w:val="00A128E6"/>
    <w:rsid w:val="00A144D3"/>
    <w:rsid w:val="00A203C2"/>
    <w:rsid w:val="00A22AC3"/>
    <w:rsid w:val="00A2744D"/>
    <w:rsid w:val="00A3272A"/>
    <w:rsid w:val="00A3280A"/>
    <w:rsid w:val="00A34E6C"/>
    <w:rsid w:val="00A358A8"/>
    <w:rsid w:val="00A36398"/>
    <w:rsid w:val="00A37C8D"/>
    <w:rsid w:val="00A4020E"/>
    <w:rsid w:val="00A40FB5"/>
    <w:rsid w:val="00A4208D"/>
    <w:rsid w:val="00A42826"/>
    <w:rsid w:val="00A469F5"/>
    <w:rsid w:val="00A47C95"/>
    <w:rsid w:val="00A51EED"/>
    <w:rsid w:val="00A5273B"/>
    <w:rsid w:val="00A53A9D"/>
    <w:rsid w:val="00A542B5"/>
    <w:rsid w:val="00A55001"/>
    <w:rsid w:val="00A55FEE"/>
    <w:rsid w:val="00A568DF"/>
    <w:rsid w:val="00A619D2"/>
    <w:rsid w:val="00A62C1A"/>
    <w:rsid w:val="00A63577"/>
    <w:rsid w:val="00A6426D"/>
    <w:rsid w:val="00A665C1"/>
    <w:rsid w:val="00A67F6C"/>
    <w:rsid w:val="00A70622"/>
    <w:rsid w:val="00A70977"/>
    <w:rsid w:val="00A70D58"/>
    <w:rsid w:val="00A71E6F"/>
    <w:rsid w:val="00A744F9"/>
    <w:rsid w:val="00A75E38"/>
    <w:rsid w:val="00A77613"/>
    <w:rsid w:val="00A81914"/>
    <w:rsid w:val="00A81B35"/>
    <w:rsid w:val="00A83038"/>
    <w:rsid w:val="00A8390C"/>
    <w:rsid w:val="00A85880"/>
    <w:rsid w:val="00A90894"/>
    <w:rsid w:val="00A928BD"/>
    <w:rsid w:val="00A96B6B"/>
    <w:rsid w:val="00A97DE9"/>
    <w:rsid w:val="00AA12CD"/>
    <w:rsid w:val="00AA1F76"/>
    <w:rsid w:val="00AA2267"/>
    <w:rsid w:val="00AA4D1C"/>
    <w:rsid w:val="00AB47C8"/>
    <w:rsid w:val="00AB5856"/>
    <w:rsid w:val="00AB5EBC"/>
    <w:rsid w:val="00AC16BF"/>
    <w:rsid w:val="00AC193C"/>
    <w:rsid w:val="00AC1F7F"/>
    <w:rsid w:val="00AC4DE5"/>
    <w:rsid w:val="00AC5206"/>
    <w:rsid w:val="00AD162C"/>
    <w:rsid w:val="00AD4322"/>
    <w:rsid w:val="00AE11A5"/>
    <w:rsid w:val="00AE13E2"/>
    <w:rsid w:val="00AE2214"/>
    <w:rsid w:val="00AE22D3"/>
    <w:rsid w:val="00AE2389"/>
    <w:rsid w:val="00AE5A49"/>
    <w:rsid w:val="00AE744E"/>
    <w:rsid w:val="00AF35F9"/>
    <w:rsid w:val="00AF3BA5"/>
    <w:rsid w:val="00AF62DF"/>
    <w:rsid w:val="00AF68CC"/>
    <w:rsid w:val="00AF70D0"/>
    <w:rsid w:val="00AF70D7"/>
    <w:rsid w:val="00B07CFB"/>
    <w:rsid w:val="00B1059E"/>
    <w:rsid w:val="00B116C1"/>
    <w:rsid w:val="00B1211E"/>
    <w:rsid w:val="00B170A5"/>
    <w:rsid w:val="00B176C8"/>
    <w:rsid w:val="00B205AA"/>
    <w:rsid w:val="00B22235"/>
    <w:rsid w:val="00B22E84"/>
    <w:rsid w:val="00B233AD"/>
    <w:rsid w:val="00B23E25"/>
    <w:rsid w:val="00B24DE8"/>
    <w:rsid w:val="00B25F75"/>
    <w:rsid w:val="00B26B3F"/>
    <w:rsid w:val="00B2778F"/>
    <w:rsid w:val="00B31A29"/>
    <w:rsid w:val="00B33635"/>
    <w:rsid w:val="00B37A60"/>
    <w:rsid w:val="00B43E90"/>
    <w:rsid w:val="00B45835"/>
    <w:rsid w:val="00B45F5C"/>
    <w:rsid w:val="00B4618C"/>
    <w:rsid w:val="00B467DC"/>
    <w:rsid w:val="00B550F9"/>
    <w:rsid w:val="00B56118"/>
    <w:rsid w:val="00B6773F"/>
    <w:rsid w:val="00B7073A"/>
    <w:rsid w:val="00B760FB"/>
    <w:rsid w:val="00B767AB"/>
    <w:rsid w:val="00B801BA"/>
    <w:rsid w:val="00B804D1"/>
    <w:rsid w:val="00B80553"/>
    <w:rsid w:val="00B80F01"/>
    <w:rsid w:val="00B846D3"/>
    <w:rsid w:val="00B84D5C"/>
    <w:rsid w:val="00B907C0"/>
    <w:rsid w:val="00B9156F"/>
    <w:rsid w:val="00B92164"/>
    <w:rsid w:val="00B92507"/>
    <w:rsid w:val="00B94D92"/>
    <w:rsid w:val="00BA2DA8"/>
    <w:rsid w:val="00BA347C"/>
    <w:rsid w:val="00BB1DB0"/>
    <w:rsid w:val="00BB69F5"/>
    <w:rsid w:val="00BB7531"/>
    <w:rsid w:val="00BB776E"/>
    <w:rsid w:val="00BB7EC3"/>
    <w:rsid w:val="00BB7F94"/>
    <w:rsid w:val="00BC4B9A"/>
    <w:rsid w:val="00BD02C3"/>
    <w:rsid w:val="00BD073F"/>
    <w:rsid w:val="00BD42D3"/>
    <w:rsid w:val="00BD6FC5"/>
    <w:rsid w:val="00BD784C"/>
    <w:rsid w:val="00BE020A"/>
    <w:rsid w:val="00BF092C"/>
    <w:rsid w:val="00BF1B97"/>
    <w:rsid w:val="00BF27A0"/>
    <w:rsid w:val="00BF2A03"/>
    <w:rsid w:val="00BF3FC7"/>
    <w:rsid w:val="00BF4CB6"/>
    <w:rsid w:val="00BF58E9"/>
    <w:rsid w:val="00C00DA7"/>
    <w:rsid w:val="00C03024"/>
    <w:rsid w:val="00C12768"/>
    <w:rsid w:val="00C12C18"/>
    <w:rsid w:val="00C12D70"/>
    <w:rsid w:val="00C15053"/>
    <w:rsid w:val="00C15765"/>
    <w:rsid w:val="00C15816"/>
    <w:rsid w:val="00C21B09"/>
    <w:rsid w:val="00C2673A"/>
    <w:rsid w:val="00C26C3B"/>
    <w:rsid w:val="00C27B58"/>
    <w:rsid w:val="00C3152A"/>
    <w:rsid w:val="00C32FD0"/>
    <w:rsid w:val="00C35996"/>
    <w:rsid w:val="00C377FB"/>
    <w:rsid w:val="00C40465"/>
    <w:rsid w:val="00C40A72"/>
    <w:rsid w:val="00C44909"/>
    <w:rsid w:val="00C4747E"/>
    <w:rsid w:val="00C47716"/>
    <w:rsid w:val="00C531EA"/>
    <w:rsid w:val="00C5342C"/>
    <w:rsid w:val="00C53B2B"/>
    <w:rsid w:val="00C54949"/>
    <w:rsid w:val="00C54F6E"/>
    <w:rsid w:val="00C60272"/>
    <w:rsid w:val="00C603D4"/>
    <w:rsid w:val="00C6256A"/>
    <w:rsid w:val="00C62A35"/>
    <w:rsid w:val="00C66A3A"/>
    <w:rsid w:val="00C710E2"/>
    <w:rsid w:val="00C71C3F"/>
    <w:rsid w:val="00C72876"/>
    <w:rsid w:val="00C7409E"/>
    <w:rsid w:val="00C745CC"/>
    <w:rsid w:val="00C74E46"/>
    <w:rsid w:val="00C75ACC"/>
    <w:rsid w:val="00C75BE0"/>
    <w:rsid w:val="00C76E76"/>
    <w:rsid w:val="00C77891"/>
    <w:rsid w:val="00C84C75"/>
    <w:rsid w:val="00C91449"/>
    <w:rsid w:val="00C92D10"/>
    <w:rsid w:val="00C9489F"/>
    <w:rsid w:val="00CA3892"/>
    <w:rsid w:val="00CA3B65"/>
    <w:rsid w:val="00CA3FB5"/>
    <w:rsid w:val="00CA48D9"/>
    <w:rsid w:val="00CB0D20"/>
    <w:rsid w:val="00CB1193"/>
    <w:rsid w:val="00CB4767"/>
    <w:rsid w:val="00CB493D"/>
    <w:rsid w:val="00CB73C7"/>
    <w:rsid w:val="00CB772D"/>
    <w:rsid w:val="00CC0FEE"/>
    <w:rsid w:val="00CC2480"/>
    <w:rsid w:val="00CC3B97"/>
    <w:rsid w:val="00CC4A3C"/>
    <w:rsid w:val="00CC5DFF"/>
    <w:rsid w:val="00CD0601"/>
    <w:rsid w:val="00CD567F"/>
    <w:rsid w:val="00CE10C4"/>
    <w:rsid w:val="00CE27B5"/>
    <w:rsid w:val="00CE5B03"/>
    <w:rsid w:val="00CE6DAF"/>
    <w:rsid w:val="00CF0E42"/>
    <w:rsid w:val="00CF222B"/>
    <w:rsid w:val="00CF410A"/>
    <w:rsid w:val="00CF45A5"/>
    <w:rsid w:val="00CF57E3"/>
    <w:rsid w:val="00CF6A3C"/>
    <w:rsid w:val="00CF6A4D"/>
    <w:rsid w:val="00D0321E"/>
    <w:rsid w:val="00D0477D"/>
    <w:rsid w:val="00D06A2B"/>
    <w:rsid w:val="00D07A8A"/>
    <w:rsid w:val="00D11C50"/>
    <w:rsid w:val="00D14266"/>
    <w:rsid w:val="00D1455A"/>
    <w:rsid w:val="00D167F2"/>
    <w:rsid w:val="00D210AD"/>
    <w:rsid w:val="00D21283"/>
    <w:rsid w:val="00D22093"/>
    <w:rsid w:val="00D259C5"/>
    <w:rsid w:val="00D31150"/>
    <w:rsid w:val="00D3138B"/>
    <w:rsid w:val="00D3280C"/>
    <w:rsid w:val="00D33613"/>
    <w:rsid w:val="00D3406A"/>
    <w:rsid w:val="00D36294"/>
    <w:rsid w:val="00D3692F"/>
    <w:rsid w:val="00D36A03"/>
    <w:rsid w:val="00D42437"/>
    <w:rsid w:val="00D42BA9"/>
    <w:rsid w:val="00D441F1"/>
    <w:rsid w:val="00D4572C"/>
    <w:rsid w:val="00D464EB"/>
    <w:rsid w:val="00D469B2"/>
    <w:rsid w:val="00D478B3"/>
    <w:rsid w:val="00D530E3"/>
    <w:rsid w:val="00D54804"/>
    <w:rsid w:val="00D54EB2"/>
    <w:rsid w:val="00D552B7"/>
    <w:rsid w:val="00D60325"/>
    <w:rsid w:val="00D614E7"/>
    <w:rsid w:val="00D61E8A"/>
    <w:rsid w:val="00D62F1E"/>
    <w:rsid w:val="00D65658"/>
    <w:rsid w:val="00D72B6F"/>
    <w:rsid w:val="00D73B13"/>
    <w:rsid w:val="00D741EB"/>
    <w:rsid w:val="00D7679C"/>
    <w:rsid w:val="00D820F3"/>
    <w:rsid w:val="00D82BCF"/>
    <w:rsid w:val="00D83605"/>
    <w:rsid w:val="00D8457D"/>
    <w:rsid w:val="00D84934"/>
    <w:rsid w:val="00D91271"/>
    <w:rsid w:val="00D919F5"/>
    <w:rsid w:val="00D936D6"/>
    <w:rsid w:val="00D94F03"/>
    <w:rsid w:val="00D957C1"/>
    <w:rsid w:val="00DA0D14"/>
    <w:rsid w:val="00DA1FC9"/>
    <w:rsid w:val="00DA2CB5"/>
    <w:rsid w:val="00DA388A"/>
    <w:rsid w:val="00DA3CE9"/>
    <w:rsid w:val="00DA4BAC"/>
    <w:rsid w:val="00DB0151"/>
    <w:rsid w:val="00DB10E4"/>
    <w:rsid w:val="00DB1BAA"/>
    <w:rsid w:val="00DB52B2"/>
    <w:rsid w:val="00DB5876"/>
    <w:rsid w:val="00DB74E6"/>
    <w:rsid w:val="00DC0B2E"/>
    <w:rsid w:val="00DC2C3E"/>
    <w:rsid w:val="00DC3553"/>
    <w:rsid w:val="00DC4880"/>
    <w:rsid w:val="00DC51FF"/>
    <w:rsid w:val="00DD5020"/>
    <w:rsid w:val="00DE1A07"/>
    <w:rsid w:val="00DE6D27"/>
    <w:rsid w:val="00DE7053"/>
    <w:rsid w:val="00DF20EA"/>
    <w:rsid w:val="00DF217D"/>
    <w:rsid w:val="00DF26A7"/>
    <w:rsid w:val="00DF3277"/>
    <w:rsid w:val="00DF4D32"/>
    <w:rsid w:val="00DF7919"/>
    <w:rsid w:val="00E007A6"/>
    <w:rsid w:val="00E0207E"/>
    <w:rsid w:val="00E03912"/>
    <w:rsid w:val="00E05C72"/>
    <w:rsid w:val="00E07E53"/>
    <w:rsid w:val="00E10672"/>
    <w:rsid w:val="00E15627"/>
    <w:rsid w:val="00E164B3"/>
    <w:rsid w:val="00E1674A"/>
    <w:rsid w:val="00E16910"/>
    <w:rsid w:val="00E20DB2"/>
    <w:rsid w:val="00E21716"/>
    <w:rsid w:val="00E24E09"/>
    <w:rsid w:val="00E27234"/>
    <w:rsid w:val="00E428E8"/>
    <w:rsid w:val="00E42BDB"/>
    <w:rsid w:val="00E44F15"/>
    <w:rsid w:val="00E45453"/>
    <w:rsid w:val="00E464AF"/>
    <w:rsid w:val="00E51EB0"/>
    <w:rsid w:val="00E53D99"/>
    <w:rsid w:val="00E54FFF"/>
    <w:rsid w:val="00E55AD0"/>
    <w:rsid w:val="00E56FAD"/>
    <w:rsid w:val="00E57EEB"/>
    <w:rsid w:val="00E60D97"/>
    <w:rsid w:val="00E62D94"/>
    <w:rsid w:val="00E64F37"/>
    <w:rsid w:val="00E65D63"/>
    <w:rsid w:val="00E65E54"/>
    <w:rsid w:val="00E661C7"/>
    <w:rsid w:val="00E664E1"/>
    <w:rsid w:val="00E80155"/>
    <w:rsid w:val="00E812F7"/>
    <w:rsid w:val="00E81E0D"/>
    <w:rsid w:val="00E81F28"/>
    <w:rsid w:val="00E8250B"/>
    <w:rsid w:val="00E8475C"/>
    <w:rsid w:val="00E848C0"/>
    <w:rsid w:val="00E85982"/>
    <w:rsid w:val="00E8604F"/>
    <w:rsid w:val="00E91B96"/>
    <w:rsid w:val="00E93D1E"/>
    <w:rsid w:val="00E941A1"/>
    <w:rsid w:val="00E95CE3"/>
    <w:rsid w:val="00EA252F"/>
    <w:rsid w:val="00EA2825"/>
    <w:rsid w:val="00EA7EDE"/>
    <w:rsid w:val="00EB0B63"/>
    <w:rsid w:val="00EB1936"/>
    <w:rsid w:val="00EB37BE"/>
    <w:rsid w:val="00EB40D8"/>
    <w:rsid w:val="00EB5088"/>
    <w:rsid w:val="00EC2C49"/>
    <w:rsid w:val="00EC4D8A"/>
    <w:rsid w:val="00ED1377"/>
    <w:rsid w:val="00ED1644"/>
    <w:rsid w:val="00ED2593"/>
    <w:rsid w:val="00ED38FB"/>
    <w:rsid w:val="00ED512E"/>
    <w:rsid w:val="00ED5137"/>
    <w:rsid w:val="00ED568A"/>
    <w:rsid w:val="00ED7CEB"/>
    <w:rsid w:val="00ED7D9C"/>
    <w:rsid w:val="00EE1E7E"/>
    <w:rsid w:val="00EE35C6"/>
    <w:rsid w:val="00EE3A5C"/>
    <w:rsid w:val="00EE5ADF"/>
    <w:rsid w:val="00EE7898"/>
    <w:rsid w:val="00EF0069"/>
    <w:rsid w:val="00EF2B13"/>
    <w:rsid w:val="00EF44A0"/>
    <w:rsid w:val="00EF4FED"/>
    <w:rsid w:val="00EF7CF5"/>
    <w:rsid w:val="00F007C6"/>
    <w:rsid w:val="00F0172E"/>
    <w:rsid w:val="00F01C3E"/>
    <w:rsid w:val="00F050BD"/>
    <w:rsid w:val="00F05657"/>
    <w:rsid w:val="00F117CF"/>
    <w:rsid w:val="00F11C58"/>
    <w:rsid w:val="00F14023"/>
    <w:rsid w:val="00F14F72"/>
    <w:rsid w:val="00F209E2"/>
    <w:rsid w:val="00F20C67"/>
    <w:rsid w:val="00F2279F"/>
    <w:rsid w:val="00F2378C"/>
    <w:rsid w:val="00F25578"/>
    <w:rsid w:val="00F258E5"/>
    <w:rsid w:val="00F25B9C"/>
    <w:rsid w:val="00F26CC6"/>
    <w:rsid w:val="00F300BC"/>
    <w:rsid w:val="00F30A4D"/>
    <w:rsid w:val="00F3263C"/>
    <w:rsid w:val="00F3334E"/>
    <w:rsid w:val="00F344FF"/>
    <w:rsid w:val="00F35999"/>
    <w:rsid w:val="00F36CCB"/>
    <w:rsid w:val="00F374E5"/>
    <w:rsid w:val="00F37B93"/>
    <w:rsid w:val="00F43AF2"/>
    <w:rsid w:val="00F5007E"/>
    <w:rsid w:val="00F50EC4"/>
    <w:rsid w:val="00F52232"/>
    <w:rsid w:val="00F52673"/>
    <w:rsid w:val="00F550CF"/>
    <w:rsid w:val="00F57909"/>
    <w:rsid w:val="00F57A6D"/>
    <w:rsid w:val="00F604BA"/>
    <w:rsid w:val="00F638CC"/>
    <w:rsid w:val="00F64C9E"/>
    <w:rsid w:val="00F64CC1"/>
    <w:rsid w:val="00F67799"/>
    <w:rsid w:val="00F72317"/>
    <w:rsid w:val="00F7658D"/>
    <w:rsid w:val="00F80475"/>
    <w:rsid w:val="00F8247A"/>
    <w:rsid w:val="00F86A92"/>
    <w:rsid w:val="00F9119B"/>
    <w:rsid w:val="00F93901"/>
    <w:rsid w:val="00F9629A"/>
    <w:rsid w:val="00F97EFC"/>
    <w:rsid w:val="00FA1BDD"/>
    <w:rsid w:val="00FA27BA"/>
    <w:rsid w:val="00FA38BC"/>
    <w:rsid w:val="00FA425F"/>
    <w:rsid w:val="00FA4DD5"/>
    <w:rsid w:val="00FA5883"/>
    <w:rsid w:val="00FA6055"/>
    <w:rsid w:val="00FA7A14"/>
    <w:rsid w:val="00FB2FDD"/>
    <w:rsid w:val="00FB322F"/>
    <w:rsid w:val="00FB4061"/>
    <w:rsid w:val="00FB442F"/>
    <w:rsid w:val="00FB6A71"/>
    <w:rsid w:val="00FC1929"/>
    <w:rsid w:val="00FC1ECA"/>
    <w:rsid w:val="00FC266B"/>
    <w:rsid w:val="00FC37AC"/>
    <w:rsid w:val="00FC397E"/>
    <w:rsid w:val="00FC3E87"/>
    <w:rsid w:val="00FC5B46"/>
    <w:rsid w:val="00FC6C1E"/>
    <w:rsid w:val="00FC72FD"/>
    <w:rsid w:val="00FD3B02"/>
    <w:rsid w:val="00FD6D8E"/>
    <w:rsid w:val="00FD7D4F"/>
    <w:rsid w:val="00FE0E94"/>
    <w:rsid w:val="00FE3CD9"/>
    <w:rsid w:val="00FF00BD"/>
    <w:rsid w:val="00FF1ED4"/>
    <w:rsid w:val="00FF2801"/>
    <w:rsid w:val="00FF36E3"/>
    <w:rsid w:val="00FF3D3A"/>
    <w:rsid w:val="00FF437F"/>
    <w:rsid w:val="00FF7B3D"/>
    <w:rsid w:val="00FF7D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F7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32D"/>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ist Paragraph1,Bullets Points,Styl moj,Akapit z listą1,Akapit z listą11,ES Paragraph,PBAC ES Paragraph,Bullet point,List Paragraph11,Recommendation,Footnote,PBAC normal points,Bullet List,Table Legend"/>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ist Paragraph1 Char,Bullets Points Char,Styl moj Char,Akapit z listą1 Char,Akapit z listą11 Char,ES Paragraph Char,PBAC ES Paragraph Char,Bullet point Char,List Paragraph11 Char,Footnote Char"/>
    <w:basedOn w:val="DefaultParagraphFont"/>
    <w:link w:val="ListParagraph"/>
    <w:uiPriority w:val="72"/>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pPr>
      <w:ind w:left="862"/>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pPr>
      <w:numPr>
        <w:ilvl w:val="1"/>
        <w:numId w:val="3"/>
      </w:numPr>
      <w:ind w:left="720"/>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NICE Caption"/>
    <w:basedOn w:val="Normal"/>
    <w:next w:val="Normal"/>
    <w:link w:val="CaptionChar"/>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TableBullet">
    <w:name w:val="Table Bullet"/>
    <w:basedOn w:val="TableText0"/>
    <w:qFormat/>
    <w:rsid w:val="00BD6FC5"/>
    <w:pPr>
      <w:numPr>
        <w:numId w:val="8"/>
      </w:numPr>
      <w:spacing w:before="20" w:after="20" w:line="276" w:lineRule="auto"/>
      <w:ind w:left="284" w:hanging="284"/>
    </w:pPr>
    <w:rPr>
      <w:rFonts w:eastAsiaTheme="majorEastAsia"/>
      <w:lang w:bidi="en-US"/>
    </w:rPr>
  </w:style>
  <w:style w:type="paragraph" w:customStyle="1" w:styleId="Sources">
    <w:name w:val="Sources"/>
    <w:basedOn w:val="Normal"/>
    <w:link w:val="SourcesChar"/>
    <w:qFormat/>
    <w:rsid w:val="005A0EF4"/>
    <w:pPr>
      <w:spacing w:before="120" w:after="120"/>
    </w:pPr>
    <w:rPr>
      <w:rFonts w:ascii="Arial" w:eastAsiaTheme="minorHAnsi" w:hAnsi="Arial" w:cstheme="minorBidi"/>
      <w:sz w:val="16"/>
      <w:szCs w:val="22"/>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NICE Caption Char"/>
    <w:link w:val="Caption"/>
    <w:locked/>
    <w:rsid w:val="005A0EF4"/>
    <w:rPr>
      <w:rFonts w:ascii="Calibri" w:hAnsi="Calibri"/>
      <w:i/>
      <w:iCs/>
      <w:color w:val="000000" w:themeColor="text1"/>
      <w:sz w:val="18"/>
      <w:szCs w:val="18"/>
    </w:rPr>
  </w:style>
  <w:style w:type="character" w:customStyle="1" w:styleId="SourcesChar">
    <w:name w:val="Sources Char"/>
    <w:basedOn w:val="DefaultParagraphFont"/>
    <w:link w:val="Sources"/>
    <w:rsid w:val="005A0EF4"/>
    <w:rPr>
      <w:rFonts w:ascii="Arial" w:eastAsiaTheme="minorHAnsi" w:hAnsi="Arial" w:cstheme="minorBidi"/>
      <w:sz w:val="16"/>
      <w:szCs w:val="22"/>
      <w:lang w:eastAsia="en-US"/>
    </w:rPr>
  </w:style>
  <w:style w:type="table" w:customStyle="1" w:styleId="AZTable2">
    <w:name w:val="AZ Table2"/>
    <w:basedOn w:val="TableNormal"/>
    <w:uiPriority w:val="99"/>
    <w:rsid w:val="005A0E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SyneviNormal">
    <w:name w:val="Synevi Normal"/>
    <w:basedOn w:val="Normal"/>
    <w:link w:val="SyneviNormalChar"/>
    <w:qFormat/>
    <w:rsid w:val="005A0EF4"/>
    <w:pPr>
      <w:spacing w:line="360" w:lineRule="auto"/>
    </w:pPr>
    <w:rPr>
      <w:rFonts w:asciiTheme="minorHAnsi" w:hAnsiTheme="minorHAnsi"/>
      <w:sz w:val="22"/>
      <w:szCs w:val="20"/>
      <w:lang w:val="en-US" w:eastAsia="en-US"/>
    </w:rPr>
  </w:style>
  <w:style w:type="character" w:customStyle="1" w:styleId="SyneviNormalChar">
    <w:name w:val="Synevi Normal Char"/>
    <w:basedOn w:val="DefaultParagraphFont"/>
    <w:link w:val="SyneviNormal"/>
    <w:rsid w:val="005A0EF4"/>
    <w:rPr>
      <w:rFonts w:asciiTheme="minorHAnsi" w:hAnsiTheme="minorHAnsi"/>
      <w:sz w:val="22"/>
      <w:lang w:val="en-US" w:eastAsia="en-US"/>
    </w:rPr>
  </w:style>
  <w:style w:type="paragraph" w:customStyle="1" w:styleId="EndNoteBibliographyTitle">
    <w:name w:val="EndNote Bibliography Title"/>
    <w:basedOn w:val="Normal"/>
    <w:link w:val="EndNoteBibliographyTitleChar"/>
    <w:rsid w:val="003969D3"/>
    <w:pPr>
      <w:spacing w:line="360" w:lineRule="auto"/>
      <w:jc w:val="center"/>
    </w:pPr>
    <w:rPr>
      <w:rFonts w:ascii="Arial" w:eastAsiaTheme="majorEastAsia" w:hAnsi="Arial" w:cs="Arial"/>
      <w:noProof/>
      <w:sz w:val="22"/>
      <w:szCs w:val="22"/>
      <w:lang w:val="en-US" w:eastAsia="en-US" w:bidi="en-US"/>
    </w:rPr>
  </w:style>
  <w:style w:type="character" w:customStyle="1" w:styleId="EndNoteBibliographyTitleChar">
    <w:name w:val="EndNote Bibliography Title Char"/>
    <w:basedOn w:val="TableTextChar0"/>
    <w:link w:val="EndNoteBibliographyTitle"/>
    <w:rsid w:val="003969D3"/>
    <w:rPr>
      <w:rFonts w:ascii="Arial" w:eastAsiaTheme="majorEastAsia" w:hAnsi="Arial" w:cs="Arial"/>
      <w:noProof/>
      <w:sz w:val="22"/>
      <w:szCs w:val="22"/>
      <w:lang w:val="en-US" w:eastAsia="en-US" w:bidi="en-US"/>
    </w:rPr>
  </w:style>
  <w:style w:type="table" w:customStyle="1" w:styleId="AZTable7">
    <w:name w:val="AZ Table7"/>
    <w:basedOn w:val="TableNormal"/>
    <w:uiPriority w:val="99"/>
    <w:rsid w:val="003F74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Default">
    <w:name w:val="Default"/>
    <w:rsid w:val="00C03024"/>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ED568A"/>
    <w:rPr>
      <w:sz w:val="20"/>
      <w:szCs w:val="20"/>
    </w:rPr>
  </w:style>
  <w:style w:type="character" w:customStyle="1" w:styleId="FootnoteTextChar">
    <w:name w:val="Footnote Text Char"/>
    <w:basedOn w:val="DefaultParagraphFont"/>
    <w:link w:val="FootnoteText"/>
    <w:semiHidden/>
    <w:rsid w:val="00ED568A"/>
  </w:style>
  <w:style w:type="character" w:styleId="FootnoteReference">
    <w:name w:val="footnote reference"/>
    <w:basedOn w:val="DefaultParagraphFont"/>
    <w:semiHidden/>
    <w:unhideWhenUsed/>
    <w:rsid w:val="00ED568A"/>
    <w:rPr>
      <w:vertAlign w:val="superscript"/>
    </w:rPr>
  </w:style>
  <w:style w:type="paragraph" w:customStyle="1" w:styleId="Tablename">
    <w:name w:val="Table name"/>
    <w:basedOn w:val="Caption"/>
    <w:link w:val="TablenameChar"/>
    <w:qFormat/>
    <w:rsid w:val="0023657F"/>
    <w:pPr>
      <w:keepNext/>
      <w:widowControl w:val="0"/>
      <w:spacing w:after="0"/>
      <w:jc w:val="both"/>
    </w:pPr>
    <w:rPr>
      <w:rFonts w:ascii="Arial Narrow" w:hAnsi="Arial Narrow" w:cs="Arial"/>
      <w:b/>
      <w:bCs/>
      <w:i w:val="0"/>
      <w:iCs w:val="0"/>
      <w:snapToGrid w:val="0"/>
      <w:color w:val="auto"/>
      <w:sz w:val="20"/>
      <w:lang w:eastAsia="en-US"/>
    </w:rPr>
  </w:style>
  <w:style w:type="character" w:customStyle="1" w:styleId="TablenameChar">
    <w:name w:val="Table name Char"/>
    <w:basedOn w:val="DefaultParagraphFont"/>
    <w:link w:val="Tablename"/>
    <w:rsid w:val="0023657F"/>
    <w:rPr>
      <w:rFonts w:ascii="Arial Narrow" w:hAnsi="Arial Narrow" w:cs="Arial"/>
      <w:b/>
      <w:bCs/>
      <w:snapToGrid w:val="0"/>
      <w:szCs w:val="18"/>
      <w:lang w:eastAsia="en-US"/>
    </w:rPr>
  </w:style>
  <w:style w:type="paragraph" w:styleId="Revision">
    <w:name w:val="Revision"/>
    <w:hidden/>
    <w:uiPriority w:val="71"/>
    <w:semiHidden/>
    <w:rsid w:val="00FD3B02"/>
    <w:rPr>
      <w:sz w:val="24"/>
      <w:szCs w:val="24"/>
    </w:rPr>
  </w:style>
  <w:style w:type="paragraph" w:customStyle="1" w:styleId="PBACheading10">
    <w:name w:val="PBAC heading 1"/>
    <w:qFormat/>
    <w:rsid w:val="00DC0B2E"/>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908540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2640283">
      <w:bodyDiv w:val="1"/>
      <w:marLeft w:val="0"/>
      <w:marRight w:val="0"/>
      <w:marTop w:val="0"/>
      <w:marBottom w:val="0"/>
      <w:divBdr>
        <w:top w:val="none" w:sz="0" w:space="0" w:color="auto"/>
        <w:left w:val="none" w:sz="0" w:space="0" w:color="auto"/>
        <w:bottom w:val="none" w:sz="0" w:space="0" w:color="auto"/>
        <w:right w:val="none" w:sz="0" w:space="0" w:color="auto"/>
      </w:divBdr>
    </w:div>
    <w:div w:id="963925185">
      <w:bodyDiv w:val="1"/>
      <w:marLeft w:val="0"/>
      <w:marRight w:val="0"/>
      <w:marTop w:val="0"/>
      <w:marBottom w:val="0"/>
      <w:divBdr>
        <w:top w:val="none" w:sz="0" w:space="0" w:color="auto"/>
        <w:left w:val="none" w:sz="0" w:space="0" w:color="auto"/>
        <w:bottom w:val="none" w:sz="0" w:space="0" w:color="auto"/>
        <w:right w:val="none" w:sz="0" w:space="0" w:color="auto"/>
      </w:divBdr>
    </w:div>
    <w:div w:id="1339425721">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8">
          <w:marLeft w:val="0"/>
          <w:marRight w:val="0"/>
          <w:marTop w:val="0"/>
          <w:marBottom w:val="0"/>
          <w:divBdr>
            <w:top w:val="none" w:sz="0" w:space="0" w:color="auto"/>
            <w:left w:val="none" w:sz="0" w:space="0" w:color="auto"/>
            <w:bottom w:val="none" w:sz="0" w:space="0" w:color="auto"/>
            <w:right w:val="none" w:sz="0" w:space="0" w:color="auto"/>
          </w:divBdr>
          <w:divsChild>
            <w:div w:id="1920628109">
              <w:marLeft w:val="0"/>
              <w:marRight w:val="0"/>
              <w:marTop w:val="0"/>
              <w:marBottom w:val="0"/>
              <w:divBdr>
                <w:top w:val="none" w:sz="0" w:space="0" w:color="auto"/>
                <w:left w:val="none" w:sz="0" w:space="0" w:color="auto"/>
                <w:bottom w:val="none" w:sz="0" w:space="0" w:color="auto"/>
                <w:right w:val="none" w:sz="0" w:space="0" w:color="auto"/>
              </w:divBdr>
              <w:divsChild>
                <w:div w:id="1176185445">
                  <w:marLeft w:val="0"/>
                  <w:marRight w:val="0"/>
                  <w:marTop w:val="0"/>
                  <w:marBottom w:val="0"/>
                  <w:divBdr>
                    <w:top w:val="none" w:sz="0" w:space="0" w:color="auto"/>
                    <w:left w:val="none" w:sz="0" w:space="0" w:color="auto"/>
                    <w:bottom w:val="none" w:sz="0" w:space="0" w:color="auto"/>
                    <w:right w:val="none" w:sz="0" w:space="0" w:color="auto"/>
                  </w:divBdr>
                  <w:divsChild>
                    <w:div w:id="1384713729">
                      <w:marLeft w:val="0"/>
                      <w:marRight w:val="0"/>
                      <w:marTop w:val="0"/>
                      <w:marBottom w:val="240"/>
                      <w:divBdr>
                        <w:top w:val="single" w:sz="6" w:space="0" w:color="DDDDDD"/>
                        <w:left w:val="none" w:sz="0" w:space="0" w:color="auto"/>
                        <w:bottom w:val="none" w:sz="0" w:space="0" w:color="auto"/>
                        <w:right w:val="none" w:sz="0" w:space="0" w:color="auto"/>
                      </w:divBdr>
                      <w:divsChild>
                        <w:div w:id="1916237100">
                          <w:marLeft w:val="0"/>
                          <w:marRight w:val="0"/>
                          <w:marTop w:val="0"/>
                          <w:marBottom w:val="0"/>
                          <w:divBdr>
                            <w:top w:val="none" w:sz="0" w:space="0" w:color="auto"/>
                            <w:left w:val="none" w:sz="0" w:space="0" w:color="auto"/>
                            <w:bottom w:val="none" w:sz="0" w:space="0" w:color="auto"/>
                            <w:right w:val="none" w:sz="0" w:space="0" w:color="auto"/>
                          </w:divBdr>
                          <w:divsChild>
                            <w:div w:id="160245375">
                              <w:marLeft w:val="0"/>
                              <w:marRight w:val="0"/>
                              <w:marTop w:val="0"/>
                              <w:marBottom w:val="0"/>
                              <w:divBdr>
                                <w:top w:val="none" w:sz="0" w:space="0" w:color="auto"/>
                                <w:left w:val="none" w:sz="0" w:space="0" w:color="auto"/>
                                <w:bottom w:val="none" w:sz="0" w:space="0" w:color="auto"/>
                                <w:right w:val="none" w:sz="0" w:space="0" w:color="auto"/>
                              </w:divBdr>
                              <w:divsChild>
                                <w:div w:id="499390155">
                                  <w:marLeft w:val="0"/>
                                  <w:marRight w:val="0"/>
                                  <w:marTop w:val="0"/>
                                  <w:marBottom w:val="240"/>
                                  <w:divBdr>
                                    <w:top w:val="single" w:sz="6" w:space="0" w:color="DDDDDD"/>
                                    <w:left w:val="none" w:sz="0" w:space="0" w:color="auto"/>
                                    <w:bottom w:val="none" w:sz="0" w:space="0" w:color="auto"/>
                                    <w:right w:val="none" w:sz="0" w:space="0" w:color="auto"/>
                                  </w:divBdr>
                                  <w:divsChild>
                                    <w:div w:id="1464929315">
                                      <w:marLeft w:val="0"/>
                                      <w:marRight w:val="0"/>
                                      <w:marTop w:val="0"/>
                                      <w:marBottom w:val="0"/>
                                      <w:divBdr>
                                        <w:top w:val="none" w:sz="0" w:space="0" w:color="auto"/>
                                        <w:left w:val="none" w:sz="0" w:space="0" w:color="auto"/>
                                        <w:bottom w:val="none" w:sz="0" w:space="0" w:color="auto"/>
                                        <w:right w:val="none" w:sz="0" w:space="0" w:color="auto"/>
                                      </w:divBdr>
                                      <w:divsChild>
                                        <w:div w:id="16136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092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53F64-C241-42E4-AC6A-3C7B285A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6744</Words>
  <Characters>39581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2020-03-03T00:24:00Z</dcterms:created>
  <dcterms:modified xsi:type="dcterms:W3CDTF">2020-03-03T00:56:00Z</dcterms:modified>
</cp:coreProperties>
</file>