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7AF" w:rsidRPr="00E170B8" w:rsidRDefault="003D37AF" w:rsidP="002B388A">
      <w:pPr>
        <w:rPr>
          <w:rFonts w:ascii="Calibri" w:hAnsi="Calibri" w:cs="Arial"/>
          <w:b/>
        </w:rPr>
      </w:pPr>
    </w:p>
    <w:p w:rsidR="00BF27A0" w:rsidRPr="00E170B8" w:rsidRDefault="00620D3B" w:rsidP="00022C3A">
      <w:pPr>
        <w:pStyle w:val="1MainTitle"/>
        <w:rPr>
          <w:rFonts w:eastAsia="Calibri"/>
          <w:lang w:eastAsia="en-US"/>
        </w:rPr>
      </w:pPr>
      <w:r w:rsidRPr="00E170B8">
        <w:rPr>
          <w:rFonts w:eastAsia="Calibri"/>
          <w:lang w:eastAsia="en-US"/>
        </w:rPr>
        <w:t>6.</w:t>
      </w:r>
      <w:r w:rsidR="006F04BC" w:rsidRPr="00E170B8">
        <w:rPr>
          <w:rFonts w:eastAsia="Calibri"/>
          <w:lang w:eastAsia="en-US"/>
        </w:rPr>
        <w:t>1</w:t>
      </w:r>
      <w:r w:rsidRPr="00E170B8">
        <w:rPr>
          <w:rFonts w:eastAsia="Calibri"/>
          <w:lang w:eastAsia="en-US"/>
        </w:rPr>
        <w:t>0</w:t>
      </w:r>
      <w:r w:rsidR="00BF27A0" w:rsidRPr="00E170B8">
        <w:rPr>
          <w:rFonts w:eastAsia="Calibri"/>
          <w:lang w:eastAsia="en-US"/>
        </w:rPr>
        <w:tab/>
      </w:r>
      <w:r w:rsidR="008E0811" w:rsidRPr="00E170B8">
        <w:rPr>
          <w:rFonts w:eastAsia="Calibri"/>
          <w:lang w:eastAsia="en-US"/>
        </w:rPr>
        <w:t>DIMETHYL FUMARATE</w:t>
      </w:r>
    </w:p>
    <w:p w:rsidR="00BF27A0" w:rsidRPr="00E170B8" w:rsidRDefault="00BF27A0" w:rsidP="00022C3A">
      <w:pPr>
        <w:pStyle w:val="1MainTitle"/>
        <w:rPr>
          <w:rFonts w:eastAsia="Calibri"/>
          <w:lang w:eastAsia="en-US"/>
        </w:rPr>
      </w:pPr>
      <w:r w:rsidRPr="00E170B8">
        <w:rPr>
          <w:rFonts w:eastAsia="Calibri"/>
          <w:lang w:eastAsia="en-US"/>
        </w:rPr>
        <w:tab/>
      </w:r>
      <w:r w:rsidR="008E0811" w:rsidRPr="00E170B8">
        <w:rPr>
          <w:rFonts w:eastAsia="Calibri"/>
          <w:lang w:eastAsia="en-US"/>
        </w:rPr>
        <w:t>Capsules 120mg and 240mg</w:t>
      </w:r>
    </w:p>
    <w:p w:rsidR="006552E6" w:rsidRPr="00022C3A" w:rsidRDefault="00BF27A0" w:rsidP="00022C3A">
      <w:pPr>
        <w:pStyle w:val="1MainTitle"/>
        <w:rPr>
          <w:rFonts w:eastAsia="Calibri"/>
          <w:lang w:eastAsia="en-US"/>
        </w:rPr>
      </w:pPr>
      <w:r w:rsidRPr="00E170B8">
        <w:rPr>
          <w:rFonts w:eastAsia="Calibri"/>
          <w:lang w:eastAsia="en-US"/>
        </w:rPr>
        <w:tab/>
      </w:r>
      <w:proofErr w:type="spellStart"/>
      <w:r w:rsidR="008E0811" w:rsidRPr="00E170B8">
        <w:rPr>
          <w:rFonts w:eastAsia="Calibri"/>
          <w:lang w:eastAsia="en-US"/>
        </w:rPr>
        <w:t>Tecfidera</w:t>
      </w:r>
      <w:proofErr w:type="spellEnd"/>
      <w:r w:rsidR="008E0811" w:rsidRPr="00E170B8">
        <w:rPr>
          <w:rFonts w:eastAsia="Calibri"/>
          <w:lang w:eastAsia="en-US"/>
        </w:rPr>
        <w:t>®, Biogen Australia Pty Ltd</w:t>
      </w:r>
      <w:r w:rsidRPr="00E170B8">
        <w:rPr>
          <w:rFonts w:eastAsia="Calibri"/>
          <w:lang w:eastAsia="en-US"/>
        </w:rPr>
        <w:t xml:space="preserve"> </w:t>
      </w:r>
    </w:p>
    <w:p w:rsidR="008A50F1" w:rsidRPr="00E170B8" w:rsidRDefault="00CE10C4" w:rsidP="003C56E8">
      <w:pPr>
        <w:pStyle w:val="2Sections"/>
        <w:numPr>
          <w:ilvl w:val="0"/>
          <w:numId w:val="20"/>
        </w:numPr>
      </w:pPr>
      <w:r w:rsidRPr="00E170B8">
        <w:t xml:space="preserve">Purpose of </w:t>
      </w:r>
      <w:r w:rsidR="0004240E" w:rsidRPr="00E170B8">
        <w:t>Application</w:t>
      </w:r>
      <w:r w:rsidR="00034905" w:rsidRPr="00E170B8">
        <w:t xml:space="preserve"> </w:t>
      </w:r>
    </w:p>
    <w:p w:rsidR="006A12A5" w:rsidRPr="00E170B8" w:rsidRDefault="00EF44A0" w:rsidP="003C56E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E170B8">
        <w:rPr>
          <w:rFonts w:asciiTheme="minorHAnsi" w:eastAsiaTheme="minorHAnsi" w:hAnsiTheme="minorHAnsi" w:cstheme="minorBidi"/>
          <w:snapToGrid/>
          <w:sz w:val="24"/>
          <w:szCs w:val="22"/>
        </w:rPr>
        <w:t>The mi</w:t>
      </w:r>
      <w:r w:rsidR="00FF2801" w:rsidRPr="00E170B8">
        <w:rPr>
          <w:rFonts w:asciiTheme="minorHAnsi" w:eastAsiaTheme="minorHAnsi" w:hAnsiTheme="minorHAnsi" w:cstheme="minorBidi"/>
          <w:snapToGrid/>
          <w:sz w:val="24"/>
          <w:szCs w:val="22"/>
        </w:rPr>
        <w:t>nor submission requested</w:t>
      </w:r>
      <w:r w:rsidR="00EC52CE" w:rsidRPr="00E170B8">
        <w:rPr>
          <w:rFonts w:asciiTheme="minorHAnsi" w:eastAsiaTheme="minorHAnsi" w:hAnsiTheme="minorHAnsi" w:cstheme="minorBidi"/>
          <w:snapToGrid/>
          <w:sz w:val="24"/>
          <w:szCs w:val="22"/>
        </w:rPr>
        <w:t xml:space="preserve"> the current Authority </w:t>
      </w:r>
      <w:proofErr w:type="gramStart"/>
      <w:r w:rsidR="00EC52CE" w:rsidRPr="00E170B8">
        <w:rPr>
          <w:rFonts w:asciiTheme="minorHAnsi" w:eastAsiaTheme="minorHAnsi" w:hAnsiTheme="minorHAnsi" w:cstheme="minorBidi"/>
          <w:snapToGrid/>
          <w:sz w:val="24"/>
          <w:szCs w:val="22"/>
        </w:rPr>
        <w:t>Required</w:t>
      </w:r>
      <w:proofErr w:type="gramEnd"/>
      <w:r w:rsidR="00A913DF" w:rsidRPr="00E170B8">
        <w:rPr>
          <w:rFonts w:asciiTheme="minorHAnsi" w:eastAsiaTheme="minorHAnsi" w:hAnsiTheme="minorHAnsi" w:cstheme="minorBidi"/>
          <w:snapToGrid/>
          <w:sz w:val="24"/>
          <w:szCs w:val="22"/>
        </w:rPr>
        <w:t xml:space="preserve"> (telephone)</w:t>
      </w:r>
      <w:r w:rsidR="00EC52CE" w:rsidRPr="00E170B8">
        <w:rPr>
          <w:rFonts w:asciiTheme="minorHAnsi" w:eastAsiaTheme="minorHAnsi" w:hAnsiTheme="minorHAnsi" w:cstheme="minorBidi"/>
          <w:snapToGrid/>
          <w:sz w:val="24"/>
          <w:szCs w:val="22"/>
        </w:rPr>
        <w:t xml:space="preserve"> listing of dimethyl fumarate capsules be amended to an Authority Required (STREAMLINED) listing. </w:t>
      </w:r>
    </w:p>
    <w:p w:rsidR="006A12A5" w:rsidRPr="00E170B8" w:rsidRDefault="006A12A5" w:rsidP="0033263D">
      <w:pPr>
        <w:pStyle w:val="2Sections"/>
      </w:pPr>
      <w:r w:rsidRPr="00E170B8">
        <w:t>Requested listing</w:t>
      </w:r>
    </w:p>
    <w:p w:rsidR="001C0242" w:rsidRPr="00E170B8" w:rsidRDefault="00EF44A0" w:rsidP="00A23EDB">
      <w:pPr>
        <w:pStyle w:val="3Bodytext"/>
        <w:jc w:val="both"/>
      </w:pPr>
      <w:r w:rsidRPr="00E170B8">
        <w:t xml:space="preserve">The submission </w:t>
      </w:r>
      <w:r w:rsidR="00FF2801" w:rsidRPr="00E170B8">
        <w:t>requested</w:t>
      </w:r>
      <w:r w:rsidR="00BD677B" w:rsidRPr="00E170B8">
        <w:t xml:space="preserve"> a change of restriction level for the existing listings. No other changes were requested.</w:t>
      </w:r>
    </w:p>
    <w:tbl>
      <w:tblPr>
        <w:tblW w:w="5000" w:type="pct"/>
        <w:tblLayout w:type="fixed"/>
        <w:tblLook w:val="0000" w:firstRow="0" w:lastRow="0" w:firstColumn="0" w:lastColumn="0" w:noHBand="0" w:noVBand="0"/>
      </w:tblPr>
      <w:tblGrid>
        <w:gridCol w:w="2835"/>
        <w:gridCol w:w="709"/>
        <w:gridCol w:w="1276"/>
        <w:gridCol w:w="1152"/>
        <w:gridCol w:w="1112"/>
        <w:gridCol w:w="1942"/>
      </w:tblGrid>
      <w:tr w:rsidR="009324A6" w:rsidRPr="00E170B8" w:rsidTr="005256D6">
        <w:trPr>
          <w:cantSplit/>
          <w:trHeight w:val="471"/>
        </w:trPr>
        <w:tc>
          <w:tcPr>
            <w:tcW w:w="2835" w:type="dxa"/>
            <w:tcBorders>
              <w:bottom w:val="single" w:sz="4" w:space="0" w:color="auto"/>
            </w:tcBorders>
          </w:tcPr>
          <w:p w:rsidR="009324A6" w:rsidRPr="00E170B8" w:rsidRDefault="009324A6" w:rsidP="003476EE">
            <w:pPr>
              <w:keepNext/>
              <w:ind w:left="-108"/>
              <w:jc w:val="both"/>
              <w:rPr>
                <w:rFonts w:ascii="Arial Narrow" w:hAnsi="Arial Narrow" w:cs="Arial"/>
                <w:sz w:val="20"/>
                <w:szCs w:val="20"/>
              </w:rPr>
            </w:pPr>
            <w:r w:rsidRPr="00E170B8">
              <w:rPr>
                <w:rFonts w:ascii="Arial Narrow" w:hAnsi="Arial Narrow" w:cs="Arial"/>
                <w:sz w:val="20"/>
                <w:szCs w:val="20"/>
              </w:rPr>
              <w:t>Name, Restriction,</w:t>
            </w:r>
          </w:p>
          <w:p w:rsidR="009324A6" w:rsidRPr="00E170B8" w:rsidRDefault="009324A6" w:rsidP="003476EE">
            <w:pPr>
              <w:keepNext/>
              <w:ind w:left="-108"/>
              <w:jc w:val="both"/>
              <w:rPr>
                <w:rFonts w:ascii="Arial Narrow" w:hAnsi="Arial Narrow" w:cs="Arial"/>
                <w:sz w:val="20"/>
                <w:szCs w:val="20"/>
              </w:rPr>
            </w:pPr>
            <w:r w:rsidRPr="00E170B8">
              <w:rPr>
                <w:rFonts w:ascii="Arial Narrow" w:hAnsi="Arial Narrow" w:cs="Arial"/>
                <w:sz w:val="20"/>
                <w:szCs w:val="20"/>
              </w:rPr>
              <w:t>Manner of administration and form</w:t>
            </w:r>
          </w:p>
        </w:tc>
        <w:tc>
          <w:tcPr>
            <w:tcW w:w="709" w:type="dxa"/>
            <w:tcBorders>
              <w:bottom w:val="single" w:sz="4" w:space="0" w:color="auto"/>
            </w:tcBorders>
          </w:tcPr>
          <w:p w:rsidR="009324A6" w:rsidRPr="00E170B8" w:rsidRDefault="009324A6" w:rsidP="003476EE">
            <w:pPr>
              <w:keepNext/>
              <w:ind w:left="-108"/>
              <w:jc w:val="both"/>
              <w:rPr>
                <w:rFonts w:ascii="Arial Narrow" w:hAnsi="Arial Narrow" w:cs="Arial"/>
                <w:sz w:val="20"/>
                <w:szCs w:val="20"/>
              </w:rPr>
            </w:pPr>
            <w:r w:rsidRPr="00E170B8">
              <w:rPr>
                <w:rFonts w:ascii="Arial Narrow" w:hAnsi="Arial Narrow" w:cs="Arial"/>
                <w:sz w:val="20"/>
                <w:szCs w:val="20"/>
              </w:rPr>
              <w:t>Max.</w:t>
            </w:r>
          </w:p>
          <w:p w:rsidR="009324A6" w:rsidRPr="00E170B8" w:rsidRDefault="009324A6" w:rsidP="003476EE">
            <w:pPr>
              <w:keepNext/>
              <w:ind w:left="-108"/>
              <w:jc w:val="both"/>
              <w:rPr>
                <w:rFonts w:ascii="Arial Narrow" w:hAnsi="Arial Narrow" w:cs="Arial"/>
                <w:sz w:val="20"/>
                <w:szCs w:val="20"/>
              </w:rPr>
            </w:pPr>
            <w:proofErr w:type="spellStart"/>
            <w:r w:rsidRPr="00E170B8">
              <w:rPr>
                <w:rFonts w:ascii="Arial Narrow" w:hAnsi="Arial Narrow" w:cs="Arial"/>
                <w:sz w:val="20"/>
                <w:szCs w:val="20"/>
              </w:rPr>
              <w:t>Qty</w:t>
            </w:r>
            <w:proofErr w:type="spellEnd"/>
            <w:r w:rsidR="004916BD">
              <w:rPr>
                <w:rFonts w:ascii="Arial Narrow" w:hAnsi="Arial Narrow" w:cs="Arial"/>
                <w:sz w:val="20"/>
                <w:szCs w:val="20"/>
              </w:rPr>
              <w:t xml:space="preserve"> (units)</w:t>
            </w:r>
          </w:p>
        </w:tc>
        <w:tc>
          <w:tcPr>
            <w:tcW w:w="1276" w:type="dxa"/>
            <w:tcBorders>
              <w:bottom w:val="single" w:sz="4" w:space="0" w:color="auto"/>
            </w:tcBorders>
          </w:tcPr>
          <w:p w:rsidR="009324A6" w:rsidRPr="00E170B8" w:rsidRDefault="009324A6" w:rsidP="003476EE">
            <w:pPr>
              <w:keepNext/>
              <w:ind w:left="-108"/>
              <w:jc w:val="both"/>
              <w:rPr>
                <w:rFonts w:ascii="Arial Narrow" w:hAnsi="Arial Narrow" w:cs="Arial"/>
                <w:sz w:val="20"/>
                <w:szCs w:val="20"/>
              </w:rPr>
            </w:pPr>
            <w:r w:rsidRPr="00E170B8">
              <w:rPr>
                <w:rFonts w:ascii="Arial Narrow" w:hAnsi="Arial Narrow" w:cs="Arial"/>
                <w:sz w:val="20"/>
                <w:szCs w:val="20"/>
              </w:rPr>
              <w:t>№.of</w:t>
            </w:r>
          </w:p>
          <w:p w:rsidR="009324A6" w:rsidRPr="00E170B8" w:rsidRDefault="009324A6" w:rsidP="003476EE">
            <w:pPr>
              <w:keepNext/>
              <w:ind w:left="-108"/>
              <w:jc w:val="both"/>
              <w:rPr>
                <w:rFonts w:ascii="Arial Narrow" w:hAnsi="Arial Narrow" w:cs="Arial"/>
                <w:sz w:val="20"/>
                <w:szCs w:val="20"/>
              </w:rPr>
            </w:pPr>
            <w:proofErr w:type="spellStart"/>
            <w:r w:rsidRPr="00E170B8">
              <w:rPr>
                <w:rFonts w:ascii="Arial Narrow" w:hAnsi="Arial Narrow" w:cs="Arial"/>
                <w:sz w:val="20"/>
                <w:szCs w:val="20"/>
              </w:rPr>
              <w:t>Rpts</w:t>
            </w:r>
            <w:proofErr w:type="spellEnd"/>
          </w:p>
        </w:tc>
        <w:tc>
          <w:tcPr>
            <w:tcW w:w="1152" w:type="dxa"/>
            <w:tcBorders>
              <w:bottom w:val="single" w:sz="4" w:space="0" w:color="auto"/>
            </w:tcBorders>
          </w:tcPr>
          <w:p w:rsidR="009324A6" w:rsidRPr="00E170B8" w:rsidRDefault="009324A6" w:rsidP="003476EE">
            <w:pPr>
              <w:keepNext/>
              <w:ind w:left="-108"/>
              <w:jc w:val="both"/>
              <w:rPr>
                <w:rFonts w:ascii="Arial Narrow" w:hAnsi="Arial Narrow" w:cs="Arial"/>
                <w:sz w:val="20"/>
                <w:szCs w:val="20"/>
              </w:rPr>
            </w:pPr>
            <w:r w:rsidRPr="00E170B8">
              <w:rPr>
                <w:rFonts w:ascii="Arial Narrow" w:hAnsi="Arial Narrow" w:cs="Arial"/>
                <w:sz w:val="20"/>
                <w:szCs w:val="20"/>
              </w:rPr>
              <w:t xml:space="preserve">Dispensed Price for Max. </w:t>
            </w:r>
            <w:proofErr w:type="spellStart"/>
            <w:r w:rsidRPr="00E170B8">
              <w:rPr>
                <w:rFonts w:ascii="Arial Narrow" w:hAnsi="Arial Narrow" w:cs="Arial"/>
                <w:sz w:val="20"/>
                <w:szCs w:val="20"/>
              </w:rPr>
              <w:t>Qty</w:t>
            </w:r>
            <w:proofErr w:type="spellEnd"/>
          </w:p>
        </w:tc>
        <w:tc>
          <w:tcPr>
            <w:tcW w:w="3054" w:type="dxa"/>
            <w:gridSpan w:val="2"/>
            <w:tcBorders>
              <w:bottom w:val="single" w:sz="4" w:space="0" w:color="auto"/>
            </w:tcBorders>
          </w:tcPr>
          <w:p w:rsidR="009324A6" w:rsidRPr="00E170B8" w:rsidRDefault="009324A6" w:rsidP="003476EE">
            <w:pPr>
              <w:keepNext/>
              <w:jc w:val="both"/>
              <w:rPr>
                <w:rFonts w:ascii="Arial Narrow" w:hAnsi="Arial Narrow" w:cs="Arial"/>
                <w:sz w:val="20"/>
                <w:szCs w:val="20"/>
              </w:rPr>
            </w:pPr>
            <w:r w:rsidRPr="00E170B8">
              <w:rPr>
                <w:rFonts w:ascii="Arial Narrow" w:hAnsi="Arial Narrow" w:cs="Arial"/>
                <w:sz w:val="20"/>
                <w:szCs w:val="20"/>
              </w:rPr>
              <w:t>Proprietary Name and Manufacturer</w:t>
            </w:r>
          </w:p>
        </w:tc>
      </w:tr>
      <w:tr w:rsidR="009324A6" w:rsidRPr="00E170B8" w:rsidTr="005256D6">
        <w:trPr>
          <w:cantSplit/>
          <w:trHeight w:val="577"/>
        </w:trPr>
        <w:tc>
          <w:tcPr>
            <w:tcW w:w="2835" w:type="dxa"/>
          </w:tcPr>
          <w:p w:rsidR="009324A6" w:rsidRPr="00E170B8" w:rsidRDefault="00BD677B" w:rsidP="003476EE">
            <w:pPr>
              <w:keepNext/>
              <w:ind w:left="-108"/>
              <w:jc w:val="both"/>
              <w:rPr>
                <w:rFonts w:ascii="Arial Narrow" w:hAnsi="Arial Narrow" w:cs="Arial"/>
                <w:sz w:val="20"/>
                <w:szCs w:val="20"/>
              </w:rPr>
            </w:pPr>
            <w:r w:rsidRPr="00E170B8">
              <w:rPr>
                <w:rFonts w:ascii="Arial Narrow" w:hAnsi="Arial Narrow" w:cs="Arial"/>
                <w:smallCaps/>
                <w:sz w:val="20"/>
                <w:szCs w:val="20"/>
              </w:rPr>
              <w:t>DIMETHYL FUMARATE</w:t>
            </w:r>
            <w:r w:rsidR="009324A6" w:rsidRPr="00E170B8">
              <w:rPr>
                <w:rFonts w:ascii="Arial Narrow" w:hAnsi="Arial Narrow" w:cs="Arial"/>
                <w:smallCaps/>
                <w:sz w:val="20"/>
                <w:szCs w:val="20"/>
              </w:rPr>
              <w:t xml:space="preserve"> </w:t>
            </w:r>
          </w:p>
          <w:p w:rsidR="00BD677B" w:rsidRPr="00E170B8" w:rsidRDefault="00BD677B" w:rsidP="00BD677B">
            <w:pPr>
              <w:keepNext/>
              <w:ind w:left="-108"/>
              <w:jc w:val="both"/>
              <w:rPr>
                <w:rFonts w:ascii="Arial Narrow" w:hAnsi="Arial Narrow" w:cs="Arial"/>
                <w:sz w:val="20"/>
                <w:szCs w:val="20"/>
              </w:rPr>
            </w:pPr>
            <w:r w:rsidRPr="00E170B8">
              <w:rPr>
                <w:rFonts w:ascii="Arial Narrow" w:hAnsi="Arial Narrow" w:cs="Arial"/>
                <w:sz w:val="20"/>
                <w:szCs w:val="20"/>
              </w:rPr>
              <w:t xml:space="preserve">Capsules, 120mg </w:t>
            </w:r>
          </w:p>
        </w:tc>
        <w:tc>
          <w:tcPr>
            <w:tcW w:w="709" w:type="dxa"/>
          </w:tcPr>
          <w:p w:rsidR="009324A6" w:rsidRPr="00E170B8" w:rsidRDefault="009324A6" w:rsidP="003476EE">
            <w:pPr>
              <w:keepNext/>
              <w:ind w:left="-108"/>
              <w:jc w:val="both"/>
              <w:rPr>
                <w:rFonts w:ascii="Arial Narrow" w:hAnsi="Arial Narrow" w:cs="Arial"/>
                <w:sz w:val="20"/>
                <w:szCs w:val="20"/>
              </w:rPr>
            </w:pPr>
          </w:p>
          <w:p w:rsidR="009324A6" w:rsidRPr="00E170B8" w:rsidRDefault="008B25DA" w:rsidP="00BD677B">
            <w:pPr>
              <w:keepNext/>
              <w:ind w:left="-108"/>
              <w:jc w:val="both"/>
              <w:rPr>
                <w:rFonts w:ascii="Arial Narrow" w:hAnsi="Arial Narrow" w:cs="Arial"/>
                <w:sz w:val="20"/>
                <w:szCs w:val="20"/>
              </w:rPr>
            </w:pPr>
            <w:r w:rsidRPr="00E170B8">
              <w:rPr>
                <w:rFonts w:ascii="Arial Narrow" w:hAnsi="Arial Narrow" w:cs="Arial"/>
                <w:sz w:val="20"/>
                <w:szCs w:val="20"/>
              </w:rPr>
              <w:t>28</w:t>
            </w:r>
          </w:p>
        </w:tc>
        <w:tc>
          <w:tcPr>
            <w:tcW w:w="1276" w:type="dxa"/>
          </w:tcPr>
          <w:p w:rsidR="009324A6" w:rsidRPr="00E170B8" w:rsidRDefault="009324A6" w:rsidP="005256D6">
            <w:pPr>
              <w:keepNext/>
              <w:ind w:left="-108"/>
              <w:rPr>
                <w:rFonts w:ascii="Arial Narrow" w:hAnsi="Arial Narrow" w:cs="Arial"/>
                <w:sz w:val="20"/>
                <w:szCs w:val="20"/>
              </w:rPr>
            </w:pPr>
          </w:p>
          <w:p w:rsidR="009324A6" w:rsidRPr="00E170B8" w:rsidRDefault="008B25DA" w:rsidP="005256D6">
            <w:pPr>
              <w:keepNext/>
              <w:ind w:left="-108"/>
              <w:rPr>
                <w:rFonts w:ascii="Arial Narrow" w:hAnsi="Arial Narrow" w:cs="Arial"/>
                <w:sz w:val="20"/>
                <w:szCs w:val="20"/>
              </w:rPr>
            </w:pPr>
            <w:r w:rsidRPr="00E170B8">
              <w:rPr>
                <w:rFonts w:ascii="Arial Narrow" w:hAnsi="Arial Narrow" w:cs="Arial"/>
                <w:sz w:val="20"/>
                <w:szCs w:val="20"/>
              </w:rPr>
              <w:t>0</w:t>
            </w:r>
            <w:r w:rsidR="004916BD">
              <w:rPr>
                <w:rFonts w:ascii="Arial Narrow" w:hAnsi="Arial Narrow" w:cs="Arial"/>
                <w:sz w:val="20"/>
                <w:szCs w:val="20"/>
              </w:rPr>
              <w:t xml:space="preserve"> (initial and continuing)</w:t>
            </w:r>
          </w:p>
        </w:tc>
        <w:tc>
          <w:tcPr>
            <w:tcW w:w="1152" w:type="dxa"/>
          </w:tcPr>
          <w:p w:rsidR="009324A6" w:rsidRPr="00E170B8" w:rsidRDefault="009324A6" w:rsidP="003476EE">
            <w:pPr>
              <w:keepNext/>
              <w:ind w:left="-108"/>
              <w:jc w:val="both"/>
              <w:rPr>
                <w:rFonts w:ascii="Arial Narrow" w:hAnsi="Arial Narrow" w:cs="Arial"/>
                <w:sz w:val="20"/>
                <w:szCs w:val="20"/>
              </w:rPr>
            </w:pPr>
          </w:p>
          <w:p w:rsidR="009324A6" w:rsidRPr="00E170B8" w:rsidRDefault="009324A6" w:rsidP="00B13623">
            <w:pPr>
              <w:keepNext/>
              <w:ind w:left="-108"/>
              <w:jc w:val="both"/>
              <w:rPr>
                <w:rFonts w:ascii="Arial Narrow" w:hAnsi="Arial Narrow" w:cs="Arial"/>
                <w:sz w:val="20"/>
                <w:szCs w:val="20"/>
              </w:rPr>
            </w:pPr>
            <w:r w:rsidRPr="00E170B8">
              <w:rPr>
                <w:rFonts w:ascii="Arial Narrow" w:hAnsi="Arial Narrow" w:cs="Arial"/>
                <w:sz w:val="20"/>
                <w:szCs w:val="20"/>
              </w:rPr>
              <w:t>$</w:t>
            </w:r>
            <w:r w:rsidR="00B13623" w:rsidRPr="00E170B8">
              <w:rPr>
                <w:rFonts w:ascii="Arial Narrow" w:hAnsi="Arial Narrow" w:cs="Arial"/>
                <w:sz w:val="20"/>
                <w:szCs w:val="20"/>
              </w:rPr>
              <w:t>638.87</w:t>
            </w:r>
          </w:p>
        </w:tc>
        <w:tc>
          <w:tcPr>
            <w:tcW w:w="1112" w:type="dxa"/>
          </w:tcPr>
          <w:p w:rsidR="00B13623" w:rsidRPr="00E170B8" w:rsidRDefault="00B13623" w:rsidP="003476EE">
            <w:pPr>
              <w:keepNext/>
              <w:jc w:val="both"/>
              <w:rPr>
                <w:rFonts w:ascii="Arial Narrow" w:hAnsi="Arial Narrow" w:cs="Arial"/>
                <w:sz w:val="20"/>
                <w:szCs w:val="20"/>
              </w:rPr>
            </w:pPr>
          </w:p>
          <w:p w:rsidR="009324A6" w:rsidRPr="00E170B8" w:rsidRDefault="00B13623" w:rsidP="003476EE">
            <w:pPr>
              <w:keepNext/>
              <w:jc w:val="both"/>
              <w:rPr>
                <w:rFonts w:ascii="Arial Narrow" w:hAnsi="Arial Narrow" w:cs="Arial"/>
                <w:sz w:val="20"/>
                <w:szCs w:val="20"/>
              </w:rPr>
            </w:pPr>
            <w:proofErr w:type="spellStart"/>
            <w:r w:rsidRPr="00E170B8">
              <w:rPr>
                <w:rFonts w:ascii="Arial Narrow" w:hAnsi="Arial Narrow" w:cs="Arial"/>
                <w:sz w:val="20"/>
                <w:szCs w:val="20"/>
              </w:rPr>
              <w:t>Tecfidera</w:t>
            </w:r>
            <w:proofErr w:type="spellEnd"/>
          </w:p>
        </w:tc>
        <w:tc>
          <w:tcPr>
            <w:tcW w:w="1942" w:type="dxa"/>
          </w:tcPr>
          <w:p w:rsidR="00E95EFB" w:rsidRPr="00E170B8" w:rsidRDefault="00E95EFB" w:rsidP="00B13623">
            <w:pPr>
              <w:keepNext/>
              <w:jc w:val="both"/>
              <w:rPr>
                <w:rFonts w:ascii="Arial Narrow" w:hAnsi="Arial Narrow" w:cs="Arial"/>
                <w:sz w:val="20"/>
                <w:szCs w:val="20"/>
              </w:rPr>
            </w:pPr>
          </w:p>
          <w:p w:rsidR="009324A6" w:rsidRPr="00E170B8" w:rsidRDefault="00B13623" w:rsidP="00B13623">
            <w:pPr>
              <w:keepNext/>
              <w:jc w:val="both"/>
              <w:rPr>
                <w:rFonts w:ascii="Arial Narrow" w:hAnsi="Arial Narrow" w:cs="Arial"/>
                <w:sz w:val="20"/>
                <w:szCs w:val="20"/>
              </w:rPr>
            </w:pPr>
            <w:r w:rsidRPr="00E170B8">
              <w:rPr>
                <w:rFonts w:ascii="Arial Narrow" w:hAnsi="Arial Narrow" w:cs="Arial"/>
                <w:sz w:val="20"/>
                <w:szCs w:val="20"/>
              </w:rPr>
              <w:t>Biogen Australia Pty Ltd</w:t>
            </w:r>
          </w:p>
        </w:tc>
      </w:tr>
      <w:tr w:rsidR="004916BD" w:rsidRPr="00E170B8" w:rsidTr="005256D6">
        <w:trPr>
          <w:cantSplit/>
          <w:trHeight w:val="577"/>
        </w:trPr>
        <w:tc>
          <w:tcPr>
            <w:tcW w:w="2835" w:type="dxa"/>
          </w:tcPr>
          <w:p w:rsidR="004916BD" w:rsidRPr="00E170B8" w:rsidRDefault="004916BD" w:rsidP="004916BD">
            <w:pPr>
              <w:keepNext/>
              <w:ind w:left="-108"/>
              <w:jc w:val="both"/>
              <w:rPr>
                <w:rFonts w:ascii="Arial Narrow" w:hAnsi="Arial Narrow" w:cs="Arial"/>
                <w:sz w:val="20"/>
                <w:szCs w:val="20"/>
              </w:rPr>
            </w:pPr>
            <w:r w:rsidRPr="00E170B8">
              <w:rPr>
                <w:rFonts w:ascii="Arial Narrow" w:hAnsi="Arial Narrow" w:cs="Arial"/>
                <w:smallCaps/>
                <w:sz w:val="20"/>
                <w:szCs w:val="20"/>
              </w:rPr>
              <w:t xml:space="preserve">DIMETHYL FUMARATE </w:t>
            </w:r>
          </w:p>
          <w:p w:rsidR="004916BD" w:rsidRPr="00E170B8" w:rsidRDefault="004916BD" w:rsidP="004916BD">
            <w:pPr>
              <w:keepNext/>
              <w:ind w:left="-108"/>
              <w:jc w:val="both"/>
              <w:rPr>
                <w:rFonts w:ascii="Arial Narrow" w:hAnsi="Arial Narrow" w:cs="Arial"/>
                <w:sz w:val="20"/>
                <w:szCs w:val="20"/>
              </w:rPr>
            </w:pPr>
            <w:r w:rsidRPr="00E170B8">
              <w:rPr>
                <w:rFonts w:ascii="Arial Narrow" w:hAnsi="Arial Narrow" w:cs="Arial"/>
                <w:sz w:val="20"/>
                <w:szCs w:val="20"/>
              </w:rPr>
              <w:t>Capsules, 240mg</w:t>
            </w:r>
          </w:p>
        </w:tc>
        <w:tc>
          <w:tcPr>
            <w:tcW w:w="709" w:type="dxa"/>
          </w:tcPr>
          <w:p w:rsidR="004916BD" w:rsidRDefault="004916BD" w:rsidP="004916BD">
            <w:pPr>
              <w:keepNext/>
              <w:ind w:left="-108"/>
              <w:jc w:val="both"/>
              <w:rPr>
                <w:rFonts w:ascii="Arial Narrow" w:hAnsi="Arial Narrow" w:cs="Arial"/>
                <w:sz w:val="20"/>
                <w:szCs w:val="20"/>
              </w:rPr>
            </w:pPr>
          </w:p>
          <w:p w:rsidR="004916BD" w:rsidRPr="00E170B8" w:rsidRDefault="004916BD" w:rsidP="004916BD">
            <w:pPr>
              <w:keepNext/>
              <w:ind w:left="-108"/>
              <w:jc w:val="both"/>
              <w:rPr>
                <w:rFonts w:ascii="Arial Narrow" w:hAnsi="Arial Narrow" w:cs="Arial"/>
                <w:sz w:val="20"/>
                <w:szCs w:val="20"/>
              </w:rPr>
            </w:pPr>
            <w:r w:rsidRPr="00E170B8">
              <w:rPr>
                <w:rFonts w:ascii="Arial Narrow" w:hAnsi="Arial Narrow" w:cs="Arial"/>
                <w:sz w:val="20"/>
                <w:szCs w:val="20"/>
              </w:rPr>
              <w:t>56</w:t>
            </w:r>
          </w:p>
        </w:tc>
        <w:tc>
          <w:tcPr>
            <w:tcW w:w="1276" w:type="dxa"/>
          </w:tcPr>
          <w:p w:rsidR="004916BD" w:rsidRDefault="004916BD" w:rsidP="005256D6">
            <w:pPr>
              <w:keepNext/>
              <w:ind w:left="-108"/>
              <w:rPr>
                <w:rFonts w:ascii="Arial Narrow" w:hAnsi="Arial Narrow" w:cs="Arial"/>
                <w:sz w:val="20"/>
                <w:szCs w:val="20"/>
              </w:rPr>
            </w:pPr>
          </w:p>
          <w:p w:rsidR="004916BD" w:rsidRPr="00E170B8" w:rsidRDefault="004916BD" w:rsidP="005256D6">
            <w:pPr>
              <w:keepNext/>
              <w:ind w:left="-108"/>
              <w:rPr>
                <w:rFonts w:ascii="Arial Narrow" w:hAnsi="Arial Narrow" w:cs="Arial"/>
                <w:sz w:val="20"/>
                <w:szCs w:val="20"/>
              </w:rPr>
            </w:pPr>
            <w:r w:rsidRPr="00E170B8">
              <w:rPr>
                <w:rFonts w:ascii="Arial Narrow" w:hAnsi="Arial Narrow" w:cs="Arial"/>
                <w:sz w:val="20"/>
                <w:szCs w:val="20"/>
              </w:rPr>
              <w:t>5</w:t>
            </w:r>
            <w:r>
              <w:rPr>
                <w:rFonts w:ascii="Arial Narrow" w:hAnsi="Arial Narrow" w:cs="Arial"/>
                <w:sz w:val="20"/>
                <w:szCs w:val="20"/>
              </w:rPr>
              <w:t xml:space="preserve"> (continuing)</w:t>
            </w:r>
          </w:p>
        </w:tc>
        <w:tc>
          <w:tcPr>
            <w:tcW w:w="1152" w:type="dxa"/>
          </w:tcPr>
          <w:p w:rsidR="004916BD" w:rsidRDefault="004916BD" w:rsidP="004916BD">
            <w:pPr>
              <w:keepNext/>
              <w:ind w:left="-108"/>
              <w:jc w:val="both"/>
              <w:rPr>
                <w:rFonts w:ascii="Arial Narrow" w:hAnsi="Arial Narrow" w:cs="Arial"/>
                <w:sz w:val="20"/>
                <w:szCs w:val="20"/>
              </w:rPr>
            </w:pPr>
          </w:p>
          <w:p w:rsidR="004916BD" w:rsidRPr="00E170B8" w:rsidRDefault="004916BD" w:rsidP="004916BD">
            <w:pPr>
              <w:keepNext/>
              <w:ind w:left="-108"/>
              <w:jc w:val="both"/>
              <w:rPr>
                <w:rFonts w:ascii="Arial Narrow" w:hAnsi="Arial Narrow" w:cs="Arial"/>
                <w:sz w:val="20"/>
                <w:szCs w:val="20"/>
              </w:rPr>
            </w:pPr>
            <w:r w:rsidRPr="00E170B8">
              <w:rPr>
                <w:rFonts w:ascii="Arial Narrow" w:hAnsi="Arial Narrow" w:cs="Arial"/>
                <w:sz w:val="20"/>
                <w:szCs w:val="20"/>
              </w:rPr>
              <w:t>$1287.90</w:t>
            </w:r>
          </w:p>
        </w:tc>
        <w:tc>
          <w:tcPr>
            <w:tcW w:w="1112" w:type="dxa"/>
          </w:tcPr>
          <w:p w:rsidR="004916BD" w:rsidRDefault="004916BD" w:rsidP="004916BD">
            <w:pPr>
              <w:keepNext/>
              <w:jc w:val="both"/>
              <w:rPr>
                <w:rFonts w:ascii="Arial Narrow" w:hAnsi="Arial Narrow" w:cs="Arial"/>
                <w:sz w:val="20"/>
                <w:szCs w:val="20"/>
              </w:rPr>
            </w:pPr>
          </w:p>
          <w:p w:rsidR="004916BD" w:rsidRPr="00E170B8" w:rsidRDefault="004916BD" w:rsidP="004916BD">
            <w:pPr>
              <w:keepNext/>
              <w:jc w:val="both"/>
              <w:rPr>
                <w:rFonts w:ascii="Arial Narrow" w:hAnsi="Arial Narrow" w:cs="Arial"/>
                <w:sz w:val="20"/>
                <w:szCs w:val="20"/>
              </w:rPr>
            </w:pPr>
            <w:proofErr w:type="spellStart"/>
            <w:r w:rsidRPr="00E170B8">
              <w:rPr>
                <w:rFonts w:ascii="Arial Narrow" w:hAnsi="Arial Narrow" w:cs="Arial"/>
                <w:sz w:val="20"/>
                <w:szCs w:val="20"/>
              </w:rPr>
              <w:t>Tecfidera</w:t>
            </w:r>
            <w:proofErr w:type="spellEnd"/>
          </w:p>
        </w:tc>
        <w:tc>
          <w:tcPr>
            <w:tcW w:w="1942" w:type="dxa"/>
          </w:tcPr>
          <w:p w:rsidR="004916BD" w:rsidRDefault="004916BD" w:rsidP="004916BD">
            <w:pPr>
              <w:keepNext/>
              <w:jc w:val="both"/>
              <w:rPr>
                <w:rFonts w:ascii="Arial Narrow" w:hAnsi="Arial Narrow" w:cs="Arial"/>
                <w:sz w:val="20"/>
                <w:szCs w:val="20"/>
              </w:rPr>
            </w:pPr>
          </w:p>
          <w:p w:rsidR="004916BD" w:rsidRPr="00E170B8" w:rsidRDefault="004916BD" w:rsidP="004916BD">
            <w:pPr>
              <w:keepNext/>
              <w:jc w:val="both"/>
              <w:rPr>
                <w:rFonts w:ascii="Arial Narrow" w:hAnsi="Arial Narrow" w:cs="Arial"/>
                <w:sz w:val="20"/>
                <w:szCs w:val="20"/>
              </w:rPr>
            </w:pPr>
          </w:p>
        </w:tc>
      </w:tr>
      <w:tr w:rsidR="00BD677B" w:rsidRPr="00E170B8" w:rsidTr="005256D6">
        <w:trPr>
          <w:cantSplit/>
          <w:trHeight w:val="360"/>
        </w:trPr>
        <w:tc>
          <w:tcPr>
            <w:tcW w:w="9026" w:type="dxa"/>
            <w:gridSpan w:val="6"/>
            <w:tcBorders>
              <w:bottom w:val="single" w:sz="4" w:space="0" w:color="auto"/>
            </w:tcBorders>
          </w:tcPr>
          <w:p w:rsidR="00BD677B" w:rsidRPr="00E170B8" w:rsidRDefault="004916BD" w:rsidP="00BD677B">
            <w:pPr>
              <w:jc w:val="both"/>
              <w:rPr>
                <w:rFonts w:ascii="Arial Narrow" w:hAnsi="Arial Narrow" w:cs="Arial"/>
                <w:sz w:val="20"/>
                <w:szCs w:val="20"/>
              </w:rPr>
            </w:pPr>
            <w:r w:rsidRPr="00930820">
              <w:rPr>
                <w:rFonts w:ascii="Arial Narrow" w:hAnsi="Arial Narrow" w:cs="Arial"/>
                <w:sz w:val="20"/>
                <w:szCs w:val="20"/>
              </w:rPr>
              <w:t>Authority Required (STREAMLINED)</w:t>
            </w:r>
          </w:p>
        </w:tc>
      </w:tr>
    </w:tbl>
    <w:p w:rsidR="00234252" w:rsidRPr="00E170B8" w:rsidRDefault="00234252" w:rsidP="009324A6">
      <w:pPr>
        <w:spacing w:after="120"/>
        <w:jc w:val="both"/>
        <w:rPr>
          <w:rFonts w:asciiTheme="minorHAnsi" w:eastAsiaTheme="minorHAnsi" w:hAnsiTheme="minorHAnsi" w:cstheme="minorBidi"/>
          <w:b/>
          <w:i/>
          <w:color w:val="000000" w:themeColor="text1"/>
          <w:lang w:eastAsia="en-US"/>
        </w:rPr>
      </w:pPr>
    </w:p>
    <w:p w:rsidR="003D37AF" w:rsidRPr="00E170B8" w:rsidRDefault="003D37AF" w:rsidP="003D37AF">
      <w:pPr>
        <w:rPr>
          <w:rFonts w:eastAsiaTheme="minorHAnsi"/>
          <w:highlight w:val="yellow"/>
        </w:rPr>
      </w:pPr>
      <w:r w:rsidRPr="00E170B8">
        <w:rPr>
          <w:rFonts w:asciiTheme="minorHAnsi" w:hAnsiTheme="minorHAnsi"/>
          <w:i/>
        </w:rPr>
        <w:t xml:space="preserve">For more detail on PBAC’s view, see </w:t>
      </w:r>
      <w:r w:rsidR="00AD0FA1" w:rsidRPr="00E170B8">
        <w:rPr>
          <w:rFonts w:asciiTheme="minorHAnsi" w:hAnsiTheme="minorHAnsi"/>
          <w:i/>
        </w:rPr>
        <w:t>section 5</w:t>
      </w:r>
      <w:r w:rsidRPr="00E170B8">
        <w:rPr>
          <w:rFonts w:asciiTheme="minorHAnsi" w:hAnsiTheme="minorHAnsi"/>
          <w:i/>
        </w:rPr>
        <w:t xml:space="preserve"> PBAC outcome.</w:t>
      </w:r>
    </w:p>
    <w:p w:rsidR="00022C3A" w:rsidRDefault="00022C3A">
      <w:pPr>
        <w:rPr>
          <w:rFonts w:asciiTheme="minorHAnsi" w:hAnsiTheme="minorHAnsi" w:cs="Arial"/>
          <w:b/>
          <w:snapToGrid w:val="0"/>
          <w:sz w:val="32"/>
          <w:szCs w:val="32"/>
          <w:lang w:eastAsia="en-US"/>
        </w:rPr>
      </w:pPr>
      <w:r>
        <w:br w:type="page"/>
      </w:r>
    </w:p>
    <w:p w:rsidR="00C603D4" w:rsidRPr="00E170B8" w:rsidRDefault="00CE10C4" w:rsidP="0033263D">
      <w:pPr>
        <w:pStyle w:val="2Sections"/>
      </w:pPr>
      <w:r w:rsidRPr="00E170B8">
        <w:lastRenderedPageBreak/>
        <w:t>Background</w:t>
      </w:r>
      <w:r w:rsidR="00771D07" w:rsidRPr="00E170B8">
        <w:t xml:space="preserve"> </w:t>
      </w:r>
    </w:p>
    <w:p w:rsidR="000B4CB5" w:rsidRPr="00E170B8" w:rsidRDefault="000B4CB5" w:rsidP="00202CA1">
      <w:pPr>
        <w:pStyle w:val="Bodytextitalics"/>
        <w:jc w:val="both"/>
        <w:rPr>
          <w:i w:val="0"/>
          <w:color w:val="FF0000"/>
        </w:rPr>
      </w:pPr>
      <w:r w:rsidRPr="00E170B8">
        <w:rPr>
          <w:i w:val="0"/>
        </w:rPr>
        <w:t>Dimethyl fumarate was TGA registered on 11 July 2013</w:t>
      </w:r>
      <w:r w:rsidRPr="00E170B8">
        <w:rPr>
          <w:i w:val="0"/>
          <w:color w:val="FF0000"/>
        </w:rPr>
        <w:t xml:space="preserve"> </w:t>
      </w:r>
      <w:r w:rsidRPr="00E170B8">
        <w:rPr>
          <w:i w:val="0"/>
        </w:rPr>
        <w:t>for</w:t>
      </w:r>
      <w:r w:rsidRPr="00E170B8" w:rsidDel="009A61CA">
        <w:rPr>
          <w:i w:val="0"/>
        </w:rPr>
        <w:t xml:space="preserve"> </w:t>
      </w:r>
      <w:r w:rsidR="00202CA1" w:rsidRPr="00E170B8">
        <w:rPr>
          <w:i w:val="0"/>
        </w:rPr>
        <w:t xml:space="preserve">the </w:t>
      </w:r>
      <w:r w:rsidRPr="00E170B8">
        <w:rPr>
          <w:i w:val="0"/>
        </w:rPr>
        <w:t xml:space="preserve">treatment of patients with relapsing-remitting multiple sclerosis. </w:t>
      </w:r>
    </w:p>
    <w:p w:rsidR="00895738" w:rsidRPr="00E170B8" w:rsidRDefault="00202CA1" w:rsidP="00202CA1">
      <w:pPr>
        <w:pStyle w:val="Bodytextitalics"/>
        <w:jc w:val="both"/>
        <w:rPr>
          <w:i w:val="0"/>
        </w:rPr>
      </w:pPr>
      <w:r w:rsidRPr="00E170B8">
        <w:rPr>
          <w:i w:val="0"/>
        </w:rPr>
        <w:t>In July 2013, t</w:t>
      </w:r>
      <w:r w:rsidR="00895738" w:rsidRPr="00E170B8">
        <w:rPr>
          <w:i w:val="0"/>
        </w:rPr>
        <w:t xml:space="preserve">he PBAC recommended the listing of dimethyl fumarate on a cost-minimisation basis with ABCR therapies (intramuscular interferon beta-1a, subcutaneous interferon beta-1a, </w:t>
      </w:r>
      <w:proofErr w:type="gramStart"/>
      <w:r w:rsidR="00895738" w:rsidRPr="00E170B8">
        <w:rPr>
          <w:i w:val="0"/>
        </w:rPr>
        <w:t>interferon</w:t>
      </w:r>
      <w:proofErr w:type="gramEnd"/>
      <w:r w:rsidR="00895738" w:rsidRPr="00E170B8">
        <w:rPr>
          <w:i w:val="0"/>
        </w:rPr>
        <w:t xml:space="preserve"> beta-1b and </w:t>
      </w:r>
      <w:proofErr w:type="spellStart"/>
      <w:r w:rsidR="00895738" w:rsidRPr="00E170B8">
        <w:rPr>
          <w:i w:val="0"/>
        </w:rPr>
        <w:t>glatiramer</w:t>
      </w:r>
      <w:proofErr w:type="spellEnd"/>
      <w:r w:rsidR="00895738" w:rsidRPr="00E170B8">
        <w:rPr>
          <w:i w:val="0"/>
        </w:rPr>
        <w:t xml:space="preserve"> acetate)</w:t>
      </w:r>
      <w:r w:rsidR="002728E7" w:rsidRPr="00E170B8">
        <w:rPr>
          <w:i w:val="0"/>
          <w:color w:val="7030A0"/>
          <w:lang w:eastAsia="en-US"/>
        </w:rPr>
        <w:t xml:space="preserve"> </w:t>
      </w:r>
      <w:r w:rsidR="005D2063" w:rsidRPr="00E170B8">
        <w:rPr>
          <w:i w:val="0"/>
          <w:lang w:eastAsia="en-US"/>
        </w:rPr>
        <w:t>(Dimethyl fumarate</w:t>
      </w:r>
      <w:r w:rsidR="00390FBC">
        <w:rPr>
          <w:i w:val="0"/>
          <w:lang w:eastAsia="en-US"/>
        </w:rPr>
        <w:t xml:space="preserve"> Public Summary Document</w:t>
      </w:r>
      <w:r w:rsidR="005D2063" w:rsidRPr="00E170B8">
        <w:rPr>
          <w:i w:val="0"/>
          <w:lang w:eastAsia="en-US"/>
        </w:rPr>
        <w:t xml:space="preserve"> </w:t>
      </w:r>
      <w:r w:rsidR="00390FBC">
        <w:rPr>
          <w:i w:val="0"/>
          <w:lang w:eastAsia="en-US"/>
        </w:rPr>
        <w:t>(</w:t>
      </w:r>
      <w:r w:rsidR="005D2063" w:rsidRPr="00E170B8">
        <w:rPr>
          <w:i w:val="0"/>
          <w:lang w:eastAsia="en-US"/>
        </w:rPr>
        <w:t>PSD</w:t>
      </w:r>
      <w:r w:rsidR="00390FBC">
        <w:rPr>
          <w:i w:val="0"/>
          <w:lang w:eastAsia="en-US"/>
        </w:rPr>
        <w:t>)</w:t>
      </w:r>
      <w:r w:rsidR="005D2063" w:rsidRPr="00E170B8">
        <w:rPr>
          <w:i w:val="0"/>
          <w:lang w:eastAsia="en-US"/>
        </w:rPr>
        <w:t>, July 2013 p6-7)</w:t>
      </w:r>
      <w:r w:rsidR="002728E7" w:rsidRPr="00E170B8">
        <w:rPr>
          <w:i w:val="0"/>
          <w:lang w:eastAsia="en-US"/>
        </w:rPr>
        <w:t>.</w:t>
      </w:r>
    </w:p>
    <w:p w:rsidR="00895738" w:rsidRPr="00E170B8" w:rsidRDefault="00895738" w:rsidP="00214C92">
      <w:pPr>
        <w:pStyle w:val="Bodytextitalics"/>
        <w:jc w:val="both"/>
        <w:rPr>
          <w:i w:val="0"/>
        </w:rPr>
      </w:pPr>
      <w:r w:rsidRPr="00E170B8">
        <w:rPr>
          <w:i w:val="0"/>
          <w:color w:val="000000" w:themeColor="text1"/>
        </w:rPr>
        <w:t xml:space="preserve">Dimethyl fumarate </w:t>
      </w:r>
      <w:r w:rsidR="000A76AE" w:rsidRPr="00E170B8">
        <w:rPr>
          <w:i w:val="0"/>
          <w:color w:val="000000" w:themeColor="text1"/>
        </w:rPr>
        <w:t>was</w:t>
      </w:r>
      <w:r w:rsidRPr="00E170B8">
        <w:rPr>
          <w:i w:val="0"/>
          <w:color w:val="000000" w:themeColor="text1"/>
        </w:rPr>
        <w:t xml:space="preserve"> listed on the PBS as an Authority </w:t>
      </w:r>
      <w:proofErr w:type="gramStart"/>
      <w:r w:rsidRPr="00E170B8">
        <w:rPr>
          <w:i w:val="0"/>
          <w:color w:val="000000" w:themeColor="text1"/>
        </w:rPr>
        <w:t>Required</w:t>
      </w:r>
      <w:proofErr w:type="gramEnd"/>
      <w:r w:rsidRPr="00E170B8">
        <w:rPr>
          <w:i w:val="0"/>
          <w:color w:val="000000" w:themeColor="text1"/>
        </w:rPr>
        <w:t xml:space="preserve"> </w:t>
      </w:r>
      <w:r w:rsidR="003024DE" w:rsidRPr="00E170B8">
        <w:rPr>
          <w:i w:val="0"/>
          <w:color w:val="000000" w:themeColor="text1"/>
        </w:rPr>
        <w:t xml:space="preserve">(telephone) </w:t>
      </w:r>
      <w:r w:rsidRPr="00E170B8">
        <w:rPr>
          <w:i w:val="0"/>
          <w:color w:val="000000" w:themeColor="text1"/>
        </w:rPr>
        <w:t xml:space="preserve">listing for </w:t>
      </w:r>
      <w:r w:rsidR="00202CA1" w:rsidRPr="00E170B8">
        <w:rPr>
          <w:i w:val="0"/>
          <w:color w:val="000000" w:themeColor="text1"/>
        </w:rPr>
        <w:t>RRMS on 1</w:t>
      </w:r>
      <w:r w:rsidR="000A76AE" w:rsidRPr="00E170B8">
        <w:rPr>
          <w:i w:val="0"/>
          <w:color w:val="000000" w:themeColor="text1"/>
        </w:rPr>
        <w:t xml:space="preserve"> December 2013</w:t>
      </w:r>
      <w:r w:rsidRPr="00E170B8">
        <w:rPr>
          <w:i w:val="0"/>
          <w:color w:val="000000" w:themeColor="text1"/>
        </w:rPr>
        <w:t xml:space="preserve">. </w:t>
      </w:r>
      <w:r w:rsidR="00214C92" w:rsidRPr="00E170B8">
        <w:rPr>
          <w:i w:val="0"/>
          <w:color w:val="000000" w:themeColor="text1"/>
        </w:rPr>
        <w:t xml:space="preserve">Dimethyl </w:t>
      </w:r>
      <w:r w:rsidR="0012597B" w:rsidRPr="00E170B8">
        <w:rPr>
          <w:i w:val="0"/>
          <w:color w:val="000000" w:themeColor="text1"/>
        </w:rPr>
        <w:t>fumarate</w:t>
      </w:r>
      <w:r w:rsidR="00214C92" w:rsidRPr="00E170B8">
        <w:rPr>
          <w:i w:val="0"/>
          <w:color w:val="000000" w:themeColor="text1"/>
        </w:rPr>
        <w:t xml:space="preserve"> was listed in conjunction with a</w:t>
      </w:r>
      <w:r w:rsidR="004917F0" w:rsidRPr="00E170B8">
        <w:rPr>
          <w:i w:val="0"/>
          <w:color w:val="000000" w:themeColor="text1"/>
        </w:rPr>
        <w:t xml:space="preserve"> Deed </w:t>
      </w:r>
      <w:r w:rsidR="00214C92" w:rsidRPr="00E170B8">
        <w:rPr>
          <w:i w:val="0"/>
          <w:color w:val="000000" w:themeColor="text1"/>
        </w:rPr>
        <w:t xml:space="preserve">of Agreement </w:t>
      </w:r>
      <w:r w:rsidR="004917F0" w:rsidRPr="00E170B8">
        <w:rPr>
          <w:i w:val="0"/>
          <w:color w:val="000000" w:themeColor="text1"/>
        </w:rPr>
        <w:t xml:space="preserve">between Biogen and the </w:t>
      </w:r>
      <w:r w:rsidR="00835C0D" w:rsidRPr="00E170B8">
        <w:rPr>
          <w:i w:val="0"/>
          <w:color w:val="000000" w:themeColor="text1"/>
        </w:rPr>
        <w:t>Department, which</w:t>
      </w:r>
      <w:r w:rsidR="00214C92" w:rsidRPr="00E170B8">
        <w:rPr>
          <w:i w:val="0"/>
          <w:color w:val="000000" w:themeColor="text1"/>
        </w:rPr>
        <w:t xml:space="preserve"> </w:t>
      </w:r>
      <w:r w:rsidR="00202CA1" w:rsidRPr="00E170B8">
        <w:rPr>
          <w:i w:val="0"/>
          <w:color w:val="000000" w:themeColor="text1"/>
        </w:rPr>
        <w:t>included both a risk sharing</w:t>
      </w:r>
      <w:r w:rsidR="004917F0" w:rsidRPr="00E170B8">
        <w:rPr>
          <w:i w:val="0"/>
          <w:color w:val="000000" w:themeColor="text1"/>
        </w:rPr>
        <w:t xml:space="preserve"> </w:t>
      </w:r>
      <w:r w:rsidR="00837539" w:rsidRPr="00E170B8">
        <w:rPr>
          <w:i w:val="0"/>
          <w:color w:val="000000" w:themeColor="text1"/>
        </w:rPr>
        <w:t>arrangement</w:t>
      </w:r>
      <w:r w:rsidR="00202CA1" w:rsidRPr="00E170B8">
        <w:rPr>
          <w:i w:val="0"/>
          <w:color w:val="000000" w:themeColor="text1"/>
        </w:rPr>
        <w:t xml:space="preserve"> (RSA)</w:t>
      </w:r>
      <w:r w:rsidR="00214C92" w:rsidRPr="00E170B8">
        <w:rPr>
          <w:i w:val="0"/>
          <w:color w:val="000000" w:themeColor="text1"/>
        </w:rPr>
        <w:t xml:space="preserve"> with a cap on expenditure for the 120 mg form, with rebates for any expenditure over the cap,</w:t>
      </w:r>
      <w:r w:rsidR="004917F0" w:rsidRPr="00E170B8">
        <w:rPr>
          <w:i w:val="0"/>
          <w:color w:val="000000" w:themeColor="text1"/>
        </w:rPr>
        <w:t xml:space="preserve"> and a special price arrangement</w:t>
      </w:r>
      <w:r w:rsidR="00202CA1" w:rsidRPr="00E170B8">
        <w:rPr>
          <w:i w:val="0"/>
          <w:color w:val="000000" w:themeColor="text1"/>
        </w:rPr>
        <w:t xml:space="preserve"> (SPA)</w:t>
      </w:r>
      <w:r w:rsidR="004917F0" w:rsidRPr="00E170B8">
        <w:rPr>
          <w:i w:val="0"/>
          <w:color w:val="000000" w:themeColor="text1"/>
        </w:rPr>
        <w:t>.</w:t>
      </w:r>
      <w:r w:rsidR="00214C92" w:rsidRPr="00E170B8">
        <w:rPr>
          <w:i w:val="0"/>
          <w:color w:val="000000" w:themeColor="text1"/>
        </w:rPr>
        <w:t xml:space="preserve"> </w:t>
      </w:r>
      <w:r w:rsidR="00214C92" w:rsidRPr="00E170B8">
        <w:rPr>
          <w:i w:val="0"/>
        </w:rPr>
        <w:t xml:space="preserve">On 1 April 2019 the original Deed for dimethyl fumarate was replaced with a new Deed which </w:t>
      </w:r>
      <w:r w:rsidR="000E7B54">
        <w:rPr>
          <w:i w:val="0"/>
          <w:noProof/>
          <w:color w:val="000000"/>
          <w:highlight w:val="black"/>
        </w:rPr>
        <w:t>''''''''''''''''''' '''''''' ''''' '''''''' ''''''' '''''''' ''''''''''''''''''''' '''' '''''' '''''''''''''' '''''''''' '''''''''''''' ''''' ''''''''''''''''''' '''''''''</w:t>
      </w:r>
      <w:r w:rsidR="00214C92" w:rsidRPr="00E170B8">
        <w:rPr>
          <w:i w:val="0"/>
        </w:rPr>
        <w:t xml:space="preserve">. </w:t>
      </w:r>
    </w:p>
    <w:p w:rsidR="00700A45" w:rsidRPr="00E170B8" w:rsidRDefault="00700A45" w:rsidP="00202CA1">
      <w:pPr>
        <w:pStyle w:val="Bodytextitalics"/>
        <w:jc w:val="both"/>
        <w:rPr>
          <w:i w:val="0"/>
          <w:color w:val="000000" w:themeColor="text1"/>
        </w:rPr>
      </w:pPr>
      <w:r w:rsidRPr="00E170B8">
        <w:rPr>
          <w:i w:val="0"/>
          <w:color w:val="000000" w:themeColor="text1"/>
        </w:rPr>
        <w:t xml:space="preserve">A summary of PBS listed drugs for treatment of RRMS is </w:t>
      </w:r>
      <w:r w:rsidR="00C100C5" w:rsidRPr="00E170B8">
        <w:rPr>
          <w:i w:val="0"/>
          <w:color w:val="000000" w:themeColor="text1"/>
        </w:rPr>
        <w:t>provided in Table 1</w:t>
      </w:r>
      <w:r w:rsidRPr="00E170B8">
        <w:rPr>
          <w:i w:val="0"/>
          <w:color w:val="000000" w:themeColor="text1"/>
        </w:rPr>
        <w:t>.</w:t>
      </w:r>
      <w:r w:rsidR="004927B6" w:rsidRPr="00E170B8">
        <w:rPr>
          <w:i w:val="0"/>
          <w:color w:val="000000" w:themeColor="text1"/>
        </w:rPr>
        <w:t xml:space="preserve"> </w:t>
      </w:r>
    </w:p>
    <w:p w:rsidR="00700A45" w:rsidRPr="00E170B8" w:rsidRDefault="00700A45" w:rsidP="00700A45">
      <w:pPr>
        <w:pStyle w:val="Tabletitles"/>
      </w:pPr>
      <w:r w:rsidRPr="00E170B8">
        <w:t>Table 1</w:t>
      </w:r>
      <w:r w:rsidR="0075687D">
        <w:t>:</w:t>
      </w:r>
      <w:r w:rsidRPr="00E170B8">
        <w:t xml:space="preserve"> PBS listed RRMS drugs as at 1 September 2019 </w:t>
      </w:r>
    </w:p>
    <w:tbl>
      <w:tblPr>
        <w:tblStyle w:val="TableGrid"/>
        <w:tblW w:w="0" w:type="auto"/>
        <w:tblLook w:val="04A0" w:firstRow="1" w:lastRow="0" w:firstColumn="1" w:lastColumn="0" w:noHBand="0" w:noVBand="1"/>
        <w:tblCaption w:val="Table 1: PBS listed RRMS drugs as at 1 September 2019 "/>
      </w:tblPr>
      <w:tblGrid>
        <w:gridCol w:w="1803"/>
        <w:gridCol w:w="1803"/>
        <w:gridCol w:w="1803"/>
        <w:gridCol w:w="1803"/>
        <w:gridCol w:w="1804"/>
      </w:tblGrid>
      <w:tr w:rsidR="00A86EF8" w:rsidRPr="00E170B8" w:rsidTr="00894979">
        <w:trPr>
          <w:tblHeader/>
        </w:trPr>
        <w:tc>
          <w:tcPr>
            <w:tcW w:w="1803" w:type="dxa"/>
          </w:tcPr>
          <w:p w:rsidR="00A86EF8" w:rsidRPr="00E170B8" w:rsidRDefault="00A86EF8" w:rsidP="00D73A41">
            <w:pPr>
              <w:rPr>
                <w:rFonts w:ascii="Arial Narrow" w:eastAsiaTheme="minorHAnsi" w:hAnsi="Arial Narrow" w:cs="Calibri"/>
                <w:b/>
                <w:sz w:val="20"/>
                <w:szCs w:val="22"/>
                <w:lang w:eastAsia="en-US"/>
              </w:rPr>
            </w:pPr>
            <w:r w:rsidRPr="00E170B8">
              <w:rPr>
                <w:rFonts w:ascii="Arial Narrow" w:eastAsiaTheme="minorHAnsi" w:hAnsi="Arial Narrow" w:cs="Calibri"/>
                <w:b/>
                <w:sz w:val="20"/>
                <w:szCs w:val="22"/>
                <w:lang w:eastAsia="en-US"/>
              </w:rPr>
              <w:t>Drug</w:t>
            </w:r>
          </w:p>
        </w:tc>
        <w:tc>
          <w:tcPr>
            <w:tcW w:w="1803" w:type="dxa"/>
          </w:tcPr>
          <w:p w:rsidR="00A86EF8" w:rsidRPr="00E170B8" w:rsidRDefault="00A86EF8" w:rsidP="00D73A41">
            <w:pPr>
              <w:rPr>
                <w:rFonts w:ascii="Arial Narrow" w:eastAsiaTheme="minorHAnsi" w:hAnsi="Arial Narrow" w:cs="Calibri"/>
                <w:b/>
                <w:sz w:val="20"/>
                <w:szCs w:val="22"/>
                <w:lang w:eastAsia="en-US"/>
              </w:rPr>
            </w:pPr>
            <w:r w:rsidRPr="00E170B8">
              <w:rPr>
                <w:rFonts w:ascii="Arial Narrow" w:eastAsiaTheme="minorHAnsi" w:hAnsi="Arial Narrow" w:cs="Calibri"/>
                <w:b/>
                <w:sz w:val="20"/>
                <w:szCs w:val="22"/>
                <w:lang w:eastAsia="en-US"/>
              </w:rPr>
              <w:t>Brands listed on PBS</w:t>
            </w:r>
          </w:p>
        </w:tc>
        <w:tc>
          <w:tcPr>
            <w:tcW w:w="1803" w:type="dxa"/>
          </w:tcPr>
          <w:p w:rsidR="00A86EF8" w:rsidRPr="00E170B8" w:rsidRDefault="00A86EF8" w:rsidP="00D73A41">
            <w:pPr>
              <w:rPr>
                <w:rFonts w:ascii="Arial Narrow" w:eastAsiaTheme="minorHAnsi" w:hAnsi="Arial Narrow" w:cs="Calibri"/>
                <w:b/>
                <w:sz w:val="20"/>
                <w:szCs w:val="22"/>
                <w:lang w:eastAsia="en-US"/>
              </w:rPr>
            </w:pPr>
            <w:r w:rsidRPr="00E170B8">
              <w:rPr>
                <w:rFonts w:ascii="Arial Narrow" w:eastAsiaTheme="minorHAnsi" w:hAnsi="Arial Narrow" w:cs="Calibri"/>
                <w:b/>
                <w:sz w:val="20"/>
                <w:szCs w:val="22"/>
                <w:lang w:eastAsia="en-US"/>
              </w:rPr>
              <w:t>Route of administration</w:t>
            </w:r>
          </w:p>
        </w:tc>
        <w:tc>
          <w:tcPr>
            <w:tcW w:w="1803" w:type="dxa"/>
          </w:tcPr>
          <w:p w:rsidR="00A86EF8" w:rsidRPr="00E170B8" w:rsidRDefault="00A86EF8" w:rsidP="00D73A41">
            <w:pPr>
              <w:rPr>
                <w:rFonts w:ascii="Arial Narrow" w:eastAsiaTheme="minorHAnsi" w:hAnsi="Arial Narrow" w:cs="Calibri"/>
                <w:b/>
                <w:sz w:val="20"/>
                <w:szCs w:val="22"/>
                <w:lang w:eastAsia="en-US"/>
              </w:rPr>
            </w:pPr>
            <w:r w:rsidRPr="00E170B8">
              <w:rPr>
                <w:rFonts w:ascii="Arial Narrow" w:eastAsiaTheme="minorHAnsi" w:hAnsi="Arial Narrow" w:cs="Calibri"/>
                <w:b/>
                <w:sz w:val="20"/>
                <w:szCs w:val="22"/>
                <w:lang w:eastAsia="en-US"/>
              </w:rPr>
              <w:t>Authority level</w:t>
            </w:r>
          </w:p>
        </w:tc>
        <w:tc>
          <w:tcPr>
            <w:tcW w:w="1804" w:type="dxa"/>
          </w:tcPr>
          <w:p w:rsidR="00A86EF8" w:rsidRPr="00E170B8" w:rsidRDefault="00A86EF8" w:rsidP="00D73A41">
            <w:pPr>
              <w:rPr>
                <w:rFonts w:ascii="Arial Narrow" w:eastAsiaTheme="minorHAnsi" w:hAnsi="Arial Narrow" w:cs="Calibri"/>
                <w:b/>
                <w:sz w:val="20"/>
                <w:szCs w:val="22"/>
                <w:lang w:eastAsia="en-US"/>
              </w:rPr>
            </w:pPr>
            <w:r w:rsidRPr="00E170B8">
              <w:rPr>
                <w:rFonts w:ascii="Arial Narrow" w:eastAsiaTheme="minorHAnsi" w:hAnsi="Arial Narrow" w:cs="Calibri"/>
                <w:b/>
                <w:sz w:val="20"/>
                <w:szCs w:val="22"/>
                <w:lang w:eastAsia="en-US"/>
              </w:rPr>
              <w:t>Schedule</w:t>
            </w:r>
          </w:p>
        </w:tc>
      </w:tr>
      <w:tr w:rsidR="00A86EF8" w:rsidRPr="00E170B8" w:rsidTr="00EB0FA1">
        <w:tc>
          <w:tcPr>
            <w:tcW w:w="0" w:type="auto"/>
            <w:gridSpan w:val="5"/>
          </w:tcPr>
          <w:p w:rsidR="00A86EF8" w:rsidRPr="00E170B8" w:rsidRDefault="00A86EF8" w:rsidP="00D73A41">
            <w:pPr>
              <w:rPr>
                <w:rFonts w:ascii="Arial Narrow" w:eastAsiaTheme="minorHAnsi" w:hAnsi="Arial Narrow" w:cs="Calibri"/>
                <w:b/>
                <w:sz w:val="20"/>
                <w:szCs w:val="22"/>
                <w:lang w:eastAsia="en-US"/>
              </w:rPr>
            </w:pPr>
            <w:proofErr w:type="spellStart"/>
            <w:r w:rsidRPr="00E170B8">
              <w:rPr>
                <w:rFonts w:ascii="Arial Narrow" w:eastAsiaTheme="minorHAnsi" w:hAnsi="Arial Narrow" w:cs="Calibri"/>
                <w:b/>
                <w:sz w:val="20"/>
                <w:szCs w:val="22"/>
                <w:lang w:eastAsia="en-US"/>
              </w:rPr>
              <w:t>Immunomodulators</w:t>
            </w:r>
            <w:proofErr w:type="spellEnd"/>
            <w:r w:rsidRPr="00E170B8">
              <w:rPr>
                <w:rFonts w:ascii="Arial Narrow" w:eastAsiaTheme="minorHAnsi" w:hAnsi="Arial Narrow" w:cs="Calibri"/>
                <w:b/>
                <w:sz w:val="20"/>
                <w:szCs w:val="22"/>
                <w:lang w:eastAsia="en-US"/>
              </w:rPr>
              <w:t xml:space="preserve"> (ABCR therapy)</w:t>
            </w:r>
          </w:p>
        </w:tc>
      </w:tr>
      <w:tr w:rsidR="00A86EF8" w:rsidRPr="00E170B8" w:rsidTr="00EB0FA1">
        <w:tc>
          <w:tcPr>
            <w:tcW w:w="1803" w:type="dxa"/>
          </w:tcPr>
          <w:p w:rsidR="00A86EF8" w:rsidRPr="00E170B8" w:rsidRDefault="00A86EF8" w:rsidP="00D73A41">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Glatiramer</w:t>
            </w:r>
            <w:proofErr w:type="spellEnd"/>
            <w:r w:rsidRPr="00E170B8">
              <w:rPr>
                <w:rFonts w:ascii="Arial Narrow" w:eastAsiaTheme="minorHAnsi" w:hAnsi="Arial Narrow" w:cs="Calibri"/>
                <w:sz w:val="20"/>
                <w:szCs w:val="22"/>
                <w:lang w:eastAsia="en-US"/>
              </w:rPr>
              <w:t xml:space="preserve"> acetate</w:t>
            </w:r>
          </w:p>
        </w:tc>
        <w:tc>
          <w:tcPr>
            <w:tcW w:w="1803" w:type="dxa"/>
          </w:tcPr>
          <w:p w:rsidR="00A86EF8" w:rsidRPr="00E170B8" w:rsidRDefault="00A86EF8" w:rsidP="00D73A41">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Copaxone</w:t>
            </w:r>
            <w:proofErr w:type="spellEnd"/>
          </w:p>
        </w:tc>
        <w:tc>
          <w:tcPr>
            <w:tcW w:w="1803" w:type="dxa"/>
          </w:tcPr>
          <w:p w:rsidR="00A86EF8" w:rsidRPr="00E170B8" w:rsidRDefault="00A86EF8" w:rsidP="00D73A41">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Injection</w:t>
            </w:r>
          </w:p>
        </w:tc>
        <w:tc>
          <w:tcPr>
            <w:tcW w:w="1803" w:type="dxa"/>
          </w:tcPr>
          <w:p w:rsidR="00A86EF8" w:rsidRPr="00E170B8" w:rsidRDefault="00A86EF8" w:rsidP="00D73A41">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Streamlined</w:t>
            </w:r>
          </w:p>
        </w:tc>
        <w:tc>
          <w:tcPr>
            <w:tcW w:w="1804" w:type="dxa"/>
          </w:tcPr>
          <w:p w:rsidR="00A86EF8" w:rsidRPr="00E170B8" w:rsidRDefault="00A86EF8" w:rsidP="00D73A41">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General</w:t>
            </w:r>
          </w:p>
        </w:tc>
      </w:tr>
      <w:tr w:rsidR="00A86EF8" w:rsidRPr="00E170B8" w:rsidTr="00EB0FA1">
        <w:tc>
          <w:tcPr>
            <w:tcW w:w="1803"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Interferon beta-1a</w:t>
            </w:r>
          </w:p>
        </w:tc>
        <w:tc>
          <w:tcPr>
            <w:tcW w:w="1803" w:type="dxa"/>
          </w:tcPr>
          <w:p w:rsidR="00A86EF8" w:rsidRPr="00E170B8" w:rsidRDefault="00A86EF8" w:rsidP="00A86EF8">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Rebif</w:t>
            </w:r>
            <w:proofErr w:type="spellEnd"/>
          </w:p>
          <w:p w:rsidR="00A86EF8" w:rsidRPr="00E170B8" w:rsidRDefault="00A86EF8" w:rsidP="00A86EF8">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Avonex</w:t>
            </w:r>
            <w:proofErr w:type="spellEnd"/>
          </w:p>
        </w:tc>
        <w:tc>
          <w:tcPr>
            <w:tcW w:w="1803"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Injection</w:t>
            </w:r>
          </w:p>
        </w:tc>
        <w:tc>
          <w:tcPr>
            <w:tcW w:w="1803"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Streamlined</w:t>
            </w:r>
          </w:p>
        </w:tc>
        <w:tc>
          <w:tcPr>
            <w:tcW w:w="1804"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General</w:t>
            </w:r>
          </w:p>
        </w:tc>
      </w:tr>
      <w:tr w:rsidR="00A86EF8" w:rsidRPr="00E170B8" w:rsidTr="00EB0FA1">
        <w:tc>
          <w:tcPr>
            <w:tcW w:w="1803"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Interferon beta-1b</w:t>
            </w:r>
          </w:p>
        </w:tc>
        <w:tc>
          <w:tcPr>
            <w:tcW w:w="1803" w:type="dxa"/>
          </w:tcPr>
          <w:p w:rsidR="00A86EF8" w:rsidRPr="00E170B8" w:rsidRDefault="00A86EF8" w:rsidP="00A86EF8">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Betaferon</w:t>
            </w:r>
            <w:proofErr w:type="spellEnd"/>
          </w:p>
        </w:tc>
        <w:tc>
          <w:tcPr>
            <w:tcW w:w="1803"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Injection</w:t>
            </w:r>
          </w:p>
        </w:tc>
        <w:tc>
          <w:tcPr>
            <w:tcW w:w="1803"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Streamlined</w:t>
            </w:r>
          </w:p>
        </w:tc>
        <w:tc>
          <w:tcPr>
            <w:tcW w:w="1804"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General</w:t>
            </w:r>
          </w:p>
        </w:tc>
      </w:tr>
      <w:tr w:rsidR="00A86EF8" w:rsidRPr="00E170B8" w:rsidTr="00EB0FA1">
        <w:tc>
          <w:tcPr>
            <w:tcW w:w="0" w:type="auto"/>
            <w:gridSpan w:val="5"/>
          </w:tcPr>
          <w:p w:rsidR="00A86EF8" w:rsidRPr="00E170B8" w:rsidRDefault="00A86EF8" w:rsidP="00D73A41">
            <w:pPr>
              <w:rPr>
                <w:rFonts w:ascii="Arial Narrow" w:eastAsiaTheme="minorHAnsi" w:hAnsi="Arial Narrow" w:cs="Calibri"/>
                <w:b/>
                <w:sz w:val="20"/>
                <w:szCs w:val="22"/>
                <w:lang w:eastAsia="en-US"/>
              </w:rPr>
            </w:pPr>
            <w:r w:rsidRPr="00E170B8">
              <w:rPr>
                <w:rFonts w:ascii="Arial Narrow" w:eastAsiaTheme="minorHAnsi" w:hAnsi="Arial Narrow" w:cs="Calibri"/>
                <w:b/>
                <w:sz w:val="20"/>
                <w:szCs w:val="22"/>
                <w:lang w:eastAsia="en-US"/>
              </w:rPr>
              <w:t>Newer therapies</w:t>
            </w:r>
          </w:p>
        </w:tc>
      </w:tr>
      <w:tr w:rsidR="00A86EF8" w:rsidRPr="00E170B8" w:rsidTr="00EB0FA1">
        <w:tc>
          <w:tcPr>
            <w:tcW w:w="1803" w:type="dxa"/>
          </w:tcPr>
          <w:p w:rsidR="00A86EF8" w:rsidRPr="00E170B8" w:rsidRDefault="00A86EF8" w:rsidP="00D73A41">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Alemtuzumab</w:t>
            </w:r>
            <w:proofErr w:type="spellEnd"/>
          </w:p>
        </w:tc>
        <w:tc>
          <w:tcPr>
            <w:tcW w:w="1803" w:type="dxa"/>
          </w:tcPr>
          <w:p w:rsidR="00A86EF8" w:rsidRPr="00E170B8" w:rsidRDefault="00A86EF8" w:rsidP="00D73A41">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Lemtrada</w:t>
            </w:r>
            <w:proofErr w:type="spellEnd"/>
          </w:p>
        </w:tc>
        <w:tc>
          <w:tcPr>
            <w:tcW w:w="1803" w:type="dxa"/>
          </w:tcPr>
          <w:p w:rsidR="00A86EF8" w:rsidRPr="00E170B8" w:rsidRDefault="00A86EF8" w:rsidP="00D73A41">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Injection</w:t>
            </w:r>
          </w:p>
        </w:tc>
        <w:tc>
          <w:tcPr>
            <w:tcW w:w="1803"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 xml:space="preserve">Streamlined </w:t>
            </w:r>
          </w:p>
        </w:tc>
        <w:tc>
          <w:tcPr>
            <w:tcW w:w="1804" w:type="dxa"/>
          </w:tcPr>
          <w:p w:rsidR="00A86EF8" w:rsidRPr="00E170B8" w:rsidRDefault="00A86EF8" w:rsidP="00D73A41">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S100 HSD</w:t>
            </w:r>
          </w:p>
        </w:tc>
      </w:tr>
      <w:tr w:rsidR="00A86EF8" w:rsidRPr="00E170B8" w:rsidTr="00EB0FA1">
        <w:tc>
          <w:tcPr>
            <w:tcW w:w="1803" w:type="dxa"/>
          </w:tcPr>
          <w:p w:rsidR="00A86EF8" w:rsidRPr="00E170B8" w:rsidRDefault="00A86EF8" w:rsidP="00D73A41">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Cladribine</w:t>
            </w:r>
            <w:proofErr w:type="spellEnd"/>
          </w:p>
        </w:tc>
        <w:tc>
          <w:tcPr>
            <w:tcW w:w="1803" w:type="dxa"/>
          </w:tcPr>
          <w:p w:rsidR="00A86EF8" w:rsidRPr="00E170B8" w:rsidRDefault="00A86EF8" w:rsidP="00D73A41">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Mavenclad</w:t>
            </w:r>
            <w:proofErr w:type="spellEnd"/>
          </w:p>
        </w:tc>
        <w:tc>
          <w:tcPr>
            <w:tcW w:w="1803" w:type="dxa"/>
          </w:tcPr>
          <w:p w:rsidR="00A86EF8" w:rsidRPr="00E170B8" w:rsidRDefault="00A86EF8" w:rsidP="00D73A41">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Oral</w:t>
            </w:r>
          </w:p>
        </w:tc>
        <w:tc>
          <w:tcPr>
            <w:tcW w:w="1803" w:type="dxa"/>
          </w:tcPr>
          <w:p w:rsidR="00A86EF8" w:rsidRPr="00E170B8" w:rsidRDefault="00A86EF8" w:rsidP="00D73A41">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Telephone</w:t>
            </w:r>
          </w:p>
        </w:tc>
        <w:tc>
          <w:tcPr>
            <w:tcW w:w="1804" w:type="dxa"/>
          </w:tcPr>
          <w:p w:rsidR="00A86EF8" w:rsidRPr="00E170B8" w:rsidRDefault="00A86EF8" w:rsidP="00D73A41">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General</w:t>
            </w:r>
          </w:p>
        </w:tc>
      </w:tr>
      <w:tr w:rsidR="00A86EF8" w:rsidRPr="00E170B8" w:rsidTr="00EB0FA1">
        <w:tc>
          <w:tcPr>
            <w:tcW w:w="1803" w:type="dxa"/>
          </w:tcPr>
          <w:p w:rsidR="00A86EF8" w:rsidRPr="00E170B8" w:rsidRDefault="00A86EF8" w:rsidP="00D73A41">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Dimethyl fumarate</w:t>
            </w:r>
          </w:p>
        </w:tc>
        <w:tc>
          <w:tcPr>
            <w:tcW w:w="1803" w:type="dxa"/>
          </w:tcPr>
          <w:p w:rsidR="00A86EF8" w:rsidRPr="00E170B8" w:rsidRDefault="00A86EF8" w:rsidP="00D73A41">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Tecfidera</w:t>
            </w:r>
            <w:proofErr w:type="spellEnd"/>
          </w:p>
        </w:tc>
        <w:tc>
          <w:tcPr>
            <w:tcW w:w="1803" w:type="dxa"/>
          </w:tcPr>
          <w:p w:rsidR="00A86EF8" w:rsidRPr="00E170B8" w:rsidRDefault="00A86EF8" w:rsidP="00D73A41">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Oral</w:t>
            </w:r>
          </w:p>
        </w:tc>
        <w:tc>
          <w:tcPr>
            <w:tcW w:w="1803" w:type="dxa"/>
          </w:tcPr>
          <w:p w:rsidR="00A86EF8" w:rsidRPr="00E170B8" w:rsidRDefault="00A86EF8" w:rsidP="00D73A41">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Telephone</w:t>
            </w:r>
          </w:p>
        </w:tc>
        <w:tc>
          <w:tcPr>
            <w:tcW w:w="1804" w:type="dxa"/>
          </w:tcPr>
          <w:p w:rsidR="00A86EF8" w:rsidRPr="00E170B8" w:rsidRDefault="00A86EF8" w:rsidP="00D73A41">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General</w:t>
            </w:r>
          </w:p>
        </w:tc>
      </w:tr>
      <w:tr w:rsidR="00A86EF8" w:rsidRPr="00E170B8" w:rsidTr="00EB0FA1">
        <w:tc>
          <w:tcPr>
            <w:tcW w:w="1803" w:type="dxa"/>
          </w:tcPr>
          <w:p w:rsidR="00A86EF8" w:rsidRPr="00E170B8" w:rsidRDefault="00A86EF8" w:rsidP="00D73A41">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Fingolimod</w:t>
            </w:r>
            <w:proofErr w:type="spellEnd"/>
          </w:p>
        </w:tc>
        <w:tc>
          <w:tcPr>
            <w:tcW w:w="1803" w:type="dxa"/>
          </w:tcPr>
          <w:p w:rsidR="00A86EF8" w:rsidRPr="00E170B8" w:rsidRDefault="00A86EF8" w:rsidP="00D73A41">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Gilenya</w:t>
            </w:r>
            <w:proofErr w:type="spellEnd"/>
          </w:p>
        </w:tc>
        <w:tc>
          <w:tcPr>
            <w:tcW w:w="1803" w:type="dxa"/>
          </w:tcPr>
          <w:p w:rsidR="00A86EF8" w:rsidRPr="00E170B8" w:rsidRDefault="00A86EF8" w:rsidP="00D73A41">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Oral</w:t>
            </w:r>
          </w:p>
        </w:tc>
        <w:tc>
          <w:tcPr>
            <w:tcW w:w="1803" w:type="dxa"/>
          </w:tcPr>
          <w:p w:rsidR="00A86EF8" w:rsidRPr="00E170B8" w:rsidRDefault="00A86EF8" w:rsidP="00D73A41">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Telephone</w:t>
            </w:r>
          </w:p>
        </w:tc>
        <w:tc>
          <w:tcPr>
            <w:tcW w:w="1804" w:type="dxa"/>
          </w:tcPr>
          <w:p w:rsidR="00A86EF8" w:rsidRPr="00E170B8" w:rsidRDefault="00A86EF8" w:rsidP="00D73A41">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General</w:t>
            </w:r>
          </w:p>
        </w:tc>
      </w:tr>
      <w:tr w:rsidR="00A86EF8" w:rsidRPr="00E170B8" w:rsidTr="00EB0FA1">
        <w:tc>
          <w:tcPr>
            <w:tcW w:w="1803" w:type="dxa"/>
          </w:tcPr>
          <w:p w:rsidR="00A86EF8" w:rsidRPr="00E170B8" w:rsidRDefault="00A86EF8" w:rsidP="00A86EF8">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Natalizumab</w:t>
            </w:r>
            <w:proofErr w:type="spellEnd"/>
          </w:p>
        </w:tc>
        <w:tc>
          <w:tcPr>
            <w:tcW w:w="1803" w:type="dxa"/>
          </w:tcPr>
          <w:p w:rsidR="00A86EF8" w:rsidRPr="00E170B8" w:rsidRDefault="00A86EF8" w:rsidP="00A86EF8">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Tysabri</w:t>
            </w:r>
            <w:proofErr w:type="spellEnd"/>
          </w:p>
        </w:tc>
        <w:tc>
          <w:tcPr>
            <w:tcW w:w="1803"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Injection</w:t>
            </w:r>
          </w:p>
        </w:tc>
        <w:tc>
          <w:tcPr>
            <w:tcW w:w="1803"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 xml:space="preserve">Streamlined </w:t>
            </w:r>
          </w:p>
        </w:tc>
        <w:tc>
          <w:tcPr>
            <w:tcW w:w="1804"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S100 HSD</w:t>
            </w:r>
          </w:p>
        </w:tc>
      </w:tr>
      <w:tr w:rsidR="00A86EF8" w:rsidRPr="00E170B8" w:rsidTr="00EB0FA1">
        <w:tc>
          <w:tcPr>
            <w:tcW w:w="1803" w:type="dxa"/>
          </w:tcPr>
          <w:p w:rsidR="00A86EF8" w:rsidRPr="00E170B8" w:rsidRDefault="00A86EF8" w:rsidP="00A86EF8">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Ocrelizumab</w:t>
            </w:r>
            <w:proofErr w:type="spellEnd"/>
          </w:p>
        </w:tc>
        <w:tc>
          <w:tcPr>
            <w:tcW w:w="1803" w:type="dxa"/>
          </w:tcPr>
          <w:p w:rsidR="00A86EF8" w:rsidRPr="00E170B8" w:rsidRDefault="00A86EF8" w:rsidP="00A86EF8">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Ocrevus</w:t>
            </w:r>
            <w:proofErr w:type="spellEnd"/>
          </w:p>
        </w:tc>
        <w:tc>
          <w:tcPr>
            <w:tcW w:w="1803"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Injection</w:t>
            </w:r>
          </w:p>
        </w:tc>
        <w:tc>
          <w:tcPr>
            <w:tcW w:w="1803"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 xml:space="preserve">Streamlined </w:t>
            </w:r>
          </w:p>
        </w:tc>
        <w:tc>
          <w:tcPr>
            <w:tcW w:w="1804"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S100 HSD</w:t>
            </w:r>
          </w:p>
        </w:tc>
      </w:tr>
      <w:tr w:rsidR="00A86EF8" w:rsidRPr="00E170B8" w:rsidTr="00EB0FA1">
        <w:tc>
          <w:tcPr>
            <w:tcW w:w="1803" w:type="dxa"/>
          </w:tcPr>
          <w:p w:rsidR="00A86EF8" w:rsidRPr="00E170B8" w:rsidRDefault="00A86EF8" w:rsidP="00A86EF8">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Peginterferon</w:t>
            </w:r>
            <w:proofErr w:type="spellEnd"/>
            <w:r w:rsidRPr="00E170B8">
              <w:rPr>
                <w:rFonts w:ascii="Arial Narrow" w:eastAsiaTheme="minorHAnsi" w:hAnsi="Arial Narrow" w:cs="Calibri"/>
                <w:sz w:val="20"/>
                <w:szCs w:val="22"/>
                <w:lang w:eastAsia="en-US"/>
              </w:rPr>
              <w:t xml:space="preserve"> beta-1a</w:t>
            </w:r>
          </w:p>
        </w:tc>
        <w:tc>
          <w:tcPr>
            <w:tcW w:w="1803" w:type="dxa"/>
          </w:tcPr>
          <w:p w:rsidR="00A86EF8" w:rsidRPr="00E170B8" w:rsidRDefault="00A86EF8" w:rsidP="00A86EF8">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Plegridy</w:t>
            </w:r>
            <w:proofErr w:type="spellEnd"/>
          </w:p>
        </w:tc>
        <w:tc>
          <w:tcPr>
            <w:tcW w:w="1803"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Injection/pen device</w:t>
            </w:r>
          </w:p>
        </w:tc>
        <w:tc>
          <w:tcPr>
            <w:tcW w:w="1803"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Streamlined</w:t>
            </w:r>
          </w:p>
        </w:tc>
        <w:tc>
          <w:tcPr>
            <w:tcW w:w="1804"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General</w:t>
            </w:r>
          </w:p>
        </w:tc>
      </w:tr>
      <w:tr w:rsidR="00A86EF8" w:rsidRPr="00E170B8" w:rsidTr="00EB0FA1">
        <w:tc>
          <w:tcPr>
            <w:tcW w:w="1803" w:type="dxa"/>
          </w:tcPr>
          <w:p w:rsidR="00A86EF8" w:rsidRPr="00E170B8" w:rsidRDefault="00A86EF8" w:rsidP="00A86EF8">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Teriflunomide</w:t>
            </w:r>
            <w:proofErr w:type="spellEnd"/>
          </w:p>
        </w:tc>
        <w:tc>
          <w:tcPr>
            <w:tcW w:w="1803" w:type="dxa"/>
          </w:tcPr>
          <w:p w:rsidR="00A86EF8" w:rsidRPr="00E170B8" w:rsidRDefault="00A86EF8" w:rsidP="00A86EF8">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Aubagio</w:t>
            </w:r>
            <w:proofErr w:type="spellEnd"/>
          </w:p>
          <w:p w:rsidR="00A86EF8" w:rsidRPr="00E170B8" w:rsidRDefault="00A86EF8" w:rsidP="00A86EF8">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Teriflunomide</w:t>
            </w:r>
            <w:proofErr w:type="spellEnd"/>
            <w:r w:rsidRPr="00E170B8">
              <w:rPr>
                <w:rFonts w:ascii="Arial Narrow" w:eastAsiaTheme="minorHAnsi" w:hAnsi="Arial Narrow" w:cs="Calibri"/>
                <w:sz w:val="20"/>
                <w:szCs w:val="22"/>
                <w:lang w:eastAsia="en-US"/>
              </w:rPr>
              <w:t xml:space="preserve"> Sandoz</w:t>
            </w:r>
          </w:p>
          <w:p w:rsidR="00A86EF8" w:rsidRPr="00E170B8" w:rsidRDefault="00A86EF8" w:rsidP="00A86EF8">
            <w:pPr>
              <w:rPr>
                <w:rFonts w:ascii="Arial Narrow" w:eastAsiaTheme="minorHAnsi" w:hAnsi="Arial Narrow" w:cs="Calibri"/>
                <w:sz w:val="20"/>
                <w:szCs w:val="22"/>
                <w:lang w:eastAsia="en-US"/>
              </w:rPr>
            </w:pPr>
            <w:proofErr w:type="spellStart"/>
            <w:r w:rsidRPr="00E170B8">
              <w:rPr>
                <w:rFonts w:ascii="Arial Narrow" w:eastAsiaTheme="minorHAnsi" w:hAnsi="Arial Narrow" w:cs="Calibri"/>
                <w:sz w:val="20"/>
                <w:szCs w:val="22"/>
                <w:lang w:eastAsia="en-US"/>
              </w:rPr>
              <w:t>Teriflagio</w:t>
            </w:r>
            <w:proofErr w:type="spellEnd"/>
          </w:p>
        </w:tc>
        <w:tc>
          <w:tcPr>
            <w:tcW w:w="1803"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Oral</w:t>
            </w:r>
          </w:p>
        </w:tc>
        <w:tc>
          <w:tcPr>
            <w:tcW w:w="1803"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Telephone</w:t>
            </w:r>
          </w:p>
        </w:tc>
        <w:tc>
          <w:tcPr>
            <w:tcW w:w="1804" w:type="dxa"/>
          </w:tcPr>
          <w:p w:rsidR="00A86EF8" w:rsidRPr="00E170B8" w:rsidRDefault="00A86EF8" w:rsidP="00A86EF8">
            <w:pPr>
              <w:rPr>
                <w:rFonts w:ascii="Arial Narrow" w:eastAsiaTheme="minorHAnsi" w:hAnsi="Arial Narrow" w:cs="Calibri"/>
                <w:sz w:val="20"/>
                <w:szCs w:val="22"/>
                <w:lang w:eastAsia="en-US"/>
              </w:rPr>
            </w:pPr>
            <w:r w:rsidRPr="00E170B8">
              <w:rPr>
                <w:rFonts w:ascii="Arial Narrow" w:eastAsiaTheme="minorHAnsi" w:hAnsi="Arial Narrow" w:cs="Calibri"/>
                <w:sz w:val="20"/>
                <w:szCs w:val="22"/>
                <w:lang w:eastAsia="en-US"/>
              </w:rPr>
              <w:t>General</w:t>
            </w:r>
          </w:p>
        </w:tc>
      </w:tr>
    </w:tbl>
    <w:p w:rsidR="004927B6" w:rsidRPr="00E170B8" w:rsidRDefault="004927B6" w:rsidP="004927B6">
      <w:pPr>
        <w:pStyle w:val="Bodytextitalics"/>
        <w:numPr>
          <w:ilvl w:val="0"/>
          <w:numId w:val="0"/>
        </w:numPr>
        <w:rPr>
          <w:i w:val="0"/>
        </w:rPr>
      </w:pPr>
    </w:p>
    <w:p w:rsidR="00B90B30" w:rsidRPr="00E170B8" w:rsidRDefault="00C100C5" w:rsidP="00C100C5">
      <w:pPr>
        <w:pStyle w:val="Bodytextitalics"/>
        <w:jc w:val="both"/>
        <w:rPr>
          <w:i w:val="0"/>
        </w:rPr>
      </w:pPr>
      <w:r w:rsidRPr="00E170B8">
        <w:rPr>
          <w:i w:val="0"/>
        </w:rPr>
        <w:t xml:space="preserve">In </w:t>
      </w:r>
      <w:r w:rsidR="00C6146C" w:rsidRPr="00E170B8">
        <w:rPr>
          <w:i w:val="0"/>
        </w:rPr>
        <w:t>December 2014</w:t>
      </w:r>
      <w:r w:rsidRPr="00E170B8">
        <w:rPr>
          <w:i w:val="0"/>
        </w:rPr>
        <w:t xml:space="preserve">, the PBAC recommended lowering the </w:t>
      </w:r>
      <w:r w:rsidR="002728E7" w:rsidRPr="00E170B8">
        <w:rPr>
          <w:i w:val="0"/>
        </w:rPr>
        <w:t xml:space="preserve">restriction level for </w:t>
      </w:r>
      <w:r w:rsidR="00C93678" w:rsidRPr="00E170B8">
        <w:rPr>
          <w:i w:val="0"/>
        </w:rPr>
        <w:t xml:space="preserve">interferon beta-1a, interferon beta-1b, </w:t>
      </w:r>
      <w:proofErr w:type="spellStart"/>
      <w:r w:rsidR="00C93678" w:rsidRPr="00E170B8">
        <w:rPr>
          <w:i w:val="0"/>
        </w:rPr>
        <w:t>glatiramer</w:t>
      </w:r>
      <w:proofErr w:type="spellEnd"/>
      <w:r w:rsidR="00C93678" w:rsidRPr="00E170B8">
        <w:rPr>
          <w:i w:val="0"/>
        </w:rPr>
        <w:t xml:space="preserve"> and </w:t>
      </w:r>
      <w:proofErr w:type="spellStart"/>
      <w:r w:rsidR="00C93678" w:rsidRPr="00E170B8">
        <w:rPr>
          <w:i w:val="0"/>
        </w:rPr>
        <w:t>peginterferon</w:t>
      </w:r>
      <w:proofErr w:type="spellEnd"/>
      <w:r w:rsidR="00C93678" w:rsidRPr="00E170B8">
        <w:rPr>
          <w:i w:val="0"/>
        </w:rPr>
        <w:t xml:space="preserve"> beta-1a</w:t>
      </w:r>
      <w:r w:rsidR="00B90B30" w:rsidRPr="00E170B8">
        <w:rPr>
          <w:i w:val="0"/>
        </w:rPr>
        <w:t xml:space="preserve"> from Authority Required to Authority Required (STREAMLINED)</w:t>
      </w:r>
      <w:r w:rsidR="00B46B2D" w:rsidRPr="00E170B8">
        <w:rPr>
          <w:i w:val="0"/>
        </w:rPr>
        <w:t xml:space="preserve"> </w:t>
      </w:r>
      <w:r w:rsidR="002728E7" w:rsidRPr="00E170B8">
        <w:rPr>
          <w:i w:val="0"/>
        </w:rPr>
        <w:t xml:space="preserve">as </w:t>
      </w:r>
      <w:r w:rsidRPr="00E170B8">
        <w:rPr>
          <w:i w:val="0"/>
        </w:rPr>
        <w:t xml:space="preserve">a </w:t>
      </w:r>
      <w:r w:rsidR="002728E7" w:rsidRPr="00E170B8">
        <w:rPr>
          <w:i w:val="0"/>
        </w:rPr>
        <w:t xml:space="preserve">result of </w:t>
      </w:r>
      <w:r w:rsidR="00B46B2D" w:rsidRPr="00E170B8">
        <w:rPr>
          <w:i w:val="0"/>
        </w:rPr>
        <w:t>the Post-Market Review of Authority Re</w:t>
      </w:r>
      <w:r w:rsidR="00A20564" w:rsidRPr="00E170B8">
        <w:rPr>
          <w:i w:val="0"/>
        </w:rPr>
        <w:t>q</w:t>
      </w:r>
      <w:r w:rsidR="00B46B2D" w:rsidRPr="00E170B8">
        <w:rPr>
          <w:i w:val="0"/>
        </w:rPr>
        <w:t>uired PBS listings</w:t>
      </w:r>
      <w:r w:rsidR="00B90B30" w:rsidRPr="00E170B8">
        <w:rPr>
          <w:i w:val="0"/>
        </w:rPr>
        <w:t xml:space="preserve">. </w:t>
      </w:r>
      <w:r w:rsidRPr="00E170B8">
        <w:rPr>
          <w:i w:val="0"/>
        </w:rPr>
        <w:t xml:space="preserve">At this time, the </w:t>
      </w:r>
      <w:r w:rsidR="00B90B30" w:rsidRPr="00E170B8">
        <w:rPr>
          <w:i w:val="0"/>
        </w:rPr>
        <w:t xml:space="preserve">Committee noted that the oral therapies had only been listed in 2011 </w:t>
      </w:r>
      <w:r w:rsidR="00A0339C" w:rsidRPr="00E170B8">
        <w:rPr>
          <w:i w:val="0"/>
        </w:rPr>
        <w:t>(</w:t>
      </w:r>
      <w:proofErr w:type="spellStart"/>
      <w:r w:rsidR="00A0339C" w:rsidRPr="00E170B8">
        <w:rPr>
          <w:i w:val="0"/>
        </w:rPr>
        <w:t>fingolimod</w:t>
      </w:r>
      <w:proofErr w:type="spellEnd"/>
      <w:r w:rsidR="00A0339C" w:rsidRPr="00E170B8">
        <w:rPr>
          <w:i w:val="0"/>
        </w:rPr>
        <w:t xml:space="preserve">) </w:t>
      </w:r>
      <w:r w:rsidR="00B90B30" w:rsidRPr="00E170B8">
        <w:rPr>
          <w:i w:val="0"/>
        </w:rPr>
        <w:t>and 2013</w:t>
      </w:r>
      <w:r w:rsidR="00A0339C" w:rsidRPr="00E170B8">
        <w:rPr>
          <w:i w:val="0"/>
        </w:rPr>
        <w:t xml:space="preserve"> (dimethyl fumarate and </w:t>
      </w:r>
      <w:proofErr w:type="spellStart"/>
      <w:r w:rsidR="00A0339C" w:rsidRPr="00E170B8">
        <w:rPr>
          <w:i w:val="0"/>
        </w:rPr>
        <w:t>teriflunomide</w:t>
      </w:r>
      <w:proofErr w:type="spellEnd"/>
      <w:r w:rsidR="00A0339C" w:rsidRPr="00E170B8">
        <w:rPr>
          <w:i w:val="0"/>
        </w:rPr>
        <w:t>)</w:t>
      </w:r>
      <w:r w:rsidR="00B90B30" w:rsidRPr="00E170B8">
        <w:rPr>
          <w:i w:val="0"/>
        </w:rPr>
        <w:t xml:space="preserve"> and </w:t>
      </w:r>
      <w:r w:rsidR="00A0339C" w:rsidRPr="00E170B8">
        <w:rPr>
          <w:i w:val="0"/>
        </w:rPr>
        <w:t xml:space="preserve">as such </w:t>
      </w:r>
      <w:r w:rsidR="00B90B30" w:rsidRPr="00E170B8">
        <w:rPr>
          <w:i w:val="0"/>
        </w:rPr>
        <w:t>did not recommend a change to the authority level for oral therapies</w:t>
      </w:r>
      <w:r w:rsidR="00B46B2D" w:rsidRPr="00E170B8">
        <w:rPr>
          <w:i w:val="0"/>
        </w:rPr>
        <w:t xml:space="preserve"> as the market had not yet stabilised</w:t>
      </w:r>
      <w:r w:rsidR="00B90B30" w:rsidRPr="00E170B8">
        <w:rPr>
          <w:i w:val="0"/>
        </w:rPr>
        <w:t xml:space="preserve">. </w:t>
      </w:r>
    </w:p>
    <w:p w:rsidR="004F49C8" w:rsidRPr="00E170B8" w:rsidRDefault="00F37D83" w:rsidP="00C100C5">
      <w:pPr>
        <w:pStyle w:val="Bodytextitalics"/>
        <w:jc w:val="both"/>
        <w:rPr>
          <w:i w:val="0"/>
        </w:rPr>
      </w:pPr>
      <w:r w:rsidRPr="00E170B8">
        <w:rPr>
          <w:i w:val="0"/>
        </w:rPr>
        <w:lastRenderedPageBreak/>
        <w:t xml:space="preserve">In July 2016, the PBAC recommended </w:t>
      </w:r>
      <w:r w:rsidR="00F122EF" w:rsidRPr="00E170B8">
        <w:rPr>
          <w:i w:val="0"/>
        </w:rPr>
        <w:t xml:space="preserve">increasing </w:t>
      </w:r>
      <w:r w:rsidR="004F49C8" w:rsidRPr="00E170B8">
        <w:rPr>
          <w:i w:val="0"/>
        </w:rPr>
        <w:t>the maximum quantity of dimethyl fumarate 120</w:t>
      </w:r>
      <w:r w:rsidR="006D4B35" w:rsidRPr="00E170B8">
        <w:rPr>
          <w:i w:val="0"/>
        </w:rPr>
        <w:t xml:space="preserve"> </w:t>
      </w:r>
      <w:r w:rsidR="004F49C8" w:rsidRPr="00E170B8">
        <w:rPr>
          <w:i w:val="0"/>
        </w:rPr>
        <w:t xml:space="preserve">mg capsules </w:t>
      </w:r>
      <w:r w:rsidR="00F122EF" w:rsidRPr="00E170B8">
        <w:rPr>
          <w:i w:val="0"/>
        </w:rPr>
        <w:t xml:space="preserve">from one to two packs </w:t>
      </w:r>
      <w:r w:rsidR="00216607">
        <w:rPr>
          <w:i w:val="0"/>
        </w:rPr>
        <w:t xml:space="preserve">(28 capsules) </w:t>
      </w:r>
      <w:r w:rsidR="004F49C8" w:rsidRPr="00E170B8">
        <w:rPr>
          <w:i w:val="0"/>
        </w:rPr>
        <w:t>to allow flexibility in dose titration for both initial and continuing dose titration periods</w:t>
      </w:r>
      <w:r w:rsidRPr="00E170B8">
        <w:rPr>
          <w:i w:val="0"/>
        </w:rPr>
        <w:t xml:space="preserve"> </w:t>
      </w:r>
      <w:r w:rsidRPr="00E170B8">
        <w:rPr>
          <w:i w:val="0"/>
          <w:lang w:eastAsia="en-US"/>
        </w:rPr>
        <w:t>(</w:t>
      </w:r>
      <w:r w:rsidR="001E2DF4" w:rsidRPr="00E170B8">
        <w:rPr>
          <w:i w:val="0"/>
          <w:lang w:eastAsia="en-US"/>
        </w:rPr>
        <w:t>D</w:t>
      </w:r>
      <w:r w:rsidRPr="00E170B8">
        <w:rPr>
          <w:i w:val="0"/>
          <w:lang w:eastAsia="en-US"/>
        </w:rPr>
        <w:t>imethyl fumarate PSD, July 2016)</w:t>
      </w:r>
      <w:r w:rsidR="004F49C8" w:rsidRPr="00E170B8">
        <w:rPr>
          <w:i w:val="0"/>
        </w:rPr>
        <w:t xml:space="preserve">. </w:t>
      </w:r>
    </w:p>
    <w:p w:rsidR="003063D3" w:rsidRPr="00E170B8" w:rsidRDefault="00837539" w:rsidP="00C100C5">
      <w:pPr>
        <w:pStyle w:val="Bodytextitalics"/>
        <w:jc w:val="both"/>
        <w:rPr>
          <w:i w:val="0"/>
        </w:rPr>
      </w:pPr>
      <w:r w:rsidRPr="00E170B8">
        <w:rPr>
          <w:i w:val="0"/>
        </w:rPr>
        <w:t>In</w:t>
      </w:r>
      <w:r w:rsidR="00A0339C" w:rsidRPr="00E170B8">
        <w:rPr>
          <w:i w:val="0"/>
        </w:rPr>
        <w:t xml:space="preserve"> </w:t>
      </w:r>
      <w:r w:rsidR="000A76AE" w:rsidRPr="00E170B8">
        <w:rPr>
          <w:i w:val="0"/>
        </w:rPr>
        <w:t>November</w:t>
      </w:r>
      <w:r w:rsidR="00A0339C" w:rsidRPr="00E170B8">
        <w:rPr>
          <w:i w:val="0"/>
        </w:rPr>
        <w:t xml:space="preserve"> 2016, </w:t>
      </w:r>
      <w:r w:rsidRPr="00E170B8">
        <w:rPr>
          <w:i w:val="0"/>
        </w:rPr>
        <w:t>the PBAC did not recommend a</w:t>
      </w:r>
      <w:r w:rsidR="00A0339C" w:rsidRPr="00E170B8">
        <w:rPr>
          <w:i w:val="0"/>
        </w:rPr>
        <w:t xml:space="preserve"> change </w:t>
      </w:r>
      <w:r w:rsidRPr="00E170B8">
        <w:rPr>
          <w:i w:val="0"/>
        </w:rPr>
        <w:t xml:space="preserve">to </w:t>
      </w:r>
      <w:r w:rsidR="00A0339C" w:rsidRPr="00E170B8">
        <w:rPr>
          <w:i w:val="0"/>
        </w:rPr>
        <w:t xml:space="preserve">the authority level of </w:t>
      </w:r>
      <w:proofErr w:type="spellStart"/>
      <w:r w:rsidR="00A0339C" w:rsidRPr="00E170B8">
        <w:rPr>
          <w:i w:val="0"/>
        </w:rPr>
        <w:t>teriflunomide</w:t>
      </w:r>
      <w:proofErr w:type="spellEnd"/>
      <w:r w:rsidR="00A0339C" w:rsidRPr="00E170B8">
        <w:rPr>
          <w:i w:val="0"/>
        </w:rPr>
        <w:t xml:space="preserve"> from Authority Required to Authority Required (STREAMLINED</w:t>
      </w:r>
      <w:r w:rsidRPr="00E170B8">
        <w:rPr>
          <w:i w:val="0"/>
        </w:rPr>
        <w:t>) as the Committee</w:t>
      </w:r>
      <w:r w:rsidR="00E61A9C" w:rsidRPr="00E170B8">
        <w:rPr>
          <w:i w:val="0"/>
        </w:rPr>
        <w:t xml:space="preserve"> considered that the market for oral therapies for RRMS had not yet stabilised</w:t>
      </w:r>
      <w:r w:rsidRPr="00E170B8">
        <w:rPr>
          <w:i w:val="0"/>
        </w:rPr>
        <w:t xml:space="preserve">. </w:t>
      </w:r>
      <w:r w:rsidR="00CC1B10" w:rsidRPr="00E170B8">
        <w:rPr>
          <w:i w:val="0"/>
        </w:rPr>
        <w:t xml:space="preserve">The Committee noted that the </w:t>
      </w:r>
      <w:r w:rsidR="002728E7" w:rsidRPr="00E170B8">
        <w:rPr>
          <w:i w:val="0"/>
        </w:rPr>
        <w:t xml:space="preserve">October </w:t>
      </w:r>
      <w:r w:rsidR="00CC1B10" w:rsidRPr="00E170B8">
        <w:rPr>
          <w:i w:val="0"/>
        </w:rPr>
        <w:t xml:space="preserve">2015 </w:t>
      </w:r>
      <w:r w:rsidR="002728E7" w:rsidRPr="00E170B8">
        <w:rPr>
          <w:i w:val="0"/>
        </w:rPr>
        <w:t xml:space="preserve">review of the utilisation of PBS listed medicines for RRMS </w:t>
      </w:r>
      <w:r w:rsidR="00814684">
        <w:rPr>
          <w:i w:val="0"/>
        </w:rPr>
        <w:t xml:space="preserve">by the </w:t>
      </w:r>
      <w:r w:rsidR="00814684" w:rsidRPr="00E170B8">
        <w:rPr>
          <w:i w:val="0"/>
        </w:rPr>
        <w:t>Drug Utilisation Sub-Committee (DUSC)</w:t>
      </w:r>
      <w:r w:rsidR="00814684">
        <w:rPr>
          <w:i w:val="0"/>
        </w:rPr>
        <w:t xml:space="preserve"> </w:t>
      </w:r>
      <w:r w:rsidR="00CC1B10" w:rsidRPr="00E170B8">
        <w:rPr>
          <w:i w:val="0"/>
        </w:rPr>
        <w:t xml:space="preserve">showed </w:t>
      </w:r>
      <w:r w:rsidR="00BA6EF5" w:rsidRPr="00E170B8">
        <w:rPr>
          <w:i w:val="0"/>
        </w:rPr>
        <w:t>that the market for oral therapies</w:t>
      </w:r>
      <w:r w:rsidR="00CC1B10" w:rsidRPr="00E170B8">
        <w:rPr>
          <w:i w:val="0"/>
        </w:rPr>
        <w:t xml:space="preserve"> was still growing</w:t>
      </w:r>
      <w:r w:rsidR="005E0A9A" w:rsidRPr="00E170B8">
        <w:rPr>
          <w:i w:val="0"/>
        </w:rPr>
        <w:t xml:space="preserve"> </w:t>
      </w:r>
      <w:r w:rsidRPr="00E170B8">
        <w:rPr>
          <w:i w:val="0"/>
          <w:lang w:eastAsia="en-US"/>
        </w:rPr>
        <w:t>(</w:t>
      </w:r>
      <w:proofErr w:type="spellStart"/>
      <w:r w:rsidR="00170B87" w:rsidRPr="00E170B8">
        <w:rPr>
          <w:i w:val="0"/>
          <w:lang w:eastAsia="en-US"/>
        </w:rPr>
        <w:t>T</w:t>
      </w:r>
      <w:r w:rsidRPr="00E170B8">
        <w:rPr>
          <w:i w:val="0"/>
          <w:lang w:eastAsia="en-US"/>
        </w:rPr>
        <w:t>eriflunomide</w:t>
      </w:r>
      <w:proofErr w:type="spellEnd"/>
      <w:r w:rsidRPr="00E170B8">
        <w:rPr>
          <w:i w:val="0"/>
          <w:lang w:eastAsia="en-US"/>
        </w:rPr>
        <w:t xml:space="preserve"> PSD, November 2016</w:t>
      </w:r>
      <w:r w:rsidR="00170B87" w:rsidRPr="00E170B8">
        <w:rPr>
          <w:i w:val="0"/>
          <w:lang w:eastAsia="en-US"/>
        </w:rPr>
        <w:t xml:space="preserve"> paragraph 6.2</w:t>
      </w:r>
      <w:r w:rsidRPr="00E170B8">
        <w:rPr>
          <w:i w:val="0"/>
          <w:lang w:eastAsia="en-US"/>
        </w:rPr>
        <w:t>)</w:t>
      </w:r>
      <w:r w:rsidR="00170B87" w:rsidRPr="00E170B8">
        <w:rPr>
          <w:i w:val="0"/>
          <w:lang w:eastAsia="en-US"/>
        </w:rPr>
        <w:t>.</w:t>
      </w:r>
    </w:p>
    <w:p w:rsidR="005B0150" w:rsidRPr="00E170B8" w:rsidRDefault="00216607" w:rsidP="00C100C5">
      <w:pPr>
        <w:pStyle w:val="Bodytextitalics"/>
        <w:jc w:val="both"/>
        <w:rPr>
          <w:i w:val="0"/>
        </w:rPr>
      </w:pPr>
      <w:r>
        <w:rPr>
          <w:i w:val="0"/>
        </w:rPr>
        <w:t>At the</w:t>
      </w:r>
      <w:r w:rsidR="00214C92" w:rsidRPr="00E170B8">
        <w:rPr>
          <w:i w:val="0"/>
        </w:rPr>
        <w:t xml:space="preserve"> November 2019</w:t>
      </w:r>
      <w:r>
        <w:rPr>
          <w:i w:val="0"/>
        </w:rPr>
        <w:t xml:space="preserve"> PBAC meeting</w:t>
      </w:r>
      <w:r w:rsidR="00214C92" w:rsidRPr="00E170B8">
        <w:rPr>
          <w:i w:val="0"/>
        </w:rPr>
        <w:t>, t</w:t>
      </w:r>
      <w:r w:rsidR="005B0150" w:rsidRPr="00E170B8">
        <w:rPr>
          <w:i w:val="0"/>
        </w:rPr>
        <w:t xml:space="preserve">he </w:t>
      </w:r>
      <w:r w:rsidR="002A4F93" w:rsidRPr="00E170B8">
        <w:rPr>
          <w:i w:val="0"/>
        </w:rPr>
        <w:t xml:space="preserve">Committee </w:t>
      </w:r>
      <w:r w:rsidR="005B0150" w:rsidRPr="00E170B8">
        <w:rPr>
          <w:i w:val="0"/>
        </w:rPr>
        <w:t>also consider</w:t>
      </w:r>
      <w:r>
        <w:rPr>
          <w:i w:val="0"/>
        </w:rPr>
        <w:t>ed</w:t>
      </w:r>
      <w:r w:rsidR="005B0150" w:rsidRPr="00E170B8">
        <w:rPr>
          <w:i w:val="0"/>
        </w:rPr>
        <w:t xml:space="preserve"> </w:t>
      </w:r>
      <w:r w:rsidR="00214C92" w:rsidRPr="00E170B8">
        <w:rPr>
          <w:i w:val="0"/>
        </w:rPr>
        <w:t xml:space="preserve">a major submission for </w:t>
      </w:r>
      <w:proofErr w:type="spellStart"/>
      <w:r w:rsidR="00411384" w:rsidRPr="00E170B8">
        <w:rPr>
          <w:i w:val="0"/>
        </w:rPr>
        <w:t>s</w:t>
      </w:r>
      <w:r w:rsidR="005B0150" w:rsidRPr="00E170B8">
        <w:rPr>
          <w:i w:val="0"/>
        </w:rPr>
        <w:t>iponimod</w:t>
      </w:r>
      <w:proofErr w:type="spellEnd"/>
      <w:r w:rsidR="005B0150" w:rsidRPr="00E170B8">
        <w:rPr>
          <w:i w:val="0"/>
        </w:rPr>
        <w:t xml:space="preserve"> (</w:t>
      </w:r>
      <w:proofErr w:type="spellStart"/>
      <w:r w:rsidR="005B0150" w:rsidRPr="00E170B8">
        <w:rPr>
          <w:i w:val="0"/>
        </w:rPr>
        <w:t>Mayzent</w:t>
      </w:r>
      <w:proofErr w:type="spellEnd"/>
      <w:r w:rsidR="005B0150" w:rsidRPr="00E170B8">
        <w:rPr>
          <w:i w:val="0"/>
        </w:rPr>
        <w:t>®)</w:t>
      </w:r>
      <w:r w:rsidR="00214C92" w:rsidRPr="00E170B8">
        <w:rPr>
          <w:i w:val="0"/>
        </w:rPr>
        <w:t xml:space="preserve"> requesting an Authority Required listing</w:t>
      </w:r>
      <w:r w:rsidR="005B0150" w:rsidRPr="00E170B8">
        <w:rPr>
          <w:i w:val="0"/>
        </w:rPr>
        <w:t xml:space="preserve"> for treatment of </w:t>
      </w:r>
      <w:r w:rsidR="00214C92" w:rsidRPr="00E170B8">
        <w:rPr>
          <w:i w:val="0"/>
        </w:rPr>
        <w:t xml:space="preserve">patients with </w:t>
      </w:r>
      <w:r w:rsidR="005B0150" w:rsidRPr="00E170B8">
        <w:rPr>
          <w:i w:val="0"/>
        </w:rPr>
        <w:t xml:space="preserve">secondary progressive multiple sclerosis </w:t>
      </w:r>
      <w:r w:rsidR="00214C92" w:rsidRPr="00E170B8">
        <w:rPr>
          <w:i w:val="0"/>
        </w:rPr>
        <w:t>(agenda item 5.11)</w:t>
      </w:r>
      <w:r w:rsidR="005B0150" w:rsidRPr="00E170B8">
        <w:rPr>
          <w:i w:val="0"/>
        </w:rPr>
        <w:t>.</w:t>
      </w:r>
      <w:r w:rsidR="00EB0FA1" w:rsidRPr="00E170B8">
        <w:rPr>
          <w:i w:val="0"/>
        </w:rPr>
        <w:t xml:space="preserve"> </w:t>
      </w:r>
    </w:p>
    <w:p w:rsidR="000B558D" w:rsidRPr="00E170B8" w:rsidRDefault="008D7A41" w:rsidP="003C56E8">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E170B8">
        <w:rPr>
          <w:rFonts w:asciiTheme="minorHAnsi" w:hAnsiTheme="minorHAnsi"/>
          <w:sz w:val="32"/>
          <w:szCs w:val="32"/>
        </w:rPr>
        <w:t>C</w:t>
      </w:r>
      <w:r w:rsidR="00D84934" w:rsidRPr="00E170B8">
        <w:rPr>
          <w:rFonts w:asciiTheme="minorHAnsi" w:hAnsiTheme="minorHAnsi"/>
          <w:sz w:val="32"/>
          <w:szCs w:val="32"/>
        </w:rPr>
        <w:t>onsideration of the evidence</w:t>
      </w:r>
    </w:p>
    <w:p w:rsidR="003D37AF" w:rsidRPr="00E170B8" w:rsidRDefault="003D37AF" w:rsidP="005F2CE9">
      <w:pPr>
        <w:pStyle w:val="Heading2"/>
        <w:keepNext w:val="0"/>
        <w:widowControl w:val="0"/>
        <w:spacing w:before="240" w:after="120"/>
        <w:jc w:val="both"/>
        <w:rPr>
          <w:rFonts w:ascii="Calibri" w:hAnsi="Calibri" w:cs="Arial"/>
          <w:snapToGrid w:val="0"/>
          <w:sz w:val="28"/>
          <w:szCs w:val="22"/>
          <w:lang w:eastAsia="en-US"/>
        </w:rPr>
      </w:pPr>
      <w:r w:rsidRPr="00E170B8">
        <w:rPr>
          <w:rFonts w:ascii="Calibri" w:hAnsi="Calibri" w:cs="Arial"/>
          <w:snapToGrid w:val="0"/>
          <w:sz w:val="28"/>
          <w:szCs w:val="22"/>
          <w:lang w:eastAsia="en-US"/>
        </w:rPr>
        <w:t>Sponsor hearing</w:t>
      </w:r>
    </w:p>
    <w:p w:rsidR="003D37AF" w:rsidRPr="00E170B8" w:rsidRDefault="003D37AF" w:rsidP="003D37AF">
      <w:pPr>
        <w:pStyle w:val="Bodytextitalics"/>
        <w:jc w:val="both"/>
        <w:rPr>
          <w:i w:val="0"/>
        </w:rPr>
      </w:pPr>
      <w:r w:rsidRPr="00E170B8">
        <w:rPr>
          <w:i w:val="0"/>
        </w:rPr>
        <w:t>There was no hearing for this item as it was a minor submission.</w:t>
      </w:r>
    </w:p>
    <w:p w:rsidR="003D37AF" w:rsidRPr="00E170B8" w:rsidRDefault="003D37AF" w:rsidP="005F2CE9">
      <w:pPr>
        <w:pStyle w:val="Heading2"/>
        <w:keepNext w:val="0"/>
        <w:widowControl w:val="0"/>
        <w:spacing w:before="240" w:after="120"/>
        <w:jc w:val="both"/>
        <w:rPr>
          <w:rFonts w:ascii="Calibri" w:hAnsi="Calibri" w:cs="Arial"/>
          <w:snapToGrid w:val="0"/>
          <w:sz w:val="28"/>
          <w:szCs w:val="22"/>
          <w:lang w:eastAsia="en-US"/>
        </w:rPr>
      </w:pPr>
      <w:r w:rsidRPr="00E170B8">
        <w:rPr>
          <w:rFonts w:ascii="Calibri" w:hAnsi="Calibri" w:cs="Arial"/>
          <w:snapToGrid w:val="0"/>
          <w:sz w:val="28"/>
          <w:szCs w:val="22"/>
          <w:lang w:eastAsia="en-US"/>
        </w:rPr>
        <w:t>Consumer comments</w:t>
      </w:r>
    </w:p>
    <w:p w:rsidR="003D37AF" w:rsidRPr="00E170B8" w:rsidRDefault="003D37AF" w:rsidP="003D37AF">
      <w:pPr>
        <w:pStyle w:val="Bodytextitalics"/>
        <w:jc w:val="both"/>
        <w:rPr>
          <w:i w:val="0"/>
        </w:rPr>
      </w:pPr>
      <w:r w:rsidRPr="00E170B8">
        <w:rPr>
          <w:i w:val="0"/>
        </w:rPr>
        <w:t>The PBAC noted that no consumer comments were received for this item.</w:t>
      </w:r>
    </w:p>
    <w:p w:rsidR="007B72A6" w:rsidRPr="00E170B8" w:rsidRDefault="005A3173" w:rsidP="005F2CE9">
      <w:pPr>
        <w:pStyle w:val="Heading2"/>
        <w:keepNext w:val="0"/>
        <w:widowControl w:val="0"/>
        <w:spacing w:after="120"/>
        <w:jc w:val="both"/>
        <w:rPr>
          <w:rFonts w:ascii="Calibri" w:hAnsi="Calibri" w:cs="Arial"/>
          <w:i w:val="0"/>
          <w:snapToGrid w:val="0"/>
          <w:sz w:val="28"/>
          <w:szCs w:val="22"/>
          <w:lang w:eastAsia="en-US"/>
        </w:rPr>
      </w:pPr>
      <w:r w:rsidRPr="00E170B8">
        <w:rPr>
          <w:rFonts w:ascii="Calibri" w:hAnsi="Calibri" w:cs="Arial"/>
          <w:i w:val="0"/>
          <w:snapToGrid w:val="0"/>
          <w:sz w:val="28"/>
          <w:szCs w:val="22"/>
          <w:lang w:eastAsia="en-US"/>
        </w:rPr>
        <w:t>Estimated PBS usage &amp; financial implications</w:t>
      </w:r>
    </w:p>
    <w:p w:rsidR="00A0339C" w:rsidRPr="00E170B8" w:rsidRDefault="00A0339C" w:rsidP="00C100C5">
      <w:pPr>
        <w:pStyle w:val="Bodytextitalics"/>
        <w:jc w:val="both"/>
        <w:rPr>
          <w:i w:val="0"/>
        </w:rPr>
      </w:pPr>
      <w:r w:rsidRPr="00E170B8">
        <w:rPr>
          <w:i w:val="0"/>
        </w:rPr>
        <w:t xml:space="preserve">The submission argued that dimethyl fumarate has been listed for 6 years </w:t>
      </w:r>
      <w:r w:rsidR="0032060B" w:rsidRPr="00E170B8">
        <w:rPr>
          <w:i w:val="0"/>
        </w:rPr>
        <w:t>and</w:t>
      </w:r>
      <w:r w:rsidRPr="00E170B8">
        <w:rPr>
          <w:i w:val="0"/>
        </w:rPr>
        <w:t xml:space="preserve"> that utilisation </w:t>
      </w:r>
      <w:r w:rsidR="00BB06C5" w:rsidRPr="00E170B8">
        <w:rPr>
          <w:i w:val="0"/>
        </w:rPr>
        <w:t xml:space="preserve">has </w:t>
      </w:r>
      <w:r w:rsidRPr="00E170B8">
        <w:rPr>
          <w:i w:val="0"/>
        </w:rPr>
        <w:t>stabilised.</w:t>
      </w:r>
    </w:p>
    <w:p w:rsidR="00BB57B2" w:rsidRPr="00E170B8" w:rsidRDefault="00BB57B2" w:rsidP="00BB57B2">
      <w:pPr>
        <w:pStyle w:val="Bodytextitalics"/>
        <w:jc w:val="both"/>
        <w:rPr>
          <w:i w:val="0"/>
        </w:rPr>
      </w:pPr>
      <w:r w:rsidRPr="00E170B8">
        <w:rPr>
          <w:i w:val="0"/>
        </w:rPr>
        <w:t>The sponsor claimed that the change in authority level would not significantly affect utilisation rates or financial implications as the market for oral therapy for RRMS had stabilised. However, the minor submission did not present estimates of the financial impact of potential changes in utilisation rates resulting from the change in authority level.</w:t>
      </w:r>
    </w:p>
    <w:p w:rsidR="00C53AD9" w:rsidRPr="00E170B8" w:rsidRDefault="00C53AD9" w:rsidP="00C100C5">
      <w:pPr>
        <w:pStyle w:val="Bodytextitalics"/>
        <w:jc w:val="both"/>
        <w:rPr>
          <w:i w:val="0"/>
        </w:rPr>
      </w:pPr>
      <w:r w:rsidRPr="00E170B8">
        <w:rPr>
          <w:i w:val="0"/>
        </w:rPr>
        <w:t>An analysis o</w:t>
      </w:r>
      <w:r w:rsidR="005378DE" w:rsidRPr="00E170B8">
        <w:rPr>
          <w:i w:val="0"/>
        </w:rPr>
        <w:t>f</w:t>
      </w:r>
      <w:r w:rsidRPr="00E170B8">
        <w:rPr>
          <w:i w:val="0"/>
        </w:rPr>
        <w:t xml:space="preserve"> the utilisation of PBS listed medicines for multiple sclerosis was undertaken by the DUSC Secretariat. Patient and prescription numbers have stabilised for most MS therapies over the period 1 July 2017 to 30 June 2019 (F</w:t>
      </w:r>
      <w:r w:rsidR="00EE292E" w:rsidRPr="00E170B8">
        <w:rPr>
          <w:i w:val="0"/>
        </w:rPr>
        <w:t>igure 1</w:t>
      </w:r>
      <w:r w:rsidRPr="00E170B8">
        <w:rPr>
          <w:i w:val="0"/>
        </w:rPr>
        <w:t xml:space="preserve">). </w:t>
      </w:r>
    </w:p>
    <w:p w:rsidR="00C53AD9" w:rsidRPr="00E170B8" w:rsidRDefault="00C53AD9" w:rsidP="00850B2D">
      <w:pPr>
        <w:pStyle w:val="Tabletitles"/>
        <w:keepNext/>
        <w:keepLines/>
      </w:pPr>
      <w:r w:rsidRPr="00E170B8">
        <w:lastRenderedPageBreak/>
        <w:t>F</w:t>
      </w:r>
      <w:r w:rsidR="00EE292E" w:rsidRPr="00E170B8">
        <w:t>igure 1</w:t>
      </w:r>
      <w:r w:rsidR="005378DE" w:rsidRPr="00E170B8">
        <w:t>:</w:t>
      </w:r>
      <w:r w:rsidRPr="00E170B8">
        <w:t xml:space="preserve"> Number of patients by RRMS therapy (1 July 201</w:t>
      </w:r>
      <w:r w:rsidR="00BB57B2">
        <w:t>5</w:t>
      </w:r>
      <w:r w:rsidRPr="00E170B8">
        <w:t xml:space="preserve"> – 30 June 2019)</w:t>
      </w:r>
    </w:p>
    <w:p w:rsidR="00C53AD9" w:rsidRPr="00E170B8" w:rsidRDefault="00C53AD9" w:rsidP="00850B2D">
      <w:pPr>
        <w:pStyle w:val="Tabletitles"/>
        <w:keepNext/>
        <w:keepLines/>
        <w:rPr>
          <w:b w:val="0"/>
          <w:sz w:val="18"/>
          <w:szCs w:val="18"/>
        </w:rPr>
      </w:pPr>
      <w:r w:rsidRPr="00E170B8">
        <w:rPr>
          <w:noProof/>
        </w:rPr>
        <w:drawing>
          <wp:inline distT="0" distB="0" distL="0" distR="0" wp14:anchorId="26446CB2" wp14:editId="2A0ABED5">
            <wp:extent cx="5742940" cy="3719195"/>
            <wp:effectExtent l="0" t="0" r="0" b="0"/>
            <wp:docPr id="6" name="Picture 6" title="Figure 1: Number of patients by RRMS therapy (1 July 2015 – 30 Jun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3719195"/>
                    </a:xfrm>
                    <a:prstGeom prst="rect">
                      <a:avLst/>
                    </a:prstGeom>
                    <a:noFill/>
                  </pic:spPr>
                </pic:pic>
              </a:graphicData>
            </a:graphic>
          </wp:inline>
        </w:drawing>
      </w:r>
      <w:r w:rsidRPr="00E170B8">
        <w:rPr>
          <w:b w:val="0"/>
          <w:sz w:val="18"/>
          <w:szCs w:val="18"/>
        </w:rPr>
        <w:t>Source: DHS Pharmacy Claims database</w:t>
      </w:r>
    </w:p>
    <w:p w:rsidR="00CC17F0" w:rsidRPr="00E170B8" w:rsidRDefault="00CC17F0" w:rsidP="00850B2D">
      <w:pPr>
        <w:pStyle w:val="Tabletitles"/>
        <w:keepNext/>
        <w:keepLines/>
        <w:rPr>
          <w:sz w:val="18"/>
          <w:szCs w:val="18"/>
        </w:rPr>
      </w:pPr>
    </w:p>
    <w:p w:rsidR="00A732B7" w:rsidRPr="00E170B8" w:rsidRDefault="00A732B7" w:rsidP="005378DE">
      <w:pPr>
        <w:pStyle w:val="Bodytextitalics"/>
        <w:jc w:val="both"/>
        <w:rPr>
          <w:i w:val="0"/>
        </w:rPr>
      </w:pPr>
      <w:r w:rsidRPr="00E170B8">
        <w:rPr>
          <w:i w:val="0"/>
        </w:rPr>
        <w:t xml:space="preserve">The </w:t>
      </w:r>
      <w:r w:rsidR="0010122D" w:rsidRPr="00E170B8">
        <w:rPr>
          <w:i w:val="0"/>
        </w:rPr>
        <w:t xml:space="preserve">most recent </w:t>
      </w:r>
      <w:r w:rsidRPr="00E170B8">
        <w:rPr>
          <w:i w:val="0"/>
        </w:rPr>
        <w:t>consensus</w:t>
      </w:r>
      <w:r w:rsidR="0010122D" w:rsidRPr="00E170B8">
        <w:rPr>
          <w:i w:val="0"/>
        </w:rPr>
        <w:t xml:space="preserve"> statement</w:t>
      </w:r>
      <w:r w:rsidRPr="00E170B8">
        <w:rPr>
          <w:i w:val="0"/>
        </w:rPr>
        <w:t xml:space="preserve"> regarding treatment of patients with RRMS is reported by </w:t>
      </w:r>
      <w:proofErr w:type="spellStart"/>
      <w:r w:rsidRPr="00E170B8">
        <w:rPr>
          <w:i w:val="0"/>
        </w:rPr>
        <w:t>Broadley</w:t>
      </w:r>
      <w:proofErr w:type="spellEnd"/>
      <w:r w:rsidRPr="00E170B8">
        <w:rPr>
          <w:i w:val="0"/>
        </w:rPr>
        <w:t xml:space="preserve"> et al 2015 in the Medical Journal of Australia.</w:t>
      </w:r>
      <w:r w:rsidR="00331590" w:rsidRPr="00E170B8">
        <w:rPr>
          <w:i w:val="0"/>
        </w:rPr>
        <w:t xml:space="preserve"> All of the medicines listed in Table 1 have the same place in therapy</w:t>
      </w:r>
      <w:r w:rsidR="0010122D" w:rsidRPr="00E170B8">
        <w:rPr>
          <w:i w:val="0"/>
        </w:rPr>
        <w:t xml:space="preserve">, with no preference given to any of the treatments, however </w:t>
      </w:r>
      <w:proofErr w:type="spellStart"/>
      <w:r w:rsidR="0010122D" w:rsidRPr="00E170B8">
        <w:rPr>
          <w:i w:val="0"/>
        </w:rPr>
        <w:t>ocrelizumab</w:t>
      </w:r>
      <w:proofErr w:type="spellEnd"/>
      <w:r w:rsidR="0010122D" w:rsidRPr="00E170B8">
        <w:rPr>
          <w:i w:val="0"/>
        </w:rPr>
        <w:t xml:space="preserve"> and </w:t>
      </w:r>
      <w:proofErr w:type="spellStart"/>
      <w:r w:rsidR="0010122D" w:rsidRPr="00E170B8">
        <w:rPr>
          <w:i w:val="0"/>
        </w:rPr>
        <w:t>cladribine</w:t>
      </w:r>
      <w:proofErr w:type="spellEnd"/>
      <w:r w:rsidR="0010122D" w:rsidRPr="00E170B8">
        <w:rPr>
          <w:i w:val="0"/>
        </w:rPr>
        <w:t xml:space="preserve"> were not registered at the time the consensus statement was published (2015)</w:t>
      </w:r>
      <w:r w:rsidR="00331590" w:rsidRPr="00E170B8">
        <w:rPr>
          <w:i w:val="0"/>
        </w:rPr>
        <w:t xml:space="preserve">. </w:t>
      </w:r>
    </w:p>
    <w:p w:rsidR="00BA347C" w:rsidRPr="00E170B8" w:rsidRDefault="00F22BEC" w:rsidP="005378DE">
      <w:pPr>
        <w:pStyle w:val="ListParagraph"/>
        <w:widowControl/>
        <w:numPr>
          <w:ilvl w:val="1"/>
          <w:numId w:val="1"/>
        </w:numPr>
        <w:spacing w:after="120"/>
        <w:contextualSpacing w:val="0"/>
        <w:rPr>
          <w:rFonts w:asciiTheme="minorHAnsi" w:hAnsiTheme="minorHAnsi"/>
          <w:sz w:val="24"/>
          <w:szCs w:val="24"/>
        </w:rPr>
      </w:pPr>
      <w:r w:rsidRPr="00E170B8">
        <w:rPr>
          <w:rFonts w:asciiTheme="minorHAnsi" w:hAnsiTheme="minorHAnsi"/>
          <w:sz w:val="24"/>
          <w:szCs w:val="24"/>
        </w:rPr>
        <w:t>Reducing the authority level for oral therapies may result in increased use</w:t>
      </w:r>
      <w:r w:rsidR="003455DE" w:rsidRPr="00E170B8">
        <w:rPr>
          <w:rFonts w:asciiTheme="minorHAnsi" w:hAnsiTheme="minorHAnsi"/>
          <w:sz w:val="24"/>
          <w:szCs w:val="24"/>
        </w:rPr>
        <w:t xml:space="preserve"> of oral therapies in place of injectable </w:t>
      </w:r>
      <w:r w:rsidR="00835C0D" w:rsidRPr="00E170B8">
        <w:rPr>
          <w:rFonts w:asciiTheme="minorHAnsi" w:hAnsiTheme="minorHAnsi"/>
          <w:sz w:val="24"/>
          <w:szCs w:val="24"/>
        </w:rPr>
        <w:t>therapies that are currently</w:t>
      </w:r>
      <w:r w:rsidR="00731E76" w:rsidRPr="00E170B8">
        <w:rPr>
          <w:rFonts w:asciiTheme="minorHAnsi" w:hAnsiTheme="minorHAnsi"/>
          <w:sz w:val="24"/>
          <w:szCs w:val="24"/>
        </w:rPr>
        <w:t xml:space="preserve"> available as Authority Required (STREAMLINED)</w:t>
      </w:r>
      <w:r w:rsidR="00053535" w:rsidRPr="00E170B8">
        <w:rPr>
          <w:rFonts w:asciiTheme="minorHAnsi" w:hAnsiTheme="minorHAnsi"/>
          <w:sz w:val="24"/>
          <w:szCs w:val="24"/>
        </w:rPr>
        <w:t>, due to the reduced administrative burden</w:t>
      </w:r>
      <w:r w:rsidRPr="00E170B8">
        <w:rPr>
          <w:rFonts w:asciiTheme="minorHAnsi" w:hAnsiTheme="minorHAnsi"/>
          <w:sz w:val="24"/>
          <w:szCs w:val="24"/>
        </w:rPr>
        <w:t>. It is unlikely that this change will affect the total size</w:t>
      </w:r>
      <w:r w:rsidR="001142DC" w:rsidRPr="00E170B8">
        <w:rPr>
          <w:rFonts w:asciiTheme="minorHAnsi" w:hAnsiTheme="minorHAnsi"/>
          <w:sz w:val="24"/>
          <w:szCs w:val="24"/>
        </w:rPr>
        <w:t xml:space="preserve"> of the market for RRMS therapy.</w:t>
      </w:r>
      <w:r w:rsidRPr="00E170B8">
        <w:rPr>
          <w:rFonts w:asciiTheme="minorHAnsi" w:hAnsiTheme="minorHAnsi"/>
          <w:sz w:val="24"/>
          <w:szCs w:val="24"/>
        </w:rPr>
        <w:t xml:space="preserve"> </w:t>
      </w:r>
    </w:p>
    <w:p w:rsidR="0070496C" w:rsidRPr="00E170B8" w:rsidRDefault="0070496C" w:rsidP="005378DE">
      <w:pPr>
        <w:pStyle w:val="ListParagraph"/>
        <w:widowControl/>
        <w:numPr>
          <w:ilvl w:val="1"/>
          <w:numId w:val="1"/>
        </w:numPr>
        <w:spacing w:after="120"/>
        <w:contextualSpacing w:val="0"/>
        <w:rPr>
          <w:rFonts w:asciiTheme="minorHAnsi" w:hAnsiTheme="minorHAnsi"/>
          <w:sz w:val="24"/>
          <w:szCs w:val="24"/>
        </w:rPr>
      </w:pPr>
      <w:r w:rsidRPr="00E170B8">
        <w:rPr>
          <w:rFonts w:asciiTheme="minorHAnsi" w:hAnsiTheme="minorHAnsi"/>
          <w:sz w:val="24"/>
          <w:szCs w:val="24"/>
        </w:rPr>
        <w:t>The AEMP for dimethyl fumarate 240mg</w:t>
      </w:r>
      <w:r w:rsidR="008F1C66" w:rsidRPr="00E170B8">
        <w:rPr>
          <w:rFonts w:asciiTheme="minorHAnsi" w:hAnsiTheme="minorHAnsi"/>
          <w:sz w:val="24"/>
          <w:szCs w:val="24"/>
        </w:rPr>
        <w:t xml:space="preserve"> (maintenance dose)</w:t>
      </w:r>
      <w:r w:rsidRPr="00E170B8">
        <w:rPr>
          <w:rFonts w:asciiTheme="minorHAnsi" w:hAnsiTheme="minorHAnsi"/>
          <w:sz w:val="24"/>
          <w:szCs w:val="24"/>
        </w:rPr>
        <w:t xml:space="preserve"> is</w:t>
      </w:r>
      <w:r w:rsidR="00EA4901" w:rsidRPr="00E170B8">
        <w:rPr>
          <w:rFonts w:asciiTheme="minorHAnsi" w:hAnsiTheme="minorHAnsi"/>
          <w:sz w:val="24"/>
          <w:szCs w:val="24"/>
        </w:rPr>
        <w:t xml:space="preserve"> greater than that for </w:t>
      </w:r>
      <w:proofErr w:type="spellStart"/>
      <w:r w:rsidR="00EA4901" w:rsidRPr="00E170B8">
        <w:rPr>
          <w:rFonts w:asciiTheme="minorHAnsi" w:hAnsiTheme="minorHAnsi"/>
          <w:sz w:val="24"/>
          <w:szCs w:val="24"/>
        </w:rPr>
        <w:t>glatirame</w:t>
      </w:r>
      <w:r w:rsidRPr="00E170B8">
        <w:rPr>
          <w:rFonts w:asciiTheme="minorHAnsi" w:hAnsiTheme="minorHAnsi"/>
          <w:sz w:val="24"/>
          <w:szCs w:val="24"/>
        </w:rPr>
        <w:t>r</w:t>
      </w:r>
      <w:proofErr w:type="spellEnd"/>
      <w:r w:rsidR="008F1C66" w:rsidRPr="00E170B8">
        <w:rPr>
          <w:rFonts w:asciiTheme="minorHAnsi" w:hAnsiTheme="minorHAnsi"/>
          <w:sz w:val="24"/>
          <w:szCs w:val="24"/>
        </w:rPr>
        <w:t>,</w:t>
      </w:r>
      <w:r w:rsidRPr="00E170B8">
        <w:rPr>
          <w:rFonts w:asciiTheme="minorHAnsi" w:hAnsiTheme="minorHAnsi"/>
          <w:sz w:val="24"/>
          <w:szCs w:val="24"/>
        </w:rPr>
        <w:t xml:space="preserve"> interferon beta-1a</w:t>
      </w:r>
      <w:r w:rsidR="008F1C66" w:rsidRPr="00E170B8">
        <w:rPr>
          <w:rFonts w:asciiTheme="minorHAnsi" w:hAnsiTheme="minorHAnsi"/>
          <w:sz w:val="24"/>
          <w:szCs w:val="24"/>
        </w:rPr>
        <w:t>, and interferon beta-1b</w:t>
      </w:r>
      <w:r w:rsidRPr="00E170B8">
        <w:rPr>
          <w:rFonts w:asciiTheme="minorHAnsi" w:hAnsiTheme="minorHAnsi"/>
          <w:sz w:val="24"/>
          <w:szCs w:val="24"/>
        </w:rPr>
        <w:t>.</w:t>
      </w:r>
      <w:r w:rsidR="0008461E" w:rsidRPr="00E170B8">
        <w:rPr>
          <w:rFonts w:asciiTheme="minorHAnsi" w:hAnsiTheme="minorHAnsi"/>
          <w:sz w:val="24"/>
          <w:szCs w:val="24"/>
        </w:rPr>
        <w:t xml:space="preserve"> P</w:t>
      </w:r>
      <w:r w:rsidR="00EA4901" w:rsidRPr="00E170B8">
        <w:rPr>
          <w:rFonts w:asciiTheme="minorHAnsi" w:hAnsiTheme="minorHAnsi"/>
          <w:sz w:val="24"/>
          <w:szCs w:val="24"/>
        </w:rPr>
        <w:t xml:space="preserve">atients switched from </w:t>
      </w:r>
      <w:proofErr w:type="spellStart"/>
      <w:r w:rsidR="00EA4901" w:rsidRPr="00E170B8">
        <w:rPr>
          <w:rFonts w:asciiTheme="minorHAnsi" w:hAnsiTheme="minorHAnsi"/>
          <w:sz w:val="24"/>
          <w:szCs w:val="24"/>
        </w:rPr>
        <w:t>glatiramer</w:t>
      </w:r>
      <w:proofErr w:type="spellEnd"/>
      <w:r w:rsidR="008F1C66" w:rsidRPr="00E170B8">
        <w:rPr>
          <w:rFonts w:asciiTheme="minorHAnsi" w:hAnsiTheme="minorHAnsi"/>
          <w:sz w:val="24"/>
          <w:szCs w:val="24"/>
        </w:rPr>
        <w:t>,</w:t>
      </w:r>
      <w:r w:rsidRPr="00E170B8">
        <w:rPr>
          <w:rFonts w:asciiTheme="minorHAnsi" w:hAnsiTheme="minorHAnsi"/>
          <w:sz w:val="24"/>
          <w:szCs w:val="24"/>
        </w:rPr>
        <w:t xml:space="preserve"> interferon beta-1b </w:t>
      </w:r>
      <w:r w:rsidR="008F1C66" w:rsidRPr="00E170B8">
        <w:rPr>
          <w:rFonts w:asciiTheme="minorHAnsi" w:hAnsiTheme="minorHAnsi"/>
          <w:sz w:val="24"/>
          <w:szCs w:val="24"/>
        </w:rPr>
        <w:t xml:space="preserve">or interferon beta-1b </w:t>
      </w:r>
      <w:r w:rsidRPr="00E170B8">
        <w:rPr>
          <w:rFonts w:asciiTheme="minorHAnsi" w:hAnsiTheme="minorHAnsi"/>
          <w:sz w:val="24"/>
          <w:szCs w:val="24"/>
        </w:rPr>
        <w:t xml:space="preserve">to dimethyl fumarate </w:t>
      </w:r>
      <w:r w:rsidR="005378DE" w:rsidRPr="00E170B8">
        <w:rPr>
          <w:rFonts w:asciiTheme="minorHAnsi" w:hAnsiTheme="minorHAnsi"/>
          <w:sz w:val="24"/>
          <w:szCs w:val="24"/>
        </w:rPr>
        <w:t>would result in</w:t>
      </w:r>
      <w:r w:rsidRPr="00E170B8">
        <w:rPr>
          <w:rFonts w:asciiTheme="minorHAnsi" w:hAnsiTheme="minorHAnsi"/>
          <w:sz w:val="24"/>
          <w:szCs w:val="24"/>
        </w:rPr>
        <w:t xml:space="preserve"> an increased cost to </w:t>
      </w:r>
      <w:r w:rsidR="005378DE" w:rsidRPr="00E170B8">
        <w:rPr>
          <w:rFonts w:asciiTheme="minorHAnsi" w:hAnsiTheme="minorHAnsi"/>
          <w:sz w:val="24"/>
          <w:szCs w:val="24"/>
        </w:rPr>
        <w:t>Government</w:t>
      </w:r>
      <w:r w:rsidRPr="00E170B8">
        <w:rPr>
          <w:rFonts w:asciiTheme="minorHAnsi" w:hAnsiTheme="minorHAnsi"/>
          <w:sz w:val="24"/>
          <w:szCs w:val="24"/>
        </w:rPr>
        <w:t>.</w:t>
      </w:r>
    </w:p>
    <w:p w:rsidR="008F1C66" w:rsidRPr="00E170B8" w:rsidRDefault="008F1C66" w:rsidP="005378DE">
      <w:pPr>
        <w:pStyle w:val="ListParagraph"/>
        <w:widowControl/>
        <w:numPr>
          <w:ilvl w:val="1"/>
          <w:numId w:val="1"/>
        </w:numPr>
        <w:spacing w:after="120"/>
        <w:contextualSpacing w:val="0"/>
        <w:rPr>
          <w:rFonts w:asciiTheme="minorHAnsi" w:hAnsiTheme="minorHAnsi"/>
          <w:sz w:val="24"/>
          <w:szCs w:val="24"/>
        </w:rPr>
      </w:pPr>
      <w:r w:rsidRPr="00E170B8">
        <w:rPr>
          <w:rFonts w:asciiTheme="minorHAnsi" w:hAnsiTheme="minorHAnsi"/>
          <w:sz w:val="24"/>
          <w:szCs w:val="24"/>
        </w:rPr>
        <w:t xml:space="preserve">The AEMP for dimethyl fumarate 240mg (maintenance dose) is less than that for </w:t>
      </w:r>
      <w:proofErr w:type="spellStart"/>
      <w:r w:rsidRPr="00E170B8">
        <w:rPr>
          <w:rFonts w:asciiTheme="minorHAnsi" w:hAnsiTheme="minorHAnsi"/>
          <w:sz w:val="24"/>
          <w:szCs w:val="24"/>
        </w:rPr>
        <w:t>natalizumab</w:t>
      </w:r>
      <w:proofErr w:type="spellEnd"/>
      <w:r w:rsidRPr="00E170B8">
        <w:rPr>
          <w:rFonts w:asciiTheme="minorHAnsi" w:hAnsiTheme="minorHAnsi"/>
          <w:sz w:val="24"/>
          <w:szCs w:val="24"/>
        </w:rPr>
        <w:t>.</w:t>
      </w:r>
      <w:r w:rsidR="0008461E" w:rsidRPr="00E170B8">
        <w:rPr>
          <w:rFonts w:asciiTheme="minorHAnsi" w:hAnsiTheme="minorHAnsi"/>
          <w:sz w:val="24"/>
          <w:szCs w:val="24"/>
        </w:rPr>
        <w:t xml:space="preserve"> P</w:t>
      </w:r>
      <w:r w:rsidRPr="00E170B8">
        <w:rPr>
          <w:rFonts w:asciiTheme="minorHAnsi" w:hAnsiTheme="minorHAnsi"/>
          <w:sz w:val="24"/>
          <w:szCs w:val="24"/>
        </w:rPr>
        <w:t xml:space="preserve">atients switched from </w:t>
      </w:r>
      <w:proofErr w:type="spellStart"/>
      <w:r w:rsidRPr="00E170B8">
        <w:rPr>
          <w:rFonts w:asciiTheme="minorHAnsi" w:hAnsiTheme="minorHAnsi"/>
          <w:sz w:val="24"/>
          <w:szCs w:val="24"/>
        </w:rPr>
        <w:t>natalizumab</w:t>
      </w:r>
      <w:proofErr w:type="spellEnd"/>
      <w:r w:rsidRPr="00E170B8">
        <w:rPr>
          <w:rFonts w:asciiTheme="minorHAnsi" w:hAnsiTheme="minorHAnsi"/>
          <w:sz w:val="24"/>
          <w:szCs w:val="24"/>
        </w:rPr>
        <w:t xml:space="preserve"> to dimethyl fumarate </w:t>
      </w:r>
      <w:r w:rsidR="00216607" w:rsidRPr="00E170B8">
        <w:rPr>
          <w:rFonts w:asciiTheme="minorHAnsi" w:hAnsiTheme="minorHAnsi"/>
          <w:sz w:val="24"/>
          <w:szCs w:val="24"/>
        </w:rPr>
        <w:t>w</w:t>
      </w:r>
      <w:r w:rsidR="00216607">
        <w:rPr>
          <w:rFonts w:asciiTheme="minorHAnsi" w:hAnsiTheme="minorHAnsi"/>
          <w:sz w:val="24"/>
          <w:szCs w:val="24"/>
        </w:rPr>
        <w:t>ould</w:t>
      </w:r>
      <w:r w:rsidR="00216607" w:rsidRPr="00E170B8">
        <w:rPr>
          <w:rFonts w:asciiTheme="minorHAnsi" w:hAnsiTheme="minorHAnsi"/>
          <w:sz w:val="24"/>
          <w:szCs w:val="24"/>
        </w:rPr>
        <w:t xml:space="preserve"> </w:t>
      </w:r>
      <w:r w:rsidRPr="00E170B8">
        <w:rPr>
          <w:rFonts w:asciiTheme="minorHAnsi" w:hAnsiTheme="minorHAnsi"/>
          <w:sz w:val="24"/>
          <w:szCs w:val="24"/>
        </w:rPr>
        <w:t xml:space="preserve">result in </w:t>
      </w:r>
      <w:r w:rsidR="0080760D" w:rsidRPr="00E170B8">
        <w:rPr>
          <w:rFonts w:asciiTheme="minorHAnsi" w:hAnsiTheme="minorHAnsi"/>
          <w:sz w:val="24"/>
          <w:szCs w:val="24"/>
        </w:rPr>
        <w:t>reduced cost</w:t>
      </w:r>
      <w:r w:rsidRPr="00E170B8">
        <w:rPr>
          <w:rFonts w:asciiTheme="minorHAnsi" w:hAnsiTheme="minorHAnsi"/>
          <w:sz w:val="24"/>
          <w:szCs w:val="24"/>
        </w:rPr>
        <w:t xml:space="preserve"> to the Commonwealth.</w:t>
      </w:r>
      <w:r w:rsidR="007E7962" w:rsidRPr="00E170B8">
        <w:rPr>
          <w:rFonts w:asciiTheme="minorHAnsi" w:hAnsiTheme="minorHAnsi"/>
          <w:sz w:val="24"/>
          <w:szCs w:val="24"/>
        </w:rPr>
        <w:t xml:space="preserve"> </w:t>
      </w:r>
    </w:p>
    <w:p w:rsidR="00250468" w:rsidRPr="00E170B8" w:rsidRDefault="00250468" w:rsidP="00FD691B">
      <w:pPr>
        <w:rPr>
          <w:rFonts w:ascii="Calibri" w:hAnsi="Calibri" w:cs="Arial"/>
          <w:b/>
          <w:snapToGrid w:val="0"/>
          <w:szCs w:val="22"/>
          <w:u w:val="single"/>
          <w:lang w:eastAsia="en-US"/>
        </w:rPr>
      </w:pPr>
    </w:p>
    <w:p w:rsidR="00A41BF5" w:rsidRPr="00022C3A" w:rsidRDefault="003D37AF">
      <w:pPr>
        <w:rPr>
          <w:rFonts w:asciiTheme="minorHAnsi" w:hAnsiTheme="minorHAnsi"/>
          <w:i/>
        </w:rPr>
      </w:pPr>
      <w:r w:rsidRPr="00E170B8">
        <w:rPr>
          <w:rFonts w:asciiTheme="minorHAnsi" w:hAnsiTheme="minorHAnsi"/>
          <w:i/>
        </w:rPr>
        <w:t xml:space="preserve">For more detail on PBAC’s view, see </w:t>
      </w:r>
      <w:r w:rsidR="00AD0FA1" w:rsidRPr="00E170B8">
        <w:rPr>
          <w:rFonts w:asciiTheme="minorHAnsi" w:hAnsiTheme="minorHAnsi"/>
          <w:i/>
        </w:rPr>
        <w:t>section 5</w:t>
      </w:r>
      <w:r w:rsidRPr="00E170B8">
        <w:rPr>
          <w:rFonts w:asciiTheme="minorHAnsi" w:hAnsiTheme="minorHAnsi"/>
          <w:i/>
        </w:rPr>
        <w:t xml:space="preserve"> PBAC outcome.</w:t>
      </w:r>
    </w:p>
    <w:p w:rsidR="003D37AF" w:rsidRPr="00E170B8" w:rsidRDefault="003D37AF" w:rsidP="0012597B">
      <w:pPr>
        <w:pStyle w:val="2Sections"/>
      </w:pPr>
      <w:r w:rsidRPr="00E170B8">
        <w:lastRenderedPageBreak/>
        <w:t>PBAC Outcome</w:t>
      </w:r>
    </w:p>
    <w:p w:rsidR="00E15FFC" w:rsidRDefault="00E15FFC" w:rsidP="00E15FFC">
      <w:pPr>
        <w:widowControl w:val="0"/>
        <w:numPr>
          <w:ilvl w:val="1"/>
          <w:numId w:val="1"/>
        </w:numPr>
        <w:spacing w:after="120"/>
        <w:jc w:val="both"/>
        <w:rPr>
          <w:rFonts w:asciiTheme="minorHAnsi" w:hAnsiTheme="minorHAnsi" w:cs="Arial"/>
          <w:bCs/>
          <w:snapToGrid w:val="0"/>
        </w:rPr>
      </w:pPr>
      <w:r w:rsidRPr="00E170B8">
        <w:rPr>
          <w:rFonts w:asciiTheme="minorHAnsi" w:hAnsiTheme="minorHAnsi" w:cs="Arial"/>
          <w:bCs/>
          <w:snapToGrid w:val="0"/>
        </w:rPr>
        <w:t xml:space="preserve">The PBAC recommended </w:t>
      </w:r>
      <w:r>
        <w:rPr>
          <w:rFonts w:asciiTheme="minorHAnsi" w:hAnsiTheme="minorHAnsi" w:cs="Arial"/>
          <w:bCs/>
          <w:snapToGrid w:val="0"/>
        </w:rPr>
        <w:t xml:space="preserve">amending </w:t>
      </w:r>
      <w:r w:rsidRPr="00E170B8">
        <w:rPr>
          <w:rFonts w:asciiTheme="minorHAnsi" w:hAnsiTheme="minorHAnsi" w:cs="Arial"/>
          <w:bCs/>
          <w:snapToGrid w:val="0"/>
        </w:rPr>
        <w:t xml:space="preserve">the listing of </w:t>
      </w:r>
      <w:r>
        <w:rPr>
          <w:rFonts w:asciiTheme="minorHAnsi" w:hAnsiTheme="minorHAnsi" w:cs="Arial"/>
          <w:bCs/>
          <w:snapToGrid w:val="0"/>
        </w:rPr>
        <w:t>dimethyl fumarate to Authority Required (STREAMLINED) for the treatment of relapsing remitting multiple sclerosis (RRMS).</w:t>
      </w:r>
    </w:p>
    <w:p w:rsidR="002121C3" w:rsidRDefault="002121C3" w:rsidP="002121C3">
      <w:pPr>
        <w:widowControl w:val="0"/>
        <w:numPr>
          <w:ilvl w:val="1"/>
          <w:numId w:val="1"/>
        </w:numPr>
        <w:spacing w:after="120"/>
        <w:jc w:val="both"/>
        <w:rPr>
          <w:rFonts w:asciiTheme="minorHAnsi" w:hAnsiTheme="minorHAnsi" w:cs="Arial"/>
          <w:bCs/>
          <w:snapToGrid w:val="0"/>
        </w:rPr>
      </w:pPr>
      <w:r>
        <w:rPr>
          <w:rFonts w:asciiTheme="minorHAnsi" w:hAnsiTheme="minorHAnsi" w:cs="Arial"/>
          <w:bCs/>
          <w:snapToGrid w:val="0"/>
        </w:rPr>
        <w:t xml:space="preserve">The PBAC </w:t>
      </w:r>
      <w:r w:rsidR="00965045">
        <w:rPr>
          <w:rFonts w:asciiTheme="minorHAnsi" w:hAnsiTheme="minorHAnsi" w:cs="Arial"/>
          <w:bCs/>
          <w:snapToGrid w:val="0"/>
        </w:rPr>
        <w:t xml:space="preserve">also </w:t>
      </w:r>
      <w:r>
        <w:rPr>
          <w:rFonts w:asciiTheme="minorHAnsi" w:hAnsiTheme="minorHAnsi" w:cs="Arial"/>
          <w:bCs/>
          <w:snapToGrid w:val="0"/>
        </w:rPr>
        <w:t>recommended amending the listing</w:t>
      </w:r>
      <w:r w:rsidR="00965045">
        <w:rPr>
          <w:rFonts w:asciiTheme="minorHAnsi" w:hAnsiTheme="minorHAnsi" w:cs="Arial"/>
          <w:bCs/>
          <w:snapToGrid w:val="0"/>
        </w:rPr>
        <w:t>s</w:t>
      </w:r>
      <w:r>
        <w:rPr>
          <w:rFonts w:asciiTheme="minorHAnsi" w:hAnsiTheme="minorHAnsi" w:cs="Arial"/>
          <w:bCs/>
          <w:snapToGrid w:val="0"/>
        </w:rPr>
        <w:t xml:space="preserve"> of </w:t>
      </w:r>
      <w:proofErr w:type="spellStart"/>
      <w:r w:rsidRPr="002121C3">
        <w:rPr>
          <w:rFonts w:asciiTheme="minorHAnsi" w:hAnsiTheme="minorHAnsi" w:cs="Arial"/>
          <w:bCs/>
          <w:snapToGrid w:val="0"/>
        </w:rPr>
        <w:t>fingolimod</w:t>
      </w:r>
      <w:proofErr w:type="spellEnd"/>
      <w:r w:rsidRPr="002121C3">
        <w:rPr>
          <w:rFonts w:asciiTheme="minorHAnsi" w:hAnsiTheme="minorHAnsi" w:cs="Arial"/>
          <w:bCs/>
          <w:snapToGrid w:val="0"/>
        </w:rPr>
        <w:t xml:space="preserve">, </w:t>
      </w:r>
      <w:proofErr w:type="spellStart"/>
      <w:r w:rsidRPr="002121C3">
        <w:rPr>
          <w:rFonts w:asciiTheme="minorHAnsi" w:hAnsiTheme="minorHAnsi" w:cs="Arial"/>
          <w:bCs/>
          <w:snapToGrid w:val="0"/>
        </w:rPr>
        <w:t>teriflunomide</w:t>
      </w:r>
      <w:proofErr w:type="spellEnd"/>
      <w:r w:rsidRPr="002121C3">
        <w:rPr>
          <w:rFonts w:asciiTheme="minorHAnsi" w:hAnsiTheme="minorHAnsi" w:cs="Arial"/>
          <w:bCs/>
          <w:snapToGrid w:val="0"/>
        </w:rPr>
        <w:t xml:space="preserve"> and </w:t>
      </w:r>
      <w:proofErr w:type="spellStart"/>
      <w:r w:rsidRPr="002121C3">
        <w:rPr>
          <w:rFonts w:asciiTheme="minorHAnsi" w:hAnsiTheme="minorHAnsi" w:cs="Arial"/>
          <w:bCs/>
          <w:snapToGrid w:val="0"/>
        </w:rPr>
        <w:t>cladribine</w:t>
      </w:r>
      <w:proofErr w:type="spellEnd"/>
      <w:r w:rsidRPr="002121C3">
        <w:rPr>
          <w:rFonts w:asciiTheme="minorHAnsi" w:hAnsiTheme="minorHAnsi" w:cs="Arial"/>
          <w:bCs/>
          <w:snapToGrid w:val="0"/>
        </w:rPr>
        <w:t xml:space="preserve"> to Authority Required (STREAMLINED) for the treatment of RRMS.</w:t>
      </w:r>
    </w:p>
    <w:p w:rsidR="002121C3" w:rsidRDefault="002121C3" w:rsidP="002121C3">
      <w:pPr>
        <w:widowControl w:val="0"/>
        <w:numPr>
          <w:ilvl w:val="1"/>
          <w:numId w:val="1"/>
        </w:numPr>
        <w:spacing w:after="120"/>
        <w:jc w:val="both"/>
        <w:rPr>
          <w:rFonts w:asciiTheme="minorHAnsi" w:hAnsiTheme="minorHAnsi" w:cs="Arial"/>
          <w:bCs/>
          <w:snapToGrid w:val="0"/>
        </w:rPr>
      </w:pPr>
      <w:r w:rsidRPr="002121C3">
        <w:rPr>
          <w:rFonts w:asciiTheme="minorHAnsi" w:hAnsiTheme="minorHAnsi" w:cs="Arial"/>
          <w:bCs/>
          <w:snapToGrid w:val="0"/>
        </w:rPr>
        <w:t xml:space="preserve">The PBAC noted </w:t>
      </w:r>
      <w:r>
        <w:rPr>
          <w:rFonts w:asciiTheme="minorHAnsi" w:hAnsiTheme="minorHAnsi" w:cs="Arial"/>
          <w:bCs/>
          <w:snapToGrid w:val="0"/>
        </w:rPr>
        <w:t xml:space="preserve">that </w:t>
      </w:r>
      <w:r w:rsidRPr="002121C3">
        <w:rPr>
          <w:rFonts w:asciiTheme="minorHAnsi" w:hAnsiTheme="minorHAnsi" w:cs="Arial"/>
          <w:bCs/>
          <w:snapToGrid w:val="0"/>
        </w:rPr>
        <w:t>patient and prescription numbers have stabilised for most MS therapies.</w:t>
      </w:r>
      <w:r w:rsidR="005256D6">
        <w:rPr>
          <w:rFonts w:asciiTheme="minorHAnsi" w:hAnsiTheme="minorHAnsi" w:cs="Arial"/>
          <w:bCs/>
          <w:snapToGrid w:val="0"/>
        </w:rPr>
        <w:t xml:space="preserve"> The PBAC considered that the change of restriction level </w:t>
      </w:r>
      <w:r w:rsidR="00814684">
        <w:rPr>
          <w:rFonts w:asciiTheme="minorHAnsi" w:hAnsiTheme="minorHAnsi" w:cs="Arial"/>
          <w:bCs/>
          <w:snapToGrid w:val="0"/>
        </w:rPr>
        <w:t xml:space="preserve">for oral therapies </w:t>
      </w:r>
      <w:r w:rsidR="005256D6">
        <w:rPr>
          <w:rFonts w:asciiTheme="minorHAnsi" w:hAnsiTheme="minorHAnsi" w:cs="Arial"/>
          <w:bCs/>
          <w:snapToGrid w:val="0"/>
        </w:rPr>
        <w:t xml:space="preserve">would not impact utilisation rates across all RRMS therapies. </w:t>
      </w:r>
      <w:r>
        <w:rPr>
          <w:rFonts w:asciiTheme="minorHAnsi" w:hAnsiTheme="minorHAnsi" w:cs="Arial"/>
          <w:bCs/>
          <w:snapToGrid w:val="0"/>
        </w:rPr>
        <w:t xml:space="preserve"> </w:t>
      </w:r>
    </w:p>
    <w:p w:rsidR="00327BBE" w:rsidRPr="00327BBE" w:rsidRDefault="00327BBE" w:rsidP="00327BBE">
      <w:pPr>
        <w:numPr>
          <w:ilvl w:val="1"/>
          <w:numId w:val="1"/>
        </w:numPr>
        <w:spacing w:after="120"/>
        <w:jc w:val="both"/>
        <w:rPr>
          <w:rFonts w:asciiTheme="minorHAnsi" w:eastAsiaTheme="minorHAnsi" w:hAnsiTheme="minorHAnsi" w:cstheme="minorBidi"/>
          <w:szCs w:val="22"/>
          <w:lang w:eastAsia="en-US"/>
        </w:rPr>
      </w:pPr>
      <w:r w:rsidRPr="00327BBE">
        <w:rPr>
          <w:rFonts w:asciiTheme="minorHAnsi" w:eastAsiaTheme="minorHAnsi" w:hAnsiTheme="minorHAnsi" w:cstheme="minorBidi"/>
          <w:szCs w:val="22"/>
          <w:lang w:eastAsia="en-US"/>
        </w:rPr>
        <w:t xml:space="preserve">The PBAC advised under Section 101 (3BA) of the </w:t>
      </w:r>
      <w:r w:rsidRPr="005256D6">
        <w:rPr>
          <w:rFonts w:asciiTheme="minorHAnsi" w:eastAsiaTheme="minorHAnsi" w:hAnsiTheme="minorHAnsi" w:cstheme="minorBidi"/>
          <w:i/>
          <w:szCs w:val="22"/>
          <w:lang w:eastAsia="en-US"/>
        </w:rPr>
        <w:t>National Health Act 1953</w:t>
      </w:r>
      <w:r w:rsidRPr="00327BBE">
        <w:rPr>
          <w:rFonts w:asciiTheme="minorHAnsi" w:eastAsiaTheme="minorHAnsi" w:hAnsiTheme="minorHAnsi" w:cstheme="minorBidi"/>
          <w:szCs w:val="22"/>
          <w:lang w:eastAsia="en-US"/>
        </w:rPr>
        <w:t xml:space="preserve"> that dimethyl fumarate </w:t>
      </w:r>
      <w:r w:rsidRPr="00327BBE">
        <w:rPr>
          <w:rFonts w:asciiTheme="minorHAnsi" w:hAnsiTheme="minorHAnsi" w:cs="Arial"/>
          <w:bCs/>
          <w:snapToGrid w:val="0"/>
          <w:lang w:val="en-GB"/>
        </w:rPr>
        <w:t>should not be treated as interchangeable with any other drugs</w:t>
      </w:r>
      <w:r>
        <w:rPr>
          <w:rFonts w:asciiTheme="minorHAnsi" w:hAnsiTheme="minorHAnsi" w:cs="Arial"/>
          <w:bCs/>
          <w:snapToGrid w:val="0"/>
          <w:lang w:val="en-GB"/>
        </w:rPr>
        <w:t>.</w:t>
      </w:r>
    </w:p>
    <w:p w:rsidR="00327BBE" w:rsidRPr="00525B39" w:rsidRDefault="00327BBE" w:rsidP="00327BBE">
      <w:pPr>
        <w:pStyle w:val="3Bodytext"/>
        <w:rPr>
          <w:snapToGrid w:val="0"/>
          <w:lang w:val="en-GB"/>
        </w:rPr>
      </w:pPr>
      <w:r w:rsidRPr="00525B39">
        <w:rPr>
          <w:snapToGrid w:val="0"/>
          <w:lang w:val="en-GB"/>
        </w:rPr>
        <w:t xml:space="preserve">The PBAC </w:t>
      </w:r>
      <w:r>
        <w:rPr>
          <w:snapToGrid w:val="0"/>
          <w:lang w:val="en-GB"/>
        </w:rPr>
        <w:t>noted that current arrangements for eligible prescribers and the Early Supply Rule remained appropriate.</w:t>
      </w:r>
      <w:r w:rsidRPr="00525B39">
        <w:rPr>
          <w:snapToGrid w:val="0"/>
          <w:lang w:val="en-GB"/>
        </w:rPr>
        <w:t xml:space="preserve"> </w:t>
      </w:r>
    </w:p>
    <w:p w:rsidR="002121C3" w:rsidRPr="00463BF1" w:rsidRDefault="002121C3" w:rsidP="002121C3">
      <w:pPr>
        <w:pStyle w:val="3Bodytext"/>
        <w:rPr>
          <w:snapToGrid w:val="0"/>
          <w:lang w:val="en-GB"/>
        </w:rPr>
      </w:pPr>
      <w:r w:rsidRPr="002F39A9">
        <w:rPr>
          <w:snapToGrid w:val="0"/>
          <w:lang w:val="en-GB"/>
        </w:rPr>
        <w:t xml:space="preserve">The PBAC noted that this submission is not eligible for an Independent Review as it received a positive recommendation. </w:t>
      </w:r>
    </w:p>
    <w:p w:rsidR="003D37AF" w:rsidRPr="00E170B8" w:rsidRDefault="003D37AF" w:rsidP="003D37AF">
      <w:pPr>
        <w:spacing w:before="240"/>
        <w:jc w:val="both"/>
        <w:rPr>
          <w:rFonts w:asciiTheme="minorHAnsi" w:hAnsiTheme="minorHAnsi" w:cs="Arial"/>
          <w:b/>
          <w:bCs/>
          <w:snapToGrid w:val="0"/>
        </w:rPr>
      </w:pPr>
      <w:r w:rsidRPr="00E170B8">
        <w:rPr>
          <w:rFonts w:asciiTheme="minorHAnsi" w:hAnsiTheme="minorHAnsi" w:cs="Arial"/>
          <w:b/>
          <w:bCs/>
          <w:snapToGrid w:val="0"/>
        </w:rPr>
        <w:t>Outcome:</w:t>
      </w:r>
    </w:p>
    <w:p w:rsidR="003D37AF" w:rsidRPr="00130E32" w:rsidRDefault="003D37AF" w:rsidP="00130E32">
      <w:pPr>
        <w:jc w:val="both"/>
        <w:rPr>
          <w:rFonts w:asciiTheme="minorHAnsi" w:hAnsiTheme="minorHAnsi" w:cs="Arial"/>
          <w:bCs/>
          <w:snapToGrid w:val="0"/>
        </w:rPr>
      </w:pPr>
      <w:r w:rsidRPr="00E170B8">
        <w:rPr>
          <w:rFonts w:asciiTheme="minorHAnsi" w:hAnsiTheme="minorHAnsi" w:cs="Arial"/>
          <w:bCs/>
          <w:snapToGrid w:val="0"/>
        </w:rPr>
        <w:t xml:space="preserve">Recommended </w:t>
      </w:r>
    </w:p>
    <w:p w:rsidR="0012597B" w:rsidRDefault="003D37AF" w:rsidP="007B272E">
      <w:pPr>
        <w:pStyle w:val="2Sections"/>
        <w:rPr>
          <w:i/>
        </w:rPr>
      </w:pPr>
      <w:r w:rsidRPr="00E170B8">
        <w:t>Recommended listing</w:t>
      </w:r>
    </w:p>
    <w:p w:rsidR="003D37AF" w:rsidRPr="0012597B" w:rsidRDefault="003D37AF" w:rsidP="0012597B">
      <w:pPr>
        <w:pStyle w:val="3Bodytext"/>
        <w:rPr>
          <w:rFonts w:cs="Arial"/>
          <w:bCs/>
          <w:snapToGrid w:val="0"/>
        </w:rPr>
      </w:pPr>
      <w:r w:rsidRPr="0012597B">
        <w:rPr>
          <w:lang w:eastAsia="en-US"/>
        </w:rPr>
        <w:t>Amend existing listing</w:t>
      </w:r>
      <w:r w:rsidR="00B80B27">
        <w:rPr>
          <w:lang w:eastAsia="en-US"/>
        </w:rPr>
        <w:t>s</w:t>
      </w:r>
      <w:r w:rsidRPr="0012597B">
        <w:rPr>
          <w:lang w:eastAsia="en-US"/>
        </w:rPr>
        <w:t xml:space="preserve"> </w:t>
      </w:r>
      <w:r w:rsidR="00B80B27">
        <w:rPr>
          <w:lang w:eastAsia="en-US"/>
        </w:rPr>
        <w:t xml:space="preserve">2896K, 2943X and 2966D </w:t>
      </w:r>
      <w:r w:rsidR="004915CF">
        <w:rPr>
          <w:lang w:eastAsia="en-US"/>
        </w:rPr>
        <w:t xml:space="preserve">(dimethyl fumarate) </w:t>
      </w:r>
      <w:r w:rsidRPr="0012597B">
        <w:rPr>
          <w:lang w:eastAsia="en-US"/>
        </w:rPr>
        <w:t>as follows:</w:t>
      </w:r>
    </w:p>
    <w:p w:rsidR="0012597B" w:rsidRDefault="00B80B27" w:rsidP="00B80B27">
      <w:pPr>
        <w:pStyle w:val="3Bodytext"/>
        <w:numPr>
          <w:ilvl w:val="0"/>
          <w:numId w:val="0"/>
        </w:numPr>
        <w:ind w:left="720"/>
        <w:rPr>
          <w:rFonts w:cs="Arial"/>
          <w:bCs/>
          <w:snapToGrid w:val="0"/>
        </w:rPr>
      </w:pPr>
      <w:r>
        <w:rPr>
          <w:rFonts w:cs="Arial"/>
          <w:bCs/>
          <w:snapToGrid w:val="0"/>
        </w:rPr>
        <w:t>Change restriction level from Authority Required (Telephone) to Authority Required (STREAMLINED).</w:t>
      </w:r>
    </w:p>
    <w:p w:rsidR="004A3F94" w:rsidRPr="004A3F94" w:rsidRDefault="004A3F94" w:rsidP="004A3F94">
      <w:pPr>
        <w:pStyle w:val="3Bodytext"/>
        <w:rPr>
          <w:rFonts w:cs="Arial"/>
          <w:bCs/>
          <w:snapToGrid w:val="0"/>
        </w:rPr>
      </w:pPr>
      <w:r w:rsidRPr="0012597B">
        <w:rPr>
          <w:lang w:eastAsia="en-US"/>
        </w:rPr>
        <w:t>Amend existing listing</w:t>
      </w:r>
      <w:r>
        <w:rPr>
          <w:lang w:eastAsia="en-US"/>
        </w:rPr>
        <w:t>s</w:t>
      </w:r>
      <w:r w:rsidRPr="0012597B">
        <w:rPr>
          <w:lang w:eastAsia="en-US"/>
        </w:rPr>
        <w:t xml:space="preserve"> </w:t>
      </w:r>
      <w:r w:rsidR="004F1728">
        <w:rPr>
          <w:lang w:eastAsia="en-US"/>
        </w:rPr>
        <w:t>11818B and 5262Y</w:t>
      </w:r>
      <w:r>
        <w:rPr>
          <w:lang w:eastAsia="en-US"/>
        </w:rPr>
        <w:t xml:space="preserve"> </w:t>
      </w:r>
      <w:r w:rsidR="004915CF">
        <w:rPr>
          <w:lang w:eastAsia="en-US"/>
        </w:rPr>
        <w:t>(</w:t>
      </w:r>
      <w:proofErr w:type="spellStart"/>
      <w:r w:rsidR="004915CF">
        <w:rPr>
          <w:lang w:eastAsia="en-US"/>
        </w:rPr>
        <w:t>fingolimod</w:t>
      </w:r>
      <w:proofErr w:type="spellEnd"/>
      <w:r w:rsidR="004915CF">
        <w:rPr>
          <w:lang w:eastAsia="en-US"/>
        </w:rPr>
        <w:t xml:space="preserve">) </w:t>
      </w:r>
      <w:r w:rsidRPr="0012597B">
        <w:rPr>
          <w:lang w:eastAsia="en-US"/>
        </w:rPr>
        <w:t>as follows:</w:t>
      </w:r>
    </w:p>
    <w:p w:rsidR="004A3F94" w:rsidRPr="004A3F94" w:rsidRDefault="004A3F94" w:rsidP="004A3F94">
      <w:pPr>
        <w:pStyle w:val="3Bodytext"/>
        <w:numPr>
          <w:ilvl w:val="0"/>
          <w:numId w:val="0"/>
        </w:numPr>
        <w:ind w:left="720"/>
        <w:rPr>
          <w:rFonts w:cs="Arial"/>
          <w:bCs/>
          <w:snapToGrid w:val="0"/>
        </w:rPr>
      </w:pPr>
      <w:r w:rsidRPr="004A3F94">
        <w:rPr>
          <w:rFonts w:cs="Arial"/>
          <w:bCs/>
          <w:snapToGrid w:val="0"/>
        </w:rPr>
        <w:t>Change restriction level from Authority Required (Telephone) to Authority Required (STREAMLINED).</w:t>
      </w:r>
    </w:p>
    <w:p w:rsidR="004A3F94" w:rsidRPr="004A3F94" w:rsidRDefault="004A3F94" w:rsidP="004A3F94">
      <w:pPr>
        <w:pStyle w:val="3Bodytext"/>
        <w:rPr>
          <w:rFonts w:cs="Arial"/>
          <w:bCs/>
          <w:snapToGrid w:val="0"/>
        </w:rPr>
      </w:pPr>
      <w:r w:rsidRPr="0012597B">
        <w:rPr>
          <w:lang w:eastAsia="en-US"/>
        </w:rPr>
        <w:t xml:space="preserve">Amend existing listing </w:t>
      </w:r>
      <w:r w:rsidR="004F1728">
        <w:rPr>
          <w:lang w:eastAsia="en-US"/>
        </w:rPr>
        <w:t>2898M</w:t>
      </w:r>
      <w:r>
        <w:rPr>
          <w:lang w:eastAsia="en-US"/>
        </w:rPr>
        <w:t xml:space="preserve"> </w:t>
      </w:r>
      <w:r w:rsidR="003F2ECB">
        <w:rPr>
          <w:lang w:eastAsia="en-US"/>
        </w:rPr>
        <w:t>(</w:t>
      </w:r>
      <w:proofErr w:type="spellStart"/>
      <w:r w:rsidR="003F2ECB">
        <w:rPr>
          <w:lang w:eastAsia="en-US"/>
        </w:rPr>
        <w:t>teriflunomide</w:t>
      </w:r>
      <w:proofErr w:type="spellEnd"/>
      <w:r w:rsidR="003F2ECB">
        <w:rPr>
          <w:lang w:eastAsia="en-US"/>
        </w:rPr>
        <w:t xml:space="preserve">) </w:t>
      </w:r>
      <w:r w:rsidRPr="0012597B">
        <w:rPr>
          <w:lang w:eastAsia="en-US"/>
        </w:rPr>
        <w:t>as follows:</w:t>
      </w:r>
    </w:p>
    <w:p w:rsidR="004A3F94" w:rsidRPr="004A3F94" w:rsidRDefault="004A3F94" w:rsidP="004A3F94">
      <w:pPr>
        <w:pStyle w:val="3Bodytext"/>
        <w:numPr>
          <w:ilvl w:val="0"/>
          <w:numId w:val="0"/>
        </w:numPr>
        <w:ind w:left="720"/>
        <w:rPr>
          <w:rFonts w:cs="Arial"/>
          <w:bCs/>
          <w:snapToGrid w:val="0"/>
        </w:rPr>
      </w:pPr>
      <w:r w:rsidRPr="004A3F94">
        <w:rPr>
          <w:rFonts w:cs="Arial"/>
          <w:bCs/>
          <w:snapToGrid w:val="0"/>
        </w:rPr>
        <w:t>Change restriction level from Authority Required (Telephone) to Authority Required (STREAMLINED).</w:t>
      </w:r>
    </w:p>
    <w:p w:rsidR="004A3F94" w:rsidRPr="004F1728" w:rsidRDefault="004A3F94" w:rsidP="004A3F94">
      <w:pPr>
        <w:pStyle w:val="3Bodytext"/>
        <w:rPr>
          <w:rFonts w:cs="Arial"/>
          <w:bCs/>
          <w:snapToGrid w:val="0"/>
        </w:rPr>
      </w:pPr>
      <w:r w:rsidRPr="0012597B">
        <w:rPr>
          <w:lang w:eastAsia="en-US"/>
        </w:rPr>
        <w:t>Amend existing listing</w:t>
      </w:r>
      <w:r>
        <w:rPr>
          <w:lang w:eastAsia="en-US"/>
        </w:rPr>
        <w:t>s</w:t>
      </w:r>
      <w:r w:rsidRPr="0012597B">
        <w:rPr>
          <w:lang w:eastAsia="en-US"/>
        </w:rPr>
        <w:t xml:space="preserve"> </w:t>
      </w:r>
      <w:r w:rsidR="004F1728">
        <w:rPr>
          <w:lang w:eastAsia="en-US"/>
        </w:rPr>
        <w:t>11603Q, 11611D and 11604R</w:t>
      </w:r>
      <w:r>
        <w:rPr>
          <w:lang w:eastAsia="en-US"/>
        </w:rPr>
        <w:t xml:space="preserve"> </w:t>
      </w:r>
      <w:r w:rsidR="003F2ECB">
        <w:rPr>
          <w:lang w:eastAsia="en-US"/>
        </w:rPr>
        <w:t>(</w:t>
      </w:r>
      <w:proofErr w:type="spellStart"/>
      <w:r w:rsidR="003F2ECB">
        <w:rPr>
          <w:lang w:eastAsia="en-US"/>
        </w:rPr>
        <w:t>cladribine</w:t>
      </w:r>
      <w:proofErr w:type="spellEnd"/>
      <w:r w:rsidR="003F2ECB">
        <w:rPr>
          <w:lang w:eastAsia="en-US"/>
        </w:rPr>
        <w:t xml:space="preserve">) </w:t>
      </w:r>
      <w:r w:rsidRPr="0012597B">
        <w:rPr>
          <w:lang w:eastAsia="en-US"/>
        </w:rPr>
        <w:t>as follows:</w:t>
      </w:r>
    </w:p>
    <w:p w:rsidR="004F1728" w:rsidRPr="004F1728" w:rsidRDefault="004F1728" w:rsidP="004F1728">
      <w:pPr>
        <w:pStyle w:val="3Bodytext"/>
        <w:numPr>
          <w:ilvl w:val="0"/>
          <w:numId w:val="0"/>
        </w:numPr>
        <w:ind w:left="720"/>
        <w:rPr>
          <w:rFonts w:cs="Arial"/>
          <w:bCs/>
          <w:snapToGrid w:val="0"/>
        </w:rPr>
      </w:pPr>
      <w:r w:rsidRPr="004F1728">
        <w:rPr>
          <w:rFonts w:cs="Arial"/>
          <w:bCs/>
          <w:snapToGrid w:val="0"/>
        </w:rPr>
        <w:t>Change restriction level from Authority Required (Telephone) to Authority Required (STREAMLINED).</w:t>
      </w:r>
    </w:p>
    <w:p w:rsidR="00390FBC" w:rsidRPr="00390FBC" w:rsidRDefault="00390FBC" w:rsidP="00390FBC">
      <w:pPr>
        <w:pStyle w:val="2Sections"/>
      </w:pPr>
      <w:r w:rsidRPr="00390FBC">
        <w:t>Context for Decision</w:t>
      </w:r>
    </w:p>
    <w:p w:rsidR="003D37AF" w:rsidRPr="00390FBC" w:rsidRDefault="00643D43" w:rsidP="00390FBC">
      <w:pPr>
        <w:jc w:val="both"/>
        <w:rPr>
          <w:rFonts w:asciiTheme="minorHAnsi" w:hAnsiTheme="minorHAnsi" w:cs="Arial"/>
        </w:rPr>
      </w:pPr>
      <w:r w:rsidRPr="00643D43">
        <w:rPr>
          <w:rFonts w:asciiTheme="minorHAnsi" w:hAnsiTheme="minorHAnsi" w:cs="Arial"/>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w:t>
      </w:r>
      <w:r w:rsidRPr="00643D43">
        <w:rPr>
          <w:rFonts w:asciiTheme="minorHAnsi" w:hAnsiTheme="minorHAnsi" w:cs="Arial"/>
        </w:rPr>
        <w:lastRenderedPageBreak/>
        <w:t>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390FBC" w:rsidRPr="00390FBC" w:rsidRDefault="00390FBC" w:rsidP="00390FBC">
      <w:pPr>
        <w:pStyle w:val="2Sections"/>
      </w:pPr>
      <w:r w:rsidRPr="00390FBC">
        <w:t>Sponsor’s Comment</w:t>
      </w:r>
    </w:p>
    <w:p w:rsidR="004D0747" w:rsidRDefault="004D0747" w:rsidP="004D0747">
      <w:pPr>
        <w:spacing w:after="120" w:line="276" w:lineRule="auto"/>
        <w:jc w:val="both"/>
        <w:rPr>
          <w:rFonts w:ascii="Calibri" w:eastAsia="Calibri" w:hAnsi="Calibri" w:cs="Arial"/>
          <w:bCs/>
          <w:szCs w:val="22"/>
          <w:lang w:val="en-GB" w:eastAsia="en-US"/>
        </w:rPr>
      </w:pPr>
      <w:r w:rsidRPr="004D0747">
        <w:rPr>
          <w:rFonts w:ascii="Calibri" w:eastAsia="Calibri" w:hAnsi="Calibri" w:cs="Arial"/>
          <w:bCs/>
          <w:szCs w:val="22"/>
          <w:lang w:val="en-GB" w:eastAsia="en-US"/>
        </w:rPr>
        <w:t xml:space="preserve"> </w:t>
      </w:r>
      <w:r w:rsidRPr="003B41E6">
        <w:rPr>
          <w:rFonts w:ascii="Calibri" w:eastAsia="Calibri" w:hAnsi="Calibri" w:cs="Arial"/>
          <w:bCs/>
          <w:szCs w:val="22"/>
          <w:lang w:val="en-GB" w:eastAsia="en-US"/>
        </w:rPr>
        <w:t>Biogen welcomes the PBAC positive recommendation for amending the listing of dimethyl fumarate to Authority Required (STREAMLINED) for the treatment of RRMS.</w:t>
      </w:r>
    </w:p>
    <w:p w:rsidR="003D37AF" w:rsidRPr="00E170B8" w:rsidRDefault="003D37AF" w:rsidP="003D37AF">
      <w:pPr>
        <w:rPr>
          <w:rFonts w:ascii="Calibri" w:hAnsi="Calibri" w:cs="Arial"/>
          <w:b/>
          <w:snapToGrid w:val="0"/>
          <w:szCs w:val="22"/>
          <w:u w:val="single"/>
          <w:lang w:eastAsia="en-US"/>
        </w:rPr>
      </w:pPr>
    </w:p>
    <w:sectPr w:rsidR="003D37AF" w:rsidRPr="00E170B8"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B54" w:rsidRDefault="000E7B54">
      <w:r>
        <w:separator/>
      </w:r>
    </w:p>
    <w:p w:rsidR="000E7B54" w:rsidRDefault="000E7B54"/>
  </w:endnote>
  <w:endnote w:type="continuationSeparator" w:id="0">
    <w:p w:rsidR="000E7B54" w:rsidRDefault="000E7B54">
      <w:r>
        <w:continuationSeparator/>
      </w:r>
    </w:p>
    <w:p w:rsidR="000E7B54" w:rsidRDefault="000E7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abon">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41BF5" w:rsidTr="005A3173">
      <w:trPr>
        <w:trHeight w:val="151"/>
      </w:trPr>
      <w:tc>
        <w:tcPr>
          <w:tcW w:w="2250" w:type="pct"/>
          <w:tcBorders>
            <w:top w:val="nil"/>
            <w:left w:val="nil"/>
            <w:bottom w:val="single" w:sz="4" w:space="0" w:color="4F81BD"/>
            <w:right w:val="nil"/>
          </w:tcBorders>
        </w:tcPr>
        <w:p w:rsidR="00A41BF5" w:rsidRPr="005A3173" w:rsidRDefault="00A41BF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41BF5" w:rsidRPr="005A3173" w:rsidRDefault="00A41BF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41BF5" w:rsidRPr="005A3173" w:rsidRDefault="00A41BF5" w:rsidP="005A3173">
          <w:pPr>
            <w:pStyle w:val="Header"/>
            <w:spacing w:line="276" w:lineRule="auto"/>
            <w:rPr>
              <w:rFonts w:ascii="Calibri" w:eastAsia="MS Gothic" w:hAnsi="Calibri"/>
              <w:b/>
              <w:bCs/>
              <w:color w:val="4F81BD"/>
            </w:rPr>
          </w:pPr>
        </w:p>
      </w:tc>
    </w:tr>
    <w:tr w:rsidR="00A41BF5" w:rsidTr="005A3173">
      <w:trPr>
        <w:trHeight w:val="150"/>
      </w:trPr>
      <w:tc>
        <w:tcPr>
          <w:tcW w:w="2250" w:type="pct"/>
          <w:tcBorders>
            <w:top w:val="single" w:sz="4" w:space="0" w:color="4F81BD"/>
            <w:left w:val="nil"/>
            <w:bottom w:val="nil"/>
            <w:right w:val="nil"/>
          </w:tcBorders>
        </w:tcPr>
        <w:p w:rsidR="00A41BF5" w:rsidRPr="005A3173" w:rsidRDefault="00A41BF5" w:rsidP="005A3173">
          <w:pPr>
            <w:pStyle w:val="Header"/>
            <w:spacing w:line="276" w:lineRule="auto"/>
            <w:rPr>
              <w:rFonts w:ascii="Calibri" w:eastAsia="MS Gothic" w:hAnsi="Calibri"/>
              <w:b/>
              <w:bCs/>
              <w:color w:val="4F81BD"/>
            </w:rPr>
          </w:pPr>
        </w:p>
      </w:tc>
      <w:tc>
        <w:tcPr>
          <w:tcW w:w="0" w:type="auto"/>
          <w:vMerge/>
          <w:vAlign w:val="center"/>
          <w:hideMark/>
        </w:tcPr>
        <w:p w:rsidR="00A41BF5" w:rsidRPr="005A3173" w:rsidRDefault="00A41BF5" w:rsidP="005A3173">
          <w:pPr>
            <w:rPr>
              <w:rFonts w:ascii="Calibri" w:hAnsi="Calibri"/>
              <w:color w:val="365F91"/>
              <w:sz w:val="22"/>
              <w:szCs w:val="22"/>
            </w:rPr>
          </w:pPr>
        </w:p>
      </w:tc>
      <w:tc>
        <w:tcPr>
          <w:tcW w:w="2250" w:type="pct"/>
          <w:tcBorders>
            <w:top w:val="single" w:sz="4" w:space="0" w:color="4F81BD"/>
            <w:left w:val="nil"/>
            <w:bottom w:val="nil"/>
            <w:right w:val="nil"/>
          </w:tcBorders>
        </w:tcPr>
        <w:p w:rsidR="00A41BF5" w:rsidRPr="005A3173" w:rsidRDefault="00A41BF5" w:rsidP="005A3173">
          <w:pPr>
            <w:pStyle w:val="Header"/>
            <w:spacing w:line="276" w:lineRule="auto"/>
            <w:rPr>
              <w:rFonts w:ascii="Calibri" w:eastAsia="MS Gothic" w:hAnsi="Calibri"/>
              <w:b/>
              <w:bCs/>
              <w:color w:val="4F81BD"/>
            </w:rPr>
          </w:pPr>
        </w:p>
      </w:tc>
    </w:tr>
  </w:tbl>
  <w:p w:rsidR="00A41BF5" w:rsidRDefault="00A41BF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1BF5" w:rsidRDefault="00A41BF5">
    <w:pPr>
      <w:pStyle w:val="Footer"/>
    </w:pPr>
  </w:p>
  <w:p w:rsidR="00A41BF5" w:rsidRDefault="00A41BF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BF5" w:rsidRDefault="00A41BF5">
    <w:pPr>
      <w:pStyle w:val="Footer"/>
      <w:jc w:val="center"/>
    </w:pPr>
  </w:p>
  <w:p w:rsidR="00A41BF5" w:rsidRPr="00146089" w:rsidRDefault="00894979" w:rsidP="00146089">
    <w:pPr>
      <w:pStyle w:val="Footer"/>
      <w:jc w:val="center"/>
      <w:rPr>
        <w:rFonts w:asciiTheme="minorHAnsi" w:hAnsiTheme="minorHAnsi" w:cstheme="minorHAnsi"/>
        <w:b/>
      </w:rPr>
    </w:pPr>
    <w:sdt>
      <w:sdtPr>
        <w:id w:val="-1394808637"/>
        <w:docPartObj>
          <w:docPartGallery w:val="Page Numbers (Bottom of Page)"/>
          <w:docPartUnique/>
        </w:docPartObj>
      </w:sdtPr>
      <w:sdtEndPr>
        <w:rPr>
          <w:rFonts w:asciiTheme="minorHAnsi" w:hAnsiTheme="minorHAnsi" w:cstheme="minorHAnsi"/>
          <w:b/>
          <w:noProof/>
        </w:rPr>
      </w:sdtEndPr>
      <w:sdtContent>
        <w:r w:rsidR="00A41BF5" w:rsidRPr="00146089">
          <w:rPr>
            <w:rFonts w:asciiTheme="minorHAnsi" w:hAnsiTheme="minorHAnsi" w:cstheme="minorHAnsi"/>
            <w:b/>
          </w:rPr>
          <w:fldChar w:fldCharType="begin"/>
        </w:r>
        <w:r w:rsidR="00A41BF5" w:rsidRPr="00146089">
          <w:rPr>
            <w:rFonts w:asciiTheme="minorHAnsi" w:hAnsiTheme="minorHAnsi" w:cstheme="minorHAnsi"/>
            <w:b/>
          </w:rPr>
          <w:instrText xml:space="preserve"> PAGE   \* MERGEFORMAT </w:instrText>
        </w:r>
        <w:r w:rsidR="00A41BF5" w:rsidRPr="00146089">
          <w:rPr>
            <w:rFonts w:asciiTheme="minorHAnsi" w:hAnsiTheme="minorHAnsi" w:cstheme="minorHAnsi"/>
            <w:b/>
          </w:rPr>
          <w:fldChar w:fldCharType="separate"/>
        </w:r>
        <w:r>
          <w:rPr>
            <w:rFonts w:asciiTheme="minorHAnsi" w:hAnsiTheme="minorHAnsi" w:cstheme="minorHAnsi"/>
            <w:b/>
            <w:noProof/>
          </w:rPr>
          <w:t>3</w:t>
        </w:r>
        <w:r w:rsidR="00A41BF5" w:rsidRPr="00146089">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A41BF5" w:rsidTr="005A3173">
      <w:trPr>
        <w:trHeight w:val="151"/>
      </w:trPr>
      <w:tc>
        <w:tcPr>
          <w:tcW w:w="2250" w:type="pct"/>
          <w:tcBorders>
            <w:top w:val="nil"/>
            <w:left w:val="nil"/>
            <w:bottom w:val="single" w:sz="4" w:space="0" w:color="4F81BD"/>
            <w:right w:val="nil"/>
          </w:tcBorders>
        </w:tcPr>
        <w:p w:rsidR="00A41BF5" w:rsidRPr="005A3173" w:rsidRDefault="00A41BF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41BF5" w:rsidRPr="005A3173" w:rsidRDefault="00A41BF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41BF5" w:rsidRPr="005A3173" w:rsidRDefault="00A41BF5" w:rsidP="005A3173">
          <w:pPr>
            <w:pStyle w:val="Header"/>
            <w:spacing w:line="276" w:lineRule="auto"/>
            <w:rPr>
              <w:rFonts w:ascii="Calibri" w:eastAsia="MS Gothic" w:hAnsi="Calibri"/>
              <w:b/>
              <w:bCs/>
              <w:color w:val="4F81BD"/>
            </w:rPr>
          </w:pPr>
        </w:p>
      </w:tc>
    </w:tr>
    <w:tr w:rsidR="00A41BF5" w:rsidTr="005A3173">
      <w:trPr>
        <w:trHeight w:val="150"/>
      </w:trPr>
      <w:tc>
        <w:tcPr>
          <w:tcW w:w="2250" w:type="pct"/>
          <w:tcBorders>
            <w:top w:val="single" w:sz="4" w:space="0" w:color="4F81BD"/>
            <w:left w:val="nil"/>
            <w:bottom w:val="nil"/>
            <w:right w:val="nil"/>
          </w:tcBorders>
        </w:tcPr>
        <w:p w:rsidR="00A41BF5" w:rsidRPr="005A3173" w:rsidRDefault="00A41BF5" w:rsidP="005A3173">
          <w:pPr>
            <w:pStyle w:val="Header"/>
            <w:spacing w:line="276" w:lineRule="auto"/>
            <w:rPr>
              <w:rFonts w:ascii="Calibri" w:eastAsia="MS Gothic" w:hAnsi="Calibri"/>
              <w:b/>
              <w:bCs/>
              <w:color w:val="4F81BD"/>
            </w:rPr>
          </w:pPr>
        </w:p>
      </w:tc>
      <w:tc>
        <w:tcPr>
          <w:tcW w:w="0" w:type="auto"/>
          <w:vMerge/>
          <w:vAlign w:val="center"/>
          <w:hideMark/>
        </w:tcPr>
        <w:p w:rsidR="00A41BF5" w:rsidRPr="005A3173" w:rsidRDefault="00A41BF5" w:rsidP="005A3173">
          <w:pPr>
            <w:rPr>
              <w:rFonts w:ascii="Calibri" w:hAnsi="Calibri"/>
              <w:color w:val="365F91"/>
              <w:sz w:val="22"/>
              <w:szCs w:val="22"/>
            </w:rPr>
          </w:pPr>
        </w:p>
      </w:tc>
      <w:tc>
        <w:tcPr>
          <w:tcW w:w="2250" w:type="pct"/>
          <w:tcBorders>
            <w:top w:val="single" w:sz="4" w:space="0" w:color="4F81BD"/>
            <w:left w:val="nil"/>
            <w:bottom w:val="nil"/>
            <w:right w:val="nil"/>
          </w:tcBorders>
        </w:tcPr>
        <w:p w:rsidR="00A41BF5" w:rsidRPr="005A3173" w:rsidRDefault="00A41BF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41BF5" w:rsidTr="005A3173">
      <w:trPr>
        <w:trHeight w:val="151"/>
      </w:trPr>
      <w:tc>
        <w:tcPr>
          <w:tcW w:w="2250" w:type="pct"/>
          <w:tcBorders>
            <w:top w:val="nil"/>
            <w:left w:val="nil"/>
            <w:bottom w:val="single" w:sz="4" w:space="0" w:color="4F81BD"/>
            <w:right w:val="nil"/>
          </w:tcBorders>
        </w:tcPr>
        <w:p w:rsidR="00A41BF5" w:rsidRPr="005A3173" w:rsidRDefault="00A41BF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41BF5" w:rsidRPr="005A3173" w:rsidRDefault="00A41BF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41BF5" w:rsidRPr="005A3173" w:rsidRDefault="00A41BF5" w:rsidP="005A3173">
          <w:pPr>
            <w:pStyle w:val="Header"/>
            <w:spacing w:line="276" w:lineRule="auto"/>
            <w:rPr>
              <w:rFonts w:ascii="Calibri" w:eastAsia="MS Gothic" w:hAnsi="Calibri"/>
              <w:b/>
              <w:bCs/>
              <w:color w:val="4F81BD"/>
            </w:rPr>
          </w:pPr>
        </w:p>
      </w:tc>
    </w:tr>
    <w:tr w:rsidR="00A41BF5" w:rsidTr="005A3173">
      <w:trPr>
        <w:trHeight w:val="150"/>
      </w:trPr>
      <w:tc>
        <w:tcPr>
          <w:tcW w:w="2250" w:type="pct"/>
          <w:tcBorders>
            <w:top w:val="single" w:sz="4" w:space="0" w:color="4F81BD"/>
            <w:left w:val="nil"/>
            <w:bottom w:val="nil"/>
            <w:right w:val="nil"/>
          </w:tcBorders>
        </w:tcPr>
        <w:p w:rsidR="00A41BF5" w:rsidRPr="005A3173" w:rsidRDefault="00A41BF5" w:rsidP="005A3173">
          <w:pPr>
            <w:pStyle w:val="Header"/>
            <w:spacing w:line="276" w:lineRule="auto"/>
            <w:rPr>
              <w:rFonts w:ascii="Calibri" w:eastAsia="MS Gothic" w:hAnsi="Calibri"/>
              <w:b/>
              <w:bCs/>
              <w:color w:val="4F81BD"/>
            </w:rPr>
          </w:pPr>
        </w:p>
      </w:tc>
      <w:tc>
        <w:tcPr>
          <w:tcW w:w="0" w:type="auto"/>
          <w:vMerge/>
          <w:vAlign w:val="center"/>
          <w:hideMark/>
        </w:tcPr>
        <w:p w:rsidR="00A41BF5" w:rsidRPr="005A3173" w:rsidRDefault="00A41BF5" w:rsidP="005A3173">
          <w:pPr>
            <w:rPr>
              <w:rFonts w:ascii="Calibri" w:hAnsi="Calibri"/>
              <w:color w:val="365F91"/>
              <w:sz w:val="22"/>
              <w:szCs w:val="22"/>
            </w:rPr>
          </w:pPr>
        </w:p>
      </w:tc>
      <w:tc>
        <w:tcPr>
          <w:tcW w:w="2250" w:type="pct"/>
          <w:tcBorders>
            <w:top w:val="single" w:sz="4" w:space="0" w:color="4F81BD"/>
            <w:left w:val="nil"/>
            <w:bottom w:val="nil"/>
            <w:right w:val="nil"/>
          </w:tcBorders>
        </w:tcPr>
        <w:p w:rsidR="00A41BF5" w:rsidRPr="005A3173" w:rsidRDefault="00A41BF5" w:rsidP="005A3173">
          <w:pPr>
            <w:pStyle w:val="Header"/>
            <w:spacing w:line="276" w:lineRule="auto"/>
            <w:rPr>
              <w:rFonts w:ascii="Calibri" w:eastAsia="MS Gothic" w:hAnsi="Calibri"/>
              <w:b/>
              <w:bCs/>
              <w:color w:val="4F81BD"/>
            </w:rPr>
          </w:pPr>
        </w:p>
      </w:tc>
    </w:tr>
  </w:tbl>
  <w:p w:rsidR="00A41BF5" w:rsidRPr="007C0F57" w:rsidRDefault="00A41BF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41BF5" w:rsidRPr="007C0F57" w:rsidRDefault="00A41BF5" w:rsidP="007C0F57">
    <w:pPr>
      <w:pStyle w:val="Footer"/>
      <w:jc w:val="center"/>
      <w:rPr>
        <w:b/>
        <w:i/>
        <w:sz w:val="20"/>
        <w:szCs w:val="20"/>
      </w:rPr>
    </w:pPr>
    <w:r w:rsidRPr="007C0F57">
      <w:rPr>
        <w:b/>
        <w:i/>
        <w:sz w:val="20"/>
        <w:szCs w:val="20"/>
      </w:rPr>
      <w:t>Commercial-in-Confidence</w:t>
    </w:r>
  </w:p>
  <w:p w:rsidR="00A41BF5" w:rsidRDefault="00A41B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B54" w:rsidRDefault="000E7B54">
      <w:r>
        <w:separator/>
      </w:r>
    </w:p>
    <w:p w:rsidR="000E7B54" w:rsidRDefault="000E7B54"/>
  </w:footnote>
  <w:footnote w:type="continuationSeparator" w:id="0">
    <w:p w:rsidR="000E7B54" w:rsidRDefault="000E7B54">
      <w:r>
        <w:continuationSeparator/>
      </w:r>
    </w:p>
    <w:p w:rsidR="000E7B54" w:rsidRDefault="000E7B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41BF5" w:rsidRPr="008E0D90" w:rsidTr="00A06225">
      <w:trPr>
        <w:trHeight w:val="151"/>
      </w:trPr>
      <w:tc>
        <w:tcPr>
          <w:tcW w:w="2389" w:type="pct"/>
          <w:tcBorders>
            <w:top w:val="nil"/>
            <w:left w:val="nil"/>
            <w:bottom w:val="single" w:sz="4" w:space="0" w:color="4F81BD"/>
            <w:right w:val="nil"/>
          </w:tcBorders>
        </w:tcPr>
        <w:p w:rsidR="00A41BF5" w:rsidRPr="00A06225" w:rsidRDefault="00A41BF5">
          <w:pPr>
            <w:pStyle w:val="Header"/>
            <w:spacing w:line="276" w:lineRule="auto"/>
            <w:rPr>
              <w:rFonts w:ascii="Cambria" w:eastAsia="MS Gothic" w:hAnsi="Cambria"/>
              <w:b/>
              <w:bCs/>
              <w:color w:val="4F81BD"/>
            </w:rPr>
          </w:pPr>
          <w:bookmarkStart w:id="0" w:name="_GoBack" w:colFirst="0" w:colLast="3"/>
        </w:p>
      </w:tc>
      <w:tc>
        <w:tcPr>
          <w:tcW w:w="333" w:type="pct"/>
          <w:vMerge w:val="restart"/>
          <w:noWrap/>
          <w:vAlign w:val="center"/>
          <w:hideMark/>
        </w:tcPr>
        <w:p w:rsidR="00A41BF5" w:rsidRPr="00A06225" w:rsidRDefault="00A41BF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41BF5" w:rsidRPr="00A06225" w:rsidRDefault="00A41BF5">
          <w:pPr>
            <w:pStyle w:val="Header"/>
            <w:spacing w:line="276" w:lineRule="auto"/>
            <w:rPr>
              <w:rFonts w:ascii="Cambria" w:eastAsia="MS Gothic" w:hAnsi="Cambria"/>
              <w:b/>
              <w:bCs/>
              <w:color w:val="4F81BD"/>
            </w:rPr>
          </w:pPr>
        </w:p>
      </w:tc>
    </w:tr>
    <w:tr w:rsidR="00A41BF5" w:rsidRPr="008E0D90" w:rsidTr="00A06225">
      <w:trPr>
        <w:trHeight w:val="150"/>
      </w:trPr>
      <w:tc>
        <w:tcPr>
          <w:tcW w:w="2389" w:type="pct"/>
          <w:tcBorders>
            <w:top w:val="single" w:sz="4" w:space="0" w:color="4F81BD"/>
            <w:left w:val="nil"/>
            <w:bottom w:val="nil"/>
            <w:right w:val="nil"/>
          </w:tcBorders>
        </w:tcPr>
        <w:p w:rsidR="00A41BF5" w:rsidRPr="00A06225" w:rsidRDefault="00A41BF5">
          <w:pPr>
            <w:pStyle w:val="Header"/>
            <w:spacing w:line="276" w:lineRule="auto"/>
            <w:rPr>
              <w:rFonts w:ascii="Cambria" w:eastAsia="MS Gothic" w:hAnsi="Cambria"/>
              <w:b/>
              <w:bCs/>
              <w:color w:val="4F81BD"/>
            </w:rPr>
          </w:pPr>
        </w:p>
      </w:tc>
      <w:tc>
        <w:tcPr>
          <w:tcW w:w="0" w:type="auto"/>
          <w:vMerge/>
          <w:vAlign w:val="center"/>
          <w:hideMark/>
        </w:tcPr>
        <w:p w:rsidR="00A41BF5" w:rsidRPr="00A06225" w:rsidRDefault="00A41BF5">
          <w:pPr>
            <w:rPr>
              <w:rFonts w:ascii="Cambria" w:hAnsi="Cambria"/>
              <w:color w:val="4F81BD"/>
              <w:sz w:val="22"/>
              <w:szCs w:val="22"/>
            </w:rPr>
          </w:pPr>
        </w:p>
      </w:tc>
      <w:tc>
        <w:tcPr>
          <w:tcW w:w="2278" w:type="pct"/>
          <w:tcBorders>
            <w:top w:val="single" w:sz="4" w:space="0" w:color="4F81BD"/>
            <w:left w:val="nil"/>
            <w:bottom w:val="nil"/>
            <w:right w:val="nil"/>
          </w:tcBorders>
        </w:tcPr>
        <w:p w:rsidR="00A41BF5" w:rsidRPr="00A06225" w:rsidRDefault="00A41BF5">
          <w:pPr>
            <w:pStyle w:val="Header"/>
            <w:spacing w:line="276" w:lineRule="auto"/>
            <w:rPr>
              <w:rFonts w:ascii="Cambria" w:eastAsia="MS Gothic" w:hAnsi="Cambria"/>
              <w:b/>
              <w:bCs/>
              <w:color w:val="4F81BD"/>
            </w:rPr>
          </w:pPr>
        </w:p>
      </w:tc>
    </w:tr>
    <w:bookmarkEnd w:id="0"/>
  </w:tbl>
  <w:p w:rsidR="00A41BF5" w:rsidRDefault="00A41BF5">
    <w:pPr>
      <w:pStyle w:val="Header"/>
    </w:pPr>
  </w:p>
  <w:p w:rsidR="00A41BF5" w:rsidRDefault="00A41BF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BF5" w:rsidRPr="00056684" w:rsidRDefault="00390FBC" w:rsidP="00146089">
    <w:pPr>
      <w:pStyle w:val="Header"/>
      <w:keepNext/>
      <w:ind w:left="360"/>
      <w:jc w:val="center"/>
      <w:rPr>
        <w:rFonts w:asciiTheme="minorHAnsi" w:hAnsiTheme="minorHAnsi" w:cs="Arial"/>
        <w:i/>
        <w:color w:val="808080"/>
      </w:rPr>
    </w:pPr>
    <w:r>
      <w:rPr>
        <w:rFonts w:asciiTheme="minorHAnsi" w:hAnsiTheme="minorHAnsi" w:cs="Arial"/>
        <w:i/>
        <w:color w:val="808080"/>
      </w:rPr>
      <w:t>Public Summary Document</w:t>
    </w:r>
    <w:r w:rsidR="00A41BF5">
      <w:rPr>
        <w:rFonts w:asciiTheme="minorHAnsi" w:hAnsiTheme="minorHAnsi" w:cs="Arial"/>
        <w:i/>
        <w:color w:val="808080"/>
      </w:rPr>
      <w:t xml:space="preserve"> </w:t>
    </w:r>
    <w:r w:rsidR="00A41BF5" w:rsidRPr="00056684">
      <w:rPr>
        <w:rFonts w:asciiTheme="minorHAnsi" w:hAnsiTheme="minorHAnsi" w:cs="Arial"/>
        <w:i/>
        <w:color w:val="808080"/>
      </w:rPr>
      <w:t xml:space="preserve">– </w:t>
    </w:r>
    <w:r w:rsidR="00A41BF5">
      <w:rPr>
        <w:rFonts w:asciiTheme="minorHAnsi" w:hAnsiTheme="minorHAnsi" w:cs="Arial"/>
        <w:i/>
        <w:color w:val="808080"/>
      </w:rPr>
      <w:t>November 2019</w:t>
    </w:r>
    <w:r w:rsidR="00A41BF5" w:rsidRPr="00056684">
      <w:rPr>
        <w:rFonts w:asciiTheme="minorHAnsi" w:hAnsiTheme="minorHAnsi" w:cs="Arial"/>
        <w:i/>
        <w:color w:val="808080"/>
      </w:rPr>
      <w:t xml:space="preserve"> PBAC Meeting</w:t>
    </w:r>
  </w:p>
  <w:p w:rsidR="00A41BF5" w:rsidRDefault="00A41BF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E02" w:rsidRDefault="001C1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96683"/>
    <w:multiLevelType w:val="hybridMultilevel"/>
    <w:tmpl w:val="9492516E"/>
    <w:lvl w:ilvl="0" w:tplc="7C06699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F94342"/>
    <w:multiLevelType w:val="hybridMultilevel"/>
    <w:tmpl w:val="F96080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66A36"/>
    <w:multiLevelType w:val="multilevel"/>
    <w:tmpl w:val="CF20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433A12"/>
    <w:multiLevelType w:val="hybridMultilevel"/>
    <w:tmpl w:val="E67225B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D8743C"/>
    <w:multiLevelType w:val="multilevel"/>
    <w:tmpl w:val="C8FC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16" w15:restartNumberingAfterBreak="0">
    <w:nsid w:val="4C8F4E84"/>
    <w:multiLevelType w:val="hybridMultilevel"/>
    <w:tmpl w:val="D7A45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39332A"/>
    <w:multiLevelType w:val="hybridMultilevel"/>
    <w:tmpl w:val="46DA9526"/>
    <w:lvl w:ilvl="0" w:tplc="73E224A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72447B"/>
    <w:multiLevelType w:val="hybridMultilevel"/>
    <w:tmpl w:val="BF269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380D41"/>
    <w:multiLevelType w:val="multilevel"/>
    <w:tmpl w:val="2B4A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E51715"/>
    <w:multiLevelType w:val="hybridMultilevel"/>
    <w:tmpl w:val="04B27600"/>
    <w:lvl w:ilvl="0" w:tplc="66D21416">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17B0461"/>
    <w:multiLevelType w:val="hybridMultilevel"/>
    <w:tmpl w:val="46FA4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84D033C"/>
    <w:multiLevelType w:val="multilevel"/>
    <w:tmpl w:val="E47CFD2E"/>
    <w:lvl w:ilvl="0">
      <w:start w:val="1"/>
      <w:numFmt w:val="decimal"/>
      <w:pStyle w:val="2Sections"/>
      <w:lvlText w:val="%1"/>
      <w:lvlJc w:val="left"/>
      <w:pPr>
        <w:ind w:left="720" w:hanging="720"/>
      </w:pPr>
      <w:rPr>
        <w:rFonts w:hint="default"/>
        <w:b/>
        <w:i w:val="0"/>
        <w:color w:val="000000" w:themeColor="text1"/>
      </w:rPr>
    </w:lvl>
    <w:lvl w:ilvl="1">
      <w:start w:val="1"/>
      <w:numFmt w:val="decimal"/>
      <w:pStyle w:val="Bodytextitalics"/>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8"/>
  </w:num>
  <w:num w:numId="2">
    <w:abstractNumId w:val="0"/>
  </w:num>
  <w:num w:numId="3">
    <w:abstractNumId w:val="28"/>
  </w:num>
  <w:num w:numId="4">
    <w:abstractNumId w:val="23"/>
  </w:num>
  <w:num w:numId="5">
    <w:abstractNumId w:val="14"/>
  </w:num>
  <w:num w:numId="6">
    <w:abstractNumId w:val="18"/>
  </w:num>
  <w:num w:numId="7">
    <w:abstractNumId w:val="29"/>
  </w:num>
  <w:num w:numId="8">
    <w:abstractNumId w:val="25"/>
  </w:num>
  <w:num w:numId="9">
    <w:abstractNumId w:val="27"/>
  </w:num>
  <w:num w:numId="10">
    <w:abstractNumId w:val="17"/>
  </w:num>
  <w:num w:numId="11">
    <w:abstractNumId w:val="4"/>
  </w:num>
  <w:num w:numId="12">
    <w:abstractNumId w:val="24"/>
  </w:num>
  <w:num w:numId="13">
    <w:abstractNumId w:val="26"/>
  </w:num>
  <w:num w:numId="14">
    <w:abstractNumId w:val="13"/>
    <w:lvlOverride w:ilvl="0">
      <w:startOverride w:val="1"/>
    </w:lvlOverride>
  </w:num>
  <w:num w:numId="15">
    <w:abstractNumId w:val="13"/>
  </w:num>
  <w:num w:numId="16">
    <w:abstractNumId w:val="13"/>
    <w:lvlOverride w:ilvl="0">
      <w:startOverride w:val="1"/>
    </w:lvlOverride>
  </w:num>
  <w:num w:numId="17">
    <w:abstractNumId w:val="15"/>
  </w:num>
  <w:num w:numId="18">
    <w:abstractNumId w:val="13"/>
    <w:lvlOverride w:ilvl="0">
      <w:startOverride w:val="4"/>
    </w:lvlOverride>
  </w:num>
  <w:num w:numId="19">
    <w:abstractNumId w:val="2"/>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2"/>
  </w:num>
  <w:num w:numId="23">
    <w:abstractNumId w:val="21"/>
  </w:num>
  <w:num w:numId="24">
    <w:abstractNumId w:val="6"/>
  </w:num>
  <w:num w:numId="25">
    <w:abstractNumId w:val="16"/>
  </w:num>
  <w:num w:numId="26">
    <w:abstractNumId w:val="22"/>
  </w:num>
  <w:num w:numId="27">
    <w:abstractNumId w:val="20"/>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9"/>
  </w:num>
  <w:num w:numId="36">
    <w:abstractNumId w:val="5"/>
  </w:num>
  <w:num w:numId="37">
    <w:abstractNumId w:val="28"/>
  </w:num>
  <w:num w:numId="38">
    <w:abstractNumId w:val="28"/>
  </w:num>
  <w:num w:numId="39">
    <w:abstractNumId w:val="19"/>
  </w:num>
  <w:num w:numId="40">
    <w:abstractNumId w:val="3"/>
  </w:num>
  <w:num w:numId="41">
    <w:abstractNumId w:val="1"/>
  </w:num>
  <w:num w:numId="42">
    <w:abstractNumId w:val="8"/>
  </w:num>
  <w:num w:numId="43">
    <w:abstractNumId w:val="10"/>
  </w:num>
  <w:num w:numId="44">
    <w:abstractNumId w:val="7"/>
  </w:num>
  <w:num w:numId="45">
    <w:abstractNumId w:val="28"/>
  </w:num>
  <w:num w:numId="46">
    <w:abstractNumId w:val="28"/>
  </w:num>
  <w:num w:numId="47">
    <w:abstractNumId w:val="28"/>
  </w:num>
  <w:num w:numId="48">
    <w:abstractNumId w:val="28"/>
  </w:num>
  <w:num w:numId="49">
    <w:abstractNumId w:val="28"/>
  </w:num>
  <w:num w:numId="50">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6A41"/>
    <w:rsid w:val="000214D1"/>
    <w:rsid w:val="00021B18"/>
    <w:rsid w:val="00021F59"/>
    <w:rsid w:val="00022C3A"/>
    <w:rsid w:val="0002464A"/>
    <w:rsid w:val="00024D2E"/>
    <w:rsid w:val="00027F21"/>
    <w:rsid w:val="0003106B"/>
    <w:rsid w:val="00034905"/>
    <w:rsid w:val="000418C5"/>
    <w:rsid w:val="000421A1"/>
    <w:rsid w:val="0004240E"/>
    <w:rsid w:val="00045E26"/>
    <w:rsid w:val="000514B5"/>
    <w:rsid w:val="00053535"/>
    <w:rsid w:val="00060E64"/>
    <w:rsid w:val="00066755"/>
    <w:rsid w:val="000670B5"/>
    <w:rsid w:val="000763D5"/>
    <w:rsid w:val="00077143"/>
    <w:rsid w:val="00080018"/>
    <w:rsid w:val="00082169"/>
    <w:rsid w:val="0008461E"/>
    <w:rsid w:val="000918CB"/>
    <w:rsid w:val="00091B06"/>
    <w:rsid w:val="000951C4"/>
    <w:rsid w:val="00095ADA"/>
    <w:rsid w:val="000965DF"/>
    <w:rsid w:val="000969AD"/>
    <w:rsid w:val="000A3AA2"/>
    <w:rsid w:val="000A44B2"/>
    <w:rsid w:val="000A76AE"/>
    <w:rsid w:val="000B44C3"/>
    <w:rsid w:val="000B4CB5"/>
    <w:rsid w:val="000B558D"/>
    <w:rsid w:val="000C5F95"/>
    <w:rsid w:val="000C6996"/>
    <w:rsid w:val="000D09E9"/>
    <w:rsid w:val="000D23BA"/>
    <w:rsid w:val="000E3DAB"/>
    <w:rsid w:val="000E681E"/>
    <w:rsid w:val="000E7B54"/>
    <w:rsid w:val="000F0003"/>
    <w:rsid w:val="000F3384"/>
    <w:rsid w:val="000F40C4"/>
    <w:rsid w:val="000F4CC6"/>
    <w:rsid w:val="000F4E6A"/>
    <w:rsid w:val="000F7354"/>
    <w:rsid w:val="0010122D"/>
    <w:rsid w:val="00102202"/>
    <w:rsid w:val="00103C4C"/>
    <w:rsid w:val="00104227"/>
    <w:rsid w:val="00106A8C"/>
    <w:rsid w:val="001107BF"/>
    <w:rsid w:val="00113649"/>
    <w:rsid w:val="001142DC"/>
    <w:rsid w:val="001217C8"/>
    <w:rsid w:val="0012417C"/>
    <w:rsid w:val="0012597B"/>
    <w:rsid w:val="0012749D"/>
    <w:rsid w:val="00130E32"/>
    <w:rsid w:val="00142395"/>
    <w:rsid w:val="00142714"/>
    <w:rsid w:val="00142DE3"/>
    <w:rsid w:val="001452ED"/>
    <w:rsid w:val="00146089"/>
    <w:rsid w:val="00147C30"/>
    <w:rsid w:val="0015105C"/>
    <w:rsid w:val="001549C1"/>
    <w:rsid w:val="00156EF9"/>
    <w:rsid w:val="00160962"/>
    <w:rsid w:val="00162D4E"/>
    <w:rsid w:val="00163329"/>
    <w:rsid w:val="00164623"/>
    <w:rsid w:val="001652DE"/>
    <w:rsid w:val="00165B64"/>
    <w:rsid w:val="00170B87"/>
    <w:rsid w:val="001735B2"/>
    <w:rsid w:val="00180713"/>
    <w:rsid w:val="001830CE"/>
    <w:rsid w:val="0018643B"/>
    <w:rsid w:val="00196307"/>
    <w:rsid w:val="001A33EA"/>
    <w:rsid w:val="001A389F"/>
    <w:rsid w:val="001A6AA0"/>
    <w:rsid w:val="001A6BE2"/>
    <w:rsid w:val="001A76FB"/>
    <w:rsid w:val="001B017F"/>
    <w:rsid w:val="001B2BBC"/>
    <w:rsid w:val="001B3698"/>
    <w:rsid w:val="001B3FFE"/>
    <w:rsid w:val="001B5129"/>
    <w:rsid w:val="001C0242"/>
    <w:rsid w:val="001C0B4C"/>
    <w:rsid w:val="001C1195"/>
    <w:rsid w:val="001C1E02"/>
    <w:rsid w:val="001C3DF3"/>
    <w:rsid w:val="001D1F5F"/>
    <w:rsid w:val="001E2DF4"/>
    <w:rsid w:val="001F1850"/>
    <w:rsid w:val="001F3189"/>
    <w:rsid w:val="00202CA1"/>
    <w:rsid w:val="00203FAC"/>
    <w:rsid w:val="0021081C"/>
    <w:rsid w:val="002121C3"/>
    <w:rsid w:val="00213933"/>
    <w:rsid w:val="00213CFB"/>
    <w:rsid w:val="00214C92"/>
    <w:rsid w:val="0021553C"/>
    <w:rsid w:val="0021557B"/>
    <w:rsid w:val="00216607"/>
    <w:rsid w:val="002171D9"/>
    <w:rsid w:val="002174FD"/>
    <w:rsid w:val="00217BE1"/>
    <w:rsid w:val="00226F2F"/>
    <w:rsid w:val="00234252"/>
    <w:rsid w:val="0023666D"/>
    <w:rsid w:val="0024349B"/>
    <w:rsid w:val="00250468"/>
    <w:rsid w:val="00253499"/>
    <w:rsid w:val="00254B00"/>
    <w:rsid w:val="002551A4"/>
    <w:rsid w:val="00257664"/>
    <w:rsid w:val="002611A0"/>
    <w:rsid w:val="00263EAC"/>
    <w:rsid w:val="00265151"/>
    <w:rsid w:val="00265321"/>
    <w:rsid w:val="00271BA1"/>
    <w:rsid w:val="002728E7"/>
    <w:rsid w:val="002762FA"/>
    <w:rsid w:val="00277505"/>
    <w:rsid w:val="002779F5"/>
    <w:rsid w:val="002823B6"/>
    <w:rsid w:val="0029458F"/>
    <w:rsid w:val="002A0E04"/>
    <w:rsid w:val="002A104C"/>
    <w:rsid w:val="002A2E7A"/>
    <w:rsid w:val="002A4001"/>
    <w:rsid w:val="002A494D"/>
    <w:rsid w:val="002A4960"/>
    <w:rsid w:val="002A4F93"/>
    <w:rsid w:val="002B0AE0"/>
    <w:rsid w:val="002B1AE6"/>
    <w:rsid w:val="002B1D51"/>
    <w:rsid w:val="002B2DE8"/>
    <w:rsid w:val="002B30F8"/>
    <w:rsid w:val="002B388A"/>
    <w:rsid w:val="002B5596"/>
    <w:rsid w:val="002C212F"/>
    <w:rsid w:val="002C5B43"/>
    <w:rsid w:val="002C7485"/>
    <w:rsid w:val="002C7616"/>
    <w:rsid w:val="002D283A"/>
    <w:rsid w:val="002D4543"/>
    <w:rsid w:val="002E3153"/>
    <w:rsid w:val="002E5292"/>
    <w:rsid w:val="002E72CA"/>
    <w:rsid w:val="002F600D"/>
    <w:rsid w:val="00300AD6"/>
    <w:rsid w:val="00300B1B"/>
    <w:rsid w:val="003019D0"/>
    <w:rsid w:val="003024DE"/>
    <w:rsid w:val="0030293B"/>
    <w:rsid w:val="003063D3"/>
    <w:rsid w:val="003064AF"/>
    <w:rsid w:val="00317C6C"/>
    <w:rsid w:val="0032060B"/>
    <w:rsid w:val="00326E79"/>
    <w:rsid w:val="00327BBE"/>
    <w:rsid w:val="00327DBA"/>
    <w:rsid w:val="003301B1"/>
    <w:rsid w:val="00331189"/>
    <w:rsid w:val="00331590"/>
    <w:rsid w:val="0033263D"/>
    <w:rsid w:val="0033518A"/>
    <w:rsid w:val="003354A3"/>
    <w:rsid w:val="0033623E"/>
    <w:rsid w:val="003367EF"/>
    <w:rsid w:val="00341AE4"/>
    <w:rsid w:val="00342F54"/>
    <w:rsid w:val="003455DE"/>
    <w:rsid w:val="003476EE"/>
    <w:rsid w:val="00370097"/>
    <w:rsid w:val="00374C74"/>
    <w:rsid w:val="003812CE"/>
    <w:rsid w:val="00383743"/>
    <w:rsid w:val="00384988"/>
    <w:rsid w:val="00386E34"/>
    <w:rsid w:val="003872CF"/>
    <w:rsid w:val="00390FBC"/>
    <w:rsid w:val="00394C93"/>
    <w:rsid w:val="0039782C"/>
    <w:rsid w:val="00397CBF"/>
    <w:rsid w:val="003A5B4A"/>
    <w:rsid w:val="003B08D3"/>
    <w:rsid w:val="003B23C5"/>
    <w:rsid w:val="003B2A75"/>
    <w:rsid w:val="003B602F"/>
    <w:rsid w:val="003B6124"/>
    <w:rsid w:val="003B78DF"/>
    <w:rsid w:val="003C093A"/>
    <w:rsid w:val="003C1ECF"/>
    <w:rsid w:val="003C2FB5"/>
    <w:rsid w:val="003C56E8"/>
    <w:rsid w:val="003D24C5"/>
    <w:rsid w:val="003D37AF"/>
    <w:rsid w:val="003D4AC4"/>
    <w:rsid w:val="003D63B7"/>
    <w:rsid w:val="003E468B"/>
    <w:rsid w:val="003E62BD"/>
    <w:rsid w:val="003F0C3A"/>
    <w:rsid w:val="003F2ECB"/>
    <w:rsid w:val="003F3228"/>
    <w:rsid w:val="003F5C8C"/>
    <w:rsid w:val="003F775A"/>
    <w:rsid w:val="00400E55"/>
    <w:rsid w:val="0040128E"/>
    <w:rsid w:val="004015BD"/>
    <w:rsid w:val="0040216B"/>
    <w:rsid w:val="0040396E"/>
    <w:rsid w:val="00403D5F"/>
    <w:rsid w:val="00411384"/>
    <w:rsid w:val="0042348D"/>
    <w:rsid w:val="004239F8"/>
    <w:rsid w:val="004252EC"/>
    <w:rsid w:val="00430D39"/>
    <w:rsid w:val="004313B3"/>
    <w:rsid w:val="004465BD"/>
    <w:rsid w:val="0045186C"/>
    <w:rsid w:val="0045190C"/>
    <w:rsid w:val="00453009"/>
    <w:rsid w:val="00461A44"/>
    <w:rsid w:val="00466ADA"/>
    <w:rsid w:val="00467C90"/>
    <w:rsid w:val="004702BB"/>
    <w:rsid w:val="0047494B"/>
    <w:rsid w:val="00476245"/>
    <w:rsid w:val="00477A9B"/>
    <w:rsid w:val="00483035"/>
    <w:rsid w:val="00485940"/>
    <w:rsid w:val="00487957"/>
    <w:rsid w:val="004904B9"/>
    <w:rsid w:val="004915CF"/>
    <w:rsid w:val="004916BD"/>
    <w:rsid w:val="004917F0"/>
    <w:rsid w:val="004927B6"/>
    <w:rsid w:val="00496EC6"/>
    <w:rsid w:val="004A2484"/>
    <w:rsid w:val="004A3F94"/>
    <w:rsid w:val="004A5A85"/>
    <w:rsid w:val="004A71D1"/>
    <w:rsid w:val="004A7C5B"/>
    <w:rsid w:val="004B20EB"/>
    <w:rsid w:val="004B2E98"/>
    <w:rsid w:val="004B5640"/>
    <w:rsid w:val="004C1BD7"/>
    <w:rsid w:val="004C31FE"/>
    <w:rsid w:val="004C524C"/>
    <w:rsid w:val="004C691D"/>
    <w:rsid w:val="004C6C07"/>
    <w:rsid w:val="004D0747"/>
    <w:rsid w:val="004D4FF6"/>
    <w:rsid w:val="004E3DD2"/>
    <w:rsid w:val="004E692D"/>
    <w:rsid w:val="004E7D87"/>
    <w:rsid w:val="004F1728"/>
    <w:rsid w:val="004F22B2"/>
    <w:rsid w:val="004F2553"/>
    <w:rsid w:val="004F3BEF"/>
    <w:rsid w:val="004F49C8"/>
    <w:rsid w:val="00500C1D"/>
    <w:rsid w:val="00501554"/>
    <w:rsid w:val="00502AFE"/>
    <w:rsid w:val="00503AD7"/>
    <w:rsid w:val="00504E0C"/>
    <w:rsid w:val="005065E3"/>
    <w:rsid w:val="005109D4"/>
    <w:rsid w:val="00514CD7"/>
    <w:rsid w:val="005209C6"/>
    <w:rsid w:val="00520D6A"/>
    <w:rsid w:val="00522DB6"/>
    <w:rsid w:val="005256D6"/>
    <w:rsid w:val="0052792D"/>
    <w:rsid w:val="005317B5"/>
    <w:rsid w:val="005319B2"/>
    <w:rsid w:val="00532402"/>
    <w:rsid w:val="00532C74"/>
    <w:rsid w:val="00534E2E"/>
    <w:rsid w:val="005378DE"/>
    <w:rsid w:val="005421EC"/>
    <w:rsid w:val="0054308B"/>
    <w:rsid w:val="00544552"/>
    <w:rsid w:val="0055286A"/>
    <w:rsid w:val="00555745"/>
    <w:rsid w:val="00557D4F"/>
    <w:rsid w:val="0056484E"/>
    <w:rsid w:val="005679E2"/>
    <w:rsid w:val="005765AD"/>
    <w:rsid w:val="00576956"/>
    <w:rsid w:val="00577C4D"/>
    <w:rsid w:val="00580532"/>
    <w:rsid w:val="00581932"/>
    <w:rsid w:val="00584553"/>
    <w:rsid w:val="005963BB"/>
    <w:rsid w:val="005A3173"/>
    <w:rsid w:val="005A3223"/>
    <w:rsid w:val="005A3DA3"/>
    <w:rsid w:val="005A52C4"/>
    <w:rsid w:val="005B0150"/>
    <w:rsid w:val="005B6D64"/>
    <w:rsid w:val="005D03AB"/>
    <w:rsid w:val="005D2063"/>
    <w:rsid w:val="005D4A88"/>
    <w:rsid w:val="005D5017"/>
    <w:rsid w:val="005D63FA"/>
    <w:rsid w:val="005E01FD"/>
    <w:rsid w:val="005E0A9A"/>
    <w:rsid w:val="005E1333"/>
    <w:rsid w:val="005E1D6D"/>
    <w:rsid w:val="005E3136"/>
    <w:rsid w:val="005E34AB"/>
    <w:rsid w:val="005E507D"/>
    <w:rsid w:val="005F2CE9"/>
    <w:rsid w:val="00601A91"/>
    <w:rsid w:val="00602BA3"/>
    <w:rsid w:val="00605B63"/>
    <w:rsid w:val="00606EED"/>
    <w:rsid w:val="00612E34"/>
    <w:rsid w:val="00614159"/>
    <w:rsid w:val="00616C5F"/>
    <w:rsid w:val="00616DAC"/>
    <w:rsid w:val="00617C00"/>
    <w:rsid w:val="00620D3B"/>
    <w:rsid w:val="006263BF"/>
    <w:rsid w:val="0062748A"/>
    <w:rsid w:val="006279EC"/>
    <w:rsid w:val="00630A2C"/>
    <w:rsid w:val="00631749"/>
    <w:rsid w:val="0063682E"/>
    <w:rsid w:val="00642DA8"/>
    <w:rsid w:val="006436CD"/>
    <w:rsid w:val="00643D43"/>
    <w:rsid w:val="00647389"/>
    <w:rsid w:val="00651169"/>
    <w:rsid w:val="00653D69"/>
    <w:rsid w:val="006552E6"/>
    <w:rsid w:val="006670BE"/>
    <w:rsid w:val="00670A76"/>
    <w:rsid w:val="006711AA"/>
    <w:rsid w:val="00672B57"/>
    <w:rsid w:val="00675622"/>
    <w:rsid w:val="00676A18"/>
    <w:rsid w:val="0067747D"/>
    <w:rsid w:val="00681CA4"/>
    <w:rsid w:val="0069039D"/>
    <w:rsid w:val="006906DB"/>
    <w:rsid w:val="00691E6C"/>
    <w:rsid w:val="00692846"/>
    <w:rsid w:val="00693DFB"/>
    <w:rsid w:val="0069501D"/>
    <w:rsid w:val="00696129"/>
    <w:rsid w:val="00697302"/>
    <w:rsid w:val="00697CF2"/>
    <w:rsid w:val="006A12A5"/>
    <w:rsid w:val="006A5E20"/>
    <w:rsid w:val="006B0D94"/>
    <w:rsid w:val="006B485D"/>
    <w:rsid w:val="006C334C"/>
    <w:rsid w:val="006C708E"/>
    <w:rsid w:val="006D05CA"/>
    <w:rsid w:val="006D14E7"/>
    <w:rsid w:val="006D218F"/>
    <w:rsid w:val="006D4444"/>
    <w:rsid w:val="006D4B35"/>
    <w:rsid w:val="006D63FF"/>
    <w:rsid w:val="006D6493"/>
    <w:rsid w:val="006D65CB"/>
    <w:rsid w:val="006D6EC7"/>
    <w:rsid w:val="006D6F20"/>
    <w:rsid w:val="006E1BCD"/>
    <w:rsid w:val="006F04BC"/>
    <w:rsid w:val="006F5125"/>
    <w:rsid w:val="006F733D"/>
    <w:rsid w:val="00700A45"/>
    <w:rsid w:val="00702B6F"/>
    <w:rsid w:val="0070496C"/>
    <w:rsid w:val="00706A2F"/>
    <w:rsid w:val="0070718E"/>
    <w:rsid w:val="00711CE9"/>
    <w:rsid w:val="0071340B"/>
    <w:rsid w:val="007174BB"/>
    <w:rsid w:val="0071781E"/>
    <w:rsid w:val="0072025D"/>
    <w:rsid w:val="0072524D"/>
    <w:rsid w:val="0073137C"/>
    <w:rsid w:val="00731E76"/>
    <w:rsid w:val="007353D3"/>
    <w:rsid w:val="0074156B"/>
    <w:rsid w:val="007555E8"/>
    <w:rsid w:val="0075687D"/>
    <w:rsid w:val="00762C5E"/>
    <w:rsid w:val="0076420C"/>
    <w:rsid w:val="00771D07"/>
    <w:rsid w:val="00774E2C"/>
    <w:rsid w:val="007753C2"/>
    <w:rsid w:val="007838B8"/>
    <w:rsid w:val="00784852"/>
    <w:rsid w:val="007915BA"/>
    <w:rsid w:val="007A79FB"/>
    <w:rsid w:val="007B272E"/>
    <w:rsid w:val="007B3DDC"/>
    <w:rsid w:val="007B72A6"/>
    <w:rsid w:val="007C0F57"/>
    <w:rsid w:val="007C40B6"/>
    <w:rsid w:val="007C729F"/>
    <w:rsid w:val="007E1D28"/>
    <w:rsid w:val="007E1E59"/>
    <w:rsid w:val="007E7962"/>
    <w:rsid w:val="007F0021"/>
    <w:rsid w:val="007F2641"/>
    <w:rsid w:val="007F2FE2"/>
    <w:rsid w:val="007F7C36"/>
    <w:rsid w:val="0080671A"/>
    <w:rsid w:val="00806796"/>
    <w:rsid w:val="0080760D"/>
    <w:rsid w:val="00814684"/>
    <w:rsid w:val="008151D6"/>
    <w:rsid w:val="008268BB"/>
    <w:rsid w:val="00826F6D"/>
    <w:rsid w:val="008306F3"/>
    <w:rsid w:val="00830E40"/>
    <w:rsid w:val="008325D3"/>
    <w:rsid w:val="00835C0D"/>
    <w:rsid w:val="00837539"/>
    <w:rsid w:val="00842430"/>
    <w:rsid w:val="00850B2D"/>
    <w:rsid w:val="00855FD6"/>
    <w:rsid w:val="00856DDD"/>
    <w:rsid w:val="00863E68"/>
    <w:rsid w:val="008647B5"/>
    <w:rsid w:val="00866066"/>
    <w:rsid w:val="00866A06"/>
    <w:rsid w:val="00873E3B"/>
    <w:rsid w:val="00875DCB"/>
    <w:rsid w:val="00882085"/>
    <w:rsid w:val="00883188"/>
    <w:rsid w:val="00894979"/>
    <w:rsid w:val="00895738"/>
    <w:rsid w:val="00897D58"/>
    <w:rsid w:val="00897F22"/>
    <w:rsid w:val="008A0B39"/>
    <w:rsid w:val="008A1956"/>
    <w:rsid w:val="008A4937"/>
    <w:rsid w:val="008A50F1"/>
    <w:rsid w:val="008A6819"/>
    <w:rsid w:val="008B25DA"/>
    <w:rsid w:val="008B2EC0"/>
    <w:rsid w:val="008B4DBE"/>
    <w:rsid w:val="008C3E57"/>
    <w:rsid w:val="008D1B5C"/>
    <w:rsid w:val="008D3C82"/>
    <w:rsid w:val="008D447E"/>
    <w:rsid w:val="008D65AA"/>
    <w:rsid w:val="008D7A41"/>
    <w:rsid w:val="008E0811"/>
    <w:rsid w:val="008E258D"/>
    <w:rsid w:val="008E2C72"/>
    <w:rsid w:val="008E3680"/>
    <w:rsid w:val="008E5870"/>
    <w:rsid w:val="008E7669"/>
    <w:rsid w:val="008F1434"/>
    <w:rsid w:val="008F1C66"/>
    <w:rsid w:val="008F54C3"/>
    <w:rsid w:val="008F7355"/>
    <w:rsid w:val="00901C6E"/>
    <w:rsid w:val="009023DC"/>
    <w:rsid w:val="009067B7"/>
    <w:rsid w:val="009073CC"/>
    <w:rsid w:val="00926560"/>
    <w:rsid w:val="0092738B"/>
    <w:rsid w:val="00930937"/>
    <w:rsid w:val="009324A6"/>
    <w:rsid w:val="00933E6C"/>
    <w:rsid w:val="00937958"/>
    <w:rsid w:val="0094157C"/>
    <w:rsid w:val="00941602"/>
    <w:rsid w:val="00942160"/>
    <w:rsid w:val="0095146F"/>
    <w:rsid w:val="00957944"/>
    <w:rsid w:val="009602C5"/>
    <w:rsid w:val="00962223"/>
    <w:rsid w:val="00965045"/>
    <w:rsid w:val="00966D0D"/>
    <w:rsid w:val="0096783C"/>
    <w:rsid w:val="009722B3"/>
    <w:rsid w:val="00973EC9"/>
    <w:rsid w:val="00974C21"/>
    <w:rsid w:val="00977BF3"/>
    <w:rsid w:val="00980B0E"/>
    <w:rsid w:val="009836A3"/>
    <w:rsid w:val="009913F4"/>
    <w:rsid w:val="0099446C"/>
    <w:rsid w:val="0099465B"/>
    <w:rsid w:val="0099794F"/>
    <w:rsid w:val="009A0CDD"/>
    <w:rsid w:val="009A1B8B"/>
    <w:rsid w:val="009A28F3"/>
    <w:rsid w:val="009A61CA"/>
    <w:rsid w:val="009B0F67"/>
    <w:rsid w:val="009B143C"/>
    <w:rsid w:val="009B16B1"/>
    <w:rsid w:val="009B4102"/>
    <w:rsid w:val="009C703C"/>
    <w:rsid w:val="009D206E"/>
    <w:rsid w:val="009D3CAA"/>
    <w:rsid w:val="009D62EB"/>
    <w:rsid w:val="009E40E1"/>
    <w:rsid w:val="009F0EFA"/>
    <w:rsid w:val="009F4E46"/>
    <w:rsid w:val="009F5B65"/>
    <w:rsid w:val="009F5F2E"/>
    <w:rsid w:val="00A0339C"/>
    <w:rsid w:val="00A06225"/>
    <w:rsid w:val="00A107CC"/>
    <w:rsid w:val="00A11348"/>
    <w:rsid w:val="00A128E6"/>
    <w:rsid w:val="00A144D3"/>
    <w:rsid w:val="00A15C95"/>
    <w:rsid w:val="00A20564"/>
    <w:rsid w:val="00A22AC3"/>
    <w:rsid w:val="00A23EDB"/>
    <w:rsid w:val="00A2480E"/>
    <w:rsid w:val="00A2744D"/>
    <w:rsid w:val="00A31AFD"/>
    <w:rsid w:val="00A3291D"/>
    <w:rsid w:val="00A34E6C"/>
    <w:rsid w:val="00A36398"/>
    <w:rsid w:val="00A37C8D"/>
    <w:rsid w:val="00A4020E"/>
    <w:rsid w:val="00A40FB5"/>
    <w:rsid w:val="00A41BF5"/>
    <w:rsid w:val="00A42826"/>
    <w:rsid w:val="00A439D2"/>
    <w:rsid w:val="00A5273B"/>
    <w:rsid w:val="00A52D00"/>
    <w:rsid w:val="00A53A9D"/>
    <w:rsid w:val="00A54FEB"/>
    <w:rsid w:val="00A55FEE"/>
    <w:rsid w:val="00A62C1A"/>
    <w:rsid w:val="00A6426D"/>
    <w:rsid w:val="00A65BF9"/>
    <w:rsid w:val="00A665C1"/>
    <w:rsid w:val="00A70622"/>
    <w:rsid w:val="00A70977"/>
    <w:rsid w:val="00A70D58"/>
    <w:rsid w:val="00A732B7"/>
    <w:rsid w:val="00A744F9"/>
    <w:rsid w:val="00A76694"/>
    <w:rsid w:val="00A77613"/>
    <w:rsid w:val="00A8390C"/>
    <w:rsid w:val="00A84744"/>
    <w:rsid w:val="00A86EF8"/>
    <w:rsid w:val="00A913DF"/>
    <w:rsid w:val="00A928BD"/>
    <w:rsid w:val="00A975BD"/>
    <w:rsid w:val="00A97DE9"/>
    <w:rsid w:val="00AA12CD"/>
    <w:rsid w:val="00AA2B44"/>
    <w:rsid w:val="00AA4D1C"/>
    <w:rsid w:val="00AB19BA"/>
    <w:rsid w:val="00AB32FC"/>
    <w:rsid w:val="00AB5780"/>
    <w:rsid w:val="00AB5856"/>
    <w:rsid w:val="00AC193C"/>
    <w:rsid w:val="00AC4DE5"/>
    <w:rsid w:val="00AC5206"/>
    <w:rsid w:val="00AD0FA1"/>
    <w:rsid w:val="00AD4322"/>
    <w:rsid w:val="00AD4759"/>
    <w:rsid w:val="00AE11A5"/>
    <w:rsid w:val="00AE13E2"/>
    <w:rsid w:val="00AE22D3"/>
    <w:rsid w:val="00AE5A49"/>
    <w:rsid w:val="00AF62DF"/>
    <w:rsid w:val="00AF68CC"/>
    <w:rsid w:val="00AF6ACB"/>
    <w:rsid w:val="00AF70D7"/>
    <w:rsid w:val="00B0745B"/>
    <w:rsid w:val="00B07CFB"/>
    <w:rsid w:val="00B1059E"/>
    <w:rsid w:val="00B13623"/>
    <w:rsid w:val="00B170A5"/>
    <w:rsid w:val="00B176C8"/>
    <w:rsid w:val="00B205AA"/>
    <w:rsid w:val="00B212F4"/>
    <w:rsid w:val="00B22E84"/>
    <w:rsid w:val="00B233AD"/>
    <w:rsid w:val="00B23E25"/>
    <w:rsid w:val="00B25F75"/>
    <w:rsid w:val="00B26B3F"/>
    <w:rsid w:val="00B26DAD"/>
    <w:rsid w:val="00B2778F"/>
    <w:rsid w:val="00B277A5"/>
    <w:rsid w:val="00B33635"/>
    <w:rsid w:val="00B33BCA"/>
    <w:rsid w:val="00B340F0"/>
    <w:rsid w:val="00B43E90"/>
    <w:rsid w:val="00B467DC"/>
    <w:rsid w:val="00B46B2D"/>
    <w:rsid w:val="00B56118"/>
    <w:rsid w:val="00B6042F"/>
    <w:rsid w:val="00B6773F"/>
    <w:rsid w:val="00B7086E"/>
    <w:rsid w:val="00B73852"/>
    <w:rsid w:val="00B760FB"/>
    <w:rsid w:val="00B801BA"/>
    <w:rsid w:val="00B80B27"/>
    <w:rsid w:val="00B83850"/>
    <w:rsid w:val="00B84D5C"/>
    <w:rsid w:val="00B85A0B"/>
    <w:rsid w:val="00B87074"/>
    <w:rsid w:val="00B90B30"/>
    <w:rsid w:val="00BA2DA8"/>
    <w:rsid w:val="00BA347C"/>
    <w:rsid w:val="00BA6EF5"/>
    <w:rsid w:val="00BB06C5"/>
    <w:rsid w:val="00BB57B2"/>
    <w:rsid w:val="00BB69F5"/>
    <w:rsid w:val="00BB7EC3"/>
    <w:rsid w:val="00BC3B49"/>
    <w:rsid w:val="00BC4B9A"/>
    <w:rsid w:val="00BC628D"/>
    <w:rsid w:val="00BD02C3"/>
    <w:rsid w:val="00BD677B"/>
    <w:rsid w:val="00BD6EB4"/>
    <w:rsid w:val="00BD784C"/>
    <w:rsid w:val="00BE020A"/>
    <w:rsid w:val="00BF092C"/>
    <w:rsid w:val="00BF1DAA"/>
    <w:rsid w:val="00BF27A0"/>
    <w:rsid w:val="00BF4CB6"/>
    <w:rsid w:val="00C00DA7"/>
    <w:rsid w:val="00C04EF2"/>
    <w:rsid w:val="00C0738C"/>
    <w:rsid w:val="00C100C5"/>
    <w:rsid w:val="00C12768"/>
    <w:rsid w:val="00C12D70"/>
    <w:rsid w:val="00C213C5"/>
    <w:rsid w:val="00C22015"/>
    <w:rsid w:val="00C27B58"/>
    <w:rsid w:val="00C35996"/>
    <w:rsid w:val="00C4747E"/>
    <w:rsid w:val="00C51856"/>
    <w:rsid w:val="00C5342C"/>
    <w:rsid w:val="00C53AD9"/>
    <w:rsid w:val="00C53B2B"/>
    <w:rsid w:val="00C60272"/>
    <w:rsid w:val="00C603D4"/>
    <w:rsid w:val="00C6146C"/>
    <w:rsid w:val="00C61728"/>
    <w:rsid w:val="00C6256A"/>
    <w:rsid w:val="00C64567"/>
    <w:rsid w:val="00C710E2"/>
    <w:rsid w:val="00C71C3F"/>
    <w:rsid w:val="00C73321"/>
    <w:rsid w:val="00C7409E"/>
    <w:rsid w:val="00C76E76"/>
    <w:rsid w:val="00C77891"/>
    <w:rsid w:val="00C91449"/>
    <w:rsid w:val="00C92D10"/>
    <w:rsid w:val="00C93678"/>
    <w:rsid w:val="00C93716"/>
    <w:rsid w:val="00C94451"/>
    <w:rsid w:val="00CA48D9"/>
    <w:rsid w:val="00CA5FE7"/>
    <w:rsid w:val="00CB1193"/>
    <w:rsid w:val="00CB1AED"/>
    <w:rsid w:val="00CB4767"/>
    <w:rsid w:val="00CB493D"/>
    <w:rsid w:val="00CB54DB"/>
    <w:rsid w:val="00CC007E"/>
    <w:rsid w:val="00CC17F0"/>
    <w:rsid w:val="00CC1B10"/>
    <w:rsid w:val="00CC3779"/>
    <w:rsid w:val="00CE10C4"/>
    <w:rsid w:val="00CE27B5"/>
    <w:rsid w:val="00CE6DAF"/>
    <w:rsid w:val="00CF410A"/>
    <w:rsid w:val="00D0321E"/>
    <w:rsid w:val="00D07A8A"/>
    <w:rsid w:val="00D1455A"/>
    <w:rsid w:val="00D1663B"/>
    <w:rsid w:val="00D22093"/>
    <w:rsid w:val="00D2782A"/>
    <w:rsid w:val="00D31150"/>
    <w:rsid w:val="00D3138B"/>
    <w:rsid w:val="00D3280C"/>
    <w:rsid w:val="00D3406A"/>
    <w:rsid w:val="00D41211"/>
    <w:rsid w:val="00D441F1"/>
    <w:rsid w:val="00D4572C"/>
    <w:rsid w:val="00D469B2"/>
    <w:rsid w:val="00D631F4"/>
    <w:rsid w:val="00D65658"/>
    <w:rsid w:val="00D72B6F"/>
    <w:rsid w:val="00D73A41"/>
    <w:rsid w:val="00D741EB"/>
    <w:rsid w:val="00D7679C"/>
    <w:rsid w:val="00D820F3"/>
    <w:rsid w:val="00D83605"/>
    <w:rsid w:val="00D84934"/>
    <w:rsid w:val="00D86262"/>
    <w:rsid w:val="00D91271"/>
    <w:rsid w:val="00D919F5"/>
    <w:rsid w:val="00D94F03"/>
    <w:rsid w:val="00DA0D14"/>
    <w:rsid w:val="00DA1FC9"/>
    <w:rsid w:val="00DA2CB5"/>
    <w:rsid w:val="00DA4BAC"/>
    <w:rsid w:val="00DB0151"/>
    <w:rsid w:val="00DB1120"/>
    <w:rsid w:val="00DB7142"/>
    <w:rsid w:val="00DC124F"/>
    <w:rsid w:val="00DC2C3E"/>
    <w:rsid w:val="00DC4880"/>
    <w:rsid w:val="00DD45DA"/>
    <w:rsid w:val="00DD77D1"/>
    <w:rsid w:val="00DE301A"/>
    <w:rsid w:val="00DE6D27"/>
    <w:rsid w:val="00DF217D"/>
    <w:rsid w:val="00DF26A7"/>
    <w:rsid w:val="00DF2777"/>
    <w:rsid w:val="00DF3277"/>
    <w:rsid w:val="00DF6D24"/>
    <w:rsid w:val="00DF7919"/>
    <w:rsid w:val="00E0207E"/>
    <w:rsid w:val="00E02D6F"/>
    <w:rsid w:val="00E037B4"/>
    <w:rsid w:val="00E03912"/>
    <w:rsid w:val="00E15627"/>
    <w:rsid w:val="00E15FFC"/>
    <w:rsid w:val="00E164B3"/>
    <w:rsid w:val="00E16910"/>
    <w:rsid w:val="00E170B8"/>
    <w:rsid w:val="00E24E09"/>
    <w:rsid w:val="00E27234"/>
    <w:rsid w:val="00E318BA"/>
    <w:rsid w:val="00E42BDB"/>
    <w:rsid w:val="00E45096"/>
    <w:rsid w:val="00E452DC"/>
    <w:rsid w:val="00E540E7"/>
    <w:rsid w:val="00E55DBB"/>
    <w:rsid w:val="00E57EEB"/>
    <w:rsid w:val="00E61A9C"/>
    <w:rsid w:val="00E62D94"/>
    <w:rsid w:val="00E64F37"/>
    <w:rsid w:val="00E65E54"/>
    <w:rsid w:val="00E661C7"/>
    <w:rsid w:val="00E675E5"/>
    <w:rsid w:val="00E80155"/>
    <w:rsid w:val="00E81F28"/>
    <w:rsid w:val="00E848C0"/>
    <w:rsid w:val="00E90947"/>
    <w:rsid w:val="00E91B96"/>
    <w:rsid w:val="00E93D1E"/>
    <w:rsid w:val="00E941A1"/>
    <w:rsid w:val="00E9544C"/>
    <w:rsid w:val="00E95CE3"/>
    <w:rsid w:val="00E95EFB"/>
    <w:rsid w:val="00EA252F"/>
    <w:rsid w:val="00EA2825"/>
    <w:rsid w:val="00EA4901"/>
    <w:rsid w:val="00EA7EDE"/>
    <w:rsid w:val="00EB0B63"/>
    <w:rsid w:val="00EB0FA1"/>
    <w:rsid w:val="00EB1936"/>
    <w:rsid w:val="00EB37BE"/>
    <w:rsid w:val="00EB5088"/>
    <w:rsid w:val="00EC52CE"/>
    <w:rsid w:val="00ED1644"/>
    <w:rsid w:val="00ED2593"/>
    <w:rsid w:val="00ED7D9C"/>
    <w:rsid w:val="00EE292E"/>
    <w:rsid w:val="00EF0069"/>
    <w:rsid w:val="00EF1F47"/>
    <w:rsid w:val="00EF44A0"/>
    <w:rsid w:val="00EF4CC7"/>
    <w:rsid w:val="00EF4FED"/>
    <w:rsid w:val="00EF51B3"/>
    <w:rsid w:val="00F007C6"/>
    <w:rsid w:val="00F0172E"/>
    <w:rsid w:val="00F050BD"/>
    <w:rsid w:val="00F05657"/>
    <w:rsid w:val="00F122EF"/>
    <w:rsid w:val="00F209E2"/>
    <w:rsid w:val="00F22BEC"/>
    <w:rsid w:val="00F25578"/>
    <w:rsid w:val="00F258E5"/>
    <w:rsid w:val="00F25B9C"/>
    <w:rsid w:val="00F26022"/>
    <w:rsid w:val="00F26CC6"/>
    <w:rsid w:val="00F300BC"/>
    <w:rsid w:val="00F3263C"/>
    <w:rsid w:val="00F3334E"/>
    <w:rsid w:val="00F36CCB"/>
    <w:rsid w:val="00F374E5"/>
    <w:rsid w:val="00F37B93"/>
    <w:rsid w:val="00F37D83"/>
    <w:rsid w:val="00F43AF2"/>
    <w:rsid w:val="00F5007E"/>
    <w:rsid w:val="00F50EC4"/>
    <w:rsid w:val="00F52232"/>
    <w:rsid w:val="00F550CF"/>
    <w:rsid w:val="00F57A6D"/>
    <w:rsid w:val="00F638CC"/>
    <w:rsid w:val="00F63ADE"/>
    <w:rsid w:val="00F64C9E"/>
    <w:rsid w:val="00F64CC1"/>
    <w:rsid w:val="00F65C2B"/>
    <w:rsid w:val="00F7069E"/>
    <w:rsid w:val="00F72317"/>
    <w:rsid w:val="00F76122"/>
    <w:rsid w:val="00F80475"/>
    <w:rsid w:val="00F8247A"/>
    <w:rsid w:val="00F9629A"/>
    <w:rsid w:val="00F97EFC"/>
    <w:rsid w:val="00FA0E9C"/>
    <w:rsid w:val="00FA1B3D"/>
    <w:rsid w:val="00FA1BDD"/>
    <w:rsid w:val="00FA2A45"/>
    <w:rsid w:val="00FA4DD5"/>
    <w:rsid w:val="00FA5883"/>
    <w:rsid w:val="00FA6055"/>
    <w:rsid w:val="00FB322F"/>
    <w:rsid w:val="00FB442F"/>
    <w:rsid w:val="00FC0575"/>
    <w:rsid w:val="00FC1929"/>
    <w:rsid w:val="00FC5B46"/>
    <w:rsid w:val="00FD4F14"/>
    <w:rsid w:val="00FD691B"/>
    <w:rsid w:val="00FD6D8E"/>
    <w:rsid w:val="00FE0E94"/>
    <w:rsid w:val="00FE3CD9"/>
    <w:rsid w:val="00FE4D29"/>
    <w:rsid w:val="00FE66E1"/>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6BD"/>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pPr>
      <w:numPr>
        <w:ilvl w:val="1"/>
        <w:numId w:val="3"/>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14"/>
      </w:numPr>
      <w:spacing w:before="60" w:after="60" w:line="300" w:lineRule="atLeast"/>
      <w:ind w:right="567"/>
    </w:pPr>
    <w:rPr>
      <w:rFonts w:ascii="Tahoma" w:hAnsi="Tahoma"/>
      <w:sz w:val="22"/>
      <w:szCs w:val="20"/>
    </w:rPr>
  </w:style>
  <w:style w:type="paragraph" w:styleId="NormalWeb">
    <w:name w:val="Normal (Web)"/>
    <w:basedOn w:val="Normal"/>
    <w:uiPriority w:val="99"/>
    <w:semiHidden/>
    <w:unhideWhenUsed/>
    <w:rsid w:val="0071781E"/>
    <w:pPr>
      <w:spacing w:after="150"/>
    </w:pPr>
    <w:rPr>
      <w:color w:val="222222"/>
    </w:rPr>
  </w:style>
  <w:style w:type="paragraph" w:customStyle="1" w:styleId="Default">
    <w:name w:val="Default"/>
    <w:rsid w:val="00AD4759"/>
    <w:pPr>
      <w:autoSpaceDE w:val="0"/>
      <w:autoSpaceDN w:val="0"/>
      <w:adjustRightInd w:val="0"/>
    </w:pPr>
    <w:rPr>
      <w:rFonts w:ascii="Calibri" w:hAnsi="Calibri" w:cs="Calibri"/>
      <w:color w:val="000000"/>
      <w:sz w:val="24"/>
      <w:szCs w:val="24"/>
    </w:rPr>
  </w:style>
  <w:style w:type="table" w:styleId="PlainTable2">
    <w:name w:val="Plain Table 2"/>
    <w:basedOn w:val="TableNormal"/>
    <w:uiPriority w:val="42"/>
    <w:rsid w:val="00AD47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rm-strength">
    <w:name w:val="form-strength"/>
    <w:basedOn w:val="DefaultParagraphFont"/>
    <w:rsid w:val="00BD6EB4"/>
  </w:style>
  <w:style w:type="paragraph" w:customStyle="1" w:styleId="PBACtablefooter">
    <w:name w:val="PBAC table footer"/>
    <w:basedOn w:val="Normal"/>
    <w:link w:val="PBACtablefooterChar"/>
    <w:rsid w:val="00A732B7"/>
    <w:pPr>
      <w:spacing w:before="60"/>
    </w:pPr>
    <w:rPr>
      <w:rFonts w:ascii="Arial Narrow" w:eastAsiaTheme="minorHAnsi" w:hAnsi="Arial Narrow" w:cs="Arial"/>
      <w:sz w:val="18"/>
      <w:szCs w:val="18"/>
      <w:lang w:eastAsia="en-US"/>
    </w:rPr>
  </w:style>
  <w:style w:type="character" w:customStyle="1" w:styleId="PBACtablefooterChar">
    <w:name w:val="PBAC table footer Char"/>
    <w:basedOn w:val="DefaultParagraphFont"/>
    <w:link w:val="PBACtablefooter"/>
    <w:rsid w:val="00A732B7"/>
    <w:rPr>
      <w:rFonts w:ascii="Arial Narrow" w:eastAsiaTheme="minorHAnsi" w:hAnsi="Arial Narrow" w:cs="Arial"/>
      <w:sz w:val="18"/>
      <w:szCs w:val="18"/>
      <w:lang w:eastAsia="en-US"/>
    </w:rPr>
  </w:style>
  <w:style w:type="paragraph" w:customStyle="1" w:styleId="PBACtablecaption">
    <w:name w:val="PBAC table caption"/>
    <w:basedOn w:val="PBACtablefooter"/>
    <w:link w:val="PBACtablecaptionChar"/>
    <w:qFormat/>
    <w:rsid w:val="00A732B7"/>
    <w:pPr>
      <w:spacing w:after="60"/>
    </w:pPr>
    <w:rPr>
      <w:rFonts w:ascii="Sabon" w:hAnsi="Sabon"/>
      <w:b/>
      <w:sz w:val="22"/>
      <w:szCs w:val="22"/>
    </w:rPr>
  </w:style>
  <w:style w:type="character" w:customStyle="1" w:styleId="PBACtablecaptionChar">
    <w:name w:val="PBAC table caption Char"/>
    <w:basedOn w:val="PBACtablefooterChar"/>
    <w:link w:val="PBACtablecaption"/>
    <w:rsid w:val="00A732B7"/>
    <w:rPr>
      <w:rFonts w:ascii="Sabon" w:eastAsiaTheme="minorHAnsi" w:hAnsi="Sabon" w:cs="Arial"/>
      <w:b/>
      <w:sz w:val="22"/>
      <w:szCs w:val="22"/>
      <w:lang w:eastAsia="en-US"/>
    </w:rPr>
  </w:style>
  <w:style w:type="paragraph" w:customStyle="1" w:styleId="NormalPBACsubtext">
    <w:name w:val="Normal PBAC sub text"/>
    <w:basedOn w:val="Normal"/>
    <w:next w:val="Normal"/>
    <w:rsid w:val="00A732B7"/>
    <w:pPr>
      <w:keepNext/>
      <w:spacing w:after="240" w:line="360" w:lineRule="auto"/>
      <w:jc w:val="both"/>
    </w:pPr>
    <w:rPr>
      <w:rFonts w:ascii="Sabon" w:eastAsiaTheme="minorHAnsi" w:hAnsi="Sabon" w:cstheme="minorBidi"/>
      <w:sz w:val="22"/>
      <w:szCs w:val="22"/>
      <w:lang w:eastAsia="en-US"/>
    </w:rPr>
  </w:style>
  <w:style w:type="paragraph" w:styleId="Revision">
    <w:name w:val="Revision"/>
    <w:hidden/>
    <w:uiPriority w:val="71"/>
    <w:semiHidden/>
    <w:rsid w:val="00C93716"/>
    <w:rPr>
      <w:sz w:val="24"/>
      <w:szCs w:val="24"/>
    </w:rPr>
  </w:style>
  <w:style w:type="paragraph" w:styleId="EndnoteText">
    <w:name w:val="endnote text"/>
    <w:basedOn w:val="Normal"/>
    <w:link w:val="EndnoteTextChar"/>
    <w:semiHidden/>
    <w:unhideWhenUsed/>
    <w:rsid w:val="009B4102"/>
    <w:rPr>
      <w:sz w:val="20"/>
      <w:szCs w:val="20"/>
    </w:rPr>
  </w:style>
  <w:style w:type="character" w:customStyle="1" w:styleId="EndnoteTextChar">
    <w:name w:val="Endnote Text Char"/>
    <w:basedOn w:val="DefaultParagraphFont"/>
    <w:link w:val="EndnoteText"/>
    <w:semiHidden/>
    <w:rsid w:val="009B4102"/>
  </w:style>
  <w:style w:type="character" w:styleId="EndnoteReference">
    <w:name w:val="endnote reference"/>
    <w:basedOn w:val="DefaultParagraphFont"/>
    <w:semiHidden/>
    <w:unhideWhenUsed/>
    <w:rsid w:val="009B4102"/>
    <w:rPr>
      <w:vertAlign w:val="superscript"/>
    </w:rPr>
  </w:style>
  <w:style w:type="paragraph" w:styleId="FootnoteText">
    <w:name w:val="footnote text"/>
    <w:basedOn w:val="Normal"/>
    <w:link w:val="FootnoteTextChar"/>
    <w:semiHidden/>
    <w:unhideWhenUsed/>
    <w:rsid w:val="0024349B"/>
    <w:rPr>
      <w:sz w:val="20"/>
      <w:szCs w:val="20"/>
    </w:rPr>
  </w:style>
  <w:style w:type="character" w:customStyle="1" w:styleId="FootnoteTextChar">
    <w:name w:val="Footnote Text Char"/>
    <w:basedOn w:val="DefaultParagraphFont"/>
    <w:link w:val="FootnoteText"/>
    <w:semiHidden/>
    <w:rsid w:val="0024349B"/>
  </w:style>
  <w:style w:type="character" w:styleId="FootnoteReference">
    <w:name w:val="footnote reference"/>
    <w:basedOn w:val="DefaultParagraphFont"/>
    <w:semiHidden/>
    <w:unhideWhenUsed/>
    <w:rsid w:val="002434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44396870">
      <w:bodyDiv w:val="1"/>
      <w:marLeft w:val="0"/>
      <w:marRight w:val="0"/>
      <w:marTop w:val="0"/>
      <w:marBottom w:val="0"/>
      <w:divBdr>
        <w:top w:val="none" w:sz="0" w:space="0" w:color="auto"/>
        <w:left w:val="none" w:sz="0" w:space="0" w:color="auto"/>
        <w:bottom w:val="none" w:sz="0" w:space="0" w:color="auto"/>
        <w:right w:val="none" w:sz="0" w:space="0" w:color="auto"/>
      </w:divBdr>
      <w:divsChild>
        <w:div w:id="352387813">
          <w:marLeft w:val="0"/>
          <w:marRight w:val="0"/>
          <w:marTop w:val="0"/>
          <w:marBottom w:val="0"/>
          <w:divBdr>
            <w:top w:val="none" w:sz="0" w:space="0" w:color="auto"/>
            <w:left w:val="none" w:sz="0" w:space="0" w:color="auto"/>
            <w:bottom w:val="none" w:sz="0" w:space="0" w:color="auto"/>
            <w:right w:val="none" w:sz="0" w:space="0" w:color="auto"/>
          </w:divBdr>
          <w:divsChild>
            <w:div w:id="12521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118">
      <w:bodyDiv w:val="1"/>
      <w:marLeft w:val="0"/>
      <w:marRight w:val="0"/>
      <w:marTop w:val="0"/>
      <w:marBottom w:val="0"/>
      <w:divBdr>
        <w:top w:val="none" w:sz="0" w:space="0" w:color="auto"/>
        <w:left w:val="none" w:sz="0" w:space="0" w:color="auto"/>
        <w:bottom w:val="none" w:sz="0" w:space="0" w:color="auto"/>
        <w:right w:val="none" w:sz="0" w:space="0" w:color="auto"/>
      </w:divBdr>
      <w:divsChild>
        <w:div w:id="1834449412">
          <w:marLeft w:val="0"/>
          <w:marRight w:val="0"/>
          <w:marTop w:val="0"/>
          <w:marBottom w:val="0"/>
          <w:divBdr>
            <w:top w:val="none" w:sz="0" w:space="0" w:color="auto"/>
            <w:left w:val="none" w:sz="0" w:space="0" w:color="auto"/>
            <w:bottom w:val="none" w:sz="0" w:space="0" w:color="auto"/>
            <w:right w:val="none" w:sz="0" w:space="0" w:color="auto"/>
          </w:divBdr>
          <w:divsChild>
            <w:div w:id="2044865245">
              <w:marLeft w:val="0"/>
              <w:marRight w:val="0"/>
              <w:marTop w:val="0"/>
              <w:marBottom w:val="0"/>
              <w:divBdr>
                <w:top w:val="none" w:sz="0" w:space="0" w:color="auto"/>
                <w:left w:val="none" w:sz="0" w:space="0" w:color="auto"/>
                <w:bottom w:val="none" w:sz="0" w:space="0" w:color="auto"/>
                <w:right w:val="none" w:sz="0" w:space="0" w:color="auto"/>
              </w:divBdr>
              <w:divsChild>
                <w:div w:id="1892956058">
                  <w:marLeft w:val="0"/>
                  <w:marRight w:val="0"/>
                  <w:marTop w:val="0"/>
                  <w:marBottom w:val="0"/>
                  <w:divBdr>
                    <w:top w:val="none" w:sz="0" w:space="0" w:color="auto"/>
                    <w:left w:val="none" w:sz="0" w:space="0" w:color="auto"/>
                    <w:bottom w:val="none" w:sz="0" w:space="0" w:color="auto"/>
                    <w:right w:val="none" w:sz="0" w:space="0" w:color="auto"/>
                  </w:divBdr>
                  <w:divsChild>
                    <w:div w:id="1189415656">
                      <w:marLeft w:val="0"/>
                      <w:marRight w:val="0"/>
                      <w:marTop w:val="0"/>
                      <w:marBottom w:val="0"/>
                      <w:divBdr>
                        <w:top w:val="none" w:sz="0" w:space="0" w:color="auto"/>
                        <w:left w:val="none" w:sz="0" w:space="0" w:color="auto"/>
                        <w:bottom w:val="none" w:sz="0" w:space="0" w:color="auto"/>
                        <w:right w:val="none" w:sz="0" w:space="0" w:color="auto"/>
                      </w:divBdr>
                      <w:divsChild>
                        <w:div w:id="1870532738">
                          <w:marLeft w:val="0"/>
                          <w:marRight w:val="0"/>
                          <w:marTop w:val="0"/>
                          <w:marBottom w:val="0"/>
                          <w:divBdr>
                            <w:top w:val="none" w:sz="0" w:space="0" w:color="auto"/>
                            <w:left w:val="none" w:sz="0" w:space="0" w:color="auto"/>
                            <w:bottom w:val="none" w:sz="0" w:space="0" w:color="auto"/>
                            <w:right w:val="none" w:sz="0" w:space="0" w:color="auto"/>
                          </w:divBdr>
                          <w:divsChild>
                            <w:div w:id="12279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709608">
      <w:bodyDiv w:val="1"/>
      <w:marLeft w:val="0"/>
      <w:marRight w:val="0"/>
      <w:marTop w:val="0"/>
      <w:marBottom w:val="0"/>
      <w:divBdr>
        <w:top w:val="none" w:sz="0" w:space="0" w:color="auto"/>
        <w:left w:val="none" w:sz="0" w:space="0" w:color="auto"/>
        <w:bottom w:val="none" w:sz="0" w:space="0" w:color="auto"/>
        <w:right w:val="none" w:sz="0" w:space="0" w:color="auto"/>
      </w:divBdr>
    </w:div>
    <w:div w:id="472720206">
      <w:bodyDiv w:val="1"/>
      <w:marLeft w:val="0"/>
      <w:marRight w:val="0"/>
      <w:marTop w:val="0"/>
      <w:marBottom w:val="0"/>
      <w:divBdr>
        <w:top w:val="none" w:sz="0" w:space="0" w:color="auto"/>
        <w:left w:val="none" w:sz="0" w:space="0" w:color="auto"/>
        <w:bottom w:val="none" w:sz="0" w:space="0" w:color="auto"/>
        <w:right w:val="none" w:sz="0" w:space="0" w:color="auto"/>
      </w:divBdr>
    </w:div>
    <w:div w:id="496385106">
      <w:bodyDiv w:val="1"/>
      <w:marLeft w:val="0"/>
      <w:marRight w:val="0"/>
      <w:marTop w:val="0"/>
      <w:marBottom w:val="0"/>
      <w:divBdr>
        <w:top w:val="none" w:sz="0" w:space="0" w:color="auto"/>
        <w:left w:val="none" w:sz="0" w:space="0" w:color="auto"/>
        <w:bottom w:val="none" w:sz="0" w:space="0" w:color="auto"/>
        <w:right w:val="none" w:sz="0" w:space="0" w:color="auto"/>
      </w:divBdr>
    </w:div>
    <w:div w:id="587345118">
      <w:bodyDiv w:val="1"/>
      <w:marLeft w:val="0"/>
      <w:marRight w:val="0"/>
      <w:marTop w:val="0"/>
      <w:marBottom w:val="0"/>
      <w:divBdr>
        <w:top w:val="none" w:sz="0" w:space="0" w:color="auto"/>
        <w:left w:val="none" w:sz="0" w:space="0" w:color="auto"/>
        <w:bottom w:val="none" w:sz="0" w:space="0" w:color="auto"/>
        <w:right w:val="none" w:sz="0" w:space="0" w:color="auto"/>
      </w:divBdr>
    </w:div>
    <w:div w:id="77170346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32472804">
      <w:bodyDiv w:val="1"/>
      <w:marLeft w:val="0"/>
      <w:marRight w:val="0"/>
      <w:marTop w:val="0"/>
      <w:marBottom w:val="0"/>
      <w:divBdr>
        <w:top w:val="none" w:sz="0" w:space="0" w:color="auto"/>
        <w:left w:val="none" w:sz="0" w:space="0" w:color="auto"/>
        <w:bottom w:val="none" w:sz="0" w:space="0" w:color="auto"/>
        <w:right w:val="none" w:sz="0" w:space="0" w:color="auto"/>
      </w:divBdr>
      <w:divsChild>
        <w:div w:id="1193611250">
          <w:marLeft w:val="0"/>
          <w:marRight w:val="0"/>
          <w:marTop w:val="0"/>
          <w:marBottom w:val="0"/>
          <w:divBdr>
            <w:top w:val="none" w:sz="0" w:space="0" w:color="auto"/>
            <w:left w:val="none" w:sz="0" w:space="0" w:color="auto"/>
            <w:bottom w:val="none" w:sz="0" w:space="0" w:color="auto"/>
            <w:right w:val="none" w:sz="0" w:space="0" w:color="auto"/>
          </w:divBdr>
          <w:divsChild>
            <w:div w:id="855653268">
              <w:marLeft w:val="0"/>
              <w:marRight w:val="0"/>
              <w:marTop w:val="0"/>
              <w:marBottom w:val="0"/>
              <w:divBdr>
                <w:top w:val="none" w:sz="0" w:space="0" w:color="auto"/>
                <w:left w:val="none" w:sz="0" w:space="0" w:color="auto"/>
                <w:bottom w:val="none" w:sz="0" w:space="0" w:color="auto"/>
                <w:right w:val="none" w:sz="0" w:space="0" w:color="auto"/>
              </w:divBdr>
              <w:divsChild>
                <w:div w:id="1799565657">
                  <w:marLeft w:val="0"/>
                  <w:marRight w:val="0"/>
                  <w:marTop w:val="0"/>
                  <w:marBottom w:val="0"/>
                  <w:divBdr>
                    <w:top w:val="none" w:sz="0" w:space="0" w:color="auto"/>
                    <w:left w:val="none" w:sz="0" w:space="0" w:color="auto"/>
                    <w:bottom w:val="none" w:sz="0" w:space="0" w:color="auto"/>
                    <w:right w:val="none" w:sz="0" w:space="0" w:color="auto"/>
                  </w:divBdr>
                  <w:divsChild>
                    <w:div w:id="1147088862">
                      <w:marLeft w:val="0"/>
                      <w:marRight w:val="0"/>
                      <w:marTop w:val="0"/>
                      <w:marBottom w:val="0"/>
                      <w:divBdr>
                        <w:top w:val="none" w:sz="0" w:space="0" w:color="auto"/>
                        <w:left w:val="none" w:sz="0" w:space="0" w:color="auto"/>
                        <w:bottom w:val="none" w:sz="0" w:space="0" w:color="auto"/>
                        <w:right w:val="none" w:sz="0" w:space="0" w:color="auto"/>
                      </w:divBdr>
                      <w:divsChild>
                        <w:div w:id="265889249">
                          <w:marLeft w:val="0"/>
                          <w:marRight w:val="0"/>
                          <w:marTop w:val="0"/>
                          <w:marBottom w:val="0"/>
                          <w:divBdr>
                            <w:top w:val="none" w:sz="0" w:space="0" w:color="auto"/>
                            <w:left w:val="none" w:sz="0" w:space="0" w:color="auto"/>
                            <w:bottom w:val="none" w:sz="0" w:space="0" w:color="auto"/>
                            <w:right w:val="none" w:sz="0" w:space="0" w:color="auto"/>
                          </w:divBdr>
                          <w:divsChild>
                            <w:div w:id="104078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053829">
      <w:bodyDiv w:val="1"/>
      <w:marLeft w:val="0"/>
      <w:marRight w:val="0"/>
      <w:marTop w:val="0"/>
      <w:marBottom w:val="0"/>
      <w:divBdr>
        <w:top w:val="none" w:sz="0" w:space="0" w:color="auto"/>
        <w:left w:val="none" w:sz="0" w:space="0" w:color="auto"/>
        <w:bottom w:val="none" w:sz="0" w:space="0" w:color="auto"/>
        <w:right w:val="none" w:sz="0" w:space="0" w:color="auto"/>
      </w:divBdr>
    </w:div>
    <w:div w:id="1290239694">
      <w:bodyDiv w:val="1"/>
      <w:marLeft w:val="0"/>
      <w:marRight w:val="0"/>
      <w:marTop w:val="0"/>
      <w:marBottom w:val="0"/>
      <w:divBdr>
        <w:top w:val="none" w:sz="0" w:space="0" w:color="auto"/>
        <w:left w:val="none" w:sz="0" w:space="0" w:color="auto"/>
        <w:bottom w:val="none" w:sz="0" w:space="0" w:color="auto"/>
        <w:right w:val="none" w:sz="0" w:space="0" w:color="auto"/>
      </w:divBdr>
    </w:div>
    <w:div w:id="1408111117">
      <w:bodyDiv w:val="1"/>
      <w:marLeft w:val="0"/>
      <w:marRight w:val="0"/>
      <w:marTop w:val="0"/>
      <w:marBottom w:val="0"/>
      <w:divBdr>
        <w:top w:val="none" w:sz="0" w:space="0" w:color="auto"/>
        <w:left w:val="none" w:sz="0" w:space="0" w:color="auto"/>
        <w:bottom w:val="none" w:sz="0" w:space="0" w:color="auto"/>
        <w:right w:val="none" w:sz="0" w:space="0" w:color="auto"/>
      </w:divBdr>
    </w:div>
    <w:div w:id="1423646758">
      <w:bodyDiv w:val="1"/>
      <w:marLeft w:val="0"/>
      <w:marRight w:val="0"/>
      <w:marTop w:val="0"/>
      <w:marBottom w:val="0"/>
      <w:divBdr>
        <w:top w:val="none" w:sz="0" w:space="0" w:color="auto"/>
        <w:left w:val="none" w:sz="0" w:space="0" w:color="auto"/>
        <w:bottom w:val="none" w:sz="0" w:space="0" w:color="auto"/>
        <w:right w:val="none" w:sz="0" w:space="0" w:color="auto"/>
      </w:divBdr>
    </w:div>
    <w:div w:id="1472015488">
      <w:bodyDiv w:val="1"/>
      <w:marLeft w:val="0"/>
      <w:marRight w:val="0"/>
      <w:marTop w:val="0"/>
      <w:marBottom w:val="0"/>
      <w:divBdr>
        <w:top w:val="none" w:sz="0" w:space="0" w:color="auto"/>
        <w:left w:val="none" w:sz="0" w:space="0" w:color="auto"/>
        <w:bottom w:val="none" w:sz="0" w:space="0" w:color="auto"/>
        <w:right w:val="none" w:sz="0" w:space="0" w:color="auto"/>
      </w:divBdr>
    </w:div>
    <w:div w:id="1580409389">
      <w:bodyDiv w:val="1"/>
      <w:marLeft w:val="0"/>
      <w:marRight w:val="0"/>
      <w:marTop w:val="0"/>
      <w:marBottom w:val="0"/>
      <w:divBdr>
        <w:top w:val="none" w:sz="0" w:space="0" w:color="auto"/>
        <w:left w:val="none" w:sz="0" w:space="0" w:color="auto"/>
        <w:bottom w:val="none" w:sz="0" w:space="0" w:color="auto"/>
        <w:right w:val="none" w:sz="0" w:space="0" w:color="auto"/>
      </w:divBdr>
    </w:div>
    <w:div w:id="161972449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06562312">
      <w:bodyDiv w:val="1"/>
      <w:marLeft w:val="0"/>
      <w:marRight w:val="0"/>
      <w:marTop w:val="0"/>
      <w:marBottom w:val="0"/>
      <w:divBdr>
        <w:top w:val="none" w:sz="0" w:space="0" w:color="auto"/>
        <w:left w:val="none" w:sz="0" w:space="0" w:color="auto"/>
        <w:bottom w:val="none" w:sz="0" w:space="0" w:color="auto"/>
        <w:right w:val="none" w:sz="0" w:space="0" w:color="auto"/>
      </w:divBdr>
      <w:divsChild>
        <w:div w:id="219485732">
          <w:marLeft w:val="0"/>
          <w:marRight w:val="0"/>
          <w:marTop w:val="0"/>
          <w:marBottom w:val="0"/>
          <w:divBdr>
            <w:top w:val="none" w:sz="0" w:space="0" w:color="auto"/>
            <w:left w:val="none" w:sz="0" w:space="0" w:color="auto"/>
            <w:bottom w:val="none" w:sz="0" w:space="0" w:color="auto"/>
            <w:right w:val="none" w:sz="0" w:space="0" w:color="auto"/>
          </w:divBdr>
          <w:divsChild>
            <w:div w:id="81252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11976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67FB3-7274-4B81-8864-EE3A6F12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1361</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2020-02-19T05:20:00Z</dcterms:created>
  <dcterms:modified xsi:type="dcterms:W3CDTF">2020-02-26T02:56:00Z</dcterms:modified>
</cp:coreProperties>
</file>