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40" w:rsidRPr="00132EAD" w:rsidRDefault="00FB792A" w:rsidP="00843A16">
      <w:pPr>
        <w:rPr>
          <w:b/>
          <w:sz w:val="36"/>
          <w:szCs w:val="36"/>
        </w:rPr>
      </w:pPr>
      <w:r w:rsidRPr="00132EAD">
        <w:rPr>
          <w:b/>
          <w:sz w:val="36"/>
          <w:szCs w:val="36"/>
        </w:rPr>
        <w:t>6.02</w:t>
      </w:r>
      <w:r w:rsidR="00B60939" w:rsidRPr="00132EAD">
        <w:rPr>
          <w:b/>
          <w:sz w:val="36"/>
          <w:szCs w:val="36"/>
        </w:rPr>
        <w:tab/>
      </w:r>
      <w:r w:rsidR="00843A16" w:rsidRPr="00132EAD">
        <w:rPr>
          <w:b/>
          <w:sz w:val="36"/>
          <w:szCs w:val="36"/>
        </w:rPr>
        <w:t>CERTOLIZUMAB PEGOL</w:t>
      </w:r>
      <w:r w:rsidR="00B60939" w:rsidRPr="00132EAD">
        <w:rPr>
          <w:b/>
          <w:sz w:val="36"/>
          <w:szCs w:val="36"/>
        </w:rPr>
        <w:t xml:space="preserve">, </w:t>
      </w:r>
    </w:p>
    <w:p w:rsidR="00C62640" w:rsidRPr="00132EAD" w:rsidRDefault="00C62640" w:rsidP="00C62640">
      <w:pPr>
        <w:ind w:firstLine="720"/>
        <w:rPr>
          <w:rFonts w:asciiTheme="minorHAnsi" w:hAnsiTheme="minorHAnsi"/>
          <w:b/>
          <w:sz w:val="36"/>
          <w:szCs w:val="36"/>
        </w:rPr>
      </w:pPr>
      <w:r w:rsidRPr="00132EAD">
        <w:rPr>
          <w:rFonts w:asciiTheme="minorHAnsi" w:hAnsiTheme="minorHAnsi"/>
          <w:b/>
          <w:sz w:val="36"/>
          <w:szCs w:val="36"/>
        </w:rPr>
        <w:t>Injection 200 mg in 1 mL single use pre-filled syringe</w:t>
      </w:r>
    </w:p>
    <w:p w:rsidR="00C62640" w:rsidRPr="00132EAD" w:rsidRDefault="00C62640" w:rsidP="00C62640">
      <w:pPr>
        <w:ind w:firstLine="720"/>
        <w:rPr>
          <w:b/>
          <w:sz w:val="36"/>
          <w:szCs w:val="36"/>
        </w:rPr>
      </w:pPr>
      <w:r w:rsidRPr="00132EAD">
        <w:rPr>
          <w:rFonts w:asciiTheme="minorHAnsi" w:hAnsiTheme="minorHAnsi"/>
          <w:b/>
          <w:sz w:val="36"/>
          <w:szCs w:val="36"/>
        </w:rPr>
        <w:t xml:space="preserve">Solution for injection 200 mg in 1 mL </w:t>
      </w:r>
      <w:r w:rsidR="00843A16" w:rsidRPr="00132EAD">
        <w:rPr>
          <w:rFonts w:asciiTheme="minorHAnsi" w:hAnsiTheme="minorHAnsi"/>
          <w:b/>
          <w:sz w:val="36"/>
          <w:szCs w:val="36"/>
        </w:rPr>
        <w:t>pre-filled pen</w:t>
      </w:r>
      <w:r w:rsidR="00B60939" w:rsidRPr="00132EAD">
        <w:rPr>
          <w:b/>
          <w:sz w:val="36"/>
          <w:szCs w:val="36"/>
        </w:rPr>
        <w:t xml:space="preserve">, </w:t>
      </w:r>
    </w:p>
    <w:p w:rsidR="00C62640" w:rsidRPr="00132EAD" w:rsidRDefault="00843A16" w:rsidP="00C62640">
      <w:pPr>
        <w:ind w:firstLine="720"/>
        <w:rPr>
          <w:b/>
          <w:sz w:val="36"/>
          <w:szCs w:val="36"/>
        </w:rPr>
      </w:pPr>
      <w:proofErr w:type="spellStart"/>
      <w:r w:rsidRPr="00132EAD">
        <w:rPr>
          <w:b/>
          <w:sz w:val="36"/>
          <w:szCs w:val="36"/>
        </w:rPr>
        <w:t>Cimzia</w:t>
      </w:r>
      <w:proofErr w:type="spellEnd"/>
      <w:r w:rsidR="00B60939" w:rsidRPr="00132EAD">
        <w:rPr>
          <w:b/>
          <w:sz w:val="36"/>
          <w:szCs w:val="36"/>
          <w:vertAlign w:val="superscript"/>
        </w:rPr>
        <w:t>®</w:t>
      </w:r>
      <w:r w:rsidR="00B60939" w:rsidRPr="00132EAD">
        <w:rPr>
          <w:b/>
          <w:sz w:val="36"/>
          <w:szCs w:val="36"/>
        </w:rPr>
        <w:t xml:space="preserve">, </w:t>
      </w:r>
    </w:p>
    <w:p w:rsidR="00B60939" w:rsidRPr="00132EAD" w:rsidRDefault="00843A16" w:rsidP="00C62640">
      <w:pPr>
        <w:ind w:firstLine="720"/>
        <w:rPr>
          <w:b/>
          <w:sz w:val="36"/>
          <w:szCs w:val="36"/>
        </w:rPr>
      </w:pPr>
      <w:r w:rsidRPr="00132EAD">
        <w:rPr>
          <w:b/>
          <w:sz w:val="36"/>
          <w:szCs w:val="36"/>
        </w:rPr>
        <w:t>UCB Australia</w:t>
      </w:r>
      <w:r w:rsidR="00C62640" w:rsidRPr="00132EAD">
        <w:rPr>
          <w:b/>
          <w:sz w:val="36"/>
          <w:szCs w:val="36"/>
        </w:rPr>
        <w:t xml:space="preserve"> Pty Ltd</w:t>
      </w:r>
      <w:r w:rsidR="00B60939" w:rsidRPr="00132EAD">
        <w:rPr>
          <w:b/>
          <w:sz w:val="36"/>
          <w:szCs w:val="36"/>
        </w:rPr>
        <w:t>.</w:t>
      </w:r>
    </w:p>
    <w:p w:rsidR="00433044" w:rsidRPr="00132EAD" w:rsidRDefault="00433044" w:rsidP="00281014">
      <w:pPr>
        <w:pStyle w:val="BodyText"/>
      </w:pPr>
    </w:p>
    <w:p w:rsidR="0060299F" w:rsidRPr="00132EAD" w:rsidRDefault="0060299F" w:rsidP="00936C60">
      <w:pPr>
        <w:pStyle w:val="PBACHeading1"/>
      </w:pPr>
      <w:bookmarkStart w:id="0" w:name="_Toc19712615"/>
      <w:r w:rsidRPr="00132EAD">
        <w:t>Purpose of Application</w:t>
      </w:r>
      <w:bookmarkEnd w:id="0"/>
    </w:p>
    <w:p w:rsidR="006B36D1" w:rsidRPr="00132EAD" w:rsidRDefault="00F959C2" w:rsidP="000F3495">
      <w:pPr>
        <w:pStyle w:val="ListParagraph"/>
        <w:keepNext/>
        <w:keepLines/>
        <w:widowControl/>
        <w:numPr>
          <w:ilvl w:val="1"/>
          <w:numId w:val="3"/>
        </w:numPr>
      </w:pPr>
      <w:r w:rsidRPr="00132EAD">
        <w:t xml:space="preserve">The Sponsor requested </w:t>
      </w:r>
      <w:r w:rsidR="00954D30" w:rsidRPr="00132EAD">
        <w:t xml:space="preserve">Authority Required listing </w:t>
      </w:r>
      <w:r w:rsidR="00EC7EC0" w:rsidRPr="00132EAD">
        <w:t>of</w:t>
      </w:r>
      <w:r w:rsidR="00954D30" w:rsidRPr="00132EAD">
        <w:t xml:space="preserve"> </w:t>
      </w:r>
      <w:proofErr w:type="spellStart"/>
      <w:r w:rsidR="00954D30" w:rsidRPr="00132EAD">
        <w:t>certolizumab</w:t>
      </w:r>
      <w:proofErr w:type="spellEnd"/>
      <w:r w:rsidR="00954D30" w:rsidRPr="00132EAD">
        <w:t xml:space="preserve"> </w:t>
      </w:r>
      <w:proofErr w:type="spellStart"/>
      <w:r w:rsidR="00954D30" w:rsidRPr="00132EAD">
        <w:t>pegol</w:t>
      </w:r>
      <w:proofErr w:type="spellEnd"/>
      <w:r w:rsidR="00954D30" w:rsidRPr="00132EAD">
        <w:t xml:space="preserve"> (CZP) for treatment of non-radiographic axial </w:t>
      </w:r>
      <w:proofErr w:type="spellStart"/>
      <w:r w:rsidR="00954D30" w:rsidRPr="00132EAD">
        <w:t>spondyloarthritis</w:t>
      </w:r>
      <w:proofErr w:type="spellEnd"/>
      <w:r w:rsidR="00954D30" w:rsidRPr="00132EAD">
        <w:t xml:space="preserve"> (</w:t>
      </w:r>
      <w:bookmarkStart w:id="1" w:name="_GoBack"/>
      <w:proofErr w:type="spellStart"/>
      <w:r w:rsidR="00954D30" w:rsidRPr="00132EAD">
        <w:t>nr-axSpA</w:t>
      </w:r>
      <w:proofErr w:type="spellEnd"/>
      <w:r w:rsidR="00954D30" w:rsidRPr="00132EAD">
        <w:t>)</w:t>
      </w:r>
      <w:r w:rsidR="006B36D1" w:rsidRPr="00132EAD">
        <w:t xml:space="preserve"> </w:t>
      </w:r>
      <w:bookmarkEnd w:id="1"/>
      <w:r w:rsidR="006B36D1" w:rsidRPr="00132EAD">
        <w:t xml:space="preserve">in patients </w:t>
      </w:r>
      <w:r w:rsidR="00EC7EC0" w:rsidRPr="00132EAD">
        <w:t>with</w:t>
      </w:r>
      <w:r w:rsidR="00FB0A94" w:rsidRPr="00132EAD">
        <w:t xml:space="preserve"> objective signs of inflammation</w:t>
      </w:r>
      <w:r w:rsidR="00EC7EC0" w:rsidRPr="00132EAD">
        <w:t>, defined as</w:t>
      </w:r>
      <w:r w:rsidR="00FB0A94" w:rsidRPr="00132EAD">
        <w:t xml:space="preserve"> elevated C-reactive protein (CRP) and magnetic resonance imaging (MRI) evidence (i.e. </w:t>
      </w:r>
      <w:r w:rsidR="00B25B49" w:rsidRPr="00132EAD">
        <w:t>CRP</w:t>
      </w:r>
      <w:r w:rsidR="00FB0A94" w:rsidRPr="00132EAD">
        <w:t xml:space="preserve">+ and </w:t>
      </w:r>
      <w:r w:rsidR="00B25B49" w:rsidRPr="00132EAD">
        <w:t>MRI</w:t>
      </w:r>
      <w:r w:rsidR="00FB0A94" w:rsidRPr="00132EAD">
        <w:t>+)</w:t>
      </w:r>
      <w:r w:rsidR="00EC7EC0" w:rsidRPr="00132EAD">
        <w:t>, and meeting other criteria.</w:t>
      </w:r>
    </w:p>
    <w:p w:rsidR="00FB0A94" w:rsidRPr="00132EAD" w:rsidRDefault="00090C8F" w:rsidP="00681111">
      <w:pPr>
        <w:pStyle w:val="ListParagraph"/>
        <w:widowControl/>
        <w:numPr>
          <w:ilvl w:val="1"/>
          <w:numId w:val="3"/>
        </w:numPr>
        <w:spacing w:after="120"/>
      </w:pPr>
      <w:r w:rsidRPr="00132EAD">
        <w:t xml:space="preserve">The key components of the clinical issue addressed by the submission are presented in </w:t>
      </w:r>
      <w:r w:rsidR="004452DA" w:rsidRPr="00132EAD">
        <w:t>Table</w:t>
      </w:r>
      <w:r w:rsidRPr="00132EAD">
        <w:t xml:space="preserve"> 1</w:t>
      </w:r>
      <w:r w:rsidR="00132EAD">
        <w:t xml:space="preserve">. </w:t>
      </w:r>
      <w:r w:rsidR="00B23B5A" w:rsidRPr="00132EAD">
        <w:t>T</w:t>
      </w:r>
      <w:r w:rsidR="00FB0A94" w:rsidRPr="00132EAD">
        <w:t xml:space="preserve">he requested listing was a cost-minimisation analysis to </w:t>
      </w:r>
      <w:proofErr w:type="spellStart"/>
      <w:r w:rsidR="00FB0A94" w:rsidRPr="00132EAD">
        <w:t>golimumab</w:t>
      </w:r>
      <w:proofErr w:type="spellEnd"/>
      <w:r w:rsidR="00FB0A94" w:rsidRPr="00132EAD">
        <w:t xml:space="preserve"> (GLM)</w:t>
      </w:r>
      <w:r w:rsidR="00D92179" w:rsidRPr="00132EAD">
        <w:t xml:space="preserve">, which is a pharmacological analogue </w:t>
      </w:r>
      <w:r w:rsidR="00F31CAF" w:rsidRPr="00132EAD">
        <w:t xml:space="preserve">to CZP </w:t>
      </w:r>
      <w:r w:rsidR="00D92179" w:rsidRPr="00132EAD">
        <w:t xml:space="preserve">and </w:t>
      </w:r>
      <w:r w:rsidR="00B25B49" w:rsidRPr="00132EAD">
        <w:t xml:space="preserve">the </w:t>
      </w:r>
      <w:r w:rsidR="00D92179" w:rsidRPr="00132EAD">
        <w:t xml:space="preserve">only </w:t>
      </w:r>
      <w:r w:rsidR="0010255A" w:rsidRPr="00132EAD">
        <w:t>biologic Di</w:t>
      </w:r>
      <w:r w:rsidR="00EC7EC0" w:rsidRPr="00132EAD">
        <w:t>sease Modifying Anti-rheumatic D</w:t>
      </w:r>
      <w:r w:rsidR="0010255A" w:rsidRPr="00132EAD">
        <w:t>rug (</w:t>
      </w:r>
      <w:proofErr w:type="spellStart"/>
      <w:r w:rsidR="00E3181B" w:rsidRPr="00132EAD">
        <w:t>bDMARD</w:t>
      </w:r>
      <w:proofErr w:type="spellEnd"/>
      <w:r w:rsidR="0010255A" w:rsidRPr="00132EAD">
        <w:t>)</w:t>
      </w:r>
      <w:r w:rsidR="00E3181B" w:rsidRPr="00132EAD">
        <w:t xml:space="preserve"> currently PBS listed for </w:t>
      </w:r>
      <w:proofErr w:type="spellStart"/>
      <w:r w:rsidR="00E3181B" w:rsidRPr="00132EAD">
        <w:t>nr-axSpA</w:t>
      </w:r>
      <w:proofErr w:type="spellEnd"/>
      <w:r w:rsidR="00E3181B" w:rsidRPr="00132EAD">
        <w:t>.</w:t>
      </w:r>
    </w:p>
    <w:p w:rsidR="00FB0A94" w:rsidRPr="00132EAD" w:rsidRDefault="00FB0A94" w:rsidP="0004208B">
      <w:pPr>
        <w:keepNext/>
        <w:keepLines/>
      </w:pPr>
      <w:r w:rsidRPr="00132EAD">
        <w:rPr>
          <w:rStyle w:val="CommentReference"/>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7488"/>
      </w:tblGrid>
      <w:tr w:rsidR="00FB0A94" w:rsidRPr="00132EAD" w:rsidTr="00BA32A7">
        <w:tc>
          <w:tcPr>
            <w:tcW w:w="1668" w:type="dxa"/>
            <w:vAlign w:val="center"/>
          </w:tcPr>
          <w:p w:rsidR="00FB0A94" w:rsidRPr="00132EAD" w:rsidRDefault="00FB0A94" w:rsidP="0004208B">
            <w:pPr>
              <w:pStyle w:val="Tabletext"/>
              <w:keepNext/>
              <w:keepLines/>
              <w:rPr>
                <w:b/>
              </w:rPr>
            </w:pPr>
            <w:r w:rsidRPr="00132EAD">
              <w:rPr>
                <w:b/>
              </w:rPr>
              <w:t>Component</w:t>
            </w:r>
          </w:p>
        </w:tc>
        <w:tc>
          <w:tcPr>
            <w:tcW w:w="7488" w:type="dxa"/>
            <w:vAlign w:val="center"/>
          </w:tcPr>
          <w:p w:rsidR="00FB0A94" w:rsidRPr="00132EAD" w:rsidRDefault="00FB0A94" w:rsidP="0004208B">
            <w:pPr>
              <w:pStyle w:val="Tabletext"/>
              <w:keepNext/>
              <w:keepLines/>
              <w:jc w:val="center"/>
              <w:rPr>
                <w:b/>
              </w:rPr>
            </w:pPr>
            <w:r w:rsidRPr="00132EAD">
              <w:rPr>
                <w:b/>
              </w:rPr>
              <w:t>Description</w:t>
            </w:r>
          </w:p>
        </w:tc>
      </w:tr>
      <w:tr w:rsidR="00FB0A94" w:rsidRPr="00132EAD" w:rsidTr="00BA32A7">
        <w:tc>
          <w:tcPr>
            <w:tcW w:w="1668" w:type="dxa"/>
            <w:vAlign w:val="center"/>
          </w:tcPr>
          <w:p w:rsidR="00FB0A94" w:rsidRPr="00132EAD" w:rsidRDefault="00FB0A94" w:rsidP="0004208B">
            <w:pPr>
              <w:pStyle w:val="Tabletext"/>
              <w:keepNext/>
              <w:keepLines/>
            </w:pPr>
            <w:r w:rsidRPr="00132EAD">
              <w:t>Population</w:t>
            </w:r>
          </w:p>
        </w:tc>
        <w:tc>
          <w:tcPr>
            <w:tcW w:w="7488" w:type="dxa"/>
            <w:vAlign w:val="center"/>
          </w:tcPr>
          <w:p w:rsidR="00FB0A94" w:rsidRPr="00132EAD" w:rsidRDefault="00FB0A94" w:rsidP="0004208B">
            <w:pPr>
              <w:pStyle w:val="Tabletext"/>
              <w:keepNext/>
              <w:keepLines/>
            </w:pPr>
            <w:r w:rsidRPr="00132EAD">
              <w:t xml:space="preserve">Adults with </w:t>
            </w:r>
            <w:proofErr w:type="spellStart"/>
            <w:r w:rsidRPr="00132EAD">
              <w:t>nr-axSpA</w:t>
            </w:r>
            <w:proofErr w:type="spellEnd"/>
            <w:r w:rsidRPr="00132EAD">
              <w:t xml:space="preserve"> as defined by ASAS classification criteria.</w:t>
            </w:r>
          </w:p>
          <w:p w:rsidR="00FB0A94" w:rsidRPr="00132EAD" w:rsidRDefault="00FB0A94" w:rsidP="0004208B">
            <w:pPr>
              <w:pStyle w:val="Tabletext"/>
              <w:keepNext/>
              <w:keepLines/>
            </w:pPr>
            <w:r w:rsidRPr="00132EAD">
              <w:t xml:space="preserve">Patients must have objective signs of inflammation (OSI) as indicated by elevated C-reactive protein (CRP) </w:t>
            </w:r>
            <w:r w:rsidRPr="00132EAD">
              <w:rPr>
                <w:u w:val="single"/>
              </w:rPr>
              <w:t>and</w:t>
            </w:r>
            <w:r w:rsidRPr="00132EAD">
              <w:t xml:space="preserve"> magnetic resonance imaging (MRI) evidence and have had an inadequate response to, or are intolerant to, at least two nonsteroidal anti-inflammatory drugs (NSAIDs) for a period of 3 months.</w:t>
            </w:r>
          </w:p>
        </w:tc>
      </w:tr>
      <w:tr w:rsidR="00FB0A94" w:rsidRPr="00132EAD" w:rsidTr="00BA32A7">
        <w:tc>
          <w:tcPr>
            <w:tcW w:w="1668" w:type="dxa"/>
            <w:vAlign w:val="center"/>
          </w:tcPr>
          <w:p w:rsidR="00FB0A94" w:rsidRPr="00132EAD" w:rsidRDefault="00FB0A94" w:rsidP="0004208B">
            <w:pPr>
              <w:pStyle w:val="Tabletext"/>
              <w:keepNext/>
              <w:keepLines/>
            </w:pPr>
            <w:r w:rsidRPr="00132EAD">
              <w:t>Intervention</w:t>
            </w:r>
          </w:p>
        </w:tc>
        <w:tc>
          <w:tcPr>
            <w:tcW w:w="7488" w:type="dxa"/>
            <w:vAlign w:val="center"/>
          </w:tcPr>
          <w:p w:rsidR="00FB0A94" w:rsidRPr="00132EAD" w:rsidRDefault="00FB0A94" w:rsidP="0004208B">
            <w:pPr>
              <w:pStyle w:val="Tabletext"/>
              <w:keepNext/>
              <w:keepLines/>
            </w:pPr>
            <w:proofErr w:type="spellStart"/>
            <w:r w:rsidRPr="00132EAD">
              <w:t>Certolizumab</w:t>
            </w:r>
            <w:proofErr w:type="spellEnd"/>
            <w:r w:rsidRPr="00132EAD">
              <w:t xml:space="preserve"> </w:t>
            </w:r>
            <w:proofErr w:type="spellStart"/>
            <w:r w:rsidRPr="00132EAD">
              <w:t>pegol</w:t>
            </w:r>
            <w:proofErr w:type="spellEnd"/>
            <w:r w:rsidRPr="00132EAD">
              <w:t xml:space="preserve"> subcutaneous injection. 400mg Week 0, 2, 4 then 200mg Q2W or 400mg Q4W.</w:t>
            </w:r>
            <w:r w:rsidRPr="00132EAD" w:rsidDel="00713C39">
              <w:t xml:space="preserve"> </w:t>
            </w:r>
          </w:p>
        </w:tc>
      </w:tr>
      <w:tr w:rsidR="00FB0A94" w:rsidRPr="00132EAD" w:rsidTr="00BA32A7">
        <w:tc>
          <w:tcPr>
            <w:tcW w:w="1668" w:type="dxa"/>
            <w:vAlign w:val="center"/>
          </w:tcPr>
          <w:p w:rsidR="00FB0A94" w:rsidRPr="00132EAD" w:rsidRDefault="00FB0A94" w:rsidP="0004208B">
            <w:pPr>
              <w:pStyle w:val="Tabletext"/>
              <w:keepNext/>
              <w:keepLines/>
            </w:pPr>
            <w:r w:rsidRPr="00132EAD">
              <w:t>Comparator</w:t>
            </w:r>
          </w:p>
        </w:tc>
        <w:tc>
          <w:tcPr>
            <w:tcW w:w="7488" w:type="dxa"/>
            <w:vAlign w:val="center"/>
          </w:tcPr>
          <w:p w:rsidR="00FB0A94" w:rsidRPr="00132EAD" w:rsidRDefault="00FB0A94" w:rsidP="0004208B">
            <w:pPr>
              <w:pStyle w:val="Tabletext"/>
              <w:keepNext/>
              <w:keepLines/>
            </w:pPr>
            <w:proofErr w:type="spellStart"/>
            <w:r w:rsidRPr="00132EAD">
              <w:t>Golimumab</w:t>
            </w:r>
            <w:proofErr w:type="spellEnd"/>
            <w:r w:rsidRPr="00132EAD">
              <w:t xml:space="preserve"> subcutaneous injection. 50 mg </w:t>
            </w:r>
            <w:r w:rsidR="00F346CA" w:rsidRPr="00132EAD">
              <w:t xml:space="preserve">on the same day each month (referred to as </w:t>
            </w:r>
            <w:r w:rsidRPr="00132EAD">
              <w:t>Q4W</w:t>
            </w:r>
            <w:r w:rsidR="00F346CA" w:rsidRPr="00132EAD">
              <w:t>)</w:t>
            </w:r>
            <w:r w:rsidRPr="00132EAD">
              <w:t>.</w:t>
            </w:r>
          </w:p>
        </w:tc>
      </w:tr>
      <w:tr w:rsidR="00FB0A94" w:rsidRPr="00132EAD" w:rsidTr="00BA32A7">
        <w:tc>
          <w:tcPr>
            <w:tcW w:w="1668" w:type="dxa"/>
            <w:vAlign w:val="center"/>
          </w:tcPr>
          <w:p w:rsidR="00FB0A94" w:rsidRPr="00132EAD" w:rsidRDefault="00FB0A94" w:rsidP="0004208B">
            <w:pPr>
              <w:pStyle w:val="Tabletext"/>
              <w:keepNext/>
              <w:keepLines/>
            </w:pPr>
            <w:r w:rsidRPr="00132EAD">
              <w:t>Outcomes</w:t>
            </w:r>
          </w:p>
        </w:tc>
        <w:tc>
          <w:tcPr>
            <w:tcW w:w="7488" w:type="dxa"/>
            <w:vAlign w:val="center"/>
          </w:tcPr>
          <w:p w:rsidR="00FB0A94" w:rsidRPr="00132EAD" w:rsidRDefault="00FB0A94" w:rsidP="0004208B">
            <w:pPr>
              <w:pStyle w:val="Tabletext"/>
              <w:keepNext/>
              <w:keepLines/>
            </w:pPr>
            <w:r w:rsidRPr="00132EAD">
              <w:t>Clinical response: proportion of patients meeting ASAS20, ASAS40 and BASDAI50 response criteria; change in safety and tolerability.</w:t>
            </w:r>
          </w:p>
        </w:tc>
      </w:tr>
      <w:tr w:rsidR="00FB0A94" w:rsidRPr="00132EAD" w:rsidTr="00BA32A7">
        <w:tc>
          <w:tcPr>
            <w:tcW w:w="1668" w:type="dxa"/>
            <w:vAlign w:val="center"/>
          </w:tcPr>
          <w:p w:rsidR="00FB0A94" w:rsidRPr="00132EAD" w:rsidRDefault="00FB0A94" w:rsidP="0004208B">
            <w:pPr>
              <w:pStyle w:val="Tabletext"/>
              <w:keepNext/>
              <w:keepLines/>
            </w:pPr>
            <w:r w:rsidRPr="00132EAD">
              <w:t>Clinical claim</w:t>
            </w:r>
          </w:p>
        </w:tc>
        <w:tc>
          <w:tcPr>
            <w:tcW w:w="7488" w:type="dxa"/>
            <w:vAlign w:val="center"/>
          </w:tcPr>
          <w:p w:rsidR="00FB0A94" w:rsidRPr="00132EAD" w:rsidRDefault="00FB0A94" w:rsidP="0004208B">
            <w:pPr>
              <w:pStyle w:val="Tabletext"/>
              <w:keepNext/>
              <w:keepLines/>
            </w:pPr>
            <w:r w:rsidRPr="00132EAD">
              <w:t xml:space="preserve">In patients with </w:t>
            </w:r>
            <w:proofErr w:type="spellStart"/>
            <w:r w:rsidRPr="00132EAD">
              <w:t>nr-axSpA</w:t>
            </w:r>
            <w:proofErr w:type="spellEnd"/>
            <w:r w:rsidRPr="00132EAD">
              <w:t>, who have OSI as indicated by elevated CRP and MRI evidence, and an inadequate response to, or are intolerant to, NSAIDs, CZP is non-inferior in effectiveness and safety compared to GLM.</w:t>
            </w:r>
          </w:p>
        </w:tc>
      </w:tr>
    </w:tbl>
    <w:p w:rsidR="00FB0A94" w:rsidRPr="00132EAD" w:rsidRDefault="00FB0A94" w:rsidP="0004208B">
      <w:pPr>
        <w:pStyle w:val="TableFooter"/>
        <w:keepNext/>
        <w:keepLines/>
      </w:pPr>
      <w:r w:rsidRPr="00132EAD">
        <w:t xml:space="preserve">Abbreviations: ASAS=Assessment of </w:t>
      </w:r>
      <w:proofErr w:type="spellStart"/>
      <w:r w:rsidRPr="00132EAD">
        <w:t>SpondyloArthritis</w:t>
      </w:r>
      <w:proofErr w:type="spellEnd"/>
      <w:r w:rsidRPr="00132EAD">
        <w:t xml:space="preserve"> international Society; ASAS20/40=Assessment of </w:t>
      </w:r>
      <w:proofErr w:type="spellStart"/>
      <w:r w:rsidRPr="00132EAD">
        <w:t>SpondyloArthritis</w:t>
      </w:r>
      <w:proofErr w:type="spellEnd"/>
      <w:r w:rsidRPr="00132EAD">
        <w:t xml:space="preserve"> international Society </w:t>
      </w:r>
      <w:r w:rsidR="009A1E24" w:rsidRPr="00132EAD">
        <w:t xml:space="preserve">20/40% </w:t>
      </w:r>
      <w:r w:rsidRPr="00132EAD">
        <w:t xml:space="preserve">response criteria; BASDAI50=50% improvement in Bath ankylosing spondylitis disease activity index; CRP=C-reactive protein; MRI=magnetic resonance imaging; </w:t>
      </w:r>
      <w:proofErr w:type="spellStart"/>
      <w:r w:rsidRPr="00132EAD">
        <w:t>nr-axSpA</w:t>
      </w:r>
      <w:proofErr w:type="spellEnd"/>
      <w:r w:rsidRPr="00132EAD">
        <w:t xml:space="preserve">=non-radiographic axial </w:t>
      </w:r>
      <w:proofErr w:type="spellStart"/>
      <w:r w:rsidRPr="00132EAD">
        <w:t>spondyloarthritis</w:t>
      </w:r>
      <w:proofErr w:type="spellEnd"/>
      <w:r w:rsidRPr="00132EAD">
        <w:t>; Q2W=every 2 weeks; Q4W every 4 weeks.</w:t>
      </w:r>
    </w:p>
    <w:p w:rsidR="00936C60" w:rsidRPr="00160364" w:rsidRDefault="00FB0A94" w:rsidP="00160364">
      <w:pPr>
        <w:pStyle w:val="TableFooter"/>
        <w:keepNext/>
        <w:keepLines/>
      </w:pPr>
      <w:r w:rsidRPr="00132EAD">
        <w:t>Source: Table 1.1, p18 of the submission</w:t>
      </w:r>
      <w:bookmarkStart w:id="2" w:name="_Toc19712616"/>
    </w:p>
    <w:p w:rsidR="00E004BD" w:rsidRPr="00132EAD" w:rsidRDefault="0060299F" w:rsidP="00936C60">
      <w:pPr>
        <w:pStyle w:val="PBACHeading1"/>
      </w:pPr>
      <w:r w:rsidRPr="00132EAD">
        <w:t>Requested listing</w:t>
      </w:r>
      <w:bookmarkEnd w:id="2"/>
    </w:p>
    <w:p w:rsidR="00A63B23" w:rsidRDefault="00E068C5" w:rsidP="00A63B23">
      <w:pPr>
        <w:rPr>
          <w:i/>
        </w:rPr>
      </w:pPr>
      <w:r w:rsidRPr="00132EAD">
        <w:t xml:space="preserve">The </w:t>
      </w:r>
      <w:r w:rsidR="00A47A13">
        <w:t xml:space="preserve">abridged </w:t>
      </w:r>
      <w:r w:rsidRPr="00132EAD">
        <w:t xml:space="preserve">listing is </w:t>
      </w:r>
      <w:r w:rsidR="00A47A13">
        <w:t>provided</w:t>
      </w:r>
      <w:r w:rsidR="00A47A13">
        <w:rPr>
          <w:rFonts w:asciiTheme="minorHAnsi" w:hAnsiTheme="minorHAnsi" w:cstheme="minorHAnsi"/>
          <w:szCs w:val="24"/>
        </w:rPr>
        <w:t xml:space="preserve"> </w:t>
      </w:r>
      <w:r w:rsidRPr="00132EAD">
        <w:rPr>
          <w:rFonts w:asciiTheme="minorHAnsi" w:hAnsiTheme="minorHAnsi" w:cstheme="minorHAnsi"/>
          <w:szCs w:val="24"/>
        </w:rPr>
        <w:t xml:space="preserve">below. </w:t>
      </w:r>
      <w:r w:rsidR="00A63B23" w:rsidRPr="00A63B23">
        <w:t>Suggested additions are in italics and deletions are in strikethrough</w:t>
      </w:r>
      <w:r w:rsidR="00A63B23" w:rsidRPr="00FE782D">
        <w:rPr>
          <w:i/>
        </w:rPr>
        <w:t>.</w:t>
      </w:r>
    </w:p>
    <w:p w:rsidR="00E2366B" w:rsidRPr="00FE782D" w:rsidRDefault="00E2366B" w:rsidP="00A63B23">
      <w:pPr>
        <w:rPr>
          <w:i/>
        </w:rPr>
      </w:pPr>
    </w:p>
    <w:tbl>
      <w:tblPr>
        <w:tblW w:w="5044" w:type="pct"/>
        <w:tblCellMar>
          <w:left w:w="28" w:type="dxa"/>
          <w:right w:w="28" w:type="dxa"/>
        </w:tblCellMar>
        <w:tblLook w:val="0000" w:firstRow="0" w:lastRow="0" w:firstColumn="0" w:lastColumn="0" w:noHBand="0" w:noVBand="0"/>
      </w:tblPr>
      <w:tblGrid>
        <w:gridCol w:w="3019"/>
        <w:gridCol w:w="1120"/>
        <w:gridCol w:w="982"/>
        <w:gridCol w:w="1186"/>
        <w:gridCol w:w="1424"/>
        <w:gridCol w:w="1375"/>
      </w:tblGrid>
      <w:tr w:rsidR="000F3196" w:rsidRPr="00413860" w:rsidTr="00516805">
        <w:trPr>
          <w:cantSplit/>
          <w:trHeight w:val="463"/>
        </w:trPr>
        <w:tc>
          <w:tcPr>
            <w:tcW w:w="1657" w:type="pct"/>
            <w:tcBorders>
              <w:top w:val="single" w:sz="4" w:space="0" w:color="auto"/>
              <w:bottom w:val="single" w:sz="4" w:space="0" w:color="auto"/>
            </w:tcBorders>
            <w:vAlign w:val="center"/>
          </w:tcPr>
          <w:p w:rsidR="000F3196" w:rsidRPr="00C7151A" w:rsidRDefault="000F3196" w:rsidP="00516805">
            <w:pPr>
              <w:keepNext/>
              <w:jc w:val="left"/>
              <w:rPr>
                <w:rFonts w:ascii="Arial Narrow" w:hAnsi="Arial Narrow"/>
                <w:b/>
                <w:sz w:val="20"/>
              </w:rPr>
            </w:pPr>
            <w:r w:rsidRPr="00C7151A">
              <w:rPr>
                <w:rFonts w:ascii="Arial Narrow" w:hAnsi="Arial Narrow"/>
                <w:b/>
                <w:sz w:val="20"/>
              </w:rPr>
              <w:lastRenderedPageBreak/>
              <w:t>Name, Restriction,</w:t>
            </w:r>
            <w:r>
              <w:rPr>
                <w:rFonts w:ascii="Arial Narrow" w:hAnsi="Arial Narrow"/>
                <w:b/>
                <w:sz w:val="20"/>
              </w:rPr>
              <w:t xml:space="preserve"> m</w:t>
            </w:r>
            <w:r w:rsidRPr="00C7151A">
              <w:rPr>
                <w:rFonts w:ascii="Arial Narrow" w:hAnsi="Arial Narrow"/>
                <w:b/>
                <w:sz w:val="20"/>
              </w:rPr>
              <w:t>anner of administration and form</w:t>
            </w:r>
          </w:p>
        </w:tc>
        <w:tc>
          <w:tcPr>
            <w:tcW w:w="615" w:type="pct"/>
            <w:tcBorders>
              <w:top w:val="single" w:sz="4" w:space="0" w:color="auto"/>
              <w:bottom w:val="single" w:sz="4" w:space="0" w:color="auto"/>
            </w:tcBorders>
            <w:vAlign w:val="center"/>
          </w:tcPr>
          <w:p w:rsidR="000F3196" w:rsidRPr="00C7151A" w:rsidRDefault="000F3196" w:rsidP="00516805">
            <w:pPr>
              <w:keepNext/>
              <w:jc w:val="center"/>
              <w:rPr>
                <w:rFonts w:ascii="Arial Narrow" w:hAnsi="Arial Narrow"/>
                <w:b/>
                <w:sz w:val="20"/>
              </w:rPr>
            </w:pPr>
            <w:r w:rsidRPr="00C7151A">
              <w:rPr>
                <w:rFonts w:ascii="Arial Narrow" w:hAnsi="Arial Narrow"/>
                <w:b/>
                <w:sz w:val="20"/>
              </w:rPr>
              <w:t>Max.</w:t>
            </w:r>
            <w:r>
              <w:rPr>
                <w:rFonts w:ascii="Arial Narrow" w:hAnsi="Arial Narrow"/>
                <w:b/>
                <w:sz w:val="20"/>
              </w:rPr>
              <w:t xml:space="preserve"> </w:t>
            </w:r>
            <w:proofErr w:type="spellStart"/>
            <w:r w:rsidRPr="00C7151A">
              <w:rPr>
                <w:rFonts w:ascii="Arial Narrow" w:hAnsi="Arial Narrow"/>
                <w:b/>
                <w:sz w:val="20"/>
              </w:rPr>
              <w:t>Qty</w:t>
            </w:r>
            <w:proofErr w:type="spellEnd"/>
            <w:r w:rsidRPr="00C7151A">
              <w:rPr>
                <w:rFonts w:ascii="Arial Narrow" w:hAnsi="Arial Narrow"/>
                <w:b/>
                <w:sz w:val="20"/>
              </w:rPr>
              <w:t xml:space="preserve"> </w:t>
            </w:r>
            <w:r>
              <w:rPr>
                <w:rFonts w:ascii="Arial Narrow" w:hAnsi="Arial Narrow"/>
                <w:b/>
                <w:sz w:val="20"/>
              </w:rPr>
              <w:t>(packs)</w:t>
            </w:r>
          </w:p>
        </w:tc>
        <w:tc>
          <w:tcPr>
            <w:tcW w:w="539" w:type="pct"/>
            <w:tcBorders>
              <w:top w:val="single" w:sz="4" w:space="0" w:color="auto"/>
              <w:bottom w:val="single" w:sz="4" w:space="0" w:color="auto"/>
            </w:tcBorders>
            <w:vAlign w:val="center"/>
          </w:tcPr>
          <w:p w:rsidR="000F3196" w:rsidRPr="00C7151A" w:rsidRDefault="000F3196" w:rsidP="00516805">
            <w:pPr>
              <w:keepNext/>
              <w:jc w:val="center"/>
              <w:rPr>
                <w:rFonts w:ascii="Arial Narrow" w:hAnsi="Arial Narrow"/>
                <w:b/>
                <w:sz w:val="20"/>
              </w:rPr>
            </w:pPr>
            <w:r>
              <w:rPr>
                <w:rFonts w:ascii="Arial Narrow" w:hAnsi="Arial Narrow"/>
                <w:b/>
                <w:sz w:val="20"/>
              </w:rPr>
              <w:t xml:space="preserve">Max. </w:t>
            </w:r>
            <w:proofErr w:type="spellStart"/>
            <w:r>
              <w:rPr>
                <w:rFonts w:ascii="Arial Narrow" w:hAnsi="Arial Narrow"/>
                <w:b/>
                <w:sz w:val="20"/>
              </w:rPr>
              <w:t>Qty</w:t>
            </w:r>
            <w:proofErr w:type="spellEnd"/>
            <w:r>
              <w:rPr>
                <w:rFonts w:ascii="Arial Narrow" w:hAnsi="Arial Narrow"/>
                <w:b/>
                <w:sz w:val="20"/>
              </w:rPr>
              <w:t xml:space="preserve"> (units)</w:t>
            </w:r>
          </w:p>
        </w:tc>
        <w:tc>
          <w:tcPr>
            <w:tcW w:w="651" w:type="pct"/>
            <w:tcBorders>
              <w:top w:val="single" w:sz="4" w:space="0" w:color="auto"/>
              <w:bottom w:val="single" w:sz="4" w:space="0" w:color="auto"/>
            </w:tcBorders>
            <w:vAlign w:val="center"/>
          </w:tcPr>
          <w:p w:rsidR="000F3196" w:rsidRPr="00C7151A" w:rsidRDefault="000F3196" w:rsidP="00516805">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r>
              <w:rPr>
                <w:rFonts w:ascii="Arial Narrow" w:hAnsi="Arial Narrow"/>
                <w:b/>
                <w:sz w:val="20"/>
              </w:rPr>
              <w:t xml:space="preserve"> </w:t>
            </w:r>
            <w:proofErr w:type="spellStart"/>
            <w:r w:rsidRPr="00C7151A">
              <w:rPr>
                <w:rFonts w:ascii="Arial Narrow" w:hAnsi="Arial Narrow"/>
                <w:b/>
                <w:sz w:val="20"/>
              </w:rPr>
              <w:t>Rpts</w:t>
            </w:r>
            <w:proofErr w:type="spellEnd"/>
          </w:p>
        </w:tc>
        <w:tc>
          <w:tcPr>
            <w:tcW w:w="782" w:type="pct"/>
            <w:tcBorders>
              <w:top w:val="single" w:sz="4" w:space="0" w:color="auto"/>
              <w:bottom w:val="single" w:sz="4" w:space="0" w:color="auto"/>
            </w:tcBorders>
            <w:vAlign w:val="center"/>
          </w:tcPr>
          <w:p w:rsidR="000F3196" w:rsidRPr="00C7151A" w:rsidRDefault="000F3196" w:rsidP="00516805">
            <w:pPr>
              <w:keepNext/>
              <w:jc w:val="center"/>
              <w:rPr>
                <w:rFonts w:ascii="Arial Narrow" w:hAnsi="Arial Narrow"/>
                <w:b/>
                <w:sz w:val="20"/>
              </w:rPr>
            </w:pPr>
            <w:r w:rsidRPr="00C7151A">
              <w:rPr>
                <w:rFonts w:ascii="Arial Narrow" w:hAnsi="Arial Narrow"/>
                <w:b/>
                <w:sz w:val="20"/>
              </w:rPr>
              <w:t xml:space="preserve">Dispensed Price for Max. </w:t>
            </w:r>
            <w:proofErr w:type="spellStart"/>
            <w:r w:rsidRPr="00C7151A">
              <w:rPr>
                <w:rFonts w:ascii="Arial Narrow" w:hAnsi="Arial Narrow"/>
                <w:b/>
                <w:sz w:val="20"/>
              </w:rPr>
              <w:t>Qty</w:t>
            </w:r>
            <w:proofErr w:type="spellEnd"/>
          </w:p>
        </w:tc>
        <w:tc>
          <w:tcPr>
            <w:tcW w:w="755" w:type="pct"/>
            <w:tcBorders>
              <w:top w:val="single" w:sz="4" w:space="0" w:color="auto"/>
              <w:bottom w:val="single" w:sz="4" w:space="0" w:color="auto"/>
            </w:tcBorders>
            <w:vAlign w:val="center"/>
          </w:tcPr>
          <w:p w:rsidR="000F3196" w:rsidRPr="00F959C2" w:rsidRDefault="000F3196" w:rsidP="00516805">
            <w:pPr>
              <w:keepNext/>
              <w:jc w:val="center"/>
              <w:rPr>
                <w:rFonts w:ascii="Arial Narrow" w:hAnsi="Arial Narrow"/>
                <w:b/>
                <w:sz w:val="20"/>
              </w:rPr>
            </w:pPr>
            <w:r w:rsidRPr="00C7151A">
              <w:rPr>
                <w:rFonts w:ascii="Arial Narrow" w:hAnsi="Arial Narrow"/>
                <w:b/>
                <w:sz w:val="20"/>
              </w:rPr>
              <w:t>Proprietary Name and Manufacturer</w:t>
            </w:r>
          </w:p>
        </w:tc>
      </w:tr>
      <w:tr w:rsidR="000F3196" w:rsidRPr="00413860" w:rsidTr="00516805">
        <w:trPr>
          <w:cantSplit/>
          <w:trHeight w:val="60"/>
        </w:trPr>
        <w:tc>
          <w:tcPr>
            <w:tcW w:w="1657" w:type="pct"/>
            <w:vAlign w:val="center"/>
          </w:tcPr>
          <w:p w:rsidR="000F3196" w:rsidRPr="00591957" w:rsidRDefault="000F3196" w:rsidP="00516805">
            <w:pPr>
              <w:keepNext/>
              <w:jc w:val="left"/>
              <w:rPr>
                <w:rFonts w:ascii="Arial Narrow" w:hAnsi="Arial Narrow"/>
                <w:sz w:val="20"/>
              </w:rPr>
            </w:pPr>
            <w:proofErr w:type="spellStart"/>
            <w:r>
              <w:rPr>
                <w:rFonts w:ascii="Arial Narrow" w:hAnsi="Arial Narrow"/>
                <w:smallCaps/>
                <w:sz w:val="20"/>
              </w:rPr>
              <w:t>Certolizumab</w:t>
            </w:r>
            <w:proofErr w:type="spellEnd"/>
            <w:r>
              <w:rPr>
                <w:rFonts w:ascii="Arial Narrow" w:hAnsi="Arial Narrow"/>
                <w:smallCaps/>
                <w:sz w:val="20"/>
              </w:rPr>
              <w:t xml:space="preserve"> </w:t>
            </w:r>
            <w:proofErr w:type="spellStart"/>
            <w:r>
              <w:rPr>
                <w:rFonts w:ascii="Arial Narrow" w:hAnsi="Arial Narrow"/>
                <w:smallCaps/>
                <w:sz w:val="20"/>
              </w:rPr>
              <w:t>Pegol</w:t>
            </w:r>
            <w:proofErr w:type="spellEnd"/>
          </w:p>
        </w:tc>
        <w:tc>
          <w:tcPr>
            <w:tcW w:w="615" w:type="pct"/>
            <w:vAlign w:val="center"/>
          </w:tcPr>
          <w:p w:rsidR="000F3196" w:rsidRPr="00591957" w:rsidRDefault="000F3196" w:rsidP="00516805">
            <w:pPr>
              <w:keepNext/>
              <w:jc w:val="center"/>
              <w:rPr>
                <w:rFonts w:ascii="Arial Narrow" w:hAnsi="Arial Narrow"/>
                <w:sz w:val="20"/>
              </w:rPr>
            </w:pPr>
          </w:p>
        </w:tc>
        <w:tc>
          <w:tcPr>
            <w:tcW w:w="539" w:type="pct"/>
            <w:vAlign w:val="center"/>
          </w:tcPr>
          <w:p w:rsidR="000F3196" w:rsidRPr="00591957" w:rsidRDefault="000F3196" w:rsidP="00516805">
            <w:pPr>
              <w:keepNext/>
              <w:jc w:val="center"/>
              <w:rPr>
                <w:rFonts w:ascii="Arial Narrow" w:hAnsi="Arial Narrow"/>
                <w:sz w:val="20"/>
              </w:rPr>
            </w:pPr>
          </w:p>
        </w:tc>
        <w:tc>
          <w:tcPr>
            <w:tcW w:w="651" w:type="pct"/>
            <w:vAlign w:val="center"/>
          </w:tcPr>
          <w:p w:rsidR="000F3196" w:rsidRPr="00591957" w:rsidRDefault="000F3196" w:rsidP="00516805">
            <w:pPr>
              <w:keepNext/>
              <w:jc w:val="center"/>
              <w:rPr>
                <w:rFonts w:ascii="Arial Narrow" w:hAnsi="Arial Narrow"/>
                <w:sz w:val="20"/>
              </w:rPr>
            </w:pPr>
          </w:p>
        </w:tc>
        <w:tc>
          <w:tcPr>
            <w:tcW w:w="782" w:type="pct"/>
          </w:tcPr>
          <w:p w:rsidR="000F3196" w:rsidRPr="00591957" w:rsidRDefault="000F3196" w:rsidP="00516805">
            <w:pPr>
              <w:keepNext/>
              <w:jc w:val="center"/>
              <w:rPr>
                <w:rFonts w:ascii="Arial Narrow" w:hAnsi="Arial Narrow"/>
                <w:sz w:val="20"/>
              </w:rPr>
            </w:pPr>
          </w:p>
        </w:tc>
        <w:tc>
          <w:tcPr>
            <w:tcW w:w="755" w:type="pct"/>
            <w:vMerge w:val="restart"/>
            <w:vAlign w:val="center"/>
          </w:tcPr>
          <w:p w:rsidR="000F3196" w:rsidRDefault="000F3196" w:rsidP="00516805">
            <w:pPr>
              <w:keepNext/>
              <w:jc w:val="center"/>
              <w:rPr>
                <w:rFonts w:ascii="Arial Narrow" w:hAnsi="Arial Narrow"/>
                <w:sz w:val="20"/>
              </w:rPr>
            </w:pPr>
            <w:proofErr w:type="spellStart"/>
            <w:r>
              <w:rPr>
                <w:rFonts w:ascii="Arial Narrow" w:hAnsi="Arial Narrow"/>
                <w:sz w:val="20"/>
              </w:rPr>
              <w:t>Cimzia</w:t>
            </w:r>
            <w:proofErr w:type="spellEnd"/>
            <w:r>
              <w:rPr>
                <w:rFonts w:ascii="Arial Narrow" w:hAnsi="Arial Narrow"/>
                <w:sz w:val="20"/>
              </w:rPr>
              <w:t>®</w:t>
            </w:r>
          </w:p>
          <w:p w:rsidR="000F3196" w:rsidRPr="00591957" w:rsidRDefault="000F3196" w:rsidP="00516805">
            <w:pPr>
              <w:keepNext/>
              <w:jc w:val="center"/>
              <w:rPr>
                <w:rFonts w:ascii="Arial Narrow" w:hAnsi="Arial Narrow"/>
                <w:sz w:val="20"/>
              </w:rPr>
            </w:pPr>
            <w:r>
              <w:rPr>
                <w:rFonts w:ascii="Arial Narrow" w:hAnsi="Arial Narrow"/>
                <w:sz w:val="20"/>
              </w:rPr>
              <w:t>UCB Australia</w:t>
            </w:r>
          </w:p>
        </w:tc>
      </w:tr>
      <w:tr w:rsidR="000F3196" w:rsidRPr="00413860" w:rsidTr="00516805">
        <w:trPr>
          <w:cantSplit/>
          <w:trHeight w:val="60"/>
        </w:trPr>
        <w:tc>
          <w:tcPr>
            <w:tcW w:w="1657" w:type="pct"/>
            <w:vAlign w:val="center"/>
          </w:tcPr>
          <w:p w:rsidR="000F3196" w:rsidRPr="00A63B23" w:rsidRDefault="000F3196" w:rsidP="00516805">
            <w:pPr>
              <w:pStyle w:val="Tabletext"/>
              <w:rPr>
                <w:smallCaps/>
              </w:rPr>
            </w:pPr>
            <w:r w:rsidRPr="00A63B23">
              <w:rPr>
                <w:u w:val="single"/>
              </w:rPr>
              <w:t>Initial 1 and initial 2</w:t>
            </w:r>
          </w:p>
        </w:tc>
        <w:tc>
          <w:tcPr>
            <w:tcW w:w="615" w:type="pct"/>
            <w:vAlign w:val="center"/>
          </w:tcPr>
          <w:p w:rsidR="000F3196" w:rsidRPr="00591957" w:rsidRDefault="000F3196" w:rsidP="00516805">
            <w:pPr>
              <w:keepNext/>
              <w:jc w:val="center"/>
              <w:rPr>
                <w:rFonts w:ascii="Arial Narrow" w:hAnsi="Arial Narrow"/>
                <w:sz w:val="20"/>
              </w:rPr>
            </w:pPr>
          </w:p>
        </w:tc>
        <w:tc>
          <w:tcPr>
            <w:tcW w:w="539" w:type="pct"/>
            <w:vAlign w:val="center"/>
          </w:tcPr>
          <w:p w:rsidR="000F3196" w:rsidRPr="00591957" w:rsidRDefault="000F3196" w:rsidP="00516805">
            <w:pPr>
              <w:keepNext/>
              <w:jc w:val="center"/>
              <w:rPr>
                <w:rFonts w:ascii="Arial Narrow" w:hAnsi="Arial Narrow"/>
                <w:sz w:val="20"/>
              </w:rPr>
            </w:pPr>
          </w:p>
        </w:tc>
        <w:tc>
          <w:tcPr>
            <w:tcW w:w="651" w:type="pct"/>
            <w:vAlign w:val="center"/>
          </w:tcPr>
          <w:p w:rsidR="000F3196" w:rsidRPr="00591957" w:rsidRDefault="000F3196" w:rsidP="00516805">
            <w:pPr>
              <w:keepNext/>
              <w:jc w:val="center"/>
              <w:rPr>
                <w:rFonts w:ascii="Arial Narrow" w:hAnsi="Arial Narrow"/>
                <w:sz w:val="20"/>
              </w:rPr>
            </w:pPr>
          </w:p>
        </w:tc>
        <w:tc>
          <w:tcPr>
            <w:tcW w:w="782" w:type="pct"/>
          </w:tcPr>
          <w:p w:rsidR="000F3196" w:rsidRPr="00591957" w:rsidRDefault="000F3196" w:rsidP="00516805">
            <w:pPr>
              <w:keepNext/>
              <w:jc w:val="center"/>
              <w:rPr>
                <w:rFonts w:ascii="Arial Narrow" w:hAnsi="Arial Narrow"/>
                <w:sz w:val="20"/>
              </w:rPr>
            </w:pPr>
          </w:p>
        </w:tc>
        <w:tc>
          <w:tcPr>
            <w:tcW w:w="755" w:type="pct"/>
            <w:vMerge/>
            <w:vAlign w:val="center"/>
          </w:tcPr>
          <w:p w:rsidR="000F3196" w:rsidRPr="00591957" w:rsidRDefault="000F3196" w:rsidP="00516805">
            <w:pPr>
              <w:keepNext/>
              <w:rPr>
                <w:rFonts w:ascii="Arial Narrow" w:hAnsi="Arial Narrow"/>
                <w:sz w:val="20"/>
              </w:rPr>
            </w:pPr>
          </w:p>
        </w:tc>
      </w:tr>
      <w:tr w:rsidR="000F3196" w:rsidRPr="00F959C2" w:rsidTr="00516805">
        <w:trPr>
          <w:cantSplit/>
          <w:trHeight w:val="60"/>
        </w:trPr>
        <w:tc>
          <w:tcPr>
            <w:tcW w:w="1657" w:type="pct"/>
            <w:vAlign w:val="center"/>
          </w:tcPr>
          <w:p w:rsidR="000F3196" w:rsidRPr="00F959C2" w:rsidRDefault="000F3196" w:rsidP="00516805">
            <w:pPr>
              <w:keepNext/>
              <w:jc w:val="left"/>
              <w:rPr>
                <w:rFonts w:ascii="Arial Narrow" w:hAnsi="Arial Narrow"/>
                <w:iCs/>
                <w:sz w:val="20"/>
                <w:szCs w:val="20"/>
              </w:rPr>
            </w:pPr>
            <w:r w:rsidRPr="001D5293">
              <w:rPr>
                <w:rFonts w:ascii="Arial Narrow" w:hAnsi="Arial Narrow"/>
                <w:iCs/>
                <w:sz w:val="20"/>
                <w:szCs w:val="20"/>
              </w:rPr>
              <w:t>200mg/mL, 2x1mL pen device</w:t>
            </w:r>
          </w:p>
        </w:tc>
        <w:tc>
          <w:tcPr>
            <w:tcW w:w="615" w:type="pct"/>
            <w:vAlign w:val="center"/>
          </w:tcPr>
          <w:p w:rsidR="000F3196" w:rsidRDefault="000F3196" w:rsidP="00516805">
            <w:pPr>
              <w:keepNext/>
              <w:jc w:val="center"/>
              <w:rPr>
                <w:rFonts w:ascii="Arial Narrow" w:hAnsi="Arial Narrow"/>
                <w:sz w:val="20"/>
                <w:szCs w:val="20"/>
              </w:rPr>
            </w:pPr>
            <w:r>
              <w:rPr>
                <w:rFonts w:ascii="Arial Narrow" w:hAnsi="Arial Narrow"/>
                <w:sz w:val="20"/>
                <w:szCs w:val="20"/>
              </w:rPr>
              <w:t>3</w:t>
            </w:r>
          </w:p>
        </w:tc>
        <w:tc>
          <w:tcPr>
            <w:tcW w:w="539" w:type="pct"/>
            <w:vAlign w:val="center"/>
          </w:tcPr>
          <w:p w:rsidR="000F3196" w:rsidRDefault="000F3196" w:rsidP="00516805">
            <w:pPr>
              <w:keepNext/>
              <w:jc w:val="center"/>
              <w:rPr>
                <w:rFonts w:ascii="Arial Narrow" w:hAnsi="Arial Narrow"/>
                <w:sz w:val="20"/>
                <w:szCs w:val="20"/>
              </w:rPr>
            </w:pPr>
            <w:r>
              <w:rPr>
                <w:rFonts w:ascii="Arial Narrow" w:hAnsi="Arial Narrow"/>
                <w:sz w:val="20"/>
                <w:szCs w:val="20"/>
              </w:rPr>
              <w:t>6</w:t>
            </w:r>
          </w:p>
        </w:tc>
        <w:tc>
          <w:tcPr>
            <w:tcW w:w="651" w:type="pct"/>
            <w:vAlign w:val="center"/>
          </w:tcPr>
          <w:p w:rsidR="000F3196" w:rsidRDefault="000F3196" w:rsidP="00516805">
            <w:pPr>
              <w:keepNext/>
              <w:jc w:val="center"/>
              <w:rPr>
                <w:rFonts w:ascii="Arial Narrow" w:hAnsi="Arial Narrow"/>
                <w:sz w:val="20"/>
                <w:szCs w:val="20"/>
              </w:rPr>
            </w:pPr>
            <w:r>
              <w:rPr>
                <w:rFonts w:ascii="Arial Narrow" w:hAnsi="Arial Narrow"/>
                <w:sz w:val="20"/>
                <w:szCs w:val="20"/>
              </w:rPr>
              <w:t>0</w:t>
            </w:r>
          </w:p>
        </w:tc>
        <w:tc>
          <w:tcPr>
            <w:tcW w:w="782" w:type="pct"/>
          </w:tcPr>
          <w:p w:rsidR="000F3196" w:rsidRDefault="000F3196" w:rsidP="00516805">
            <w:pPr>
              <w:keepNext/>
              <w:jc w:val="center"/>
              <w:rPr>
                <w:rFonts w:ascii="Arial Narrow" w:hAnsi="Arial Narrow"/>
                <w:sz w:val="20"/>
                <w:szCs w:val="20"/>
              </w:rPr>
            </w:pPr>
            <w:r w:rsidRPr="001D5293">
              <w:rPr>
                <w:rFonts w:ascii="Arial Narrow" w:hAnsi="Arial Narrow"/>
                <w:sz w:val="20"/>
                <w:szCs w:val="20"/>
              </w:rPr>
              <w:t>$</w:t>
            </w:r>
            <w:r w:rsidR="00157528">
              <w:rPr>
                <w:rFonts w:ascii="Arial Narrow" w:hAnsi="Arial Narrow"/>
                <w:noProof/>
                <w:color w:val="000000"/>
                <w:sz w:val="20"/>
                <w:szCs w:val="20"/>
                <w:highlight w:val="black"/>
              </w:rPr>
              <w:t>'''''''''''''''''''''</w:t>
            </w:r>
          </w:p>
        </w:tc>
        <w:tc>
          <w:tcPr>
            <w:tcW w:w="755" w:type="pct"/>
            <w:vMerge/>
            <w:vAlign w:val="center"/>
          </w:tcPr>
          <w:p w:rsidR="000F3196" w:rsidRPr="00F959C2" w:rsidRDefault="000F3196" w:rsidP="00516805">
            <w:pPr>
              <w:keepNext/>
              <w:rPr>
                <w:rFonts w:ascii="Arial Narrow" w:hAnsi="Arial Narrow"/>
                <w:sz w:val="20"/>
                <w:szCs w:val="20"/>
              </w:rPr>
            </w:pPr>
          </w:p>
        </w:tc>
      </w:tr>
      <w:tr w:rsidR="000F3196" w:rsidRPr="00F959C2" w:rsidTr="00516805">
        <w:trPr>
          <w:cantSplit/>
          <w:trHeight w:val="60"/>
        </w:trPr>
        <w:tc>
          <w:tcPr>
            <w:tcW w:w="1657" w:type="pct"/>
            <w:vAlign w:val="center"/>
          </w:tcPr>
          <w:p w:rsidR="000F3196" w:rsidRPr="00F959C2" w:rsidRDefault="000F3196" w:rsidP="00516805">
            <w:pPr>
              <w:keepNext/>
              <w:jc w:val="left"/>
              <w:rPr>
                <w:rFonts w:ascii="Arial Narrow" w:hAnsi="Arial Narrow"/>
                <w:iCs/>
                <w:sz w:val="20"/>
                <w:szCs w:val="20"/>
              </w:rPr>
            </w:pPr>
            <w:r w:rsidRPr="001D5293">
              <w:rPr>
                <w:rFonts w:ascii="Arial Narrow" w:hAnsi="Arial Narrow"/>
                <w:iCs/>
                <w:sz w:val="20"/>
                <w:szCs w:val="20"/>
              </w:rPr>
              <w:t>200mg/mL, 2x1mL syringe</w:t>
            </w:r>
          </w:p>
        </w:tc>
        <w:tc>
          <w:tcPr>
            <w:tcW w:w="615" w:type="pct"/>
            <w:vAlign w:val="center"/>
          </w:tcPr>
          <w:p w:rsidR="000F3196" w:rsidRDefault="000F3196" w:rsidP="00516805">
            <w:pPr>
              <w:keepNext/>
              <w:jc w:val="center"/>
              <w:rPr>
                <w:rFonts w:ascii="Arial Narrow" w:hAnsi="Arial Narrow"/>
                <w:sz w:val="20"/>
                <w:szCs w:val="20"/>
              </w:rPr>
            </w:pPr>
            <w:r>
              <w:rPr>
                <w:rFonts w:ascii="Arial Narrow" w:hAnsi="Arial Narrow"/>
                <w:sz w:val="20"/>
                <w:szCs w:val="20"/>
              </w:rPr>
              <w:t>3</w:t>
            </w:r>
          </w:p>
        </w:tc>
        <w:tc>
          <w:tcPr>
            <w:tcW w:w="539" w:type="pct"/>
            <w:vAlign w:val="center"/>
          </w:tcPr>
          <w:p w:rsidR="000F3196" w:rsidRDefault="000F3196" w:rsidP="00516805">
            <w:pPr>
              <w:keepNext/>
              <w:jc w:val="center"/>
              <w:rPr>
                <w:rFonts w:ascii="Arial Narrow" w:hAnsi="Arial Narrow"/>
                <w:sz w:val="20"/>
                <w:szCs w:val="20"/>
              </w:rPr>
            </w:pPr>
            <w:r>
              <w:rPr>
                <w:rFonts w:ascii="Arial Narrow" w:hAnsi="Arial Narrow"/>
                <w:sz w:val="20"/>
                <w:szCs w:val="20"/>
              </w:rPr>
              <w:t>6</w:t>
            </w:r>
          </w:p>
        </w:tc>
        <w:tc>
          <w:tcPr>
            <w:tcW w:w="651" w:type="pct"/>
            <w:vAlign w:val="center"/>
          </w:tcPr>
          <w:p w:rsidR="000F3196" w:rsidRDefault="000F3196" w:rsidP="00516805">
            <w:pPr>
              <w:keepNext/>
              <w:jc w:val="center"/>
              <w:rPr>
                <w:rFonts w:ascii="Arial Narrow" w:hAnsi="Arial Narrow"/>
                <w:sz w:val="20"/>
                <w:szCs w:val="20"/>
              </w:rPr>
            </w:pPr>
            <w:r>
              <w:rPr>
                <w:rFonts w:ascii="Arial Narrow" w:hAnsi="Arial Narrow"/>
                <w:sz w:val="20"/>
                <w:szCs w:val="20"/>
              </w:rPr>
              <w:t>0</w:t>
            </w:r>
          </w:p>
        </w:tc>
        <w:tc>
          <w:tcPr>
            <w:tcW w:w="782" w:type="pct"/>
          </w:tcPr>
          <w:p w:rsidR="000F3196" w:rsidRDefault="000F3196" w:rsidP="00516805">
            <w:pPr>
              <w:keepNext/>
              <w:jc w:val="center"/>
              <w:rPr>
                <w:rFonts w:ascii="Arial Narrow" w:hAnsi="Arial Narrow"/>
                <w:sz w:val="20"/>
                <w:szCs w:val="20"/>
              </w:rPr>
            </w:pPr>
            <w:r w:rsidRPr="001D5293">
              <w:rPr>
                <w:rFonts w:ascii="Arial Narrow" w:hAnsi="Arial Narrow"/>
                <w:sz w:val="20"/>
                <w:szCs w:val="20"/>
              </w:rPr>
              <w:t>$</w:t>
            </w:r>
            <w:r w:rsidR="00157528">
              <w:rPr>
                <w:rFonts w:ascii="Arial Narrow" w:hAnsi="Arial Narrow"/>
                <w:noProof/>
                <w:color w:val="000000"/>
                <w:sz w:val="20"/>
                <w:szCs w:val="20"/>
                <w:highlight w:val="black"/>
              </w:rPr>
              <w:t>''''''''''''''''''''</w:t>
            </w:r>
          </w:p>
        </w:tc>
        <w:tc>
          <w:tcPr>
            <w:tcW w:w="755" w:type="pct"/>
            <w:vMerge/>
            <w:vAlign w:val="center"/>
          </w:tcPr>
          <w:p w:rsidR="000F3196" w:rsidRPr="00F959C2" w:rsidRDefault="000F3196" w:rsidP="00516805">
            <w:pPr>
              <w:keepNext/>
              <w:rPr>
                <w:rFonts w:ascii="Arial Narrow" w:hAnsi="Arial Narrow"/>
                <w:sz w:val="20"/>
                <w:szCs w:val="20"/>
              </w:rPr>
            </w:pPr>
          </w:p>
        </w:tc>
      </w:tr>
      <w:tr w:rsidR="000F3196" w:rsidRPr="00F959C2" w:rsidTr="00516805">
        <w:trPr>
          <w:cantSplit/>
          <w:trHeight w:val="60"/>
        </w:trPr>
        <w:tc>
          <w:tcPr>
            <w:tcW w:w="1657" w:type="pct"/>
            <w:vAlign w:val="center"/>
          </w:tcPr>
          <w:p w:rsidR="000F3196" w:rsidRPr="00F959C2" w:rsidRDefault="000F3196" w:rsidP="00516805">
            <w:pPr>
              <w:keepNext/>
              <w:jc w:val="left"/>
              <w:rPr>
                <w:rFonts w:ascii="Arial Narrow" w:hAnsi="Arial Narrow"/>
                <w:smallCaps/>
                <w:sz w:val="20"/>
                <w:szCs w:val="20"/>
              </w:rPr>
            </w:pPr>
            <w:r w:rsidRPr="00F959C2">
              <w:rPr>
                <w:rFonts w:ascii="Arial Narrow" w:hAnsi="Arial Narrow"/>
                <w:iCs/>
                <w:sz w:val="20"/>
                <w:szCs w:val="20"/>
              </w:rPr>
              <w:t>200mg/mL, 2x1mL pen device</w:t>
            </w:r>
          </w:p>
        </w:tc>
        <w:tc>
          <w:tcPr>
            <w:tcW w:w="615"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1</w:t>
            </w:r>
          </w:p>
        </w:tc>
        <w:tc>
          <w:tcPr>
            <w:tcW w:w="539"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2</w:t>
            </w:r>
          </w:p>
        </w:tc>
        <w:tc>
          <w:tcPr>
            <w:tcW w:w="651"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2</w:t>
            </w:r>
          </w:p>
        </w:tc>
        <w:tc>
          <w:tcPr>
            <w:tcW w:w="782" w:type="pct"/>
          </w:tcPr>
          <w:p w:rsidR="000F3196" w:rsidRPr="00F959C2" w:rsidRDefault="000F3196" w:rsidP="00516805">
            <w:pPr>
              <w:keepNext/>
              <w:jc w:val="center"/>
              <w:rPr>
                <w:rFonts w:ascii="Arial Narrow" w:hAnsi="Arial Narrow"/>
                <w:sz w:val="20"/>
                <w:szCs w:val="20"/>
              </w:rPr>
            </w:pPr>
            <w:r>
              <w:rPr>
                <w:rFonts w:ascii="Arial Narrow" w:hAnsi="Arial Narrow"/>
                <w:sz w:val="20"/>
                <w:szCs w:val="20"/>
              </w:rPr>
              <w:t>$</w:t>
            </w:r>
            <w:r w:rsidR="00157528">
              <w:rPr>
                <w:rFonts w:ascii="Arial Narrow" w:hAnsi="Arial Narrow"/>
                <w:noProof/>
                <w:color w:val="000000"/>
                <w:sz w:val="20"/>
                <w:szCs w:val="20"/>
                <w:highlight w:val="black"/>
              </w:rPr>
              <w:t>'''''''''''''''''''''''</w:t>
            </w:r>
          </w:p>
        </w:tc>
        <w:tc>
          <w:tcPr>
            <w:tcW w:w="755" w:type="pct"/>
            <w:vMerge/>
            <w:vAlign w:val="center"/>
          </w:tcPr>
          <w:p w:rsidR="000F3196" w:rsidRPr="00F959C2" w:rsidRDefault="000F3196" w:rsidP="00516805">
            <w:pPr>
              <w:keepNext/>
              <w:rPr>
                <w:rFonts w:ascii="Arial Narrow" w:hAnsi="Arial Narrow"/>
                <w:sz w:val="20"/>
                <w:szCs w:val="20"/>
              </w:rPr>
            </w:pPr>
          </w:p>
        </w:tc>
      </w:tr>
      <w:tr w:rsidR="000F3196" w:rsidRPr="00F959C2" w:rsidTr="00516805">
        <w:trPr>
          <w:cantSplit/>
          <w:trHeight w:val="60"/>
        </w:trPr>
        <w:tc>
          <w:tcPr>
            <w:tcW w:w="1657" w:type="pct"/>
            <w:vAlign w:val="center"/>
          </w:tcPr>
          <w:p w:rsidR="000F3196" w:rsidRPr="00F959C2" w:rsidRDefault="000F3196" w:rsidP="00516805">
            <w:pPr>
              <w:keepNext/>
              <w:jc w:val="left"/>
              <w:rPr>
                <w:rFonts w:ascii="Arial Narrow" w:hAnsi="Arial Narrow"/>
                <w:smallCaps/>
                <w:sz w:val="20"/>
                <w:szCs w:val="20"/>
              </w:rPr>
            </w:pPr>
            <w:r w:rsidRPr="00F959C2">
              <w:rPr>
                <w:rFonts w:ascii="Arial Narrow" w:hAnsi="Arial Narrow"/>
                <w:iCs/>
                <w:sz w:val="20"/>
                <w:szCs w:val="20"/>
              </w:rPr>
              <w:t>200mg/mL, 2x1mL syringe</w:t>
            </w:r>
          </w:p>
        </w:tc>
        <w:tc>
          <w:tcPr>
            <w:tcW w:w="615"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1</w:t>
            </w:r>
          </w:p>
        </w:tc>
        <w:tc>
          <w:tcPr>
            <w:tcW w:w="539"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2</w:t>
            </w:r>
          </w:p>
        </w:tc>
        <w:tc>
          <w:tcPr>
            <w:tcW w:w="651"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2</w:t>
            </w:r>
          </w:p>
        </w:tc>
        <w:tc>
          <w:tcPr>
            <w:tcW w:w="782" w:type="pct"/>
          </w:tcPr>
          <w:p w:rsidR="000F3196" w:rsidRPr="00F959C2" w:rsidRDefault="000F3196" w:rsidP="00516805">
            <w:pPr>
              <w:keepNext/>
              <w:jc w:val="center"/>
              <w:rPr>
                <w:rFonts w:ascii="Arial Narrow" w:hAnsi="Arial Narrow"/>
                <w:sz w:val="20"/>
                <w:szCs w:val="20"/>
              </w:rPr>
            </w:pPr>
            <w:r>
              <w:rPr>
                <w:rFonts w:ascii="Arial Narrow" w:hAnsi="Arial Narrow"/>
                <w:sz w:val="20"/>
                <w:szCs w:val="20"/>
              </w:rPr>
              <w:t>$</w:t>
            </w:r>
            <w:r w:rsidR="00157528">
              <w:rPr>
                <w:rFonts w:ascii="Arial Narrow" w:hAnsi="Arial Narrow"/>
                <w:noProof/>
                <w:color w:val="000000"/>
                <w:sz w:val="20"/>
                <w:szCs w:val="20"/>
                <w:highlight w:val="black"/>
              </w:rPr>
              <w:t>'''''''''''''''''''</w:t>
            </w:r>
          </w:p>
        </w:tc>
        <w:tc>
          <w:tcPr>
            <w:tcW w:w="755" w:type="pct"/>
            <w:vMerge/>
            <w:vAlign w:val="center"/>
          </w:tcPr>
          <w:p w:rsidR="000F3196" w:rsidRPr="00F959C2" w:rsidRDefault="000F3196" w:rsidP="00516805">
            <w:pPr>
              <w:keepNext/>
              <w:rPr>
                <w:rFonts w:ascii="Arial Narrow" w:hAnsi="Arial Narrow"/>
                <w:sz w:val="20"/>
                <w:szCs w:val="20"/>
              </w:rPr>
            </w:pPr>
          </w:p>
        </w:tc>
      </w:tr>
      <w:tr w:rsidR="000F3196" w:rsidRPr="00F959C2" w:rsidTr="00516805">
        <w:trPr>
          <w:cantSplit/>
          <w:trHeight w:val="135"/>
        </w:trPr>
        <w:tc>
          <w:tcPr>
            <w:tcW w:w="1657" w:type="pct"/>
            <w:vAlign w:val="center"/>
          </w:tcPr>
          <w:p w:rsidR="000F3196" w:rsidRPr="00A63B23" w:rsidRDefault="000F3196" w:rsidP="00516805">
            <w:pPr>
              <w:keepNext/>
              <w:jc w:val="left"/>
              <w:rPr>
                <w:rFonts w:ascii="Arial Narrow" w:hAnsi="Arial Narrow"/>
                <w:smallCaps/>
                <w:sz w:val="20"/>
                <w:szCs w:val="20"/>
              </w:rPr>
            </w:pPr>
            <w:r w:rsidRPr="00A63B23">
              <w:rPr>
                <w:rFonts w:ascii="Arial Narrow" w:hAnsi="Arial Narrow"/>
                <w:sz w:val="20"/>
                <w:szCs w:val="20"/>
                <w:u w:val="single"/>
              </w:rPr>
              <w:t>Continuing treatment</w:t>
            </w:r>
          </w:p>
        </w:tc>
        <w:tc>
          <w:tcPr>
            <w:tcW w:w="615" w:type="pct"/>
            <w:vAlign w:val="center"/>
          </w:tcPr>
          <w:p w:rsidR="000F3196" w:rsidRPr="00F959C2" w:rsidRDefault="000F3196" w:rsidP="00516805">
            <w:pPr>
              <w:keepNext/>
              <w:jc w:val="center"/>
              <w:rPr>
                <w:rFonts w:ascii="Arial Narrow" w:hAnsi="Arial Narrow"/>
                <w:sz w:val="20"/>
                <w:szCs w:val="20"/>
              </w:rPr>
            </w:pPr>
          </w:p>
        </w:tc>
        <w:tc>
          <w:tcPr>
            <w:tcW w:w="539" w:type="pct"/>
            <w:vAlign w:val="center"/>
          </w:tcPr>
          <w:p w:rsidR="000F3196" w:rsidRPr="00F959C2" w:rsidRDefault="000F3196" w:rsidP="00516805">
            <w:pPr>
              <w:keepNext/>
              <w:jc w:val="center"/>
              <w:rPr>
                <w:rFonts w:ascii="Arial Narrow" w:hAnsi="Arial Narrow"/>
                <w:sz w:val="20"/>
                <w:szCs w:val="20"/>
              </w:rPr>
            </w:pPr>
          </w:p>
        </w:tc>
        <w:tc>
          <w:tcPr>
            <w:tcW w:w="651" w:type="pct"/>
            <w:vAlign w:val="center"/>
          </w:tcPr>
          <w:p w:rsidR="000F3196" w:rsidRPr="00F959C2" w:rsidRDefault="000F3196" w:rsidP="00516805">
            <w:pPr>
              <w:keepNext/>
              <w:jc w:val="center"/>
              <w:rPr>
                <w:rFonts w:ascii="Arial Narrow" w:hAnsi="Arial Narrow"/>
                <w:sz w:val="20"/>
                <w:szCs w:val="20"/>
              </w:rPr>
            </w:pPr>
          </w:p>
        </w:tc>
        <w:tc>
          <w:tcPr>
            <w:tcW w:w="782" w:type="pct"/>
          </w:tcPr>
          <w:p w:rsidR="000F3196" w:rsidRPr="00F959C2" w:rsidRDefault="000F3196" w:rsidP="00516805">
            <w:pPr>
              <w:keepNext/>
              <w:jc w:val="center"/>
              <w:rPr>
                <w:rFonts w:ascii="Arial Narrow" w:hAnsi="Arial Narrow"/>
                <w:sz w:val="20"/>
                <w:szCs w:val="20"/>
              </w:rPr>
            </w:pPr>
          </w:p>
        </w:tc>
        <w:tc>
          <w:tcPr>
            <w:tcW w:w="755" w:type="pct"/>
            <w:vMerge/>
            <w:vAlign w:val="center"/>
          </w:tcPr>
          <w:p w:rsidR="000F3196" w:rsidRPr="00F959C2" w:rsidRDefault="000F3196" w:rsidP="00516805">
            <w:pPr>
              <w:keepNext/>
              <w:rPr>
                <w:rFonts w:ascii="Arial Narrow" w:hAnsi="Arial Narrow"/>
                <w:sz w:val="20"/>
                <w:szCs w:val="20"/>
              </w:rPr>
            </w:pPr>
          </w:p>
        </w:tc>
      </w:tr>
      <w:tr w:rsidR="000F3196" w:rsidRPr="00F959C2" w:rsidTr="00516805">
        <w:trPr>
          <w:cantSplit/>
          <w:trHeight w:val="135"/>
        </w:trPr>
        <w:tc>
          <w:tcPr>
            <w:tcW w:w="1657" w:type="pct"/>
            <w:vAlign w:val="center"/>
          </w:tcPr>
          <w:p w:rsidR="000F3196" w:rsidRPr="00F959C2" w:rsidRDefault="000F3196" w:rsidP="00516805">
            <w:pPr>
              <w:keepNext/>
              <w:jc w:val="left"/>
              <w:rPr>
                <w:rFonts w:ascii="Arial Narrow" w:hAnsi="Arial Narrow"/>
                <w:smallCaps/>
                <w:sz w:val="20"/>
                <w:szCs w:val="20"/>
              </w:rPr>
            </w:pPr>
            <w:r w:rsidRPr="00F959C2">
              <w:rPr>
                <w:rFonts w:ascii="Arial Narrow" w:hAnsi="Arial Narrow"/>
                <w:iCs/>
                <w:sz w:val="20"/>
                <w:szCs w:val="20"/>
              </w:rPr>
              <w:t>200mg/mL, 2x1mL pen device</w:t>
            </w:r>
          </w:p>
        </w:tc>
        <w:tc>
          <w:tcPr>
            <w:tcW w:w="615"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1</w:t>
            </w:r>
          </w:p>
        </w:tc>
        <w:tc>
          <w:tcPr>
            <w:tcW w:w="539"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2</w:t>
            </w:r>
          </w:p>
        </w:tc>
        <w:tc>
          <w:tcPr>
            <w:tcW w:w="651"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5</w:t>
            </w:r>
          </w:p>
        </w:tc>
        <w:tc>
          <w:tcPr>
            <w:tcW w:w="782" w:type="pct"/>
          </w:tcPr>
          <w:p w:rsidR="000F3196" w:rsidRPr="00F959C2" w:rsidRDefault="000F3196" w:rsidP="00516805">
            <w:pPr>
              <w:keepNext/>
              <w:jc w:val="center"/>
              <w:rPr>
                <w:rFonts w:ascii="Arial Narrow" w:hAnsi="Arial Narrow"/>
                <w:sz w:val="20"/>
                <w:szCs w:val="20"/>
              </w:rPr>
            </w:pPr>
            <w:r>
              <w:rPr>
                <w:rFonts w:ascii="Arial Narrow" w:hAnsi="Arial Narrow"/>
                <w:sz w:val="20"/>
                <w:szCs w:val="20"/>
              </w:rPr>
              <w:t>$</w:t>
            </w:r>
            <w:r w:rsidR="00157528">
              <w:rPr>
                <w:rFonts w:ascii="Arial Narrow" w:hAnsi="Arial Narrow"/>
                <w:noProof/>
                <w:color w:val="000000"/>
                <w:sz w:val="20"/>
                <w:szCs w:val="20"/>
                <w:highlight w:val="black"/>
              </w:rPr>
              <w:t>'''''''''''''''''''''''</w:t>
            </w:r>
          </w:p>
        </w:tc>
        <w:tc>
          <w:tcPr>
            <w:tcW w:w="755" w:type="pct"/>
            <w:vMerge/>
            <w:vAlign w:val="center"/>
          </w:tcPr>
          <w:p w:rsidR="000F3196" w:rsidRPr="00F959C2" w:rsidRDefault="000F3196" w:rsidP="00516805">
            <w:pPr>
              <w:keepNext/>
              <w:rPr>
                <w:rFonts w:ascii="Arial Narrow" w:hAnsi="Arial Narrow"/>
                <w:sz w:val="20"/>
                <w:szCs w:val="20"/>
              </w:rPr>
            </w:pPr>
          </w:p>
        </w:tc>
      </w:tr>
      <w:tr w:rsidR="000F3196" w:rsidRPr="00F959C2" w:rsidTr="00516805">
        <w:trPr>
          <w:cantSplit/>
          <w:trHeight w:val="135"/>
        </w:trPr>
        <w:tc>
          <w:tcPr>
            <w:tcW w:w="1657" w:type="pct"/>
            <w:vAlign w:val="center"/>
          </w:tcPr>
          <w:p w:rsidR="000F3196" w:rsidRPr="00F959C2" w:rsidRDefault="000F3196" w:rsidP="00516805">
            <w:pPr>
              <w:keepNext/>
              <w:jc w:val="left"/>
              <w:rPr>
                <w:rFonts w:ascii="Arial Narrow" w:hAnsi="Arial Narrow"/>
                <w:smallCaps/>
                <w:sz w:val="20"/>
                <w:szCs w:val="20"/>
              </w:rPr>
            </w:pPr>
            <w:r w:rsidRPr="00F959C2">
              <w:rPr>
                <w:rFonts w:ascii="Arial Narrow" w:hAnsi="Arial Narrow"/>
                <w:iCs/>
                <w:sz w:val="20"/>
                <w:szCs w:val="20"/>
              </w:rPr>
              <w:t>200mg/mL, 2x1mL syringe</w:t>
            </w:r>
          </w:p>
        </w:tc>
        <w:tc>
          <w:tcPr>
            <w:tcW w:w="615"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1</w:t>
            </w:r>
          </w:p>
        </w:tc>
        <w:tc>
          <w:tcPr>
            <w:tcW w:w="539"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2</w:t>
            </w:r>
          </w:p>
        </w:tc>
        <w:tc>
          <w:tcPr>
            <w:tcW w:w="651" w:type="pct"/>
            <w:vAlign w:val="center"/>
          </w:tcPr>
          <w:p w:rsidR="000F3196" w:rsidRPr="00F959C2" w:rsidRDefault="000F3196" w:rsidP="00516805">
            <w:pPr>
              <w:keepNext/>
              <w:jc w:val="center"/>
              <w:rPr>
                <w:rFonts w:ascii="Arial Narrow" w:hAnsi="Arial Narrow"/>
                <w:sz w:val="20"/>
                <w:szCs w:val="20"/>
              </w:rPr>
            </w:pPr>
            <w:r>
              <w:rPr>
                <w:rFonts w:ascii="Arial Narrow" w:hAnsi="Arial Narrow"/>
                <w:sz w:val="20"/>
                <w:szCs w:val="20"/>
              </w:rPr>
              <w:t>5</w:t>
            </w:r>
          </w:p>
        </w:tc>
        <w:tc>
          <w:tcPr>
            <w:tcW w:w="782" w:type="pct"/>
          </w:tcPr>
          <w:p w:rsidR="000F3196" w:rsidRPr="00F959C2" w:rsidRDefault="000F3196" w:rsidP="00516805">
            <w:pPr>
              <w:keepNext/>
              <w:jc w:val="center"/>
              <w:rPr>
                <w:rFonts w:ascii="Arial Narrow" w:hAnsi="Arial Narrow"/>
                <w:sz w:val="20"/>
                <w:szCs w:val="20"/>
              </w:rPr>
            </w:pPr>
            <w:r>
              <w:rPr>
                <w:rFonts w:ascii="Arial Narrow" w:hAnsi="Arial Narrow"/>
                <w:sz w:val="20"/>
                <w:szCs w:val="20"/>
              </w:rPr>
              <w:t>$</w:t>
            </w:r>
            <w:r w:rsidR="00157528">
              <w:rPr>
                <w:rFonts w:ascii="Arial Narrow" w:hAnsi="Arial Narrow"/>
                <w:noProof/>
                <w:color w:val="000000"/>
                <w:sz w:val="20"/>
                <w:szCs w:val="20"/>
                <w:highlight w:val="black"/>
              </w:rPr>
              <w:t>'''''''''''''''''''''</w:t>
            </w:r>
          </w:p>
        </w:tc>
        <w:tc>
          <w:tcPr>
            <w:tcW w:w="755" w:type="pct"/>
            <w:vMerge/>
            <w:vAlign w:val="center"/>
          </w:tcPr>
          <w:p w:rsidR="000F3196" w:rsidRPr="00F959C2" w:rsidRDefault="000F3196" w:rsidP="00516805">
            <w:pPr>
              <w:keepNext/>
              <w:rPr>
                <w:rFonts w:ascii="Arial Narrow" w:hAnsi="Arial Narrow"/>
                <w:sz w:val="20"/>
                <w:szCs w:val="20"/>
              </w:rPr>
            </w:pPr>
          </w:p>
        </w:tc>
      </w:tr>
    </w:tbl>
    <w:p w:rsidR="000F3196" w:rsidRDefault="000F3196"/>
    <w:tbl>
      <w:tblPr>
        <w:tblW w:w="5044" w:type="pct"/>
        <w:tblCellMar>
          <w:left w:w="28" w:type="dxa"/>
          <w:right w:w="28" w:type="dxa"/>
        </w:tblCellMar>
        <w:tblLook w:val="0000" w:firstRow="0" w:lastRow="0" w:firstColumn="0" w:lastColumn="0" w:noHBand="0" w:noVBand="0"/>
      </w:tblPr>
      <w:tblGrid>
        <w:gridCol w:w="1390"/>
        <w:gridCol w:w="7706"/>
      </w:tblGrid>
      <w:tr w:rsidR="000F3196" w:rsidTr="00516805">
        <w:tc>
          <w:tcPr>
            <w:tcW w:w="758" w:type="pct"/>
            <w:tcBorders>
              <w:top w:val="single" w:sz="4" w:space="0" w:color="auto"/>
              <w:left w:val="single" w:sz="4" w:space="0" w:color="auto"/>
              <w:bottom w:val="single" w:sz="4" w:space="0" w:color="auto"/>
              <w:right w:val="single" w:sz="4" w:space="0" w:color="auto"/>
            </w:tcBorders>
          </w:tcPr>
          <w:p w:rsidR="000F3196" w:rsidRPr="00892A36" w:rsidRDefault="000F3196" w:rsidP="00516805">
            <w:pPr>
              <w:pStyle w:val="Tabletext"/>
              <w:rPr>
                <w:b/>
              </w:rPr>
            </w:pPr>
            <w:r w:rsidRPr="00892A36">
              <w:rPr>
                <w:b/>
              </w:rPr>
              <w:t>PBS Indication:</w:t>
            </w:r>
          </w:p>
        </w:tc>
        <w:tc>
          <w:tcPr>
            <w:tcW w:w="4205" w:type="pct"/>
            <w:tcBorders>
              <w:top w:val="single" w:sz="4" w:space="0" w:color="auto"/>
              <w:left w:val="single" w:sz="4" w:space="0" w:color="auto"/>
              <w:bottom w:val="single" w:sz="4" w:space="0" w:color="auto"/>
              <w:right w:val="single" w:sz="4" w:space="0" w:color="auto"/>
            </w:tcBorders>
          </w:tcPr>
          <w:p w:rsidR="000F3196" w:rsidRDefault="000F3196" w:rsidP="00516805">
            <w:pPr>
              <w:pStyle w:val="Tabletext"/>
            </w:pPr>
            <w:r w:rsidRPr="000F3196">
              <w:rPr>
                <w:strike/>
              </w:rPr>
              <w:t>Active</w:t>
            </w:r>
            <w:r>
              <w:t xml:space="preserve"> </w:t>
            </w:r>
            <w:proofErr w:type="spellStart"/>
            <w:r>
              <w:t>nr-axSpA</w:t>
            </w:r>
            <w:proofErr w:type="spellEnd"/>
          </w:p>
        </w:tc>
      </w:tr>
      <w:tr w:rsidR="000F3196" w:rsidRPr="00CD77AA" w:rsidTr="00516805">
        <w:tc>
          <w:tcPr>
            <w:tcW w:w="758" w:type="pct"/>
            <w:tcBorders>
              <w:top w:val="single" w:sz="4" w:space="0" w:color="auto"/>
              <w:left w:val="single" w:sz="4" w:space="0" w:color="auto"/>
              <w:bottom w:val="single" w:sz="4" w:space="0" w:color="auto"/>
              <w:right w:val="single" w:sz="4" w:space="0" w:color="auto"/>
            </w:tcBorders>
          </w:tcPr>
          <w:p w:rsidR="000F3196" w:rsidRPr="00C35B51" w:rsidRDefault="000F3196" w:rsidP="00516805">
            <w:pPr>
              <w:pStyle w:val="Tabletext"/>
              <w:rPr>
                <w:b/>
              </w:rPr>
            </w:pPr>
            <w:r>
              <w:rPr>
                <w:b/>
              </w:rPr>
              <w:t>Treatment criteria:</w:t>
            </w:r>
          </w:p>
        </w:tc>
        <w:tc>
          <w:tcPr>
            <w:tcW w:w="4205" w:type="pct"/>
            <w:tcBorders>
              <w:top w:val="single" w:sz="4" w:space="0" w:color="auto"/>
              <w:left w:val="single" w:sz="4" w:space="0" w:color="auto"/>
              <w:bottom w:val="single" w:sz="4" w:space="0" w:color="auto"/>
              <w:right w:val="single" w:sz="4" w:space="0" w:color="auto"/>
            </w:tcBorders>
          </w:tcPr>
          <w:p w:rsidR="000F3196" w:rsidRPr="00AC123E" w:rsidRDefault="000F3196" w:rsidP="00516805">
            <w:pPr>
              <w:widowControl/>
              <w:numPr>
                <w:ilvl w:val="0"/>
                <w:numId w:val="11"/>
              </w:numPr>
              <w:tabs>
                <w:tab w:val="clear" w:pos="720"/>
                <w:tab w:val="num" w:pos="286"/>
              </w:tabs>
              <w:ind w:left="286" w:hanging="254"/>
              <w:jc w:val="left"/>
              <w:rPr>
                <w:rFonts w:ascii="Arial Narrow" w:eastAsia="Calibri" w:hAnsi="Arial Narrow"/>
                <w:sz w:val="20"/>
                <w:szCs w:val="20"/>
              </w:rPr>
            </w:pPr>
            <w:r w:rsidRPr="00AC123E">
              <w:rPr>
                <w:rFonts w:ascii="Arial Narrow" w:eastAsia="Calibri" w:hAnsi="Arial Narrow"/>
                <w:sz w:val="20"/>
                <w:szCs w:val="20"/>
              </w:rPr>
              <w:t xml:space="preserve">Must be treated by a rheumatologist; </w:t>
            </w:r>
            <w:r w:rsidRPr="000F3196">
              <w:rPr>
                <w:rFonts w:ascii="Arial Narrow" w:eastAsia="Calibri" w:hAnsi="Arial Narrow"/>
                <w:bCs/>
                <w:sz w:val="20"/>
                <w:szCs w:val="20"/>
              </w:rPr>
              <w:t>OR</w:t>
            </w:r>
          </w:p>
          <w:p w:rsidR="000F3196" w:rsidRPr="00CD77AA" w:rsidRDefault="000F3196" w:rsidP="00516805">
            <w:pPr>
              <w:widowControl/>
              <w:numPr>
                <w:ilvl w:val="0"/>
                <w:numId w:val="11"/>
              </w:numPr>
              <w:tabs>
                <w:tab w:val="clear" w:pos="720"/>
                <w:tab w:val="num" w:pos="286"/>
              </w:tabs>
              <w:ind w:left="286" w:hanging="254"/>
              <w:jc w:val="left"/>
            </w:pPr>
            <w:r w:rsidRPr="00AC123E">
              <w:rPr>
                <w:rFonts w:ascii="Arial Narrow" w:eastAsia="Calibri" w:hAnsi="Arial Narrow"/>
                <w:sz w:val="20"/>
                <w:szCs w:val="20"/>
              </w:rPr>
              <w:t xml:space="preserve">Must be treated by a clinical immunologist with expertise in the management of </w:t>
            </w:r>
            <w:proofErr w:type="spellStart"/>
            <w:r w:rsidRPr="00AC123E">
              <w:rPr>
                <w:rFonts w:ascii="Arial Narrow" w:eastAsia="Calibri" w:hAnsi="Arial Narrow"/>
                <w:sz w:val="20"/>
                <w:szCs w:val="20"/>
              </w:rPr>
              <w:t>nr-axSpA</w:t>
            </w:r>
            <w:proofErr w:type="spellEnd"/>
          </w:p>
        </w:tc>
      </w:tr>
      <w:tr w:rsidR="000F3196" w:rsidRPr="00562757" w:rsidTr="00516805">
        <w:tc>
          <w:tcPr>
            <w:tcW w:w="758" w:type="pct"/>
            <w:tcBorders>
              <w:top w:val="single" w:sz="4" w:space="0" w:color="auto"/>
              <w:left w:val="single" w:sz="4" w:space="0" w:color="auto"/>
              <w:bottom w:val="single" w:sz="4" w:space="0" w:color="auto"/>
              <w:right w:val="single" w:sz="4" w:space="0" w:color="auto"/>
            </w:tcBorders>
            <w:shd w:val="clear" w:color="auto" w:fill="auto"/>
          </w:tcPr>
          <w:p w:rsidR="000F3196" w:rsidRPr="00C35B51" w:rsidRDefault="000F3196" w:rsidP="00516805">
            <w:pPr>
              <w:pStyle w:val="Tabletext"/>
              <w:rPr>
                <w:b/>
              </w:rPr>
            </w:pPr>
            <w:r>
              <w:rPr>
                <w:b/>
              </w:rPr>
              <w:t>Treatment phase:</w:t>
            </w:r>
          </w:p>
        </w:tc>
        <w:tc>
          <w:tcPr>
            <w:tcW w:w="4205" w:type="pct"/>
            <w:tcBorders>
              <w:top w:val="single" w:sz="4" w:space="0" w:color="auto"/>
              <w:left w:val="single" w:sz="4" w:space="0" w:color="auto"/>
              <w:bottom w:val="single" w:sz="4" w:space="0" w:color="auto"/>
              <w:right w:val="single" w:sz="4" w:space="0" w:color="auto"/>
            </w:tcBorders>
            <w:shd w:val="clear" w:color="auto" w:fill="auto"/>
          </w:tcPr>
          <w:p w:rsidR="000F3196" w:rsidRPr="000F3196" w:rsidRDefault="000F3196" w:rsidP="00516805">
            <w:pPr>
              <w:pStyle w:val="Tabletext"/>
              <w:rPr>
                <w:b/>
                <w:bCs/>
              </w:rPr>
            </w:pPr>
            <w:r w:rsidRPr="000F3196">
              <w:rPr>
                <w:b/>
                <w:bCs/>
              </w:rPr>
              <w:t>Initial treatment 1 (New patients or recommencement after a break of more than 5 years)</w:t>
            </w:r>
          </w:p>
        </w:tc>
      </w:tr>
      <w:tr w:rsidR="000F3196" w:rsidTr="00516805">
        <w:tc>
          <w:tcPr>
            <w:tcW w:w="758" w:type="pct"/>
            <w:tcBorders>
              <w:top w:val="single" w:sz="4" w:space="0" w:color="auto"/>
              <w:left w:val="single" w:sz="4" w:space="0" w:color="auto"/>
              <w:bottom w:val="single" w:sz="4" w:space="0" w:color="auto"/>
              <w:right w:val="single" w:sz="4" w:space="0" w:color="auto"/>
            </w:tcBorders>
          </w:tcPr>
          <w:p w:rsidR="000F3196" w:rsidRPr="00C35B51" w:rsidRDefault="000F3196" w:rsidP="00516805">
            <w:pPr>
              <w:pStyle w:val="Tabletext"/>
              <w:rPr>
                <w:b/>
              </w:rPr>
            </w:pPr>
            <w:r>
              <w:rPr>
                <w:b/>
              </w:rPr>
              <w:t>Restriction:</w:t>
            </w:r>
          </w:p>
        </w:tc>
        <w:tc>
          <w:tcPr>
            <w:tcW w:w="4205" w:type="pct"/>
            <w:tcBorders>
              <w:top w:val="single" w:sz="4" w:space="0" w:color="auto"/>
              <w:left w:val="single" w:sz="4" w:space="0" w:color="auto"/>
              <w:bottom w:val="single" w:sz="4" w:space="0" w:color="auto"/>
              <w:right w:val="single" w:sz="4" w:space="0" w:color="auto"/>
            </w:tcBorders>
          </w:tcPr>
          <w:p w:rsidR="000F3196" w:rsidRDefault="000F3196" w:rsidP="00516805">
            <w:pPr>
              <w:pStyle w:val="Tabletext"/>
            </w:pPr>
            <w:r>
              <w:fldChar w:fldCharType="begin">
                <w:ffData>
                  <w:name w:val=""/>
                  <w:enabled/>
                  <w:calcOnExit w:val="0"/>
                  <w:checkBox>
                    <w:sizeAuto/>
                    <w:default w:val="1"/>
                  </w:checkBox>
                </w:ffData>
              </w:fldChar>
            </w:r>
            <w:r>
              <w:instrText xml:space="preserve"> FORMCHECKBOX </w:instrText>
            </w:r>
            <w:r w:rsidR="002C4D8C">
              <w:fldChar w:fldCharType="separate"/>
            </w:r>
            <w:r>
              <w:fldChar w:fldCharType="end"/>
            </w:r>
            <w:r>
              <w:t>Authority Required - In Writing</w:t>
            </w:r>
          </w:p>
        </w:tc>
      </w:tr>
      <w:tr w:rsidR="000F3196" w:rsidRPr="00C35B51" w:rsidTr="00516805">
        <w:tc>
          <w:tcPr>
            <w:tcW w:w="758" w:type="pct"/>
            <w:tcBorders>
              <w:top w:val="single" w:sz="4" w:space="0" w:color="auto"/>
              <w:left w:val="single" w:sz="4" w:space="0" w:color="auto"/>
              <w:bottom w:val="single" w:sz="4" w:space="0" w:color="auto"/>
              <w:right w:val="single" w:sz="4" w:space="0" w:color="auto"/>
            </w:tcBorders>
          </w:tcPr>
          <w:p w:rsidR="000F3196" w:rsidRPr="00C35B51" w:rsidRDefault="000F3196" w:rsidP="00516805">
            <w:pPr>
              <w:pStyle w:val="Tabletext"/>
              <w:rPr>
                <w:b/>
              </w:rPr>
            </w:pPr>
            <w:r>
              <w:rPr>
                <w:b/>
              </w:rPr>
              <w:t>Clinical criteria:</w:t>
            </w:r>
          </w:p>
        </w:tc>
        <w:tc>
          <w:tcPr>
            <w:tcW w:w="4205" w:type="pct"/>
            <w:tcBorders>
              <w:top w:val="single" w:sz="4" w:space="0" w:color="auto"/>
              <w:left w:val="single" w:sz="4" w:space="0" w:color="auto"/>
              <w:bottom w:val="single" w:sz="4" w:space="0" w:color="auto"/>
              <w:right w:val="single" w:sz="4" w:space="0" w:color="auto"/>
            </w:tcBorders>
          </w:tcPr>
          <w:p w:rsidR="000F3196" w:rsidRPr="000F3196" w:rsidRDefault="000F3196" w:rsidP="00516805">
            <w:pPr>
              <w:widowControl/>
              <w:numPr>
                <w:ilvl w:val="0"/>
                <w:numId w:val="11"/>
              </w:numPr>
              <w:tabs>
                <w:tab w:val="clear" w:pos="720"/>
                <w:tab w:val="num" w:pos="286"/>
              </w:tabs>
              <w:ind w:left="286" w:hanging="254"/>
              <w:jc w:val="left"/>
              <w:rPr>
                <w:rFonts w:ascii="Arial Narrow" w:eastAsia="Calibri" w:hAnsi="Arial Narrow"/>
                <w:sz w:val="20"/>
                <w:szCs w:val="20"/>
              </w:rPr>
            </w:pPr>
            <w:r w:rsidRPr="00C35B51">
              <w:rPr>
                <w:rFonts w:ascii="Arial Narrow" w:eastAsia="Calibri" w:hAnsi="Arial Narrow"/>
                <w:sz w:val="20"/>
                <w:szCs w:val="20"/>
              </w:rPr>
              <w:t xml:space="preserve">Patient must not have received PBS-subsidised treatment with this drug for this condition in the last 5 years or </w:t>
            </w:r>
            <w:r w:rsidRPr="000F3196">
              <w:rPr>
                <w:rFonts w:ascii="Arial Narrow" w:eastAsia="Calibri" w:hAnsi="Arial Narrow"/>
                <w:sz w:val="20"/>
                <w:szCs w:val="20"/>
              </w:rPr>
              <w:t xml:space="preserve">more, </w:t>
            </w:r>
            <w:r w:rsidRPr="000F3196">
              <w:rPr>
                <w:rFonts w:ascii="Arial Narrow" w:eastAsia="Calibri" w:hAnsi="Arial Narrow"/>
                <w:bCs/>
                <w:i/>
                <w:iCs/>
                <w:sz w:val="20"/>
                <w:szCs w:val="20"/>
              </w:rPr>
              <w:t>AND</w:t>
            </w:r>
          </w:p>
          <w:p w:rsidR="000F3196" w:rsidRPr="000F3196" w:rsidRDefault="000F3196" w:rsidP="00516805">
            <w:pPr>
              <w:widowControl/>
              <w:numPr>
                <w:ilvl w:val="0"/>
                <w:numId w:val="11"/>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Patient must have had chronic lower back pain and stiffness for 3 or more months that is relieved by exercise but not rest, </w:t>
            </w:r>
            <w:r w:rsidRPr="000F3196">
              <w:rPr>
                <w:rFonts w:ascii="Arial Narrow" w:eastAsia="Calibri" w:hAnsi="Arial Narrow"/>
                <w:bCs/>
                <w:sz w:val="20"/>
                <w:szCs w:val="20"/>
              </w:rPr>
              <w:t>AND</w:t>
            </w:r>
          </w:p>
          <w:p w:rsidR="000F3196" w:rsidRPr="000F3196" w:rsidRDefault="000F3196" w:rsidP="00516805">
            <w:pPr>
              <w:widowControl/>
              <w:numPr>
                <w:ilvl w:val="0"/>
                <w:numId w:val="12"/>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Patient must have failed to achieve an adequate response following treatment with at least 2 non-steroidal anti-inflammatory drugs (NSAIDs), whilst completing an appropriate exercise program, for a total period of 3 months,  </w:t>
            </w:r>
            <w:r w:rsidRPr="000F3196">
              <w:rPr>
                <w:rFonts w:ascii="Arial Narrow" w:eastAsia="Calibri" w:hAnsi="Arial Narrow"/>
                <w:bCs/>
                <w:sz w:val="20"/>
                <w:szCs w:val="20"/>
              </w:rPr>
              <w:t>AND</w:t>
            </w:r>
          </w:p>
          <w:p w:rsidR="000F3196" w:rsidRPr="000F3196" w:rsidRDefault="000F3196" w:rsidP="00516805">
            <w:pPr>
              <w:widowControl/>
              <w:numPr>
                <w:ilvl w:val="0"/>
                <w:numId w:val="13"/>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Patient must have one or more of the following: (a) </w:t>
            </w:r>
            <w:proofErr w:type="spellStart"/>
            <w:r w:rsidRPr="000F3196">
              <w:rPr>
                <w:rFonts w:ascii="Arial Narrow" w:eastAsia="Calibri" w:hAnsi="Arial Narrow"/>
                <w:sz w:val="20"/>
                <w:szCs w:val="20"/>
              </w:rPr>
              <w:t>enthesitis</w:t>
            </w:r>
            <w:proofErr w:type="spellEnd"/>
            <w:r w:rsidRPr="000F3196">
              <w:rPr>
                <w:rFonts w:ascii="Arial Narrow" w:eastAsia="Calibri" w:hAnsi="Arial Narrow"/>
                <w:sz w:val="20"/>
                <w:szCs w:val="20"/>
              </w:rPr>
              <w:t xml:space="preserve"> (heel); (b) uveitis; (c) </w:t>
            </w:r>
            <w:proofErr w:type="spellStart"/>
            <w:r w:rsidRPr="000F3196">
              <w:rPr>
                <w:rFonts w:ascii="Arial Narrow" w:eastAsia="Calibri" w:hAnsi="Arial Narrow"/>
                <w:sz w:val="20"/>
                <w:szCs w:val="20"/>
              </w:rPr>
              <w:t>dactylitis</w:t>
            </w:r>
            <w:proofErr w:type="spellEnd"/>
            <w:r w:rsidRPr="000F3196">
              <w:rPr>
                <w:rFonts w:ascii="Arial Narrow" w:eastAsia="Calibri" w:hAnsi="Arial Narrow"/>
                <w:sz w:val="20"/>
                <w:szCs w:val="20"/>
              </w:rPr>
              <w:t>; (d) psoriasis; (e) inflammatory bowel disease; or (f) positive for Human Leukocyte Antigen B27 (HLA-B27), A</w:t>
            </w:r>
            <w:r w:rsidRPr="000F3196">
              <w:rPr>
                <w:rFonts w:ascii="Arial Narrow" w:eastAsia="Calibri" w:hAnsi="Arial Narrow"/>
                <w:bCs/>
                <w:sz w:val="20"/>
                <w:szCs w:val="20"/>
              </w:rPr>
              <w:t>ND</w:t>
            </w:r>
          </w:p>
          <w:p w:rsidR="000F3196" w:rsidRPr="000F3196" w:rsidRDefault="000F3196" w:rsidP="00516805">
            <w:pPr>
              <w:widowControl/>
              <w:numPr>
                <w:ilvl w:val="0"/>
                <w:numId w:val="14"/>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The condition must not be radiographically evidenced on plain x-ray of Grade II bilateral </w:t>
            </w:r>
            <w:proofErr w:type="spellStart"/>
            <w:r w:rsidRPr="000F3196">
              <w:rPr>
                <w:rFonts w:ascii="Arial Narrow" w:eastAsia="Calibri" w:hAnsi="Arial Narrow"/>
                <w:sz w:val="20"/>
                <w:szCs w:val="20"/>
              </w:rPr>
              <w:t>sacroiliitis</w:t>
            </w:r>
            <w:proofErr w:type="spellEnd"/>
            <w:r w:rsidRPr="000F3196">
              <w:rPr>
                <w:rFonts w:ascii="Arial Narrow" w:eastAsia="Calibri" w:hAnsi="Arial Narrow"/>
                <w:sz w:val="20"/>
                <w:szCs w:val="20"/>
              </w:rPr>
              <w:t xml:space="preserve"> or Grade III or IV unilateral </w:t>
            </w:r>
            <w:proofErr w:type="spellStart"/>
            <w:r w:rsidRPr="000F3196">
              <w:rPr>
                <w:rFonts w:ascii="Arial Narrow" w:eastAsia="Calibri" w:hAnsi="Arial Narrow"/>
                <w:sz w:val="20"/>
                <w:szCs w:val="20"/>
              </w:rPr>
              <w:t>sacroiliitis</w:t>
            </w:r>
            <w:proofErr w:type="spellEnd"/>
            <w:r w:rsidRPr="000F3196">
              <w:rPr>
                <w:rFonts w:ascii="Arial Narrow" w:eastAsia="Calibri" w:hAnsi="Arial Narrow"/>
                <w:sz w:val="20"/>
                <w:szCs w:val="20"/>
              </w:rPr>
              <w:t xml:space="preserve">, </w:t>
            </w:r>
            <w:r w:rsidRPr="000F3196">
              <w:rPr>
                <w:rFonts w:ascii="Arial Narrow" w:eastAsia="Calibri" w:hAnsi="Arial Narrow"/>
                <w:bCs/>
                <w:sz w:val="20"/>
                <w:szCs w:val="20"/>
              </w:rPr>
              <w:t>AND</w:t>
            </w:r>
          </w:p>
          <w:p w:rsidR="000F3196" w:rsidRPr="000F3196" w:rsidRDefault="000F3196" w:rsidP="00516805">
            <w:pPr>
              <w:widowControl/>
              <w:numPr>
                <w:ilvl w:val="0"/>
                <w:numId w:val="15"/>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The condition must be non-radiographic axial </w:t>
            </w:r>
            <w:proofErr w:type="spellStart"/>
            <w:r w:rsidRPr="000F3196">
              <w:rPr>
                <w:rFonts w:ascii="Arial Narrow" w:eastAsia="Calibri" w:hAnsi="Arial Narrow"/>
                <w:sz w:val="20"/>
                <w:szCs w:val="20"/>
              </w:rPr>
              <w:t>spondyloarthritis</w:t>
            </w:r>
            <w:proofErr w:type="spellEnd"/>
            <w:r w:rsidRPr="000F3196">
              <w:rPr>
                <w:rFonts w:ascii="Arial Narrow" w:eastAsia="Calibri" w:hAnsi="Arial Narrow"/>
                <w:sz w:val="20"/>
                <w:szCs w:val="20"/>
              </w:rPr>
              <w:t xml:space="preserve">, as defined by Assessment of </w:t>
            </w:r>
            <w:proofErr w:type="spellStart"/>
            <w:r w:rsidRPr="000F3196">
              <w:rPr>
                <w:rFonts w:ascii="Arial Narrow" w:eastAsia="Calibri" w:hAnsi="Arial Narrow"/>
                <w:sz w:val="20"/>
                <w:szCs w:val="20"/>
              </w:rPr>
              <w:t>Spondyloarthritis</w:t>
            </w:r>
            <w:proofErr w:type="spellEnd"/>
            <w:r w:rsidRPr="000F3196">
              <w:rPr>
                <w:rFonts w:ascii="Arial Narrow" w:eastAsia="Calibri" w:hAnsi="Arial Narrow"/>
                <w:sz w:val="20"/>
                <w:szCs w:val="20"/>
              </w:rPr>
              <w:t xml:space="preserve"> International Society (ASAS) criteria, </w:t>
            </w:r>
            <w:r w:rsidRPr="000F3196">
              <w:rPr>
                <w:rFonts w:ascii="Arial Narrow" w:eastAsia="Calibri" w:hAnsi="Arial Narrow"/>
                <w:bCs/>
                <w:sz w:val="20"/>
                <w:szCs w:val="20"/>
              </w:rPr>
              <w:t>AND</w:t>
            </w:r>
          </w:p>
          <w:p w:rsidR="000F3196" w:rsidRPr="000F3196" w:rsidRDefault="000F3196" w:rsidP="00516805">
            <w:pPr>
              <w:widowControl/>
              <w:numPr>
                <w:ilvl w:val="0"/>
                <w:numId w:val="16"/>
              </w:numPr>
              <w:tabs>
                <w:tab w:val="clear" w:pos="720"/>
                <w:tab w:val="num" w:pos="286"/>
              </w:tabs>
              <w:ind w:left="286" w:hanging="254"/>
              <w:jc w:val="left"/>
              <w:rPr>
                <w:rFonts w:ascii="Arial Narrow" w:eastAsia="Calibri" w:hAnsi="Arial Narrow"/>
                <w:sz w:val="20"/>
                <w:szCs w:val="20"/>
              </w:rPr>
            </w:pPr>
            <w:r w:rsidRPr="00C35B51">
              <w:rPr>
                <w:rFonts w:ascii="Arial Narrow" w:eastAsia="Calibri" w:hAnsi="Arial Narrow"/>
                <w:sz w:val="20"/>
                <w:szCs w:val="20"/>
              </w:rPr>
              <w:t xml:space="preserve">The condition must be </w:t>
            </w:r>
            <w:proofErr w:type="spellStart"/>
            <w:r w:rsidRPr="00C35B51">
              <w:rPr>
                <w:rFonts w:ascii="Arial Narrow" w:eastAsia="Calibri" w:hAnsi="Arial Narrow"/>
                <w:sz w:val="20"/>
                <w:szCs w:val="20"/>
              </w:rPr>
              <w:t>sacroiliitis</w:t>
            </w:r>
            <w:proofErr w:type="spellEnd"/>
            <w:r w:rsidRPr="00C35B51">
              <w:rPr>
                <w:rFonts w:ascii="Arial Narrow" w:eastAsia="Calibri" w:hAnsi="Arial Narrow"/>
                <w:sz w:val="20"/>
                <w:szCs w:val="20"/>
              </w:rPr>
              <w:t xml:space="preserve"> with active inflammation and/or oedema on non-contrast Magnetic Resonance Imaging</w:t>
            </w:r>
            <w:r w:rsidRPr="000F3196">
              <w:rPr>
                <w:rFonts w:ascii="Arial Narrow" w:eastAsia="Calibri" w:hAnsi="Arial Narrow"/>
                <w:sz w:val="20"/>
                <w:szCs w:val="20"/>
              </w:rPr>
              <w:t xml:space="preserve"> (MRI), </w:t>
            </w:r>
            <w:r w:rsidRPr="000F3196">
              <w:rPr>
                <w:rFonts w:ascii="Arial Narrow" w:eastAsia="Calibri" w:hAnsi="Arial Narrow"/>
                <w:bCs/>
                <w:sz w:val="20"/>
                <w:szCs w:val="20"/>
              </w:rPr>
              <w:t>AND</w:t>
            </w:r>
          </w:p>
          <w:p w:rsidR="000F3196" w:rsidRPr="000F3196" w:rsidRDefault="000F3196" w:rsidP="00516805">
            <w:pPr>
              <w:widowControl/>
              <w:numPr>
                <w:ilvl w:val="0"/>
                <w:numId w:val="17"/>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The condition must have presence of Bone Marrow Oedema (BMO) depicted as a </w:t>
            </w:r>
            <w:proofErr w:type="spellStart"/>
            <w:r w:rsidRPr="000F3196">
              <w:rPr>
                <w:rFonts w:ascii="Arial Narrow" w:eastAsia="Calibri" w:hAnsi="Arial Narrow"/>
                <w:sz w:val="20"/>
                <w:szCs w:val="20"/>
              </w:rPr>
              <w:t>hyperintense</w:t>
            </w:r>
            <w:proofErr w:type="spellEnd"/>
            <w:r w:rsidRPr="000F3196">
              <w:rPr>
                <w:rFonts w:ascii="Arial Narrow" w:eastAsia="Calibri" w:hAnsi="Arial Narrow"/>
                <w:sz w:val="20"/>
                <w:szCs w:val="20"/>
              </w:rPr>
              <w:t xml:space="preserve"> signal on a Short Tau Inversion Recovery (STIR) image (or equivalent), </w:t>
            </w:r>
            <w:r w:rsidRPr="000F3196">
              <w:rPr>
                <w:rFonts w:ascii="Arial Narrow" w:eastAsia="Calibri" w:hAnsi="Arial Narrow"/>
                <w:bCs/>
                <w:sz w:val="20"/>
                <w:szCs w:val="20"/>
              </w:rPr>
              <w:t>AND</w:t>
            </w:r>
          </w:p>
          <w:p w:rsidR="000F3196" w:rsidRPr="000F3196" w:rsidRDefault="000F3196" w:rsidP="00516805">
            <w:pPr>
              <w:widowControl/>
              <w:numPr>
                <w:ilvl w:val="0"/>
                <w:numId w:val="18"/>
              </w:numPr>
              <w:tabs>
                <w:tab w:val="clear" w:pos="720"/>
                <w:tab w:val="num" w:pos="286"/>
              </w:tabs>
              <w:ind w:left="286" w:hanging="254"/>
              <w:jc w:val="left"/>
              <w:rPr>
                <w:rFonts w:ascii="Arial Narrow" w:eastAsia="Calibri" w:hAnsi="Arial Narrow"/>
                <w:sz w:val="20"/>
                <w:szCs w:val="20"/>
              </w:rPr>
            </w:pPr>
            <w:r w:rsidRPr="000F3196">
              <w:rPr>
                <w:rFonts w:ascii="Arial Narrow" w:eastAsia="Calibri" w:hAnsi="Arial Narrow"/>
                <w:sz w:val="20"/>
                <w:szCs w:val="20"/>
              </w:rPr>
              <w:t xml:space="preserve">The condition must have BMO depicted as a </w:t>
            </w:r>
            <w:proofErr w:type="spellStart"/>
            <w:r w:rsidRPr="000F3196">
              <w:rPr>
                <w:rFonts w:ascii="Arial Narrow" w:eastAsia="Calibri" w:hAnsi="Arial Narrow"/>
                <w:sz w:val="20"/>
                <w:szCs w:val="20"/>
              </w:rPr>
              <w:t>hypointense</w:t>
            </w:r>
            <w:proofErr w:type="spellEnd"/>
            <w:r w:rsidRPr="000F3196">
              <w:rPr>
                <w:rFonts w:ascii="Arial Narrow" w:eastAsia="Calibri" w:hAnsi="Arial Narrow"/>
                <w:sz w:val="20"/>
                <w:szCs w:val="20"/>
              </w:rPr>
              <w:t xml:space="preserve"> signal on a T1 weighted image (without gadolinium), AND</w:t>
            </w:r>
          </w:p>
          <w:p w:rsidR="000F3196" w:rsidRPr="00C35B51" w:rsidRDefault="000F3196" w:rsidP="00516805">
            <w:pPr>
              <w:widowControl/>
              <w:numPr>
                <w:ilvl w:val="0"/>
                <w:numId w:val="18"/>
              </w:numPr>
              <w:tabs>
                <w:tab w:val="clear" w:pos="720"/>
                <w:tab w:val="num" w:pos="286"/>
              </w:tabs>
              <w:ind w:left="286" w:hanging="254"/>
              <w:jc w:val="left"/>
              <w:rPr>
                <w:rFonts w:ascii="Arial Narrow" w:eastAsia="Calibri" w:hAnsi="Arial Narrow"/>
                <w:sz w:val="20"/>
                <w:szCs w:val="20"/>
              </w:rPr>
            </w:pPr>
            <w:r w:rsidRPr="00C35B51">
              <w:rPr>
                <w:rFonts w:ascii="Arial Narrow" w:eastAsia="Calibri" w:hAnsi="Arial Narrow"/>
                <w:sz w:val="20"/>
                <w:szCs w:val="20"/>
              </w:rPr>
              <w:t>The treatment must not exceed a maximum of 18-20 weeks with this drug under this restriction.</w:t>
            </w:r>
          </w:p>
        </w:tc>
      </w:tr>
      <w:tr w:rsidR="000F3196" w:rsidRPr="00C35B51" w:rsidTr="00516805">
        <w:tc>
          <w:tcPr>
            <w:tcW w:w="758" w:type="pct"/>
            <w:tcBorders>
              <w:top w:val="single" w:sz="4" w:space="0" w:color="auto"/>
              <w:left w:val="single" w:sz="4" w:space="0" w:color="auto"/>
              <w:bottom w:val="single" w:sz="4" w:space="0" w:color="auto"/>
              <w:right w:val="single" w:sz="4" w:space="0" w:color="auto"/>
            </w:tcBorders>
          </w:tcPr>
          <w:p w:rsidR="000F3196" w:rsidRPr="000F3196" w:rsidRDefault="000F3196" w:rsidP="00516805">
            <w:pPr>
              <w:pStyle w:val="Tabletext"/>
              <w:rPr>
                <w:b/>
              </w:rPr>
            </w:pPr>
            <w:r w:rsidRPr="000F3196">
              <w:rPr>
                <w:b/>
                <w:szCs w:val="20"/>
              </w:rPr>
              <w:t>Population criteria</w:t>
            </w:r>
          </w:p>
        </w:tc>
        <w:tc>
          <w:tcPr>
            <w:tcW w:w="4205" w:type="pct"/>
            <w:tcBorders>
              <w:top w:val="single" w:sz="4" w:space="0" w:color="auto"/>
              <w:left w:val="single" w:sz="4" w:space="0" w:color="auto"/>
              <w:bottom w:val="single" w:sz="4" w:space="0" w:color="auto"/>
              <w:right w:val="single" w:sz="4" w:space="0" w:color="auto"/>
            </w:tcBorders>
          </w:tcPr>
          <w:p w:rsidR="000F3196" w:rsidRPr="00C35B51" w:rsidRDefault="000F3196" w:rsidP="00516805">
            <w:pPr>
              <w:widowControl/>
              <w:numPr>
                <w:ilvl w:val="0"/>
                <w:numId w:val="11"/>
              </w:numPr>
              <w:tabs>
                <w:tab w:val="clear" w:pos="720"/>
                <w:tab w:val="num" w:pos="286"/>
              </w:tabs>
              <w:ind w:left="286" w:hanging="254"/>
              <w:jc w:val="left"/>
              <w:rPr>
                <w:rFonts w:ascii="Arial Narrow" w:eastAsia="Calibri" w:hAnsi="Arial Narrow"/>
                <w:sz w:val="20"/>
                <w:szCs w:val="20"/>
              </w:rPr>
            </w:pPr>
            <w:r w:rsidRPr="00836F95">
              <w:rPr>
                <w:rFonts w:ascii="Arial Narrow" w:eastAsia="Calibri" w:hAnsi="Arial Narrow"/>
                <w:bCs/>
                <w:i/>
                <w:sz w:val="20"/>
                <w:szCs w:val="20"/>
              </w:rPr>
              <w:t>Patient must be aged 18 years or older</w:t>
            </w:r>
          </w:p>
        </w:tc>
      </w:tr>
      <w:tr w:rsidR="000F3196" w:rsidTr="000F3196">
        <w:tc>
          <w:tcPr>
            <w:tcW w:w="764" w:type="pct"/>
            <w:tcBorders>
              <w:top w:val="single" w:sz="4" w:space="0" w:color="auto"/>
              <w:left w:val="single" w:sz="4" w:space="0" w:color="auto"/>
              <w:bottom w:val="single" w:sz="4" w:space="0" w:color="auto"/>
              <w:right w:val="single" w:sz="4" w:space="0" w:color="auto"/>
            </w:tcBorders>
          </w:tcPr>
          <w:p w:rsidR="000F3196" w:rsidRPr="00892A36" w:rsidRDefault="000F3196" w:rsidP="00516805">
            <w:pPr>
              <w:pStyle w:val="Tabletext"/>
              <w:rPr>
                <w:b/>
              </w:rPr>
            </w:pPr>
            <w:r>
              <w:rPr>
                <w:b/>
              </w:rPr>
              <w:t>Prescriber i</w:t>
            </w:r>
            <w:r w:rsidRPr="00892A36">
              <w:rPr>
                <w:b/>
              </w:rPr>
              <w:t>nstructions:</w:t>
            </w:r>
          </w:p>
        </w:tc>
        <w:tc>
          <w:tcPr>
            <w:tcW w:w="4236" w:type="pct"/>
            <w:tcBorders>
              <w:top w:val="single" w:sz="4" w:space="0" w:color="auto"/>
              <w:left w:val="single" w:sz="4" w:space="0" w:color="auto"/>
              <w:bottom w:val="single" w:sz="4" w:space="0" w:color="auto"/>
              <w:right w:val="single" w:sz="4" w:space="0" w:color="auto"/>
            </w:tcBorders>
          </w:tcPr>
          <w:p w:rsidR="000F3196" w:rsidRDefault="000F3196" w:rsidP="00516805">
            <w:pPr>
              <w:pStyle w:val="Tabletext"/>
            </w:pPr>
            <w:r>
              <w:t>The following criteria indicate failure to achieve an adequate response to NSAIDs and must be demonstrated at the time of the initial application:</w:t>
            </w:r>
          </w:p>
          <w:p w:rsidR="000F3196" w:rsidRDefault="000F3196" w:rsidP="00516805">
            <w:pPr>
              <w:pStyle w:val="Tabletext"/>
            </w:pPr>
            <w:r>
              <w:t>(a) a Bath Ankylosing Spondylitis Disease Activity Index (BASDAI) of at least 4 on a 0-10 scale; and</w:t>
            </w:r>
          </w:p>
          <w:p w:rsidR="000F3196" w:rsidRDefault="000F3196" w:rsidP="00516805">
            <w:pPr>
              <w:pStyle w:val="Tabletext"/>
            </w:pPr>
            <w:r>
              <w:t>(b) C-reactive protein (CRP) level greater than 10 mg per L.</w:t>
            </w:r>
          </w:p>
          <w:p w:rsidR="000F3196" w:rsidRDefault="000F3196" w:rsidP="00516805">
            <w:pPr>
              <w:pStyle w:val="Tabletext"/>
            </w:pPr>
          </w:p>
          <w:p w:rsidR="000F3196" w:rsidRDefault="000F3196" w:rsidP="00516805">
            <w:pPr>
              <w:pStyle w:val="Tabletext"/>
            </w:pPr>
            <w:r>
              <w:t xml:space="preserve">The assessment of the patient's response to the initial course of treatment must be made following a minimum of 12 weeks of treatment and submitted no later than 4 weeks from the cessation of that treatment course. </w:t>
            </w:r>
          </w:p>
          <w:p w:rsidR="000F3196" w:rsidRDefault="000F3196" w:rsidP="00516805">
            <w:pPr>
              <w:pStyle w:val="Tabletext"/>
            </w:pPr>
          </w:p>
          <w:p w:rsidR="000F3196" w:rsidRDefault="000F3196" w:rsidP="00516805">
            <w:pPr>
              <w:pStyle w:val="Tabletext"/>
            </w:pPr>
            <w:r>
              <w:lastRenderedPageBreak/>
              <w:t>A patient who has failed treatment with this drug for this condition fewer than twice and who has a break in therapy of less than 5 years may re-commence a further course of treatment with this drug for this condition under the Initial 2 - Re-commencement of treatment after a break of less than 5 years.</w:t>
            </w:r>
          </w:p>
        </w:tc>
      </w:tr>
      <w:tr w:rsidR="000F3196" w:rsidRPr="00562757" w:rsidTr="000F3196">
        <w:tc>
          <w:tcPr>
            <w:tcW w:w="764" w:type="pct"/>
            <w:tcBorders>
              <w:top w:val="single" w:sz="4" w:space="0" w:color="auto"/>
              <w:left w:val="single" w:sz="4" w:space="0" w:color="auto"/>
              <w:bottom w:val="single" w:sz="4" w:space="0" w:color="auto"/>
              <w:right w:val="single" w:sz="4" w:space="0" w:color="auto"/>
            </w:tcBorders>
            <w:shd w:val="clear" w:color="auto" w:fill="auto"/>
          </w:tcPr>
          <w:p w:rsidR="000F3196" w:rsidRPr="00892A36" w:rsidRDefault="000F3196" w:rsidP="00516805">
            <w:pPr>
              <w:pStyle w:val="Tabletext"/>
              <w:rPr>
                <w:b/>
              </w:rPr>
            </w:pPr>
            <w:r>
              <w:rPr>
                <w:b/>
              </w:rPr>
              <w:lastRenderedPageBreak/>
              <w:t>Treatment phase:</w:t>
            </w:r>
          </w:p>
        </w:tc>
        <w:tc>
          <w:tcPr>
            <w:tcW w:w="4236" w:type="pct"/>
            <w:tcBorders>
              <w:top w:val="single" w:sz="4" w:space="0" w:color="auto"/>
              <w:left w:val="single" w:sz="4" w:space="0" w:color="auto"/>
              <w:bottom w:val="single" w:sz="4" w:space="0" w:color="auto"/>
              <w:right w:val="single" w:sz="4" w:space="0" w:color="auto"/>
            </w:tcBorders>
            <w:shd w:val="clear" w:color="auto" w:fill="auto"/>
          </w:tcPr>
          <w:p w:rsidR="000F3196" w:rsidRPr="000F3196" w:rsidRDefault="000F3196" w:rsidP="00516805">
            <w:pPr>
              <w:pStyle w:val="Tabletext"/>
              <w:rPr>
                <w:b/>
                <w:bCs/>
              </w:rPr>
            </w:pPr>
            <w:r w:rsidRPr="000F3196">
              <w:rPr>
                <w:b/>
                <w:bCs/>
              </w:rPr>
              <w:t>Initial treatment 2 (Re-commencement of treatment after a break of less than 5 years)</w:t>
            </w:r>
          </w:p>
        </w:tc>
      </w:tr>
      <w:tr w:rsidR="000F3196" w:rsidRPr="00B011BE" w:rsidTr="000F3196">
        <w:tc>
          <w:tcPr>
            <w:tcW w:w="764" w:type="pct"/>
            <w:tcBorders>
              <w:top w:val="single" w:sz="4" w:space="0" w:color="auto"/>
              <w:left w:val="single" w:sz="4" w:space="0" w:color="auto"/>
              <w:bottom w:val="single" w:sz="4" w:space="0" w:color="auto"/>
              <w:right w:val="single" w:sz="4" w:space="0" w:color="auto"/>
            </w:tcBorders>
          </w:tcPr>
          <w:p w:rsidR="000F3196" w:rsidRPr="00892A36" w:rsidRDefault="000F3196" w:rsidP="00516805">
            <w:pPr>
              <w:pStyle w:val="Tabletext"/>
              <w:rPr>
                <w:b/>
              </w:rPr>
            </w:pPr>
            <w:r>
              <w:rPr>
                <w:b/>
              </w:rPr>
              <w:t>Restriction:</w:t>
            </w:r>
          </w:p>
        </w:tc>
        <w:tc>
          <w:tcPr>
            <w:tcW w:w="4236" w:type="pct"/>
            <w:tcBorders>
              <w:top w:val="single" w:sz="4" w:space="0" w:color="auto"/>
              <w:left w:val="single" w:sz="4" w:space="0" w:color="auto"/>
              <w:bottom w:val="single" w:sz="4" w:space="0" w:color="auto"/>
              <w:right w:val="single" w:sz="4" w:space="0" w:color="auto"/>
            </w:tcBorders>
          </w:tcPr>
          <w:p w:rsidR="000F3196" w:rsidRPr="00B011BE" w:rsidRDefault="000F3196" w:rsidP="00516805">
            <w:pPr>
              <w:pStyle w:val="Tabletext"/>
            </w:pPr>
            <w:r>
              <w:fldChar w:fldCharType="begin">
                <w:ffData>
                  <w:name w:val=""/>
                  <w:enabled/>
                  <w:calcOnExit w:val="0"/>
                  <w:checkBox>
                    <w:sizeAuto/>
                    <w:default w:val="1"/>
                  </w:checkBox>
                </w:ffData>
              </w:fldChar>
            </w:r>
            <w:r>
              <w:instrText xml:space="preserve"> FORMCHECKBOX </w:instrText>
            </w:r>
            <w:r w:rsidR="002C4D8C">
              <w:fldChar w:fldCharType="separate"/>
            </w:r>
            <w:r>
              <w:fldChar w:fldCharType="end"/>
            </w:r>
            <w:r>
              <w:t>Authority Required - In Writing</w:t>
            </w:r>
          </w:p>
        </w:tc>
      </w:tr>
      <w:tr w:rsidR="000F3196" w:rsidRPr="00B011BE" w:rsidTr="000F3196">
        <w:tc>
          <w:tcPr>
            <w:tcW w:w="764" w:type="pct"/>
            <w:tcBorders>
              <w:top w:val="single" w:sz="4" w:space="0" w:color="auto"/>
              <w:left w:val="single" w:sz="4" w:space="0" w:color="auto"/>
              <w:bottom w:val="single" w:sz="4" w:space="0" w:color="auto"/>
              <w:right w:val="single" w:sz="4" w:space="0" w:color="auto"/>
            </w:tcBorders>
          </w:tcPr>
          <w:p w:rsidR="000F3196" w:rsidRDefault="000F3196" w:rsidP="00516805">
            <w:pPr>
              <w:pStyle w:val="Tabletext"/>
              <w:rPr>
                <w:b/>
              </w:rPr>
            </w:pPr>
            <w:r>
              <w:rPr>
                <w:b/>
              </w:rPr>
              <w:t>Clinical criteria:</w:t>
            </w:r>
          </w:p>
        </w:tc>
        <w:tc>
          <w:tcPr>
            <w:tcW w:w="4236" w:type="pct"/>
            <w:tcBorders>
              <w:top w:val="single" w:sz="4" w:space="0" w:color="auto"/>
              <w:left w:val="single" w:sz="4" w:space="0" w:color="auto"/>
              <w:bottom w:val="single" w:sz="4" w:space="0" w:color="auto"/>
              <w:right w:val="single" w:sz="4" w:space="0" w:color="auto"/>
            </w:tcBorders>
          </w:tcPr>
          <w:p w:rsidR="000F3196" w:rsidRPr="000F3196" w:rsidRDefault="000F3196" w:rsidP="00516805">
            <w:pPr>
              <w:widowControl/>
              <w:numPr>
                <w:ilvl w:val="0"/>
                <w:numId w:val="11"/>
              </w:numPr>
              <w:tabs>
                <w:tab w:val="num" w:pos="286"/>
              </w:tabs>
              <w:spacing w:line="259" w:lineRule="auto"/>
              <w:ind w:left="286" w:hanging="254"/>
              <w:jc w:val="left"/>
              <w:rPr>
                <w:rFonts w:ascii="Arial Narrow" w:eastAsia="Calibri" w:hAnsi="Arial Narrow" w:cs="Times New Roman"/>
                <w:snapToGrid/>
                <w:sz w:val="20"/>
                <w:szCs w:val="20"/>
                <w:lang w:bidi="en-US"/>
              </w:rPr>
            </w:pPr>
            <w:r w:rsidRPr="00B011BE">
              <w:rPr>
                <w:rFonts w:ascii="Arial Narrow" w:eastAsia="Calibri" w:hAnsi="Arial Narrow" w:cs="Times New Roman"/>
                <w:snapToGrid/>
                <w:sz w:val="20"/>
                <w:szCs w:val="20"/>
                <w:lang w:bidi="en-US"/>
              </w:rPr>
              <w:t xml:space="preserve">Patient must have a documented history of non-radiographic axial </w:t>
            </w:r>
            <w:proofErr w:type="spellStart"/>
            <w:r w:rsidRPr="00B011BE">
              <w:rPr>
                <w:rFonts w:ascii="Arial Narrow" w:eastAsia="Calibri" w:hAnsi="Arial Narrow" w:cs="Times New Roman"/>
                <w:snapToGrid/>
                <w:sz w:val="20"/>
                <w:szCs w:val="20"/>
                <w:lang w:bidi="en-US"/>
              </w:rPr>
              <w:t>spondyloarthritis</w:t>
            </w:r>
            <w:proofErr w:type="spellEnd"/>
            <w:r w:rsidRPr="00B011BE">
              <w:rPr>
                <w:rFonts w:ascii="Arial Narrow" w:eastAsia="Calibri" w:hAnsi="Arial Narrow" w:cs="Times New Roman"/>
                <w:snapToGrid/>
                <w:sz w:val="20"/>
                <w:szCs w:val="20"/>
                <w:lang w:bidi="en-US"/>
              </w:rPr>
              <w:t>,</w:t>
            </w:r>
            <w:r>
              <w:rPr>
                <w:rFonts w:ascii="Arial Narrow" w:eastAsia="Calibri" w:hAnsi="Arial Narrow" w:cs="Times New Roman"/>
                <w:snapToGrid/>
                <w:sz w:val="20"/>
                <w:szCs w:val="20"/>
                <w:lang w:bidi="en-US"/>
              </w:rPr>
              <w:t xml:space="preserve"> </w:t>
            </w:r>
            <w:r w:rsidRPr="000F3196">
              <w:rPr>
                <w:rFonts w:ascii="Arial Narrow" w:eastAsia="Calibri" w:hAnsi="Arial Narrow" w:cs="Times New Roman"/>
                <w:bCs/>
                <w:snapToGrid/>
                <w:sz w:val="20"/>
                <w:szCs w:val="20"/>
                <w:lang w:bidi="en-US"/>
              </w:rPr>
              <w:t>AND</w:t>
            </w:r>
          </w:p>
          <w:p w:rsidR="000F3196" w:rsidRPr="000F3196" w:rsidRDefault="000F3196" w:rsidP="00516805">
            <w:pPr>
              <w:widowControl/>
              <w:numPr>
                <w:ilvl w:val="0"/>
                <w:numId w:val="11"/>
              </w:numPr>
              <w:tabs>
                <w:tab w:val="num" w:pos="286"/>
              </w:tabs>
              <w:spacing w:line="259" w:lineRule="auto"/>
              <w:ind w:left="286" w:hanging="254"/>
              <w:jc w:val="left"/>
              <w:rPr>
                <w:rFonts w:ascii="Arial Narrow" w:eastAsia="Calibri" w:hAnsi="Arial Narrow" w:cs="Times New Roman"/>
                <w:snapToGrid/>
                <w:sz w:val="20"/>
                <w:szCs w:val="20"/>
                <w:lang w:bidi="en-US"/>
              </w:rPr>
            </w:pPr>
            <w:r w:rsidRPr="000F3196">
              <w:rPr>
                <w:rFonts w:ascii="Arial Narrow" w:eastAsia="Calibri" w:hAnsi="Arial Narrow" w:cs="Times New Roman"/>
                <w:snapToGrid/>
                <w:sz w:val="20"/>
                <w:szCs w:val="20"/>
                <w:lang w:bidi="en-US"/>
              </w:rPr>
              <w:t xml:space="preserve">Patient must have received prior PBS-subsidised treatment with this drug for this condition within the last five years, </w:t>
            </w:r>
            <w:r w:rsidRPr="000F3196">
              <w:rPr>
                <w:rFonts w:ascii="Arial Narrow" w:eastAsia="Calibri" w:hAnsi="Arial Narrow" w:cs="Times New Roman"/>
                <w:bCs/>
                <w:snapToGrid/>
                <w:sz w:val="20"/>
                <w:szCs w:val="20"/>
                <w:lang w:bidi="en-US"/>
              </w:rPr>
              <w:t>AND</w:t>
            </w:r>
          </w:p>
          <w:p w:rsidR="000F3196" w:rsidRPr="000F3196" w:rsidRDefault="000F3196" w:rsidP="00516805">
            <w:pPr>
              <w:widowControl/>
              <w:numPr>
                <w:ilvl w:val="0"/>
                <w:numId w:val="11"/>
              </w:numPr>
              <w:tabs>
                <w:tab w:val="num" w:pos="286"/>
              </w:tabs>
              <w:spacing w:line="259" w:lineRule="auto"/>
              <w:ind w:left="286" w:hanging="254"/>
              <w:jc w:val="left"/>
            </w:pPr>
            <w:r w:rsidRPr="000F3196">
              <w:rPr>
                <w:rFonts w:ascii="Arial Narrow" w:eastAsia="Calibri" w:hAnsi="Arial Narrow" w:cs="Times New Roman"/>
                <w:snapToGrid/>
                <w:sz w:val="20"/>
                <w:szCs w:val="20"/>
                <w:lang w:bidi="en-US"/>
              </w:rPr>
              <w:t xml:space="preserve">Patient must not have failed PBS-subsidised treatment with this drug for this condition more than once within the last five years, </w:t>
            </w:r>
            <w:r w:rsidRPr="000F3196">
              <w:rPr>
                <w:rFonts w:ascii="Arial Narrow" w:eastAsia="Calibri" w:hAnsi="Arial Narrow" w:cs="Times New Roman"/>
                <w:bCs/>
                <w:snapToGrid/>
                <w:sz w:val="20"/>
                <w:szCs w:val="20"/>
                <w:lang w:bidi="en-US"/>
              </w:rPr>
              <w:t>AND</w:t>
            </w:r>
          </w:p>
          <w:p w:rsidR="000F3196" w:rsidRPr="00B011BE" w:rsidRDefault="000F3196" w:rsidP="00516805">
            <w:pPr>
              <w:widowControl/>
              <w:numPr>
                <w:ilvl w:val="0"/>
                <w:numId w:val="11"/>
              </w:numPr>
              <w:tabs>
                <w:tab w:val="num" w:pos="286"/>
              </w:tabs>
              <w:spacing w:line="259" w:lineRule="auto"/>
              <w:ind w:left="286" w:hanging="254"/>
              <w:jc w:val="left"/>
            </w:pPr>
            <w:r w:rsidRPr="00B011BE">
              <w:rPr>
                <w:rFonts w:ascii="Arial Narrow" w:eastAsia="Calibri" w:hAnsi="Arial Narrow"/>
                <w:sz w:val="20"/>
                <w:szCs w:val="20"/>
                <w:lang w:bidi="en-US"/>
              </w:rPr>
              <w:t>The treatment must not exceed a maximum of 18-20 weeks with this drug under this restriction.</w:t>
            </w:r>
          </w:p>
        </w:tc>
      </w:tr>
      <w:tr w:rsidR="000F3196" w:rsidRPr="00B011BE" w:rsidTr="000F3196">
        <w:tc>
          <w:tcPr>
            <w:tcW w:w="764" w:type="pct"/>
            <w:tcBorders>
              <w:top w:val="single" w:sz="4" w:space="0" w:color="auto"/>
              <w:left w:val="single" w:sz="4" w:space="0" w:color="auto"/>
              <w:bottom w:val="single" w:sz="4" w:space="0" w:color="auto"/>
              <w:right w:val="single" w:sz="4" w:space="0" w:color="auto"/>
            </w:tcBorders>
          </w:tcPr>
          <w:p w:rsidR="000F3196" w:rsidRDefault="000F3196" w:rsidP="00516805">
            <w:pPr>
              <w:pStyle w:val="Tabletext"/>
              <w:rPr>
                <w:b/>
              </w:rPr>
            </w:pPr>
            <w:r>
              <w:rPr>
                <w:b/>
              </w:rPr>
              <w:t>Prescriber instruction:</w:t>
            </w:r>
          </w:p>
        </w:tc>
        <w:tc>
          <w:tcPr>
            <w:tcW w:w="4236" w:type="pct"/>
            <w:tcBorders>
              <w:top w:val="single" w:sz="4" w:space="0" w:color="auto"/>
              <w:left w:val="single" w:sz="4" w:space="0" w:color="auto"/>
              <w:bottom w:val="single" w:sz="4" w:space="0" w:color="auto"/>
              <w:right w:val="single" w:sz="4" w:space="0" w:color="auto"/>
            </w:tcBorders>
          </w:tcPr>
          <w:p w:rsidR="000F3196" w:rsidRDefault="000F3196" w:rsidP="00516805">
            <w:pPr>
              <w:widowControl/>
              <w:rPr>
                <w:rFonts w:ascii="Arial Narrow" w:eastAsia="Calibri" w:hAnsi="Arial Narrow" w:cs="Times New Roman"/>
                <w:snapToGrid/>
                <w:sz w:val="20"/>
                <w:szCs w:val="20"/>
                <w:lang w:bidi="en-US"/>
              </w:rPr>
            </w:pPr>
            <w:r w:rsidRPr="00B011BE">
              <w:rPr>
                <w:rFonts w:ascii="Arial Narrow" w:eastAsia="Calibri" w:hAnsi="Arial Narrow" w:cs="Times New Roman"/>
                <w:snapToGrid/>
                <w:sz w:val="20"/>
                <w:szCs w:val="20"/>
                <w:lang w:bidi="en-US"/>
              </w:rPr>
              <w:t>An application for Initial 2 treatment must be accompanied by BASDAI and CRP results of the most recent course of treatment with this drug for this condition within the last 5 years to demonstrate a response to treatment. The results must be conducted following a minimum of 12 weeks of treatment.</w:t>
            </w:r>
          </w:p>
          <w:p w:rsidR="000F3196" w:rsidRPr="00B011BE" w:rsidRDefault="000F3196" w:rsidP="00516805">
            <w:pPr>
              <w:widowControl/>
              <w:rPr>
                <w:rFonts w:ascii="Arial Narrow" w:eastAsia="Calibri" w:hAnsi="Arial Narrow" w:cs="Times New Roman"/>
                <w:snapToGrid/>
                <w:sz w:val="20"/>
                <w:szCs w:val="20"/>
                <w:lang w:bidi="en-US"/>
              </w:rPr>
            </w:pPr>
          </w:p>
          <w:p w:rsidR="000F3196" w:rsidRPr="00B011BE" w:rsidRDefault="000F3196" w:rsidP="00516805">
            <w:pPr>
              <w:widowControl/>
              <w:rPr>
                <w:rFonts w:ascii="Arial Narrow" w:eastAsia="Calibri" w:hAnsi="Arial Narrow" w:cs="Times New Roman"/>
                <w:snapToGrid/>
                <w:sz w:val="20"/>
                <w:szCs w:val="20"/>
                <w:lang w:bidi="en-US"/>
              </w:rPr>
            </w:pPr>
            <w:r w:rsidRPr="00B011BE">
              <w:rPr>
                <w:rFonts w:ascii="Arial Narrow" w:eastAsia="Calibri" w:hAnsi="Arial Narrow" w:cs="Times New Roman"/>
                <w:snapToGrid/>
                <w:sz w:val="20"/>
                <w:szCs w:val="20"/>
                <w:lang w:bidi="en-US"/>
              </w:rPr>
              <w:t>When a patient has either failed or ceased to respond to treatment with this drug for this condition twice, they must have, at a minimum, a 5-year break in PBS-subsidised treatment with this drug for this condition before they are eligible to re-commence under the Initial 1 - New patient or recommencement after a break of more than 5 years.</w:t>
            </w:r>
          </w:p>
        </w:tc>
      </w:tr>
      <w:tr w:rsidR="000F3196" w:rsidRPr="00562757" w:rsidTr="000F3196">
        <w:tc>
          <w:tcPr>
            <w:tcW w:w="764" w:type="pct"/>
            <w:tcBorders>
              <w:top w:val="single" w:sz="4" w:space="0" w:color="auto"/>
              <w:left w:val="single" w:sz="4" w:space="0" w:color="auto"/>
              <w:bottom w:val="single" w:sz="4" w:space="0" w:color="auto"/>
              <w:right w:val="single" w:sz="4" w:space="0" w:color="auto"/>
            </w:tcBorders>
            <w:shd w:val="clear" w:color="auto" w:fill="auto"/>
          </w:tcPr>
          <w:p w:rsidR="000F3196" w:rsidRPr="00562757" w:rsidRDefault="000F3196" w:rsidP="00516805">
            <w:pPr>
              <w:pStyle w:val="Tabletext"/>
              <w:rPr>
                <w:b/>
              </w:rPr>
            </w:pPr>
            <w:r w:rsidRPr="00562757">
              <w:rPr>
                <w:b/>
              </w:rPr>
              <w:t>Treatment phase:</w:t>
            </w:r>
          </w:p>
        </w:tc>
        <w:tc>
          <w:tcPr>
            <w:tcW w:w="4236" w:type="pct"/>
            <w:tcBorders>
              <w:top w:val="single" w:sz="4" w:space="0" w:color="auto"/>
              <w:left w:val="single" w:sz="4" w:space="0" w:color="auto"/>
              <w:bottom w:val="single" w:sz="4" w:space="0" w:color="auto"/>
              <w:right w:val="single" w:sz="4" w:space="0" w:color="auto"/>
            </w:tcBorders>
            <w:shd w:val="clear" w:color="auto" w:fill="auto"/>
          </w:tcPr>
          <w:p w:rsidR="000F3196" w:rsidRPr="00562757" w:rsidRDefault="000F3196" w:rsidP="00516805">
            <w:pPr>
              <w:rPr>
                <w:rFonts w:ascii="Arial Narrow" w:hAnsi="Arial Narrow"/>
                <w:b/>
                <w:sz w:val="20"/>
                <w:szCs w:val="20"/>
              </w:rPr>
            </w:pPr>
            <w:r w:rsidRPr="00562757">
              <w:rPr>
                <w:rFonts w:ascii="Arial Narrow" w:hAnsi="Arial Narrow"/>
                <w:b/>
                <w:sz w:val="20"/>
                <w:szCs w:val="20"/>
              </w:rPr>
              <w:t>Continuing treatment</w:t>
            </w:r>
          </w:p>
        </w:tc>
      </w:tr>
      <w:tr w:rsidR="000F3196" w:rsidRPr="00B011BE" w:rsidTr="000F3196">
        <w:tc>
          <w:tcPr>
            <w:tcW w:w="764" w:type="pct"/>
            <w:tcBorders>
              <w:top w:val="single" w:sz="4" w:space="0" w:color="auto"/>
              <w:left w:val="single" w:sz="4" w:space="0" w:color="auto"/>
              <w:bottom w:val="single" w:sz="4" w:space="0" w:color="auto"/>
              <w:right w:val="single" w:sz="4" w:space="0" w:color="auto"/>
            </w:tcBorders>
            <w:shd w:val="clear" w:color="auto" w:fill="auto"/>
          </w:tcPr>
          <w:p w:rsidR="000F3196" w:rsidRDefault="000F3196" w:rsidP="00516805">
            <w:pPr>
              <w:pStyle w:val="Tabletext"/>
              <w:rPr>
                <w:b/>
              </w:rPr>
            </w:pPr>
            <w:r>
              <w:rPr>
                <w:b/>
              </w:rPr>
              <w:t>Restriction:</w:t>
            </w:r>
          </w:p>
        </w:tc>
        <w:tc>
          <w:tcPr>
            <w:tcW w:w="4236" w:type="pct"/>
            <w:tcBorders>
              <w:top w:val="single" w:sz="4" w:space="0" w:color="auto"/>
              <w:left w:val="single" w:sz="4" w:space="0" w:color="auto"/>
              <w:bottom w:val="single" w:sz="4" w:space="0" w:color="auto"/>
              <w:right w:val="single" w:sz="4" w:space="0" w:color="auto"/>
            </w:tcBorders>
            <w:shd w:val="clear" w:color="auto" w:fill="auto"/>
          </w:tcPr>
          <w:p w:rsidR="000F3196" w:rsidRPr="00B011BE" w:rsidRDefault="000F3196" w:rsidP="00516805">
            <w:pPr>
              <w:rPr>
                <w:rFonts w:ascii="Arial Narrow" w:hAnsi="Arial Narrow"/>
                <w:sz w:val="20"/>
                <w:szCs w:val="20"/>
              </w:rPr>
            </w:pPr>
            <w:r w:rsidRPr="00B011BE">
              <w:rPr>
                <w:rFonts w:ascii="Arial Narrow" w:hAnsi="Arial Narrow"/>
                <w:sz w:val="20"/>
                <w:szCs w:val="20"/>
              </w:rPr>
              <w:fldChar w:fldCharType="begin">
                <w:ffData>
                  <w:name w:val=""/>
                  <w:enabled/>
                  <w:calcOnExit w:val="0"/>
                  <w:checkBox>
                    <w:sizeAuto/>
                    <w:default w:val="1"/>
                  </w:checkBox>
                </w:ffData>
              </w:fldChar>
            </w:r>
            <w:r w:rsidRPr="00B011BE">
              <w:rPr>
                <w:rFonts w:ascii="Arial Narrow" w:hAnsi="Arial Narrow"/>
                <w:sz w:val="20"/>
                <w:szCs w:val="20"/>
              </w:rPr>
              <w:instrText xml:space="preserve"> FORMCHECKBOX </w:instrText>
            </w:r>
            <w:r w:rsidR="002C4D8C">
              <w:rPr>
                <w:rFonts w:ascii="Arial Narrow" w:hAnsi="Arial Narrow"/>
                <w:sz w:val="20"/>
                <w:szCs w:val="20"/>
              </w:rPr>
            </w:r>
            <w:r w:rsidR="002C4D8C">
              <w:rPr>
                <w:rFonts w:ascii="Arial Narrow" w:hAnsi="Arial Narrow"/>
                <w:sz w:val="20"/>
                <w:szCs w:val="20"/>
              </w:rPr>
              <w:fldChar w:fldCharType="separate"/>
            </w:r>
            <w:r w:rsidRPr="00B011BE">
              <w:rPr>
                <w:rFonts w:ascii="Arial Narrow" w:hAnsi="Arial Narrow"/>
                <w:sz w:val="20"/>
                <w:szCs w:val="20"/>
              </w:rPr>
              <w:fldChar w:fldCharType="end"/>
            </w:r>
            <w:r w:rsidRPr="00B011BE">
              <w:rPr>
                <w:rFonts w:ascii="Arial Narrow" w:hAnsi="Arial Narrow"/>
                <w:sz w:val="20"/>
                <w:szCs w:val="20"/>
              </w:rPr>
              <w:t>Authority Required - In Writing</w:t>
            </w:r>
          </w:p>
        </w:tc>
      </w:tr>
      <w:tr w:rsidR="000F3196" w:rsidRPr="00BC7E99" w:rsidTr="000F3196">
        <w:tc>
          <w:tcPr>
            <w:tcW w:w="764" w:type="pct"/>
            <w:tcBorders>
              <w:top w:val="single" w:sz="4" w:space="0" w:color="auto"/>
              <w:left w:val="single" w:sz="4" w:space="0" w:color="auto"/>
              <w:bottom w:val="single" w:sz="4" w:space="0" w:color="auto"/>
              <w:right w:val="single" w:sz="4" w:space="0" w:color="auto"/>
            </w:tcBorders>
            <w:shd w:val="clear" w:color="auto" w:fill="auto"/>
          </w:tcPr>
          <w:p w:rsidR="000F3196" w:rsidRDefault="000F3196" w:rsidP="00516805">
            <w:pPr>
              <w:pStyle w:val="Tabletext"/>
              <w:rPr>
                <w:b/>
              </w:rPr>
            </w:pPr>
            <w:r>
              <w:rPr>
                <w:b/>
              </w:rPr>
              <w:t>Clinical criteria:</w:t>
            </w:r>
          </w:p>
        </w:tc>
        <w:tc>
          <w:tcPr>
            <w:tcW w:w="4236" w:type="pct"/>
            <w:tcBorders>
              <w:top w:val="single" w:sz="4" w:space="0" w:color="auto"/>
              <w:left w:val="single" w:sz="4" w:space="0" w:color="auto"/>
              <w:bottom w:val="single" w:sz="4" w:space="0" w:color="auto"/>
              <w:right w:val="single" w:sz="4" w:space="0" w:color="auto"/>
            </w:tcBorders>
            <w:shd w:val="clear" w:color="auto" w:fill="auto"/>
          </w:tcPr>
          <w:p w:rsidR="000F3196" w:rsidRPr="000F3196" w:rsidRDefault="000F3196" w:rsidP="00516805">
            <w:pPr>
              <w:widowControl/>
              <w:numPr>
                <w:ilvl w:val="0"/>
                <w:numId w:val="11"/>
              </w:numPr>
              <w:tabs>
                <w:tab w:val="clear" w:pos="720"/>
                <w:tab w:val="num" w:pos="286"/>
              </w:tabs>
              <w:ind w:left="286" w:hanging="254"/>
              <w:jc w:val="left"/>
              <w:rPr>
                <w:rFonts w:ascii="Arial Narrow" w:eastAsia="Calibri" w:hAnsi="Arial Narrow"/>
                <w:sz w:val="20"/>
                <w:szCs w:val="20"/>
              </w:rPr>
            </w:pPr>
            <w:r w:rsidRPr="00BC7E99">
              <w:rPr>
                <w:rFonts w:ascii="Arial Narrow" w:eastAsia="Calibri" w:hAnsi="Arial Narrow"/>
                <w:sz w:val="20"/>
                <w:szCs w:val="20"/>
              </w:rPr>
              <w:t>Patient must have previously received PBS-subsidised treatment wi</w:t>
            </w:r>
            <w:r>
              <w:rPr>
                <w:rFonts w:ascii="Arial Narrow" w:eastAsia="Calibri" w:hAnsi="Arial Narrow"/>
                <w:sz w:val="20"/>
                <w:szCs w:val="20"/>
              </w:rPr>
              <w:t xml:space="preserve">th this drug for this condition, </w:t>
            </w:r>
            <w:r w:rsidRPr="000F3196">
              <w:rPr>
                <w:rFonts w:ascii="Arial Narrow" w:eastAsia="Calibri" w:hAnsi="Arial Narrow"/>
                <w:bCs/>
                <w:sz w:val="20"/>
                <w:szCs w:val="20"/>
              </w:rPr>
              <w:t>AND</w:t>
            </w:r>
          </w:p>
          <w:p w:rsidR="000F3196" w:rsidRPr="000F3196" w:rsidRDefault="000F3196" w:rsidP="00516805">
            <w:pPr>
              <w:widowControl/>
              <w:numPr>
                <w:ilvl w:val="0"/>
                <w:numId w:val="11"/>
              </w:numPr>
              <w:tabs>
                <w:tab w:val="clear" w:pos="720"/>
                <w:tab w:val="num" w:pos="286"/>
              </w:tabs>
              <w:ind w:left="286" w:hanging="254"/>
              <w:jc w:val="left"/>
              <w:rPr>
                <w:rFonts w:ascii="Arial Narrow" w:eastAsia="Calibri" w:hAnsi="Arial Narrow"/>
                <w:bCs/>
                <w:sz w:val="20"/>
                <w:szCs w:val="20"/>
              </w:rPr>
            </w:pPr>
            <w:r w:rsidRPr="000F3196">
              <w:rPr>
                <w:rFonts w:ascii="Arial Narrow" w:eastAsia="Calibri" w:hAnsi="Arial Narrow"/>
                <w:sz w:val="20"/>
                <w:szCs w:val="20"/>
              </w:rPr>
              <w:t xml:space="preserve">Patient must have demonstrated an adequate response to treatment with this drug for this condition, </w:t>
            </w:r>
            <w:r w:rsidRPr="000F3196">
              <w:rPr>
                <w:rFonts w:ascii="Arial Narrow" w:eastAsia="Calibri" w:hAnsi="Arial Narrow"/>
                <w:bCs/>
                <w:sz w:val="20"/>
                <w:szCs w:val="20"/>
              </w:rPr>
              <w:t>AND</w:t>
            </w:r>
          </w:p>
          <w:p w:rsidR="000F3196" w:rsidRPr="00BC7E99" w:rsidRDefault="000F3196" w:rsidP="00516805">
            <w:pPr>
              <w:widowControl/>
              <w:numPr>
                <w:ilvl w:val="0"/>
                <w:numId w:val="11"/>
              </w:numPr>
              <w:tabs>
                <w:tab w:val="clear" w:pos="720"/>
                <w:tab w:val="num" w:pos="286"/>
              </w:tabs>
              <w:ind w:left="286" w:hanging="254"/>
              <w:jc w:val="left"/>
              <w:rPr>
                <w:rFonts w:ascii="Arial Narrow" w:eastAsia="Calibri" w:hAnsi="Arial Narrow"/>
                <w:b/>
                <w:bCs/>
                <w:sz w:val="20"/>
                <w:szCs w:val="20"/>
              </w:rPr>
            </w:pPr>
            <w:r w:rsidRPr="00BC7E99">
              <w:rPr>
                <w:rFonts w:ascii="Arial Narrow" w:eastAsia="Calibri" w:hAnsi="Arial Narrow"/>
                <w:sz w:val="20"/>
                <w:szCs w:val="20"/>
              </w:rPr>
              <w:t>The treatment must not exceed a maximum of 24 weeks with this drug per authorised course under this restriction.</w:t>
            </w:r>
          </w:p>
        </w:tc>
      </w:tr>
      <w:tr w:rsidR="000F3196" w:rsidRPr="00B011BE" w:rsidTr="000F3196">
        <w:tc>
          <w:tcPr>
            <w:tcW w:w="764" w:type="pct"/>
            <w:tcBorders>
              <w:top w:val="single" w:sz="4" w:space="0" w:color="auto"/>
              <w:left w:val="single" w:sz="4" w:space="0" w:color="auto"/>
              <w:bottom w:val="single" w:sz="4" w:space="0" w:color="auto"/>
              <w:right w:val="single" w:sz="4" w:space="0" w:color="auto"/>
            </w:tcBorders>
            <w:shd w:val="clear" w:color="auto" w:fill="auto"/>
          </w:tcPr>
          <w:p w:rsidR="000F3196" w:rsidRDefault="000F3196" w:rsidP="00516805">
            <w:pPr>
              <w:pStyle w:val="Tabletext"/>
              <w:rPr>
                <w:b/>
              </w:rPr>
            </w:pPr>
            <w:r>
              <w:rPr>
                <w:b/>
              </w:rPr>
              <w:t>Prescriber instruction:</w:t>
            </w:r>
          </w:p>
        </w:tc>
        <w:tc>
          <w:tcPr>
            <w:tcW w:w="4236" w:type="pct"/>
            <w:tcBorders>
              <w:top w:val="single" w:sz="4" w:space="0" w:color="auto"/>
              <w:left w:val="single" w:sz="4" w:space="0" w:color="auto"/>
              <w:bottom w:val="single" w:sz="4" w:space="0" w:color="auto"/>
              <w:right w:val="single" w:sz="4" w:space="0" w:color="auto"/>
            </w:tcBorders>
            <w:shd w:val="clear" w:color="auto" w:fill="auto"/>
          </w:tcPr>
          <w:p w:rsidR="000F3196" w:rsidRPr="00BC7E99" w:rsidRDefault="000F3196" w:rsidP="00516805">
            <w:pPr>
              <w:rPr>
                <w:rFonts w:ascii="Arial Narrow" w:hAnsi="Arial Narrow"/>
                <w:sz w:val="20"/>
                <w:szCs w:val="20"/>
              </w:rPr>
            </w:pPr>
            <w:r w:rsidRPr="00BC7E99">
              <w:rPr>
                <w:rFonts w:ascii="Arial Narrow" w:hAnsi="Arial Narrow"/>
                <w:sz w:val="20"/>
                <w:szCs w:val="20"/>
              </w:rPr>
              <w:t>An adequate response to therapy with this drug is defined as a reduction from baseline in the Bath Ankylosing Spondylitis Disease Activity Index (BASDAI) score by 2 or more units (on a scale of 1-10) and 1 of the following:</w:t>
            </w:r>
          </w:p>
          <w:p w:rsidR="000F3196" w:rsidRPr="00BC7E99" w:rsidRDefault="000F3196" w:rsidP="00516805">
            <w:pPr>
              <w:rPr>
                <w:rFonts w:ascii="Arial Narrow" w:hAnsi="Arial Narrow"/>
                <w:sz w:val="20"/>
                <w:szCs w:val="20"/>
              </w:rPr>
            </w:pPr>
            <w:r w:rsidRPr="00BC7E99">
              <w:rPr>
                <w:rFonts w:ascii="Arial Narrow" w:hAnsi="Arial Narrow"/>
                <w:sz w:val="20"/>
                <w:szCs w:val="20"/>
              </w:rPr>
              <w:t>(a) a CRP measurement no greater than 10 mg per L; or</w:t>
            </w:r>
          </w:p>
          <w:p w:rsidR="000F3196" w:rsidRPr="00B011BE" w:rsidRDefault="000F3196" w:rsidP="00516805">
            <w:pPr>
              <w:rPr>
                <w:rFonts w:ascii="Arial Narrow" w:hAnsi="Arial Narrow"/>
                <w:sz w:val="20"/>
                <w:szCs w:val="20"/>
              </w:rPr>
            </w:pPr>
            <w:r w:rsidRPr="00BC7E99">
              <w:rPr>
                <w:rFonts w:ascii="Arial Narrow" w:hAnsi="Arial Narrow"/>
                <w:sz w:val="20"/>
                <w:szCs w:val="20"/>
              </w:rPr>
              <w:t xml:space="preserve">(b) </w:t>
            </w:r>
            <w:proofErr w:type="gramStart"/>
            <w:r w:rsidRPr="00BC7E99">
              <w:rPr>
                <w:rFonts w:ascii="Arial Narrow" w:hAnsi="Arial Narrow"/>
                <w:sz w:val="20"/>
                <w:szCs w:val="20"/>
              </w:rPr>
              <w:t>a</w:t>
            </w:r>
            <w:proofErr w:type="gramEnd"/>
            <w:r w:rsidRPr="00BC7E99">
              <w:rPr>
                <w:rFonts w:ascii="Arial Narrow" w:hAnsi="Arial Narrow"/>
                <w:sz w:val="20"/>
                <w:szCs w:val="20"/>
              </w:rPr>
              <w:t xml:space="preserve"> CRP measurement reduced by at least 20% from baseline.</w:t>
            </w:r>
          </w:p>
        </w:tc>
      </w:tr>
    </w:tbl>
    <w:p w:rsidR="000F3196" w:rsidRDefault="000F3196"/>
    <w:p w:rsidR="003C3DC0" w:rsidRPr="00132EAD" w:rsidRDefault="003C3DC0" w:rsidP="00E80782">
      <w:pPr>
        <w:pStyle w:val="ListParagraph"/>
        <w:widowControl/>
        <w:numPr>
          <w:ilvl w:val="1"/>
          <w:numId w:val="3"/>
        </w:numPr>
      </w:pPr>
      <w:r w:rsidRPr="00132EAD">
        <w:t xml:space="preserve">The Sponsor requested PBS listing of CZP 200mg as a prefilled syringe and pen device for initial and continuing treatment indications, with assessment of response after at least 12 weeks of initial treatment (in-line with the draft </w:t>
      </w:r>
      <w:r w:rsidR="00B25B49" w:rsidRPr="00132EAD">
        <w:t>product information (PI)</w:t>
      </w:r>
      <w:r w:rsidRPr="00132EAD">
        <w:t>)</w:t>
      </w:r>
      <w:r w:rsidR="00132EAD">
        <w:t xml:space="preserve">. </w:t>
      </w:r>
      <w:r w:rsidR="00EE3B20" w:rsidRPr="00132EAD">
        <w:rPr>
          <w:iCs/>
        </w:rPr>
        <w:t xml:space="preserve">The wording of the requested restriction was consistent with the </w:t>
      </w:r>
      <w:r w:rsidR="00E80782" w:rsidRPr="00132EAD">
        <w:rPr>
          <w:iCs/>
        </w:rPr>
        <w:t>current</w:t>
      </w:r>
      <w:r w:rsidR="00EE3B20" w:rsidRPr="00132EAD">
        <w:rPr>
          <w:iCs/>
        </w:rPr>
        <w:t xml:space="preserve"> listing of GLM for </w:t>
      </w:r>
      <w:proofErr w:type="spellStart"/>
      <w:r w:rsidR="00EE3B20" w:rsidRPr="00132EAD">
        <w:rPr>
          <w:iCs/>
        </w:rPr>
        <w:t>nr-axSpA</w:t>
      </w:r>
      <w:proofErr w:type="spellEnd"/>
      <w:r w:rsidR="00090C8F" w:rsidRPr="00132EAD">
        <w:rPr>
          <w:iCs/>
        </w:rPr>
        <w:t>.</w:t>
      </w:r>
      <w:r w:rsidR="00EE3B20" w:rsidRPr="00132EAD">
        <w:rPr>
          <w:iCs/>
        </w:rPr>
        <w:t xml:space="preserve"> </w:t>
      </w:r>
    </w:p>
    <w:p w:rsidR="00273BC2" w:rsidRPr="00132EAD" w:rsidRDefault="00273BC2" w:rsidP="0039187B">
      <w:pPr>
        <w:pStyle w:val="ListParagraph"/>
        <w:widowControl/>
        <w:numPr>
          <w:ilvl w:val="1"/>
          <w:numId w:val="3"/>
        </w:numPr>
      </w:pPr>
      <w:r w:rsidRPr="00132EAD">
        <w:t xml:space="preserve">The recommended dose </w:t>
      </w:r>
      <w:r w:rsidR="00E80782" w:rsidRPr="00132EAD">
        <w:t xml:space="preserve">of CZP </w:t>
      </w:r>
      <w:r w:rsidRPr="00132EAD">
        <w:t xml:space="preserve">for adults with </w:t>
      </w:r>
      <w:proofErr w:type="spellStart"/>
      <w:r w:rsidRPr="00132EAD">
        <w:t>nr-axSpA</w:t>
      </w:r>
      <w:proofErr w:type="spellEnd"/>
      <w:r w:rsidRPr="00132EAD">
        <w:t xml:space="preserve"> in the draft PI is 400mg at Weeks 0, 2 and 4 (loading dose), followed by either 200mg every </w:t>
      </w:r>
      <w:r w:rsidR="00B25B49" w:rsidRPr="00132EAD">
        <w:t xml:space="preserve">two </w:t>
      </w:r>
      <w:r w:rsidRPr="00132EAD">
        <w:t xml:space="preserve">weeks (Q2W) or 400mg every </w:t>
      </w:r>
      <w:r w:rsidR="00B25B49" w:rsidRPr="00132EAD">
        <w:t>four</w:t>
      </w:r>
      <w:r w:rsidRPr="00132EAD">
        <w:t xml:space="preserve"> weeks (Q4W) via subcutaneous (SC) injection. </w:t>
      </w:r>
      <w:r w:rsidRPr="00132EAD">
        <w:rPr>
          <w:iCs/>
        </w:rPr>
        <w:t xml:space="preserve">The requested maximum quantities and repeats provides for 18-20 weeks of initial treatment </w:t>
      </w:r>
      <w:r w:rsidR="008F3FDB" w:rsidRPr="00132EAD">
        <w:rPr>
          <w:iCs/>
        </w:rPr>
        <w:t>depending on the dose</w:t>
      </w:r>
      <w:r w:rsidRPr="00132EAD">
        <w:rPr>
          <w:iCs/>
        </w:rPr>
        <w:t>, and 24 weeks of continuing treatment (12 injections)</w:t>
      </w:r>
      <w:r w:rsidR="0039187B" w:rsidRPr="00132EAD">
        <w:rPr>
          <w:iCs/>
        </w:rPr>
        <w:t>, consistent with the PBS indication for ankylosing spondylitis.</w:t>
      </w:r>
    </w:p>
    <w:p w:rsidR="00BE1A1D" w:rsidRPr="00132EAD" w:rsidRDefault="00282EE3" w:rsidP="00E5360B">
      <w:pPr>
        <w:pStyle w:val="ListParagraph"/>
        <w:widowControl/>
        <w:numPr>
          <w:ilvl w:val="1"/>
          <w:numId w:val="3"/>
        </w:numPr>
        <w:rPr>
          <w:iCs/>
        </w:rPr>
      </w:pPr>
      <w:r w:rsidRPr="00132EAD">
        <w:lastRenderedPageBreak/>
        <w:t>The requested</w:t>
      </w:r>
      <w:r w:rsidR="00EE43AE">
        <w:t xml:space="preserve"> approved ex-manufacturer price</w:t>
      </w:r>
      <w:r w:rsidRPr="00132EAD">
        <w:t xml:space="preserve"> </w:t>
      </w:r>
      <w:r w:rsidR="00EE43AE">
        <w:t>(</w:t>
      </w:r>
      <w:r w:rsidRPr="00132EAD">
        <w:t>AEMP</w:t>
      </w:r>
      <w:r w:rsidR="00EE43AE">
        <w:t>)</w:t>
      </w:r>
      <w:r w:rsidRPr="00132EAD">
        <w:t xml:space="preserve"> ($</w:t>
      </w:r>
      <w:r w:rsidR="00157528">
        <w:rPr>
          <w:noProof/>
          <w:color w:val="000000"/>
          <w:highlight w:val="black"/>
        </w:rPr>
        <w:t>'''''''''''''''''</w:t>
      </w:r>
      <w:r w:rsidRPr="00132EAD">
        <w:t>; and corresponding DPMQ of $</w:t>
      </w:r>
      <w:r w:rsidR="00157528">
        <w:rPr>
          <w:noProof/>
          <w:color w:val="000000"/>
          <w:highlight w:val="black"/>
        </w:rPr>
        <w:t>''''''''''''''</w:t>
      </w:r>
      <w:r w:rsidRPr="00132EAD">
        <w:t xml:space="preserve">) </w:t>
      </w:r>
      <w:r w:rsidR="00C52D9A" w:rsidRPr="00132EAD">
        <w:t xml:space="preserve">was based on the published price for GLM and a cost-minimisation analysis over six years of treatment. </w:t>
      </w:r>
      <w:r w:rsidR="00D86D38" w:rsidRPr="00132EAD">
        <w:rPr>
          <w:iCs/>
        </w:rPr>
        <w:t>The</w:t>
      </w:r>
      <w:r w:rsidR="00FA15CA" w:rsidRPr="00132EAD">
        <w:rPr>
          <w:iCs/>
        </w:rPr>
        <w:t>re is no special pricing arrangement for GLM, therefore the</w:t>
      </w:r>
      <w:r w:rsidR="00D86D38" w:rsidRPr="00132EAD">
        <w:rPr>
          <w:iCs/>
        </w:rPr>
        <w:t xml:space="preserve"> published price is the same as the effective</w:t>
      </w:r>
      <w:r w:rsidR="002A0984" w:rsidRPr="00132EAD">
        <w:rPr>
          <w:iCs/>
        </w:rPr>
        <w:t xml:space="preserve"> price</w:t>
      </w:r>
      <w:r w:rsidR="00D86D38" w:rsidRPr="00132EAD">
        <w:rPr>
          <w:iCs/>
        </w:rPr>
        <w:t>.</w:t>
      </w:r>
    </w:p>
    <w:p w:rsidR="00B81F7D" w:rsidRPr="00132EAD" w:rsidRDefault="00B018B7" w:rsidP="00B23B5A">
      <w:pPr>
        <w:pStyle w:val="ListParagraph"/>
        <w:widowControl/>
        <w:numPr>
          <w:ilvl w:val="1"/>
          <w:numId w:val="3"/>
        </w:numPr>
        <w:rPr>
          <w:iCs/>
        </w:rPr>
      </w:pPr>
      <w:r w:rsidRPr="00132EAD">
        <w:rPr>
          <w:iCs/>
        </w:rPr>
        <w:t>T</w:t>
      </w:r>
      <w:r w:rsidR="00B81F7D" w:rsidRPr="00132EAD">
        <w:rPr>
          <w:iCs/>
        </w:rPr>
        <w:t xml:space="preserve">he Sponsor requested identical </w:t>
      </w:r>
      <w:r w:rsidR="007F529C" w:rsidRPr="00132EAD">
        <w:rPr>
          <w:iCs/>
        </w:rPr>
        <w:t xml:space="preserve">restriction </w:t>
      </w:r>
      <w:r w:rsidR="00B81F7D" w:rsidRPr="00132EAD">
        <w:rPr>
          <w:iCs/>
        </w:rPr>
        <w:t>criteria for CZP</w:t>
      </w:r>
      <w:r w:rsidR="00850301" w:rsidRPr="00132EAD">
        <w:rPr>
          <w:iCs/>
        </w:rPr>
        <w:t xml:space="preserve"> to GLM where patients are allowed to be treated with and fail to respond to GLM twice before undergoing a minimum 5 year break</w:t>
      </w:r>
      <w:r w:rsidR="00BE4349" w:rsidRPr="00132EAD">
        <w:rPr>
          <w:iCs/>
        </w:rPr>
        <w:t>; therefore</w:t>
      </w:r>
      <w:r w:rsidR="00B81F7D" w:rsidRPr="00132EAD">
        <w:rPr>
          <w:iCs/>
        </w:rPr>
        <w:t xml:space="preserve">, patients </w:t>
      </w:r>
      <w:r w:rsidR="00EA6D37" w:rsidRPr="00132EAD">
        <w:rPr>
          <w:iCs/>
        </w:rPr>
        <w:t>may</w:t>
      </w:r>
      <w:r w:rsidR="00B81F7D" w:rsidRPr="00132EAD">
        <w:rPr>
          <w:iCs/>
        </w:rPr>
        <w:t xml:space="preserve"> be eligible to initiate and fail </w:t>
      </w:r>
      <w:proofErr w:type="spellStart"/>
      <w:r w:rsidR="00B81F7D" w:rsidRPr="00132EAD">
        <w:rPr>
          <w:iCs/>
        </w:rPr>
        <w:t>bDMARD</w:t>
      </w:r>
      <w:proofErr w:type="spellEnd"/>
      <w:r w:rsidR="00B81F7D" w:rsidRPr="00132EAD">
        <w:rPr>
          <w:iCs/>
        </w:rPr>
        <w:t xml:space="preserve"> therapy four times (twice with GLM and twice with CZP) within a single treatment cycle</w:t>
      </w:r>
      <w:r w:rsidR="00132EAD">
        <w:rPr>
          <w:iCs/>
        </w:rPr>
        <w:t xml:space="preserve">. </w:t>
      </w:r>
      <w:r w:rsidR="00A270C0" w:rsidRPr="00132EAD">
        <w:rPr>
          <w:iCs/>
        </w:rPr>
        <w:t xml:space="preserve">The submission did not present any evidence to support </w:t>
      </w:r>
      <w:r w:rsidR="0006423C" w:rsidRPr="00132EAD">
        <w:rPr>
          <w:iCs/>
        </w:rPr>
        <w:t>increasing the maximum number of treatment failures</w:t>
      </w:r>
      <w:r w:rsidR="00132EAD">
        <w:rPr>
          <w:iCs/>
        </w:rPr>
        <w:t xml:space="preserve">. </w:t>
      </w:r>
      <w:r w:rsidR="00EB1B45" w:rsidRPr="00132EAD">
        <w:rPr>
          <w:iCs/>
        </w:rPr>
        <w:t>The</w:t>
      </w:r>
      <w:r w:rsidR="00BE4349" w:rsidRPr="00132EAD">
        <w:rPr>
          <w:iCs/>
        </w:rPr>
        <w:t xml:space="preserve"> Pre-Sub-Committee Response</w:t>
      </w:r>
      <w:r w:rsidR="00EB1B45" w:rsidRPr="00132EAD">
        <w:rPr>
          <w:iCs/>
        </w:rPr>
        <w:t xml:space="preserve"> </w:t>
      </w:r>
      <w:r w:rsidR="00BE4349" w:rsidRPr="00132EAD">
        <w:rPr>
          <w:iCs/>
        </w:rPr>
        <w:t>(</w:t>
      </w:r>
      <w:r w:rsidR="00EB1B45" w:rsidRPr="00132EAD">
        <w:rPr>
          <w:iCs/>
        </w:rPr>
        <w:t>PSCR</w:t>
      </w:r>
      <w:r w:rsidR="00BE4349" w:rsidRPr="00132EAD">
        <w:rPr>
          <w:iCs/>
        </w:rPr>
        <w:t>)</w:t>
      </w:r>
      <w:r w:rsidR="00EB1B45" w:rsidRPr="00132EAD">
        <w:rPr>
          <w:iCs/>
        </w:rPr>
        <w:t xml:space="preserve"> stated that it was for patients’ benefit to maintain the same restriction as GLM, given that treatment options for </w:t>
      </w:r>
      <w:proofErr w:type="spellStart"/>
      <w:r w:rsidR="00EB1B45" w:rsidRPr="00132EAD">
        <w:rPr>
          <w:iCs/>
        </w:rPr>
        <w:t>nr-axSpA</w:t>
      </w:r>
      <w:proofErr w:type="spellEnd"/>
      <w:r w:rsidR="00EB1B45" w:rsidRPr="00132EAD">
        <w:rPr>
          <w:iCs/>
        </w:rPr>
        <w:t xml:space="preserve"> are limited</w:t>
      </w:r>
      <w:r w:rsidR="00132EAD">
        <w:rPr>
          <w:iCs/>
        </w:rPr>
        <w:t>.</w:t>
      </w:r>
      <w:r w:rsidR="00E2789F">
        <w:rPr>
          <w:iCs/>
        </w:rPr>
        <w:t xml:space="preserve"> The PBAC considered it</w:t>
      </w:r>
      <w:r w:rsidR="009948F3">
        <w:rPr>
          <w:iCs/>
        </w:rPr>
        <w:t xml:space="preserve"> appropriate </w:t>
      </w:r>
      <w:r w:rsidR="00E2789F">
        <w:rPr>
          <w:iCs/>
        </w:rPr>
        <w:t xml:space="preserve">to allow patients to be treated with and fail to respond to </w:t>
      </w:r>
      <w:proofErr w:type="spellStart"/>
      <w:r w:rsidR="00E2789F">
        <w:rPr>
          <w:iCs/>
        </w:rPr>
        <w:t>bDMARDs</w:t>
      </w:r>
      <w:proofErr w:type="spellEnd"/>
      <w:r w:rsidR="00E2789F">
        <w:rPr>
          <w:iCs/>
        </w:rPr>
        <w:t xml:space="preserve"> </w:t>
      </w:r>
      <w:r w:rsidR="009948F3">
        <w:rPr>
          <w:iCs/>
        </w:rPr>
        <w:t xml:space="preserve">three times </w:t>
      </w:r>
      <w:r w:rsidR="00E2789F">
        <w:rPr>
          <w:iCs/>
        </w:rPr>
        <w:t>within a treatment cycle</w:t>
      </w:r>
      <w:r w:rsidR="009948F3">
        <w:rPr>
          <w:iCs/>
        </w:rPr>
        <w:t xml:space="preserve"> for consistency with listings for </w:t>
      </w:r>
      <w:proofErr w:type="spellStart"/>
      <w:r w:rsidR="009948F3">
        <w:rPr>
          <w:iCs/>
        </w:rPr>
        <w:t>bDMARD</w:t>
      </w:r>
      <w:r w:rsidR="00160364">
        <w:rPr>
          <w:iCs/>
        </w:rPr>
        <w:t>s</w:t>
      </w:r>
      <w:proofErr w:type="spellEnd"/>
      <w:r w:rsidR="009948F3">
        <w:rPr>
          <w:iCs/>
        </w:rPr>
        <w:t xml:space="preserve"> in other conditions</w:t>
      </w:r>
      <w:r w:rsidR="00E2789F">
        <w:rPr>
          <w:iCs/>
        </w:rPr>
        <w:t xml:space="preserve">. </w:t>
      </w:r>
      <w:r w:rsidR="00132EAD">
        <w:rPr>
          <w:iCs/>
        </w:rPr>
        <w:t xml:space="preserve"> </w:t>
      </w:r>
    </w:p>
    <w:p w:rsidR="00B245A2" w:rsidRPr="00132EAD" w:rsidRDefault="00B81F7D" w:rsidP="0078224F">
      <w:pPr>
        <w:pStyle w:val="ListParagraph"/>
        <w:widowControl/>
        <w:numPr>
          <w:ilvl w:val="1"/>
          <w:numId w:val="3"/>
        </w:numPr>
        <w:rPr>
          <w:iCs/>
        </w:rPr>
      </w:pPr>
      <w:r w:rsidRPr="00132EAD">
        <w:rPr>
          <w:iCs/>
        </w:rPr>
        <w:t xml:space="preserve">The financial implications to the PBS associated with </w:t>
      </w:r>
      <w:r w:rsidR="005C52AF" w:rsidRPr="00132EAD">
        <w:rPr>
          <w:iCs/>
        </w:rPr>
        <w:t xml:space="preserve">potentially </w:t>
      </w:r>
      <w:r w:rsidRPr="00132EAD">
        <w:rPr>
          <w:iCs/>
        </w:rPr>
        <w:t xml:space="preserve">increasing from two to four </w:t>
      </w:r>
      <w:proofErr w:type="spellStart"/>
      <w:r w:rsidRPr="00132EAD">
        <w:rPr>
          <w:iCs/>
        </w:rPr>
        <w:t>bDMARD</w:t>
      </w:r>
      <w:proofErr w:type="spellEnd"/>
      <w:r w:rsidRPr="00132EAD">
        <w:rPr>
          <w:iCs/>
        </w:rPr>
        <w:t xml:space="preserve"> therapies per treatment cycle </w:t>
      </w:r>
      <w:r w:rsidR="005C52AF" w:rsidRPr="00132EAD">
        <w:rPr>
          <w:iCs/>
        </w:rPr>
        <w:t>were not addressed</w:t>
      </w:r>
      <w:r w:rsidR="00132EAD">
        <w:rPr>
          <w:iCs/>
        </w:rPr>
        <w:t xml:space="preserve">. </w:t>
      </w:r>
      <w:r w:rsidRPr="00132EAD">
        <w:rPr>
          <w:iCs/>
        </w:rPr>
        <w:t>The financial estimates presented in the submission assumed no market growth following PBS listing of CZP</w:t>
      </w:r>
      <w:r w:rsidR="00C7448F" w:rsidRPr="00132EAD">
        <w:rPr>
          <w:iCs/>
        </w:rPr>
        <w:t>,</w:t>
      </w:r>
      <w:r w:rsidRPr="00132EAD">
        <w:rPr>
          <w:iCs/>
        </w:rPr>
        <w:t xml:space="preserve"> and PBS listing of GLM is currently subject to a </w:t>
      </w:r>
      <w:r w:rsidR="0078224F" w:rsidRPr="00132EAD">
        <w:rPr>
          <w:iCs/>
        </w:rPr>
        <w:t xml:space="preserve">Risk Sharing Arrangement </w:t>
      </w:r>
      <w:r w:rsidR="00686026" w:rsidRPr="00132EAD">
        <w:rPr>
          <w:iCs/>
        </w:rPr>
        <w:t>(</w:t>
      </w:r>
      <w:r w:rsidRPr="00132EAD">
        <w:rPr>
          <w:iCs/>
        </w:rPr>
        <w:t>RSA</w:t>
      </w:r>
      <w:r w:rsidR="00506C37" w:rsidRPr="00132EAD">
        <w:rPr>
          <w:iCs/>
        </w:rPr>
        <w:t>)</w:t>
      </w:r>
      <w:r w:rsidR="004E36CF" w:rsidRPr="00132EAD">
        <w:rPr>
          <w:iCs/>
        </w:rPr>
        <w:t xml:space="preserve">. </w:t>
      </w:r>
    </w:p>
    <w:p w:rsidR="00B81F7D" w:rsidRPr="00132EAD" w:rsidRDefault="00B245A2" w:rsidP="00B245A2">
      <w:pPr>
        <w:pStyle w:val="ListParagraph"/>
        <w:ind w:left="709"/>
        <w:rPr>
          <w:rFonts w:asciiTheme="minorHAnsi" w:hAnsiTheme="minorHAnsi"/>
          <w:i/>
        </w:rPr>
      </w:pPr>
      <w:r w:rsidRPr="00132EAD">
        <w:rPr>
          <w:rFonts w:asciiTheme="minorHAnsi" w:hAnsiTheme="minorHAnsi"/>
          <w:i/>
        </w:rPr>
        <w:t>For more detail on PBAC’s view, see section 7 PBAC outcome.</w:t>
      </w:r>
    </w:p>
    <w:p w:rsidR="0060299F" w:rsidRPr="00132EAD" w:rsidRDefault="0060299F" w:rsidP="00936C60">
      <w:pPr>
        <w:pStyle w:val="PBACHeading1"/>
      </w:pPr>
      <w:bookmarkStart w:id="3" w:name="_Toc19712617"/>
      <w:r w:rsidRPr="00132EAD">
        <w:t>Background</w:t>
      </w:r>
      <w:bookmarkEnd w:id="3"/>
    </w:p>
    <w:p w:rsidR="00B60939" w:rsidRPr="00132EAD" w:rsidRDefault="00591957" w:rsidP="00936C60">
      <w:pPr>
        <w:spacing w:after="120"/>
        <w:rPr>
          <w:b/>
          <w:i/>
          <w:sz w:val="28"/>
          <w:szCs w:val="28"/>
        </w:rPr>
      </w:pPr>
      <w:r w:rsidRPr="00132EAD">
        <w:rPr>
          <w:b/>
          <w:i/>
          <w:sz w:val="28"/>
          <w:szCs w:val="28"/>
        </w:rPr>
        <w:t>Registration status</w:t>
      </w:r>
    </w:p>
    <w:p w:rsidR="00B60939" w:rsidRPr="00132EAD" w:rsidRDefault="00B81F7D" w:rsidP="003A240E">
      <w:pPr>
        <w:pStyle w:val="ListParagraph"/>
        <w:widowControl/>
        <w:numPr>
          <w:ilvl w:val="1"/>
          <w:numId w:val="3"/>
        </w:numPr>
        <w:rPr>
          <w:szCs w:val="24"/>
        </w:rPr>
      </w:pPr>
      <w:r w:rsidRPr="00132EAD">
        <w:rPr>
          <w:szCs w:val="24"/>
        </w:rPr>
        <w:t>The submission was</w:t>
      </w:r>
      <w:r w:rsidR="00837961">
        <w:rPr>
          <w:szCs w:val="24"/>
        </w:rPr>
        <w:t xml:space="preserve"> </w:t>
      </w:r>
      <w:r w:rsidRPr="00132EAD">
        <w:rPr>
          <w:szCs w:val="24"/>
        </w:rPr>
        <w:t>made under the TGA/PBAC Parallel Process</w:t>
      </w:r>
      <w:r w:rsidR="00837961">
        <w:rPr>
          <w:szCs w:val="24"/>
        </w:rPr>
        <w:t xml:space="preserve"> and was not TGA registered at the time of PBAC consideration</w:t>
      </w:r>
      <w:r w:rsidR="00132EAD">
        <w:rPr>
          <w:szCs w:val="24"/>
        </w:rPr>
        <w:t xml:space="preserve">. </w:t>
      </w:r>
      <w:r w:rsidR="00837961">
        <w:rPr>
          <w:szCs w:val="24"/>
        </w:rPr>
        <w:t xml:space="preserve">The second round Clinical Evaluation Report, TGA Delegate’s Overview and </w:t>
      </w:r>
      <w:r w:rsidR="00CD772E">
        <w:rPr>
          <w:szCs w:val="24"/>
        </w:rPr>
        <w:t xml:space="preserve">Advisory Committee on Medicines (ACM) </w:t>
      </w:r>
      <w:r w:rsidR="00DC1168">
        <w:rPr>
          <w:szCs w:val="24"/>
        </w:rPr>
        <w:t xml:space="preserve">meeting </w:t>
      </w:r>
      <w:r w:rsidR="00837961">
        <w:rPr>
          <w:szCs w:val="24"/>
        </w:rPr>
        <w:t>minutes were</w:t>
      </w:r>
      <w:r w:rsidR="00CD772E">
        <w:rPr>
          <w:szCs w:val="24"/>
        </w:rPr>
        <w:t xml:space="preserve"> </w:t>
      </w:r>
      <w:r w:rsidR="00837961">
        <w:rPr>
          <w:szCs w:val="24"/>
        </w:rPr>
        <w:t xml:space="preserve">provided during the evaluation. </w:t>
      </w:r>
      <w:r w:rsidR="00CD772E">
        <w:rPr>
          <w:szCs w:val="24"/>
        </w:rPr>
        <w:t xml:space="preserve">The </w:t>
      </w:r>
      <w:r w:rsidR="00075EAC">
        <w:rPr>
          <w:szCs w:val="24"/>
        </w:rPr>
        <w:t xml:space="preserve">ACM supported the registration of </w:t>
      </w:r>
      <w:r w:rsidR="00CD772E">
        <w:rPr>
          <w:szCs w:val="24"/>
        </w:rPr>
        <w:t xml:space="preserve">CZP </w:t>
      </w:r>
      <w:r w:rsidR="00CD772E" w:rsidRPr="00132EAD">
        <w:rPr>
          <w:iCs/>
          <w:szCs w:val="24"/>
        </w:rPr>
        <w:t xml:space="preserve">for the </w:t>
      </w:r>
      <w:r w:rsidR="00075EAC">
        <w:rPr>
          <w:iCs/>
          <w:szCs w:val="24"/>
        </w:rPr>
        <w:t>“</w:t>
      </w:r>
      <w:r w:rsidR="00CD772E" w:rsidRPr="00132EAD">
        <w:rPr>
          <w:iCs/>
          <w:szCs w:val="24"/>
        </w:rPr>
        <w:t xml:space="preserve">treatment of adults with active non-radiographic axial </w:t>
      </w:r>
      <w:proofErr w:type="spellStart"/>
      <w:r w:rsidR="00CD772E" w:rsidRPr="00132EAD">
        <w:rPr>
          <w:iCs/>
          <w:szCs w:val="24"/>
        </w:rPr>
        <w:t>spondyloarthritis</w:t>
      </w:r>
      <w:proofErr w:type="spellEnd"/>
      <w:r w:rsidR="00CD772E" w:rsidRPr="00132EAD">
        <w:rPr>
          <w:iCs/>
          <w:szCs w:val="24"/>
        </w:rPr>
        <w:t xml:space="preserve"> (</w:t>
      </w:r>
      <w:proofErr w:type="spellStart"/>
      <w:r w:rsidR="00CD772E" w:rsidRPr="00132EAD">
        <w:rPr>
          <w:iCs/>
          <w:szCs w:val="24"/>
        </w:rPr>
        <w:t>nr-axSpA</w:t>
      </w:r>
      <w:proofErr w:type="spellEnd"/>
      <w:r w:rsidR="00CD772E" w:rsidRPr="00132EAD">
        <w:rPr>
          <w:iCs/>
          <w:szCs w:val="24"/>
        </w:rPr>
        <w:t>) with objective signs of inflammation as indicated by elevated C reactive protein (CRP) and/or magnetic resonance imaging (MRI) change, who have had an inadequate response to, or are intolerant to, nonsteroidal anti-inflammatory drugs (NSAIDs)”</w:t>
      </w:r>
      <w:r w:rsidR="00CD772E">
        <w:rPr>
          <w:iCs/>
          <w:szCs w:val="24"/>
        </w:rPr>
        <w:t>.</w:t>
      </w:r>
      <w:r w:rsidR="00CD772E">
        <w:rPr>
          <w:szCs w:val="24"/>
        </w:rPr>
        <w:t xml:space="preserve"> </w:t>
      </w:r>
      <w:r w:rsidR="00BE79BE" w:rsidRPr="00132EAD">
        <w:rPr>
          <w:iCs/>
          <w:szCs w:val="24"/>
        </w:rPr>
        <w:t>The requested PBS</w:t>
      </w:r>
      <w:r w:rsidR="00DC1168">
        <w:rPr>
          <w:iCs/>
          <w:szCs w:val="24"/>
        </w:rPr>
        <w:t xml:space="preserve"> restriction</w:t>
      </w:r>
      <w:r w:rsidR="00BE79BE" w:rsidRPr="00132EAD">
        <w:rPr>
          <w:iCs/>
          <w:szCs w:val="24"/>
        </w:rPr>
        <w:t xml:space="preserve"> is narrower than the TGA ind</w:t>
      </w:r>
      <w:r w:rsidR="004974B5" w:rsidRPr="00132EAD">
        <w:rPr>
          <w:iCs/>
          <w:szCs w:val="24"/>
        </w:rPr>
        <w:t xml:space="preserve">ication, which </w:t>
      </w:r>
      <w:r w:rsidR="00BE79BE" w:rsidRPr="00132EAD">
        <w:rPr>
          <w:iCs/>
          <w:szCs w:val="24"/>
        </w:rPr>
        <w:t>define</w:t>
      </w:r>
      <w:r w:rsidR="004974B5" w:rsidRPr="00132EAD">
        <w:rPr>
          <w:iCs/>
          <w:szCs w:val="24"/>
        </w:rPr>
        <w:t>s</w:t>
      </w:r>
      <w:r w:rsidR="00BE79BE" w:rsidRPr="00132EAD">
        <w:rPr>
          <w:iCs/>
          <w:szCs w:val="24"/>
        </w:rPr>
        <w:t xml:space="preserve"> objective signs of inflammation</w:t>
      </w:r>
      <w:r w:rsidR="004974B5" w:rsidRPr="00132EAD">
        <w:rPr>
          <w:iCs/>
          <w:szCs w:val="24"/>
        </w:rPr>
        <w:t xml:space="preserve"> as MRI+ and/or CRP+</w:t>
      </w:r>
      <w:r w:rsidR="00BE79BE" w:rsidRPr="00132EAD">
        <w:rPr>
          <w:iCs/>
          <w:szCs w:val="24"/>
        </w:rPr>
        <w:t xml:space="preserve">, </w:t>
      </w:r>
      <w:r w:rsidR="004974B5" w:rsidRPr="00132EAD">
        <w:rPr>
          <w:iCs/>
          <w:szCs w:val="24"/>
        </w:rPr>
        <w:t xml:space="preserve">and does not define the </w:t>
      </w:r>
      <w:r w:rsidR="00BE79BE" w:rsidRPr="00132EAD">
        <w:rPr>
          <w:iCs/>
          <w:szCs w:val="24"/>
        </w:rPr>
        <w:t xml:space="preserve">minimum disease severity </w:t>
      </w:r>
      <w:r w:rsidR="0005631F" w:rsidRPr="00132EAD">
        <w:rPr>
          <w:iCs/>
          <w:szCs w:val="24"/>
        </w:rPr>
        <w:t>(e.g. a minimum BASDAI)</w:t>
      </w:r>
      <w:r w:rsidR="00BE79BE" w:rsidRPr="00132EAD">
        <w:rPr>
          <w:iCs/>
          <w:szCs w:val="24"/>
        </w:rPr>
        <w:t>.</w:t>
      </w:r>
    </w:p>
    <w:p w:rsidR="00E3181B" w:rsidRPr="00132EAD" w:rsidRDefault="00E3181B" w:rsidP="00936C60">
      <w:pPr>
        <w:spacing w:after="120"/>
        <w:rPr>
          <w:b/>
          <w:i/>
          <w:sz w:val="28"/>
          <w:szCs w:val="28"/>
        </w:rPr>
      </w:pPr>
      <w:bookmarkStart w:id="4" w:name="_Toc492522239"/>
      <w:r w:rsidRPr="00132EAD">
        <w:rPr>
          <w:b/>
          <w:i/>
          <w:sz w:val="28"/>
          <w:szCs w:val="28"/>
        </w:rPr>
        <w:t>Previous PBAC consideration</w:t>
      </w:r>
      <w:bookmarkEnd w:id="4"/>
      <w:r w:rsidRPr="00132EAD">
        <w:rPr>
          <w:b/>
          <w:i/>
          <w:sz w:val="28"/>
          <w:szCs w:val="28"/>
        </w:rPr>
        <w:t>s</w:t>
      </w:r>
    </w:p>
    <w:p w:rsidR="006A40EA" w:rsidRPr="00132EAD" w:rsidRDefault="006A40EA" w:rsidP="0046526F">
      <w:pPr>
        <w:pStyle w:val="ListParagraph"/>
        <w:widowControl/>
        <w:numPr>
          <w:ilvl w:val="1"/>
          <w:numId w:val="3"/>
        </w:numPr>
      </w:pPr>
      <w:r w:rsidRPr="00132EAD">
        <w:t xml:space="preserve">This was the first application of CZP to the PBAC for the treatment of </w:t>
      </w:r>
      <w:proofErr w:type="spellStart"/>
      <w:r w:rsidRPr="00132EAD">
        <w:t>nr-axSpA</w:t>
      </w:r>
      <w:proofErr w:type="spellEnd"/>
      <w:r w:rsidR="00132EAD">
        <w:t xml:space="preserve">. </w:t>
      </w:r>
      <w:r w:rsidRPr="00132EAD">
        <w:t xml:space="preserve">CZP is currently PBS listed for rheumatoid arthritis, psoriatic arthritis and </w:t>
      </w:r>
      <w:r w:rsidR="00014494" w:rsidRPr="00132EAD">
        <w:t>ankylosing spondylitis</w:t>
      </w:r>
      <w:r w:rsidRPr="00132EAD">
        <w:t>.</w:t>
      </w:r>
    </w:p>
    <w:p w:rsidR="00672EF7" w:rsidRPr="00132EAD" w:rsidRDefault="00075EAC" w:rsidP="008863CE">
      <w:pPr>
        <w:pStyle w:val="ListParagraph"/>
        <w:widowControl/>
        <w:numPr>
          <w:ilvl w:val="1"/>
          <w:numId w:val="3"/>
        </w:numPr>
        <w:rPr>
          <w:iCs/>
        </w:rPr>
      </w:pPr>
      <w:r>
        <w:rPr>
          <w:iCs/>
        </w:rPr>
        <w:lastRenderedPageBreak/>
        <w:t xml:space="preserve">The PBAC recommended the PBS listing of </w:t>
      </w:r>
      <w:r w:rsidR="006A40EA" w:rsidRPr="00132EAD">
        <w:rPr>
          <w:iCs/>
        </w:rPr>
        <w:t xml:space="preserve">GLM for </w:t>
      </w:r>
      <w:proofErr w:type="spellStart"/>
      <w:r w:rsidR="006A40EA" w:rsidRPr="00132EAD">
        <w:rPr>
          <w:iCs/>
        </w:rPr>
        <w:t>nr-axSpA</w:t>
      </w:r>
      <w:proofErr w:type="spellEnd"/>
      <w:r w:rsidR="006A40EA" w:rsidRPr="00132EAD">
        <w:rPr>
          <w:iCs/>
        </w:rPr>
        <w:t xml:space="preserve"> </w:t>
      </w:r>
      <w:r>
        <w:rPr>
          <w:iCs/>
        </w:rPr>
        <w:t xml:space="preserve">in July 2018 </w:t>
      </w:r>
      <w:r w:rsidR="006A40EA" w:rsidRPr="00132EAD">
        <w:rPr>
          <w:iCs/>
        </w:rPr>
        <w:t xml:space="preserve">on the basis of </w:t>
      </w:r>
      <w:r w:rsidR="00B320E6" w:rsidRPr="00132EAD">
        <w:rPr>
          <w:iCs/>
        </w:rPr>
        <w:t>acceptable cost-effectiveness</w:t>
      </w:r>
      <w:r w:rsidR="00DC1168">
        <w:rPr>
          <w:iCs/>
        </w:rPr>
        <w:t xml:space="preserve"> compared to conventional care (</w:t>
      </w:r>
      <w:r w:rsidR="00DC1168">
        <w:t>represented by placebo plus background NSAID)</w:t>
      </w:r>
      <w:r w:rsidR="00132EAD">
        <w:rPr>
          <w:iCs/>
        </w:rPr>
        <w:t xml:space="preserve">. </w:t>
      </w:r>
      <w:r w:rsidR="00672EF7" w:rsidRPr="00132EAD">
        <w:rPr>
          <w:iCs/>
        </w:rPr>
        <w:t xml:space="preserve">The </w:t>
      </w:r>
      <w:r w:rsidR="002E7B03" w:rsidRPr="00132EAD">
        <w:rPr>
          <w:iCs/>
        </w:rPr>
        <w:t xml:space="preserve">PBAC considered that the </w:t>
      </w:r>
      <w:r w:rsidR="006126D6">
        <w:rPr>
          <w:iCs/>
        </w:rPr>
        <w:t xml:space="preserve">recommended restriction criteria identified </w:t>
      </w:r>
      <w:r w:rsidR="00672EF7" w:rsidRPr="00132EAD">
        <w:rPr>
          <w:iCs/>
        </w:rPr>
        <w:t xml:space="preserve">patients with the highest clinical need and those who would benefit most; </w:t>
      </w:r>
      <w:r w:rsidR="002E7B03" w:rsidRPr="00132EAD">
        <w:rPr>
          <w:iCs/>
        </w:rPr>
        <w:t>however,</w:t>
      </w:r>
      <w:r w:rsidR="00672EF7" w:rsidRPr="00132EAD">
        <w:rPr>
          <w:iCs/>
        </w:rPr>
        <w:t xml:space="preserve"> a RSA was required to limit use to the intended population given difficulties defining the population via the restriction.</w:t>
      </w:r>
    </w:p>
    <w:p w:rsidR="00D973DE" w:rsidRPr="00E2366B" w:rsidRDefault="00D973DE" w:rsidP="00075EAC">
      <w:pPr>
        <w:pStyle w:val="ListParagraph"/>
        <w:widowControl/>
        <w:numPr>
          <w:ilvl w:val="1"/>
          <w:numId w:val="3"/>
        </w:numPr>
      </w:pPr>
      <w:r w:rsidRPr="00075EAC">
        <w:rPr>
          <w:rFonts w:cs="Calibri"/>
          <w:iCs/>
          <w:snapToGrid/>
          <w:szCs w:val="24"/>
          <w:lang w:eastAsia="en-AU"/>
        </w:rPr>
        <w:t xml:space="preserve">The PBAC rejected </w:t>
      </w:r>
      <w:proofErr w:type="spellStart"/>
      <w:r w:rsidRPr="00075EAC">
        <w:rPr>
          <w:rFonts w:cs="Calibri"/>
          <w:iCs/>
          <w:snapToGrid/>
          <w:szCs w:val="24"/>
          <w:lang w:eastAsia="en-AU"/>
        </w:rPr>
        <w:t>etanercept</w:t>
      </w:r>
      <w:proofErr w:type="spellEnd"/>
      <w:r w:rsidRPr="00075EAC">
        <w:rPr>
          <w:rFonts w:cs="Calibri"/>
          <w:iCs/>
          <w:snapToGrid/>
          <w:szCs w:val="24"/>
          <w:lang w:eastAsia="en-AU"/>
        </w:rPr>
        <w:t xml:space="preserve"> </w:t>
      </w:r>
      <w:r w:rsidR="00DC1168">
        <w:rPr>
          <w:rFonts w:cs="Calibri"/>
          <w:iCs/>
          <w:snapToGrid/>
          <w:szCs w:val="24"/>
          <w:lang w:eastAsia="en-AU"/>
        </w:rPr>
        <w:t xml:space="preserve">twice </w:t>
      </w:r>
      <w:r w:rsidRPr="00075EAC">
        <w:rPr>
          <w:rFonts w:cs="Calibri"/>
          <w:iCs/>
          <w:snapToGrid/>
          <w:szCs w:val="24"/>
          <w:lang w:eastAsia="en-AU"/>
        </w:rPr>
        <w:t xml:space="preserve">for </w:t>
      </w:r>
      <w:proofErr w:type="spellStart"/>
      <w:r w:rsidRPr="00075EAC">
        <w:rPr>
          <w:rFonts w:cs="Calibri"/>
          <w:iCs/>
          <w:snapToGrid/>
          <w:szCs w:val="24"/>
          <w:lang w:eastAsia="en-AU"/>
        </w:rPr>
        <w:t>nr-axSpA</w:t>
      </w:r>
      <w:proofErr w:type="spellEnd"/>
      <w:r w:rsidRPr="00075EAC">
        <w:rPr>
          <w:rFonts w:cs="Calibri"/>
          <w:iCs/>
          <w:snapToGrid/>
          <w:szCs w:val="24"/>
          <w:lang w:eastAsia="en-AU"/>
        </w:rPr>
        <w:t xml:space="preserve"> (March 2015 and March 2016) on the basis of short-term trial evidence, poorly defined patient population and high and uncertain cost-effectiveness.</w:t>
      </w:r>
    </w:p>
    <w:p w:rsidR="00E2366B" w:rsidRPr="00E2366B" w:rsidRDefault="00E2366B" w:rsidP="00E2366B">
      <w:pPr>
        <w:pStyle w:val="ListParagraph"/>
        <w:widowControl/>
        <w:rPr>
          <w:i/>
        </w:rPr>
      </w:pPr>
      <w:r w:rsidRPr="00E2366B">
        <w:rPr>
          <w:rFonts w:cs="Calibri"/>
          <w:i/>
          <w:iCs/>
          <w:snapToGrid/>
          <w:szCs w:val="24"/>
          <w:lang w:eastAsia="en-AU"/>
        </w:rPr>
        <w:t>For more detail on the PBAC’s view, see section 7 PBAC outcome.</w:t>
      </w:r>
    </w:p>
    <w:p w:rsidR="0060299F" w:rsidRPr="00132EAD" w:rsidRDefault="0060299F" w:rsidP="00936C60">
      <w:pPr>
        <w:pStyle w:val="PBACHeading1"/>
      </w:pPr>
      <w:bookmarkStart w:id="5" w:name="_Toc19712618"/>
      <w:r w:rsidRPr="00132EAD">
        <w:t>Population and disease</w:t>
      </w:r>
      <w:bookmarkEnd w:id="5"/>
    </w:p>
    <w:p w:rsidR="00636687" w:rsidRPr="00132EAD" w:rsidRDefault="00CD2282" w:rsidP="00636687">
      <w:pPr>
        <w:pStyle w:val="ListParagraph"/>
        <w:widowControl/>
        <w:numPr>
          <w:ilvl w:val="1"/>
          <w:numId w:val="3"/>
        </w:numPr>
      </w:pPr>
      <w:r w:rsidRPr="00132EAD">
        <w:t>A</w:t>
      </w:r>
      <w:r w:rsidR="00B25FC6" w:rsidRPr="00132EAD">
        <w:t xml:space="preserve">xial </w:t>
      </w:r>
      <w:proofErr w:type="spellStart"/>
      <w:r w:rsidR="00B25FC6" w:rsidRPr="00132EAD">
        <w:t>spondyloarthri</w:t>
      </w:r>
      <w:r w:rsidR="008863CE" w:rsidRPr="00132EAD">
        <w:t>tis</w:t>
      </w:r>
      <w:proofErr w:type="spellEnd"/>
      <w:r w:rsidR="008863CE" w:rsidRPr="00132EAD">
        <w:t xml:space="preserve"> (</w:t>
      </w:r>
      <w:proofErr w:type="spellStart"/>
      <w:r w:rsidR="008863CE" w:rsidRPr="00132EAD">
        <w:t>a</w:t>
      </w:r>
      <w:r w:rsidRPr="00132EAD">
        <w:t>xSpA</w:t>
      </w:r>
      <w:proofErr w:type="spellEnd"/>
      <w:r w:rsidR="008863CE" w:rsidRPr="00132EAD">
        <w:t>)</w:t>
      </w:r>
      <w:r w:rsidRPr="00132EAD">
        <w:t xml:space="preserve"> is the spectrum of chronic inflammatory disease characterised by inflammation of the spine and sacroiliac (SI) joints</w:t>
      </w:r>
      <w:r w:rsidR="00132EAD">
        <w:t xml:space="preserve">. </w:t>
      </w:r>
      <w:r w:rsidRPr="00132EAD">
        <w:t xml:space="preserve">The Assessment of </w:t>
      </w:r>
      <w:proofErr w:type="spellStart"/>
      <w:r w:rsidRPr="00132EAD">
        <w:t>SpondyloArthritis</w:t>
      </w:r>
      <w:proofErr w:type="spellEnd"/>
      <w:r w:rsidRPr="00132EAD">
        <w:t xml:space="preserve"> international Society (ASAS) classification criteria differentiates between patients with radiographic </w:t>
      </w:r>
      <w:r w:rsidR="00636687" w:rsidRPr="00132EAD">
        <w:t xml:space="preserve">inflammation </w:t>
      </w:r>
      <w:r w:rsidRPr="00132EAD">
        <w:t xml:space="preserve">(i.e. </w:t>
      </w:r>
      <w:r w:rsidR="00014494" w:rsidRPr="00132EAD">
        <w:t>ankylosing spondylitis</w:t>
      </w:r>
      <w:r w:rsidRPr="00132EAD">
        <w:t xml:space="preserve">) identifiable on x-ray and patients without radiographic </w:t>
      </w:r>
      <w:r w:rsidR="00636687" w:rsidRPr="00132EAD">
        <w:t xml:space="preserve">inflammation </w:t>
      </w:r>
      <w:r w:rsidRPr="00132EAD">
        <w:t xml:space="preserve">(i.e. </w:t>
      </w:r>
      <w:proofErr w:type="spellStart"/>
      <w:r w:rsidRPr="00132EAD">
        <w:t>nr-axSpA</w:t>
      </w:r>
      <w:proofErr w:type="spellEnd"/>
      <w:r w:rsidRPr="00132EAD">
        <w:t>)</w:t>
      </w:r>
      <w:r w:rsidR="00132EAD">
        <w:t xml:space="preserve">. </w:t>
      </w:r>
      <w:r w:rsidR="00014494" w:rsidRPr="00132EAD">
        <w:t>Ankylosing spondylitis</w:t>
      </w:r>
      <w:r w:rsidR="00014494" w:rsidRPr="00132EAD" w:rsidDel="00014494">
        <w:t xml:space="preserve"> </w:t>
      </w:r>
      <w:r w:rsidRPr="00132EAD">
        <w:t xml:space="preserve">and </w:t>
      </w:r>
      <w:proofErr w:type="spellStart"/>
      <w:r w:rsidRPr="00132EAD">
        <w:t>nr-axSpA</w:t>
      </w:r>
      <w:proofErr w:type="spellEnd"/>
      <w:r w:rsidRPr="00132EAD">
        <w:t xml:space="preserve"> have similar clinical manifestations, disease activity and functional impairments</w:t>
      </w:r>
      <w:r w:rsidR="00132EAD">
        <w:t xml:space="preserve">. </w:t>
      </w:r>
      <w:r w:rsidRPr="00132EAD">
        <w:t>Chronic back pain is the leading symptom of the disease, which is often inflammatory in nature with pronounced stiffness and pain that improved with exercise.</w:t>
      </w:r>
    </w:p>
    <w:p w:rsidR="00636687" w:rsidRPr="00132EAD" w:rsidRDefault="00636687" w:rsidP="006A625D">
      <w:pPr>
        <w:pStyle w:val="ListParagraph"/>
        <w:widowControl/>
        <w:numPr>
          <w:ilvl w:val="1"/>
          <w:numId w:val="3"/>
        </w:numPr>
      </w:pPr>
      <w:r w:rsidRPr="00132EAD">
        <w:t xml:space="preserve">Progression from </w:t>
      </w:r>
      <w:proofErr w:type="spellStart"/>
      <w:r w:rsidRPr="00132EAD">
        <w:t>nr-axSpA</w:t>
      </w:r>
      <w:proofErr w:type="spellEnd"/>
      <w:r w:rsidRPr="00132EAD">
        <w:t xml:space="preserve"> to </w:t>
      </w:r>
      <w:r w:rsidR="00A26F4B" w:rsidRPr="00132EAD">
        <w:t xml:space="preserve">ankylosing spondylitis </w:t>
      </w:r>
      <w:r w:rsidRPr="00132EAD">
        <w:t>occurs in approximately 10% of patients within 2 years of symptom onset, and approximately 50% of patients after 10 years</w:t>
      </w:r>
      <w:r w:rsidR="00132EAD">
        <w:t xml:space="preserve">. </w:t>
      </w:r>
      <w:r w:rsidRPr="00132EAD">
        <w:t xml:space="preserve">Presence of </w:t>
      </w:r>
      <w:proofErr w:type="spellStart"/>
      <w:r w:rsidRPr="00132EAD">
        <w:t>sacroiliitis</w:t>
      </w:r>
      <w:proofErr w:type="spellEnd"/>
      <w:r w:rsidRPr="00132EAD">
        <w:t xml:space="preserve"> on MRI and elevated serum CRP increase the likelihood of progression</w:t>
      </w:r>
      <w:r w:rsidR="00132EAD">
        <w:t xml:space="preserve">. </w:t>
      </w:r>
      <w:r w:rsidRPr="00132EAD">
        <w:t xml:space="preserve">If one or both factors are present, progression to </w:t>
      </w:r>
      <w:r w:rsidR="006A625D" w:rsidRPr="00132EAD">
        <w:t xml:space="preserve">ankylosing spondylitis </w:t>
      </w:r>
      <w:r w:rsidRPr="00132EAD">
        <w:t>is approximately 20% within the first 2 years.</w:t>
      </w:r>
    </w:p>
    <w:p w:rsidR="00636687" w:rsidRPr="00132EAD" w:rsidRDefault="00D92F7F" w:rsidP="00D92F7F">
      <w:pPr>
        <w:pStyle w:val="ListParagraph"/>
        <w:widowControl/>
        <w:numPr>
          <w:ilvl w:val="1"/>
          <w:numId w:val="3"/>
        </w:numPr>
      </w:pPr>
      <w:r w:rsidRPr="00132EAD">
        <w:t>CZP is a recombinant, humanised monoclonal antibody that binds to and inhibits human tumour necrosis factor alpha (TNF</w:t>
      </w:r>
      <w:r w:rsidRPr="00132EAD">
        <w:rPr>
          <w:rFonts w:cs="Calibri"/>
        </w:rPr>
        <w:t>α)</w:t>
      </w:r>
      <w:r w:rsidRPr="00132EAD">
        <w:t xml:space="preserve">, which is a pro-inflammatory cytokine in the pathogenesis of </w:t>
      </w:r>
      <w:proofErr w:type="spellStart"/>
      <w:r w:rsidRPr="00132EAD">
        <w:t>axSpA</w:t>
      </w:r>
      <w:proofErr w:type="spellEnd"/>
      <w:r w:rsidRPr="00132EAD">
        <w:t xml:space="preserve"> and other chronic inflammatory diseases</w:t>
      </w:r>
      <w:r w:rsidR="00132EAD">
        <w:t xml:space="preserve">. </w:t>
      </w:r>
      <w:r w:rsidRPr="00132EAD">
        <w:t>CZP can be used during pregnancy and breastfeeding</w:t>
      </w:r>
      <w:r w:rsidR="00132EAD">
        <w:t xml:space="preserve">. </w:t>
      </w:r>
      <w:r w:rsidR="00750769" w:rsidRPr="00132EAD">
        <w:t>The PSCR</w:t>
      </w:r>
      <w:r w:rsidR="000C5D09" w:rsidRPr="00132EAD">
        <w:t xml:space="preserve"> and the pre-PBAC response </w:t>
      </w:r>
      <w:r w:rsidR="00750769" w:rsidRPr="00132EAD">
        <w:t>further emphasised this point and stated that the clinical need for this patient population is high</w:t>
      </w:r>
      <w:r w:rsidR="00750769" w:rsidRPr="00132EAD">
        <w:rPr>
          <w:i/>
        </w:rPr>
        <w:t>.</w:t>
      </w:r>
    </w:p>
    <w:p w:rsidR="00A92436" w:rsidRPr="00132EAD" w:rsidRDefault="008A3707" w:rsidP="002F2ED0">
      <w:pPr>
        <w:pStyle w:val="ListParagraph"/>
        <w:widowControl/>
        <w:numPr>
          <w:ilvl w:val="1"/>
          <w:numId w:val="3"/>
        </w:numPr>
      </w:pPr>
      <w:r w:rsidRPr="00132EAD">
        <w:t xml:space="preserve">The PBAC noted that </w:t>
      </w:r>
      <w:r w:rsidR="00636687" w:rsidRPr="00132EAD">
        <w:t xml:space="preserve">CZP </w:t>
      </w:r>
      <w:r w:rsidRPr="00132EAD">
        <w:t xml:space="preserve">is </w:t>
      </w:r>
      <w:r w:rsidR="00636687" w:rsidRPr="00132EAD">
        <w:t xml:space="preserve">an alternative </w:t>
      </w:r>
      <w:r w:rsidR="00106ED9" w:rsidRPr="00132EAD">
        <w:t>treatment</w:t>
      </w:r>
      <w:r w:rsidR="00636687" w:rsidRPr="00132EAD">
        <w:t xml:space="preserve"> to GLM at the same line of therapy in the clinical management algorithm, for patients with persistently high disease activity despite conventional treatments</w:t>
      </w:r>
      <w:r w:rsidR="00132EAD">
        <w:t xml:space="preserve">. </w:t>
      </w:r>
      <w:r w:rsidR="00636687" w:rsidRPr="00132EAD">
        <w:t xml:space="preserve">First-line treatment includes NSAIDs up to the maximum dose and non-pharmacological treatment including tailored exercise programs. </w:t>
      </w:r>
    </w:p>
    <w:p w:rsidR="00D92F7F" w:rsidRPr="00132EAD" w:rsidRDefault="00B245A2" w:rsidP="002F2ED0">
      <w:pPr>
        <w:pStyle w:val="ListParagraph"/>
        <w:widowControl/>
        <w:rPr>
          <w:i/>
        </w:rPr>
      </w:pPr>
      <w:r w:rsidRPr="00132EAD">
        <w:rPr>
          <w:i/>
        </w:rPr>
        <w:t>For more detail on PBAC’s view, see section 7 PBAC outcome.</w:t>
      </w:r>
    </w:p>
    <w:p w:rsidR="0060299F" w:rsidRPr="00132EAD" w:rsidRDefault="0060299F" w:rsidP="00936C60">
      <w:pPr>
        <w:pStyle w:val="PBACHeading1"/>
      </w:pPr>
      <w:bookmarkStart w:id="6" w:name="_Toc19712619"/>
      <w:r w:rsidRPr="00132EAD">
        <w:lastRenderedPageBreak/>
        <w:t>Comparator</w:t>
      </w:r>
      <w:bookmarkEnd w:id="6"/>
    </w:p>
    <w:p w:rsidR="00B245A2" w:rsidRPr="00132EAD" w:rsidRDefault="00D92F7F" w:rsidP="00B245A2">
      <w:pPr>
        <w:pStyle w:val="ListParagraph"/>
        <w:ind w:left="709"/>
      </w:pPr>
      <w:r w:rsidRPr="00132EAD">
        <w:t xml:space="preserve">The submission nominated GLM as the main comparator, given it is currently the only </w:t>
      </w:r>
      <w:proofErr w:type="spellStart"/>
      <w:r w:rsidRPr="00132EAD">
        <w:t>bDMARD</w:t>
      </w:r>
      <w:proofErr w:type="spellEnd"/>
      <w:r w:rsidRPr="00132EAD">
        <w:t xml:space="preserve"> PBS listed for the treatment of </w:t>
      </w:r>
      <w:proofErr w:type="spellStart"/>
      <w:r w:rsidRPr="00132EAD">
        <w:t>nr-axSpA</w:t>
      </w:r>
      <w:proofErr w:type="spellEnd"/>
      <w:r w:rsidRPr="00132EAD">
        <w:t xml:space="preserve"> with objective signs of inflammation (MRI+ and CRP+)</w:t>
      </w:r>
      <w:r w:rsidR="00132EAD">
        <w:t xml:space="preserve">. </w:t>
      </w:r>
      <w:r w:rsidRPr="00132EAD">
        <w:t>GLM also belongs to the same class as CZP (TNF</w:t>
      </w:r>
      <w:r w:rsidRPr="00132EAD">
        <w:rPr>
          <w:rFonts w:cs="Calibri"/>
        </w:rPr>
        <w:t>α</w:t>
      </w:r>
      <w:r w:rsidRPr="00132EAD">
        <w:t xml:space="preserve"> inhibitor) and has the same route of administration (SC injection)</w:t>
      </w:r>
      <w:r w:rsidR="00132EAD">
        <w:t xml:space="preserve">. </w:t>
      </w:r>
    </w:p>
    <w:p w:rsidR="00D92F7F" w:rsidRPr="00132EAD" w:rsidRDefault="00B245A2" w:rsidP="00B245A2">
      <w:pPr>
        <w:pStyle w:val="ListParagraph"/>
        <w:ind w:left="709"/>
        <w:rPr>
          <w:rFonts w:asciiTheme="minorHAnsi" w:hAnsiTheme="minorHAnsi"/>
          <w:i/>
        </w:rPr>
      </w:pPr>
      <w:r w:rsidRPr="00132EAD">
        <w:rPr>
          <w:rFonts w:asciiTheme="minorHAnsi" w:hAnsiTheme="minorHAnsi"/>
          <w:i/>
        </w:rPr>
        <w:t>For more detail on PBAC’s view, see section 7 PBAC outcome.</w:t>
      </w:r>
    </w:p>
    <w:p w:rsidR="0060299F" w:rsidRPr="00132EAD" w:rsidRDefault="0060299F" w:rsidP="00936C60">
      <w:pPr>
        <w:pStyle w:val="PBACHeading1"/>
      </w:pPr>
      <w:bookmarkStart w:id="7" w:name="_Toc19712620"/>
      <w:r w:rsidRPr="00132EAD">
        <w:t>Consideration of the evidence</w:t>
      </w:r>
      <w:bookmarkEnd w:id="7"/>
    </w:p>
    <w:p w:rsidR="00052D80" w:rsidRPr="00132EAD" w:rsidRDefault="00052D80" w:rsidP="00052D80">
      <w:pPr>
        <w:pStyle w:val="Heading2"/>
        <w:rPr>
          <w:rFonts w:asciiTheme="minorHAnsi" w:hAnsiTheme="minorHAnsi"/>
          <w:b w:val="0"/>
          <w:bCs/>
          <w:i w:val="0"/>
          <w:szCs w:val="28"/>
        </w:rPr>
      </w:pPr>
      <w:bookmarkStart w:id="8" w:name="_Toc19717644"/>
      <w:r w:rsidRPr="00132EAD">
        <w:t>Sponsor</w:t>
      </w:r>
      <w:r w:rsidRPr="00132EAD">
        <w:rPr>
          <w:rFonts w:asciiTheme="minorHAnsi" w:hAnsiTheme="minorHAnsi"/>
          <w:bCs/>
          <w:szCs w:val="28"/>
        </w:rPr>
        <w:t xml:space="preserve"> hearing</w:t>
      </w:r>
    </w:p>
    <w:p w:rsidR="00052D80" w:rsidRPr="00132EAD" w:rsidRDefault="00052D80" w:rsidP="00052D80">
      <w:pPr>
        <w:numPr>
          <w:ilvl w:val="1"/>
          <w:numId w:val="3"/>
        </w:numPr>
        <w:spacing w:after="120"/>
        <w:rPr>
          <w:rFonts w:asciiTheme="minorHAnsi" w:hAnsiTheme="minorHAnsi"/>
          <w:bCs/>
        </w:rPr>
      </w:pPr>
      <w:r w:rsidRPr="00132EAD">
        <w:rPr>
          <w:rFonts w:asciiTheme="minorHAnsi" w:hAnsiTheme="minorHAnsi"/>
          <w:bCs/>
        </w:rPr>
        <w:t>The</w:t>
      </w:r>
      <w:r w:rsidR="00B803EE" w:rsidRPr="00132EAD">
        <w:rPr>
          <w:rFonts w:asciiTheme="minorHAnsi" w:hAnsiTheme="minorHAnsi"/>
          <w:bCs/>
        </w:rPr>
        <w:t>re was no hearing for this item</w:t>
      </w:r>
      <w:r w:rsidRPr="00132EAD">
        <w:rPr>
          <w:rFonts w:asciiTheme="minorHAnsi" w:hAnsiTheme="minorHAnsi"/>
          <w:bCs/>
        </w:rPr>
        <w:t>.</w:t>
      </w:r>
    </w:p>
    <w:p w:rsidR="00052D80" w:rsidRPr="00132EAD" w:rsidRDefault="00052D80" w:rsidP="00052D80">
      <w:pPr>
        <w:pStyle w:val="Heading2"/>
        <w:rPr>
          <w:rFonts w:asciiTheme="minorHAnsi" w:hAnsiTheme="minorHAnsi"/>
          <w:b w:val="0"/>
          <w:bCs/>
          <w:i w:val="0"/>
          <w:szCs w:val="28"/>
        </w:rPr>
      </w:pPr>
      <w:r w:rsidRPr="00132EAD">
        <w:t>Consumer</w:t>
      </w:r>
      <w:r w:rsidRPr="00132EAD">
        <w:rPr>
          <w:rFonts w:asciiTheme="minorHAnsi" w:hAnsiTheme="minorHAnsi"/>
          <w:bCs/>
          <w:szCs w:val="28"/>
        </w:rPr>
        <w:t xml:space="preserve"> comments</w:t>
      </w:r>
    </w:p>
    <w:p w:rsidR="00052D80" w:rsidRPr="00132EAD" w:rsidRDefault="00052D80" w:rsidP="00936C60">
      <w:pPr>
        <w:numPr>
          <w:ilvl w:val="1"/>
          <w:numId w:val="3"/>
        </w:numPr>
        <w:spacing w:after="120"/>
        <w:rPr>
          <w:rFonts w:asciiTheme="minorHAnsi" w:hAnsiTheme="minorHAnsi"/>
          <w:bCs/>
        </w:rPr>
      </w:pPr>
      <w:r w:rsidRPr="00132EAD">
        <w:rPr>
          <w:rFonts w:asciiTheme="minorHAnsi" w:hAnsiTheme="minorHAnsi"/>
          <w:bCs/>
        </w:rPr>
        <w:t>The PBAC noted that no consumer comme</w:t>
      </w:r>
      <w:r w:rsidR="00B803EE" w:rsidRPr="00132EAD">
        <w:rPr>
          <w:rFonts w:asciiTheme="minorHAnsi" w:hAnsiTheme="minorHAnsi"/>
          <w:bCs/>
        </w:rPr>
        <w:t>nts were received for this item</w:t>
      </w:r>
      <w:r w:rsidRPr="00132EAD">
        <w:rPr>
          <w:rFonts w:asciiTheme="minorHAnsi" w:hAnsiTheme="minorHAnsi"/>
          <w:bCs/>
        </w:rPr>
        <w:t>.</w:t>
      </w:r>
    </w:p>
    <w:p w:rsidR="00B60939" w:rsidRPr="00132EAD" w:rsidRDefault="00B60939" w:rsidP="00E2366B">
      <w:pPr>
        <w:pStyle w:val="Heading2"/>
        <w:keepNext/>
      </w:pPr>
      <w:r w:rsidRPr="00132EAD">
        <w:t>Clinical trials</w:t>
      </w:r>
      <w:bookmarkEnd w:id="8"/>
    </w:p>
    <w:p w:rsidR="00D8084A" w:rsidRPr="00E2366B" w:rsidRDefault="00B92FAE" w:rsidP="00E2366B">
      <w:pPr>
        <w:pStyle w:val="ListParagraph"/>
        <w:widowControl/>
        <w:numPr>
          <w:ilvl w:val="1"/>
          <w:numId w:val="3"/>
        </w:numPr>
      </w:pPr>
      <w:r w:rsidRPr="00132EAD">
        <w:t>The submission did not identify any direct h</w:t>
      </w:r>
      <w:r w:rsidR="00B803EE" w:rsidRPr="00132EAD">
        <w:t xml:space="preserve">ead-to-head randomised trials. </w:t>
      </w:r>
      <w:r w:rsidRPr="00132EAD">
        <w:rPr>
          <w:rFonts w:cs="Calibri"/>
          <w:snapToGrid/>
          <w:szCs w:val="24"/>
          <w:lang w:eastAsia="en-AU"/>
        </w:rPr>
        <w:t xml:space="preserve">The </w:t>
      </w:r>
      <w:r w:rsidR="00E906CA" w:rsidRPr="00132EAD">
        <w:rPr>
          <w:rFonts w:cs="Calibri"/>
          <w:snapToGrid/>
          <w:szCs w:val="24"/>
          <w:lang w:eastAsia="en-AU"/>
        </w:rPr>
        <w:t>literature search identified</w:t>
      </w:r>
      <w:r w:rsidRPr="00132EAD">
        <w:rPr>
          <w:rFonts w:cs="Calibri"/>
          <w:snapToGrid/>
          <w:szCs w:val="24"/>
          <w:lang w:eastAsia="en-AU"/>
        </w:rPr>
        <w:t xml:space="preserve"> two placebo-controlled trials of CZP (AS0006 and AS001), and one placebo-controlled trial of GLM (GO-AHEAD)</w:t>
      </w:r>
      <w:r w:rsidR="00132EAD">
        <w:rPr>
          <w:rFonts w:cs="Calibri"/>
          <w:snapToGrid/>
          <w:szCs w:val="24"/>
          <w:lang w:eastAsia="en-AU"/>
        </w:rPr>
        <w:t xml:space="preserve">. </w:t>
      </w:r>
      <w:r w:rsidR="00D8084A" w:rsidRPr="00132EAD">
        <w:rPr>
          <w:rFonts w:cs="Calibri"/>
          <w:iCs/>
          <w:snapToGrid/>
          <w:szCs w:val="24"/>
          <w:lang w:eastAsia="en-AU"/>
        </w:rPr>
        <w:t xml:space="preserve">Safety results from two ongoing CZP studies were </w:t>
      </w:r>
      <w:r w:rsidR="00C858C2">
        <w:rPr>
          <w:rFonts w:cs="Calibri"/>
          <w:iCs/>
          <w:snapToGrid/>
          <w:szCs w:val="24"/>
          <w:lang w:eastAsia="en-AU"/>
        </w:rPr>
        <w:t xml:space="preserve">also </w:t>
      </w:r>
      <w:r w:rsidR="00D8084A" w:rsidRPr="00132EAD">
        <w:rPr>
          <w:rFonts w:cs="Calibri"/>
          <w:iCs/>
          <w:snapToGrid/>
          <w:szCs w:val="24"/>
          <w:lang w:eastAsia="en-AU"/>
        </w:rPr>
        <w:t xml:space="preserve">presented in the </w:t>
      </w:r>
      <w:r w:rsidR="00C858C2">
        <w:rPr>
          <w:rFonts w:cs="Calibri"/>
          <w:iCs/>
          <w:snapToGrid/>
          <w:szCs w:val="24"/>
          <w:lang w:eastAsia="en-AU"/>
        </w:rPr>
        <w:t xml:space="preserve">submission </w:t>
      </w:r>
      <w:r w:rsidR="00D8084A" w:rsidRPr="00132EAD">
        <w:rPr>
          <w:rFonts w:cs="Calibri"/>
          <w:iCs/>
          <w:snapToGrid/>
          <w:szCs w:val="24"/>
          <w:lang w:eastAsia="en-AU"/>
        </w:rPr>
        <w:t xml:space="preserve">(AS0005, a </w:t>
      </w:r>
      <w:r w:rsidR="00D8084A" w:rsidRPr="00132EAD">
        <w:rPr>
          <w:iCs/>
        </w:rPr>
        <w:t>Phase 3 randomised withdrawal trial comparing CZP to placebo; and AS0007, a Phase 4 open-label study of CZP).</w:t>
      </w:r>
      <w:r w:rsidR="00A35D61" w:rsidRPr="00132EAD">
        <w:rPr>
          <w:iCs/>
        </w:rPr>
        <w:t xml:space="preserve"> The trials and associated reports presented in the submission are shown in Table</w:t>
      </w:r>
      <w:r w:rsidR="00604A8E">
        <w:rPr>
          <w:iCs/>
        </w:rPr>
        <w:t> </w:t>
      </w:r>
      <w:r w:rsidR="00C858C2">
        <w:rPr>
          <w:iCs/>
        </w:rPr>
        <w:t>2</w:t>
      </w:r>
      <w:r w:rsidR="00A35D61" w:rsidRPr="00132EAD">
        <w:rPr>
          <w:iCs/>
        </w:rPr>
        <w:t>.</w:t>
      </w:r>
    </w:p>
    <w:p w:rsidR="00B92FAE" w:rsidRPr="00132EAD" w:rsidRDefault="00B92FAE" w:rsidP="00E2366B">
      <w:pPr>
        <w:keepNext/>
        <w:keepLines/>
        <w:widowControl/>
        <w:rPr>
          <w:rFonts w:ascii="Arial Narrow" w:hAnsi="Arial Narrow"/>
          <w:b/>
          <w:bCs/>
          <w:sz w:val="20"/>
          <w:szCs w:val="20"/>
        </w:rPr>
      </w:pPr>
      <w:r w:rsidRPr="00132EAD">
        <w:rPr>
          <w:rFonts w:ascii="Arial Narrow" w:hAnsi="Arial Narrow"/>
          <w:b/>
          <w:bCs/>
          <w:sz w:val="20"/>
          <w:szCs w:val="20"/>
        </w:rPr>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791"/>
        <w:gridCol w:w="1791"/>
      </w:tblGrid>
      <w:tr w:rsidR="00B92FAE" w:rsidRPr="00132EAD" w:rsidTr="00B92FAE">
        <w:trPr>
          <w:tblHeader/>
        </w:trPr>
        <w:tc>
          <w:tcPr>
            <w:tcW w:w="796" w:type="pct"/>
            <w:vAlign w:val="center"/>
          </w:tcPr>
          <w:p w:rsidR="00B92FAE" w:rsidRPr="00132EAD" w:rsidRDefault="00B92FAE" w:rsidP="00E2366B">
            <w:pPr>
              <w:pStyle w:val="Tabletext"/>
              <w:keepNext/>
              <w:keepLines/>
              <w:rPr>
                <w:b/>
              </w:rPr>
            </w:pPr>
            <w:r w:rsidRPr="00132EAD">
              <w:rPr>
                <w:b/>
              </w:rPr>
              <w:t>Trial ID</w:t>
            </w:r>
          </w:p>
        </w:tc>
        <w:tc>
          <w:tcPr>
            <w:tcW w:w="3211" w:type="pct"/>
            <w:vAlign w:val="center"/>
          </w:tcPr>
          <w:p w:rsidR="00B92FAE" w:rsidRPr="00132EAD" w:rsidRDefault="00B92FAE" w:rsidP="00E2366B">
            <w:pPr>
              <w:pStyle w:val="Tabletext"/>
              <w:keepNext/>
              <w:keepLines/>
              <w:jc w:val="center"/>
              <w:rPr>
                <w:b/>
              </w:rPr>
            </w:pPr>
            <w:r w:rsidRPr="00132EAD">
              <w:rPr>
                <w:b/>
              </w:rPr>
              <w:t>Protocol title/ Publication title</w:t>
            </w:r>
          </w:p>
        </w:tc>
        <w:tc>
          <w:tcPr>
            <w:tcW w:w="993" w:type="pct"/>
            <w:vAlign w:val="center"/>
          </w:tcPr>
          <w:p w:rsidR="00B92FAE" w:rsidRPr="00132EAD" w:rsidRDefault="00B92FAE" w:rsidP="00E2366B">
            <w:pPr>
              <w:pStyle w:val="Tabletext"/>
              <w:keepNext/>
              <w:keepLines/>
              <w:jc w:val="center"/>
              <w:rPr>
                <w:b/>
              </w:rPr>
            </w:pPr>
            <w:r w:rsidRPr="00132EAD">
              <w:rPr>
                <w:b/>
              </w:rPr>
              <w:t>Publication citation</w:t>
            </w:r>
          </w:p>
        </w:tc>
      </w:tr>
      <w:tr w:rsidR="00B92FAE" w:rsidRPr="00132EAD" w:rsidTr="00BA32A7">
        <w:trPr>
          <w:tblHeader/>
        </w:trPr>
        <w:tc>
          <w:tcPr>
            <w:tcW w:w="5000" w:type="pct"/>
            <w:gridSpan w:val="3"/>
            <w:vAlign w:val="center"/>
          </w:tcPr>
          <w:p w:rsidR="00B92FAE" w:rsidRPr="00132EAD" w:rsidRDefault="00B92FAE" w:rsidP="00E2366B">
            <w:pPr>
              <w:pStyle w:val="Tabletext"/>
              <w:keepNext/>
              <w:keepLines/>
              <w:rPr>
                <w:b/>
              </w:rPr>
            </w:pPr>
            <w:proofErr w:type="spellStart"/>
            <w:r w:rsidRPr="00132EAD">
              <w:rPr>
                <w:b/>
              </w:rPr>
              <w:t>Certolizumab</w:t>
            </w:r>
            <w:proofErr w:type="spellEnd"/>
            <w:r w:rsidRPr="00132EAD">
              <w:rPr>
                <w:b/>
              </w:rPr>
              <w:t xml:space="preserve"> vs placebo</w:t>
            </w:r>
          </w:p>
        </w:tc>
      </w:tr>
      <w:tr w:rsidR="00B92FAE" w:rsidRPr="00132EAD" w:rsidTr="00B92FAE">
        <w:tc>
          <w:tcPr>
            <w:tcW w:w="796" w:type="pct"/>
            <w:vMerge w:val="restart"/>
            <w:vAlign w:val="center"/>
          </w:tcPr>
          <w:p w:rsidR="00B92FAE" w:rsidRPr="00132EAD" w:rsidRDefault="00B92FAE" w:rsidP="00E2366B">
            <w:pPr>
              <w:pStyle w:val="Tabletext"/>
              <w:keepNext/>
              <w:keepLines/>
            </w:pPr>
            <w:r w:rsidRPr="00132EAD">
              <w:t>Study AS0006</w:t>
            </w:r>
          </w:p>
          <w:p w:rsidR="00B92FAE" w:rsidRPr="00132EAD" w:rsidRDefault="00B92FAE" w:rsidP="00E2366B">
            <w:pPr>
              <w:pStyle w:val="Tabletext"/>
              <w:keepNext/>
              <w:keepLines/>
            </w:pPr>
            <w:r w:rsidRPr="00132EAD">
              <w:rPr>
                <w:i/>
                <w:iCs/>
              </w:rPr>
              <w:t>C-</w:t>
            </w:r>
            <w:proofErr w:type="spellStart"/>
            <w:r w:rsidRPr="00132EAD">
              <w:t>axSpAnd</w:t>
            </w:r>
            <w:proofErr w:type="spellEnd"/>
          </w:p>
          <w:p w:rsidR="00B92FAE" w:rsidRPr="00132EAD" w:rsidRDefault="00B92FAE" w:rsidP="00E2366B">
            <w:pPr>
              <w:pStyle w:val="Tabletext"/>
              <w:keepNext/>
              <w:keepLines/>
            </w:pPr>
            <w:r w:rsidRPr="00132EAD">
              <w:t>NCT02552212</w:t>
            </w:r>
          </w:p>
          <w:p w:rsidR="00B92FAE" w:rsidRPr="00132EAD" w:rsidRDefault="00B92FAE" w:rsidP="00E2366B">
            <w:pPr>
              <w:pStyle w:val="Tabletext"/>
              <w:keepNext/>
              <w:keepLines/>
            </w:pPr>
            <w:r w:rsidRPr="00132EAD">
              <w:t>2015-001894-41</w:t>
            </w:r>
          </w:p>
          <w:p w:rsidR="00B92FAE" w:rsidRPr="00132EAD" w:rsidRDefault="00B92FAE" w:rsidP="00E2366B">
            <w:pPr>
              <w:pStyle w:val="Tabletext"/>
              <w:keepNext/>
              <w:keepLines/>
            </w:pPr>
            <w:r w:rsidRPr="00132EAD">
              <w:t>(</w:t>
            </w:r>
            <w:proofErr w:type="spellStart"/>
            <w:r w:rsidRPr="00132EAD">
              <w:t>EudraCT</w:t>
            </w:r>
            <w:proofErr w:type="spellEnd"/>
            <w:r w:rsidRPr="00132EAD">
              <w:t xml:space="preserve"> number)</w:t>
            </w:r>
          </w:p>
        </w:tc>
        <w:tc>
          <w:tcPr>
            <w:tcW w:w="3211" w:type="pct"/>
            <w:tcBorders>
              <w:bottom w:val="nil"/>
            </w:tcBorders>
          </w:tcPr>
          <w:p w:rsidR="00B92FAE" w:rsidRPr="00132EAD" w:rsidRDefault="00B92FAE" w:rsidP="00E2366B">
            <w:pPr>
              <w:pStyle w:val="Tabletext"/>
              <w:keepNext/>
              <w:keepLines/>
              <w:spacing w:after="120"/>
              <w:rPr>
                <w:szCs w:val="18"/>
              </w:rPr>
            </w:pPr>
            <w:proofErr w:type="spellStart"/>
            <w:r w:rsidRPr="00132EAD">
              <w:rPr>
                <w:szCs w:val="18"/>
              </w:rPr>
              <w:t>Multicenter</w:t>
            </w:r>
            <w:proofErr w:type="spellEnd"/>
            <w:r w:rsidRPr="00132EAD">
              <w:rPr>
                <w:szCs w:val="18"/>
              </w:rPr>
              <w:t xml:space="preserve"> Study Evaluating </w:t>
            </w:r>
            <w:proofErr w:type="spellStart"/>
            <w:r w:rsidRPr="00132EAD">
              <w:rPr>
                <w:szCs w:val="18"/>
              </w:rPr>
              <w:t>Certolizumab</w:t>
            </w:r>
            <w:proofErr w:type="spellEnd"/>
            <w:r w:rsidRPr="00132EAD">
              <w:rPr>
                <w:szCs w:val="18"/>
              </w:rPr>
              <w:t xml:space="preserve"> </w:t>
            </w:r>
            <w:proofErr w:type="spellStart"/>
            <w:r w:rsidRPr="00132EAD">
              <w:rPr>
                <w:szCs w:val="18"/>
              </w:rPr>
              <w:t>Pegol</w:t>
            </w:r>
            <w:proofErr w:type="spellEnd"/>
            <w:r w:rsidRPr="00132EAD">
              <w:rPr>
                <w:szCs w:val="18"/>
              </w:rPr>
              <w:t xml:space="preserve"> Compared to Placebo in Subjects With </w:t>
            </w:r>
            <w:proofErr w:type="spellStart"/>
            <w:r w:rsidRPr="00132EAD">
              <w:rPr>
                <w:szCs w:val="18"/>
              </w:rPr>
              <w:t>axSpA</w:t>
            </w:r>
            <w:proofErr w:type="spellEnd"/>
            <w:r w:rsidRPr="00132EAD">
              <w:rPr>
                <w:szCs w:val="18"/>
              </w:rPr>
              <w:t xml:space="preserve"> Without X-ray Evidence of AS (C-AXSPAND). UCB Pharma (UCB BIOSCIENCES GmbH), (AS0006)</w:t>
            </w:r>
          </w:p>
        </w:tc>
        <w:tc>
          <w:tcPr>
            <w:tcW w:w="993" w:type="pct"/>
            <w:tcBorders>
              <w:bottom w:val="nil"/>
            </w:tcBorders>
          </w:tcPr>
          <w:p w:rsidR="00B92FAE" w:rsidRPr="00132EAD" w:rsidRDefault="00B92FAE" w:rsidP="00E2366B">
            <w:pPr>
              <w:pStyle w:val="Tabletext"/>
              <w:keepNext/>
              <w:keepLines/>
              <w:spacing w:after="120"/>
              <w:rPr>
                <w:szCs w:val="18"/>
              </w:rPr>
            </w:pPr>
            <w:r w:rsidRPr="00132EAD">
              <w:rPr>
                <w:szCs w:val="18"/>
              </w:rPr>
              <w:t>24 September 2018</w:t>
            </w:r>
          </w:p>
        </w:tc>
      </w:tr>
      <w:tr w:rsidR="00B92FAE" w:rsidRPr="00132EAD" w:rsidTr="00B92FAE">
        <w:tc>
          <w:tcPr>
            <w:tcW w:w="796" w:type="pct"/>
            <w:vMerge/>
            <w:vAlign w:val="center"/>
          </w:tcPr>
          <w:p w:rsidR="00B92FAE" w:rsidRPr="00132EAD" w:rsidRDefault="00B92FAE" w:rsidP="00E2366B">
            <w:pPr>
              <w:pStyle w:val="Tabletext"/>
              <w:keepNext/>
              <w:keepLines/>
            </w:pPr>
          </w:p>
        </w:tc>
        <w:tc>
          <w:tcPr>
            <w:tcW w:w="3211" w:type="pct"/>
            <w:tcBorders>
              <w:top w:val="nil"/>
              <w:bottom w:val="nil"/>
            </w:tcBorders>
          </w:tcPr>
          <w:p w:rsidR="00B92FAE" w:rsidRPr="00132EAD" w:rsidRDefault="00B92FAE" w:rsidP="00E2366B">
            <w:pPr>
              <w:pStyle w:val="Tabletext"/>
              <w:keepNext/>
              <w:keepLines/>
              <w:spacing w:after="120"/>
              <w:rPr>
                <w:szCs w:val="18"/>
              </w:rPr>
            </w:pPr>
            <w:proofErr w:type="spellStart"/>
            <w:r w:rsidRPr="00132EAD">
              <w:rPr>
                <w:szCs w:val="18"/>
              </w:rPr>
              <w:t>Deodhar</w:t>
            </w:r>
            <w:proofErr w:type="spellEnd"/>
            <w:r w:rsidRPr="00132EAD">
              <w:rPr>
                <w:szCs w:val="18"/>
              </w:rPr>
              <w:t xml:space="preserve"> A, Gensler LS, Kay J, </w:t>
            </w:r>
            <w:proofErr w:type="spellStart"/>
            <w:r w:rsidRPr="00132EAD">
              <w:rPr>
                <w:szCs w:val="18"/>
              </w:rPr>
              <w:t>Maksymowych</w:t>
            </w:r>
            <w:proofErr w:type="spellEnd"/>
            <w:r w:rsidRPr="00132EAD">
              <w:rPr>
                <w:szCs w:val="18"/>
              </w:rPr>
              <w:t xml:space="preserve"> WP, Haroon N, </w:t>
            </w:r>
            <w:proofErr w:type="spellStart"/>
            <w:r w:rsidRPr="00132EAD">
              <w:rPr>
                <w:szCs w:val="18"/>
              </w:rPr>
              <w:t>Landewé</w:t>
            </w:r>
            <w:proofErr w:type="spellEnd"/>
            <w:r w:rsidRPr="00132EAD">
              <w:rPr>
                <w:szCs w:val="18"/>
              </w:rPr>
              <w:t xml:space="preserve"> R, </w:t>
            </w:r>
            <w:proofErr w:type="spellStart"/>
            <w:r w:rsidRPr="00132EAD">
              <w:rPr>
                <w:szCs w:val="18"/>
              </w:rPr>
              <w:t>Rudwaleit</w:t>
            </w:r>
            <w:proofErr w:type="spellEnd"/>
            <w:r w:rsidRPr="00132EAD">
              <w:rPr>
                <w:szCs w:val="18"/>
              </w:rPr>
              <w:t xml:space="preserve"> M, Hall S, Bauer L, </w:t>
            </w:r>
            <w:proofErr w:type="spellStart"/>
            <w:r w:rsidRPr="00132EAD">
              <w:rPr>
                <w:szCs w:val="18"/>
              </w:rPr>
              <w:t>Hoepken</w:t>
            </w:r>
            <w:proofErr w:type="spellEnd"/>
            <w:r w:rsidRPr="00132EAD">
              <w:rPr>
                <w:szCs w:val="18"/>
              </w:rPr>
              <w:t xml:space="preserve"> B, de </w:t>
            </w:r>
            <w:proofErr w:type="spellStart"/>
            <w:r w:rsidRPr="00132EAD">
              <w:rPr>
                <w:szCs w:val="18"/>
              </w:rPr>
              <w:t>Peyrecave</w:t>
            </w:r>
            <w:proofErr w:type="spellEnd"/>
            <w:r w:rsidRPr="00132EAD">
              <w:rPr>
                <w:szCs w:val="18"/>
              </w:rPr>
              <w:t xml:space="preserve"> N, </w:t>
            </w:r>
            <w:proofErr w:type="spellStart"/>
            <w:r w:rsidRPr="00132EAD">
              <w:rPr>
                <w:szCs w:val="18"/>
              </w:rPr>
              <w:t>Kilgallen</w:t>
            </w:r>
            <w:proofErr w:type="spellEnd"/>
            <w:r w:rsidRPr="00132EAD">
              <w:rPr>
                <w:szCs w:val="18"/>
              </w:rPr>
              <w:t xml:space="preserve"> B, van der </w:t>
            </w:r>
            <w:proofErr w:type="spellStart"/>
            <w:r w:rsidRPr="00132EAD">
              <w:rPr>
                <w:szCs w:val="18"/>
              </w:rPr>
              <w:t>Heijde</w:t>
            </w:r>
            <w:proofErr w:type="spellEnd"/>
            <w:r w:rsidRPr="00132EAD">
              <w:rPr>
                <w:szCs w:val="18"/>
              </w:rPr>
              <w:t xml:space="preserve"> D. A 52-Week Randomized Placebo-Controlled Trial of </w:t>
            </w:r>
            <w:proofErr w:type="spellStart"/>
            <w:r w:rsidRPr="00132EAD">
              <w:rPr>
                <w:szCs w:val="18"/>
              </w:rPr>
              <w:t>Certolizumab</w:t>
            </w:r>
            <w:proofErr w:type="spellEnd"/>
            <w:r w:rsidRPr="00132EAD">
              <w:rPr>
                <w:szCs w:val="18"/>
              </w:rPr>
              <w:t xml:space="preserve"> </w:t>
            </w:r>
            <w:proofErr w:type="spellStart"/>
            <w:r w:rsidRPr="00132EAD">
              <w:rPr>
                <w:szCs w:val="18"/>
              </w:rPr>
              <w:t>Pegol</w:t>
            </w:r>
            <w:proofErr w:type="spellEnd"/>
            <w:r w:rsidRPr="00132EAD">
              <w:rPr>
                <w:szCs w:val="18"/>
              </w:rPr>
              <w:t xml:space="preserve"> in Non-Radiographic Axial </w:t>
            </w:r>
            <w:proofErr w:type="spellStart"/>
            <w:r w:rsidRPr="00132EAD">
              <w:rPr>
                <w:szCs w:val="18"/>
              </w:rPr>
              <w:t>Spondyloarthritis</w:t>
            </w:r>
            <w:proofErr w:type="spellEnd"/>
            <w:r w:rsidRPr="00132EAD">
              <w:rPr>
                <w:szCs w:val="18"/>
              </w:rPr>
              <w:t xml:space="preserve">. </w:t>
            </w:r>
          </w:p>
        </w:tc>
        <w:tc>
          <w:tcPr>
            <w:tcW w:w="993" w:type="pct"/>
            <w:tcBorders>
              <w:top w:val="nil"/>
              <w:bottom w:val="nil"/>
            </w:tcBorders>
          </w:tcPr>
          <w:p w:rsidR="00B92FAE" w:rsidRPr="00132EAD" w:rsidRDefault="00B92FAE" w:rsidP="00E2366B">
            <w:pPr>
              <w:pStyle w:val="Tabletext"/>
              <w:keepNext/>
              <w:keepLines/>
              <w:spacing w:after="120"/>
              <w:rPr>
                <w:szCs w:val="18"/>
              </w:rPr>
            </w:pPr>
            <w:proofErr w:type="spellStart"/>
            <w:r w:rsidRPr="00132EAD">
              <w:rPr>
                <w:szCs w:val="18"/>
              </w:rPr>
              <w:t>Rheumatol</w:t>
            </w:r>
            <w:proofErr w:type="spellEnd"/>
            <w:r w:rsidRPr="00132EAD">
              <w:rPr>
                <w:szCs w:val="18"/>
              </w:rPr>
              <w:t>. 2019 July; 71(7):1101-1111</w:t>
            </w:r>
          </w:p>
        </w:tc>
      </w:tr>
      <w:tr w:rsidR="00B92FAE" w:rsidRPr="00132EAD" w:rsidTr="00B92FAE">
        <w:tc>
          <w:tcPr>
            <w:tcW w:w="796" w:type="pct"/>
            <w:vMerge w:val="restart"/>
            <w:vAlign w:val="center"/>
          </w:tcPr>
          <w:p w:rsidR="00B92FAE" w:rsidRPr="00132EAD" w:rsidRDefault="00B92FAE" w:rsidP="00E2366B">
            <w:pPr>
              <w:pStyle w:val="Tabletext"/>
              <w:keepNext/>
              <w:keepLines/>
            </w:pPr>
            <w:r w:rsidRPr="00132EAD">
              <w:t>Study AS001</w:t>
            </w:r>
          </w:p>
          <w:p w:rsidR="00B92FAE" w:rsidRPr="00132EAD" w:rsidRDefault="00B92FAE" w:rsidP="00E2366B">
            <w:pPr>
              <w:pStyle w:val="Tabletext"/>
              <w:keepNext/>
              <w:keepLines/>
            </w:pPr>
            <w:r w:rsidRPr="00132EAD">
              <w:t>RAPID</w:t>
            </w:r>
          </w:p>
          <w:p w:rsidR="00B92FAE" w:rsidRPr="00132EAD" w:rsidRDefault="00B92FAE" w:rsidP="00E2366B">
            <w:pPr>
              <w:pStyle w:val="Tabletext"/>
              <w:keepNext/>
              <w:keepLines/>
            </w:pPr>
            <w:r w:rsidRPr="00132EAD">
              <w:t>(NCT01087762)</w:t>
            </w:r>
          </w:p>
        </w:tc>
        <w:tc>
          <w:tcPr>
            <w:tcW w:w="3211" w:type="pct"/>
            <w:tcBorders>
              <w:bottom w:val="nil"/>
            </w:tcBorders>
          </w:tcPr>
          <w:p w:rsidR="00B92FAE" w:rsidRPr="00132EAD" w:rsidRDefault="00B92FAE" w:rsidP="00E2366B">
            <w:pPr>
              <w:pStyle w:val="Tabletext"/>
              <w:keepNext/>
              <w:keepLines/>
              <w:spacing w:after="120"/>
              <w:rPr>
                <w:szCs w:val="18"/>
              </w:rPr>
            </w:pPr>
            <w:r w:rsidRPr="00132EAD">
              <w:rPr>
                <w:szCs w:val="18"/>
              </w:rPr>
              <w:t xml:space="preserve">Phase 3, </w:t>
            </w:r>
            <w:proofErr w:type="spellStart"/>
            <w:r w:rsidRPr="00132EAD">
              <w:rPr>
                <w:szCs w:val="18"/>
              </w:rPr>
              <w:t>Multicenter</w:t>
            </w:r>
            <w:proofErr w:type="spellEnd"/>
            <w:r w:rsidRPr="00132EAD">
              <w:rPr>
                <w:szCs w:val="18"/>
              </w:rPr>
              <w:t xml:space="preserve">, Randomized, Double-Blind, Placebo-Controlled Study to Evaluate Efficacy and Safety of </w:t>
            </w:r>
            <w:proofErr w:type="spellStart"/>
            <w:r w:rsidRPr="00132EAD">
              <w:rPr>
                <w:szCs w:val="18"/>
              </w:rPr>
              <w:t>Certolizumab</w:t>
            </w:r>
            <w:proofErr w:type="spellEnd"/>
            <w:r w:rsidRPr="00132EAD">
              <w:rPr>
                <w:szCs w:val="18"/>
              </w:rPr>
              <w:t xml:space="preserve"> </w:t>
            </w:r>
            <w:proofErr w:type="spellStart"/>
            <w:r w:rsidRPr="00132EAD">
              <w:rPr>
                <w:szCs w:val="18"/>
              </w:rPr>
              <w:t>Pegol</w:t>
            </w:r>
            <w:proofErr w:type="spellEnd"/>
            <w:r w:rsidRPr="00132EAD">
              <w:rPr>
                <w:szCs w:val="18"/>
              </w:rPr>
              <w:t xml:space="preserve"> in Subjects With Active Axial </w:t>
            </w:r>
            <w:proofErr w:type="spellStart"/>
            <w:r w:rsidRPr="00132EAD">
              <w:rPr>
                <w:szCs w:val="18"/>
              </w:rPr>
              <w:t>Spondyloarthritis</w:t>
            </w:r>
            <w:proofErr w:type="spellEnd"/>
            <w:r w:rsidRPr="00132EAD">
              <w:rPr>
                <w:szCs w:val="18"/>
              </w:rPr>
              <w:t xml:space="preserve"> (AS001)</w:t>
            </w:r>
          </w:p>
        </w:tc>
        <w:tc>
          <w:tcPr>
            <w:tcW w:w="993" w:type="pct"/>
            <w:tcBorders>
              <w:bottom w:val="nil"/>
            </w:tcBorders>
          </w:tcPr>
          <w:p w:rsidR="00B92FAE" w:rsidRPr="00132EAD" w:rsidRDefault="00B92FAE" w:rsidP="00E2366B">
            <w:pPr>
              <w:pStyle w:val="Tabletext"/>
              <w:keepNext/>
              <w:keepLines/>
              <w:spacing w:after="120"/>
              <w:rPr>
                <w:szCs w:val="18"/>
              </w:rPr>
            </w:pPr>
            <w:r w:rsidRPr="00132EAD">
              <w:rPr>
                <w:szCs w:val="18"/>
              </w:rPr>
              <w:t>18 July 2016</w:t>
            </w:r>
          </w:p>
        </w:tc>
      </w:tr>
      <w:tr w:rsidR="00B92FAE" w:rsidRPr="00132EAD" w:rsidTr="00B92FAE">
        <w:tc>
          <w:tcPr>
            <w:tcW w:w="796" w:type="pct"/>
            <w:vMerge/>
            <w:vAlign w:val="center"/>
          </w:tcPr>
          <w:p w:rsidR="00B92FAE" w:rsidRPr="00132EAD" w:rsidRDefault="00B92FAE" w:rsidP="00E2366B">
            <w:pPr>
              <w:pStyle w:val="Tabletext"/>
              <w:keepNext/>
              <w:keepLines/>
            </w:pPr>
          </w:p>
        </w:tc>
        <w:tc>
          <w:tcPr>
            <w:tcW w:w="3211" w:type="pct"/>
            <w:tcBorders>
              <w:top w:val="nil"/>
              <w:bottom w:val="nil"/>
            </w:tcBorders>
          </w:tcPr>
          <w:p w:rsidR="00B92FAE" w:rsidRPr="00132EAD" w:rsidRDefault="00B92FAE" w:rsidP="00E2366B">
            <w:pPr>
              <w:pStyle w:val="Tabletext"/>
              <w:keepNext/>
              <w:keepLines/>
              <w:spacing w:after="120"/>
              <w:rPr>
                <w:szCs w:val="18"/>
              </w:rPr>
            </w:pPr>
            <w:proofErr w:type="spellStart"/>
            <w:r w:rsidRPr="00132EAD">
              <w:rPr>
                <w:szCs w:val="18"/>
              </w:rPr>
              <w:t>Landewé</w:t>
            </w:r>
            <w:proofErr w:type="spellEnd"/>
            <w:r w:rsidRPr="00132EAD">
              <w:rPr>
                <w:szCs w:val="18"/>
              </w:rPr>
              <w:t xml:space="preserve"> R, Braun J, </w:t>
            </w:r>
            <w:proofErr w:type="spellStart"/>
            <w:r w:rsidRPr="00132EAD">
              <w:rPr>
                <w:szCs w:val="18"/>
              </w:rPr>
              <w:t>Deodhar</w:t>
            </w:r>
            <w:proofErr w:type="spellEnd"/>
            <w:r w:rsidRPr="00132EAD">
              <w:rPr>
                <w:szCs w:val="18"/>
              </w:rPr>
              <w:t xml:space="preserve"> A, </w:t>
            </w:r>
            <w:proofErr w:type="spellStart"/>
            <w:r w:rsidRPr="00132EAD">
              <w:rPr>
                <w:szCs w:val="18"/>
              </w:rPr>
              <w:t>Dougados</w:t>
            </w:r>
            <w:proofErr w:type="spellEnd"/>
            <w:r w:rsidRPr="00132EAD">
              <w:rPr>
                <w:szCs w:val="18"/>
              </w:rPr>
              <w:t xml:space="preserve"> M, </w:t>
            </w:r>
            <w:proofErr w:type="spellStart"/>
            <w:r w:rsidRPr="00132EAD">
              <w:rPr>
                <w:szCs w:val="18"/>
              </w:rPr>
              <w:t>Maksymowych</w:t>
            </w:r>
            <w:proofErr w:type="spellEnd"/>
            <w:r w:rsidRPr="00132EAD">
              <w:rPr>
                <w:szCs w:val="18"/>
              </w:rPr>
              <w:t xml:space="preserve"> WP, </w:t>
            </w:r>
            <w:proofErr w:type="spellStart"/>
            <w:r w:rsidRPr="00132EAD">
              <w:rPr>
                <w:szCs w:val="18"/>
              </w:rPr>
              <w:t>Mease</w:t>
            </w:r>
            <w:proofErr w:type="spellEnd"/>
            <w:r w:rsidRPr="00132EAD">
              <w:rPr>
                <w:szCs w:val="18"/>
              </w:rPr>
              <w:t xml:space="preserve"> PJ, Reveille JD, </w:t>
            </w:r>
            <w:proofErr w:type="spellStart"/>
            <w:r w:rsidRPr="00132EAD">
              <w:rPr>
                <w:szCs w:val="18"/>
              </w:rPr>
              <w:t>Rudwaleit</w:t>
            </w:r>
            <w:proofErr w:type="spellEnd"/>
            <w:r w:rsidRPr="00132EAD">
              <w:rPr>
                <w:szCs w:val="18"/>
              </w:rPr>
              <w:t xml:space="preserve"> M, van der </w:t>
            </w:r>
            <w:proofErr w:type="spellStart"/>
            <w:r w:rsidRPr="00132EAD">
              <w:rPr>
                <w:szCs w:val="18"/>
              </w:rPr>
              <w:t>Heijde</w:t>
            </w:r>
            <w:proofErr w:type="spellEnd"/>
            <w:r w:rsidRPr="00132EAD">
              <w:rPr>
                <w:szCs w:val="18"/>
              </w:rPr>
              <w:t xml:space="preserve"> D, </w:t>
            </w:r>
            <w:proofErr w:type="spellStart"/>
            <w:r w:rsidRPr="00132EAD">
              <w:rPr>
                <w:szCs w:val="18"/>
              </w:rPr>
              <w:t>Stach</w:t>
            </w:r>
            <w:proofErr w:type="spellEnd"/>
            <w:r w:rsidRPr="00132EAD">
              <w:rPr>
                <w:szCs w:val="18"/>
              </w:rPr>
              <w:t xml:space="preserve"> C, </w:t>
            </w:r>
            <w:proofErr w:type="spellStart"/>
            <w:r w:rsidRPr="00132EAD">
              <w:rPr>
                <w:szCs w:val="18"/>
              </w:rPr>
              <w:t>Hoepken</w:t>
            </w:r>
            <w:proofErr w:type="spellEnd"/>
            <w:r w:rsidRPr="00132EAD">
              <w:rPr>
                <w:szCs w:val="18"/>
              </w:rPr>
              <w:t xml:space="preserve"> B, </w:t>
            </w:r>
            <w:proofErr w:type="spellStart"/>
            <w:r w:rsidRPr="00132EAD">
              <w:rPr>
                <w:szCs w:val="18"/>
              </w:rPr>
              <w:t>Fichtner</w:t>
            </w:r>
            <w:proofErr w:type="spellEnd"/>
            <w:r w:rsidRPr="00132EAD">
              <w:rPr>
                <w:szCs w:val="18"/>
              </w:rPr>
              <w:t xml:space="preserve"> A, </w:t>
            </w:r>
            <w:proofErr w:type="spellStart"/>
            <w:r w:rsidRPr="00132EAD">
              <w:rPr>
                <w:szCs w:val="18"/>
              </w:rPr>
              <w:t>Coteur</w:t>
            </w:r>
            <w:proofErr w:type="spellEnd"/>
            <w:r w:rsidRPr="00132EAD">
              <w:rPr>
                <w:szCs w:val="18"/>
              </w:rPr>
              <w:t xml:space="preserve"> G, de Longueville M, </w:t>
            </w:r>
            <w:proofErr w:type="spellStart"/>
            <w:r w:rsidRPr="00132EAD">
              <w:rPr>
                <w:szCs w:val="18"/>
              </w:rPr>
              <w:t>Sieper</w:t>
            </w:r>
            <w:proofErr w:type="spellEnd"/>
            <w:r w:rsidRPr="00132EAD">
              <w:rPr>
                <w:szCs w:val="18"/>
              </w:rPr>
              <w:t xml:space="preserve"> J. Efficacy of </w:t>
            </w:r>
            <w:proofErr w:type="spellStart"/>
            <w:r w:rsidRPr="00132EAD">
              <w:rPr>
                <w:szCs w:val="18"/>
              </w:rPr>
              <w:t>certolizumab</w:t>
            </w:r>
            <w:proofErr w:type="spellEnd"/>
            <w:r w:rsidRPr="00132EAD">
              <w:rPr>
                <w:szCs w:val="18"/>
              </w:rPr>
              <w:t xml:space="preserve"> </w:t>
            </w:r>
            <w:proofErr w:type="spellStart"/>
            <w:r w:rsidRPr="00132EAD">
              <w:rPr>
                <w:szCs w:val="18"/>
              </w:rPr>
              <w:t>pegol</w:t>
            </w:r>
            <w:proofErr w:type="spellEnd"/>
            <w:r w:rsidRPr="00132EAD">
              <w:rPr>
                <w:szCs w:val="18"/>
              </w:rPr>
              <w:t xml:space="preserve"> on signs and symptoms of axial </w:t>
            </w:r>
            <w:proofErr w:type="spellStart"/>
            <w:r w:rsidRPr="00132EAD">
              <w:rPr>
                <w:szCs w:val="18"/>
              </w:rPr>
              <w:t>spondyloarthritis</w:t>
            </w:r>
            <w:proofErr w:type="spellEnd"/>
            <w:r w:rsidRPr="00132EAD">
              <w:rPr>
                <w:szCs w:val="18"/>
              </w:rPr>
              <w:t xml:space="preserve"> including ankylosing spondylitis: 24-week results of a double-blind randomised placebo-controlled Phase 3 study.</w:t>
            </w:r>
          </w:p>
        </w:tc>
        <w:tc>
          <w:tcPr>
            <w:tcW w:w="993" w:type="pct"/>
            <w:tcBorders>
              <w:top w:val="nil"/>
              <w:bottom w:val="nil"/>
            </w:tcBorders>
          </w:tcPr>
          <w:p w:rsidR="00B92FAE" w:rsidRPr="00132EAD" w:rsidRDefault="00B92FAE" w:rsidP="00E2366B">
            <w:pPr>
              <w:pStyle w:val="Tabletext"/>
              <w:keepNext/>
              <w:keepLines/>
              <w:spacing w:after="120"/>
              <w:rPr>
                <w:szCs w:val="18"/>
              </w:rPr>
            </w:pPr>
            <w:r w:rsidRPr="00132EAD">
              <w:rPr>
                <w:szCs w:val="18"/>
              </w:rPr>
              <w:t>Ann Rheum Dis. 2014 Jan; 73(1):39-47</w:t>
            </w:r>
          </w:p>
        </w:tc>
      </w:tr>
      <w:tr w:rsidR="00B92FAE" w:rsidRPr="00132EAD" w:rsidTr="00BA32A7">
        <w:tc>
          <w:tcPr>
            <w:tcW w:w="5000" w:type="pct"/>
            <w:gridSpan w:val="3"/>
            <w:tcBorders>
              <w:bottom w:val="nil"/>
            </w:tcBorders>
            <w:vAlign w:val="center"/>
          </w:tcPr>
          <w:p w:rsidR="00B92FAE" w:rsidRPr="00132EAD" w:rsidRDefault="00B92FAE" w:rsidP="00E2366B">
            <w:pPr>
              <w:pStyle w:val="Tabletext"/>
              <w:keepNext/>
              <w:keepLines/>
              <w:spacing w:after="100" w:afterAutospacing="1"/>
              <w:rPr>
                <w:b/>
                <w:bCs/>
              </w:rPr>
            </w:pPr>
            <w:proofErr w:type="spellStart"/>
            <w:r w:rsidRPr="00132EAD">
              <w:rPr>
                <w:b/>
                <w:bCs/>
              </w:rPr>
              <w:t>Golimumab</w:t>
            </w:r>
            <w:proofErr w:type="spellEnd"/>
            <w:r w:rsidRPr="00132EAD">
              <w:rPr>
                <w:b/>
                <w:bCs/>
              </w:rPr>
              <w:t xml:space="preserve"> vs placebo</w:t>
            </w:r>
          </w:p>
        </w:tc>
      </w:tr>
      <w:tr w:rsidR="00B92FAE" w:rsidRPr="00132EAD" w:rsidTr="00B92FAE">
        <w:tc>
          <w:tcPr>
            <w:tcW w:w="796" w:type="pct"/>
            <w:vMerge w:val="restart"/>
            <w:vAlign w:val="center"/>
          </w:tcPr>
          <w:p w:rsidR="00B92FAE" w:rsidRPr="00132EAD" w:rsidRDefault="00B92FAE" w:rsidP="00E2366B">
            <w:pPr>
              <w:pStyle w:val="Tabletext"/>
              <w:keepNext/>
              <w:keepLines/>
            </w:pPr>
            <w:proofErr w:type="spellStart"/>
            <w:r w:rsidRPr="00132EAD">
              <w:t>Sieper</w:t>
            </w:r>
            <w:proofErr w:type="spellEnd"/>
            <w:r w:rsidRPr="00132EAD">
              <w:t xml:space="preserve"> et al.,</w:t>
            </w:r>
          </w:p>
          <w:p w:rsidR="00B92FAE" w:rsidRPr="00132EAD" w:rsidRDefault="00370982" w:rsidP="00E2366B">
            <w:pPr>
              <w:pStyle w:val="Tabletext"/>
              <w:keepNext/>
              <w:keepLines/>
            </w:pPr>
            <w:r w:rsidRPr="00132EAD">
              <w:t>GO</w:t>
            </w:r>
            <w:r w:rsidR="00B92FAE" w:rsidRPr="00132EAD">
              <w:t>-AHEAD NCT01453725</w:t>
            </w:r>
          </w:p>
        </w:tc>
        <w:tc>
          <w:tcPr>
            <w:tcW w:w="3211" w:type="pct"/>
            <w:tcBorders>
              <w:bottom w:val="nil"/>
            </w:tcBorders>
          </w:tcPr>
          <w:p w:rsidR="00B92FAE" w:rsidRPr="00132EAD" w:rsidRDefault="00B92FAE" w:rsidP="00E2366B">
            <w:pPr>
              <w:pStyle w:val="Tabletext"/>
              <w:keepNext/>
              <w:keepLines/>
              <w:spacing w:after="120"/>
              <w:rPr>
                <w:szCs w:val="18"/>
              </w:rPr>
            </w:pPr>
            <w:proofErr w:type="spellStart"/>
            <w:r w:rsidRPr="00132EAD">
              <w:rPr>
                <w:szCs w:val="18"/>
              </w:rPr>
              <w:t>Sieper</w:t>
            </w:r>
            <w:proofErr w:type="spellEnd"/>
            <w:r w:rsidRPr="00132EAD">
              <w:rPr>
                <w:szCs w:val="18"/>
              </w:rPr>
              <w:t xml:space="preserve"> J, van der </w:t>
            </w:r>
            <w:proofErr w:type="spellStart"/>
            <w:r w:rsidRPr="00132EAD">
              <w:rPr>
                <w:szCs w:val="18"/>
              </w:rPr>
              <w:t>Heijde</w:t>
            </w:r>
            <w:proofErr w:type="spellEnd"/>
            <w:r w:rsidRPr="00132EAD">
              <w:rPr>
                <w:szCs w:val="18"/>
              </w:rPr>
              <w:t xml:space="preserve"> D, </w:t>
            </w:r>
            <w:proofErr w:type="spellStart"/>
            <w:r w:rsidRPr="00132EAD">
              <w:rPr>
                <w:szCs w:val="18"/>
              </w:rPr>
              <w:t>Dougados</w:t>
            </w:r>
            <w:proofErr w:type="spellEnd"/>
            <w:r w:rsidRPr="00132EAD">
              <w:rPr>
                <w:szCs w:val="18"/>
              </w:rPr>
              <w:t xml:space="preserve"> M, </w:t>
            </w:r>
            <w:proofErr w:type="spellStart"/>
            <w:r w:rsidRPr="00132EAD">
              <w:rPr>
                <w:szCs w:val="18"/>
              </w:rPr>
              <w:t>Maksymowych</w:t>
            </w:r>
            <w:proofErr w:type="spellEnd"/>
            <w:r w:rsidRPr="00132EAD">
              <w:rPr>
                <w:szCs w:val="18"/>
              </w:rPr>
              <w:t xml:space="preserve"> WP, Scott BB, </w:t>
            </w:r>
            <w:proofErr w:type="spellStart"/>
            <w:r w:rsidRPr="00132EAD">
              <w:rPr>
                <w:szCs w:val="18"/>
              </w:rPr>
              <w:t>Boice</w:t>
            </w:r>
            <w:proofErr w:type="spellEnd"/>
            <w:r w:rsidRPr="00132EAD">
              <w:rPr>
                <w:szCs w:val="18"/>
              </w:rPr>
              <w:t xml:space="preserve"> JA, </w:t>
            </w:r>
            <w:proofErr w:type="spellStart"/>
            <w:r w:rsidRPr="00132EAD">
              <w:rPr>
                <w:szCs w:val="18"/>
              </w:rPr>
              <w:t>Berd</w:t>
            </w:r>
            <w:proofErr w:type="spellEnd"/>
            <w:r w:rsidRPr="00132EAD">
              <w:rPr>
                <w:szCs w:val="18"/>
              </w:rPr>
              <w:t xml:space="preserve"> Y, Bergman G, Curtis S, </w:t>
            </w:r>
            <w:proofErr w:type="spellStart"/>
            <w:r w:rsidRPr="00132EAD">
              <w:rPr>
                <w:szCs w:val="18"/>
              </w:rPr>
              <w:t>Tzontcheva</w:t>
            </w:r>
            <w:proofErr w:type="spellEnd"/>
            <w:r w:rsidRPr="00132EAD">
              <w:rPr>
                <w:szCs w:val="18"/>
              </w:rPr>
              <w:t xml:space="preserve"> A, </w:t>
            </w:r>
            <w:proofErr w:type="spellStart"/>
            <w:r w:rsidRPr="00132EAD">
              <w:rPr>
                <w:szCs w:val="18"/>
              </w:rPr>
              <w:t>Huyck</w:t>
            </w:r>
            <w:proofErr w:type="spellEnd"/>
            <w:r w:rsidRPr="00132EAD">
              <w:rPr>
                <w:szCs w:val="18"/>
              </w:rPr>
              <w:t xml:space="preserve"> S, </w:t>
            </w:r>
            <w:proofErr w:type="spellStart"/>
            <w:r w:rsidRPr="00132EAD">
              <w:rPr>
                <w:szCs w:val="18"/>
              </w:rPr>
              <w:t>Weng</w:t>
            </w:r>
            <w:proofErr w:type="spellEnd"/>
            <w:r w:rsidRPr="00132EAD">
              <w:rPr>
                <w:szCs w:val="18"/>
              </w:rPr>
              <w:t xml:space="preserve"> HH.A randomised, double-blind, placebo-controlled, sixteen week study of subcutaneous </w:t>
            </w:r>
            <w:proofErr w:type="spellStart"/>
            <w:r w:rsidRPr="00132EAD">
              <w:rPr>
                <w:szCs w:val="18"/>
              </w:rPr>
              <w:t>golimumab</w:t>
            </w:r>
            <w:proofErr w:type="spellEnd"/>
            <w:r w:rsidRPr="00132EAD">
              <w:rPr>
                <w:szCs w:val="18"/>
              </w:rPr>
              <w:t xml:space="preserve"> in patients with active </w:t>
            </w:r>
            <w:proofErr w:type="spellStart"/>
            <w:r w:rsidRPr="00132EAD">
              <w:rPr>
                <w:szCs w:val="18"/>
              </w:rPr>
              <w:t>nonradiographic</w:t>
            </w:r>
            <w:proofErr w:type="spellEnd"/>
            <w:r w:rsidRPr="00132EAD">
              <w:rPr>
                <w:szCs w:val="18"/>
              </w:rPr>
              <w:t xml:space="preserve"> axial </w:t>
            </w:r>
            <w:proofErr w:type="spellStart"/>
            <w:r w:rsidRPr="00132EAD">
              <w:rPr>
                <w:szCs w:val="18"/>
              </w:rPr>
              <w:t>spondyloarthritis</w:t>
            </w:r>
            <w:proofErr w:type="spellEnd"/>
            <w:r w:rsidRPr="00132EAD">
              <w:rPr>
                <w:szCs w:val="18"/>
              </w:rPr>
              <w:t xml:space="preserve">. </w:t>
            </w:r>
          </w:p>
        </w:tc>
        <w:tc>
          <w:tcPr>
            <w:tcW w:w="993" w:type="pct"/>
            <w:tcBorders>
              <w:bottom w:val="nil"/>
            </w:tcBorders>
          </w:tcPr>
          <w:p w:rsidR="00B92FAE" w:rsidRPr="00132EAD" w:rsidRDefault="00B92FAE" w:rsidP="00E2366B">
            <w:pPr>
              <w:pStyle w:val="Tabletext"/>
              <w:keepNext/>
              <w:keepLines/>
              <w:spacing w:after="120"/>
            </w:pPr>
            <w:r w:rsidRPr="00132EAD">
              <w:rPr>
                <w:szCs w:val="18"/>
              </w:rPr>
              <w:t>Arthritis &amp; rheumatology 2015; 67:(10):2702-2712</w:t>
            </w:r>
          </w:p>
        </w:tc>
      </w:tr>
      <w:tr w:rsidR="00B92FAE" w:rsidRPr="00132EAD" w:rsidTr="00B92FAE">
        <w:tc>
          <w:tcPr>
            <w:tcW w:w="796" w:type="pct"/>
            <w:vMerge/>
            <w:vAlign w:val="center"/>
          </w:tcPr>
          <w:p w:rsidR="00B92FAE" w:rsidRPr="00132EAD" w:rsidRDefault="00B92FAE" w:rsidP="00E2366B">
            <w:pPr>
              <w:pStyle w:val="Tabletext"/>
              <w:keepNext/>
              <w:keepLines/>
            </w:pPr>
          </w:p>
        </w:tc>
        <w:tc>
          <w:tcPr>
            <w:tcW w:w="3211" w:type="pct"/>
            <w:tcBorders>
              <w:top w:val="nil"/>
              <w:bottom w:val="nil"/>
            </w:tcBorders>
          </w:tcPr>
          <w:p w:rsidR="00B92FAE" w:rsidRPr="00132EAD" w:rsidRDefault="00B92FAE" w:rsidP="00E2366B">
            <w:pPr>
              <w:pStyle w:val="Tabletext"/>
              <w:keepNext/>
              <w:keepLines/>
              <w:spacing w:after="120"/>
              <w:rPr>
                <w:szCs w:val="18"/>
              </w:rPr>
            </w:pPr>
            <w:proofErr w:type="spellStart"/>
            <w:r w:rsidRPr="00132EAD">
              <w:rPr>
                <w:szCs w:val="18"/>
              </w:rPr>
              <w:t>Sieper</w:t>
            </w:r>
            <w:proofErr w:type="spellEnd"/>
            <w:r w:rsidRPr="00132EAD">
              <w:rPr>
                <w:szCs w:val="18"/>
              </w:rPr>
              <w:t xml:space="preserve"> J., Van Der </w:t>
            </w:r>
            <w:proofErr w:type="spellStart"/>
            <w:r w:rsidRPr="00132EAD">
              <w:rPr>
                <w:szCs w:val="18"/>
              </w:rPr>
              <w:t>Heijde</w:t>
            </w:r>
            <w:proofErr w:type="spellEnd"/>
            <w:r w:rsidRPr="00132EAD">
              <w:rPr>
                <w:szCs w:val="18"/>
              </w:rPr>
              <w:t xml:space="preserve"> D., </w:t>
            </w:r>
            <w:proofErr w:type="spellStart"/>
            <w:r w:rsidRPr="00132EAD">
              <w:rPr>
                <w:szCs w:val="18"/>
              </w:rPr>
              <w:t>Maksymowych</w:t>
            </w:r>
            <w:proofErr w:type="spellEnd"/>
            <w:r w:rsidRPr="00132EAD">
              <w:rPr>
                <w:szCs w:val="18"/>
              </w:rPr>
              <w:t xml:space="preserve"> W.P., Braun J., Bergman G., Curtis S.P., </w:t>
            </w:r>
            <w:proofErr w:type="spellStart"/>
            <w:r w:rsidRPr="00132EAD">
              <w:rPr>
                <w:szCs w:val="18"/>
              </w:rPr>
              <w:t>Tzontcheva</w:t>
            </w:r>
            <w:proofErr w:type="spellEnd"/>
            <w:r w:rsidRPr="00132EAD">
              <w:rPr>
                <w:szCs w:val="18"/>
              </w:rPr>
              <w:t xml:space="preserve"> A., Philip G., </w:t>
            </w:r>
            <w:proofErr w:type="spellStart"/>
            <w:r w:rsidRPr="00132EAD">
              <w:rPr>
                <w:szCs w:val="18"/>
              </w:rPr>
              <w:t>Huyck</w:t>
            </w:r>
            <w:proofErr w:type="spellEnd"/>
            <w:r w:rsidRPr="00132EAD">
              <w:rPr>
                <w:szCs w:val="18"/>
              </w:rPr>
              <w:t xml:space="preserve"> S., </w:t>
            </w:r>
            <w:proofErr w:type="spellStart"/>
            <w:r w:rsidRPr="00132EAD">
              <w:rPr>
                <w:szCs w:val="18"/>
              </w:rPr>
              <w:t>Dougados</w:t>
            </w:r>
            <w:proofErr w:type="spellEnd"/>
            <w:r w:rsidRPr="00132EAD">
              <w:rPr>
                <w:szCs w:val="18"/>
              </w:rPr>
              <w:t xml:space="preserve"> M.</w:t>
            </w:r>
            <w:r w:rsidR="00160364">
              <w:rPr>
                <w:szCs w:val="18"/>
              </w:rPr>
              <w:t xml:space="preserve"> </w:t>
            </w:r>
            <w:r w:rsidRPr="00132EAD">
              <w:rPr>
                <w:szCs w:val="18"/>
              </w:rPr>
              <w:t xml:space="preserve">Efficacy of </w:t>
            </w:r>
            <w:proofErr w:type="spellStart"/>
            <w:r w:rsidRPr="00132EAD">
              <w:rPr>
                <w:szCs w:val="18"/>
              </w:rPr>
              <w:t>golimumab</w:t>
            </w:r>
            <w:proofErr w:type="spellEnd"/>
            <w:r w:rsidRPr="00132EAD">
              <w:rPr>
                <w:szCs w:val="18"/>
              </w:rPr>
              <w:t xml:space="preserve"> for </w:t>
            </w:r>
            <w:proofErr w:type="spellStart"/>
            <w:r w:rsidRPr="00132EAD">
              <w:rPr>
                <w:szCs w:val="18"/>
              </w:rPr>
              <w:t>nonradiographic</w:t>
            </w:r>
            <w:proofErr w:type="spellEnd"/>
            <w:r w:rsidRPr="00132EAD">
              <w:rPr>
                <w:szCs w:val="18"/>
              </w:rPr>
              <w:t xml:space="preserve"> axial </w:t>
            </w:r>
            <w:proofErr w:type="spellStart"/>
            <w:r w:rsidRPr="00132EAD">
              <w:rPr>
                <w:szCs w:val="18"/>
              </w:rPr>
              <w:t>spondyloarthritis</w:t>
            </w:r>
            <w:proofErr w:type="spellEnd"/>
            <w:r w:rsidRPr="00132EAD">
              <w:rPr>
                <w:szCs w:val="18"/>
              </w:rPr>
              <w:t xml:space="preserve"> (</w:t>
            </w:r>
            <w:proofErr w:type="spellStart"/>
            <w:r w:rsidRPr="00132EAD">
              <w:rPr>
                <w:szCs w:val="18"/>
              </w:rPr>
              <w:t>nr-axSpA</w:t>
            </w:r>
            <w:proofErr w:type="spellEnd"/>
            <w:r w:rsidRPr="00132EAD">
              <w:rPr>
                <w:szCs w:val="18"/>
              </w:rPr>
              <w:t xml:space="preserve">): Subgroup analysis by baseline MRI and C-reactive protein status. </w:t>
            </w:r>
          </w:p>
        </w:tc>
        <w:tc>
          <w:tcPr>
            <w:tcW w:w="993" w:type="pct"/>
            <w:tcBorders>
              <w:top w:val="nil"/>
              <w:bottom w:val="nil"/>
            </w:tcBorders>
          </w:tcPr>
          <w:p w:rsidR="00B92FAE" w:rsidRPr="00132EAD" w:rsidRDefault="00B92FAE" w:rsidP="00E2366B">
            <w:pPr>
              <w:pStyle w:val="Tabletext"/>
              <w:keepNext/>
              <w:keepLines/>
              <w:spacing w:after="120"/>
            </w:pPr>
            <w:r w:rsidRPr="00132EAD">
              <w:rPr>
                <w:szCs w:val="18"/>
              </w:rPr>
              <w:t>Arthritis and Rheumatology 2016; 68(</w:t>
            </w:r>
            <w:proofErr w:type="spellStart"/>
            <w:r w:rsidRPr="00132EAD">
              <w:rPr>
                <w:szCs w:val="18"/>
              </w:rPr>
              <w:t>Suppl</w:t>
            </w:r>
            <w:proofErr w:type="spellEnd"/>
            <w:r w:rsidRPr="00132EAD">
              <w:rPr>
                <w:szCs w:val="18"/>
              </w:rPr>
              <w:t xml:space="preserve"> 10):943-945</w:t>
            </w:r>
          </w:p>
        </w:tc>
      </w:tr>
      <w:tr w:rsidR="00B92FAE" w:rsidRPr="00132EAD" w:rsidTr="00B92FAE">
        <w:tc>
          <w:tcPr>
            <w:tcW w:w="796" w:type="pct"/>
            <w:vMerge/>
            <w:vAlign w:val="center"/>
          </w:tcPr>
          <w:p w:rsidR="00B92FAE" w:rsidRPr="00132EAD" w:rsidRDefault="00B92FAE" w:rsidP="00E2366B">
            <w:pPr>
              <w:pStyle w:val="Tabletext"/>
              <w:keepNext/>
              <w:keepLines/>
            </w:pPr>
          </w:p>
        </w:tc>
        <w:tc>
          <w:tcPr>
            <w:tcW w:w="3211" w:type="pct"/>
            <w:tcBorders>
              <w:top w:val="nil"/>
              <w:bottom w:val="nil"/>
            </w:tcBorders>
          </w:tcPr>
          <w:p w:rsidR="00B92FAE" w:rsidRPr="00132EAD" w:rsidRDefault="00B92FAE" w:rsidP="00E2366B">
            <w:pPr>
              <w:pStyle w:val="Tabletext"/>
              <w:keepNext/>
              <w:keepLines/>
              <w:spacing w:after="120"/>
              <w:rPr>
                <w:szCs w:val="18"/>
              </w:rPr>
            </w:pPr>
            <w:proofErr w:type="spellStart"/>
            <w:r w:rsidRPr="00132EAD">
              <w:rPr>
                <w:szCs w:val="18"/>
              </w:rPr>
              <w:t>Dougados</w:t>
            </w:r>
            <w:proofErr w:type="spellEnd"/>
            <w:r w:rsidRPr="00132EAD">
              <w:rPr>
                <w:szCs w:val="18"/>
              </w:rPr>
              <w:t xml:space="preserve"> M., Bergman G., </w:t>
            </w:r>
            <w:proofErr w:type="spellStart"/>
            <w:r w:rsidRPr="00132EAD">
              <w:rPr>
                <w:szCs w:val="18"/>
              </w:rPr>
              <w:t>Maksymowych</w:t>
            </w:r>
            <w:proofErr w:type="spellEnd"/>
            <w:r w:rsidRPr="00132EAD">
              <w:rPr>
                <w:szCs w:val="18"/>
              </w:rPr>
              <w:t xml:space="preserve"> W.P., Curtis S., </w:t>
            </w:r>
            <w:proofErr w:type="spellStart"/>
            <w:r w:rsidRPr="00132EAD">
              <w:rPr>
                <w:szCs w:val="18"/>
              </w:rPr>
              <w:t>Huyck</w:t>
            </w:r>
            <w:proofErr w:type="spellEnd"/>
            <w:r w:rsidRPr="00132EAD">
              <w:rPr>
                <w:szCs w:val="18"/>
              </w:rPr>
              <w:t xml:space="preserve"> S., </w:t>
            </w:r>
            <w:proofErr w:type="spellStart"/>
            <w:r w:rsidRPr="00132EAD">
              <w:rPr>
                <w:szCs w:val="18"/>
              </w:rPr>
              <w:t>Tzontcheva</w:t>
            </w:r>
            <w:proofErr w:type="spellEnd"/>
            <w:r w:rsidRPr="00132EAD">
              <w:rPr>
                <w:szCs w:val="18"/>
              </w:rPr>
              <w:t xml:space="preserve"> A., </w:t>
            </w:r>
            <w:proofErr w:type="spellStart"/>
            <w:r w:rsidRPr="00132EAD">
              <w:rPr>
                <w:szCs w:val="18"/>
              </w:rPr>
              <w:t>Sieper</w:t>
            </w:r>
            <w:proofErr w:type="spellEnd"/>
            <w:r w:rsidRPr="00132EAD">
              <w:rPr>
                <w:szCs w:val="18"/>
              </w:rPr>
              <w:t xml:space="preserve"> J. Baseline demographic and disease characteristics associated with response to </w:t>
            </w:r>
            <w:proofErr w:type="spellStart"/>
            <w:r w:rsidRPr="00132EAD">
              <w:rPr>
                <w:szCs w:val="18"/>
              </w:rPr>
              <w:t>golimumab</w:t>
            </w:r>
            <w:proofErr w:type="spellEnd"/>
            <w:r w:rsidRPr="00132EAD">
              <w:rPr>
                <w:szCs w:val="18"/>
              </w:rPr>
              <w:t xml:space="preserve"> in patients with active </w:t>
            </w:r>
            <w:proofErr w:type="spellStart"/>
            <w:r w:rsidRPr="00132EAD">
              <w:rPr>
                <w:szCs w:val="18"/>
              </w:rPr>
              <w:t>nonradiographic</w:t>
            </w:r>
            <w:proofErr w:type="spellEnd"/>
            <w:r w:rsidRPr="00132EAD">
              <w:rPr>
                <w:szCs w:val="18"/>
              </w:rPr>
              <w:t xml:space="preserve"> axial </w:t>
            </w:r>
            <w:proofErr w:type="spellStart"/>
            <w:r w:rsidRPr="00132EAD">
              <w:rPr>
                <w:szCs w:val="18"/>
              </w:rPr>
              <w:t>spondyloarthritis</w:t>
            </w:r>
            <w:proofErr w:type="spellEnd"/>
            <w:r w:rsidRPr="00132EAD">
              <w:rPr>
                <w:szCs w:val="18"/>
              </w:rPr>
              <w:t xml:space="preserve">. </w:t>
            </w:r>
          </w:p>
        </w:tc>
        <w:tc>
          <w:tcPr>
            <w:tcW w:w="993" w:type="pct"/>
            <w:tcBorders>
              <w:top w:val="nil"/>
              <w:bottom w:val="nil"/>
            </w:tcBorders>
          </w:tcPr>
          <w:p w:rsidR="00B92FAE" w:rsidRPr="00132EAD" w:rsidRDefault="00B92FAE" w:rsidP="00E2366B">
            <w:pPr>
              <w:pStyle w:val="Tabletext"/>
              <w:keepNext/>
              <w:keepLines/>
              <w:spacing w:after="120"/>
            </w:pPr>
            <w:r w:rsidRPr="00132EAD">
              <w:rPr>
                <w:szCs w:val="18"/>
              </w:rPr>
              <w:t>Annals of the Rheumatic Diseases. Conference: EULAR 2015. 74(</w:t>
            </w:r>
            <w:proofErr w:type="spellStart"/>
            <w:r w:rsidRPr="00132EAD">
              <w:rPr>
                <w:szCs w:val="18"/>
              </w:rPr>
              <w:t>Suppl</w:t>
            </w:r>
            <w:proofErr w:type="spellEnd"/>
            <w:r w:rsidRPr="00132EAD">
              <w:rPr>
                <w:szCs w:val="18"/>
              </w:rPr>
              <w:t xml:space="preserve"> 2):275</w:t>
            </w:r>
          </w:p>
        </w:tc>
      </w:tr>
      <w:tr w:rsidR="00B92FAE" w:rsidRPr="00132EAD" w:rsidTr="00B92FAE">
        <w:tc>
          <w:tcPr>
            <w:tcW w:w="796" w:type="pct"/>
            <w:vMerge/>
            <w:vAlign w:val="center"/>
          </w:tcPr>
          <w:p w:rsidR="00B92FAE" w:rsidRPr="00132EAD" w:rsidRDefault="00B92FAE" w:rsidP="00E2366B">
            <w:pPr>
              <w:pStyle w:val="Tabletext"/>
              <w:keepNext/>
              <w:keepLines/>
            </w:pPr>
          </w:p>
        </w:tc>
        <w:tc>
          <w:tcPr>
            <w:tcW w:w="3211" w:type="pct"/>
            <w:tcBorders>
              <w:top w:val="nil"/>
              <w:bottom w:val="nil"/>
            </w:tcBorders>
            <w:vAlign w:val="center"/>
          </w:tcPr>
          <w:p w:rsidR="00B92FAE" w:rsidRPr="00132EAD" w:rsidRDefault="00B92FAE" w:rsidP="00E2366B">
            <w:pPr>
              <w:pStyle w:val="Tabletext"/>
              <w:keepNext/>
              <w:keepLines/>
              <w:spacing w:after="120"/>
              <w:rPr>
                <w:szCs w:val="18"/>
              </w:rPr>
            </w:pPr>
            <w:r w:rsidRPr="00132EAD">
              <w:rPr>
                <w:szCs w:val="18"/>
              </w:rPr>
              <w:t xml:space="preserve">Van Der </w:t>
            </w:r>
            <w:proofErr w:type="spellStart"/>
            <w:r w:rsidRPr="00132EAD">
              <w:rPr>
                <w:szCs w:val="18"/>
              </w:rPr>
              <w:t>Heijde</w:t>
            </w:r>
            <w:proofErr w:type="spellEnd"/>
            <w:r w:rsidRPr="00132EAD">
              <w:rPr>
                <w:szCs w:val="18"/>
              </w:rPr>
              <w:t xml:space="preserve"> D., </w:t>
            </w:r>
            <w:proofErr w:type="spellStart"/>
            <w:r w:rsidRPr="00132EAD">
              <w:rPr>
                <w:szCs w:val="18"/>
              </w:rPr>
              <w:t>Dougados</w:t>
            </w:r>
            <w:proofErr w:type="spellEnd"/>
            <w:r w:rsidRPr="00132EAD">
              <w:rPr>
                <w:szCs w:val="18"/>
              </w:rPr>
              <w:t xml:space="preserve"> M., </w:t>
            </w:r>
            <w:proofErr w:type="spellStart"/>
            <w:r w:rsidRPr="00132EAD">
              <w:rPr>
                <w:szCs w:val="18"/>
              </w:rPr>
              <w:t>Maksymowych</w:t>
            </w:r>
            <w:proofErr w:type="spellEnd"/>
            <w:r w:rsidRPr="00132EAD">
              <w:rPr>
                <w:szCs w:val="18"/>
              </w:rPr>
              <w:t xml:space="preserve"> W., Bergman G., Curtis S.P., </w:t>
            </w:r>
            <w:proofErr w:type="spellStart"/>
            <w:r w:rsidRPr="00132EAD">
              <w:rPr>
                <w:szCs w:val="18"/>
              </w:rPr>
              <w:t>Tzontcheva</w:t>
            </w:r>
            <w:proofErr w:type="spellEnd"/>
            <w:r w:rsidRPr="00132EAD">
              <w:rPr>
                <w:szCs w:val="18"/>
              </w:rPr>
              <w:t xml:space="preserve"> A., Philip G., </w:t>
            </w:r>
            <w:proofErr w:type="spellStart"/>
            <w:r w:rsidRPr="00132EAD">
              <w:rPr>
                <w:szCs w:val="18"/>
              </w:rPr>
              <w:t>Huyck</w:t>
            </w:r>
            <w:proofErr w:type="spellEnd"/>
            <w:r w:rsidRPr="00132EAD">
              <w:rPr>
                <w:szCs w:val="18"/>
              </w:rPr>
              <w:t xml:space="preserve"> S., </w:t>
            </w:r>
            <w:proofErr w:type="spellStart"/>
            <w:r w:rsidRPr="00132EAD">
              <w:rPr>
                <w:szCs w:val="18"/>
              </w:rPr>
              <w:t>Sieper</w:t>
            </w:r>
            <w:proofErr w:type="spellEnd"/>
            <w:r w:rsidRPr="00132EAD">
              <w:rPr>
                <w:szCs w:val="18"/>
              </w:rPr>
              <w:t xml:space="preserve"> J. Long-term tolerability and efficacy of </w:t>
            </w:r>
            <w:proofErr w:type="spellStart"/>
            <w:r w:rsidRPr="00132EAD">
              <w:rPr>
                <w:szCs w:val="18"/>
              </w:rPr>
              <w:t>golimumab</w:t>
            </w:r>
            <w:proofErr w:type="spellEnd"/>
            <w:r w:rsidRPr="00132EAD">
              <w:rPr>
                <w:szCs w:val="18"/>
              </w:rPr>
              <w:t xml:space="preserve"> in active </w:t>
            </w:r>
            <w:proofErr w:type="spellStart"/>
            <w:r w:rsidRPr="00132EAD">
              <w:rPr>
                <w:szCs w:val="18"/>
              </w:rPr>
              <w:t>nonradiographic</w:t>
            </w:r>
            <w:proofErr w:type="spellEnd"/>
            <w:r w:rsidRPr="00132EAD">
              <w:rPr>
                <w:szCs w:val="18"/>
              </w:rPr>
              <w:t xml:space="preserve"> axial </w:t>
            </w:r>
            <w:proofErr w:type="spellStart"/>
            <w:r w:rsidRPr="00132EAD">
              <w:rPr>
                <w:szCs w:val="18"/>
              </w:rPr>
              <w:t>spondyloarthritis</w:t>
            </w:r>
            <w:proofErr w:type="spellEnd"/>
            <w:r w:rsidRPr="00132EAD">
              <w:rPr>
                <w:szCs w:val="18"/>
              </w:rPr>
              <w:t xml:space="preserve">: Results from the open-label extension of a randomized, double-blind study. </w:t>
            </w:r>
          </w:p>
        </w:tc>
        <w:tc>
          <w:tcPr>
            <w:tcW w:w="993" w:type="pct"/>
            <w:tcBorders>
              <w:top w:val="nil"/>
              <w:bottom w:val="nil"/>
            </w:tcBorders>
            <w:vAlign w:val="center"/>
          </w:tcPr>
          <w:p w:rsidR="00B92FAE" w:rsidRPr="00132EAD" w:rsidRDefault="00B92FAE" w:rsidP="00E2366B">
            <w:pPr>
              <w:pStyle w:val="Tabletext"/>
              <w:keepNext/>
              <w:keepLines/>
              <w:spacing w:after="120"/>
            </w:pPr>
            <w:r w:rsidRPr="00132EAD">
              <w:rPr>
                <w:szCs w:val="18"/>
              </w:rPr>
              <w:t>Arthritis and Rheumatology Annual Scientific Meeting, ACR/ARHP 2015. 67(</w:t>
            </w:r>
            <w:proofErr w:type="spellStart"/>
            <w:r w:rsidRPr="00132EAD">
              <w:rPr>
                <w:szCs w:val="18"/>
              </w:rPr>
              <w:t>Suppl</w:t>
            </w:r>
            <w:proofErr w:type="spellEnd"/>
            <w:r w:rsidRPr="00132EAD">
              <w:rPr>
                <w:szCs w:val="18"/>
              </w:rPr>
              <w:t xml:space="preserve"> 10):1</w:t>
            </w:r>
          </w:p>
        </w:tc>
      </w:tr>
      <w:tr w:rsidR="00B92FAE" w:rsidRPr="00132EAD" w:rsidTr="00B92FAE">
        <w:tc>
          <w:tcPr>
            <w:tcW w:w="796" w:type="pct"/>
            <w:vMerge/>
            <w:tcBorders>
              <w:bottom w:val="single" w:sz="4" w:space="0" w:color="auto"/>
            </w:tcBorders>
            <w:vAlign w:val="center"/>
          </w:tcPr>
          <w:p w:rsidR="00B92FAE" w:rsidRPr="00132EAD" w:rsidRDefault="00B92FAE" w:rsidP="00E2366B">
            <w:pPr>
              <w:pStyle w:val="Tabletext"/>
              <w:keepNext/>
              <w:keepLines/>
            </w:pPr>
          </w:p>
        </w:tc>
        <w:tc>
          <w:tcPr>
            <w:tcW w:w="3211" w:type="pct"/>
            <w:tcBorders>
              <w:top w:val="nil"/>
              <w:bottom w:val="single" w:sz="4" w:space="0" w:color="auto"/>
            </w:tcBorders>
            <w:vAlign w:val="center"/>
          </w:tcPr>
          <w:p w:rsidR="00B92FAE" w:rsidRPr="00132EAD" w:rsidRDefault="00B92FAE" w:rsidP="00E2366B">
            <w:pPr>
              <w:pStyle w:val="Tabletext"/>
              <w:keepNext/>
              <w:keepLines/>
              <w:spacing w:after="120"/>
              <w:rPr>
                <w:szCs w:val="18"/>
              </w:rPr>
            </w:pPr>
            <w:r w:rsidRPr="00132EAD">
              <w:rPr>
                <w:szCs w:val="18"/>
              </w:rPr>
              <w:t xml:space="preserve">Van Der </w:t>
            </w:r>
            <w:proofErr w:type="spellStart"/>
            <w:r w:rsidRPr="00132EAD">
              <w:rPr>
                <w:szCs w:val="18"/>
              </w:rPr>
              <w:t>Heijde</w:t>
            </w:r>
            <w:proofErr w:type="spellEnd"/>
            <w:r w:rsidRPr="00132EAD">
              <w:rPr>
                <w:szCs w:val="18"/>
              </w:rPr>
              <w:t xml:space="preserve"> D., </w:t>
            </w:r>
            <w:proofErr w:type="spellStart"/>
            <w:r w:rsidRPr="00132EAD">
              <w:rPr>
                <w:szCs w:val="18"/>
              </w:rPr>
              <w:t>Dougados</w:t>
            </w:r>
            <w:proofErr w:type="spellEnd"/>
            <w:r w:rsidRPr="00132EAD">
              <w:rPr>
                <w:szCs w:val="18"/>
              </w:rPr>
              <w:t xml:space="preserve"> M., </w:t>
            </w:r>
            <w:proofErr w:type="spellStart"/>
            <w:r w:rsidRPr="00132EAD">
              <w:rPr>
                <w:szCs w:val="18"/>
              </w:rPr>
              <w:t>Maksymowych</w:t>
            </w:r>
            <w:proofErr w:type="spellEnd"/>
            <w:r w:rsidRPr="00132EAD">
              <w:rPr>
                <w:szCs w:val="18"/>
              </w:rPr>
              <w:t xml:space="preserve"> W.P., Braun J., Bergman G., Curtis S.P., </w:t>
            </w:r>
            <w:proofErr w:type="spellStart"/>
            <w:r w:rsidRPr="00132EAD">
              <w:rPr>
                <w:szCs w:val="18"/>
              </w:rPr>
              <w:t>Tzontcheva</w:t>
            </w:r>
            <w:proofErr w:type="spellEnd"/>
            <w:r w:rsidRPr="00132EAD">
              <w:rPr>
                <w:szCs w:val="18"/>
              </w:rPr>
              <w:t xml:space="preserve"> A., Philip G., </w:t>
            </w:r>
            <w:proofErr w:type="spellStart"/>
            <w:r w:rsidRPr="00132EAD">
              <w:rPr>
                <w:szCs w:val="18"/>
              </w:rPr>
              <w:t>Huyck</w:t>
            </w:r>
            <w:proofErr w:type="spellEnd"/>
            <w:r w:rsidRPr="00132EAD">
              <w:rPr>
                <w:szCs w:val="18"/>
              </w:rPr>
              <w:t xml:space="preserve"> S., </w:t>
            </w:r>
            <w:proofErr w:type="spellStart"/>
            <w:r w:rsidRPr="00132EAD">
              <w:rPr>
                <w:szCs w:val="18"/>
              </w:rPr>
              <w:t>Sieper</w:t>
            </w:r>
            <w:proofErr w:type="spellEnd"/>
            <w:r w:rsidRPr="00132EAD">
              <w:rPr>
                <w:szCs w:val="18"/>
              </w:rPr>
              <w:t xml:space="preserve"> J. Long-term efficacy and tolerability of </w:t>
            </w:r>
            <w:proofErr w:type="spellStart"/>
            <w:r w:rsidRPr="00132EAD">
              <w:rPr>
                <w:szCs w:val="18"/>
              </w:rPr>
              <w:t>golimumab</w:t>
            </w:r>
            <w:proofErr w:type="spellEnd"/>
            <w:r w:rsidRPr="00132EAD">
              <w:rPr>
                <w:szCs w:val="18"/>
              </w:rPr>
              <w:t xml:space="preserve"> in active </w:t>
            </w:r>
            <w:proofErr w:type="spellStart"/>
            <w:r w:rsidRPr="00132EAD">
              <w:rPr>
                <w:szCs w:val="18"/>
              </w:rPr>
              <w:t>nonradiographic</w:t>
            </w:r>
            <w:proofErr w:type="spellEnd"/>
            <w:r w:rsidRPr="00132EAD">
              <w:rPr>
                <w:szCs w:val="18"/>
              </w:rPr>
              <w:t xml:space="preserve"> axial </w:t>
            </w:r>
            <w:proofErr w:type="spellStart"/>
            <w:r w:rsidRPr="00132EAD">
              <w:rPr>
                <w:szCs w:val="18"/>
              </w:rPr>
              <w:t>spondyloarthritis</w:t>
            </w:r>
            <w:proofErr w:type="spellEnd"/>
            <w:r w:rsidRPr="00132EAD">
              <w:rPr>
                <w:szCs w:val="18"/>
              </w:rPr>
              <w:t xml:space="preserve">: Results of the open-label extension of a randomized, double-blind study. </w:t>
            </w:r>
          </w:p>
        </w:tc>
        <w:tc>
          <w:tcPr>
            <w:tcW w:w="993" w:type="pct"/>
            <w:tcBorders>
              <w:top w:val="nil"/>
              <w:bottom w:val="single" w:sz="4" w:space="0" w:color="auto"/>
            </w:tcBorders>
            <w:vAlign w:val="center"/>
          </w:tcPr>
          <w:p w:rsidR="00B92FAE" w:rsidRPr="00132EAD" w:rsidRDefault="00B92FAE" w:rsidP="00E2366B">
            <w:pPr>
              <w:pStyle w:val="Tabletext"/>
              <w:keepNext/>
              <w:keepLines/>
              <w:spacing w:after="120"/>
            </w:pPr>
            <w:r w:rsidRPr="00132EAD">
              <w:rPr>
                <w:szCs w:val="18"/>
              </w:rPr>
              <w:t>Annals of the Rheumatic Diseases. Conference: EULAR 2016. 75(</w:t>
            </w:r>
            <w:proofErr w:type="spellStart"/>
            <w:r w:rsidRPr="00132EAD">
              <w:rPr>
                <w:szCs w:val="18"/>
              </w:rPr>
              <w:t>Suppl</w:t>
            </w:r>
            <w:proofErr w:type="spellEnd"/>
            <w:r w:rsidRPr="00132EAD">
              <w:rPr>
                <w:szCs w:val="18"/>
              </w:rPr>
              <w:t xml:space="preserve"> 2):808-809</w:t>
            </w:r>
          </w:p>
        </w:tc>
      </w:tr>
    </w:tbl>
    <w:p w:rsidR="00B92FAE" w:rsidRPr="00132EAD" w:rsidRDefault="00B92FAE" w:rsidP="00470AB9">
      <w:pPr>
        <w:pStyle w:val="TableFooter"/>
        <w:keepNext/>
        <w:keepLines/>
      </w:pPr>
      <w:r w:rsidRPr="00132EAD">
        <w:t>Source: Table 2.4 and Table 2.5, pp56-59 of the submission.</w:t>
      </w:r>
    </w:p>
    <w:p w:rsidR="002D0357" w:rsidRPr="00132EAD" w:rsidRDefault="002D0357" w:rsidP="002D0357">
      <w:pPr>
        <w:widowControl/>
        <w:rPr>
          <w:i/>
          <w:iCs/>
        </w:rPr>
      </w:pPr>
    </w:p>
    <w:p w:rsidR="00A038E6" w:rsidRPr="00132EAD" w:rsidRDefault="00826DA9" w:rsidP="002D0357">
      <w:pPr>
        <w:pStyle w:val="ListParagraph"/>
        <w:widowControl/>
        <w:numPr>
          <w:ilvl w:val="1"/>
          <w:numId w:val="3"/>
        </w:numPr>
        <w:rPr>
          <w:rFonts w:cs="Calibri"/>
          <w:snapToGrid/>
          <w:szCs w:val="24"/>
          <w:lang w:eastAsia="en-AU"/>
        </w:rPr>
      </w:pPr>
      <w:r w:rsidRPr="00132EAD">
        <w:rPr>
          <w:rFonts w:cs="Calibri"/>
          <w:snapToGrid/>
          <w:szCs w:val="24"/>
          <w:lang w:eastAsia="en-AU"/>
        </w:rPr>
        <w:t>Table 3 presents the key features of the included trials.</w:t>
      </w:r>
    </w:p>
    <w:p w:rsidR="00BA32A7" w:rsidRPr="00132EAD" w:rsidRDefault="00BA32A7" w:rsidP="00470AB9">
      <w:pPr>
        <w:keepNext/>
        <w:keepLines/>
        <w:rPr>
          <w:rFonts w:ascii="Arial Narrow" w:hAnsi="Arial Narrow"/>
          <w:b/>
          <w:bCs/>
          <w:iCs/>
          <w:sz w:val="20"/>
          <w:szCs w:val="20"/>
        </w:rPr>
      </w:pPr>
      <w:r w:rsidRPr="00132EAD">
        <w:rPr>
          <w:rFonts w:ascii="Arial Narrow" w:hAnsi="Arial Narrow"/>
          <w:b/>
          <w:bCs/>
          <w:iCs/>
          <w:sz w:val="20"/>
          <w:szCs w:val="20"/>
        </w:rPr>
        <w:lastRenderedPageBreak/>
        <w:t>Table 3: Key features of the included evidence</w:t>
      </w:r>
    </w:p>
    <w:tbl>
      <w:tblPr>
        <w:tblStyle w:val="TableGrid"/>
        <w:tblW w:w="5000" w:type="pct"/>
        <w:tblCellMar>
          <w:left w:w="28" w:type="dxa"/>
          <w:right w:w="28" w:type="dxa"/>
        </w:tblCellMar>
        <w:tblLook w:val="04A0" w:firstRow="1" w:lastRow="0" w:firstColumn="1" w:lastColumn="0" w:noHBand="0" w:noVBand="1"/>
        <w:tblCaption w:val="Table 3: Key features of the included evidence"/>
      </w:tblPr>
      <w:tblGrid>
        <w:gridCol w:w="847"/>
        <w:gridCol w:w="566"/>
        <w:gridCol w:w="2126"/>
        <w:gridCol w:w="426"/>
        <w:gridCol w:w="1417"/>
        <w:gridCol w:w="1134"/>
        <w:gridCol w:w="2501"/>
      </w:tblGrid>
      <w:tr w:rsidR="00BA32A7" w:rsidRPr="00132EAD" w:rsidTr="00657498">
        <w:trPr>
          <w:tblHeader/>
        </w:trPr>
        <w:tc>
          <w:tcPr>
            <w:tcW w:w="469" w:type="pct"/>
          </w:tcPr>
          <w:p w:rsidR="00BA32A7" w:rsidRPr="00132EAD" w:rsidRDefault="00BA32A7" w:rsidP="00470AB9">
            <w:pPr>
              <w:keepNext/>
              <w:keepLines/>
              <w:rPr>
                <w:rFonts w:ascii="Arial Narrow" w:hAnsi="Arial Narrow"/>
                <w:b/>
                <w:bCs/>
                <w:iCs/>
                <w:sz w:val="20"/>
                <w:szCs w:val="20"/>
              </w:rPr>
            </w:pPr>
            <w:r w:rsidRPr="00132EAD">
              <w:rPr>
                <w:rFonts w:ascii="Arial Narrow" w:hAnsi="Arial Narrow"/>
                <w:b/>
                <w:bCs/>
                <w:iCs/>
                <w:sz w:val="20"/>
                <w:szCs w:val="20"/>
              </w:rPr>
              <w:t>Trial</w:t>
            </w:r>
          </w:p>
        </w:tc>
        <w:tc>
          <w:tcPr>
            <w:tcW w:w="314" w:type="pct"/>
            <w:vAlign w:val="center"/>
          </w:tcPr>
          <w:p w:rsidR="00BA32A7" w:rsidRPr="00132EAD" w:rsidRDefault="00BA32A7" w:rsidP="00470AB9">
            <w:pPr>
              <w:keepNext/>
              <w:keepLines/>
              <w:jc w:val="center"/>
              <w:rPr>
                <w:rFonts w:ascii="Arial Narrow" w:hAnsi="Arial Narrow"/>
                <w:b/>
                <w:bCs/>
                <w:iCs/>
                <w:sz w:val="20"/>
                <w:szCs w:val="20"/>
              </w:rPr>
            </w:pPr>
            <w:r w:rsidRPr="00132EAD">
              <w:rPr>
                <w:rFonts w:ascii="Arial Narrow" w:hAnsi="Arial Narrow"/>
                <w:b/>
                <w:bCs/>
                <w:iCs/>
                <w:sz w:val="20"/>
                <w:szCs w:val="20"/>
              </w:rPr>
              <w:t>N</w:t>
            </w:r>
          </w:p>
        </w:tc>
        <w:tc>
          <w:tcPr>
            <w:tcW w:w="1179" w:type="pct"/>
            <w:vAlign w:val="center"/>
          </w:tcPr>
          <w:p w:rsidR="00BA32A7" w:rsidRPr="00132EAD" w:rsidRDefault="00BA32A7" w:rsidP="00470AB9">
            <w:pPr>
              <w:keepNext/>
              <w:keepLines/>
              <w:jc w:val="center"/>
              <w:rPr>
                <w:rFonts w:ascii="Arial Narrow" w:hAnsi="Arial Narrow"/>
                <w:b/>
                <w:bCs/>
                <w:iCs/>
                <w:sz w:val="20"/>
                <w:szCs w:val="20"/>
              </w:rPr>
            </w:pPr>
            <w:r w:rsidRPr="00132EAD">
              <w:rPr>
                <w:rFonts w:ascii="Arial Narrow" w:hAnsi="Arial Narrow"/>
                <w:b/>
                <w:bCs/>
                <w:iCs/>
                <w:sz w:val="20"/>
                <w:szCs w:val="20"/>
              </w:rPr>
              <w:t>Design/duration</w:t>
            </w:r>
          </w:p>
        </w:tc>
        <w:tc>
          <w:tcPr>
            <w:tcW w:w="236" w:type="pct"/>
            <w:vAlign w:val="center"/>
          </w:tcPr>
          <w:p w:rsidR="00BA32A7" w:rsidRPr="00132EAD" w:rsidRDefault="00BA32A7" w:rsidP="00470AB9">
            <w:pPr>
              <w:keepNext/>
              <w:keepLines/>
              <w:jc w:val="center"/>
              <w:rPr>
                <w:rFonts w:ascii="Arial Narrow" w:hAnsi="Arial Narrow"/>
                <w:b/>
                <w:bCs/>
                <w:iCs/>
                <w:sz w:val="20"/>
                <w:szCs w:val="20"/>
              </w:rPr>
            </w:pPr>
            <w:r w:rsidRPr="00132EAD">
              <w:rPr>
                <w:rFonts w:ascii="Arial Narrow" w:hAnsi="Arial Narrow"/>
                <w:b/>
                <w:bCs/>
                <w:iCs/>
                <w:sz w:val="20"/>
                <w:szCs w:val="20"/>
              </w:rPr>
              <w:t>Bias</w:t>
            </w:r>
          </w:p>
        </w:tc>
        <w:tc>
          <w:tcPr>
            <w:tcW w:w="786" w:type="pct"/>
            <w:vAlign w:val="center"/>
          </w:tcPr>
          <w:p w:rsidR="00BA32A7" w:rsidRPr="00132EAD" w:rsidRDefault="00BA32A7" w:rsidP="00470AB9">
            <w:pPr>
              <w:keepNext/>
              <w:keepLines/>
              <w:jc w:val="center"/>
              <w:rPr>
                <w:rFonts w:ascii="Arial Narrow" w:hAnsi="Arial Narrow"/>
                <w:b/>
                <w:bCs/>
                <w:iCs/>
                <w:sz w:val="20"/>
                <w:szCs w:val="20"/>
              </w:rPr>
            </w:pPr>
            <w:r w:rsidRPr="00132EAD">
              <w:rPr>
                <w:rFonts w:ascii="Arial Narrow" w:hAnsi="Arial Narrow"/>
                <w:b/>
                <w:bCs/>
                <w:iCs/>
                <w:sz w:val="20"/>
                <w:szCs w:val="20"/>
              </w:rPr>
              <w:t>Treatment arms</w:t>
            </w:r>
          </w:p>
        </w:tc>
        <w:tc>
          <w:tcPr>
            <w:tcW w:w="629" w:type="pct"/>
            <w:vAlign w:val="center"/>
          </w:tcPr>
          <w:p w:rsidR="00BA32A7" w:rsidRPr="00132EAD" w:rsidRDefault="00BA32A7" w:rsidP="00470AB9">
            <w:pPr>
              <w:keepNext/>
              <w:keepLines/>
              <w:jc w:val="center"/>
              <w:rPr>
                <w:rFonts w:ascii="Arial Narrow" w:hAnsi="Arial Narrow"/>
                <w:b/>
                <w:bCs/>
                <w:iCs/>
                <w:sz w:val="20"/>
                <w:szCs w:val="20"/>
              </w:rPr>
            </w:pPr>
            <w:r w:rsidRPr="00132EAD">
              <w:rPr>
                <w:rFonts w:ascii="Arial Narrow" w:hAnsi="Arial Narrow"/>
                <w:b/>
                <w:bCs/>
                <w:iCs/>
                <w:sz w:val="20"/>
                <w:szCs w:val="20"/>
              </w:rPr>
              <w:t>Population</w:t>
            </w:r>
          </w:p>
        </w:tc>
        <w:tc>
          <w:tcPr>
            <w:tcW w:w="1387" w:type="pct"/>
            <w:vAlign w:val="center"/>
          </w:tcPr>
          <w:p w:rsidR="00BA32A7" w:rsidRPr="00132EAD" w:rsidRDefault="00BA32A7" w:rsidP="00470AB9">
            <w:pPr>
              <w:keepNext/>
              <w:keepLines/>
              <w:jc w:val="center"/>
              <w:rPr>
                <w:rFonts w:ascii="Arial Narrow" w:hAnsi="Arial Narrow"/>
                <w:b/>
                <w:bCs/>
                <w:iCs/>
                <w:sz w:val="20"/>
                <w:szCs w:val="20"/>
              </w:rPr>
            </w:pPr>
            <w:r w:rsidRPr="00132EAD">
              <w:rPr>
                <w:rFonts w:ascii="Arial Narrow" w:hAnsi="Arial Narrow"/>
                <w:b/>
                <w:bCs/>
                <w:iCs/>
                <w:sz w:val="20"/>
                <w:szCs w:val="20"/>
              </w:rPr>
              <w:t>Key efficacy outcomes</w:t>
            </w:r>
          </w:p>
        </w:tc>
      </w:tr>
      <w:tr w:rsidR="00BA32A7" w:rsidRPr="00132EAD" w:rsidTr="00BA32A7">
        <w:tc>
          <w:tcPr>
            <w:tcW w:w="5000" w:type="pct"/>
            <w:gridSpan w:val="7"/>
          </w:tcPr>
          <w:p w:rsidR="00BA32A7" w:rsidRPr="00132EAD" w:rsidRDefault="00BA32A7" w:rsidP="00470AB9">
            <w:pPr>
              <w:keepNext/>
              <w:keepLines/>
              <w:rPr>
                <w:rFonts w:ascii="Arial Narrow" w:hAnsi="Arial Narrow"/>
                <w:iCs/>
                <w:sz w:val="20"/>
                <w:szCs w:val="20"/>
              </w:rPr>
            </w:pPr>
            <w:r w:rsidRPr="00132EAD">
              <w:rPr>
                <w:rFonts w:ascii="Arial Narrow" w:hAnsi="Arial Narrow"/>
                <w:iCs/>
                <w:sz w:val="20"/>
                <w:szCs w:val="20"/>
              </w:rPr>
              <w:t>CZP vs PBO</w:t>
            </w:r>
          </w:p>
        </w:tc>
      </w:tr>
      <w:tr w:rsidR="00BA32A7" w:rsidRPr="00132EAD" w:rsidTr="00BA32A7">
        <w:tc>
          <w:tcPr>
            <w:tcW w:w="469"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AS0006</w:t>
            </w:r>
          </w:p>
        </w:tc>
        <w:tc>
          <w:tcPr>
            <w:tcW w:w="314"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317</w:t>
            </w:r>
          </w:p>
        </w:tc>
        <w:tc>
          <w:tcPr>
            <w:tcW w:w="1179"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R, MC, PC, DB 52wk / OL extension; rescue ≥</w:t>
            </w:r>
            <w:proofErr w:type="spellStart"/>
            <w:r w:rsidRPr="00132EAD">
              <w:rPr>
                <w:rFonts w:ascii="Arial Narrow" w:hAnsi="Arial Narrow"/>
                <w:iCs/>
                <w:sz w:val="20"/>
                <w:szCs w:val="20"/>
              </w:rPr>
              <w:t>Wk</w:t>
            </w:r>
            <w:proofErr w:type="spellEnd"/>
            <w:r w:rsidRPr="00132EAD">
              <w:rPr>
                <w:rFonts w:ascii="Arial Narrow" w:hAnsi="Arial Narrow"/>
                <w:iCs/>
                <w:sz w:val="20"/>
                <w:szCs w:val="20"/>
              </w:rPr>
              <w:t xml:space="preserve"> 0</w:t>
            </w:r>
            <w:r w:rsidRPr="00132EAD">
              <w:rPr>
                <w:rFonts w:ascii="Arial Narrow" w:hAnsi="Arial Narrow"/>
                <w:iCs/>
                <w:sz w:val="20"/>
                <w:szCs w:val="20"/>
                <w:vertAlign w:val="superscript"/>
              </w:rPr>
              <w:t>a</w:t>
            </w:r>
          </w:p>
        </w:tc>
        <w:tc>
          <w:tcPr>
            <w:tcW w:w="236"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Low</w:t>
            </w:r>
          </w:p>
        </w:tc>
        <w:tc>
          <w:tcPr>
            <w:tcW w:w="786"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CZP 200mg Q2W</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PBO</w:t>
            </w:r>
          </w:p>
        </w:tc>
        <w:tc>
          <w:tcPr>
            <w:tcW w:w="629" w:type="pct"/>
            <w:vAlign w:val="center"/>
          </w:tcPr>
          <w:p w:rsidR="00BA32A7" w:rsidRPr="00132EAD" w:rsidRDefault="00BA32A7" w:rsidP="00470AB9">
            <w:pPr>
              <w:keepNext/>
              <w:keepLines/>
              <w:jc w:val="left"/>
              <w:rPr>
                <w:rFonts w:ascii="Arial Narrow" w:hAnsi="Arial Narrow"/>
                <w:iCs/>
                <w:sz w:val="20"/>
                <w:szCs w:val="20"/>
              </w:rPr>
            </w:pPr>
            <w:proofErr w:type="spellStart"/>
            <w:r w:rsidRPr="00132EAD">
              <w:rPr>
                <w:rFonts w:ascii="Arial Narrow" w:hAnsi="Arial Narrow"/>
                <w:iCs/>
                <w:sz w:val="20"/>
                <w:szCs w:val="20"/>
              </w:rPr>
              <w:t>nr-axSpA</w:t>
            </w:r>
            <w:proofErr w:type="spellEnd"/>
            <w:r w:rsidRPr="00132EAD">
              <w:rPr>
                <w:rFonts w:ascii="Arial Narrow" w:hAnsi="Arial Narrow"/>
                <w:iCs/>
                <w:sz w:val="20"/>
                <w:szCs w:val="20"/>
              </w:rPr>
              <w:t xml:space="preserve"> plus OSI</w:t>
            </w:r>
            <w:r w:rsidR="001077A2" w:rsidRPr="00132EAD">
              <w:rPr>
                <w:rFonts w:ascii="Arial Narrow" w:hAnsi="Arial Narrow"/>
                <w:iCs/>
                <w:sz w:val="20"/>
                <w:szCs w:val="20"/>
                <w:vertAlign w:val="superscript"/>
              </w:rPr>
              <w:t>#</w:t>
            </w:r>
          </w:p>
        </w:tc>
        <w:tc>
          <w:tcPr>
            <w:tcW w:w="1387"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1°: ASDAS-MI (Wk52) and ASAS40 (Wk12)</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2°: Δ BASDAI (other: BASDAI50, ASAS20, ASDAS)</w:t>
            </w:r>
          </w:p>
        </w:tc>
      </w:tr>
      <w:tr w:rsidR="00BA32A7" w:rsidRPr="00132EAD" w:rsidTr="00BA32A7">
        <w:tc>
          <w:tcPr>
            <w:tcW w:w="469"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AS001</w:t>
            </w:r>
          </w:p>
        </w:tc>
        <w:tc>
          <w:tcPr>
            <w:tcW w:w="314"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325</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(147^)</w:t>
            </w:r>
          </w:p>
        </w:tc>
        <w:tc>
          <w:tcPr>
            <w:tcW w:w="1179"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 xml:space="preserve">R, MC, PC, DB 24wk / DSB and OL extension; </w:t>
            </w:r>
            <w:proofErr w:type="spellStart"/>
            <w:r w:rsidRPr="00132EAD">
              <w:rPr>
                <w:rFonts w:ascii="Arial Narrow" w:hAnsi="Arial Narrow"/>
                <w:iCs/>
                <w:sz w:val="20"/>
                <w:szCs w:val="20"/>
              </w:rPr>
              <w:t>bDMARD</w:t>
            </w:r>
            <w:proofErr w:type="spellEnd"/>
            <w:r w:rsidRPr="00132EAD">
              <w:rPr>
                <w:rFonts w:ascii="Arial Narrow" w:hAnsi="Arial Narrow"/>
                <w:iCs/>
                <w:sz w:val="20"/>
                <w:szCs w:val="20"/>
              </w:rPr>
              <w:t xml:space="preserve"> rescue in PBO arm wk16</w:t>
            </w:r>
            <w:r w:rsidRPr="00132EAD">
              <w:rPr>
                <w:rFonts w:ascii="Arial Narrow" w:hAnsi="Arial Narrow"/>
                <w:iCs/>
                <w:sz w:val="20"/>
                <w:szCs w:val="20"/>
                <w:vertAlign w:val="superscript"/>
              </w:rPr>
              <w:t>b</w:t>
            </w:r>
          </w:p>
        </w:tc>
        <w:tc>
          <w:tcPr>
            <w:tcW w:w="236"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Low</w:t>
            </w:r>
          </w:p>
        </w:tc>
        <w:tc>
          <w:tcPr>
            <w:tcW w:w="786"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CZP 200mg Q2W</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CZP 400mg Q4W</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PBO</w:t>
            </w:r>
          </w:p>
        </w:tc>
        <w:tc>
          <w:tcPr>
            <w:tcW w:w="629" w:type="pct"/>
            <w:vAlign w:val="center"/>
          </w:tcPr>
          <w:p w:rsidR="00BA32A7" w:rsidRPr="00132EAD" w:rsidRDefault="00BA32A7" w:rsidP="00470AB9">
            <w:pPr>
              <w:keepNext/>
              <w:keepLines/>
              <w:jc w:val="left"/>
              <w:rPr>
                <w:rFonts w:ascii="Arial Narrow" w:hAnsi="Arial Narrow"/>
                <w:iCs/>
                <w:sz w:val="20"/>
                <w:szCs w:val="20"/>
                <w:vertAlign w:val="superscript"/>
              </w:rPr>
            </w:pPr>
            <w:r w:rsidRPr="00132EAD">
              <w:rPr>
                <w:rFonts w:ascii="Arial Narrow" w:hAnsi="Arial Narrow"/>
                <w:iCs/>
                <w:sz w:val="20"/>
                <w:szCs w:val="20"/>
              </w:rPr>
              <w:t xml:space="preserve">AS and </w:t>
            </w:r>
            <w:proofErr w:type="spellStart"/>
            <w:r w:rsidRPr="00132EAD">
              <w:rPr>
                <w:rFonts w:ascii="Arial Narrow" w:hAnsi="Arial Narrow"/>
                <w:iCs/>
                <w:sz w:val="20"/>
                <w:szCs w:val="20"/>
              </w:rPr>
              <w:t>nr-axSpA</w:t>
            </w:r>
            <w:proofErr w:type="spellEnd"/>
            <w:r w:rsidRPr="00132EAD">
              <w:rPr>
                <w:rFonts w:ascii="Arial Narrow" w:hAnsi="Arial Narrow"/>
                <w:iCs/>
                <w:sz w:val="20"/>
                <w:szCs w:val="20"/>
              </w:rPr>
              <w:t xml:space="preserve"> plus OSI</w:t>
            </w:r>
            <w:r w:rsidR="001077A2" w:rsidRPr="00132EAD">
              <w:rPr>
                <w:rFonts w:ascii="Arial Narrow" w:hAnsi="Arial Narrow"/>
                <w:iCs/>
                <w:sz w:val="20"/>
                <w:szCs w:val="20"/>
                <w:vertAlign w:val="superscript"/>
              </w:rPr>
              <w:t>#</w:t>
            </w:r>
          </w:p>
        </w:tc>
        <w:tc>
          <w:tcPr>
            <w:tcW w:w="1387"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1°: ASAS20 (wk12)</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2°: BASDAI50, ASAS40 (other: ASDAS)</w:t>
            </w:r>
          </w:p>
        </w:tc>
      </w:tr>
      <w:tr w:rsidR="00BA32A7" w:rsidRPr="00132EAD" w:rsidTr="00BA32A7">
        <w:tc>
          <w:tcPr>
            <w:tcW w:w="5000" w:type="pct"/>
            <w:gridSpan w:val="7"/>
          </w:tcPr>
          <w:p w:rsidR="00BA32A7" w:rsidRPr="00132EAD" w:rsidRDefault="00BA32A7" w:rsidP="00470AB9">
            <w:pPr>
              <w:keepNext/>
              <w:keepLines/>
              <w:rPr>
                <w:rFonts w:ascii="Arial Narrow" w:hAnsi="Arial Narrow"/>
                <w:iCs/>
                <w:sz w:val="20"/>
                <w:szCs w:val="20"/>
              </w:rPr>
            </w:pPr>
            <w:r w:rsidRPr="00132EAD">
              <w:rPr>
                <w:rFonts w:ascii="Arial Narrow" w:hAnsi="Arial Narrow"/>
                <w:iCs/>
                <w:sz w:val="20"/>
                <w:szCs w:val="20"/>
              </w:rPr>
              <w:t>GLM vs PBO</w:t>
            </w:r>
          </w:p>
        </w:tc>
      </w:tr>
      <w:tr w:rsidR="00BA32A7" w:rsidRPr="00132EAD" w:rsidTr="00BA32A7">
        <w:tc>
          <w:tcPr>
            <w:tcW w:w="469"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GO-AHEAD</w:t>
            </w:r>
          </w:p>
        </w:tc>
        <w:tc>
          <w:tcPr>
            <w:tcW w:w="314"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198</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(158^)</w:t>
            </w:r>
          </w:p>
        </w:tc>
        <w:tc>
          <w:tcPr>
            <w:tcW w:w="1179" w:type="pct"/>
            <w:vAlign w:val="center"/>
          </w:tcPr>
          <w:p w:rsidR="00BA32A7" w:rsidRPr="00132EAD" w:rsidRDefault="00BA32A7" w:rsidP="00470AB9">
            <w:pPr>
              <w:keepNext/>
              <w:keepLines/>
              <w:jc w:val="left"/>
              <w:rPr>
                <w:rFonts w:ascii="Arial Narrow" w:hAnsi="Arial Narrow"/>
                <w:iCs/>
                <w:sz w:val="20"/>
                <w:szCs w:val="20"/>
                <w:vertAlign w:val="superscript"/>
              </w:rPr>
            </w:pPr>
            <w:r w:rsidRPr="00132EAD">
              <w:rPr>
                <w:rFonts w:ascii="Arial Narrow" w:hAnsi="Arial Narrow"/>
                <w:iCs/>
                <w:sz w:val="20"/>
                <w:szCs w:val="20"/>
              </w:rPr>
              <w:t xml:space="preserve">R, MC, PC, DB 16wk/ OL extension; no </w:t>
            </w:r>
            <w:proofErr w:type="spellStart"/>
            <w:r w:rsidRPr="00132EAD">
              <w:rPr>
                <w:rFonts w:ascii="Arial Narrow" w:hAnsi="Arial Narrow"/>
                <w:iCs/>
                <w:sz w:val="20"/>
                <w:szCs w:val="20"/>
              </w:rPr>
              <w:t>rescue</w:t>
            </w:r>
            <w:r w:rsidR="00BD7AB8" w:rsidRPr="00132EAD">
              <w:rPr>
                <w:rFonts w:ascii="Arial Narrow" w:hAnsi="Arial Narrow"/>
                <w:iCs/>
                <w:sz w:val="20"/>
                <w:szCs w:val="20"/>
                <w:vertAlign w:val="superscript"/>
              </w:rPr>
              <w:t>c</w:t>
            </w:r>
            <w:proofErr w:type="spellEnd"/>
          </w:p>
        </w:tc>
        <w:tc>
          <w:tcPr>
            <w:tcW w:w="236"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Low</w:t>
            </w:r>
          </w:p>
        </w:tc>
        <w:tc>
          <w:tcPr>
            <w:tcW w:w="786"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GLM 50mg</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PBO</w:t>
            </w:r>
          </w:p>
        </w:tc>
        <w:tc>
          <w:tcPr>
            <w:tcW w:w="629" w:type="pct"/>
            <w:vAlign w:val="center"/>
          </w:tcPr>
          <w:p w:rsidR="00BA32A7" w:rsidRPr="00132EAD" w:rsidRDefault="00BA32A7" w:rsidP="00470AB9">
            <w:pPr>
              <w:keepNext/>
              <w:keepLines/>
              <w:jc w:val="left"/>
              <w:rPr>
                <w:rFonts w:ascii="Arial Narrow" w:hAnsi="Arial Narrow"/>
                <w:iCs/>
                <w:sz w:val="20"/>
                <w:szCs w:val="20"/>
              </w:rPr>
            </w:pPr>
            <w:proofErr w:type="spellStart"/>
            <w:r w:rsidRPr="00132EAD">
              <w:rPr>
                <w:rFonts w:ascii="Arial Narrow" w:hAnsi="Arial Narrow"/>
                <w:iCs/>
                <w:sz w:val="20"/>
                <w:szCs w:val="20"/>
              </w:rPr>
              <w:t>nr-axSpA</w:t>
            </w:r>
            <w:proofErr w:type="spellEnd"/>
            <w:r w:rsidRPr="00132EAD">
              <w:rPr>
                <w:rFonts w:ascii="Arial Narrow" w:hAnsi="Arial Narrow"/>
                <w:iCs/>
                <w:sz w:val="20"/>
                <w:szCs w:val="20"/>
              </w:rPr>
              <w:t xml:space="preserve"> plus or minus OSI</w:t>
            </w:r>
            <w:r w:rsidR="001077A2" w:rsidRPr="00132EAD">
              <w:rPr>
                <w:rFonts w:ascii="Arial Narrow" w:hAnsi="Arial Narrow"/>
                <w:iCs/>
                <w:sz w:val="20"/>
                <w:szCs w:val="20"/>
                <w:vertAlign w:val="superscript"/>
              </w:rPr>
              <w:t>#</w:t>
            </w:r>
            <w:r w:rsidRPr="00132EAD">
              <w:rPr>
                <w:rFonts w:ascii="Arial Narrow" w:hAnsi="Arial Narrow"/>
                <w:iCs/>
                <w:sz w:val="20"/>
                <w:szCs w:val="20"/>
              </w:rPr>
              <w:t xml:space="preserve"> </w:t>
            </w:r>
          </w:p>
        </w:tc>
        <w:tc>
          <w:tcPr>
            <w:tcW w:w="1387" w:type="pct"/>
            <w:vAlign w:val="center"/>
          </w:tcPr>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1°: ASAS20 (Wk16)</w:t>
            </w:r>
          </w:p>
          <w:p w:rsidR="00BA32A7" w:rsidRPr="00132EAD" w:rsidRDefault="00BA32A7" w:rsidP="00470AB9">
            <w:pPr>
              <w:keepNext/>
              <w:keepLines/>
              <w:jc w:val="left"/>
              <w:rPr>
                <w:rFonts w:ascii="Arial Narrow" w:hAnsi="Arial Narrow"/>
                <w:iCs/>
                <w:sz w:val="20"/>
                <w:szCs w:val="20"/>
              </w:rPr>
            </w:pPr>
            <w:r w:rsidRPr="00132EAD">
              <w:rPr>
                <w:rFonts w:ascii="Arial Narrow" w:hAnsi="Arial Narrow"/>
                <w:iCs/>
                <w:sz w:val="20"/>
                <w:szCs w:val="20"/>
              </w:rPr>
              <w:t>2°: ASAS40, BASDAI50, ASDAS</w:t>
            </w:r>
          </w:p>
        </w:tc>
      </w:tr>
    </w:tbl>
    <w:p w:rsidR="00BA32A7" w:rsidRPr="00132EAD" w:rsidRDefault="00BA32A7" w:rsidP="00470AB9">
      <w:pPr>
        <w:keepNext/>
        <w:keepLines/>
        <w:tabs>
          <w:tab w:val="left" w:pos="142"/>
        </w:tabs>
        <w:rPr>
          <w:rFonts w:ascii="Arial Narrow" w:hAnsi="Arial Narrow"/>
          <w:iCs/>
          <w:sz w:val="18"/>
          <w:szCs w:val="18"/>
        </w:rPr>
      </w:pPr>
      <w:r w:rsidRPr="00132EAD">
        <w:rPr>
          <w:rFonts w:ascii="Arial Narrow" w:hAnsi="Arial Narrow"/>
          <w:iCs/>
          <w:sz w:val="18"/>
          <w:szCs w:val="18"/>
        </w:rPr>
        <w:t xml:space="preserve">Abbreviations: AS=ankylosing spondylitis; ASAS20=Assessment of </w:t>
      </w:r>
      <w:proofErr w:type="spellStart"/>
      <w:r w:rsidRPr="00132EAD">
        <w:rPr>
          <w:rFonts w:ascii="Arial Narrow" w:hAnsi="Arial Narrow"/>
          <w:iCs/>
          <w:sz w:val="18"/>
          <w:szCs w:val="18"/>
        </w:rPr>
        <w:t>SpondyloArthritis</w:t>
      </w:r>
      <w:proofErr w:type="spellEnd"/>
      <w:r w:rsidRPr="00132EAD">
        <w:rPr>
          <w:rFonts w:ascii="Arial Narrow" w:hAnsi="Arial Narrow"/>
          <w:iCs/>
          <w:sz w:val="18"/>
          <w:szCs w:val="18"/>
        </w:rPr>
        <w:t xml:space="preserve"> international Society 20% response criteria; ASAS40=Assessment of </w:t>
      </w:r>
      <w:proofErr w:type="spellStart"/>
      <w:r w:rsidRPr="00132EAD">
        <w:rPr>
          <w:rFonts w:ascii="Arial Narrow" w:hAnsi="Arial Narrow"/>
          <w:iCs/>
          <w:sz w:val="18"/>
          <w:szCs w:val="18"/>
        </w:rPr>
        <w:t>SpondyloArthritis</w:t>
      </w:r>
      <w:proofErr w:type="spellEnd"/>
      <w:r w:rsidRPr="00132EAD">
        <w:rPr>
          <w:rFonts w:ascii="Arial Narrow" w:hAnsi="Arial Narrow"/>
          <w:iCs/>
          <w:sz w:val="18"/>
          <w:szCs w:val="18"/>
        </w:rPr>
        <w:t xml:space="preserve"> international Society 40% response criteria; ASDAS=Ankylosing Spondylitis Disease Activity Score; ASQOL= Ankylosing Spondylitis Quality of Life; BASDAI(50)=50% improvement in Bath ankylosing spondylitis disease activity index; CZP=</w:t>
      </w:r>
      <w:proofErr w:type="spellStart"/>
      <w:r w:rsidRPr="00132EAD">
        <w:rPr>
          <w:rFonts w:ascii="Arial Narrow" w:hAnsi="Arial Narrow"/>
          <w:iCs/>
          <w:sz w:val="18"/>
          <w:szCs w:val="18"/>
        </w:rPr>
        <w:t>certolizumab</w:t>
      </w:r>
      <w:proofErr w:type="spellEnd"/>
      <w:r w:rsidRPr="00132EAD">
        <w:rPr>
          <w:rFonts w:ascii="Arial Narrow" w:hAnsi="Arial Narrow"/>
          <w:iCs/>
          <w:sz w:val="18"/>
          <w:szCs w:val="18"/>
        </w:rPr>
        <w:t xml:space="preserve"> </w:t>
      </w:r>
      <w:proofErr w:type="spellStart"/>
      <w:r w:rsidRPr="00132EAD">
        <w:rPr>
          <w:rFonts w:ascii="Arial Narrow" w:hAnsi="Arial Narrow"/>
          <w:iCs/>
          <w:sz w:val="18"/>
          <w:szCs w:val="18"/>
        </w:rPr>
        <w:t>pegol</w:t>
      </w:r>
      <w:proofErr w:type="spellEnd"/>
      <w:r w:rsidRPr="00132EAD">
        <w:rPr>
          <w:rFonts w:ascii="Arial Narrow" w:hAnsi="Arial Narrow"/>
          <w:iCs/>
          <w:sz w:val="18"/>
          <w:szCs w:val="18"/>
        </w:rPr>
        <w:t>; DB=double blind; DSB=dose blind; GLM=</w:t>
      </w:r>
      <w:proofErr w:type="spellStart"/>
      <w:r w:rsidRPr="00132EAD">
        <w:rPr>
          <w:rFonts w:ascii="Arial Narrow" w:hAnsi="Arial Narrow"/>
          <w:iCs/>
          <w:sz w:val="18"/>
          <w:szCs w:val="18"/>
        </w:rPr>
        <w:t>golimumab</w:t>
      </w:r>
      <w:proofErr w:type="spellEnd"/>
      <w:r w:rsidRPr="00132EAD">
        <w:rPr>
          <w:rFonts w:ascii="Arial Narrow" w:hAnsi="Arial Narrow"/>
          <w:iCs/>
          <w:sz w:val="18"/>
          <w:szCs w:val="18"/>
        </w:rPr>
        <w:t xml:space="preserve">; MC=multicentre; </w:t>
      </w:r>
      <w:proofErr w:type="spellStart"/>
      <w:r w:rsidRPr="00132EAD">
        <w:rPr>
          <w:rFonts w:ascii="Arial Narrow" w:hAnsi="Arial Narrow"/>
          <w:iCs/>
          <w:sz w:val="18"/>
          <w:szCs w:val="18"/>
        </w:rPr>
        <w:t>nr-axSpA</w:t>
      </w:r>
      <w:proofErr w:type="spellEnd"/>
      <w:r w:rsidRPr="00132EAD">
        <w:rPr>
          <w:rFonts w:ascii="Arial Narrow" w:hAnsi="Arial Narrow"/>
          <w:iCs/>
          <w:sz w:val="18"/>
          <w:szCs w:val="18"/>
        </w:rPr>
        <w:t xml:space="preserve">=non-radiographic axial </w:t>
      </w:r>
      <w:proofErr w:type="spellStart"/>
      <w:r w:rsidRPr="00132EAD">
        <w:rPr>
          <w:rFonts w:ascii="Arial Narrow" w:hAnsi="Arial Narrow"/>
          <w:iCs/>
          <w:sz w:val="18"/>
          <w:szCs w:val="18"/>
        </w:rPr>
        <w:t>spondyloarthritis</w:t>
      </w:r>
      <w:proofErr w:type="spellEnd"/>
      <w:r w:rsidRPr="00132EAD">
        <w:rPr>
          <w:rFonts w:ascii="Arial Narrow" w:hAnsi="Arial Narrow"/>
          <w:iCs/>
          <w:sz w:val="18"/>
          <w:szCs w:val="18"/>
        </w:rPr>
        <w:t xml:space="preserve">; OL=open label; OSI=objective signs of inflammation (defined as MRI+ and/or CRP+ in all trials) PBO=placebo; PC=placebo-control; R=randomised; Q2W=every 2 weeks; Q4W=every 4 weeks. </w:t>
      </w:r>
    </w:p>
    <w:p w:rsidR="00BA32A7" w:rsidRPr="00132EAD" w:rsidRDefault="00BA32A7" w:rsidP="00470AB9">
      <w:pPr>
        <w:keepNext/>
        <w:keepLines/>
        <w:tabs>
          <w:tab w:val="left" w:pos="142"/>
        </w:tabs>
        <w:rPr>
          <w:rFonts w:ascii="Arial Narrow" w:hAnsi="Arial Narrow"/>
          <w:iCs/>
          <w:sz w:val="18"/>
          <w:szCs w:val="18"/>
        </w:rPr>
      </w:pPr>
      <w:r w:rsidRPr="00132EAD">
        <w:rPr>
          <w:rFonts w:ascii="Arial Narrow" w:hAnsi="Arial Narrow"/>
          <w:iCs/>
          <w:sz w:val="18"/>
          <w:szCs w:val="18"/>
        </w:rPr>
        <w:t>^</w:t>
      </w:r>
      <w:r w:rsidRPr="00132EAD">
        <w:rPr>
          <w:rFonts w:ascii="Arial Narrow" w:hAnsi="Arial Narrow"/>
          <w:iCs/>
          <w:sz w:val="18"/>
          <w:szCs w:val="18"/>
        </w:rPr>
        <w:tab/>
      </w:r>
      <w:proofErr w:type="gramStart"/>
      <w:r w:rsidRPr="00132EAD">
        <w:rPr>
          <w:rFonts w:ascii="Arial Narrow" w:hAnsi="Arial Narrow"/>
          <w:iCs/>
          <w:sz w:val="18"/>
          <w:szCs w:val="18"/>
        </w:rPr>
        <w:t>pre-specified</w:t>
      </w:r>
      <w:proofErr w:type="gramEnd"/>
      <w:r w:rsidRPr="00132EAD">
        <w:rPr>
          <w:rFonts w:ascii="Arial Narrow" w:hAnsi="Arial Narrow"/>
          <w:iCs/>
          <w:sz w:val="18"/>
          <w:szCs w:val="18"/>
        </w:rPr>
        <w:t xml:space="preserve"> subgroup with </w:t>
      </w:r>
      <w:proofErr w:type="spellStart"/>
      <w:r w:rsidRPr="00132EAD">
        <w:rPr>
          <w:rFonts w:ascii="Arial Narrow" w:hAnsi="Arial Narrow"/>
          <w:iCs/>
          <w:sz w:val="18"/>
          <w:szCs w:val="18"/>
        </w:rPr>
        <w:t>nr-ax-SpA</w:t>
      </w:r>
      <w:proofErr w:type="spellEnd"/>
      <w:r w:rsidRPr="00132EAD">
        <w:rPr>
          <w:rFonts w:ascii="Arial Narrow" w:hAnsi="Arial Narrow"/>
          <w:iCs/>
          <w:sz w:val="18"/>
          <w:szCs w:val="18"/>
        </w:rPr>
        <w:t xml:space="preserve"> (indicated by CRP+ and/or MRI+)</w:t>
      </w:r>
    </w:p>
    <w:p w:rsidR="001077A2" w:rsidRPr="00132EAD" w:rsidRDefault="001077A2" w:rsidP="00470AB9">
      <w:pPr>
        <w:keepNext/>
        <w:keepLines/>
        <w:tabs>
          <w:tab w:val="left" w:pos="142"/>
        </w:tabs>
        <w:rPr>
          <w:rFonts w:ascii="Arial Narrow" w:hAnsi="Arial Narrow"/>
          <w:iCs/>
          <w:sz w:val="18"/>
          <w:szCs w:val="18"/>
        </w:rPr>
      </w:pPr>
      <w:r w:rsidRPr="00132EAD">
        <w:rPr>
          <w:rFonts w:ascii="Arial Narrow" w:hAnsi="Arial Narrow"/>
          <w:iCs/>
          <w:sz w:val="18"/>
          <w:szCs w:val="18"/>
          <w:vertAlign w:val="superscript"/>
        </w:rPr>
        <w:t>#</w:t>
      </w:r>
      <w:r w:rsidRPr="00132EAD">
        <w:rPr>
          <w:rFonts w:ascii="Arial Narrow" w:hAnsi="Arial Narrow"/>
          <w:iCs/>
          <w:sz w:val="18"/>
          <w:szCs w:val="18"/>
        </w:rPr>
        <w:tab/>
        <w:t>CRP&gt;ULN defined as: in AS0006 ULN=9.99mg/L; in AS001 ULN=7.9mg/L; in GO-AHEAD ULN=9mg/L</w:t>
      </w:r>
    </w:p>
    <w:p w:rsidR="00BA32A7" w:rsidRPr="00132EAD" w:rsidRDefault="00BA32A7" w:rsidP="00470AB9">
      <w:pPr>
        <w:keepNext/>
        <w:keepLines/>
        <w:tabs>
          <w:tab w:val="left" w:pos="142"/>
        </w:tabs>
        <w:ind w:left="135" w:hanging="135"/>
        <w:rPr>
          <w:rFonts w:ascii="Arial Narrow" w:hAnsi="Arial Narrow"/>
          <w:iCs/>
          <w:sz w:val="18"/>
          <w:szCs w:val="18"/>
        </w:rPr>
      </w:pPr>
      <w:proofErr w:type="spellStart"/>
      <w:r w:rsidRPr="00132EAD">
        <w:rPr>
          <w:rFonts w:ascii="Arial Narrow" w:hAnsi="Arial Narrow"/>
          <w:iCs/>
          <w:sz w:val="18"/>
          <w:szCs w:val="18"/>
          <w:vertAlign w:val="superscript"/>
        </w:rPr>
        <w:t>a</w:t>
      </w:r>
      <w:proofErr w:type="spellEnd"/>
      <w:r w:rsidRPr="00132EAD">
        <w:rPr>
          <w:rFonts w:ascii="Arial Narrow" w:hAnsi="Arial Narrow"/>
          <w:iCs/>
          <w:sz w:val="18"/>
          <w:szCs w:val="18"/>
          <w:vertAlign w:val="superscript"/>
        </w:rPr>
        <w:tab/>
      </w:r>
      <w:r w:rsidRPr="00132EAD">
        <w:rPr>
          <w:rFonts w:ascii="Arial Narrow" w:hAnsi="Arial Narrow"/>
          <w:iCs/>
          <w:sz w:val="18"/>
          <w:szCs w:val="18"/>
        </w:rPr>
        <w:t>Investigators could modify background medications (NSAIDs, corticosteroids, analgesics, SAARDs) during course of trial, and randomised therapy could be discontinued any time and subjects switched to OL CZP or other treatments if necessary determined by the Investigator</w:t>
      </w:r>
      <w:r w:rsidR="00132EAD">
        <w:rPr>
          <w:rFonts w:ascii="Arial Narrow" w:hAnsi="Arial Narrow"/>
          <w:iCs/>
          <w:sz w:val="18"/>
          <w:szCs w:val="18"/>
        </w:rPr>
        <w:t xml:space="preserve">. </w:t>
      </w:r>
      <w:r w:rsidR="00BD7AB8" w:rsidRPr="00132EAD">
        <w:rPr>
          <w:rFonts w:ascii="Arial Narrow" w:hAnsi="Arial Narrow"/>
          <w:iCs/>
          <w:sz w:val="18"/>
          <w:szCs w:val="18"/>
        </w:rPr>
        <w:t xml:space="preserve">Approximately 66% of patients randomised to placebo had discontinued treatment (61% switched to OL </w:t>
      </w:r>
      <w:proofErr w:type="spellStart"/>
      <w:r w:rsidR="00BD7AB8" w:rsidRPr="00132EAD">
        <w:rPr>
          <w:rFonts w:ascii="Arial Narrow" w:hAnsi="Arial Narrow"/>
          <w:iCs/>
          <w:sz w:val="18"/>
          <w:szCs w:val="18"/>
        </w:rPr>
        <w:t>bDMARD</w:t>
      </w:r>
      <w:proofErr w:type="spellEnd"/>
      <w:r w:rsidR="00BD7AB8" w:rsidRPr="00132EAD">
        <w:rPr>
          <w:rFonts w:ascii="Arial Narrow" w:hAnsi="Arial Narrow"/>
          <w:iCs/>
          <w:sz w:val="18"/>
          <w:szCs w:val="18"/>
        </w:rPr>
        <w:t xml:space="preserve">) by Week 52 compared to 21% of patients randomised to CZP (13% switched to OL </w:t>
      </w:r>
      <w:proofErr w:type="spellStart"/>
      <w:r w:rsidR="00BD7AB8" w:rsidRPr="00132EAD">
        <w:rPr>
          <w:rFonts w:ascii="Arial Narrow" w:hAnsi="Arial Narrow"/>
          <w:iCs/>
          <w:sz w:val="18"/>
          <w:szCs w:val="18"/>
        </w:rPr>
        <w:t>bDMARD</w:t>
      </w:r>
      <w:proofErr w:type="spellEnd"/>
      <w:r w:rsidR="00BD7AB8" w:rsidRPr="00132EAD">
        <w:rPr>
          <w:rFonts w:ascii="Arial Narrow" w:hAnsi="Arial Narrow"/>
          <w:iCs/>
          <w:sz w:val="18"/>
          <w:szCs w:val="18"/>
        </w:rPr>
        <w:t>)</w:t>
      </w:r>
      <w:r w:rsidR="00132EAD">
        <w:rPr>
          <w:rFonts w:ascii="Arial Narrow" w:hAnsi="Arial Narrow"/>
          <w:iCs/>
          <w:sz w:val="18"/>
          <w:szCs w:val="18"/>
        </w:rPr>
        <w:t xml:space="preserve">. </w:t>
      </w:r>
      <w:r w:rsidR="001077A2" w:rsidRPr="00132EAD">
        <w:rPr>
          <w:rFonts w:ascii="Arial Narrow" w:hAnsi="Arial Narrow"/>
          <w:iCs/>
          <w:sz w:val="18"/>
          <w:szCs w:val="18"/>
        </w:rPr>
        <w:t>Patients who withdrew/discontinued or had missing data at the point of assessment) as non-responders in the full analysis set</w:t>
      </w:r>
    </w:p>
    <w:p w:rsidR="00BA32A7" w:rsidRPr="00132EAD" w:rsidRDefault="00BA32A7" w:rsidP="00470AB9">
      <w:pPr>
        <w:keepNext/>
        <w:keepLines/>
        <w:tabs>
          <w:tab w:val="left" w:pos="142"/>
        </w:tabs>
        <w:ind w:left="135" w:hanging="135"/>
        <w:rPr>
          <w:rFonts w:ascii="Arial Narrow" w:hAnsi="Arial Narrow"/>
          <w:iCs/>
          <w:sz w:val="18"/>
          <w:szCs w:val="18"/>
        </w:rPr>
      </w:pPr>
      <w:proofErr w:type="gramStart"/>
      <w:r w:rsidRPr="00132EAD">
        <w:rPr>
          <w:rFonts w:ascii="Arial Narrow" w:hAnsi="Arial Narrow"/>
          <w:iCs/>
          <w:sz w:val="18"/>
          <w:szCs w:val="18"/>
          <w:vertAlign w:val="superscript"/>
        </w:rPr>
        <w:t>b</w:t>
      </w:r>
      <w:proofErr w:type="gramEnd"/>
      <w:r w:rsidRPr="00132EAD">
        <w:rPr>
          <w:rFonts w:ascii="Arial Narrow" w:hAnsi="Arial Narrow"/>
          <w:iCs/>
          <w:sz w:val="18"/>
          <w:szCs w:val="18"/>
          <w:vertAlign w:val="superscript"/>
        </w:rPr>
        <w:tab/>
      </w:r>
      <w:r w:rsidRPr="00132EAD">
        <w:rPr>
          <w:rFonts w:ascii="Arial Narrow" w:hAnsi="Arial Narrow"/>
          <w:iCs/>
          <w:sz w:val="18"/>
          <w:szCs w:val="18"/>
        </w:rPr>
        <w:t>ASAS20 non-responders in the placebo arm at Week 14 and Week 16 randomised to CZP 200mg Q2W or 400mg Q4W at Week 16</w:t>
      </w:r>
      <w:r w:rsidR="00132EAD">
        <w:rPr>
          <w:rFonts w:ascii="Arial Narrow" w:hAnsi="Arial Narrow"/>
          <w:iCs/>
          <w:sz w:val="18"/>
          <w:szCs w:val="18"/>
        </w:rPr>
        <w:t xml:space="preserve">. </w:t>
      </w:r>
      <w:r w:rsidR="00BD7AB8" w:rsidRPr="00132EAD">
        <w:rPr>
          <w:rFonts w:ascii="Arial Narrow" w:hAnsi="Arial Narrow"/>
          <w:iCs/>
          <w:sz w:val="18"/>
          <w:szCs w:val="18"/>
        </w:rPr>
        <w:t>Approximately 61% of placebo patients discontinued by Week 24 (52% met the early escape criteria at Week 16) compared to 7% randomised to CZP treatment</w:t>
      </w:r>
      <w:r w:rsidR="00132EAD">
        <w:rPr>
          <w:rFonts w:ascii="Arial Narrow" w:hAnsi="Arial Narrow"/>
          <w:iCs/>
          <w:sz w:val="18"/>
          <w:szCs w:val="18"/>
        </w:rPr>
        <w:t xml:space="preserve">. </w:t>
      </w:r>
      <w:r w:rsidR="001077A2" w:rsidRPr="00132EAD">
        <w:rPr>
          <w:rFonts w:ascii="Arial Narrow" w:hAnsi="Arial Narrow"/>
          <w:iCs/>
          <w:sz w:val="18"/>
          <w:szCs w:val="18"/>
        </w:rPr>
        <w:t>Patients who withdrew/discontinued or had missing data at the point of assessment) as non-responders in the full analysis set.</w:t>
      </w:r>
    </w:p>
    <w:p w:rsidR="00BD7AB8" w:rsidRPr="00132EAD" w:rsidRDefault="00BD7AB8" w:rsidP="00470AB9">
      <w:pPr>
        <w:keepNext/>
        <w:keepLines/>
        <w:tabs>
          <w:tab w:val="left" w:pos="142"/>
        </w:tabs>
        <w:rPr>
          <w:rFonts w:ascii="Arial Narrow" w:hAnsi="Arial Narrow"/>
          <w:iCs/>
          <w:sz w:val="18"/>
          <w:szCs w:val="18"/>
        </w:rPr>
      </w:pPr>
      <w:proofErr w:type="gramStart"/>
      <w:r w:rsidRPr="00132EAD">
        <w:rPr>
          <w:rFonts w:ascii="Arial Narrow" w:hAnsi="Arial Narrow"/>
          <w:iCs/>
          <w:sz w:val="18"/>
          <w:szCs w:val="18"/>
          <w:vertAlign w:val="superscript"/>
        </w:rPr>
        <w:t>c</w:t>
      </w:r>
      <w:proofErr w:type="gramEnd"/>
      <w:r w:rsidRPr="00132EAD">
        <w:rPr>
          <w:rFonts w:ascii="Arial Narrow" w:hAnsi="Arial Narrow"/>
          <w:iCs/>
          <w:sz w:val="18"/>
          <w:szCs w:val="18"/>
        </w:rPr>
        <w:tab/>
        <w:t>3% of patients discontinued randomised treatment</w:t>
      </w:r>
    </w:p>
    <w:p w:rsidR="00BA32A7" w:rsidRPr="00132EAD" w:rsidRDefault="00BA32A7" w:rsidP="00470AB9">
      <w:pPr>
        <w:keepNext/>
        <w:keepLines/>
        <w:widowControl/>
        <w:rPr>
          <w:rFonts w:ascii="Arial Narrow" w:hAnsi="Arial Narrow"/>
          <w:iCs/>
          <w:sz w:val="18"/>
          <w:szCs w:val="18"/>
        </w:rPr>
      </w:pPr>
      <w:r w:rsidRPr="00132EAD">
        <w:rPr>
          <w:rFonts w:ascii="Arial Narrow" w:hAnsi="Arial Narrow"/>
          <w:iCs/>
          <w:sz w:val="18"/>
          <w:szCs w:val="18"/>
        </w:rPr>
        <w:t>Source: constructed during the evaluation</w:t>
      </w:r>
    </w:p>
    <w:p w:rsidR="00BA32A7" w:rsidRPr="00132EAD" w:rsidRDefault="00BA32A7" w:rsidP="00BA32A7">
      <w:pPr>
        <w:widowControl/>
      </w:pPr>
    </w:p>
    <w:p w:rsidR="00826DA9" w:rsidRPr="00132EAD" w:rsidRDefault="00826DA9" w:rsidP="00BD7AB8">
      <w:pPr>
        <w:pStyle w:val="ListParagraph"/>
        <w:widowControl/>
        <w:numPr>
          <w:ilvl w:val="1"/>
          <w:numId w:val="3"/>
        </w:numPr>
        <w:rPr>
          <w:iCs/>
        </w:rPr>
      </w:pPr>
      <w:r w:rsidRPr="00132EAD">
        <w:rPr>
          <w:rFonts w:cs="Calibri"/>
          <w:iCs/>
          <w:snapToGrid/>
          <w:szCs w:val="24"/>
          <w:lang w:eastAsia="en-AU"/>
        </w:rPr>
        <w:t>All trials were multicentre (AS0006 included seven study sites in Australia), double-blind, randomised placebo-controlled trials of CZP or GLM at TGA approved doses</w:t>
      </w:r>
      <w:r w:rsidR="00132EAD">
        <w:rPr>
          <w:rFonts w:cs="Calibri"/>
          <w:iCs/>
          <w:snapToGrid/>
          <w:szCs w:val="24"/>
          <w:lang w:eastAsia="en-AU"/>
        </w:rPr>
        <w:t xml:space="preserve">. </w:t>
      </w:r>
      <w:r w:rsidRPr="00132EAD">
        <w:rPr>
          <w:rFonts w:cs="Calibri"/>
          <w:iCs/>
          <w:snapToGrid/>
          <w:szCs w:val="24"/>
          <w:lang w:eastAsia="en-AU"/>
        </w:rPr>
        <w:t>The duration of the double-blind phases ranged from 16 to 52 weeks, but all trials reported relevant outcomes at Week</w:t>
      </w:r>
      <w:r w:rsidR="006A625D" w:rsidRPr="00132EAD">
        <w:rPr>
          <w:rFonts w:cs="Calibri"/>
          <w:iCs/>
          <w:snapToGrid/>
          <w:szCs w:val="24"/>
          <w:lang w:eastAsia="en-AU"/>
        </w:rPr>
        <w:t>s</w:t>
      </w:r>
      <w:r w:rsidRPr="00132EAD">
        <w:rPr>
          <w:rFonts w:cs="Calibri"/>
          <w:iCs/>
          <w:snapToGrid/>
          <w:szCs w:val="24"/>
          <w:lang w:eastAsia="en-AU"/>
        </w:rPr>
        <w:t xml:space="preserve"> 12 or 16.</w:t>
      </w:r>
    </w:p>
    <w:p w:rsidR="00826DA9" w:rsidRPr="00132EAD" w:rsidRDefault="00826DA9" w:rsidP="00316ADA">
      <w:pPr>
        <w:pStyle w:val="ListParagraph"/>
        <w:widowControl/>
        <w:numPr>
          <w:ilvl w:val="1"/>
          <w:numId w:val="3"/>
        </w:numPr>
        <w:rPr>
          <w:iCs/>
        </w:rPr>
      </w:pPr>
      <w:r w:rsidRPr="00132EAD">
        <w:rPr>
          <w:rFonts w:cs="Calibri"/>
          <w:iCs/>
          <w:snapToGrid/>
          <w:szCs w:val="24"/>
          <w:lang w:eastAsia="en-AU"/>
        </w:rPr>
        <w:t>There were differences in study design in terms of population (</w:t>
      </w:r>
      <w:proofErr w:type="spellStart"/>
      <w:r w:rsidRPr="00132EAD">
        <w:rPr>
          <w:rFonts w:cs="Calibri"/>
          <w:iCs/>
          <w:snapToGrid/>
          <w:szCs w:val="24"/>
          <w:lang w:eastAsia="en-AU"/>
        </w:rPr>
        <w:t>axSpA</w:t>
      </w:r>
      <w:proofErr w:type="spellEnd"/>
      <w:r w:rsidRPr="00132EAD">
        <w:rPr>
          <w:rFonts w:cs="Calibri"/>
          <w:iCs/>
          <w:snapToGrid/>
          <w:szCs w:val="24"/>
          <w:lang w:eastAsia="en-AU"/>
        </w:rPr>
        <w:t xml:space="preserve"> or </w:t>
      </w:r>
      <w:proofErr w:type="spellStart"/>
      <w:r w:rsidRPr="00132EAD">
        <w:rPr>
          <w:rFonts w:cs="Calibri"/>
          <w:iCs/>
          <w:snapToGrid/>
          <w:szCs w:val="24"/>
          <w:lang w:eastAsia="en-AU"/>
        </w:rPr>
        <w:t>nr-axSpA</w:t>
      </w:r>
      <w:proofErr w:type="spellEnd"/>
      <w:r w:rsidRPr="00132EAD">
        <w:rPr>
          <w:rFonts w:cs="Calibri"/>
          <w:iCs/>
          <w:snapToGrid/>
          <w:szCs w:val="24"/>
          <w:lang w:eastAsia="en-AU"/>
        </w:rPr>
        <w:t>), presence of objective signs of inflammation (with or without), definition of elevated CRP (CRP+ defined as serum level &gt;8, 9 or 10 mg/L) and rescue / early escape during the double blind phase (not permitted, at any time or at Week 16)</w:t>
      </w:r>
      <w:r w:rsidR="00132EAD">
        <w:rPr>
          <w:rFonts w:cs="Calibri"/>
          <w:iCs/>
          <w:snapToGrid/>
          <w:szCs w:val="24"/>
          <w:lang w:eastAsia="en-AU"/>
        </w:rPr>
        <w:t xml:space="preserve">. </w:t>
      </w:r>
      <w:r w:rsidR="00455971" w:rsidRPr="00132EAD">
        <w:rPr>
          <w:iCs/>
        </w:rPr>
        <w:t>Discontinuations and withdrawals were much higher in the trials that permitted rescue / early escape</w:t>
      </w:r>
      <w:r w:rsidR="00316ADA" w:rsidRPr="00132EAD">
        <w:rPr>
          <w:iCs/>
        </w:rPr>
        <w:t xml:space="preserve"> (up to 61% versus 3%).</w:t>
      </w:r>
    </w:p>
    <w:p w:rsidR="00BB14DD" w:rsidRPr="00132EAD" w:rsidRDefault="00BB14DD" w:rsidP="006A625D">
      <w:pPr>
        <w:pStyle w:val="ListParagraph"/>
        <w:widowControl/>
        <w:numPr>
          <w:ilvl w:val="1"/>
          <w:numId w:val="3"/>
        </w:numPr>
      </w:pPr>
      <w:r w:rsidRPr="00132EAD">
        <w:rPr>
          <w:rFonts w:cs="Calibri"/>
          <w:iCs/>
          <w:snapToGrid/>
          <w:szCs w:val="24"/>
          <w:lang w:eastAsia="en-AU"/>
        </w:rPr>
        <w:t xml:space="preserve">The submission presented indirect comparisons for trial patients with </w:t>
      </w:r>
      <w:proofErr w:type="spellStart"/>
      <w:r w:rsidRPr="00132EAD">
        <w:rPr>
          <w:rFonts w:cs="Calibri"/>
          <w:iCs/>
          <w:snapToGrid/>
          <w:szCs w:val="24"/>
          <w:lang w:eastAsia="en-AU"/>
        </w:rPr>
        <w:t>nr-axSpA</w:t>
      </w:r>
      <w:proofErr w:type="spellEnd"/>
      <w:r w:rsidRPr="00132EAD">
        <w:rPr>
          <w:rFonts w:cs="Calibri"/>
          <w:iCs/>
          <w:snapToGrid/>
          <w:szCs w:val="24"/>
          <w:lang w:eastAsia="en-AU"/>
        </w:rPr>
        <w:t xml:space="preserve"> meeting a broad definition of objective signs of inflammation in line the TGA indication (MRI+ and/or CRP+), and a narrow definition in line with the PBS indication (MRI+ and CRP+)</w:t>
      </w:r>
      <w:r w:rsidR="006C5C63" w:rsidRPr="00132EAD">
        <w:rPr>
          <w:rFonts w:cs="Calibri"/>
          <w:iCs/>
          <w:snapToGrid/>
          <w:szCs w:val="24"/>
          <w:lang w:eastAsia="en-AU"/>
        </w:rPr>
        <w:t xml:space="preserve"> in AS0006 and GO-AHEAD</w:t>
      </w:r>
      <w:r w:rsidR="00132EAD">
        <w:rPr>
          <w:rFonts w:cs="Calibri"/>
          <w:iCs/>
          <w:snapToGrid/>
          <w:szCs w:val="24"/>
          <w:lang w:eastAsia="en-AU"/>
        </w:rPr>
        <w:t xml:space="preserve">. </w:t>
      </w:r>
      <w:r w:rsidR="006A16DD" w:rsidRPr="00132EAD">
        <w:rPr>
          <w:rFonts w:cs="Calibri"/>
          <w:iCs/>
          <w:snapToGrid/>
          <w:szCs w:val="24"/>
          <w:lang w:eastAsia="en-AU"/>
        </w:rPr>
        <w:t xml:space="preserve">The submission did not adequately justify </w:t>
      </w:r>
      <w:r w:rsidR="006A625D" w:rsidRPr="00132EAD">
        <w:rPr>
          <w:rFonts w:cs="Calibri"/>
          <w:iCs/>
          <w:snapToGrid/>
          <w:szCs w:val="24"/>
          <w:lang w:eastAsia="en-AU"/>
        </w:rPr>
        <w:t xml:space="preserve">the </w:t>
      </w:r>
      <w:r w:rsidR="006A16DD" w:rsidRPr="00132EAD">
        <w:rPr>
          <w:rFonts w:cs="Calibri"/>
          <w:iCs/>
          <w:snapToGrid/>
          <w:szCs w:val="24"/>
          <w:lang w:eastAsia="en-AU"/>
        </w:rPr>
        <w:t xml:space="preserve">exclusion of AS001 from the indirect comparisons given the trial enrolled a relevant </w:t>
      </w:r>
      <w:r w:rsidR="006A16DD" w:rsidRPr="00132EAD">
        <w:rPr>
          <w:rFonts w:cs="Calibri"/>
          <w:iCs/>
          <w:snapToGrid/>
          <w:szCs w:val="24"/>
          <w:lang w:eastAsia="en-AU"/>
        </w:rPr>
        <w:lastRenderedPageBreak/>
        <w:t xml:space="preserve">subgroup with </w:t>
      </w:r>
      <w:proofErr w:type="spellStart"/>
      <w:r w:rsidR="006A16DD" w:rsidRPr="00132EAD">
        <w:rPr>
          <w:rFonts w:cs="Calibri"/>
          <w:iCs/>
          <w:snapToGrid/>
          <w:szCs w:val="24"/>
          <w:lang w:eastAsia="en-AU"/>
        </w:rPr>
        <w:t>nr-axSpA</w:t>
      </w:r>
      <w:proofErr w:type="spellEnd"/>
      <w:r w:rsidR="006A16DD" w:rsidRPr="00132EAD">
        <w:rPr>
          <w:rFonts w:cs="Calibri"/>
          <w:iCs/>
          <w:snapToGrid/>
          <w:szCs w:val="24"/>
          <w:lang w:eastAsia="en-AU"/>
        </w:rPr>
        <w:t xml:space="preserve"> and reported the relevant outcomes a</w:t>
      </w:r>
      <w:r w:rsidR="006A625D" w:rsidRPr="00132EAD">
        <w:rPr>
          <w:rFonts w:cs="Calibri"/>
          <w:iCs/>
          <w:snapToGrid/>
          <w:szCs w:val="24"/>
          <w:lang w:eastAsia="en-AU"/>
        </w:rPr>
        <w:t>t Week 12 (unaffected by</w:t>
      </w:r>
      <w:r w:rsidR="006A16DD" w:rsidRPr="00132EAD">
        <w:rPr>
          <w:rFonts w:cs="Calibri"/>
          <w:iCs/>
          <w:snapToGrid/>
          <w:szCs w:val="24"/>
          <w:lang w:eastAsia="en-AU"/>
        </w:rPr>
        <w:t xml:space="preserve"> early</w:t>
      </w:r>
      <w:r w:rsidR="006A625D" w:rsidRPr="00132EAD">
        <w:rPr>
          <w:rFonts w:cs="Calibri"/>
          <w:iCs/>
          <w:snapToGrid/>
          <w:szCs w:val="24"/>
          <w:lang w:eastAsia="en-AU"/>
        </w:rPr>
        <w:t xml:space="preserve"> placebo </w:t>
      </w:r>
      <w:r w:rsidR="006A16DD" w:rsidRPr="00132EAD">
        <w:rPr>
          <w:rFonts w:cs="Calibri"/>
          <w:iCs/>
          <w:snapToGrid/>
          <w:szCs w:val="24"/>
          <w:lang w:eastAsia="en-AU"/>
        </w:rPr>
        <w:t>escape).</w:t>
      </w:r>
    </w:p>
    <w:p w:rsidR="005234FF" w:rsidRPr="00132EAD" w:rsidRDefault="00BA32A7" w:rsidP="0034595D">
      <w:pPr>
        <w:pStyle w:val="ListParagraph"/>
        <w:widowControl/>
        <w:numPr>
          <w:ilvl w:val="1"/>
          <w:numId w:val="3"/>
        </w:numPr>
        <w:rPr>
          <w:snapToGrid/>
          <w:lang w:eastAsia="en-AU"/>
        </w:rPr>
      </w:pPr>
      <w:r w:rsidRPr="00132EAD">
        <w:rPr>
          <w:rFonts w:cs="Calibri"/>
          <w:iCs/>
          <w:snapToGrid/>
          <w:szCs w:val="24"/>
          <w:lang w:eastAsia="en-AU"/>
        </w:rPr>
        <w:t xml:space="preserve">Differences in trial design </w:t>
      </w:r>
      <w:r w:rsidR="0047667C" w:rsidRPr="00132EAD">
        <w:rPr>
          <w:rFonts w:cs="Calibri"/>
          <w:iCs/>
          <w:snapToGrid/>
          <w:szCs w:val="24"/>
          <w:lang w:eastAsia="en-AU"/>
        </w:rPr>
        <w:t xml:space="preserve">mentioned above </w:t>
      </w:r>
      <w:r w:rsidRPr="00132EAD">
        <w:rPr>
          <w:rFonts w:cs="Calibri"/>
          <w:iCs/>
          <w:snapToGrid/>
          <w:szCs w:val="24"/>
          <w:lang w:eastAsia="en-AU"/>
        </w:rPr>
        <w:t xml:space="preserve">may </w:t>
      </w:r>
      <w:r w:rsidR="0047667C" w:rsidRPr="00132EAD">
        <w:rPr>
          <w:rFonts w:cs="Calibri"/>
          <w:iCs/>
          <w:snapToGrid/>
          <w:szCs w:val="24"/>
          <w:lang w:eastAsia="en-AU"/>
        </w:rPr>
        <w:t xml:space="preserve">potentially introduce </w:t>
      </w:r>
      <w:r w:rsidRPr="00132EAD">
        <w:rPr>
          <w:rFonts w:cs="Calibri"/>
          <w:iCs/>
          <w:snapToGrid/>
          <w:szCs w:val="24"/>
          <w:lang w:eastAsia="en-AU"/>
        </w:rPr>
        <w:t xml:space="preserve">bias </w:t>
      </w:r>
      <w:r w:rsidR="0047667C" w:rsidRPr="00132EAD">
        <w:rPr>
          <w:rFonts w:cs="Calibri"/>
          <w:iCs/>
          <w:snapToGrid/>
          <w:szCs w:val="24"/>
          <w:lang w:eastAsia="en-AU"/>
        </w:rPr>
        <w:t xml:space="preserve">into the </w:t>
      </w:r>
      <w:r w:rsidRPr="00132EAD">
        <w:rPr>
          <w:rFonts w:cs="Calibri"/>
          <w:iCs/>
          <w:snapToGrid/>
          <w:szCs w:val="24"/>
          <w:lang w:eastAsia="en-AU"/>
        </w:rPr>
        <w:t xml:space="preserve">indirect comparisons </w:t>
      </w:r>
      <w:r w:rsidR="0047667C" w:rsidRPr="00132EAD">
        <w:rPr>
          <w:rFonts w:cs="Calibri"/>
          <w:iCs/>
          <w:snapToGrid/>
          <w:szCs w:val="24"/>
          <w:lang w:eastAsia="en-AU"/>
        </w:rPr>
        <w:t>for the following reasons</w:t>
      </w:r>
      <w:r w:rsidR="00132EAD">
        <w:rPr>
          <w:rFonts w:cs="Calibri"/>
          <w:iCs/>
          <w:snapToGrid/>
          <w:szCs w:val="24"/>
          <w:lang w:eastAsia="en-AU"/>
        </w:rPr>
        <w:t xml:space="preserve">. </w:t>
      </w:r>
      <w:r w:rsidR="0047667C" w:rsidRPr="00132EAD">
        <w:rPr>
          <w:rFonts w:cs="Calibri"/>
          <w:iCs/>
          <w:snapToGrid/>
          <w:szCs w:val="24"/>
          <w:lang w:eastAsia="en-AU"/>
        </w:rPr>
        <w:t>T</w:t>
      </w:r>
      <w:r w:rsidRPr="00132EAD">
        <w:rPr>
          <w:rFonts w:cs="Calibri"/>
          <w:iCs/>
          <w:snapToGrid/>
          <w:szCs w:val="24"/>
          <w:lang w:eastAsia="en-AU"/>
        </w:rPr>
        <w:t xml:space="preserve">he PBS subgroup </w:t>
      </w:r>
      <w:r w:rsidR="0047667C" w:rsidRPr="00132EAD">
        <w:rPr>
          <w:rFonts w:cs="Calibri"/>
          <w:iCs/>
          <w:snapToGrid/>
          <w:szCs w:val="24"/>
          <w:lang w:eastAsia="en-AU"/>
        </w:rPr>
        <w:t xml:space="preserve">(MRI+ and CRP+) </w:t>
      </w:r>
      <w:r w:rsidRPr="00132EAD">
        <w:rPr>
          <w:rFonts w:cs="Calibri"/>
          <w:iCs/>
          <w:snapToGrid/>
          <w:szCs w:val="24"/>
          <w:lang w:eastAsia="en-AU"/>
        </w:rPr>
        <w:t xml:space="preserve">was pre-specified in trial AS0006 </w:t>
      </w:r>
      <w:r w:rsidR="0034595D" w:rsidRPr="00132EAD">
        <w:rPr>
          <w:rFonts w:cs="Calibri"/>
          <w:iCs/>
          <w:snapToGrid/>
          <w:szCs w:val="24"/>
          <w:lang w:eastAsia="en-AU"/>
        </w:rPr>
        <w:t>but</w:t>
      </w:r>
      <w:r w:rsidRPr="00132EAD">
        <w:rPr>
          <w:rFonts w:cs="Calibri"/>
          <w:iCs/>
          <w:snapToGrid/>
          <w:szCs w:val="24"/>
          <w:lang w:eastAsia="en-AU"/>
        </w:rPr>
        <w:t xml:space="preserve"> post-hoc in GO-AHEAD</w:t>
      </w:r>
      <w:r w:rsidR="00132EAD">
        <w:rPr>
          <w:rFonts w:cs="Calibri"/>
          <w:iCs/>
          <w:snapToGrid/>
          <w:szCs w:val="24"/>
          <w:lang w:eastAsia="en-AU"/>
        </w:rPr>
        <w:t xml:space="preserve">. </w:t>
      </w:r>
      <w:r w:rsidR="0047667C" w:rsidRPr="00132EAD">
        <w:rPr>
          <w:rFonts w:cs="Calibri"/>
          <w:iCs/>
          <w:snapToGrid/>
          <w:szCs w:val="24"/>
          <w:lang w:eastAsia="en-AU"/>
        </w:rPr>
        <w:t xml:space="preserve">Given limited data, </w:t>
      </w:r>
      <w:r w:rsidRPr="00132EAD">
        <w:rPr>
          <w:rFonts w:cs="Calibri"/>
          <w:iCs/>
          <w:snapToGrid/>
          <w:szCs w:val="24"/>
          <w:lang w:eastAsia="en-AU"/>
        </w:rPr>
        <w:t xml:space="preserve">it was unknown whether </w:t>
      </w:r>
      <w:r w:rsidR="0047667C" w:rsidRPr="00132EAD">
        <w:rPr>
          <w:rFonts w:cs="Calibri"/>
          <w:iCs/>
          <w:snapToGrid/>
          <w:szCs w:val="24"/>
          <w:lang w:eastAsia="en-AU"/>
        </w:rPr>
        <w:t xml:space="preserve">there was any </w:t>
      </w:r>
      <w:r w:rsidRPr="00132EAD">
        <w:rPr>
          <w:rFonts w:cs="Calibri"/>
          <w:iCs/>
          <w:snapToGrid/>
          <w:szCs w:val="24"/>
          <w:lang w:eastAsia="en-AU"/>
        </w:rPr>
        <w:t xml:space="preserve">imbalance in baseline characteristics </w:t>
      </w:r>
      <w:r w:rsidR="0047667C" w:rsidRPr="00132EAD">
        <w:rPr>
          <w:rFonts w:cs="Calibri"/>
          <w:iCs/>
          <w:snapToGrid/>
          <w:szCs w:val="24"/>
          <w:lang w:eastAsia="en-AU"/>
        </w:rPr>
        <w:t>for this subgroup, which may bias outcomes</w:t>
      </w:r>
      <w:r w:rsidR="00132EAD">
        <w:rPr>
          <w:rFonts w:cs="Calibri"/>
          <w:iCs/>
          <w:snapToGrid/>
          <w:szCs w:val="24"/>
          <w:lang w:eastAsia="en-AU"/>
        </w:rPr>
        <w:t xml:space="preserve">. </w:t>
      </w:r>
      <w:r w:rsidR="005C2027" w:rsidRPr="00132EAD">
        <w:rPr>
          <w:rFonts w:cs="Calibri"/>
          <w:iCs/>
          <w:snapToGrid/>
          <w:szCs w:val="24"/>
          <w:lang w:eastAsia="en-AU"/>
        </w:rPr>
        <w:t>Trial AS0006 permitted adjustment of background medications and early withdrawal (classified as non-responders) whereas GO-AHEAD did not permit any rescue / early escape during the double-blind period</w:t>
      </w:r>
      <w:r w:rsidR="00132EAD">
        <w:rPr>
          <w:rFonts w:cs="Calibri"/>
          <w:iCs/>
          <w:snapToGrid/>
          <w:szCs w:val="24"/>
          <w:lang w:eastAsia="en-AU"/>
        </w:rPr>
        <w:t xml:space="preserve">. </w:t>
      </w:r>
      <w:r w:rsidR="005C2027" w:rsidRPr="00132EAD">
        <w:rPr>
          <w:rFonts w:cs="Calibri"/>
          <w:iCs/>
          <w:snapToGrid/>
          <w:szCs w:val="24"/>
          <w:lang w:eastAsia="en-AU"/>
        </w:rPr>
        <w:t>These differences may potentially influence the magnitude of the treatment effects reported in each trial.</w:t>
      </w:r>
    </w:p>
    <w:p w:rsidR="00462ABB" w:rsidRPr="00132EAD" w:rsidRDefault="00462ABB" w:rsidP="00791C97">
      <w:pPr>
        <w:pStyle w:val="ListParagraph"/>
        <w:widowControl/>
        <w:numPr>
          <w:ilvl w:val="1"/>
          <w:numId w:val="3"/>
        </w:numPr>
        <w:rPr>
          <w:snapToGrid/>
          <w:lang w:eastAsia="en-AU"/>
        </w:rPr>
      </w:pPr>
      <w:r w:rsidRPr="00132EAD">
        <w:rPr>
          <w:iCs/>
        </w:rPr>
        <w:t>The definition of BASDAI50 response (a 50% improvement in the Bath ankylosing spondylitis disease activity index, BASDAI) may have also differed slightly across the trials</w:t>
      </w:r>
      <w:r w:rsidR="00132EAD">
        <w:rPr>
          <w:iCs/>
        </w:rPr>
        <w:t xml:space="preserve">. </w:t>
      </w:r>
      <w:r w:rsidRPr="00132EAD">
        <w:rPr>
          <w:iCs/>
        </w:rPr>
        <w:t>For example, trial AS0006 coded BASDAI as missing if more than 1 (of 5) major symptom</w:t>
      </w:r>
      <w:r w:rsidR="00B2328B" w:rsidRPr="00132EAD">
        <w:rPr>
          <w:iCs/>
        </w:rPr>
        <w:t>s</w:t>
      </w:r>
      <w:r w:rsidRPr="00132EAD">
        <w:rPr>
          <w:iCs/>
        </w:rPr>
        <w:t xml:space="preserve"> was missing and classified patients who discontinued or with missing data as BASDAI50 non-responders</w:t>
      </w:r>
      <w:r w:rsidR="00132EAD">
        <w:rPr>
          <w:iCs/>
        </w:rPr>
        <w:t xml:space="preserve">. </w:t>
      </w:r>
      <w:r w:rsidRPr="00132EAD">
        <w:rPr>
          <w:iCs/>
        </w:rPr>
        <w:t xml:space="preserve">In contrast, BASDAI was coded missing in GO-AHEAD if </w:t>
      </w:r>
      <w:r w:rsidRPr="00132EAD">
        <w:rPr>
          <w:rFonts w:cs="Calibri"/>
          <w:iCs/>
        </w:rPr>
        <w:t>≥</w:t>
      </w:r>
      <w:r w:rsidRPr="00132EAD">
        <w:rPr>
          <w:iCs/>
        </w:rPr>
        <w:t xml:space="preserve">2 (of 5) total symptoms was missing and used </w:t>
      </w:r>
      <w:r w:rsidR="00791C97" w:rsidRPr="00132EAD">
        <w:rPr>
          <w:iCs/>
        </w:rPr>
        <w:t>last-observation-carried-forward (</w:t>
      </w:r>
      <w:r w:rsidRPr="00132EAD">
        <w:rPr>
          <w:iCs/>
        </w:rPr>
        <w:t>LOCF</w:t>
      </w:r>
      <w:r w:rsidR="00791C97" w:rsidRPr="00132EAD">
        <w:rPr>
          <w:iCs/>
        </w:rPr>
        <w:t>)</w:t>
      </w:r>
      <w:r w:rsidRPr="00132EAD">
        <w:rPr>
          <w:iCs/>
        </w:rPr>
        <w:t xml:space="preserve"> for missing data to classify patients as BASDAI50 responders (a sensitivity analysis classified patients who discontinued GLM due to </w:t>
      </w:r>
      <w:r w:rsidR="004D7A24" w:rsidRPr="00132EAD">
        <w:rPr>
          <w:iCs/>
        </w:rPr>
        <w:t>adverse events (</w:t>
      </w:r>
      <w:r w:rsidRPr="00132EAD">
        <w:rPr>
          <w:iCs/>
        </w:rPr>
        <w:t>AEs</w:t>
      </w:r>
      <w:r w:rsidR="004D7A24" w:rsidRPr="00132EAD">
        <w:rPr>
          <w:iCs/>
        </w:rPr>
        <w:t>)</w:t>
      </w:r>
      <w:r w:rsidRPr="00132EAD">
        <w:rPr>
          <w:iCs/>
        </w:rPr>
        <w:t xml:space="preserve"> as BASDAI50 non-responders).</w:t>
      </w:r>
    </w:p>
    <w:p w:rsidR="00B60939" w:rsidRPr="00132EAD" w:rsidRDefault="00B60939" w:rsidP="00936C60">
      <w:pPr>
        <w:pStyle w:val="Heading2"/>
      </w:pPr>
      <w:bookmarkStart w:id="9" w:name="_Toc19717645"/>
      <w:r w:rsidRPr="00132EAD">
        <w:t>Comparative effectiveness</w:t>
      </w:r>
      <w:bookmarkEnd w:id="9"/>
    </w:p>
    <w:p w:rsidR="00471A8B" w:rsidRPr="00132EAD" w:rsidRDefault="00471A8B" w:rsidP="002E471D">
      <w:pPr>
        <w:pStyle w:val="ListParagraph"/>
        <w:widowControl/>
        <w:numPr>
          <w:ilvl w:val="1"/>
          <w:numId w:val="3"/>
        </w:numPr>
        <w:rPr>
          <w:iCs/>
        </w:rPr>
      </w:pPr>
      <w:r w:rsidRPr="00132EAD">
        <w:rPr>
          <w:bCs/>
          <w:iCs/>
        </w:rPr>
        <w:t>All of the trials measured treatment response according to the BASDAI</w:t>
      </w:r>
      <w:r w:rsidR="00462ABB" w:rsidRPr="00132EAD">
        <w:rPr>
          <w:bCs/>
          <w:iCs/>
        </w:rPr>
        <w:t xml:space="preserve"> and BASDAI50</w:t>
      </w:r>
      <w:r w:rsidRPr="00132EAD">
        <w:rPr>
          <w:bCs/>
          <w:iCs/>
        </w:rPr>
        <w:t xml:space="preserve"> as well as the </w:t>
      </w:r>
      <w:r w:rsidRPr="00132EAD">
        <w:rPr>
          <w:iCs/>
        </w:rPr>
        <w:t xml:space="preserve">Assessment of </w:t>
      </w:r>
      <w:proofErr w:type="spellStart"/>
      <w:r w:rsidRPr="00132EAD">
        <w:rPr>
          <w:iCs/>
        </w:rPr>
        <w:t>SpondyloArthritis</w:t>
      </w:r>
      <w:proofErr w:type="spellEnd"/>
      <w:r w:rsidRPr="00132EAD">
        <w:rPr>
          <w:iCs/>
        </w:rPr>
        <w:t xml:space="preserve"> international Society 20% / 40% response criteria</w:t>
      </w:r>
      <w:r w:rsidRPr="00132EAD">
        <w:rPr>
          <w:bCs/>
          <w:iCs/>
        </w:rPr>
        <w:t xml:space="preserve"> (ASAS20, ASAS40) and the Ankylosing Spondylitis Disease Activity Score</w:t>
      </w:r>
      <w:r w:rsidR="002E471D" w:rsidRPr="00132EAD">
        <w:rPr>
          <w:bCs/>
          <w:iCs/>
        </w:rPr>
        <w:t xml:space="preserve"> (ASDAS), as either primary, secondary or other outcomes (see Table 3)</w:t>
      </w:r>
      <w:r w:rsidR="00132EAD">
        <w:rPr>
          <w:bCs/>
          <w:iCs/>
        </w:rPr>
        <w:t xml:space="preserve">. </w:t>
      </w:r>
      <w:r w:rsidR="005A07F1" w:rsidRPr="00132EAD">
        <w:rPr>
          <w:bCs/>
          <w:iCs/>
        </w:rPr>
        <w:t>A</w:t>
      </w:r>
      <w:r w:rsidRPr="00132EAD">
        <w:rPr>
          <w:bCs/>
          <w:iCs/>
        </w:rPr>
        <w:t xml:space="preserve">ll trials enrolled patients with a BASDAI score of </w:t>
      </w:r>
      <w:r w:rsidRPr="00132EAD">
        <w:rPr>
          <w:rFonts w:cs="Calibri"/>
          <w:bCs/>
          <w:iCs/>
        </w:rPr>
        <w:t>≥</w:t>
      </w:r>
      <w:r w:rsidRPr="00132EAD">
        <w:rPr>
          <w:bCs/>
          <w:iCs/>
        </w:rPr>
        <w:t xml:space="preserve">4 at baseline, </w:t>
      </w:r>
      <w:r w:rsidR="005A07F1" w:rsidRPr="00132EAD">
        <w:rPr>
          <w:bCs/>
          <w:iCs/>
        </w:rPr>
        <w:t xml:space="preserve">therefore </w:t>
      </w:r>
      <w:r w:rsidRPr="00132EAD">
        <w:rPr>
          <w:bCs/>
          <w:iCs/>
        </w:rPr>
        <w:t xml:space="preserve">BASDAI50 in the trials corresponded to a reduction from baseline in the BASDAI score of </w:t>
      </w:r>
      <w:r w:rsidR="002A3077" w:rsidRPr="00132EAD">
        <w:rPr>
          <w:rFonts w:cs="Calibri"/>
          <w:bCs/>
          <w:iCs/>
        </w:rPr>
        <w:t>≥</w:t>
      </w:r>
      <w:r w:rsidRPr="00132EAD">
        <w:rPr>
          <w:bCs/>
          <w:iCs/>
        </w:rPr>
        <w:t>2</w:t>
      </w:r>
      <w:r w:rsidR="005A07F1" w:rsidRPr="00132EAD">
        <w:rPr>
          <w:bCs/>
          <w:iCs/>
        </w:rPr>
        <w:t xml:space="preserve"> if baseline was 4, </w:t>
      </w:r>
      <w:r w:rsidR="005A07F1" w:rsidRPr="00132EAD">
        <w:rPr>
          <w:rFonts w:cs="Calibri"/>
          <w:bCs/>
          <w:iCs/>
        </w:rPr>
        <w:t>≥</w:t>
      </w:r>
      <w:r w:rsidR="005A07F1" w:rsidRPr="00132EAD">
        <w:rPr>
          <w:bCs/>
          <w:iCs/>
        </w:rPr>
        <w:t>2.5 if baseline was 5, and so on</w:t>
      </w:r>
      <w:r w:rsidRPr="00132EAD">
        <w:rPr>
          <w:bCs/>
          <w:iCs/>
        </w:rPr>
        <w:t>.</w:t>
      </w:r>
    </w:p>
    <w:p w:rsidR="006A4BA5" w:rsidRPr="00132EAD" w:rsidRDefault="006A4BA5" w:rsidP="00471A8B">
      <w:pPr>
        <w:pStyle w:val="ListParagraph"/>
        <w:widowControl/>
        <w:numPr>
          <w:ilvl w:val="1"/>
          <w:numId w:val="3"/>
        </w:numPr>
        <w:rPr>
          <w:iCs/>
        </w:rPr>
      </w:pPr>
      <w:r w:rsidRPr="00132EAD">
        <w:rPr>
          <w:bCs/>
          <w:iCs/>
        </w:rPr>
        <w:t>Under the</w:t>
      </w:r>
      <w:r w:rsidR="00CA368A" w:rsidRPr="00132EAD">
        <w:rPr>
          <w:bCs/>
          <w:iCs/>
        </w:rPr>
        <w:t xml:space="preserve"> proposed</w:t>
      </w:r>
      <w:r w:rsidRPr="00132EAD">
        <w:rPr>
          <w:bCs/>
          <w:iCs/>
        </w:rPr>
        <w:t xml:space="preserve"> PBS criteria, continued treatment is dependent on demonstrating and maintaining response to therapy, assessed after a minimum of 12 weeks following initial therapy (and every 24 weeks ongoing thereafter)</w:t>
      </w:r>
      <w:r w:rsidR="00132EAD">
        <w:rPr>
          <w:bCs/>
          <w:iCs/>
        </w:rPr>
        <w:t xml:space="preserve">. </w:t>
      </w:r>
      <w:r w:rsidRPr="00132EAD">
        <w:rPr>
          <w:bCs/>
          <w:iCs/>
        </w:rPr>
        <w:t>Response is defined as a reduction from baseline in the BASDAI score by 2 or more units and one of the following: a CRP measurement no greater than 10mg/L or a CRP measurement reduced by at least 20% from baseline.</w:t>
      </w:r>
    </w:p>
    <w:p w:rsidR="00455971" w:rsidRPr="00132EAD" w:rsidRDefault="00455971" w:rsidP="00471A8B">
      <w:pPr>
        <w:pStyle w:val="ListParagraph"/>
        <w:widowControl/>
        <w:numPr>
          <w:ilvl w:val="1"/>
          <w:numId w:val="3"/>
        </w:numPr>
        <w:rPr>
          <w:iCs/>
        </w:rPr>
      </w:pPr>
      <w:r w:rsidRPr="00132EAD">
        <w:rPr>
          <w:iCs/>
        </w:rPr>
        <w:t>In November 2017, “the ESC considered BASDAI50 was a clinically relevant outcome … and has been recommended by ASAS [guidelines] as the response criteria used to determine treatment success”</w:t>
      </w:r>
      <w:r w:rsidR="00132EAD">
        <w:rPr>
          <w:iCs/>
        </w:rPr>
        <w:t xml:space="preserve">. </w:t>
      </w:r>
      <w:r w:rsidRPr="00132EAD">
        <w:rPr>
          <w:iCs/>
        </w:rPr>
        <w:t xml:space="preserve">“The ESC noted while the ASAS20 was the primary outcome measure used in GO-AHEAD, and the basis upon which the MCID was stated, the use of the BASDAI50 (a secondary endpoint in the trial) better reflects the </w:t>
      </w:r>
      <w:r w:rsidRPr="00132EAD">
        <w:rPr>
          <w:iCs/>
        </w:rPr>
        <w:lastRenderedPageBreak/>
        <w:t xml:space="preserve">preferred clinical measure for the assessment of response to treatment in </w:t>
      </w:r>
      <w:proofErr w:type="spellStart"/>
      <w:r w:rsidRPr="00132EAD">
        <w:rPr>
          <w:iCs/>
        </w:rPr>
        <w:t>nr-axSpA</w:t>
      </w:r>
      <w:proofErr w:type="spellEnd"/>
      <w:r w:rsidR="00132EAD">
        <w:rPr>
          <w:iCs/>
        </w:rPr>
        <w:t xml:space="preserve">. </w:t>
      </w:r>
      <w:r w:rsidRPr="00132EAD">
        <w:rPr>
          <w:iCs/>
        </w:rPr>
        <w:t>It was agreed that this was the appropriate basis for the assessment of response and cost-effectiveness in this condition” (paragraph</w:t>
      </w:r>
      <w:r w:rsidR="00ED26B7" w:rsidRPr="00132EAD">
        <w:rPr>
          <w:iCs/>
        </w:rPr>
        <w:t>s</w:t>
      </w:r>
      <w:r w:rsidRPr="00132EAD">
        <w:rPr>
          <w:iCs/>
        </w:rPr>
        <w:t xml:space="preserve"> 6.14</w:t>
      </w:r>
      <w:r w:rsidR="00ED26B7" w:rsidRPr="00132EAD">
        <w:rPr>
          <w:iCs/>
        </w:rPr>
        <w:t xml:space="preserve"> and 6.24</w:t>
      </w:r>
      <w:r w:rsidRPr="00132EAD">
        <w:rPr>
          <w:iCs/>
        </w:rPr>
        <w:t xml:space="preserve">, </w:t>
      </w:r>
      <w:proofErr w:type="spellStart"/>
      <w:r w:rsidRPr="00132EAD">
        <w:rPr>
          <w:iCs/>
        </w:rPr>
        <w:t>Golimumab</w:t>
      </w:r>
      <w:proofErr w:type="spellEnd"/>
      <w:r w:rsidRPr="00132EAD">
        <w:rPr>
          <w:iCs/>
        </w:rPr>
        <w:t xml:space="preserve"> November 2017 P</w:t>
      </w:r>
      <w:r w:rsidR="00901FCE">
        <w:rPr>
          <w:iCs/>
        </w:rPr>
        <w:t xml:space="preserve">ublic </w:t>
      </w:r>
      <w:r w:rsidRPr="00132EAD">
        <w:rPr>
          <w:iCs/>
        </w:rPr>
        <w:t>S</w:t>
      </w:r>
      <w:r w:rsidR="00901FCE">
        <w:rPr>
          <w:iCs/>
        </w:rPr>
        <w:t xml:space="preserve">ummary </w:t>
      </w:r>
      <w:r w:rsidRPr="00132EAD">
        <w:rPr>
          <w:iCs/>
        </w:rPr>
        <w:t>D</w:t>
      </w:r>
      <w:r w:rsidR="00901FCE">
        <w:rPr>
          <w:iCs/>
        </w:rPr>
        <w:t>ocument</w:t>
      </w:r>
      <w:r w:rsidRPr="00132EAD">
        <w:rPr>
          <w:iCs/>
        </w:rPr>
        <w:t>).</w:t>
      </w:r>
    </w:p>
    <w:p w:rsidR="00ED26B7" w:rsidRPr="00132EAD" w:rsidRDefault="00ED26B7" w:rsidP="00370D99">
      <w:pPr>
        <w:pStyle w:val="ListParagraph"/>
        <w:widowControl/>
        <w:numPr>
          <w:ilvl w:val="1"/>
          <w:numId w:val="3"/>
        </w:numPr>
        <w:rPr>
          <w:iCs/>
        </w:rPr>
      </w:pPr>
      <w:r w:rsidRPr="00132EAD">
        <w:rPr>
          <w:iCs/>
        </w:rPr>
        <w:t xml:space="preserve">A recent update of the ASAS-EULAR guidelines (van der </w:t>
      </w:r>
      <w:proofErr w:type="spellStart"/>
      <w:r w:rsidRPr="00132EAD">
        <w:rPr>
          <w:iCs/>
        </w:rPr>
        <w:t>Heijde</w:t>
      </w:r>
      <w:proofErr w:type="spellEnd"/>
      <w:r w:rsidRPr="00132EAD">
        <w:rPr>
          <w:iCs/>
        </w:rPr>
        <w:t xml:space="preserve"> 2017) recommended that the ASDAS was favoured </w:t>
      </w:r>
      <w:r w:rsidR="00370D99" w:rsidRPr="00132EAD">
        <w:rPr>
          <w:iCs/>
        </w:rPr>
        <w:t>compared to</w:t>
      </w:r>
      <w:r w:rsidRPr="00132EAD">
        <w:rPr>
          <w:iCs/>
        </w:rPr>
        <w:t xml:space="preserve"> the BASDAI for assessing disease activity and response/continuation of </w:t>
      </w:r>
      <w:proofErr w:type="spellStart"/>
      <w:r w:rsidRPr="00132EAD">
        <w:rPr>
          <w:iCs/>
        </w:rPr>
        <w:t>bDMARDs</w:t>
      </w:r>
      <w:proofErr w:type="spellEnd"/>
      <w:r w:rsidR="00132EAD">
        <w:rPr>
          <w:iCs/>
        </w:rPr>
        <w:t xml:space="preserve">. </w:t>
      </w:r>
      <w:r w:rsidRPr="00132EAD">
        <w:rPr>
          <w:iCs/>
        </w:rPr>
        <w:t xml:space="preserve">The ASDAS is a relatively new index for measuring disease activity in </w:t>
      </w:r>
      <w:proofErr w:type="spellStart"/>
      <w:r w:rsidRPr="00132EAD">
        <w:rPr>
          <w:iCs/>
        </w:rPr>
        <w:t>axSpA</w:t>
      </w:r>
      <w:proofErr w:type="spellEnd"/>
      <w:r w:rsidRPr="00132EAD">
        <w:rPr>
          <w:iCs/>
        </w:rPr>
        <w:t>, which combines patient-reported outcomes and levels of CRP into one index</w:t>
      </w:r>
      <w:r w:rsidR="00132EAD">
        <w:rPr>
          <w:iCs/>
        </w:rPr>
        <w:t xml:space="preserve">. </w:t>
      </w:r>
      <w:r w:rsidRPr="00132EAD">
        <w:rPr>
          <w:iCs/>
        </w:rPr>
        <w:t>The publication stated that ASDAS is a better index than BASDAI (for several reasons) and placed first in the treatment algorithm because it is the preferred measure.</w:t>
      </w:r>
    </w:p>
    <w:p w:rsidR="001707F0" w:rsidRPr="00132EAD" w:rsidRDefault="001707F0" w:rsidP="00A26F4B">
      <w:pPr>
        <w:pStyle w:val="ListParagraph"/>
        <w:widowControl/>
        <w:numPr>
          <w:ilvl w:val="1"/>
          <w:numId w:val="3"/>
        </w:numPr>
        <w:rPr>
          <w:iCs/>
        </w:rPr>
      </w:pPr>
      <w:r w:rsidRPr="00132EAD">
        <w:t xml:space="preserve">Tables 4 and 5 present </w:t>
      </w:r>
      <w:r w:rsidR="00EC6C4B" w:rsidRPr="00132EAD">
        <w:t xml:space="preserve">the </w:t>
      </w:r>
      <w:r w:rsidRPr="00132EAD">
        <w:t xml:space="preserve">indirect treatment </w:t>
      </w:r>
      <w:r w:rsidR="00471A8B" w:rsidRPr="00132EAD">
        <w:t xml:space="preserve">comparisons </w:t>
      </w:r>
      <w:r w:rsidRPr="00132EAD">
        <w:t>between</w:t>
      </w:r>
      <w:r w:rsidR="00471A8B" w:rsidRPr="00132EAD">
        <w:t xml:space="preserve"> </w:t>
      </w:r>
      <w:r w:rsidRPr="00132EAD">
        <w:t xml:space="preserve">CZP </w:t>
      </w:r>
      <w:r w:rsidR="00EC6C4B" w:rsidRPr="00132EAD">
        <w:t>(</w:t>
      </w:r>
      <w:r w:rsidRPr="00132EAD">
        <w:t>at Week 12</w:t>
      </w:r>
      <w:r w:rsidR="00EC6C4B" w:rsidRPr="00132EAD">
        <w:t>)</w:t>
      </w:r>
      <w:r w:rsidRPr="00132EAD">
        <w:t xml:space="preserve"> and GLM </w:t>
      </w:r>
      <w:r w:rsidR="00EC6C4B" w:rsidRPr="00132EAD">
        <w:t>(</w:t>
      </w:r>
      <w:r w:rsidRPr="00132EAD">
        <w:t>at Week 16</w:t>
      </w:r>
      <w:r w:rsidR="00EC6C4B" w:rsidRPr="00132EAD">
        <w:t>)</w:t>
      </w:r>
      <w:r w:rsidRPr="00132EAD">
        <w:t xml:space="preserve"> for BASDAI50 and </w:t>
      </w:r>
      <w:r w:rsidR="00471A8B" w:rsidRPr="00132EAD">
        <w:t>ASAS20</w:t>
      </w:r>
      <w:r w:rsidRPr="00132EAD">
        <w:t xml:space="preserve"> respectively, by baseline MRI+ and CRP+ status</w:t>
      </w:r>
      <w:r w:rsidR="00132EAD">
        <w:t xml:space="preserve">. </w:t>
      </w:r>
      <w:r w:rsidR="00612B0F" w:rsidRPr="00132EAD">
        <w:rPr>
          <w:iCs/>
        </w:rPr>
        <w:t>The rationale for using Week 12 data for CZP and Week 16 for GLM was unclear</w:t>
      </w:r>
      <w:r w:rsidRPr="00132EAD">
        <w:rPr>
          <w:iCs/>
        </w:rPr>
        <w:t>; however, t</w:t>
      </w:r>
      <w:r w:rsidR="00612B0F" w:rsidRPr="00132EAD">
        <w:rPr>
          <w:iCs/>
        </w:rPr>
        <w:t>his</w:t>
      </w:r>
      <w:r w:rsidRPr="00132EAD">
        <w:rPr>
          <w:iCs/>
        </w:rPr>
        <w:t xml:space="preserve"> difference was unlikely to favour CZP </w:t>
      </w:r>
      <w:r w:rsidR="00612B0F" w:rsidRPr="00132EAD">
        <w:rPr>
          <w:iCs/>
        </w:rPr>
        <w:t xml:space="preserve">(e.g. the </w:t>
      </w:r>
      <w:r w:rsidRPr="00132EAD">
        <w:rPr>
          <w:iCs/>
        </w:rPr>
        <w:t>proportion with BASDAI50 at Week 16 was numerically larger compared to Week 12 in AS0006)</w:t>
      </w:r>
      <w:r w:rsidR="00503440">
        <w:rPr>
          <w:iCs/>
        </w:rPr>
        <w:t>.</w:t>
      </w:r>
    </w:p>
    <w:p w:rsidR="00062E7D" w:rsidRPr="00132EAD" w:rsidRDefault="00062E7D" w:rsidP="000B16A9">
      <w:pPr>
        <w:keepNext/>
        <w:keepLines/>
        <w:widowControl/>
        <w:jc w:val="left"/>
        <w:rPr>
          <w:rFonts w:ascii="Arial Narrow" w:hAnsi="Arial Narrow"/>
          <w:b/>
          <w:bCs/>
          <w:sz w:val="20"/>
          <w:szCs w:val="20"/>
        </w:rPr>
      </w:pPr>
      <w:r w:rsidRPr="00132EAD">
        <w:rPr>
          <w:rFonts w:ascii="Arial Narrow" w:hAnsi="Arial Narrow"/>
          <w:b/>
          <w:bCs/>
          <w:sz w:val="20"/>
          <w:szCs w:val="20"/>
        </w:rPr>
        <w:t xml:space="preserve">Table 4: BASDAI50 response in patients with </w:t>
      </w:r>
      <w:proofErr w:type="spellStart"/>
      <w:r w:rsidRPr="00132EAD">
        <w:rPr>
          <w:rFonts w:ascii="Arial Narrow" w:hAnsi="Arial Narrow"/>
          <w:b/>
          <w:bCs/>
          <w:sz w:val="20"/>
          <w:szCs w:val="20"/>
        </w:rPr>
        <w:t>nr-axSpA</w:t>
      </w:r>
      <w:proofErr w:type="spellEnd"/>
      <w:r w:rsidRPr="00132EAD">
        <w:rPr>
          <w:rFonts w:ascii="Arial Narrow" w:hAnsi="Arial Narrow"/>
          <w:b/>
          <w:bCs/>
          <w:sz w:val="20"/>
          <w:szCs w:val="20"/>
        </w:rPr>
        <w:t xml:space="preserve"> plus objective signs of inflammation, defined according to the TGA</w:t>
      </w:r>
      <w:r w:rsidR="00D77893">
        <w:rPr>
          <w:rFonts w:ascii="Arial Narrow" w:hAnsi="Arial Narrow"/>
          <w:b/>
          <w:bCs/>
          <w:sz w:val="20"/>
          <w:szCs w:val="20"/>
        </w:rPr>
        <w:t xml:space="preserve"> population (MRI+ and/or CRP+) and PBS population (MRI+ and CRP+)</w:t>
      </w:r>
    </w:p>
    <w:tbl>
      <w:tblPr>
        <w:tblStyle w:val="TableGrid"/>
        <w:tblW w:w="5000" w:type="pct"/>
        <w:tblCellMar>
          <w:left w:w="28" w:type="dxa"/>
          <w:right w:w="28" w:type="dxa"/>
        </w:tblCellMar>
        <w:tblLook w:val="04A0" w:firstRow="1" w:lastRow="0" w:firstColumn="1" w:lastColumn="0" w:noHBand="0" w:noVBand="1"/>
        <w:tblCaption w:val="Table 4: BASDAI50 response in patients with nr-axSpA plus objective signs of inflammation, defined according to the TGA population (MRI+ and/or CRP+) and PBS population (MRI+ and CRP+)"/>
      </w:tblPr>
      <w:tblGrid>
        <w:gridCol w:w="3119"/>
        <w:gridCol w:w="1274"/>
        <w:gridCol w:w="1134"/>
        <w:gridCol w:w="1421"/>
        <w:gridCol w:w="1421"/>
        <w:gridCol w:w="658"/>
      </w:tblGrid>
      <w:tr w:rsidR="00062E7D" w:rsidRPr="00132EAD" w:rsidTr="00657498">
        <w:trPr>
          <w:tblHeader/>
        </w:trPr>
        <w:tc>
          <w:tcPr>
            <w:tcW w:w="1728" w:type="pct"/>
            <w:tcBorders>
              <w:top w:val="single" w:sz="4" w:space="0" w:color="auto"/>
              <w:left w:val="nil"/>
              <w:bottom w:val="single" w:sz="4" w:space="0" w:color="auto"/>
              <w:right w:val="nil"/>
            </w:tcBorders>
            <w:vAlign w:val="center"/>
          </w:tcPr>
          <w:p w:rsidR="00062E7D" w:rsidRPr="00132EAD" w:rsidRDefault="00062E7D" w:rsidP="000B16A9">
            <w:pPr>
              <w:keepNext/>
              <w:keepLines/>
              <w:rPr>
                <w:rFonts w:ascii="Arial Narrow" w:hAnsi="Arial Narrow"/>
                <w:b/>
                <w:bCs/>
                <w:sz w:val="20"/>
                <w:szCs w:val="20"/>
              </w:rPr>
            </w:pPr>
            <w:r w:rsidRPr="00132EAD">
              <w:rPr>
                <w:rFonts w:ascii="Arial Narrow" w:hAnsi="Arial Narrow"/>
                <w:b/>
                <w:bCs/>
                <w:sz w:val="20"/>
                <w:szCs w:val="20"/>
              </w:rPr>
              <w:t>Trial</w:t>
            </w:r>
          </w:p>
        </w:tc>
        <w:tc>
          <w:tcPr>
            <w:tcW w:w="706" w:type="pct"/>
            <w:tcBorders>
              <w:top w:val="single" w:sz="4" w:space="0" w:color="auto"/>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Drug</w:t>
            </w:r>
          </w:p>
          <w:p w:rsidR="00062E7D" w:rsidRPr="00132EAD" w:rsidRDefault="00062E7D" w:rsidP="000B16A9">
            <w:pPr>
              <w:keepNext/>
              <w:keepLines/>
              <w:jc w:val="center"/>
              <w:rPr>
                <w:rFonts w:ascii="Arial Narrow" w:hAnsi="Arial Narrow"/>
                <w:b/>
                <w:bCs/>
                <w:sz w:val="20"/>
                <w:szCs w:val="20"/>
              </w:rPr>
            </w:pPr>
            <w:proofErr w:type="gramStart"/>
            <w:r w:rsidRPr="00132EAD">
              <w:rPr>
                <w:rFonts w:ascii="Arial Narrow" w:hAnsi="Arial Narrow"/>
                <w:b/>
                <w:bCs/>
                <w:sz w:val="20"/>
                <w:szCs w:val="20"/>
              </w:rPr>
              <w:t>n/N</w:t>
            </w:r>
            <w:proofErr w:type="gramEnd"/>
            <w:r w:rsidRPr="00132EAD">
              <w:rPr>
                <w:rFonts w:ascii="Arial Narrow" w:hAnsi="Arial Narrow"/>
                <w:b/>
                <w:bCs/>
                <w:sz w:val="20"/>
                <w:szCs w:val="20"/>
              </w:rPr>
              <w:t xml:space="preserve"> (%)</w:t>
            </w:r>
          </w:p>
        </w:tc>
        <w:tc>
          <w:tcPr>
            <w:tcW w:w="628" w:type="pct"/>
            <w:tcBorders>
              <w:top w:val="single" w:sz="4" w:space="0" w:color="auto"/>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Control</w:t>
            </w:r>
          </w:p>
          <w:p w:rsidR="00062E7D" w:rsidRPr="00132EAD" w:rsidRDefault="00062E7D" w:rsidP="000B16A9">
            <w:pPr>
              <w:keepNext/>
              <w:keepLines/>
              <w:jc w:val="center"/>
              <w:rPr>
                <w:rFonts w:ascii="Arial Narrow" w:hAnsi="Arial Narrow"/>
                <w:b/>
                <w:bCs/>
                <w:sz w:val="20"/>
                <w:szCs w:val="20"/>
              </w:rPr>
            </w:pPr>
            <w:proofErr w:type="gramStart"/>
            <w:r w:rsidRPr="00132EAD">
              <w:rPr>
                <w:rFonts w:ascii="Arial Narrow" w:hAnsi="Arial Narrow"/>
                <w:b/>
                <w:bCs/>
                <w:sz w:val="20"/>
                <w:szCs w:val="20"/>
              </w:rPr>
              <w:t>n/N</w:t>
            </w:r>
            <w:proofErr w:type="gramEnd"/>
            <w:r w:rsidRPr="00132EAD">
              <w:rPr>
                <w:rFonts w:ascii="Arial Narrow" w:hAnsi="Arial Narrow"/>
                <w:b/>
                <w:bCs/>
                <w:sz w:val="20"/>
                <w:szCs w:val="20"/>
              </w:rPr>
              <w:t xml:space="preserve"> (%)</w:t>
            </w:r>
          </w:p>
        </w:tc>
        <w:tc>
          <w:tcPr>
            <w:tcW w:w="787" w:type="pct"/>
            <w:tcBorders>
              <w:top w:val="single" w:sz="4" w:space="0" w:color="auto"/>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vertAlign w:val="superscript"/>
              </w:rPr>
            </w:pPr>
            <w:r w:rsidRPr="00132EAD">
              <w:rPr>
                <w:rFonts w:ascii="Arial Narrow" w:hAnsi="Arial Narrow"/>
                <w:b/>
                <w:bCs/>
                <w:sz w:val="20"/>
                <w:szCs w:val="20"/>
              </w:rPr>
              <w:t>RR</w:t>
            </w:r>
            <w:r w:rsidRPr="00132EAD">
              <w:rPr>
                <w:rFonts w:ascii="Arial Narrow" w:hAnsi="Arial Narrow"/>
                <w:b/>
                <w:bCs/>
                <w:sz w:val="20"/>
                <w:szCs w:val="20"/>
                <w:vertAlign w:val="superscript"/>
              </w:rPr>
              <w:t>#</w:t>
            </w:r>
          </w:p>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(95%CI)</w:t>
            </w:r>
          </w:p>
        </w:tc>
        <w:tc>
          <w:tcPr>
            <w:tcW w:w="787" w:type="pct"/>
            <w:tcBorders>
              <w:top w:val="single" w:sz="4" w:space="0" w:color="auto"/>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vertAlign w:val="superscript"/>
              </w:rPr>
            </w:pPr>
            <w:r w:rsidRPr="00132EAD">
              <w:rPr>
                <w:rFonts w:ascii="Arial Narrow" w:hAnsi="Arial Narrow"/>
                <w:b/>
                <w:bCs/>
                <w:sz w:val="20"/>
                <w:szCs w:val="20"/>
              </w:rPr>
              <w:t>RD</w:t>
            </w:r>
            <w:r w:rsidRPr="00132EAD">
              <w:rPr>
                <w:rFonts w:ascii="Arial Narrow" w:hAnsi="Arial Narrow"/>
                <w:b/>
                <w:bCs/>
                <w:sz w:val="20"/>
                <w:szCs w:val="20"/>
                <w:vertAlign w:val="superscript"/>
              </w:rPr>
              <w:t>#</w:t>
            </w:r>
          </w:p>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(95%CI)</w:t>
            </w:r>
          </w:p>
        </w:tc>
        <w:tc>
          <w:tcPr>
            <w:tcW w:w="364" w:type="pct"/>
            <w:tcBorders>
              <w:top w:val="single" w:sz="4" w:space="0" w:color="auto"/>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vertAlign w:val="superscript"/>
              </w:rPr>
            </w:pPr>
            <w:r w:rsidRPr="00132EAD">
              <w:rPr>
                <w:rFonts w:ascii="Arial Narrow" w:hAnsi="Arial Narrow"/>
                <w:b/>
                <w:bCs/>
                <w:sz w:val="20"/>
                <w:szCs w:val="20"/>
              </w:rPr>
              <w:t>NNT</w:t>
            </w:r>
          </w:p>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(95%CI)</w:t>
            </w:r>
          </w:p>
        </w:tc>
      </w:tr>
      <w:tr w:rsidR="00062E7D" w:rsidRPr="00132EAD" w:rsidTr="00625B2B">
        <w:tc>
          <w:tcPr>
            <w:tcW w:w="3061" w:type="pct"/>
            <w:gridSpan w:val="3"/>
            <w:tcBorders>
              <w:top w:val="nil"/>
              <w:left w:val="nil"/>
              <w:bottom w:val="nil"/>
              <w:right w:val="nil"/>
            </w:tcBorders>
          </w:tcPr>
          <w:p w:rsidR="00062E7D" w:rsidRPr="00132EAD" w:rsidRDefault="00062E7D" w:rsidP="000B16A9">
            <w:pPr>
              <w:keepNext/>
              <w:keepLines/>
              <w:rPr>
                <w:rFonts w:ascii="Arial Narrow" w:hAnsi="Arial Narrow"/>
                <w:b/>
                <w:bCs/>
                <w:sz w:val="20"/>
                <w:szCs w:val="20"/>
              </w:rPr>
            </w:pPr>
            <w:r w:rsidRPr="00132EAD">
              <w:rPr>
                <w:rFonts w:ascii="Arial Narrow" w:hAnsi="Arial Narrow"/>
                <w:b/>
                <w:bCs/>
                <w:color w:val="CC0000"/>
                <w:sz w:val="20"/>
                <w:szCs w:val="20"/>
              </w:rPr>
              <w:t xml:space="preserve">TGA population: </w:t>
            </w:r>
            <w:proofErr w:type="spellStart"/>
            <w:r w:rsidRPr="00132EAD">
              <w:rPr>
                <w:rFonts w:ascii="Arial Narrow" w:hAnsi="Arial Narrow"/>
                <w:b/>
                <w:bCs/>
                <w:color w:val="CC0000"/>
                <w:sz w:val="20"/>
                <w:szCs w:val="20"/>
              </w:rPr>
              <w:t>nr-axSpA</w:t>
            </w:r>
            <w:proofErr w:type="spellEnd"/>
            <w:r w:rsidRPr="00132EAD">
              <w:rPr>
                <w:rFonts w:ascii="Arial Narrow" w:hAnsi="Arial Narrow"/>
                <w:b/>
                <w:bCs/>
                <w:color w:val="CC0000"/>
                <w:sz w:val="20"/>
                <w:szCs w:val="20"/>
              </w:rPr>
              <w:t xml:space="preserve"> (MRI+ </w:t>
            </w:r>
            <w:r w:rsidRPr="00132EAD">
              <w:rPr>
                <w:rFonts w:ascii="Arial Narrow" w:hAnsi="Arial Narrow"/>
                <w:b/>
                <w:bCs/>
                <w:color w:val="CC0000"/>
                <w:sz w:val="20"/>
                <w:szCs w:val="20"/>
                <w:u w:val="single"/>
              </w:rPr>
              <w:t>AND/OR</w:t>
            </w:r>
            <w:r w:rsidRPr="00132EAD">
              <w:rPr>
                <w:rFonts w:ascii="Arial Narrow" w:hAnsi="Arial Narrow"/>
                <w:b/>
                <w:bCs/>
                <w:color w:val="CC0000"/>
                <w:sz w:val="20"/>
                <w:szCs w:val="20"/>
              </w:rPr>
              <w:t xml:space="preserve"> CRP+)</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r>
      <w:tr w:rsidR="00062E7D" w:rsidRPr="00132EAD" w:rsidTr="00625B2B">
        <w:tc>
          <w:tcPr>
            <w:tcW w:w="3061" w:type="pct"/>
            <w:gridSpan w:val="3"/>
            <w:tcBorders>
              <w:top w:val="nil"/>
              <w:left w:val="nil"/>
              <w:bottom w:val="nil"/>
              <w:right w:val="nil"/>
            </w:tcBorders>
          </w:tcPr>
          <w:p w:rsidR="00062E7D" w:rsidRPr="00132EAD" w:rsidRDefault="00062E7D" w:rsidP="000B16A9">
            <w:pPr>
              <w:keepNext/>
              <w:keepLines/>
              <w:rPr>
                <w:rFonts w:ascii="Arial Narrow" w:hAnsi="Arial Narrow"/>
                <w:b/>
                <w:bCs/>
                <w:sz w:val="20"/>
                <w:szCs w:val="20"/>
              </w:rPr>
            </w:pPr>
            <w:r w:rsidRPr="00132EAD">
              <w:rPr>
                <w:rFonts w:ascii="Arial Narrow" w:hAnsi="Arial Narrow"/>
                <w:b/>
                <w:bCs/>
                <w:sz w:val="20"/>
                <w:szCs w:val="20"/>
              </w:rPr>
              <w:t>CZP 200mg Q2W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12)</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r>
      <w:tr w:rsidR="00062E7D" w:rsidRPr="00132EAD" w:rsidTr="00625B2B">
        <w:tc>
          <w:tcPr>
            <w:tcW w:w="1728" w:type="pct"/>
            <w:tcBorders>
              <w:top w:val="nil"/>
              <w:left w:val="nil"/>
              <w:bottom w:val="nil"/>
              <w:right w:val="nil"/>
            </w:tcBorders>
          </w:tcPr>
          <w:p w:rsidR="00062E7D" w:rsidRPr="00132EAD" w:rsidRDefault="00062E7D" w:rsidP="000B16A9">
            <w:pPr>
              <w:keepNext/>
              <w:keepLines/>
              <w:rPr>
                <w:rFonts w:ascii="Arial Narrow" w:hAnsi="Arial Narrow"/>
                <w:sz w:val="20"/>
                <w:szCs w:val="20"/>
              </w:rPr>
            </w:pPr>
            <w:r w:rsidRPr="00132EAD">
              <w:rPr>
                <w:rFonts w:ascii="Arial Narrow" w:hAnsi="Arial Narrow"/>
                <w:sz w:val="20"/>
                <w:szCs w:val="20"/>
              </w:rPr>
              <w:t>AS0006, ITT (n=317)</w:t>
            </w:r>
          </w:p>
        </w:tc>
        <w:tc>
          <w:tcPr>
            <w:tcW w:w="706"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68/159 (42.8)</w:t>
            </w:r>
          </w:p>
        </w:tc>
        <w:tc>
          <w:tcPr>
            <w:tcW w:w="628"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23/158 (14.6)</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2.94 (1.93, 4.46)</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0.28 (0.19,0.38)</w:t>
            </w: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4 (3, 5)</w:t>
            </w:r>
          </w:p>
        </w:tc>
      </w:tr>
      <w:tr w:rsidR="00062E7D" w:rsidRPr="00132EAD" w:rsidTr="00625B2B">
        <w:tc>
          <w:tcPr>
            <w:tcW w:w="1728" w:type="pct"/>
            <w:tcBorders>
              <w:top w:val="nil"/>
              <w:left w:val="nil"/>
              <w:bottom w:val="nil"/>
              <w:right w:val="nil"/>
            </w:tcBorders>
          </w:tcPr>
          <w:p w:rsidR="00062E7D" w:rsidRPr="00132EAD" w:rsidRDefault="00062E7D" w:rsidP="000B16A9">
            <w:pPr>
              <w:keepNext/>
              <w:keepLines/>
              <w:rPr>
                <w:rFonts w:ascii="Arial Narrow" w:hAnsi="Arial Narrow"/>
                <w:sz w:val="20"/>
                <w:szCs w:val="20"/>
              </w:rPr>
            </w:pPr>
            <w:r w:rsidRPr="00132EAD">
              <w:rPr>
                <w:rFonts w:ascii="Arial Narrow" w:hAnsi="Arial Narrow"/>
                <w:sz w:val="20"/>
                <w:szCs w:val="20"/>
              </w:rPr>
              <w:t>AS001 PSS (n=96)</w:t>
            </w:r>
          </w:p>
        </w:tc>
        <w:tc>
          <w:tcPr>
            <w:tcW w:w="706"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iCs/>
                <w:sz w:val="20"/>
                <w:szCs w:val="20"/>
              </w:rPr>
              <w:t>23/46 (50</w:t>
            </w:r>
            <w:r w:rsidR="00544866" w:rsidRPr="00132EAD">
              <w:rPr>
                <w:rFonts w:ascii="Arial Narrow" w:hAnsi="Arial Narrow"/>
                <w:iCs/>
                <w:sz w:val="20"/>
                <w:szCs w:val="20"/>
              </w:rPr>
              <w:t>.0</w:t>
            </w:r>
            <w:r w:rsidRPr="00132EAD">
              <w:rPr>
                <w:rFonts w:ascii="Arial Narrow" w:hAnsi="Arial Narrow"/>
                <w:iCs/>
                <w:sz w:val="20"/>
                <w:szCs w:val="20"/>
              </w:rPr>
              <w:t>)</w:t>
            </w:r>
          </w:p>
        </w:tc>
        <w:tc>
          <w:tcPr>
            <w:tcW w:w="628"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iCs/>
                <w:sz w:val="20"/>
                <w:szCs w:val="20"/>
              </w:rPr>
              <w:t>8/50 (16.0)</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3.13 (1.56, 6.28)</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sz w:val="20"/>
                <w:szCs w:val="20"/>
                <w:shd w:val="pct15" w:color="auto" w:fill="FFFFFF"/>
              </w:rPr>
            </w:pPr>
            <w:r w:rsidRPr="00132EAD">
              <w:rPr>
                <w:rFonts w:ascii="Arial Narrow" w:hAnsi="Arial Narrow"/>
                <w:b/>
                <w:bCs/>
                <w:sz w:val="20"/>
                <w:szCs w:val="20"/>
              </w:rPr>
              <w:t>0.34 (0.16, 0.52)</w:t>
            </w: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3 (2, 7)</w:t>
            </w:r>
          </w:p>
        </w:tc>
      </w:tr>
      <w:tr w:rsidR="00062E7D" w:rsidRPr="00132EAD" w:rsidTr="00625B2B">
        <w:tc>
          <w:tcPr>
            <w:tcW w:w="1728" w:type="pct"/>
            <w:tcBorders>
              <w:top w:val="nil"/>
              <w:left w:val="nil"/>
              <w:bottom w:val="nil"/>
              <w:right w:val="nil"/>
            </w:tcBorders>
            <w:vAlign w:val="center"/>
          </w:tcPr>
          <w:p w:rsidR="00062E7D" w:rsidRPr="00132EAD" w:rsidRDefault="00062E7D" w:rsidP="000B16A9">
            <w:pPr>
              <w:keepNext/>
              <w:keepLines/>
              <w:rPr>
                <w:rFonts w:ascii="Arial Narrow" w:hAnsi="Arial Narrow"/>
                <w:sz w:val="20"/>
                <w:szCs w:val="20"/>
              </w:rPr>
            </w:pPr>
            <w:r w:rsidRPr="00132EAD">
              <w:rPr>
                <w:rFonts w:ascii="Arial Narrow" w:hAnsi="Arial Narrow"/>
                <w:sz w:val="20"/>
                <w:szCs w:val="20"/>
              </w:rPr>
              <w:t>Meta-analysis</w:t>
            </w:r>
          </w:p>
        </w:tc>
        <w:tc>
          <w:tcPr>
            <w:tcW w:w="706"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80/205</w:t>
            </w:r>
            <w:r w:rsidR="00544866" w:rsidRPr="00132EAD">
              <w:rPr>
                <w:rFonts w:ascii="Arial Narrow" w:hAnsi="Arial Narrow"/>
                <w:sz w:val="20"/>
                <w:szCs w:val="20"/>
              </w:rPr>
              <w:t xml:space="preserve"> (39.0)</w:t>
            </w:r>
          </w:p>
        </w:tc>
        <w:tc>
          <w:tcPr>
            <w:tcW w:w="628"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31/208</w:t>
            </w:r>
            <w:r w:rsidR="00544866" w:rsidRPr="00132EAD">
              <w:rPr>
                <w:rFonts w:ascii="Arial Narrow" w:hAnsi="Arial Narrow"/>
                <w:sz w:val="20"/>
                <w:szCs w:val="20"/>
              </w:rPr>
              <w:t xml:space="preserve"> (14.9)</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2.98 (2.08, 4.27)</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0.30 (0.21, 0.38)</w:t>
            </w: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3 (3, 5)</w:t>
            </w:r>
          </w:p>
        </w:tc>
      </w:tr>
      <w:tr w:rsidR="00062E7D" w:rsidRPr="00132EAD" w:rsidTr="00625B2B">
        <w:tc>
          <w:tcPr>
            <w:tcW w:w="3061" w:type="pct"/>
            <w:gridSpan w:val="3"/>
            <w:tcBorders>
              <w:top w:val="nil"/>
              <w:left w:val="nil"/>
              <w:bottom w:val="nil"/>
              <w:right w:val="nil"/>
            </w:tcBorders>
          </w:tcPr>
          <w:p w:rsidR="00062E7D" w:rsidRPr="00132EAD" w:rsidRDefault="00062E7D" w:rsidP="000B16A9">
            <w:pPr>
              <w:keepNext/>
              <w:keepLines/>
              <w:rPr>
                <w:rFonts w:ascii="Arial Narrow" w:hAnsi="Arial Narrow"/>
                <w:b/>
                <w:bCs/>
                <w:sz w:val="20"/>
                <w:szCs w:val="20"/>
              </w:rPr>
            </w:pPr>
            <w:r w:rsidRPr="00132EAD">
              <w:rPr>
                <w:rFonts w:ascii="Arial Narrow" w:hAnsi="Arial Narrow"/>
                <w:b/>
                <w:bCs/>
                <w:sz w:val="20"/>
                <w:szCs w:val="20"/>
              </w:rPr>
              <w:t>GLM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16)</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r>
      <w:tr w:rsidR="00062E7D" w:rsidRPr="00132EAD" w:rsidTr="00625B2B">
        <w:tc>
          <w:tcPr>
            <w:tcW w:w="1728" w:type="pct"/>
            <w:tcBorders>
              <w:top w:val="nil"/>
              <w:left w:val="nil"/>
              <w:bottom w:val="single" w:sz="4" w:space="0" w:color="auto"/>
              <w:right w:val="nil"/>
            </w:tcBorders>
          </w:tcPr>
          <w:p w:rsidR="00062E7D" w:rsidRPr="00132EAD" w:rsidRDefault="00062E7D" w:rsidP="000B16A9">
            <w:pPr>
              <w:keepNext/>
              <w:keepLines/>
              <w:rPr>
                <w:rFonts w:ascii="Arial Narrow" w:hAnsi="Arial Narrow"/>
                <w:sz w:val="20"/>
                <w:szCs w:val="20"/>
              </w:rPr>
            </w:pPr>
            <w:proofErr w:type="spellStart"/>
            <w:r w:rsidRPr="00132EAD">
              <w:rPr>
                <w:rFonts w:ascii="Arial Narrow" w:hAnsi="Arial Narrow"/>
                <w:sz w:val="20"/>
                <w:szCs w:val="20"/>
              </w:rPr>
              <w:t>Go-AHEAD</w:t>
            </w:r>
            <w:proofErr w:type="spellEnd"/>
            <w:r w:rsidRPr="00132EAD">
              <w:rPr>
                <w:rFonts w:ascii="Arial Narrow" w:hAnsi="Arial Narrow"/>
                <w:sz w:val="20"/>
                <w:szCs w:val="20"/>
              </w:rPr>
              <w:t>, PSS (n=158)</w:t>
            </w:r>
          </w:p>
        </w:tc>
        <w:tc>
          <w:tcPr>
            <w:tcW w:w="706"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46/78 (59.0)</w:t>
            </w:r>
          </w:p>
        </w:tc>
        <w:tc>
          <w:tcPr>
            <w:tcW w:w="628"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23/80 (28.8)</w:t>
            </w:r>
          </w:p>
        </w:tc>
        <w:tc>
          <w:tcPr>
            <w:tcW w:w="787"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2.05 (1.39, 3.03)</w:t>
            </w:r>
          </w:p>
        </w:tc>
        <w:tc>
          <w:tcPr>
            <w:tcW w:w="787"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sz w:val="20"/>
                <w:szCs w:val="20"/>
              </w:rPr>
            </w:pPr>
            <w:r w:rsidRPr="00132EAD">
              <w:rPr>
                <w:rFonts w:ascii="Arial Narrow" w:hAnsi="Arial Narrow"/>
                <w:b/>
                <w:bCs/>
                <w:sz w:val="20"/>
                <w:szCs w:val="20"/>
              </w:rPr>
              <w:t>0.30 (0.15,0.45)</w:t>
            </w:r>
          </w:p>
        </w:tc>
        <w:tc>
          <w:tcPr>
            <w:tcW w:w="364"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sz w:val="20"/>
                <w:szCs w:val="20"/>
              </w:rPr>
            </w:pPr>
            <w:r w:rsidRPr="00132EAD">
              <w:rPr>
                <w:rFonts w:ascii="Arial Narrow" w:hAnsi="Arial Narrow"/>
                <w:sz w:val="20"/>
                <w:szCs w:val="20"/>
              </w:rPr>
              <w:t>3 (2, 7)</w:t>
            </w:r>
          </w:p>
        </w:tc>
      </w:tr>
      <w:tr w:rsidR="00062E7D" w:rsidRPr="00132EAD" w:rsidTr="00625B2B">
        <w:tc>
          <w:tcPr>
            <w:tcW w:w="3061" w:type="pct"/>
            <w:gridSpan w:val="3"/>
            <w:tcBorders>
              <w:top w:val="nil"/>
              <w:left w:val="nil"/>
              <w:bottom w:val="nil"/>
              <w:right w:val="nil"/>
            </w:tcBorders>
          </w:tcPr>
          <w:p w:rsidR="00062E7D" w:rsidRPr="00132EAD" w:rsidRDefault="00062E7D" w:rsidP="000B16A9">
            <w:pPr>
              <w:keepNext/>
              <w:keepLines/>
              <w:rPr>
                <w:rFonts w:ascii="Arial Narrow" w:hAnsi="Arial Narrow"/>
                <w:b/>
                <w:bCs/>
                <w:sz w:val="20"/>
                <w:szCs w:val="20"/>
              </w:rPr>
            </w:pPr>
            <w:r w:rsidRPr="00132EAD">
              <w:rPr>
                <w:rFonts w:ascii="Arial Narrow" w:hAnsi="Arial Narrow"/>
                <w:b/>
                <w:bCs/>
                <w:color w:val="0070C0"/>
                <w:sz w:val="20"/>
                <w:szCs w:val="20"/>
              </w:rPr>
              <w:t xml:space="preserve">PBS population: </w:t>
            </w:r>
            <w:proofErr w:type="spellStart"/>
            <w:r w:rsidRPr="00132EAD">
              <w:rPr>
                <w:rFonts w:ascii="Arial Narrow" w:hAnsi="Arial Narrow"/>
                <w:b/>
                <w:bCs/>
                <w:color w:val="0070C0"/>
                <w:sz w:val="20"/>
                <w:szCs w:val="20"/>
              </w:rPr>
              <w:t>nr-axSpA</w:t>
            </w:r>
            <w:proofErr w:type="spellEnd"/>
            <w:r w:rsidRPr="00132EAD">
              <w:rPr>
                <w:rFonts w:ascii="Arial Narrow" w:hAnsi="Arial Narrow"/>
                <w:b/>
                <w:bCs/>
                <w:color w:val="0070C0"/>
                <w:sz w:val="20"/>
                <w:szCs w:val="20"/>
              </w:rPr>
              <w:t xml:space="preserve"> (MRI+ </w:t>
            </w:r>
            <w:r w:rsidRPr="00132EAD">
              <w:rPr>
                <w:rFonts w:ascii="Arial Narrow" w:hAnsi="Arial Narrow"/>
                <w:b/>
                <w:bCs/>
                <w:color w:val="0070C0"/>
                <w:sz w:val="20"/>
                <w:szCs w:val="20"/>
                <w:u w:val="single"/>
              </w:rPr>
              <w:t>AND</w:t>
            </w:r>
            <w:r w:rsidRPr="00132EAD">
              <w:rPr>
                <w:rFonts w:ascii="Arial Narrow" w:hAnsi="Arial Narrow"/>
                <w:b/>
                <w:bCs/>
                <w:color w:val="0070C0"/>
                <w:sz w:val="20"/>
                <w:szCs w:val="20"/>
              </w:rPr>
              <w:t xml:space="preserve"> CRP+)</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r>
      <w:tr w:rsidR="00062E7D" w:rsidRPr="00132EAD" w:rsidTr="00625B2B">
        <w:tc>
          <w:tcPr>
            <w:tcW w:w="3061" w:type="pct"/>
            <w:gridSpan w:val="3"/>
            <w:tcBorders>
              <w:top w:val="nil"/>
              <w:left w:val="nil"/>
              <w:bottom w:val="nil"/>
              <w:right w:val="nil"/>
            </w:tcBorders>
          </w:tcPr>
          <w:p w:rsidR="00062E7D" w:rsidRPr="00132EAD" w:rsidRDefault="00062E7D" w:rsidP="000B16A9">
            <w:pPr>
              <w:keepNext/>
              <w:keepLines/>
              <w:rPr>
                <w:rFonts w:ascii="Arial Narrow" w:hAnsi="Arial Narrow"/>
                <w:iCs/>
                <w:sz w:val="20"/>
                <w:szCs w:val="20"/>
              </w:rPr>
            </w:pPr>
            <w:r w:rsidRPr="00132EAD">
              <w:rPr>
                <w:rFonts w:ascii="Arial Narrow" w:hAnsi="Arial Narrow"/>
                <w:b/>
                <w:bCs/>
                <w:sz w:val="20"/>
                <w:szCs w:val="20"/>
              </w:rPr>
              <w:t>CZP 200mg Q2W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12)</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r>
      <w:tr w:rsidR="00062E7D" w:rsidRPr="00132EAD" w:rsidTr="00625B2B">
        <w:tc>
          <w:tcPr>
            <w:tcW w:w="1728" w:type="pct"/>
            <w:tcBorders>
              <w:top w:val="nil"/>
              <w:left w:val="nil"/>
              <w:bottom w:val="nil"/>
              <w:right w:val="nil"/>
            </w:tcBorders>
            <w:vAlign w:val="center"/>
          </w:tcPr>
          <w:p w:rsidR="00062E7D" w:rsidRPr="00132EAD" w:rsidRDefault="00062E7D" w:rsidP="000B16A9">
            <w:pPr>
              <w:keepNext/>
              <w:keepLines/>
              <w:rPr>
                <w:rFonts w:ascii="Arial Narrow" w:hAnsi="Arial Narrow"/>
                <w:iCs/>
                <w:sz w:val="20"/>
                <w:szCs w:val="20"/>
              </w:rPr>
            </w:pPr>
            <w:r w:rsidRPr="00132EAD">
              <w:rPr>
                <w:rFonts w:ascii="Arial Narrow" w:hAnsi="Arial Narrow"/>
                <w:sz w:val="20"/>
                <w:szCs w:val="20"/>
              </w:rPr>
              <w:t>AS0006, PSS (n=87)</w:t>
            </w:r>
          </w:p>
        </w:tc>
        <w:tc>
          <w:tcPr>
            <w:tcW w:w="706"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sz w:val="20"/>
                <w:szCs w:val="20"/>
              </w:rPr>
              <w:t>21/45 (46.7)</w:t>
            </w:r>
          </w:p>
        </w:tc>
        <w:tc>
          <w:tcPr>
            <w:tcW w:w="628"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sz w:val="20"/>
                <w:szCs w:val="20"/>
              </w:rPr>
              <w:t>6/42 (14.3)</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iCs/>
                <w:sz w:val="20"/>
                <w:szCs w:val="20"/>
              </w:rPr>
            </w:pPr>
            <w:r w:rsidRPr="00132EAD">
              <w:rPr>
                <w:rFonts w:ascii="Arial Narrow" w:hAnsi="Arial Narrow"/>
                <w:b/>
                <w:bCs/>
                <w:sz w:val="20"/>
                <w:szCs w:val="20"/>
              </w:rPr>
              <w:t>3.27 (1.46, 7.30)</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b/>
                <w:bCs/>
                <w:iCs/>
                <w:sz w:val="20"/>
                <w:szCs w:val="20"/>
              </w:rPr>
            </w:pPr>
            <w:r w:rsidRPr="00132EAD">
              <w:rPr>
                <w:rFonts w:ascii="Arial Narrow" w:hAnsi="Arial Narrow"/>
                <w:b/>
                <w:bCs/>
                <w:sz w:val="20"/>
                <w:szCs w:val="20"/>
              </w:rPr>
              <w:t>0.32 (0.14, 0.50)</w:t>
            </w: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sz w:val="20"/>
                <w:szCs w:val="20"/>
              </w:rPr>
              <w:t>3 (2, 7)</w:t>
            </w:r>
          </w:p>
        </w:tc>
      </w:tr>
      <w:tr w:rsidR="00062E7D" w:rsidRPr="00132EAD" w:rsidTr="00625B2B">
        <w:tc>
          <w:tcPr>
            <w:tcW w:w="3061" w:type="pct"/>
            <w:gridSpan w:val="3"/>
            <w:tcBorders>
              <w:top w:val="nil"/>
              <w:left w:val="nil"/>
              <w:bottom w:val="nil"/>
              <w:right w:val="nil"/>
            </w:tcBorders>
          </w:tcPr>
          <w:p w:rsidR="00062E7D" w:rsidRPr="00132EAD" w:rsidRDefault="00062E7D" w:rsidP="000B16A9">
            <w:pPr>
              <w:keepNext/>
              <w:keepLines/>
              <w:rPr>
                <w:rFonts w:ascii="Arial Narrow" w:hAnsi="Arial Narrow"/>
                <w:iCs/>
                <w:sz w:val="20"/>
                <w:szCs w:val="20"/>
              </w:rPr>
            </w:pPr>
            <w:r w:rsidRPr="00132EAD">
              <w:rPr>
                <w:rFonts w:ascii="Arial Narrow" w:hAnsi="Arial Narrow"/>
                <w:b/>
                <w:bCs/>
                <w:sz w:val="20"/>
                <w:szCs w:val="20"/>
              </w:rPr>
              <w:t>GLM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16)</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iCs/>
                <w:sz w:val="20"/>
                <w:szCs w:val="20"/>
              </w:rPr>
            </w:pPr>
          </w:p>
        </w:tc>
      </w:tr>
      <w:tr w:rsidR="00062E7D" w:rsidRPr="00132EAD" w:rsidTr="00625B2B">
        <w:tc>
          <w:tcPr>
            <w:tcW w:w="1728" w:type="pct"/>
            <w:tcBorders>
              <w:top w:val="nil"/>
              <w:left w:val="nil"/>
              <w:bottom w:val="single" w:sz="4" w:space="0" w:color="auto"/>
              <w:right w:val="nil"/>
            </w:tcBorders>
            <w:vAlign w:val="center"/>
          </w:tcPr>
          <w:p w:rsidR="00062E7D" w:rsidRPr="00132EAD" w:rsidRDefault="00062E7D" w:rsidP="000B16A9">
            <w:pPr>
              <w:keepNext/>
              <w:keepLines/>
              <w:rPr>
                <w:rFonts w:ascii="Arial Narrow" w:hAnsi="Arial Narrow"/>
                <w:iCs/>
                <w:sz w:val="20"/>
                <w:szCs w:val="20"/>
              </w:rPr>
            </w:pPr>
            <w:proofErr w:type="spellStart"/>
            <w:r w:rsidRPr="00132EAD">
              <w:rPr>
                <w:rFonts w:ascii="Arial Narrow" w:hAnsi="Arial Narrow"/>
                <w:sz w:val="20"/>
                <w:szCs w:val="20"/>
              </w:rPr>
              <w:t>Go-AHEAD</w:t>
            </w:r>
            <w:proofErr w:type="spellEnd"/>
            <w:r w:rsidRPr="00132EAD">
              <w:rPr>
                <w:rFonts w:ascii="Arial Narrow" w:hAnsi="Arial Narrow"/>
                <w:sz w:val="20"/>
                <w:szCs w:val="20"/>
              </w:rPr>
              <w:t>, PHS (n=53)</w:t>
            </w:r>
          </w:p>
        </w:tc>
        <w:tc>
          <w:tcPr>
            <w:tcW w:w="706"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sz w:val="20"/>
                <w:szCs w:val="20"/>
              </w:rPr>
              <w:t>18/26 (69.2)</w:t>
            </w:r>
          </w:p>
        </w:tc>
        <w:tc>
          <w:tcPr>
            <w:tcW w:w="628"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sz w:val="20"/>
                <w:szCs w:val="20"/>
              </w:rPr>
              <w:t>10/27 (37.0)</w:t>
            </w:r>
          </w:p>
        </w:tc>
        <w:tc>
          <w:tcPr>
            <w:tcW w:w="787"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iCs/>
                <w:sz w:val="20"/>
                <w:szCs w:val="20"/>
              </w:rPr>
            </w:pPr>
            <w:r w:rsidRPr="00132EAD">
              <w:rPr>
                <w:rFonts w:ascii="Arial Narrow" w:hAnsi="Arial Narrow"/>
                <w:b/>
                <w:bCs/>
                <w:sz w:val="20"/>
                <w:szCs w:val="20"/>
              </w:rPr>
              <w:t>1.87 (1.07, 3.25)</w:t>
            </w:r>
          </w:p>
        </w:tc>
        <w:tc>
          <w:tcPr>
            <w:tcW w:w="787"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b/>
                <w:bCs/>
                <w:iCs/>
                <w:sz w:val="20"/>
                <w:szCs w:val="20"/>
              </w:rPr>
            </w:pPr>
            <w:r w:rsidRPr="00132EAD">
              <w:rPr>
                <w:rFonts w:ascii="Arial Narrow" w:hAnsi="Arial Narrow"/>
                <w:b/>
                <w:bCs/>
                <w:sz w:val="20"/>
                <w:szCs w:val="20"/>
              </w:rPr>
              <w:t>0.32 (0.07, 0.58)</w:t>
            </w:r>
          </w:p>
        </w:tc>
        <w:tc>
          <w:tcPr>
            <w:tcW w:w="364" w:type="pct"/>
            <w:tcBorders>
              <w:top w:val="nil"/>
              <w:left w:val="nil"/>
              <w:bottom w:val="single" w:sz="4" w:space="0" w:color="auto"/>
              <w:right w:val="nil"/>
            </w:tcBorders>
            <w:vAlign w:val="center"/>
          </w:tcPr>
          <w:p w:rsidR="00062E7D" w:rsidRPr="00132EAD" w:rsidRDefault="00062E7D" w:rsidP="000B16A9">
            <w:pPr>
              <w:keepNext/>
              <w:keepLines/>
              <w:jc w:val="center"/>
              <w:rPr>
                <w:rFonts w:ascii="Arial Narrow" w:hAnsi="Arial Narrow"/>
                <w:iCs/>
                <w:sz w:val="20"/>
                <w:szCs w:val="20"/>
              </w:rPr>
            </w:pPr>
            <w:r w:rsidRPr="00132EAD">
              <w:rPr>
                <w:rFonts w:ascii="Arial Narrow" w:hAnsi="Arial Narrow"/>
                <w:sz w:val="20"/>
                <w:szCs w:val="20"/>
              </w:rPr>
              <w:t>3 (2,14)</w:t>
            </w:r>
          </w:p>
        </w:tc>
      </w:tr>
      <w:tr w:rsidR="00062E7D" w:rsidRPr="00132EAD" w:rsidTr="00625B2B">
        <w:tc>
          <w:tcPr>
            <w:tcW w:w="3061" w:type="pct"/>
            <w:gridSpan w:val="3"/>
            <w:tcBorders>
              <w:top w:val="double" w:sz="4" w:space="0" w:color="auto"/>
              <w:left w:val="nil"/>
              <w:bottom w:val="nil"/>
              <w:right w:val="nil"/>
            </w:tcBorders>
            <w:vAlign w:val="center"/>
          </w:tcPr>
          <w:p w:rsidR="00062E7D" w:rsidRPr="00132EAD" w:rsidRDefault="00062E7D" w:rsidP="000B16A9">
            <w:pPr>
              <w:keepNext/>
              <w:keepLines/>
              <w:rPr>
                <w:rFonts w:ascii="Arial Narrow" w:hAnsi="Arial Narrow"/>
                <w:b/>
                <w:bCs/>
                <w:sz w:val="20"/>
                <w:szCs w:val="20"/>
              </w:rPr>
            </w:pPr>
            <w:r w:rsidRPr="00132EAD">
              <w:rPr>
                <w:rFonts w:ascii="Arial Narrow" w:hAnsi="Arial Narrow"/>
                <w:b/>
                <w:bCs/>
                <w:sz w:val="20"/>
                <w:szCs w:val="20"/>
              </w:rPr>
              <w:t>Indirect comparisons</w:t>
            </w: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787"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c>
          <w:tcPr>
            <w:tcW w:w="364" w:type="pct"/>
            <w:tcBorders>
              <w:top w:val="nil"/>
              <w:left w:val="nil"/>
              <w:bottom w:val="nil"/>
              <w:right w:val="nil"/>
            </w:tcBorders>
            <w:vAlign w:val="center"/>
          </w:tcPr>
          <w:p w:rsidR="00062E7D" w:rsidRPr="00132EAD" w:rsidRDefault="00062E7D" w:rsidP="000B16A9">
            <w:pPr>
              <w:keepNext/>
              <w:keepLines/>
              <w:jc w:val="center"/>
              <w:rPr>
                <w:rFonts w:ascii="Arial Narrow" w:hAnsi="Arial Narrow"/>
                <w:sz w:val="20"/>
                <w:szCs w:val="20"/>
              </w:rPr>
            </w:pPr>
          </w:p>
        </w:tc>
      </w:tr>
      <w:tr w:rsidR="00C26536" w:rsidRPr="00132EAD" w:rsidTr="00370D99">
        <w:tc>
          <w:tcPr>
            <w:tcW w:w="3061" w:type="pct"/>
            <w:gridSpan w:val="3"/>
            <w:tcBorders>
              <w:top w:val="double" w:sz="4" w:space="0" w:color="auto"/>
              <w:left w:val="nil"/>
              <w:bottom w:val="nil"/>
              <w:right w:val="nil"/>
            </w:tcBorders>
          </w:tcPr>
          <w:p w:rsidR="00C26536" w:rsidRPr="00132EAD" w:rsidRDefault="00C26536" w:rsidP="000B16A9">
            <w:pPr>
              <w:keepNext/>
              <w:keepLines/>
              <w:rPr>
                <w:rFonts w:ascii="Arial Narrow" w:hAnsi="Arial Narrow"/>
                <w:b/>
                <w:bCs/>
                <w:sz w:val="20"/>
                <w:szCs w:val="20"/>
              </w:rPr>
            </w:pPr>
            <w:r w:rsidRPr="00132EAD">
              <w:rPr>
                <w:rFonts w:ascii="Arial Narrow" w:hAnsi="Arial Narrow"/>
                <w:b/>
                <w:bCs/>
                <w:color w:val="CC0000"/>
                <w:sz w:val="20"/>
                <w:szCs w:val="20"/>
              </w:rPr>
              <w:t xml:space="preserve">TGA population: </w:t>
            </w:r>
            <w:proofErr w:type="spellStart"/>
            <w:r w:rsidRPr="00132EAD">
              <w:rPr>
                <w:rFonts w:ascii="Arial Narrow" w:hAnsi="Arial Narrow"/>
                <w:b/>
                <w:bCs/>
                <w:color w:val="CC0000"/>
                <w:sz w:val="20"/>
                <w:szCs w:val="20"/>
              </w:rPr>
              <w:t>nr-axSpA</w:t>
            </w:r>
            <w:proofErr w:type="spellEnd"/>
            <w:r w:rsidRPr="00132EAD">
              <w:rPr>
                <w:rFonts w:ascii="Arial Narrow" w:hAnsi="Arial Narrow"/>
                <w:b/>
                <w:bCs/>
                <w:color w:val="CC0000"/>
                <w:sz w:val="20"/>
                <w:szCs w:val="20"/>
              </w:rPr>
              <w:t xml:space="preserve"> (MRI+ </w:t>
            </w:r>
            <w:r w:rsidRPr="00132EAD">
              <w:rPr>
                <w:rFonts w:ascii="Arial Narrow" w:hAnsi="Arial Narrow"/>
                <w:b/>
                <w:bCs/>
                <w:color w:val="CC0000"/>
                <w:sz w:val="20"/>
                <w:szCs w:val="20"/>
                <w:u w:val="single"/>
              </w:rPr>
              <w:t>AND/OR</w:t>
            </w:r>
            <w:r w:rsidRPr="00132EAD">
              <w:rPr>
                <w:rFonts w:ascii="Arial Narrow" w:hAnsi="Arial Narrow"/>
                <w:b/>
                <w:bCs/>
                <w:color w:val="CC0000"/>
                <w:sz w:val="20"/>
                <w:szCs w:val="20"/>
              </w:rPr>
              <w:t xml:space="preserve"> CRP+)</w:t>
            </w: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c>
          <w:tcPr>
            <w:tcW w:w="364"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r>
      <w:tr w:rsidR="00C26536" w:rsidRPr="00132EAD" w:rsidTr="00625B2B">
        <w:tc>
          <w:tcPr>
            <w:tcW w:w="3061" w:type="pct"/>
            <w:gridSpan w:val="3"/>
            <w:tcBorders>
              <w:top w:val="nil"/>
              <w:left w:val="nil"/>
              <w:bottom w:val="nil"/>
              <w:right w:val="nil"/>
            </w:tcBorders>
            <w:vAlign w:val="center"/>
          </w:tcPr>
          <w:p w:rsidR="00C26536" w:rsidRPr="00132EAD" w:rsidRDefault="00C26536" w:rsidP="000B16A9">
            <w:pPr>
              <w:keepNext/>
              <w:keepLines/>
              <w:rPr>
                <w:rFonts w:ascii="Arial Narrow" w:hAnsi="Arial Narrow"/>
                <w:sz w:val="20"/>
                <w:szCs w:val="20"/>
              </w:rPr>
            </w:pPr>
            <w:r w:rsidRPr="00132EAD">
              <w:rPr>
                <w:rFonts w:ascii="Arial Narrow" w:hAnsi="Arial Narrow"/>
                <w:sz w:val="20"/>
                <w:szCs w:val="20"/>
              </w:rPr>
              <w:t>CZP (meta) vs GLM</w:t>
            </w: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shd w:val="pct15" w:color="auto" w:fill="FFFFFF"/>
              </w:rPr>
            </w:pPr>
            <w:r w:rsidRPr="00132EAD">
              <w:rPr>
                <w:rFonts w:ascii="Arial Narrow" w:hAnsi="Arial Narrow"/>
                <w:sz w:val="20"/>
                <w:szCs w:val="20"/>
              </w:rPr>
              <w:t>1.45 (0.86, 2.45)</w:t>
            </w: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shd w:val="pct15" w:color="auto" w:fill="FFFFFF"/>
              </w:rPr>
            </w:pPr>
            <w:r w:rsidRPr="00132EAD">
              <w:rPr>
                <w:rFonts w:ascii="Arial Narrow" w:hAnsi="Arial Narrow"/>
                <w:sz w:val="20"/>
                <w:szCs w:val="20"/>
              </w:rPr>
              <w:t>0.0 (-0.17, 0.17)</w:t>
            </w:r>
          </w:p>
        </w:tc>
        <w:tc>
          <w:tcPr>
            <w:tcW w:w="364"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r>
      <w:tr w:rsidR="00C26536" w:rsidRPr="00132EAD" w:rsidTr="00625B2B">
        <w:tc>
          <w:tcPr>
            <w:tcW w:w="3061" w:type="pct"/>
            <w:gridSpan w:val="3"/>
            <w:tcBorders>
              <w:top w:val="nil"/>
              <w:left w:val="nil"/>
              <w:bottom w:val="nil"/>
              <w:right w:val="nil"/>
            </w:tcBorders>
            <w:vAlign w:val="center"/>
          </w:tcPr>
          <w:p w:rsidR="00C26536" w:rsidRPr="00132EAD" w:rsidRDefault="00C26536" w:rsidP="000B16A9">
            <w:pPr>
              <w:keepNext/>
              <w:keepLines/>
              <w:rPr>
                <w:rFonts w:ascii="Arial Narrow" w:hAnsi="Arial Narrow"/>
                <w:sz w:val="20"/>
                <w:szCs w:val="20"/>
              </w:rPr>
            </w:pPr>
            <w:r w:rsidRPr="00132EAD">
              <w:rPr>
                <w:rFonts w:ascii="Arial Narrow" w:hAnsi="Arial Narrow"/>
                <w:sz w:val="20"/>
                <w:szCs w:val="20"/>
              </w:rPr>
              <w:t>CZP (AS0006) vs GLM</w:t>
            </w: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r w:rsidRPr="00132EAD">
              <w:rPr>
                <w:rFonts w:ascii="Arial Narrow" w:hAnsi="Arial Narrow"/>
                <w:sz w:val="20"/>
                <w:szCs w:val="20"/>
              </w:rPr>
              <w:t>1.43 (0.81, 2.54)</w:t>
            </w: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r w:rsidRPr="00132EAD">
              <w:rPr>
                <w:rFonts w:ascii="Arial Narrow" w:hAnsi="Arial Narrow"/>
                <w:sz w:val="20"/>
                <w:szCs w:val="20"/>
              </w:rPr>
              <w:t>-0.02 (-0.20, 0.16)</w:t>
            </w:r>
          </w:p>
        </w:tc>
        <w:tc>
          <w:tcPr>
            <w:tcW w:w="364"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r>
      <w:tr w:rsidR="00C26536" w:rsidRPr="00132EAD" w:rsidTr="00D77893">
        <w:tc>
          <w:tcPr>
            <w:tcW w:w="3061" w:type="pct"/>
            <w:gridSpan w:val="3"/>
            <w:tcBorders>
              <w:top w:val="nil"/>
              <w:left w:val="nil"/>
              <w:bottom w:val="nil"/>
              <w:right w:val="nil"/>
            </w:tcBorders>
            <w:vAlign w:val="center"/>
          </w:tcPr>
          <w:p w:rsidR="00C26536" w:rsidRPr="00132EAD" w:rsidRDefault="00C26536" w:rsidP="000B16A9">
            <w:pPr>
              <w:keepNext/>
              <w:keepLines/>
              <w:rPr>
                <w:rFonts w:ascii="Arial Narrow" w:hAnsi="Arial Narrow"/>
                <w:sz w:val="20"/>
                <w:szCs w:val="20"/>
              </w:rPr>
            </w:pPr>
            <w:r w:rsidRPr="00132EAD">
              <w:rPr>
                <w:rFonts w:ascii="Arial Narrow" w:hAnsi="Arial Narrow"/>
                <w:b/>
                <w:bCs/>
                <w:color w:val="0070C0"/>
                <w:sz w:val="20"/>
                <w:szCs w:val="20"/>
              </w:rPr>
              <w:t xml:space="preserve">PBS population: </w:t>
            </w:r>
            <w:proofErr w:type="spellStart"/>
            <w:r w:rsidRPr="00132EAD">
              <w:rPr>
                <w:rFonts w:ascii="Arial Narrow" w:hAnsi="Arial Narrow"/>
                <w:b/>
                <w:bCs/>
                <w:color w:val="0070C0"/>
                <w:sz w:val="20"/>
                <w:szCs w:val="20"/>
              </w:rPr>
              <w:t>nr-axSpA</w:t>
            </w:r>
            <w:proofErr w:type="spellEnd"/>
            <w:r w:rsidRPr="00132EAD">
              <w:rPr>
                <w:rFonts w:ascii="Arial Narrow" w:hAnsi="Arial Narrow"/>
                <w:b/>
                <w:bCs/>
                <w:color w:val="0070C0"/>
                <w:sz w:val="20"/>
                <w:szCs w:val="20"/>
              </w:rPr>
              <w:t xml:space="preserve"> (MRI+ </w:t>
            </w:r>
            <w:r w:rsidRPr="00132EAD">
              <w:rPr>
                <w:rFonts w:ascii="Arial Narrow" w:hAnsi="Arial Narrow"/>
                <w:b/>
                <w:bCs/>
                <w:color w:val="0070C0"/>
                <w:sz w:val="20"/>
                <w:szCs w:val="20"/>
                <w:u w:val="single"/>
              </w:rPr>
              <w:t>AND</w:t>
            </w:r>
            <w:r w:rsidRPr="00132EAD">
              <w:rPr>
                <w:rFonts w:ascii="Arial Narrow" w:hAnsi="Arial Narrow"/>
                <w:b/>
                <w:bCs/>
                <w:color w:val="0070C0"/>
                <w:sz w:val="20"/>
                <w:szCs w:val="20"/>
              </w:rPr>
              <w:t xml:space="preserve"> CRP+)</w:t>
            </w: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c>
          <w:tcPr>
            <w:tcW w:w="787"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c>
          <w:tcPr>
            <w:tcW w:w="364" w:type="pct"/>
            <w:tcBorders>
              <w:top w:val="nil"/>
              <w:left w:val="nil"/>
              <w:bottom w:val="nil"/>
              <w:right w:val="nil"/>
            </w:tcBorders>
            <w:vAlign w:val="center"/>
          </w:tcPr>
          <w:p w:rsidR="00C26536" w:rsidRPr="00132EAD" w:rsidRDefault="00C26536" w:rsidP="000B16A9">
            <w:pPr>
              <w:keepNext/>
              <w:keepLines/>
              <w:jc w:val="center"/>
              <w:rPr>
                <w:rFonts w:ascii="Arial Narrow" w:hAnsi="Arial Narrow"/>
                <w:sz w:val="20"/>
                <w:szCs w:val="20"/>
              </w:rPr>
            </w:pPr>
          </w:p>
        </w:tc>
      </w:tr>
      <w:tr w:rsidR="00C26536" w:rsidRPr="00132EAD" w:rsidTr="00D77893">
        <w:tc>
          <w:tcPr>
            <w:tcW w:w="3061" w:type="pct"/>
            <w:gridSpan w:val="3"/>
            <w:tcBorders>
              <w:top w:val="nil"/>
              <w:left w:val="nil"/>
              <w:bottom w:val="single" w:sz="4" w:space="0" w:color="auto"/>
              <w:right w:val="nil"/>
            </w:tcBorders>
            <w:vAlign w:val="center"/>
          </w:tcPr>
          <w:p w:rsidR="00C26536" w:rsidRPr="00132EAD" w:rsidRDefault="00C26536" w:rsidP="000B16A9">
            <w:pPr>
              <w:keepNext/>
              <w:keepLines/>
              <w:rPr>
                <w:rFonts w:ascii="Arial Narrow" w:hAnsi="Arial Narrow"/>
                <w:sz w:val="20"/>
                <w:szCs w:val="20"/>
              </w:rPr>
            </w:pPr>
            <w:r w:rsidRPr="00132EAD">
              <w:rPr>
                <w:rFonts w:ascii="Arial Narrow" w:hAnsi="Arial Narrow"/>
                <w:sz w:val="20"/>
                <w:szCs w:val="20"/>
              </w:rPr>
              <w:t>CZP vs GLM</w:t>
            </w:r>
          </w:p>
        </w:tc>
        <w:tc>
          <w:tcPr>
            <w:tcW w:w="787" w:type="pct"/>
            <w:tcBorders>
              <w:top w:val="nil"/>
              <w:left w:val="nil"/>
              <w:bottom w:val="single" w:sz="4" w:space="0" w:color="auto"/>
              <w:right w:val="nil"/>
            </w:tcBorders>
            <w:vAlign w:val="center"/>
          </w:tcPr>
          <w:p w:rsidR="00C26536" w:rsidRPr="00132EAD" w:rsidRDefault="00C26536" w:rsidP="000B16A9">
            <w:pPr>
              <w:keepNext/>
              <w:keepLines/>
              <w:jc w:val="center"/>
              <w:rPr>
                <w:rFonts w:ascii="Arial Narrow" w:hAnsi="Arial Narrow"/>
                <w:sz w:val="20"/>
                <w:szCs w:val="20"/>
              </w:rPr>
            </w:pPr>
            <w:r w:rsidRPr="00132EAD">
              <w:rPr>
                <w:rFonts w:ascii="Arial Narrow" w:hAnsi="Arial Narrow"/>
                <w:sz w:val="20"/>
                <w:szCs w:val="20"/>
              </w:rPr>
              <w:t>1.75 (0.66, 4.65)</w:t>
            </w:r>
          </w:p>
        </w:tc>
        <w:tc>
          <w:tcPr>
            <w:tcW w:w="787" w:type="pct"/>
            <w:tcBorders>
              <w:top w:val="nil"/>
              <w:left w:val="nil"/>
              <w:bottom w:val="single" w:sz="4" w:space="0" w:color="auto"/>
              <w:right w:val="nil"/>
            </w:tcBorders>
            <w:vAlign w:val="center"/>
          </w:tcPr>
          <w:p w:rsidR="00C26536" w:rsidRPr="00132EAD" w:rsidRDefault="00C26536" w:rsidP="000B16A9">
            <w:pPr>
              <w:keepNext/>
              <w:keepLines/>
              <w:jc w:val="center"/>
              <w:rPr>
                <w:rFonts w:ascii="Arial Narrow" w:hAnsi="Arial Narrow"/>
                <w:sz w:val="20"/>
                <w:szCs w:val="20"/>
              </w:rPr>
            </w:pPr>
            <w:r w:rsidRPr="00132EAD">
              <w:rPr>
                <w:rFonts w:ascii="Arial Narrow" w:hAnsi="Arial Narrow"/>
                <w:sz w:val="20"/>
                <w:szCs w:val="20"/>
              </w:rPr>
              <w:t>0.00 (-0.31, 0.31)</w:t>
            </w:r>
          </w:p>
        </w:tc>
        <w:tc>
          <w:tcPr>
            <w:tcW w:w="364" w:type="pct"/>
            <w:tcBorders>
              <w:top w:val="nil"/>
              <w:left w:val="nil"/>
              <w:bottom w:val="single" w:sz="4" w:space="0" w:color="auto"/>
              <w:right w:val="nil"/>
            </w:tcBorders>
            <w:vAlign w:val="center"/>
          </w:tcPr>
          <w:p w:rsidR="00C26536" w:rsidRPr="00132EAD" w:rsidRDefault="00C26536" w:rsidP="000B16A9">
            <w:pPr>
              <w:keepNext/>
              <w:keepLines/>
              <w:jc w:val="center"/>
              <w:rPr>
                <w:rFonts w:ascii="Arial Narrow" w:hAnsi="Arial Narrow"/>
                <w:sz w:val="20"/>
                <w:szCs w:val="20"/>
              </w:rPr>
            </w:pPr>
          </w:p>
        </w:tc>
      </w:tr>
    </w:tbl>
    <w:p w:rsidR="00062E7D" w:rsidRPr="00132EAD" w:rsidRDefault="00062E7D" w:rsidP="000B16A9">
      <w:pPr>
        <w:pStyle w:val="TableFooter"/>
        <w:keepNext/>
        <w:keepLines/>
      </w:pPr>
      <w:r w:rsidRPr="00132EAD">
        <w:rPr>
          <w:szCs w:val="18"/>
        </w:rPr>
        <w:t xml:space="preserve">Abbreviations: </w:t>
      </w:r>
      <w:r w:rsidRPr="00132EAD">
        <w:t xml:space="preserve">BASDAI50=50% improvement in Bath ankylosing spondylitis disease activity index; CRP=C-reactive protein; </w:t>
      </w:r>
      <w:r w:rsidRPr="00132EAD">
        <w:rPr>
          <w:szCs w:val="18"/>
        </w:rPr>
        <w:t>CZP=</w:t>
      </w:r>
      <w:proofErr w:type="spellStart"/>
      <w:r w:rsidRPr="00132EAD">
        <w:rPr>
          <w:szCs w:val="18"/>
        </w:rPr>
        <w:t>certolizumab</w:t>
      </w:r>
      <w:proofErr w:type="spellEnd"/>
      <w:r w:rsidRPr="00132EAD">
        <w:rPr>
          <w:szCs w:val="18"/>
        </w:rPr>
        <w:t xml:space="preserve"> </w:t>
      </w:r>
      <w:proofErr w:type="spellStart"/>
      <w:r w:rsidRPr="00132EAD">
        <w:rPr>
          <w:szCs w:val="18"/>
        </w:rPr>
        <w:t>pegol</w:t>
      </w:r>
      <w:proofErr w:type="spellEnd"/>
      <w:r w:rsidRPr="00132EAD">
        <w:rPr>
          <w:szCs w:val="18"/>
        </w:rPr>
        <w:t>; GLM=</w:t>
      </w:r>
      <w:proofErr w:type="spellStart"/>
      <w:r w:rsidRPr="00132EAD">
        <w:rPr>
          <w:szCs w:val="18"/>
        </w:rPr>
        <w:t>golimumab</w:t>
      </w:r>
      <w:proofErr w:type="spellEnd"/>
      <w:r w:rsidRPr="00132EAD">
        <w:rPr>
          <w:szCs w:val="18"/>
        </w:rPr>
        <w:t xml:space="preserve">; ITT=intention to treat; </w:t>
      </w:r>
      <w:r w:rsidRPr="00132EAD">
        <w:t xml:space="preserve">MRI=magnetic resonance imaging; </w:t>
      </w:r>
      <w:proofErr w:type="spellStart"/>
      <w:r w:rsidRPr="00132EAD">
        <w:t>nr-axSpA</w:t>
      </w:r>
      <w:proofErr w:type="spellEnd"/>
      <w:r w:rsidRPr="00132EAD">
        <w:t xml:space="preserve">=non-radiographic axial </w:t>
      </w:r>
      <w:proofErr w:type="spellStart"/>
      <w:r w:rsidRPr="00132EAD">
        <w:t>spondyloarthritis</w:t>
      </w:r>
      <w:proofErr w:type="spellEnd"/>
      <w:r w:rsidRPr="00132EAD">
        <w:t xml:space="preserve">; OSI=objective signs of inflammation; </w:t>
      </w:r>
      <w:r w:rsidRPr="00132EAD">
        <w:rPr>
          <w:szCs w:val="18"/>
        </w:rPr>
        <w:t xml:space="preserve">PBO=placebo; PSS=pre-specified subgroup; PHS=post-hoc subgroup; Q2W=every 2 weeks; Q4W every 4 weeks; </w:t>
      </w:r>
      <w:proofErr w:type="spellStart"/>
      <w:r w:rsidRPr="00132EAD">
        <w:rPr>
          <w:szCs w:val="18"/>
        </w:rPr>
        <w:t>wk</w:t>
      </w:r>
      <w:proofErr w:type="spellEnd"/>
      <w:r w:rsidRPr="00132EAD">
        <w:rPr>
          <w:szCs w:val="18"/>
        </w:rPr>
        <w:t>=week;</w:t>
      </w:r>
    </w:p>
    <w:p w:rsidR="00062E7D" w:rsidRPr="00132EAD" w:rsidRDefault="00062E7D" w:rsidP="000B16A9">
      <w:pPr>
        <w:keepNext/>
        <w:keepLines/>
        <w:tabs>
          <w:tab w:val="left" w:pos="142"/>
        </w:tabs>
        <w:rPr>
          <w:rFonts w:ascii="Arial Narrow" w:hAnsi="Arial Narrow"/>
          <w:sz w:val="18"/>
          <w:szCs w:val="18"/>
        </w:rPr>
      </w:pPr>
      <w:r w:rsidRPr="00132EAD">
        <w:rPr>
          <w:rFonts w:ascii="Arial Narrow" w:hAnsi="Arial Narrow"/>
          <w:sz w:val="18"/>
          <w:szCs w:val="18"/>
          <w:vertAlign w:val="superscript"/>
        </w:rPr>
        <w:t>‡</w:t>
      </w:r>
      <w:r w:rsidRPr="00132EAD">
        <w:rPr>
          <w:rFonts w:ascii="Arial Narrow" w:hAnsi="Arial Narrow"/>
          <w:sz w:val="18"/>
          <w:szCs w:val="18"/>
        </w:rPr>
        <w:tab/>
        <w:t>Patients (20 PBO and 19 GLM) who were MRI-/CRP- were excluded from the PSS analysis.</w:t>
      </w:r>
    </w:p>
    <w:p w:rsidR="00062E7D" w:rsidRPr="00132EAD" w:rsidRDefault="00062E7D" w:rsidP="000B16A9">
      <w:pPr>
        <w:keepNext/>
        <w:keepLines/>
        <w:rPr>
          <w:rFonts w:ascii="Arial Narrow" w:hAnsi="Arial Narrow"/>
          <w:sz w:val="18"/>
          <w:szCs w:val="18"/>
        </w:rPr>
      </w:pPr>
      <w:r w:rsidRPr="00132EAD">
        <w:rPr>
          <w:rFonts w:ascii="Arial Narrow" w:hAnsi="Arial Narrow"/>
          <w:sz w:val="18"/>
          <w:szCs w:val="18"/>
        </w:rPr>
        <w:t>CRP&gt;ULN defined as: in AS0006 ULN=9.99mg/L; in AS001 ULN=7.9mg/L; in GO-AHEAD ULN=9mg/L</w:t>
      </w:r>
    </w:p>
    <w:p w:rsidR="00062E7D" w:rsidRPr="00132EAD" w:rsidRDefault="00062E7D" w:rsidP="000B16A9">
      <w:pPr>
        <w:keepNext/>
        <w:keepLines/>
        <w:rPr>
          <w:rFonts w:ascii="Arial Narrow" w:hAnsi="Arial Narrow"/>
          <w:sz w:val="18"/>
          <w:szCs w:val="18"/>
        </w:rPr>
      </w:pPr>
      <w:r w:rsidRPr="00132EAD">
        <w:rPr>
          <w:rFonts w:ascii="Arial Narrow" w:hAnsi="Arial Narrow"/>
          <w:sz w:val="18"/>
          <w:szCs w:val="18"/>
        </w:rPr>
        <w:t>Source: Table 2.57 and Table 2.58, pp123-124 of the submission; Report no. 1104 Indirect Treatment Comparison Attachment</w:t>
      </w:r>
    </w:p>
    <w:p w:rsidR="00062E7D" w:rsidRPr="00132EAD" w:rsidRDefault="00062E7D" w:rsidP="00062E7D"/>
    <w:p w:rsidR="00062E7D" w:rsidRPr="00132EAD" w:rsidRDefault="00062E7D" w:rsidP="00062E7D">
      <w:pPr>
        <w:widowControl/>
        <w:jc w:val="left"/>
        <w:rPr>
          <w:rFonts w:ascii="Arial Narrow" w:hAnsi="Arial Narrow"/>
          <w:b/>
          <w:bCs/>
          <w:sz w:val="20"/>
          <w:szCs w:val="20"/>
        </w:rPr>
      </w:pPr>
      <w:r w:rsidRPr="00132EAD">
        <w:rPr>
          <w:rFonts w:ascii="Arial Narrow" w:hAnsi="Arial Narrow"/>
          <w:b/>
          <w:bCs/>
          <w:sz w:val="20"/>
          <w:szCs w:val="20"/>
        </w:rPr>
        <w:br w:type="page"/>
      </w:r>
    </w:p>
    <w:p w:rsidR="00062E7D" w:rsidRPr="00132EAD" w:rsidRDefault="00062E7D" w:rsidP="00062E7D">
      <w:pPr>
        <w:rPr>
          <w:rFonts w:ascii="Arial Narrow" w:hAnsi="Arial Narrow"/>
          <w:b/>
          <w:bCs/>
          <w:sz w:val="20"/>
          <w:szCs w:val="20"/>
        </w:rPr>
      </w:pPr>
      <w:r w:rsidRPr="00132EAD">
        <w:rPr>
          <w:rFonts w:ascii="Arial Narrow" w:hAnsi="Arial Narrow"/>
          <w:b/>
          <w:bCs/>
          <w:sz w:val="20"/>
          <w:szCs w:val="20"/>
        </w:rPr>
        <w:lastRenderedPageBreak/>
        <w:t xml:space="preserve">Table 5: ASAS20 response in patients with </w:t>
      </w:r>
      <w:proofErr w:type="spellStart"/>
      <w:r w:rsidRPr="00132EAD">
        <w:rPr>
          <w:rFonts w:ascii="Arial Narrow" w:hAnsi="Arial Narrow"/>
          <w:b/>
          <w:bCs/>
          <w:sz w:val="20"/>
          <w:szCs w:val="20"/>
        </w:rPr>
        <w:t>nr-axSpA</w:t>
      </w:r>
      <w:proofErr w:type="spellEnd"/>
      <w:r w:rsidRPr="00132EAD">
        <w:rPr>
          <w:rFonts w:ascii="Arial Narrow" w:hAnsi="Arial Narrow"/>
          <w:b/>
          <w:bCs/>
          <w:sz w:val="20"/>
          <w:szCs w:val="20"/>
        </w:rPr>
        <w:t xml:space="preserve"> plus objective signs of inflammation, defined according to the TGA</w:t>
      </w:r>
      <w:r w:rsidR="0024460D">
        <w:rPr>
          <w:rFonts w:ascii="Arial Narrow" w:hAnsi="Arial Narrow"/>
          <w:b/>
          <w:bCs/>
          <w:sz w:val="20"/>
          <w:szCs w:val="20"/>
        </w:rPr>
        <w:t xml:space="preserve"> population (MRI+ and/or CRP+) and </w:t>
      </w:r>
      <w:r w:rsidRPr="00132EAD">
        <w:rPr>
          <w:rFonts w:ascii="Arial Narrow" w:hAnsi="Arial Narrow"/>
          <w:b/>
          <w:bCs/>
          <w:sz w:val="20"/>
          <w:szCs w:val="20"/>
        </w:rPr>
        <w:t>PBS p</w:t>
      </w:r>
      <w:r w:rsidR="0024460D">
        <w:rPr>
          <w:rFonts w:ascii="Arial Narrow" w:hAnsi="Arial Narrow"/>
          <w:b/>
          <w:bCs/>
          <w:sz w:val="20"/>
          <w:szCs w:val="20"/>
        </w:rPr>
        <w:t>opulation (MRI+ and CRP+)</w:t>
      </w:r>
    </w:p>
    <w:tbl>
      <w:tblPr>
        <w:tblStyle w:val="TableGrid"/>
        <w:tblW w:w="5000" w:type="pct"/>
        <w:tblCellMar>
          <w:left w:w="28" w:type="dxa"/>
          <w:right w:w="28" w:type="dxa"/>
        </w:tblCellMar>
        <w:tblLook w:val="04A0" w:firstRow="1" w:lastRow="0" w:firstColumn="1" w:lastColumn="0" w:noHBand="0" w:noVBand="1"/>
        <w:tblCaption w:val="Table 5: ASAS20 response in patients with nr-axSpA plus objective signs of inflammation, defined according to the TGA population (MRI+ and/or CRP+) and PBS population (MRI+ and CRP+)"/>
      </w:tblPr>
      <w:tblGrid>
        <w:gridCol w:w="3119"/>
        <w:gridCol w:w="1134"/>
        <w:gridCol w:w="1134"/>
        <w:gridCol w:w="1562"/>
        <w:gridCol w:w="1415"/>
        <w:gridCol w:w="663"/>
      </w:tblGrid>
      <w:tr w:rsidR="00062E7D" w:rsidRPr="00132EAD" w:rsidTr="00657498">
        <w:trPr>
          <w:tblHeader/>
        </w:trPr>
        <w:tc>
          <w:tcPr>
            <w:tcW w:w="1728" w:type="pct"/>
            <w:tcBorders>
              <w:top w:val="single" w:sz="4" w:space="0" w:color="auto"/>
              <w:left w:val="nil"/>
              <w:bottom w:val="single" w:sz="4" w:space="0" w:color="auto"/>
              <w:right w:val="nil"/>
            </w:tcBorders>
            <w:vAlign w:val="center"/>
          </w:tcPr>
          <w:p w:rsidR="00062E7D" w:rsidRPr="00132EAD" w:rsidRDefault="00062E7D" w:rsidP="00625B2B">
            <w:pPr>
              <w:rPr>
                <w:rFonts w:ascii="Arial Narrow" w:hAnsi="Arial Narrow"/>
                <w:b/>
                <w:bCs/>
                <w:sz w:val="20"/>
                <w:szCs w:val="20"/>
              </w:rPr>
            </w:pPr>
            <w:r w:rsidRPr="00132EAD">
              <w:rPr>
                <w:rFonts w:ascii="Arial Narrow" w:hAnsi="Arial Narrow"/>
                <w:b/>
                <w:bCs/>
                <w:sz w:val="20"/>
                <w:szCs w:val="20"/>
              </w:rPr>
              <w:t>Trial</w:t>
            </w:r>
          </w:p>
        </w:tc>
        <w:tc>
          <w:tcPr>
            <w:tcW w:w="628" w:type="pct"/>
            <w:tcBorders>
              <w:top w:val="single" w:sz="4" w:space="0" w:color="auto"/>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Drug</w:t>
            </w:r>
          </w:p>
          <w:p w:rsidR="00062E7D" w:rsidRPr="00132EAD" w:rsidRDefault="00062E7D" w:rsidP="00625B2B">
            <w:pPr>
              <w:jc w:val="center"/>
              <w:rPr>
                <w:rFonts w:ascii="Arial Narrow" w:hAnsi="Arial Narrow"/>
                <w:b/>
                <w:bCs/>
                <w:sz w:val="20"/>
                <w:szCs w:val="20"/>
              </w:rPr>
            </w:pPr>
            <w:proofErr w:type="gramStart"/>
            <w:r w:rsidRPr="00132EAD">
              <w:rPr>
                <w:rFonts w:ascii="Arial Narrow" w:hAnsi="Arial Narrow"/>
                <w:b/>
                <w:bCs/>
                <w:sz w:val="20"/>
                <w:szCs w:val="20"/>
              </w:rPr>
              <w:t>n/N</w:t>
            </w:r>
            <w:proofErr w:type="gramEnd"/>
            <w:r w:rsidRPr="00132EAD">
              <w:rPr>
                <w:rFonts w:ascii="Arial Narrow" w:hAnsi="Arial Narrow"/>
                <w:b/>
                <w:bCs/>
                <w:sz w:val="20"/>
                <w:szCs w:val="20"/>
              </w:rPr>
              <w:t xml:space="preserve"> (%)</w:t>
            </w:r>
          </w:p>
        </w:tc>
        <w:tc>
          <w:tcPr>
            <w:tcW w:w="628" w:type="pct"/>
            <w:tcBorders>
              <w:top w:val="single" w:sz="4" w:space="0" w:color="auto"/>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Control</w:t>
            </w:r>
          </w:p>
          <w:p w:rsidR="00062E7D" w:rsidRPr="00132EAD" w:rsidRDefault="00062E7D" w:rsidP="00625B2B">
            <w:pPr>
              <w:jc w:val="center"/>
              <w:rPr>
                <w:rFonts w:ascii="Arial Narrow" w:hAnsi="Arial Narrow"/>
                <w:b/>
                <w:bCs/>
                <w:sz w:val="20"/>
                <w:szCs w:val="20"/>
              </w:rPr>
            </w:pPr>
            <w:proofErr w:type="gramStart"/>
            <w:r w:rsidRPr="00132EAD">
              <w:rPr>
                <w:rFonts w:ascii="Arial Narrow" w:hAnsi="Arial Narrow"/>
                <w:b/>
                <w:bCs/>
                <w:sz w:val="20"/>
                <w:szCs w:val="20"/>
              </w:rPr>
              <w:t>n/N</w:t>
            </w:r>
            <w:proofErr w:type="gramEnd"/>
            <w:r w:rsidRPr="00132EAD">
              <w:rPr>
                <w:rFonts w:ascii="Arial Narrow" w:hAnsi="Arial Narrow"/>
                <w:b/>
                <w:bCs/>
                <w:sz w:val="20"/>
                <w:szCs w:val="20"/>
              </w:rPr>
              <w:t xml:space="preserve"> (%)</w:t>
            </w:r>
          </w:p>
        </w:tc>
        <w:tc>
          <w:tcPr>
            <w:tcW w:w="865" w:type="pct"/>
            <w:tcBorders>
              <w:top w:val="single" w:sz="4" w:space="0" w:color="auto"/>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vertAlign w:val="superscript"/>
              </w:rPr>
            </w:pPr>
            <w:r w:rsidRPr="00132EAD">
              <w:rPr>
                <w:rFonts w:ascii="Arial Narrow" w:hAnsi="Arial Narrow"/>
                <w:b/>
                <w:bCs/>
                <w:sz w:val="20"/>
                <w:szCs w:val="20"/>
              </w:rPr>
              <w:t>RR</w:t>
            </w:r>
            <w:r w:rsidRPr="00132EAD">
              <w:rPr>
                <w:rFonts w:ascii="Arial Narrow" w:hAnsi="Arial Narrow"/>
                <w:b/>
                <w:bCs/>
                <w:sz w:val="20"/>
                <w:szCs w:val="20"/>
                <w:vertAlign w:val="superscript"/>
              </w:rPr>
              <w:t>#</w:t>
            </w:r>
          </w:p>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(95%CI)</w:t>
            </w:r>
          </w:p>
        </w:tc>
        <w:tc>
          <w:tcPr>
            <w:tcW w:w="784" w:type="pct"/>
            <w:tcBorders>
              <w:top w:val="single" w:sz="4" w:space="0" w:color="auto"/>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vertAlign w:val="superscript"/>
              </w:rPr>
            </w:pPr>
            <w:r w:rsidRPr="00132EAD">
              <w:rPr>
                <w:rFonts w:ascii="Arial Narrow" w:hAnsi="Arial Narrow"/>
                <w:b/>
                <w:bCs/>
                <w:sz w:val="20"/>
                <w:szCs w:val="20"/>
              </w:rPr>
              <w:t>RD</w:t>
            </w:r>
            <w:r w:rsidRPr="00132EAD">
              <w:rPr>
                <w:rFonts w:ascii="Arial Narrow" w:hAnsi="Arial Narrow"/>
                <w:b/>
                <w:bCs/>
                <w:sz w:val="20"/>
                <w:szCs w:val="20"/>
                <w:vertAlign w:val="superscript"/>
              </w:rPr>
              <w:t>#</w:t>
            </w:r>
          </w:p>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(95%CI)</w:t>
            </w:r>
          </w:p>
        </w:tc>
        <w:tc>
          <w:tcPr>
            <w:tcW w:w="367" w:type="pct"/>
            <w:tcBorders>
              <w:top w:val="single" w:sz="4" w:space="0" w:color="auto"/>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vertAlign w:val="superscript"/>
              </w:rPr>
            </w:pPr>
            <w:r w:rsidRPr="00132EAD">
              <w:rPr>
                <w:rFonts w:ascii="Arial Narrow" w:hAnsi="Arial Narrow"/>
                <w:b/>
                <w:bCs/>
                <w:sz w:val="20"/>
                <w:szCs w:val="20"/>
              </w:rPr>
              <w:t>NNT</w:t>
            </w:r>
          </w:p>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(95%CI)</w:t>
            </w:r>
          </w:p>
        </w:tc>
      </w:tr>
      <w:tr w:rsidR="00062E7D" w:rsidRPr="00132EAD" w:rsidTr="00625B2B">
        <w:tc>
          <w:tcPr>
            <w:tcW w:w="5000" w:type="pct"/>
            <w:gridSpan w:val="6"/>
            <w:tcBorders>
              <w:top w:val="single" w:sz="4" w:space="0" w:color="auto"/>
              <w:left w:val="nil"/>
              <w:bottom w:val="nil"/>
              <w:right w:val="nil"/>
            </w:tcBorders>
          </w:tcPr>
          <w:p w:rsidR="00062E7D" w:rsidRPr="00132EAD" w:rsidRDefault="00062E7D" w:rsidP="00625B2B">
            <w:pPr>
              <w:rPr>
                <w:rFonts w:ascii="Arial Narrow" w:hAnsi="Arial Narrow"/>
                <w:sz w:val="20"/>
                <w:szCs w:val="20"/>
              </w:rPr>
            </w:pPr>
            <w:r w:rsidRPr="00132EAD">
              <w:rPr>
                <w:rFonts w:ascii="Arial Narrow" w:hAnsi="Arial Narrow"/>
                <w:b/>
                <w:bCs/>
                <w:color w:val="CC0000"/>
                <w:sz w:val="20"/>
                <w:szCs w:val="20"/>
              </w:rPr>
              <w:t xml:space="preserve">TGA population: </w:t>
            </w:r>
            <w:proofErr w:type="spellStart"/>
            <w:r w:rsidRPr="00132EAD">
              <w:rPr>
                <w:rFonts w:ascii="Arial Narrow" w:hAnsi="Arial Narrow"/>
                <w:b/>
                <w:bCs/>
                <w:color w:val="CC0000"/>
                <w:sz w:val="20"/>
                <w:szCs w:val="20"/>
              </w:rPr>
              <w:t>nr-axSpA</w:t>
            </w:r>
            <w:proofErr w:type="spellEnd"/>
            <w:r w:rsidRPr="00132EAD">
              <w:rPr>
                <w:rFonts w:ascii="Arial Narrow" w:hAnsi="Arial Narrow"/>
                <w:b/>
                <w:bCs/>
                <w:color w:val="CC0000"/>
                <w:sz w:val="20"/>
                <w:szCs w:val="20"/>
              </w:rPr>
              <w:t xml:space="preserve"> (MRI+ </w:t>
            </w:r>
            <w:r w:rsidRPr="00132EAD">
              <w:rPr>
                <w:rFonts w:ascii="Arial Narrow" w:hAnsi="Arial Narrow"/>
                <w:b/>
                <w:bCs/>
                <w:color w:val="CC0000"/>
                <w:sz w:val="20"/>
                <w:szCs w:val="20"/>
                <w:u w:val="single"/>
              </w:rPr>
              <w:t>AND/OR</w:t>
            </w:r>
            <w:r w:rsidRPr="00132EAD">
              <w:rPr>
                <w:rFonts w:ascii="Arial Narrow" w:hAnsi="Arial Narrow"/>
                <w:b/>
                <w:bCs/>
                <w:color w:val="CC0000"/>
                <w:sz w:val="20"/>
                <w:szCs w:val="20"/>
              </w:rPr>
              <w:t xml:space="preserve"> CRP+)</w:t>
            </w:r>
          </w:p>
        </w:tc>
      </w:tr>
      <w:tr w:rsidR="00062E7D" w:rsidRPr="00132EAD" w:rsidTr="00625B2B">
        <w:tc>
          <w:tcPr>
            <w:tcW w:w="2984" w:type="pct"/>
            <w:gridSpan w:val="3"/>
            <w:tcBorders>
              <w:top w:val="nil"/>
              <w:left w:val="nil"/>
              <w:bottom w:val="nil"/>
              <w:right w:val="nil"/>
            </w:tcBorders>
          </w:tcPr>
          <w:p w:rsidR="00062E7D" w:rsidRPr="00132EAD" w:rsidRDefault="00062E7D" w:rsidP="00625B2B">
            <w:pPr>
              <w:rPr>
                <w:rFonts w:ascii="Arial Narrow" w:hAnsi="Arial Narrow"/>
                <w:b/>
                <w:bCs/>
                <w:sz w:val="20"/>
                <w:szCs w:val="20"/>
              </w:rPr>
            </w:pPr>
            <w:r w:rsidRPr="00132EAD">
              <w:rPr>
                <w:rFonts w:ascii="Arial Narrow" w:hAnsi="Arial Narrow"/>
                <w:b/>
                <w:bCs/>
                <w:sz w:val="20"/>
                <w:szCs w:val="20"/>
              </w:rPr>
              <w:t>COMPARISON: CZP 200mg Q2W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12)</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p>
        </w:tc>
      </w:tr>
      <w:tr w:rsidR="00062E7D" w:rsidRPr="00132EAD" w:rsidTr="00625B2B">
        <w:tc>
          <w:tcPr>
            <w:tcW w:w="1728" w:type="pct"/>
            <w:tcBorders>
              <w:top w:val="nil"/>
              <w:left w:val="nil"/>
              <w:bottom w:val="nil"/>
              <w:right w:val="nil"/>
            </w:tcBorders>
          </w:tcPr>
          <w:p w:rsidR="00062E7D" w:rsidRPr="00132EAD" w:rsidRDefault="00062E7D" w:rsidP="00625B2B">
            <w:pPr>
              <w:rPr>
                <w:rFonts w:ascii="Arial Narrow" w:hAnsi="Arial Narrow"/>
                <w:sz w:val="20"/>
                <w:szCs w:val="20"/>
              </w:rPr>
            </w:pPr>
            <w:r w:rsidRPr="00132EAD">
              <w:rPr>
                <w:rFonts w:ascii="Arial Narrow" w:hAnsi="Arial Narrow"/>
                <w:sz w:val="20"/>
                <w:szCs w:val="20"/>
              </w:rPr>
              <w:t>AS0006, ITT (n=317)</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104/159 (65.4)</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51/158 (32.3)</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2.03 (1.57, 2.61)</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0.33 (0.23, 0.44)</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3 (2, 4)</w:t>
            </w:r>
          </w:p>
        </w:tc>
      </w:tr>
      <w:tr w:rsidR="00062E7D" w:rsidRPr="00132EAD" w:rsidTr="00625B2B">
        <w:tc>
          <w:tcPr>
            <w:tcW w:w="1728" w:type="pct"/>
            <w:tcBorders>
              <w:top w:val="nil"/>
              <w:left w:val="nil"/>
              <w:bottom w:val="nil"/>
              <w:right w:val="nil"/>
            </w:tcBorders>
          </w:tcPr>
          <w:p w:rsidR="00062E7D" w:rsidRPr="00132EAD" w:rsidRDefault="00062E7D" w:rsidP="00625B2B">
            <w:pPr>
              <w:rPr>
                <w:rFonts w:ascii="Arial Narrow" w:hAnsi="Arial Narrow"/>
                <w:sz w:val="20"/>
                <w:szCs w:val="20"/>
              </w:rPr>
            </w:pPr>
            <w:r w:rsidRPr="00132EAD">
              <w:rPr>
                <w:rFonts w:ascii="Arial Narrow" w:hAnsi="Arial Narrow"/>
                <w:sz w:val="20"/>
                <w:szCs w:val="20"/>
              </w:rPr>
              <w:t>AS001 PSS (n=96)</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27/46 (58.7)</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20/50 (40)</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1.47 (0.97, 2.23)</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0.19 (-0.01, 0.38)</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w:t>
            </w:r>
          </w:p>
        </w:tc>
      </w:tr>
      <w:tr w:rsidR="00062E7D" w:rsidRPr="00132EAD" w:rsidTr="00625B2B">
        <w:tc>
          <w:tcPr>
            <w:tcW w:w="1728" w:type="pct"/>
            <w:tcBorders>
              <w:top w:val="nil"/>
              <w:left w:val="nil"/>
              <w:bottom w:val="nil"/>
              <w:right w:val="nil"/>
            </w:tcBorders>
            <w:vAlign w:val="center"/>
          </w:tcPr>
          <w:p w:rsidR="00062E7D" w:rsidRPr="00132EAD" w:rsidRDefault="00062E7D" w:rsidP="00625B2B">
            <w:pPr>
              <w:rPr>
                <w:rFonts w:ascii="Arial Narrow" w:hAnsi="Arial Narrow"/>
                <w:sz w:val="20"/>
                <w:szCs w:val="20"/>
              </w:rPr>
            </w:pPr>
            <w:r w:rsidRPr="00132EAD">
              <w:rPr>
                <w:rFonts w:ascii="Arial Narrow" w:hAnsi="Arial Narrow"/>
                <w:sz w:val="20"/>
                <w:szCs w:val="20"/>
              </w:rPr>
              <w:t>Meta-analysis</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131/205</w:t>
            </w:r>
            <w:r w:rsidR="00370D99" w:rsidRPr="00132EAD">
              <w:rPr>
                <w:rFonts w:ascii="Arial Narrow" w:hAnsi="Arial Narrow"/>
                <w:sz w:val="20"/>
                <w:szCs w:val="20"/>
              </w:rPr>
              <w:t xml:space="preserve"> (63.9)</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71/208</w:t>
            </w:r>
            <w:r w:rsidR="00370D99" w:rsidRPr="00132EAD">
              <w:rPr>
                <w:rFonts w:ascii="Arial Narrow" w:hAnsi="Arial Narrow"/>
                <w:sz w:val="20"/>
                <w:szCs w:val="20"/>
              </w:rPr>
              <w:t xml:space="preserve"> (34.1)</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1.87 (1.51, 2.33)</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0.30 (0.21, 0.39)</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3 (3, 5)</w:t>
            </w:r>
          </w:p>
        </w:tc>
      </w:tr>
      <w:tr w:rsidR="00062E7D" w:rsidRPr="00132EAD" w:rsidTr="00625B2B">
        <w:tc>
          <w:tcPr>
            <w:tcW w:w="2984" w:type="pct"/>
            <w:gridSpan w:val="3"/>
            <w:tcBorders>
              <w:top w:val="nil"/>
              <w:left w:val="nil"/>
              <w:bottom w:val="nil"/>
              <w:right w:val="nil"/>
            </w:tcBorders>
          </w:tcPr>
          <w:p w:rsidR="00062E7D" w:rsidRPr="00132EAD" w:rsidRDefault="00062E7D" w:rsidP="00625B2B">
            <w:pPr>
              <w:rPr>
                <w:rFonts w:ascii="Arial Narrow" w:hAnsi="Arial Narrow"/>
                <w:b/>
                <w:bCs/>
                <w:sz w:val="20"/>
                <w:szCs w:val="20"/>
              </w:rPr>
            </w:pPr>
            <w:r w:rsidRPr="00132EAD">
              <w:rPr>
                <w:rFonts w:ascii="Arial Narrow" w:hAnsi="Arial Narrow"/>
                <w:b/>
                <w:bCs/>
                <w:sz w:val="20"/>
                <w:szCs w:val="20"/>
              </w:rPr>
              <w:t>COMPARISON: GLM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16)</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p>
        </w:tc>
      </w:tr>
      <w:tr w:rsidR="00062E7D" w:rsidRPr="00132EAD" w:rsidTr="00625B2B">
        <w:tc>
          <w:tcPr>
            <w:tcW w:w="1728" w:type="pct"/>
            <w:tcBorders>
              <w:top w:val="nil"/>
              <w:left w:val="nil"/>
              <w:bottom w:val="single" w:sz="4" w:space="0" w:color="auto"/>
              <w:right w:val="nil"/>
            </w:tcBorders>
          </w:tcPr>
          <w:p w:rsidR="00062E7D" w:rsidRPr="00132EAD" w:rsidRDefault="00062E7D" w:rsidP="00625B2B">
            <w:pPr>
              <w:rPr>
                <w:rFonts w:ascii="Arial Narrow" w:hAnsi="Arial Narrow"/>
                <w:sz w:val="20"/>
                <w:szCs w:val="20"/>
              </w:rPr>
            </w:pPr>
            <w:proofErr w:type="spellStart"/>
            <w:r w:rsidRPr="00132EAD">
              <w:rPr>
                <w:rFonts w:ascii="Arial Narrow" w:hAnsi="Arial Narrow"/>
                <w:sz w:val="20"/>
                <w:szCs w:val="20"/>
              </w:rPr>
              <w:t>Go-AHEAD</w:t>
            </w:r>
            <w:proofErr w:type="spellEnd"/>
            <w:r w:rsidRPr="00132EAD">
              <w:rPr>
                <w:rFonts w:ascii="Arial Narrow" w:hAnsi="Arial Narrow"/>
                <w:sz w:val="20"/>
                <w:szCs w:val="20"/>
              </w:rPr>
              <w:t>, PSS (n=158)</w:t>
            </w:r>
          </w:p>
        </w:tc>
        <w:tc>
          <w:tcPr>
            <w:tcW w:w="628"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60/78 (76.9)</w:t>
            </w:r>
          </w:p>
        </w:tc>
        <w:tc>
          <w:tcPr>
            <w:tcW w:w="628"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30/80 (37.5)</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2.05 (1.51, 2.79)</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0.39 (0.25, 0.54)</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3 (2, 4)</w:t>
            </w:r>
          </w:p>
        </w:tc>
      </w:tr>
      <w:tr w:rsidR="00062E7D" w:rsidRPr="00132EAD" w:rsidTr="00625B2B">
        <w:tc>
          <w:tcPr>
            <w:tcW w:w="5000" w:type="pct"/>
            <w:gridSpan w:val="6"/>
            <w:tcBorders>
              <w:top w:val="single" w:sz="4" w:space="0" w:color="auto"/>
              <w:left w:val="nil"/>
              <w:bottom w:val="nil"/>
              <w:right w:val="nil"/>
            </w:tcBorders>
          </w:tcPr>
          <w:p w:rsidR="00062E7D" w:rsidRPr="00132EAD" w:rsidRDefault="00062E7D" w:rsidP="00625B2B">
            <w:pPr>
              <w:rPr>
                <w:rFonts w:ascii="Arial Narrow" w:hAnsi="Arial Narrow"/>
                <w:sz w:val="20"/>
                <w:szCs w:val="20"/>
              </w:rPr>
            </w:pPr>
            <w:r w:rsidRPr="00132EAD">
              <w:rPr>
                <w:rFonts w:ascii="Arial Narrow" w:hAnsi="Arial Narrow"/>
                <w:b/>
                <w:bCs/>
                <w:color w:val="0070C0"/>
                <w:sz w:val="20"/>
                <w:szCs w:val="20"/>
              </w:rPr>
              <w:t xml:space="preserve">PBS population: </w:t>
            </w:r>
            <w:proofErr w:type="spellStart"/>
            <w:r w:rsidRPr="00132EAD">
              <w:rPr>
                <w:rFonts w:ascii="Arial Narrow" w:hAnsi="Arial Narrow"/>
                <w:b/>
                <w:bCs/>
                <w:color w:val="0070C0"/>
                <w:sz w:val="20"/>
                <w:szCs w:val="20"/>
              </w:rPr>
              <w:t>nr-axSpA</w:t>
            </w:r>
            <w:proofErr w:type="spellEnd"/>
            <w:r w:rsidRPr="00132EAD">
              <w:rPr>
                <w:rFonts w:ascii="Arial Narrow" w:hAnsi="Arial Narrow"/>
                <w:b/>
                <w:bCs/>
                <w:color w:val="0070C0"/>
                <w:sz w:val="20"/>
                <w:szCs w:val="20"/>
              </w:rPr>
              <w:t xml:space="preserve"> (MRI+ </w:t>
            </w:r>
            <w:r w:rsidRPr="00132EAD">
              <w:rPr>
                <w:rFonts w:ascii="Arial Narrow" w:hAnsi="Arial Narrow"/>
                <w:b/>
                <w:bCs/>
                <w:color w:val="0070C0"/>
                <w:sz w:val="20"/>
                <w:szCs w:val="20"/>
                <w:u w:val="single"/>
              </w:rPr>
              <w:t>AND</w:t>
            </w:r>
            <w:r w:rsidRPr="00132EAD">
              <w:rPr>
                <w:rFonts w:ascii="Arial Narrow" w:hAnsi="Arial Narrow"/>
                <w:b/>
                <w:bCs/>
                <w:color w:val="0070C0"/>
                <w:sz w:val="20"/>
                <w:szCs w:val="20"/>
              </w:rPr>
              <w:t xml:space="preserve"> CRP+)</w:t>
            </w:r>
          </w:p>
        </w:tc>
      </w:tr>
      <w:tr w:rsidR="00062E7D" w:rsidRPr="00132EAD" w:rsidTr="00625B2B">
        <w:tc>
          <w:tcPr>
            <w:tcW w:w="2984" w:type="pct"/>
            <w:gridSpan w:val="3"/>
            <w:tcBorders>
              <w:top w:val="nil"/>
              <w:left w:val="nil"/>
              <w:bottom w:val="nil"/>
              <w:right w:val="nil"/>
            </w:tcBorders>
          </w:tcPr>
          <w:p w:rsidR="00062E7D" w:rsidRPr="00132EAD" w:rsidRDefault="00062E7D" w:rsidP="00625B2B">
            <w:pPr>
              <w:rPr>
                <w:rFonts w:ascii="Arial Narrow" w:hAnsi="Arial Narrow"/>
                <w:b/>
                <w:bCs/>
                <w:sz w:val="20"/>
                <w:szCs w:val="20"/>
              </w:rPr>
            </w:pPr>
            <w:r w:rsidRPr="00132EAD">
              <w:rPr>
                <w:rFonts w:ascii="Arial Narrow" w:hAnsi="Arial Narrow"/>
                <w:b/>
                <w:bCs/>
                <w:sz w:val="20"/>
                <w:szCs w:val="20"/>
              </w:rPr>
              <w:t>COMPARISON: CZP 200mg Q2W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12)</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p>
        </w:tc>
      </w:tr>
      <w:tr w:rsidR="00062E7D" w:rsidRPr="00132EAD" w:rsidTr="00625B2B">
        <w:tc>
          <w:tcPr>
            <w:tcW w:w="1728" w:type="pct"/>
            <w:tcBorders>
              <w:top w:val="nil"/>
              <w:left w:val="nil"/>
              <w:bottom w:val="nil"/>
              <w:right w:val="nil"/>
            </w:tcBorders>
          </w:tcPr>
          <w:p w:rsidR="00062E7D" w:rsidRPr="00132EAD" w:rsidRDefault="00062E7D" w:rsidP="00625B2B">
            <w:pPr>
              <w:rPr>
                <w:rFonts w:ascii="Arial Narrow" w:hAnsi="Arial Narrow"/>
                <w:sz w:val="20"/>
                <w:szCs w:val="20"/>
              </w:rPr>
            </w:pPr>
            <w:r w:rsidRPr="00132EAD">
              <w:rPr>
                <w:rFonts w:ascii="Arial Narrow" w:hAnsi="Arial Narrow"/>
                <w:sz w:val="20"/>
                <w:szCs w:val="20"/>
              </w:rPr>
              <w:t>AS0006, PSS (n=87)</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39/45 (86.7)</w:t>
            </w:r>
          </w:p>
        </w:tc>
        <w:tc>
          <w:tcPr>
            <w:tcW w:w="628"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13/42 (31.0)</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2.80 (1.76, 4.46)</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0.56 (0.39,0.73)</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2 (1, 3)</w:t>
            </w:r>
          </w:p>
        </w:tc>
      </w:tr>
      <w:tr w:rsidR="00062E7D" w:rsidRPr="00132EAD" w:rsidTr="00625B2B">
        <w:tc>
          <w:tcPr>
            <w:tcW w:w="2984" w:type="pct"/>
            <w:gridSpan w:val="3"/>
            <w:tcBorders>
              <w:top w:val="nil"/>
              <w:left w:val="nil"/>
              <w:bottom w:val="nil"/>
              <w:right w:val="nil"/>
            </w:tcBorders>
          </w:tcPr>
          <w:p w:rsidR="00062E7D" w:rsidRPr="00132EAD" w:rsidRDefault="00062E7D" w:rsidP="00625B2B">
            <w:pPr>
              <w:rPr>
                <w:rFonts w:ascii="Arial Narrow" w:hAnsi="Arial Narrow"/>
                <w:b/>
                <w:bCs/>
                <w:sz w:val="20"/>
                <w:szCs w:val="20"/>
              </w:rPr>
            </w:pPr>
            <w:r w:rsidRPr="00132EAD">
              <w:rPr>
                <w:rFonts w:ascii="Arial Narrow" w:hAnsi="Arial Narrow"/>
                <w:b/>
                <w:bCs/>
                <w:sz w:val="20"/>
                <w:szCs w:val="20"/>
              </w:rPr>
              <w:t>COMPARISON: GLM v PBO (</w:t>
            </w:r>
            <w:proofErr w:type="spellStart"/>
            <w:r w:rsidRPr="00132EAD">
              <w:rPr>
                <w:rFonts w:ascii="Arial Narrow" w:hAnsi="Arial Narrow"/>
                <w:b/>
                <w:bCs/>
                <w:sz w:val="20"/>
                <w:szCs w:val="20"/>
              </w:rPr>
              <w:t>Wk</w:t>
            </w:r>
            <w:proofErr w:type="spellEnd"/>
            <w:r w:rsidRPr="00132EAD">
              <w:rPr>
                <w:rFonts w:ascii="Arial Narrow" w:hAnsi="Arial Narrow"/>
                <w:b/>
                <w:bCs/>
                <w:sz w:val="20"/>
                <w:szCs w:val="20"/>
              </w:rPr>
              <w:t xml:space="preserve"> 16)</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p>
        </w:tc>
      </w:tr>
      <w:tr w:rsidR="00062E7D" w:rsidRPr="00132EAD" w:rsidTr="00625B2B">
        <w:tc>
          <w:tcPr>
            <w:tcW w:w="1728" w:type="pct"/>
            <w:tcBorders>
              <w:top w:val="nil"/>
              <w:left w:val="nil"/>
              <w:bottom w:val="single" w:sz="4" w:space="0" w:color="auto"/>
              <w:right w:val="nil"/>
            </w:tcBorders>
          </w:tcPr>
          <w:p w:rsidR="00062E7D" w:rsidRPr="00132EAD" w:rsidRDefault="00062E7D" w:rsidP="00625B2B">
            <w:pPr>
              <w:rPr>
                <w:rFonts w:ascii="Arial Narrow" w:hAnsi="Arial Narrow"/>
                <w:sz w:val="20"/>
                <w:szCs w:val="20"/>
              </w:rPr>
            </w:pPr>
            <w:proofErr w:type="spellStart"/>
            <w:r w:rsidRPr="00132EAD">
              <w:rPr>
                <w:rFonts w:ascii="Arial Narrow" w:hAnsi="Arial Narrow"/>
                <w:sz w:val="20"/>
                <w:szCs w:val="20"/>
              </w:rPr>
              <w:t>Go-AHEAD</w:t>
            </w:r>
            <w:proofErr w:type="spellEnd"/>
            <w:r w:rsidRPr="00132EAD">
              <w:rPr>
                <w:rFonts w:ascii="Arial Narrow" w:hAnsi="Arial Narrow"/>
                <w:sz w:val="20"/>
                <w:szCs w:val="20"/>
              </w:rPr>
              <w:t>, PHS (n=53)</w:t>
            </w:r>
          </w:p>
        </w:tc>
        <w:tc>
          <w:tcPr>
            <w:tcW w:w="628"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22/26 (84.6)</w:t>
            </w:r>
          </w:p>
        </w:tc>
        <w:tc>
          <w:tcPr>
            <w:tcW w:w="628"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10/27 (37.0)</w:t>
            </w:r>
          </w:p>
        </w:tc>
        <w:tc>
          <w:tcPr>
            <w:tcW w:w="865"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2.28 (1.36, 3.84)</w:t>
            </w:r>
          </w:p>
        </w:tc>
        <w:tc>
          <w:tcPr>
            <w:tcW w:w="784"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b/>
                <w:bCs/>
                <w:sz w:val="20"/>
                <w:szCs w:val="20"/>
              </w:rPr>
            </w:pPr>
            <w:r w:rsidRPr="00132EAD">
              <w:rPr>
                <w:rFonts w:ascii="Arial Narrow" w:hAnsi="Arial Narrow"/>
                <w:b/>
                <w:bCs/>
                <w:sz w:val="20"/>
                <w:szCs w:val="20"/>
              </w:rPr>
              <w:t>0.48 (0.25,0.70)</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2 (1, 4)</w:t>
            </w:r>
          </w:p>
        </w:tc>
      </w:tr>
      <w:tr w:rsidR="00062E7D" w:rsidRPr="00132EAD" w:rsidTr="00625B2B">
        <w:tc>
          <w:tcPr>
            <w:tcW w:w="2984" w:type="pct"/>
            <w:gridSpan w:val="3"/>
            <w:tcBorders>
              <w:top w:val="double" w:sz="4" w:space="0" w:color="auto"/>
              <w:left w:val="nil"/>
              <w:bottom w:val="nil"/>
              <w:right w:val="nil"/>
            </w:tcBorders>
            <w:vAlign w:val="center"/>
          </w:tcPr>
          <w:p w:rsidR="00062E7D" w:rsidRPr="00132EAD" w:rsidRDefault="00062E7D" w:rsidP="00625B2B">
            <w:pPr>
              <w:rPr>
                <w:rFonts w:ascii="Arial Narrow" w:hAnsi="Arial Narrow"/>
                <w:b/>
                <w:bCs/>
                <w:sz w:val="20"/>
                <w:szCs w:val="20"/>
              </w:rPr>
            </w:pPr>
            <w:r w:rsidRPr="00132EAD">
              <w:rPr>
                <w:rFonts w:ascii="Arial Narrow" w:hAnsi="Arial Narrow"/>
                <w:b/>
                <w:bCs/>
                <w:sz w:val="20"/>
                <w:szCs w:val="20"/>
              </w:rPr>
              <w:t>Indirect comparisons</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p>
        </w:tc>
      </w:tr>
      <w:tr w:rsidR="00C26536" w:rsidRPr="00132EAD" w:rsidTr="00625B2B">
        <w:tc>
          <w:tcPr>
            <w:tcW w:w="2984" w:type="pct"/>
            <w:gridSpan w:val="3"/>
            <w:tcBorders>
              <w:top w:val="double" w:sz="4" w:space="0" w:color="auto"/>
              <w:left w:val="nil"/>
              <w:bottom w:val="nil"/>
              <w:right w:val="nil"/>
            </w:tcBorders>
            <w:vAlign w:val="center"/>
          </w:tcPr>
          <w:p w:rsidR="00C26536" w:rsidRPr="00132EAD" w:rsidRDefault="00C26536" w:rsidP="00625B2B">
            <w:pPr>
              <w:rPr>
                <w:rFonts w:ascii="Arial Narrow" w:hAnsi="Arial Narrow"/>
                <w:b/>
                <w:bCs/>
                <w:sz w:val="20"/>
                <w:szCs w:val="20"/>
              </w:rPr>
            </w:pPr>
            <w:r w:rsidRPr="00132EAD">
              <w:rPr>
                <w:rFonts w:ascii="Arial Narrow" w:hAnsi="Arial Narrow"/>
                <w:b/>
                <w:bCs/>
                <w:color w:val="CC0000"/>
                <w:sz w:val="20"/>
                <w:szCs w:val="20"/>
              </w:rPr>
              <w:t xml:space="preserve">TGA population: </w:t>
            </w:r>
            <w:proofErr w:type="spellStart"/>
            <w:r w:rsidRPr="00132EAD">
              <w:rPr>
                <w:rFonts w:ascii="Arial Narrow" w:hAnsi="Arial Narrow"/>
                <w:b/>
                <w:bCs/>
                <w:color w:val="CC0000"/>
                <w:sz w:val="20"/>
                <w:szCs w:val="20"/>
              </w:rPr>
              <w:t>nr-axSpA</w:t>
            </w:r>
            <w:proofErr w:type="spellEnd"/>
            <w:r w:rsidRPr="00132EAD">
              <w:rPr>
                <w:rFonts w:ascii="Arial Narrow" w:hAnsi="Arial Narrow"/>
                <w:b/>
                <w:bCs/>
                <w:color w:val="CC0000"/>
                <w:sz w:val="20"/>
                <w:szCs w:val="20"/>
              </w:rPr>
              <w:t xml:space="preserve"> (MRI+ </w:t>
            </w:r>
            <w:r w:rsidRPr="00132EAD">
              <w:rPr>
                <w:rFonts w:ascii="Arial Narrow" w:hAnsi="Arial Narrow"/>
                <w:b/>
                <w:bCs/>
                <w:color w:val="CC0000"/>
                <w:sz w:val="20"/>
                <w:szCs w:val="20"/>
                <w:u w:val="single"/>
              </w:rPr>
              <w:t>AND/OR</w:t>
            </w:r>
            <w:r w:rsidRPr="00132EAD">
              <w:rPr>
                <w:rFonts w:ascii="Arial Narrow" w:hAnsi="Arial Narrow"/>
                <w:b/>
                <w:bCs/>
                <w:color w:val="CC0000"/>
                <w:sz w:val="20"/>
                <w:szCs w:val="20"/>
              </w:rPr>
              <w:t xml:space="preserve"> CRP+)</w:t>
            </w:r>
          </w:p>
        </w:tc>
        <w:tc>
          <w:tcPr>
            <w:tcW w:w="865" w:type="pct"/>
            <w:tcBorders>
              <w:top w:val="nil"/>
              <w:left w:val="nil"/>
              <w:bottom w:val="nil"/>
              <w:right w:val="nil"/>
            </w:tcBorders>
            <w:vAlign w:val="center"/>
          </w:tcPr>
          <w:p w:rsidR="00C26536" w:rsidRPr="00132EAD" w:rsidRDefault="00C26536" w:rsidP="00625B2B">
            <w:pPr>
              <w:jc w:val="center"/>
              <w:rPr>
                <w:rFonts w:ascii="Arial Narrow" w:hAnsi="Arial Narrow"/>
                <w:sz w:val="20"/>
                <w:szCs w:val="20"/>
              </w:rPr>
            </w:pPr>
          </w:p>
        </w:tc>
        <w:tc>
          <w:tcPr>
            <w:tcW w:w="784" w:type="pct"/>
            <w:tcBorders>
              <w:top w:val="nil"/>
              <w:left w:val="nil"/>
              <w:bottom w:val="nil"/>
              <w:right w:val="nil"/>
            </w:tcBorders>
            <w:vAlign w:val="center"/>
          </w:tcPr>
          <w:p w:rsidR="00C26536" w:rsidRPr="00132EAD" w:rsidRDefault="00C26536" w:rsidP="00625B2B">
            <w:pPr>
              <w:jc w:val="center"/>
              <w:rPr>
                <w:rFonts w:ascii="Arial Narrow" w:hAnsi="Arial Narrow"/>
                <w:sz w:val="20"/>
                <w:szCs w:val="20"/>
              </w:rPr>
            </w:pPr>
          </w:p>
        </w:tc>
        <w:tc>
          <w:tcPr>
            <w:tcW w:w="367" w:type="pct"/>
            <w:tcBorders>
              <w:top w:val="nil"/>
              <w:left w:val="nil"/>
              <w:bottom w:val="nil"/>
              <w:right w:val="nil"/>
            </w:tcBorders>
          </w:tcPr>
          <w:p w:rsidR="00C26536" w:rsidRPr="00132EAD" w:rsidRDefault="00C26536" w:rsidP="00625B2B">
            <w:pPr>
              <w:jc w:val="center"/>
              <w:rPr>
                <w:rFonts w:ascii="Arial Narrow" w:hAnsi="Arial Narrow"/>
                <w:sz w:val="20"/>
                <w:szCs w:val="20"/>
              </w:rPr>
            </w:pPr>
          </w:p>
        </w:tc>
      </w:tr>
      <w:tr w:rsidR="00062E7D" w:rsidRPr="00132EAD" w:rsidTr="00625B2B">
        <w:tc>
          <w:tcPr>
            <w:tcW w:w="2984" w:type="pct"/>
            <w:gridSpan w:val="3"/>
            <w:tcBorders>
              <w:top w:val="nil"/>
              <w:left w:val="nil"/>
              <w:bottom w:val="nil"/>
              <w:right w:val="nil"/>
            </w:tcBorders>
            <w:vAlign w:val="center"/>
          </w:tcPr>
          <w:p w:rsidR="00062E7D" w:rsidRPr="00132EAD" w:rsidRDefault="00062E7D" w:rsidP="00625B2B">
            <w:pPr>
              <w:rPr>
                <w:rFonts w:ascii="Arial Narrow" w:hAnsi="Arial Narrow"/>
                <w:sz w:val="20"/>
                <w:szCs w:val="20"/>
              </w:rPr>
            </w:pPr>
            <w:r w:rsidRPr="00132EAD">
              <w:rPr>
                <w:rFonts w:ascii="Arial Narrow" w:hAnsi="Arial Narrow"/>
                <w:sz w:val="20"/>
                <w:szCs w:val="20"/>
              </w:rPr>
              <w:t>CZP (meta) vs GLM</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0.91 (0.63, 1.33)</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-0.09 (-0.26,0.08)</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w:t>
            </w:r>
          </w:p>
        </w:tc>
      </w:tr>
      <w:tr w:rsidR="00062E7D" w:rsidRPr="00132EAD" w:rsidTr="00625B2B">
        <w:tc>
          <w:tcPr>
            <w:tcW w:w="2984" w:type="pct"/>
            <w:gridSpan w:val="3"/>
            <w:tcBorders>
              <w:top w:val="nil"/>
              <w:left w:val="nil"/>
              <w:bottom w:val="nil"/>
              <w:right w:val="nil"/>
            </w:tcBorders>
            <w:vAlign w:val="center"/>
          </w:tcPr>
          <w:p w:rsidR="00062E7D" w:rsidRPr="00132EAD" w:rsidRDefault="00062E7D" w:rsidP="00625B2B">
            <w:pPr>
              <w:rPr>
                <w:rFonts w:ascii="Arial Narrow" w:hAnsi="Arial Narrow"/>
                <w:sz w:val="20"/>
                <w:szCs w:val="20"/>
              </w:rPr>
            </w:pPr>
            <w:r w:rsidRPr="00132EAD">
              <w:rPr>
                <w:rFonts w:ascii="Arial Narrow" w:hAnsi="Arial Narrow"/>
                <w:sz w:val="20"/>
                <w:szCs w:val="20"/>
              </w:rPr>
              <w:t>CZP (AS0006) vs GLM</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0.99 (0.67, 1.48)</w:t>
            </w: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-0.06 (-0.24,0.11)</w:t>
            </w: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w:t>
            </w:r>
          </w:p>
        </w:tc>
      </w:tr>
      <w:tr w:rsidR="00062E7D" w:rsidRPr="00132EAD" w:rsidTr="00673D24">
        <w:tc>
          <w:tcPr>
            <w:tcW w:w="2984" w:type="pct"/>
            <w:gridSpan w:val="3"/>
            <w:tcBorders>
              <w:top w:val="nil"/>
              <w:left w:val="nil"/>
              <w:bottom w:val="nil"/>
              <w:right w:val="nil"/>
            </w:tcBorders>
            <w:vAlign w:val="center"/>
          </w:tcPr>
          <w:p w:rsidR="00062E7D" w:rsidRPr="00132EAD" w:rsidRDefault="00062E7D" w:rsidP="00625B2B">
            <w:pPr>
              <w:rPr>
                <w:rFonts w:ascii="Arial Narrow" w:hAnsi="Arial Narrow"/>
                <w:sz w:val="20"/>
                <w:szCs w:val="20"/>
              </w:rPr>
            </w:pPr>
            <w:r w:rsidRPr="00132EAD">
              <w:rPr>
                <w:rFonts w:ascii="Arial Narrow" w:hAnsi="Arial Narrow"/>
                <w:b/>
                <w:bCs/>
                <w:color w:val="0070C0"/>
                <w:sz w:val="20"/>
                <w:szCs w:val="20"/>
              </w:rPr>
              <w:t xml:space="preserve">PBS population: </w:t>
            </w:r>
            <w:proofErr w:type="spellStart"/>
            <w:r w:rsidRPr="00132EAD">
              <w:rPr>
                <w:rFonts w:ascii="Arial Narrow" w:hAnsi="Arial Narrow"/>
                <w:b/>
                <w:bCs/>
                <w:color w:val="0070C0"/>
                <w:sz w:val="20"/>
                <w:szCs w:val="20"/>
              </w:rPr>
              <w:t>nr-axSpA</w:t>
            </w:r>
            <w:proofErr w:type="spellEnd"/>
            <w:r w:rsidRPr="00132EAD">
              <w:rPr>
                <w:rFonts w:ascii="Arial Narrow" w:hAnsi="Arial Narrow"/>
                <w:b/>
                <w:bCs/>
                <w:color w:val="0070C0"/>
                <w:sz w:val="20"/>
                <w:szCs w:val="20"/>
              </w:rPr>
              <w:t xml:space="preserve"> (MRI+ </w:t>
            </w:r>
            <w:r w:rsidRPr="00132EAD">
              <w:rPr>
                <w:rFonts w:ascii="Arial Narrow" w:hAnsi="Arial Narrow"/>
                <w:b/>
                <w:bCs/>
                <w:color w:val="0070C0"/>
                <w:sz w:val="20"/>
                <w:szCs w:val="20"/>
                <w:u w:val="single"/>
              </w:rPr>
              <w:t>AND</w:t>
            </w:r>
            <w:r w:rsidRPr="00132EAD">
              <w:rPr>
                <w:rFonts w:ascii="Arial Narrow" w:hAnsi="Arial Narrow"/>
                <w:b/>
                <w:bCs/>
                <w:color w:val="0070C0"/>
                <w:sz w:val="20"/>
                <w:szCs w:val="20"/>
              </w:rPr>
              <w:t xml:space="preserve"> CRP+)</w:t>
            </w:r>
          </w:p>
        </w:tc>
        <w:tc>
          <w:tcPr>
            <w:tcW w:w="865"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784" w:type="pct"/>
            <w:tcBorders>
              <w:top w:val="nil"/>
              <w:left w:val="nil"/>
              <w:bottom w:val="nil"/>
              <w:right w:val="nil"/>
            </w:tcBorders>
            <w:vAlign w:val="center"/>
          </w:tcPr>
          <w:p w:rsidR="00062E7D" w:rsidRPr="00132EAD" w:rsidRDefault="00062E7D" w:rsidP="00625B2B">
            <w:pPr>
              <w:jc w:val="center"/>
              <w:rPr>
                <w:rFonts w:ascii="Arial Narrow" w:hAnsi="Arial Narrow"/>
                <w:sz w:val="20"/>
                <w:szCs w:val="20"/>
              </w:rPr>
            </w:pPr>
          </w:p>
        </w:tc>
        <w:tc>
          <w:tcPr>
            <w:tcW w:w="367" w:type="pct"/>
            <w:tcBorders>
              <w:top w:val="nil"/>
              <w:left w:val="nil"/>
              <w:bottom w:val="nil"/>
              <w:right w:val="nil"/>
            </w:tcBorders>
          </w:tcPr>
          <w:p w:rsidR="00062E7D" w:rsidRPr="00132EAD" w:rsidRDefault="00062E7D" w:rsidP="00625B2B">
            <w:pPr>
              <w:jc w:val="center"/>
              <w:rPr>
                <w:rFonts w:ascii="Arial Narrow" w:hAnsi="Arial Narrow"/>
                <w:sz w:val="20"/>
                <w:szCs w:val="20"/>
              </w:rPr>
            </w:pPr>
          </w:p>
        </w:tc>
      </w:tr>
      <w:tr w:rsidR="00062E7D" w:rsidRPr="00132EAD" w:rsidTr="00673D24">
        <w:tc>
          <w:tcPr>
            <w:tcW w:w="2984" w:type="pct"/>
            <w:gridSpan w:val="3"/>
            <w:tcBorders>
              <w:top w:val="nil"/>
              <w:left w:val="nil"/>
              <w:bottom w:val="single" w:sz="4" w:space="0" w:color="auto"/>
              <w:right w:val="nil"/>
            </w:tcBorders>
            <w:vAlign w:val="center"/>
          </w:tcPr>
          <w:p w:rsidR="00062E7D" w:rsidRPr="00132EAD" w:rsidRDefault="00062E7D" w:rsidP="00625B2B">
            <w:pPr>
              <w:rPr>
                <w:rFonts w:ascii="Arial Narrow" w:hAnsi="Arial Narrow"/>
                <w:sz w:val="20"/>
                <w:szCs w:val="20"/>
              </w:rPr>
            </w:pPr>
            <w:r w:rsidRPr="00132EAD">
              <w:rPr>
                <w:rFonts w:ascii="Arial Narrow" w:hAnsi="Arial Narrow"/>
                <w:sz w:val="20"/>
                <w:szCs w:val="20"/>
              </w:rPr>
              <w:t>CZP vs GLM</w:t>
            </w:r>
          </w:p>
        </w:tc>
        <w:tc>
          <w:tcPr>
            <w:tcW w:w="865"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1.23 (0.61, 2.47)</w:t>
            </w:r>
          </w:p>
        </w:tc>
        <w:tc>
          <w:tcPr>
            <w:tcW w:w="784" w:type="pct"/>
            <w:tcBorders>
              <w:top w:val="nil"/>
              <w:left w:val="nil"/>
              <w:bottom w:val="single" w:sz="4" w:space="0" w:color="auto"/>
              <w:right w:val="nil"/>
            </w:tcBorders>
            <w:vAlign w:val="center"/>
          </w:tcPr>
          <w:p w:rsidR="00062E7D" w:rsidRPr="00132EAD" w:rsidRDefault="00062E7D" w:rsidP="00625B2B">
            <w:pPr>
              <w:jc w:val="center"/>
              <w:rPr>
                <w:rFonts w:ascii="Arial Narrow" w:hAnsi="Arial Narrow"/>
                <w:sz w:val="20"/>
                <w:szCs w:val="20"/>
              </w:rPr>
            </w:pPr>
            <w:r w:rsidRPr="00132EAD">
              <w:rPr>
                <w:rFonts w:ascii="Arial Narrow" w:hAnsi="Arial Narrow"/>
                <w:sz w:val="20"/>
                <w:szCs w:val="20"/>
              </w:rPr>
              <w:t>0.08 (-0.20, 0.36)</w:t>
            </w:r>
          </w:p>
        </w:tc>
        <w:tc>
          <w:tcPr>
            <w:tcW w:w="367" w:type="pct"/>
            <w:tcBorders>
              <w:top w:val="nil"/>
              <w:left w:val="nil"/>
              <w:bottom w:val="single" w:sz="4" w:space="0" w:color="auto"/>
              <w:right w:val="nil"/>
            </w:tcBorders>
          </w:tcPr>
          <w:p w:rsidR="00062E7D" w:rsidRPr="00132EAD" w:rsidRDefault="00062E7D" w:rsidP="00625B2B">
            <w:pPr>
              <w:jc w:val="center"/>
              <w:rPr>
                <w:rFonts w:ascii="Arial Narrow" w:hAnsi="Arial Narrow"/>
                <w:sz w:val="20"/>
                <w:szCs w:val="20"/>
              </w:rPr>
            </w:pPr>
          </w:p>
        </w:tc>
      </w:tr>
    </w:tbl>
    <w:p w:rsidR="00062E7D" w:rsidRPr="00132EAD" w:rsidRDefault="00062E7D" w:rsidP="00370D99">
      <w:pPr>
        <w:pStyle w:val="TableFooter"/>
      </w:pPr>
      <w:r w:rsidRPr="00132EAD">
        <w:rPr>
          <w:szCs w:val="18"/>
        </w:rPr>
        <w:t xml:space="preserve">Abbreviations: </w:t>
      </w:r>
      <w:r w:rsidRPr="00132EAD">
        <w:t xml:space="preserve">ASAS20=Assessment of </w:t>
      </w:r>
      <w:proofErr w:type="spellStart"/>
      <w:r w:rsidRPr="00132EAD">
        <w:t>SpondyloArthritis</w:t>
      </w:r>
      <w:proofErr w:type="spellEnd"/>
      <w:r w:rsidRPr="00132EAD">
        <w:t xml:space="preserve"> international Society</w:t>
      </w:r>
      <w:r w:rsidR="00370D99" w:rsidRPr="00132EAD">
        <w:t xml:space="preserve"> 20%</w:t>
      </w:r>
      <w:r w:rsidRPr="00132EAD">
        <w:t xml:space="preserve"> response criteria; CRP=C-reactive protein; </w:t>
      </w:r>
      <w:r w:rsidRPr="00132EAD">
        <w:rPr>
          <w:szCs w:val="18"/>
        </w:rPr>
        <w:t>CZP=</w:t>
      </w:r>
      <w:proofErr w:type="spellStart"/>
      <w:r w:rsidRPr="00132EAD">
        <w:rPr>
          <w:szCs w:val="18"/>
        </w:rPr>
        <w:t>certolizumab</w:t>
      </w:r>
      <w:proofErr w:type="spellEnd"/>
      <w:r w:rsidRPr="00132EAD">
        <w:rPr>
          <w:szCs w:val="18"/>
        </w:rPr>
        <w:t xml:space="preserve"> </w:t>
      </w:r>
      <w:proofErr w:type="spellStart"/>
      <w:r w:rsidRPr="00132EAD">
        <w:rPr>
          <w:szCs w:val="18"/>
        </w:rPr>
        <w:t>pegol</w:t>
      </w:r>
      <w:proofErr w:type="spellEnd"/>
      <w:r w:rsidRPr="00132EAD">
        <w:rPr>
          <w:szCs w:val="18"/>
        </w:rPr>
        <w:t>; GLM=</w:t>
      </w:r>
      <w:proofErr w:type="spellStart"/>
      <w:r w:rsidRPr="00132EAD">
        <w:rPr>
          <w:szCs w:val="18"/>
        </w:rPr>
        <w:t>golimumab</w:t>
      </w:r>
      <w:proofErr w:type="spellEnd"/>
      <w:r w:rsidRPr="00132EAD">
        <w:rPr>
          <w:szCs w:val="18"/>
        </w:rPr>
        <w:t xml:space="preserve">; ITT=intention to treat; </w:t>
      </w:r>
      <w:r w:rsidRPr="00132EAD">
        <w:t xml:space="preserve">MRI=magnetic resonance imaging; </w:t>
      </w:r>
      <w:proofErr w:type="spellStart"/>
      <w:r w:rsidRPr="00132EAD">
        <w:t>nr-axSpA</w:t>
      </w:r>
      <w:proofErr w:type="spellEnd"/>
      <w:r w:rsidRPr="00132EAD">
        <w:t xml:space="preserve">=non-radiographic axial </w:t>
      </w:r>
      <w:proofErr w:type="spellStart"/>
      <w:r w:rsidRPr="00132EAD">
        <w:t>spondyloarthritis</w:t>
      </w:r>
      <w:proofErr w:type="spellEnd"/>
      <w:r w:rsidRPr="00132EAD">
        <w:t xml:space="preserve">; OSI=objective signs of inflammation; </w:t>
      </w:r>
      <w:r w:rsidRPr="00132EAD">
        <w:rPr>
          <w:szCs w:val="18"/>
        </w:rPr>
        <w:t xml:space="preserve">PBO=placebo; PSS=pre-specified subgroup; PHS=post-hoc subgroup; Q2W=every 2 weeks; Q4W=every 4 weeks; </w:t>
      </w:r>
      <w:proofErr w:type="spellStart"/>
      <w:r w:rsidRPr="00132EAD">
        <w:rPr>
          <w:szCs w:val="18"/>
        </w:rPr>
        <w:t>wk</w:t>
      </w:r>
      <w:proofErr w:type="spellEnd"/>
      <w:r w:rsidRPr="00132EAD">
        <w:rPr>
          <w:szCs w:val="18"/>
        </w:rPr>
        <w:t>=week;</w:t>
      </w:r>
    </w:p>
    <w:p w:rsidR="00062E7D" w:rsidRPr="00132EAD" w:rsidRDefault="00062E7D" w:rsidP="00062E7D">
      <w:pPr>
        <w:tabs>
          <w:tab w:val="left" w:pos="142"/>
        </w:tabs>
        <w:rPr>
          <w:rFonts w:ascii="Arial Narrow" w:hAnsi="Arial Narrow"/>
          <w:sz w:val="18"/>
          <w:szCs w:val="18"/>
        </w:rPr>
      </w:pPr>
      <w:r w:rsidRPr="00132EAD">
        <w:rPr>
          <w:rFonts w:ascii="Arial Narrow" w:hAnsi="Arial Narrow"/>
          <w:sz w:val="18"/>
          <w:szCs w:val="18"/>
          <w:vertAlign w:val="superscript"/>
        </w:rPr>
        <w:t>‡</w:t>
      </w:r>
      <w:r w:rsidRPr="00132EAD">
        <w:rPr>
          <w:rFonts w:ascii="Arial Narrow" w:hAnsi="Arial Narrow"/>
          <w:sz w:val="18"/>
          <w:szCs w:val="18"/>
        </w:rPr>
        <w:tab/>
        <w:t>Patients (20 PBO and 19 GLM) who were MRI-/CRP- were excluded from the PSS analysis.</w:t>
      </w:r>
    </w:p>
    <w:p w:rsidR="00062E7D" w:rsidRPr="00132EAD" w:rsidRDefault="00062E7D" w:rsidP="00062E7D">
      <w:pPr>
        <w:rPr>
          <w:rFonts w:ascii="Arial Narrow" w:hAnsi="Arial Narrow"/>
          <w:sz w:val="18"/>
          <w:szCs w:val="18"/>
        </w:rPr>
      </w:pPr>
      <w:r w:rsidRPr="00132EAD">
        <w:rPr>
          <w:rFonts w:ascii="Arial Narrow" w:hAnsi="Arial Narrow"/>
          <w:sz w:val="18"/>
          <w:szCs w:val="18"/>
        </w:rPr>
        <w:t>CRP&gt;ULN defined as: in AS0006 ULN=9.99mg/L; in AS001 ULN=7.9mg/L; in GO-AHEAD ULN=9mg/L</w:t>
      </w:r>
    </w:p>
    <w:p w:rsidR="00062E7D" w:rsidRPr="00132EAD" w:rsidRDefault="00062E7D" w:rsidP="00062E7D">
      <w:pPr>
        <w:rPr>
          <w:rFonts w:ascii="Arial Narrow" w:hAnsi="Arial Narrow"/>
          <w:sz w:val="18"/>
          <w:szCs w:val="18"/>
        </w:rPr>
      </w:pPr>
      <w:r w:rsidRPr="00132EAD">
        <w:rPr>
          <w:rFonts w:ascii="Arial Narrow" w:hAnsi="Arial Narrow"/>
          <w:sz w:val="18"/>
          <w:szCs w:val="18"/>
        </w:rPr>
        <w:t>Source: Table 2.57 and Table 2.58, pp123-124 of the submission; Report no. 1104 Indirect Treatment Comparison Attachment</w:t>
      </w:r>
    </w:p>
    <w:p w:rsidR="00FE70C3" w:rsidRPr="00132EAD" w:rsidRDefault="00FE70C3" w:rsidP="00D43B2A">
      <w:pPr>
        <w:rPr>
          <w:rStyle w:val="CommentReference"/>
          <w:b w:val="0"/>
        </w:rPr>
      </w:pPr>
    </w:p>
    <w:p w:rsidR="00544866" w:rsidRPr="00132EAD" w:rsidRDefault="00A1113B" w:rsidP="00B25B49">
      <w:pPr>
        <w:pStyle w:val="ListParagraph"/>
        <w:widowControl/>
        <w:numPr>
          <w:ilvl w:val="1"/>
          <w:numId w:val="3"/>
        </w:numPr>
      </w:pPr>
      <w:r w:rsidRPr="00132EAD">
        <w:t>The results for BASDAI50 and ASAS20 demonstrated that CZP and GLM were more effective than placebo at producing a response at Week 12 or 16,</w:t>
      </w:r>
      <w:r w:rsidR="00031A62" w:rsidRPr="00132EAD">
        <w:t xml:space="preserve"> across all of the populations.</w:t>
      </w:r>
      <w:r w:rsidRPr="00132EAD">
        <w:t xml:space="preserve"> However, the submission noted that ASAS20 in trial AS001 was not significantly different for CZP 200mg Q2W and placebo (results were significant for CZP 400mg Q4W, not presented).</w:t>
      </w:r>
      <w:r w:rsidR="00544866" w:rsidRPr="00132EAD">
        <w:t xml:space="preserve"> </w:t>
      </w:r>
      <w:r w:rsidRPr="00132EAD">
        <w:rPr>
          <w:iCs/>
        </w:rPr>
        <w:t>BASDAI50 response rates were similar</w:t>
      </w:r>
      <w:r w:rsidR="0024460D">
        <w:rPr>
          <w:iCs/>
        </w:rPr>
        <w:t xml:space="preserve"> across the populations</w:t>
      </w:r>
      <w:r w:rsidRPr="00132EAD">
        <w:rPr>
          <w:iCs/>
        </w:rPr>
        <w:t>.</w:t>
      </w:r>
    </w:p>
    <w:p w:rsidR="00EA66C8" w:rsidRPr="00132EAD" w:rsidRDefault="00FA537C" w:rsidP="00E72B99">
      <w:pPr>
        <w:pStyle w:val="ListParagraph"/>
        <w:widowControl/>
        <w:numPr>
          <w:ilvl w:val="1"/>
          <w:numId w:val="3"/>
        </w:numPr>
      </w:pPr>
      <w:r w:rsidRPr="00132EAD">
        <w:t>The indirect comparisons indicated that there w</w:t>
      </w:r>
      <w:r w:rsidR="00E72B99" w:rsidRPr="00132EAD">
        <w:t>ere</w:t>
      </w:r>
      <w:r w:rsidRPr="00132EAD">
        <w:t xml:space="preserve"> no statistically significant difference</w:t>
      </w:r>
      <w:r w:rsidR="00E72B99" w:rsidRPr="00132EAD">
        <w:t>s</w:t>
      </w:r>
      <w:r w:rsidRPr="00132EAD">
        <w:t xml:space="preserve"> between CZP 200mg Q2W and GLM 50mg Q4W for BASDAI50 or ASAS20 response in any of the populations</w:t>
      </w:r>
      <w:r w:rsidR="00132EAD">
        <w:t xml:space="preserve">. </w:t>
      </w:r>
      <w:r w:rsidR="00A1113B" w:rsidRPr="00132EAD">
        <w:rPr>
          <w:iCs/>
        </w:rPr>
        <w:t xml:space="preserve">Placebo response </w:t>
      </w:r>
      <w:r w:rsidR="00E72B99" w:rsidRPr="00132EAD">
        <w:rPr>
          <w:iCs/>
        </w:rPr>
        <w:t xml:space="preserve">rates </w:t>
      </w:r>
      <w:r w:rsidR="00A1113B" w:rsidRPr="00132EAD">
        <w:rPr>
          <w:iCs/>
        </w:rPr>
        <w:t>for ASAS20 were similar across the trials; however, placebo response for BASDAI50 was much higher in GO-AHEAD (29%) compared to the CZP trials (15-16%)</w:t>
      </w:r>
      <w:r w:rsidR="00132EAD">
        <w:rPr>
          <w:iCs/>
        </w:rPr>
        <w:t xml:space="preserve">. </w:t>
      </w:r>
      <w:r w:rsidR="00A1113B" w:rsidRPr="00132EAD">
        <w:rPr>
          <w:iCs/>
        </w:rPr>
        <w:t>The reason for this difference was unknown, but may be partially due to differences in trial design leading to high placebo discontinuation in the CZP trials and differences in the definition of BASDAI50 response assumed in the trials</w:t>
      </w:r>
      <w:r w:rsidR="00132EAD">
        <w:rPr>
          <w:iCs/>
        </w:rPr>
        <w:t xml:space="preserve">. </w:t>
      </w:r>
      <w:r w:rsidR="00A1113B" w:rsidRPr="00132EAD">
        <w:rPr>
          <w:iCs/>
        </w:rPr>
        <w:t>The submission</w:t>
      </w:r>
      <w:r w:rsidR="00EA66C8" w:rsidRPr="00132EAD">
        <w:rPr>
          <w:iCs/>
        </w:rPr>
        <w:t xml:space="preserve"> stated differences across the trials were unlikely to have any effect on the assumed transitivity of the common reference arms. </w:t>
      </w:r>
    </w:p>
    <w:p w:rsidR="00C16529" w:rsidRPr="00132EAD" w:rsidRDefault="00C16529" w:rsidP="00C16529">
      <w:pPr>
        <w:pStyle w:val="ListParagraph"/>
        <w:widowControl/>
        <w:numPr>
          <w:ilvl w:val="1"/>
          <w:numId w:val="3"/>
        </w:numPr>
        <w:rPr>
          <w:iCs/>
        </w:rPr>
      </w:pPr>
      <w:r w:rsidRPr="00132EAD">
        <w:rPr>
          <w:iCs/>
        </w:rPr>
        <w:lastRenderedPageBreak/>
        <w:t>Similar results were demonstrated for ASAS40, with the indirect comparisons indicating no statistically significant differences between CZP and GLM in any of the populations.</w:t>
      </w:r>
    </w:p>
    <w:p w:rsidR="00A1113B" w:rsidRPr="00132EAD" w:rsidRDefault="00A1113B" w:rsidP="00C16529">
      <w:pPr>
        <w:pStyle w:val="ListParagraph"/>
        <w:widowControl/>
        <w:numPr>
          <w:ilvl w:val="1"/>
          <w:numId w:val="3"/>
        </w:numPr>
      </w:pPr>
      <w:r w:rsidRPr="00132EAD">
        <w:t xml:space="preserve">The submission </w:t>
      </w:r>
      <w:r w:rsidR="00FA537C" w:rsidRPr="00132EAD">
        <w:t xml:space="preserve">concluded </w:t>
      </w:r>
      <w:r w:rsidRPr="00132EAD">
        <w:t>that non-inferiority was demonstrated based on ASAS20 for all the populations, because the 95%CI of the relative risk (RR) estimates all crossed 1 and the lower bounds were larger than 0.43</w:t>
      </w:r>
      <w:r w:rsidR="00E634D1" w:rsidRPr="00132EAD">
        <w:t xml:space="preserve"> (which is the non-inferiority margin accepted for ankylosing spondylitis)</w:t>
      </w:r>
      <w:r w:rsidRPr="00132EAD">
        <w:t>.</w:t>
      </w:r>
      <w:r w:rsidR="00D14C65" w:rsidRPr="00132EAD">
        <w:t xml:space="preserve"> </w:t>
      </w:r>
      <w:r w:rsidR="00EA66C8" w:rsidRPr="00132EAD">
        <w:t>The submission did not nominate a non-inferiority margin for BASDAI50</w:t>
      </w:r>
      <w:r w:rsidR="00C16529" w:rsidRPr="00132EAD">
        <w:t xml:space="preserve"> or ASAS40</w:t>
      </w:r>
      <w:r w:rsidR="00EA66C8" w:rsidRPr="00132EAD">
        <w:t>, but considered the evidence supported non-inferiority be</w:t>
      </w:r>
      <w:r w:rsidR="00FA537C" w:rsidRPr="00132EAD">
        <w:t xml:space="preserve">cause there were no significant differences and all of the point estimates </w:t>
      </w:r>
      <w:r w:rsidR="00C16529" w:rsidRPr="00132EAD">
        <w:t xml:space="preserve">of the RR </w:t>
      </w:r>
      <w:r w:rsidR="00FA537C" w:rsidRPr="00132EAD">
        <w:t>across the populations favoured CZP.</w:t>
      </w:r>
    </w:p>
    <w:p w:rsidR="00B22C17" w:rsidRPr="00132EAD" w:rsidRDefault="00B22C17" w:rsidP="00B22C17">
      <w:pPr>
        <w:pStyle w:val="ListParagraph"/>
        <w:widowControl/>
        <w:numPr>
          <w:ilvl w:val="1"/>
          <w:numId w:val="3"/>
        </w:numPr>
        <w:rPr>
          <w:iCs/>
        </w:rPr>
      </w:pPr>
      <w:r w:rsidRPr="00132EAD">
        <w:rPr>
          <w:iCs/>
        </w:rPr>
        <w:t>The trial publications did not report any other comparable outcomes by MRI / CRP status to support formal indirect comparison</w:t>
      </w:r>
      <w:r w:rsidR="00132EAD">
        <w:rPr>
          <w:iCs/>
        </w:rPr>
        <w:t xml:space="preserve">. </w:t>
      </w:r>
      <w:r w:rsidRPr="00132EAD">
        <w:rPr>
          <w:iCs/>
        </w:rPr>
        <w:t>However, the results for other potentially relevant outcomes were generally similar in the ITT populations of AS0006 (Week 12) and GO-AHEAD (Week 16)</w:t>
      </w:r>
      <w:r w:rsidR="00132EAD">
        <w:rPr>
          <w:iCs/>
        </w:rPr>
        <w:t xml:space="preserve">. </w:t>
      </w:r>
      <w:r w:rsidRPr="00132EAD">
        <w:rPr>
          <w:iCs/>
        </w:rPr>
        <w:t>For example, the mean difference in CR</w:t>
      </w:r>
      <w:r w:rsidR="00E66124" w:rsidRPr="00132EAD">
        <w:rPr>
          <w:iCs/>
        </w:rPr>
        <w:t xml:space="preserve">P was </w:t>
      </w:r>
      <w:r w:rsidR="00E66124" w:rsidRPr="00132EAD">
        <w:rPr>
          <w:iCs/>
        </w:rPr>
        <w:noBreakHyphen/>
      </w:r>
      <w:r w:rsidRPr="00132EAD">
        <w:rPr>
          <w:iCs/>
        </w:rPr>
        <w:t>8.1mg/L for CZP versus placebo in AS0006 compared to -6.4mg/L for GLM versus placebo in GO-AHEAD</w:t>
      </w:r>
      <w:r w:rsidR="00132EAD">
        <w:rPr>
          <w:iCs/>
        </w:rPr>
        <w:t xml:space="preserve">. </w:t>
      </w:r>
      <w:r w:rsidRPr="00132EAD">
        <w:rPr>
          <w:iCs/>
        </w:rPr>
        <w:t>The mean difference in ASDAS score was -1.09 for CZP versus placebo at Week 12 in AS0006 compared to -1.05 for GLM versus placebo at Week 16 in GO-AHEAD.</w:t>
      </w:r>
    </w:p>
    <w:p w:rsidR="00B60939" w:rsidRPr="00132EAD" w:rsidRDefault="00B60939" w:rsidP="00936C60">
      <w:pPr>
        <w:pStyle w:val="Heading2"/>
      </w:pPr>
      <w:bookmarkStart w:id="10" w:name="_Toc19717646"/>
      <w:r w:rsidRPr="00132EAD">
        <w:t>Comparative harms</w:t>
      </w:r>
      <w:bookmarkEnd w:id="10"/>
    </w:p>
    <w:p w:rsidR="00B22C17" w:rsidRPr="00132EAD" w:rsidRDefault="00B22C17" w:rsidP="004D7A24">
      <w:pPr>
        <w:pStyle w:val="ListParagraph"/>
        <w:widowControl/>
        <w:numPr>
          <w:ilvl w:val="1"/>
          <w:numId w:val="3"/>
        </w:numPr>
      </w:pPr>
      <w:r w:rsidRPr="00132EAD">
        <w:t>Table 6 summarises the key AEs in the safety populations to the end of the double-blind phases of the included trials</w:t>
      </w:r>
      <w:r w:rsidR="00132EAD">
        <w:t xml:space="preserve">. </w:t>
      </w:r>
      <w:r w:rsidRPr="00132EAD">
        <w:rPr>
          <w:iCs/>
        </w:rPr>
        <w:t>The submission did not present any safety outcomes by MRI / CRP status, or conduct an indirect comparison between CZP and GLM for safety outcomes due to differences in timing and reporting methods.</w:t>
      </w:r>
    </w:p>
    <w:p w:rsidR="00B22C17" w:rsidRPr="00132EAD" w:rsidRDefault="00B22C17" w:rsidP="000F3495">
      <w:pPr>
        <w:pStyle w:val="Tabletext"/>
        <w:keepNext/>
        <w:keepLines/>
        <w:rPr>
          <w:b/>
        </w:rPr>
      </w:pPr>
      <w:r w:rsidRPr="00132EAD">
        <w:rPr>
          <w:b/>
        </w:rPr>
        <w:lastRenderedPageBreak/>
        <w:t>Table 6: Summary of key adverse events during the double-blind period of the included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2"/>
        <w:gridCol w:w="982"/>
        <w:gridCol w:w="985"/>
        <w:gridCol w:w="985"/>
        <w:gridCol w:w="985"/>
        <w:gridCol w:w="985"/>
        <w:gridCol w:w="983"/>
      </w:tblGrid>
      <w:tr w:rsidR="00B22C17" w:rsidRPr="00132EAD" w:rsidTr="00625B2B">
        <w:trPr>
          <w:tblHeader/>
        </w:trPr>
        <w:tc>
          <w:tcPr>
            <w:tcW w:w="1726" w:type="pct"/>
            <w:vAlign w:val="center"/>
          </w:tcPr>
          <w:p w:rsidR="00B22C17" w:rsidRPr="00132EAD" w:rsidRDefault="00B22C17" w:rsidP="000F3495">
            <w:pPr>
              <w:pStyle w:val="Tabletext"/>
              <w:keepNext/>
              <w:keepLines/>
              <w:rPr>
                <w:b/>
              </w:rPr>
            </w:pPr>
            <w:r w:rsidRPr="00132EAD">
              <w:rPr>
                <w:b/>
              </w:rPr>
              <w:t>Trial ID</w:t>
            </w:r>
          </w:p>
        </w:tc>
        <w:tc>
          <w:tcPr>
            <w:tcW w:w="1091" w:type="pct"/>
            <w:gridSpan w:val="2"/>
            <w:vAlign w:val="center"/>
          </w:tcPr>
          <w:p w:rsidR="00F2272E" w:rsidRPr="00132EAD" w:rsidRDefault="00B22C17" w:rsidP="000F3495">
            <w:pPr>
              <w:pStyle w:val="Tabletext"/>
              <w:keepNext/>
              <w:keepLines/>
              <w:jc w:val="center"/>
              <w:rPr>
                <w:b/>
                <w:bCs/>
              </w:rPr>
            </w:pPr>
            <w:r w:rsidRPr="00132EAD">
              <w:rPr>
                <w:b/>
                <w:bCs/>
              </w:rPr>
              <w:t>AS0006</w:t>
            </w:r>
            <w:r w:rsidR="00F2272E" w:rsidRPr="00132EAD">
              <w:rPr>
                <w:b/>
                <w:bCs/>
              </w:rPr>
              <w:t>,</w:t>
            </w:r>
            <w:r w:rsidRPr="00132EAD">
              <w:rPr>
                <w:b/>
                <w:bCs/>
              </w:rPr>
              <w:t xml:space="preserve"> </w:t>
            </w:r>
            <w:r w:rsidR="00F2272E" w:rsidRPr="00132EAD">
              <w:rPr>
                <w:b/>
                <w:bCs/>
              </w:rPr>
              <w:t>Week 52</w:t>
            </w:r>
          </w:p>
          <w:p w:rsidR="00B22C17" w:rsidRPr="00132EAD" w:rsidRDefault="00B22C17" w:rsidP="000F3495">
            <w:pPr>
              <w:pStyle w:val="Tabletext"/>
              <w:keepNext/>
              <w:keepLines/>
              <w:jc w:val="center"/>
              <w:rPr>
                <w:b/>
              </w:rPr>
            </w:pPr>
            <w:r w:rsidRPr="00132EAD">
              <w:rPr>
                <w:b/>
                <w:bCs/>
              </w:rPr>
              <w:t>(</w:t>
            </w:r>
            <w:proofErr w:type="spellStart"/>
            <w:r w:rsidRPr="00132EAD">
              <w:rPr>
                <w:b/>
                <w:bCs/>
              </w:rPr>
              <w:t>nr-axSpA</w:t>
            </w:r>
            <w:proofErr w:type="spellEnd"/>
            <w:r w:rsidRPr="00132EAD">
              <w:rPr>
                <w:b/>
                <w:bCs/>
              </w:rPr>
              <w:t>)</w:t>
            </w:r>
          </w:p>
        </w:tc>
        <w:tc>
          <w:tcPr>
            <w:tcW w:w="1092" w:type="pct"/>
            <w:gridSpan w:val="2"/>
          </w:tcPr>
          <w:p w:rsidR="00F2272E" w:rsidRPr="00132EAD" w:rsidRDefault="00B22C17" w:rsidP="000F3495">
            <w:pPr>
              <w:pStyle w:val="Tabletext"/>
              <w:keepNext/>
              <w:keepLines/>
              <w:jc w:val="center"/>
              <w:rPr>
                <w:b/>
              </w:rPr>
            </w:pPr>
            <w:r w:rsidRPr="00132EAD">
              <w:rPr>
                <w:b/>
              </w:rPr>
              <w:t>AS001</w:t>
            </w:r>
            <w:r w:rsidR="00F2272E" w:rsidRPr="00132EAD">
              <w:rPr>
                <w:b/>
              </w:rPr>
              <w:t>, Week 24</w:t>
            </w:r>
          </w:p>
          <w:p w:rsidR="00B22C17" w:rsidRPr="00132EAD" w:rsidRDefault="00B22C17" w:rsidP="000F3495">
            <w:pPr>
              <w:pStyle w:val="Tabletext"/>
              <w:keepNext/>
              <w:keepLines/>
              <w:jc w:val="center"/>
              <w:rPr>
                <w:b/>
              </w:rPr>
            </w:pPr>
            <w:r w:rsidRPr="00132EAD">
              <w:rPr>
                <w:b/>
              </w:rPr>
              <w:t>(</w:t>
            </w:r>
            <w:proofErr w:type="spellStart"/>
            <w:r w:rsidRPr="00132EAD">
              <w:rPr>
                <w:b/>
              </w:rPr>
              <w:t>axSpA</w:t>
            </w:r>
            <w:proofErr w:type="spellEnd"/>
            <w:r w:rsidRPr="00132EAD">
              <w:rPr>
                <w:b/>
              </w:rPr>
              <w:t>)</w:t>
            </w:r>
          </w:p>
        </w:tc>
        <w:tc>
          <w:tcPr>
            <w:tcW w:w="1091" w:type="pct"/>
            <w:gridSpan w:val="2"/>
          </w:tcPr>
          <w:p w:rsidR="00F2272E" w:rsidRPr="00132EAD" w:rsidRDefault="00B22C17" w:rsidP="000F3495">
            <w:pPr>
              <w:pStyle w:val="Tabletext"/>
              <w:keepNext/>
              <w:keepLines/>
              <w:jc w:val="center"/>
              <w:rPr>
                <w:b/>
              </w:rPr>
            </w:pPr>
            <w:r w:rsidRPr="00132EAD">
              <w:rPr>
                <w:b/>
              </w:rPr>
              <w:t>GO-AHEAD</w:t>
            </w:r>
            <w:r w:rsidR="00F2272E" w:rsidRPr="00132EAD">
              <w:rPr>
                <w:b/>
              </w:rPr>
              <w:t>, Week 16</w:t>
            </w:r>
          </w:p>
          <w:p w:rsidR="00B22C17" w:rsidRPr="00132EAD" w:rsidRDefault="00B22C17" w:rsidP="000F3495">
            <w:pPr>
              <w:pStyle w:val="Tabletext"/>
              <w:keepNext/>
              <w:keepLines/>
              <w:jc w:val="center"/>
              <w:rPr>
                <w:b/>
              </w:rPr>
            </w:pPr>
            <w:r w:rsidRPr="00132EAD">
              <w:rPr>
                <w:b/>
              </w:rPr>
              <w:t>(</w:t>
            </w:r>
            <w:proofErr w:type="spellStart"/>
            <w:r w:rsidRPr="00132EAD">
              <w:rPr>
                <w:b/>
              </w:rPr>
              <w:t>nr-axSpA</w:t>
            </w:r>
            <w:proofErr w:type="spellEnd"/>
            <w:r w:rsidRPr="00132EAD">
              <w:rPr>
                <w:b/>
              </w:rPr>
              <w:t>)</w:t>
            </w:r>
          </w:p>
        </w:tc>
      </w:tr>
      <w:tr w:rsidR="00B22C17" w:rsidRPr="00132EAD" w:rsidTr="00625B2B">
        <w:trPr>
          <w:trHeight w:val="573"/>
          <w:tblHeader/>
        </w:trPr>
        <w:tc>
          <w:tcPr>
            <w:tcW w:w="1726" w:type="pct"/>
            <w:vAlign w:val="center"/>
          </w:tcPr>
          <w:p w:rsidR="00B22C17" w:rsidRPr="00132EAD" w:rsidRDefault="00B22C17" w:rsidP="000F3495">
            <w:pPr>
              <w:pStyle w:val="Tabletext"/>
              <w:keepNext/>
              <w:keepLines/>
              <w:rPr>
                <w:b/>
              </w:rPr>
            </w:pPr>
          </w:p>
        </w:tc>
        <w:tc>
          <w:tcPr>
            <w:tcW w:w="545" w:type="pct"/>
            <w:vAlign w:val="center"/>
          </w:tcPr>
          <w:p w:rsidR="00B22C17" w:rsidRPr="00132EAD" w:rsidRDefault="00B22C17" w:rsidP="000F3495">
            <w:pPr>
              <w:pStyle w:val="Tabletext"/>
              <w:keepNext/>
              <w:keepLines/>
              <w:jc w:val="center"/>
              <w:rPr>
                <w:b/>
              </w:rPr>
            </w:pPr>
            <w:r w:rsidRPr="00132EAD">
              <w:rPr>
                <w:b/>
              </w:rPr>
              <w:t>CZP</w:t>
            </w:r>
          </w:p>
          <w:p w:rsidR="00B22C17" w:rsidRPr="00132EAD" w:rsidRDefault="00B22C17" w:rsidP="000F3495">
            <w:pPr>
              <w:pStyle w:val="Tabletext"/>
              <w:keepNext/>
              <w:keepLines/>
              <w:jc w:val="center"/>
              <w:rPr>
                <w:b/>
              </w:rPr>
            </w:pPr>
            <w:proofErr w:type="gramStart"/>
            <w:r w:rsidRPr="00132EAD">
              <w:rPr>
                <w:b/>
              </w:rPr>
              <w:t>n</w:t>
            </w:r>
            <w:proofErr w:type="gramEnd"/>
            <w:r w:rsidRPr="00132EAD">
              <w:rPr>
                <w:b/>
              </w:rPr>
              <w:t xml:space="preserve"> (%)</w:t>
            </w:r>
          </w:p>
          <w:p w:rsidR="00B22C17" w:rsidRPr="00132EAD" w:rsidRDefault="00B22C17" w:rsidP="000F3495">
            <w:pPr>
              <w:pStyle w:val="Tabletext"/>
              <w:keepNext/>
              <w:keepLines/>
              <w:jc w:val="center"/>
              <w:rPr>
                <w:b/>
              </w:rPr>
            </w:pPr>
            <w:r w:rsidRPr="00132EAD">
              <w:rPr>
                <w:b/>
                <w:bCs/>
              </w:rPr>
              <w:t>N=159</w:t>
            </w:r>
          </w:p>
        </w:tc>
        <w:tc>
          <w:tcPr>
            <w:tcW w:w="546" w:type="pct"/>
            <w:vAlign w:val="center"/>
          </w:tcPr>
          <w:p w:rsidR="00B22C17" w:rsidRPr="00132EAD" w:rsidRDefault="00B22C17" w:rsidP="000F3495">
            <w:pPr>
              <w:pStyle w:val="Tabletext"/>
              <w:keepNext/>
              <w:keepLines/>
              <w:jc w:val="center"/>
              <w:rPr>
                <w:b/>
              </w:rPr>
            </w:pPr>
            <w:r w:rsidRPr="00132EAD">
              <w:rPr>
                <w:b/>
              </w:rPr>
              <w:t>PBO</w:t>
            </w:r>
          </w:p>
          <w:p w:rsidR="00B22C17" w:rsidRPr="00132EAD" w:rsidRDefault="00B22C17" w:rsidP="000F3495">
            <w:pPr>
              <w:pStyle w:val="Tabletext"/>
              <w:keepNext/>
              <w:keepLines/>
              <w:jc w:val="center"/>
              <w:rPr>
                <w:b/>
              </w:rPr>
            </w:pPr>
            <w:proofErr w:type="gramStart"/>
            <w:r w:rsidRPr="00132EAD">
              <w:rPr>
                <w:b/>
              </w:rPr>
              <w:t>n</w:t>
            </w:r>
            <w:proofErr w:type="gramEnd"/>
            <w:r w:rsidRPr="00132EAD">
              <w:rPr>
                <w:b/>
              </w:rPr>
              <w:t xml:space="preserve"> (%)</w:t>
            </w:r>
          </w:p>
          <w:p w:rsidR="00B22C17" w:rsidRPr="00132EAD" w:rsidRDefault="00B22C17" w:rsidP="000F3495">
            <w:pPr>
              <w:pStyle w:val="Tabletext"/>
              <w:keepNext/>
              <w:keepLines/>
              <w:jc w:val="center"/>
              <w:rPr>
                <w:b/>
              </w:rPr>
            </w:pPr>
            <w:r w:rsidRPr="00132EAD">
              <w:rPr>
                <w:b/>
                <w:bCs/>
              </w:rPr>
              <w:t>N=158</w:t>
            </w:r>
          </w:p>
        </w:tc>
        <w:tc>
          <w:tcPr>
            <w:tcW w:w="546" w:type="pct"/>
            <w:vAlign w:val="center"/>
          </w:tcPr>
          <w:p w:rsidR="00B22C17" w:rsidRPr="00132EAD" w:rsidRDefault="00B22C17" w:rsidP="000F3495">
            <w:pPr>
              <w:pStyle w:val="Tabletext"/>
              <w:keepNext/>
              <w:keepLines/>
              <w:jc w:val="center"/>
              <w:rPr>
                <w:b/>
              </w:rPr>
            </w:pPr>
            <w:r w:rsidRPr="00132EAD">
              <w:rPr>
                <w:b/>
              </w:rPr>
              <w:t>CZP#</w:t>
            </w:r>
          </w:p>
          <w:p w:rsidR="00B22C17" w:rsidRPr="00132EAD" w:rsidRDefault="00B22C17" w:rsidP="000F3495">
            <w:pPr>
              <w:pStyle w:val="Tabletext"/>
              <w:keepNext/>
              <w:keepLines/>
              <w:jc w:val="center"/>
              <w:rPr>
                <w:b/>
              </w:rPr>
            </w:pPr>
            <w:proofErr w:type="gramStart"/>
            <w:r w:rsidRPr="00132EAD">
              <w:rPr>
                <w:b/>
              </w:rPr>
              <w:t>n</w:t>
            </w:r>
            <w:proofErr w:type="gramEnd"/>
            <w:r w:rsidRPr="00132EAD">
              <w:rPr>
                <w:b/>
              </w:rPr>
              <w:t xml:space="preserve"> (%)</w:t>
            </w:r>
          </w:p>
          <w:p w:rsidR="00B22C17" w:rsidRPr="00132EAD" w:rsidRDefault="00B22C17" w:rsidP="000F3495">
            <w:pPr>
              <w:pStyle w:val="Tabletext"/>
              <w:keepNext/>
              <w:keepLines/>
              <w:jc w:val="center"/>
              <w:rPr>
                <w:b/>
              </w:rPr>
            </w:pPr>
            <w:r w:rsidRPr="00132EAD">
              <w:rPr>
                <w:b/>
                <w:bCs/>
              </w:rPr>
              <w:t>N=111</w:t>
            </w:r>
          </w:p>
        </w:tc>
        <w:tc>
          <w:tcPr>
            <w:tcW w:w="546" w:type="pct"/>
            <w:vAlign w:val="center"/>
          </w:tcPr>
          <w:p w:rsidR="00B22C17" w:rsidRPr="00132EAD" w:rsidRDefault="00B22C17" w:rsidP="000F3495">
            <w:pPr>
              <w:pStyle w:val="Tabletext"/>
              <w:keepNext/>
              <w:keepLines/>
              <w:jc w:val="center"/>
              <w:rPr>
                <w:b/>
              </w:rPr>
            </w:pPr>
            <w:r w:rsidRPr="00132EAD">
              <w:rPr>
                <w:b/>
              </w:rPr>
              <w:t>PBO^</w:t>
            </w:r>
          </w:p>
          <w:p w:rsidR="00B22C17" w:rsidRPr="00132EAD" w:rsidRDefault="00B22C17" w:rsidP="000F3495">
            <w:pPr>
              <w:pStyle w:val="Tabletext"/>
              <w:keepNext/>
              <w:keepLines/>
              <w:jc w:val="center"/>
              <w:rPr>
                <w:b/>
              </w:rPr>
            </w:pPr>
            <w:proofErr w:type="gramStart"/>
            <w:r w:rsidRPr="00132EAD">
              <w:rPr>
                <w:b/>
              </w:rPr>
              <w:t>n</w:t>
            </w:r>
            <w:proofErr w:type="gramEnd"/>
            <w:r w:rsidRPr="00132EAD">
              <w:rPr>
                <w:b/>
              </w:rPr>
              <w:t xml:space="preserve"> (%)</w:t>
            </w:r>
          </w:p>
          <w:p w:rsidR="00B22C17" w:rsidRPr="00132EAD" w:rsidRDefault="00B22C17" w:rsidP="000F3495">
            <w:pPr>
              <w:pStyle w:val="Tabletext"/>
              <w:keepNext/>
              <w:keepLines/>
              <w:jc w:val="center"/>
              <w:rPr>
                <w:b/>
              </w:rPr>
            </w:pPr>
            <w:r w:rsidRPr="00132EAD">
              <w:rPr>
                <w:b/>
                <w:bCs/>
              </w:rPr>
              <w:t>N=107</w:t>
            </w:r>
          </w:p>
        </w:tc>
        <w:tc>
          <w:tcPr>
            <w:tcW w:w="546" w:type="pct"/>
            <w:vAlign w:val="center"/>
          </w:tcPr>
          <w:p w:rsidR="00B22C17" w:rsidRPr="00132EAD" w:rsidRDefault="00B22C17" w:rsidP="000F3495">
            <w:pPr>
              <w:pStyle w:val="Tabletext"/>
              <w:keepNext/>
              <w:keepLines/>
              <w:jc w:val="center"/>
              <w:rPr>
                <w:b/>
              </w:rPr>
            </w:pPr>
            <w:r w:rsidRPr="00132EAD">
              <w:rPr>
                <w:b/>
              </w:rPr>
              <w:t>GLM</w:t>
            </w:r>
          </w:p>
          <w:p w:rsidR="00B22C17" w:rsidRPr="00132EAD" w:rsidRDefault="00B22C17" w:rsidP="000F3495">
            <w:pPr>
              <w:pStyle w:val="Tabletext"/>
              <w:keepNext/>
              <w:keepLines/>
              <w:jc w:val="center"/>
              <w:rPr>
                <w:b/>
              </w:rPr>
            </w:pPr>
            <w:proofErr w:type="gramStart"/>
            <w:r w:rsidRPr="00132EAD">
              <w:rPr>
                <w:b/>
              </w:rPr>
              <w:t>n</w:t>
            </w:r>
            <w:proofErr w:type="gramEnd"/>
            <w:r w:rsidRPr="00132EAD">
              <w:rPr>
                <w:b/>
              </w:rPr>
              <w:t xml:space="preserve"> (%)</w:t>
            </w:r>
          </w:p>
          <w:p w:rsidR="00B22C17" w:rsidRPr="00132EAD" w:rsidRDefault="00B22C17" w:rsidP="000F3495">
            <w:pPr>
              <w:pStyle w:val="Tabletext"/>
              <w:keepNext/>
              <w:keepLines/>
              <w:jc w:val="center"/>
              <w:rPr>
                <w:b/>
              </w:rPr>
            </w:pPr>
            <w:r w:rsidRPr="00132EAD">
              <w:rPr>
                <w:b/>
                <w:bCs/>
              </w:rPr>
              <w:t>N=97</w:t>
            </w:r>
          </w:p>
        </w:tc>
        <w:tc>
          <w:tcPr>
            <w:tcW w:w="545" w:type="pct"/>
            <w:vAlign w:val="center"/>
          </w:tcPr>
          <w:p w:rsidR="00B22C17" w:rsidRPr="00132EAD" w:rsidRDefault="00B22C17" w:rsidP="000F3495">
            <w:pPr>
              <w:pStyle w:val="Tabletext"/>
              <w:keepNext/>
              <w:keepLines/>
              <w:jc w:val="center"/>
              <w:rPr>
                <w:b/>
              </w:rPr>
            </w:pPr>
            <w:r w:rsidRPr="00132EAD">
              <w:rPr>
                <w:b/>
              </w:rPr>
              <w:t>PBO</w:t>
            </w:r>
          </w:p>
          <w:p w:rsidR="00B22C17" w:rsidRPr="00132EAD" w:rsidRDefault="00B22C17" w:rsidP="000F3495">
            <w:pPr>
              <w:pStyle w:val="Tabletext"/>
              <w:keepNext/>
              <w:keepLines/>
              <w:jc w:val="center"/>
              <w:rPr>
                <w:b/>
              </w:rPr>
            </w:pPr>
            <w:proofErr w:type="gramStart"/>
            <w:r w:rsidRPr="00132EAD">
              <w:rPr>
                <w:b/>
              </w:rPr>
              <w:t>n</w:t>
            </w:r>
            <w:proofErr w:type="gramEnd"/>
            <w:r w:rsidRPr="00132EAD">
              <w:rPr>
                <w:b/>
              </w:rPr>
              <w:t xml:space="preserve"> (%)</w:t>
            </w:r>
          </w:p>
          <w:p w:rsidR="00B22C17" w:rsidRPr="00132EAD" w:rsidRDefault="00B22C17" w:rsidP="000F3495">
            <w:pPr>
              <w:pStyle w:val="Tabletext"/>
              <w:keepNext/>
              <w:keepLines/>
              <w:jc w:val="center"/>
              <w:rPr>
                <w:b/>
              </w:rPr>
            </w:pPr>
            <w:r w:rsidRPr="00132EAD">
              <w:rPr>
                <w:b/>
                <w:bCs/>
              </w:rPr>
              <w:t>N=100</w:t>
            </w:r>
          </w:p>
        </w:tc>
      </w:tr>
      <w:tr w:rsidR="00B22C17" w:rsidRPr="00132EAD" w:rsidTr="00625B2B">
        <w:tc>
          <w:tcPr>
            <w:tcW w:w="5000" w:type="pct"/>
            <w:gridSpan w:val="7"/>
            <w:vAlign w:val="center"/>
          </w:tcPr>
          <w:p w:rsidR="00B22C17" w:rsidRPr="00132EAD" w:rsidRDefault="00B22C17" w:rsidP="000F3495">
            <w:pPr>
              <w:pStyle w:val="Tabletext"/>
              <w:keepNext/>
              <w:keepLines/>
            </w:pPr>
            <w:r w:rsidRPr="00132EAD">
              <w:rPr>
                <w:b/>
                <w:bCs/>
                <w:szCs w:val="20"/>
              </w:rPr>
              <w:t>Summary of treatment emergent adverse events (TEAEs)</w:t>
            </w:r>
          </w:p>
        </w:tc>
      </w:tr>
      <w:tr w:rsidR="00B22C17" w:rsidRPr="00132EAD" w:rsidTr="00625B2B">
        <w:tc>
          <w:tcPr>
            <w:tcW w:w="1726" w:type="pct"/>
            <w:vAlign w:val="center"/>
          </w:tcPr>
          <w:p w:rsidR="00B22C17" w:rsidRPr="00132EAD" w:rsidRDefault="00B22C17" w:rsidP="000F3495">
            <w:pPr>
              <w:pStyle w:val="Tabletext"/>
              <w:keepNext/>
              <w:keepLines/>
            </w:pPr>
            <w:r w:rsidRPr="00132EAD">
              <w:t>Any TEAEs</w:t>
            </w:r>
          </w:p>
        </w:tc>
        <w:tc>
          <w:tcPr>
            <w:tcW w:w="545" w:type="pct"/>
            <w:vAlign w:val="center"/>
          </w:tcPr>
          <w:p w:rsidR="00B22C17" w:rsidRPr="00132EAD" w:rsidRDefault="00B22C17" w:rsidP="000F3495">
            <w:pPr>
              <w:pStyle w:val="Tabletext"/>
              <w:keepNext/>
              <w:keepLines/>
              <w:jc w:val="center"/>
            </w:pPr>
            <w:r w:rsidRPr="00132EAD">
              <w:t>120 (75.5)*</w:t>
            </w:r>
          </w:p>
        </w:tc>
        <w:tc>
          <w:tcPr>
            <w:tcW w:w="546" w:type="pct"/>
            <w:vAlign w:val="center"/>
          </w:tcPr>
          <w:p w:rsidR="00B22C17" w:rsidRPr="00132EAD" w:rsidRDefault="00B22C17" w:rsidP="000F3495">
            <w:pPr>
              <w:pStyle w:val="Tabletext"/>
              <w:keepNext/>
              <w:keepLines/>
              <w:jc w:val="center"/>
            </w:pPr>
            <w:r w:rsidRPr="00132EAD">
              <w:t>101 (63.9)*</w:t>
            </w:r>
          </w:p>
        </w:tc>
        <w:tc>
          <w:tcPr>
            <w:tcW w:w="546" w:type="pct"/>
            <w:vAlign w:val="center"/>
          </w:tcPr>
          <w:p w:rsidR="00B22C17" w:rsidRPr="00132EAD" w:rsidRDefault="00B22C17" w:rsidP="000F3495">
            <w:pPr>
              <w:pStyle w:val="Tabletext"/>
              <w:keepNext/>
              <w:keepLines/>
              <w:jc w:val="center"/>
            </w:pPr>
            <w:r w:rsidRPr="00132EAD">
              <w:t>85 (76.6)*</w:t>
            </w:r>
          </w:p>
        </w:tc>
        <w:tc>
          <w:tcPr>
            <w:tcW w:w="546" w:type="pct"/>
            <w:vAlign w:val="center"/>
          </w:tcPr>
          <w:p w:rsidR="00B22C17" w:rsidRPr="00132EAD" w:rsidRDefault="00B22C17" w:rsidP="000F3495">
            <w:pPr>
              <w:pStyle w:val="Tabletext"/>
              <w:keepNext/>
              <w:keepLines/>
              <w:jc w:val="center"/>
            </w:pPr>
            <w:r w:rsidRPr="00132EAD">
              <w:t>67 (62.6)*</w:t>
            </w:r>
          </w:p>
        </w:tc>
        <w:tc>
          <w:tcPr>
            <w:tcW w:w="546" w:type="pct"/>
            <w:vAlign w:val="center"/>
          </w:tcPr>
          <w:p w:rsidR="00B22C17" w:rsidRPr="00132EAD" w:rsidRDefault="00B22C17" w:rsidP="000F3495">
            <w:pPr>
              <w:pStyle w:val="Tabletext"/>
              <w:keepNext/>
              <w:keepLines/>
              <w:jc w:val="center"/>
            </w:pPr>
            <w:r w:rsidRPr="00132EAD">
              <w:t>40 (41.2)</w:t>
            </w:r>
          </w:p>
        </w:tc>
        <w:tc>
          <w:tcPr>
            <w:tcW w:w="545" w:type="pct"/>
            <w:vAlign w:val="center"/>
          </w:tcPr>
          <w:p w:rsidR="00B22C17" w:rsidRPr="00132EAD" w:rsidRDefault="00B22C17" w:rsidP="000F3495">
            <w:pPr>
              <w:pStyle w:val="Tabletext"/>
              <w:keepNext/>
              <w:keepLines/>
              <w:jc w:val="center"/>
            </w:pPr>
            <w:r w:rsidRPr="00132EAD">
              <w:t>47 (47.0)</w:t>
            </w:r>
          </w:p>
        </w:tc>
      </w:tr>
      <w:tr w:rsidR="00B22C17" w:rsidRPr="00132EAD" w:rsidTr="00625B2B">
        <w:tc>
          <w:tcPr>
            <w:tcW w:w="1726" w:type="pct"/>
            <w:vAlign w:val="center"/>
          </w:tcPr>
          <w:p w:rsidR="00B22C17" w:rsidRPr="00132EAD" w:rsidRDefault="00B22C17" w:rsidP="000F3495">
            <w:pPr>
              <w:pStyle w:val="Tabletext"/>
              <w:keepNext/>
              <w:keepLines/>
            </w:pPr>
            <w:r w:rsidRPr="00132EAD">
              <w:t>Serious TEAEs</w:t>
            </w:r>
          </w:p>
        </w:tc>
        <w:tc>
          <w:tcPr>
            <w:tcW w:w="545" w:type="pct"/>
            <w:vAlign w:val="center"/>
          </w:tcPr>
          <w:p w:rsidR="00B22C17" w:rsidRPr="00132EAD" w:rsidRDefault="00B22C17" w:rsidP="000F3495">
            <w:pPr>
              <w:pStyle w:val="Tabletext"/>
              <w:keepNext/>
              <w:keepLines/>
              <w:jc w:val="center"/>
            </w:pPr>
            <w:r w:rsidRPr="00132EAD">
              <w:t>8 (5.0)</w:t>
            </w:r>
          </w:p>
        </w:tc>
        <w:tc>
          <w:tcPr>
            <w:tcW w:w="546" w:type="pct"/>
            <w:vAlign w:val="center"/>
          </w:tcPr>
          <w:p w:rsidR="00B22C17" w:rsidRPr="00132EAD" w:rsidRDefault="00B22C17" w:rsidP="000F3495">
            <w:pPr>
              <w:pStyle w:val="Tabletext"/>
              <w:keepNext/>
              <w:keepLines/>
              <w:jc w:val="center"/>
            </w:pPr>
            <w:r w:rsidRPr="00132EAD">
              <w:t>3 (1.9)</w:t>
            </w:r>
          </w:p>
        </w:tc>
        <w:tc>
          <w:tcPr>
            <w:tcW w:w="546" w:type="pct"/>
            <w:vAlign w:val="center"/>
          </w:tcPr>
          <w:p w:rsidR="00B22C17" w:rsidRPr="00132EAD" w:rsidRDefault="00B22C17" w:rsidP="000F3495">
            <w:pPr>
              <w:pStyle w:val="Tabletext"/>
              <w:keepNext/>
              <w:keepLines/>
              <w:jc w:val="center"/>
            </w:pPr>
            <w:r w:rsidRPr="00132EAD">
              <w:t>4 (3.6)</w:t>
            </w:r>
          </w:p>
        </w:tc>
        <w:tc>
          <w:tcPr>
            <w:tcW w:w="546" w:type="pct"/>
            <w:vAlign w:val="center"/>
          </w:tcPr>
          <w:p w:rsidR="00B22C17" w:rsidRPr="00132EAD" w:rsidRDefault="00B22C17" w:rsidP="000F3495">
            <w:pPr>
              <w:pStyle w:val="Tabletext"/>
              <w:keepNext/>
              <w:keepLines/>
              <w:jc w:val="center"/>
            </w:pPr>
            <w:r w:rsidRPr="00132EAD">
              <w:t>5 (4.7)</w:t>
            </w:r>
          </w:p>
        </w:tc>
        <w:tc>
          <w:tcPr>
            <w:tcW w:w="546" w:type="pct"/>
            <w:vAlign w:val="center"/>
          </w:tcPr>
          <w:p w:rsidR="00B22C17" w:rsidRPr="00132EAD" w:rsidRDefault="00B22C17" w:rsidP="000F3495">
            <w:pPr>
              <w:pStyle w:val="Tabletext"/>
              <w:keepNext/>
              <w:keepLines/>
              <w:jc w:val="center"/>
            </w:pPr>
            <w:r w:rsidRPr="00132EAD">
              <w:t>1 (1.0)</w:t>
            </w:r>
          </w:p>
        </w:tc>
        <w:tc>
          <w:tcPr>
            <w:tcW w:w="545" w:type="pct"/>
            <w:vAlign w:val="center"/>
          </w:tcPr>
          <w:p w:rsidR="00B22C17" w:rsidRPr="00132EAD" w:rsidRDefault="00B22C17" w:rsidP="000F3495">
            <w:pPr>
              <w:pStyle w:val="Tabletext"/>
              <w:keepNext/>
              <w:keepLines/>
              <w:jc w:val="center"/>
            </w:pPr>
            <w:r w:rsidRPr="00132EAD">
              <w:t>2 (2.0)</w:t>
            </w:r>
          </w:p>
        </w:tc>
      </w:tr>
      <w:tr w:rsidR="00B22C17" w:rsidRPr="00132EAD" w:rsidTr="00625B2B">
        <w:tc>
          <w:tcPr>
            <w:tcW w:w="1726" w:type="pct"/>
            <w:vAlign w:val="center"/>
          </w:tcPr>
          <w:p w:rsidR="00B22C17" w:rsidRPr="00132EAD" w:rsidRDefault="00B22C17" w:rsidP="000F3495">
            <w:pPr>
              <w:pStyle w:val="Tabletext"/>
              <w:keepNext/>
              <w:keepLines/>
            </w:pPr>
            <w:r w:rsidRPr="00132EAD">
              <w:t>Drug-related TEAEs</w:t>
            </w:r>
          </w:p>
        </w:tc>
        <w:tc>
          <w:tcPr>
            <w:tcW w:w="545" w:type="pct"/>
            <w:vAlign w:val="center"/>
          </w:tcPr>
          <w:p w:rsidR="00B22C17" w:rsidRPr="00132EAD" w:rsidRDefault="00B22C17" w:rsidP="000F3495">
            <w:pPr>
              <w:pStyle w:val="Tabletext"/>
              <w:keepNext/>
              <w:keepLines/>
              <w:jc w:val="center"/>
            </w:pPr>
            <w:r w:rsidRPr="00132EAD">
              <w:t>48 (30.2)*</w:t>
            </w:r>
          </w:p>
        </w:tc>
        <w:tc>
          <w:tcPr>
            <w:tcW w:w="546" w:type="pct"/>
            <w:vAlign w:val="center"/>
          </w:tcPr>
          <w:p w:rsidR="00B22C17" w:rsidRPr="00132EAD" w:rsidRDefault="00B22C17" w:rsidP="000F3495">
            <w:pPr>
              <w:pStyle w:val="Tabletext"/>
              <w:keepNext/>
              <w:keepLines/>
              <w:jc w:val="center"/>
            </w:pPr>
            <w:r w:rsidRPr="00132EAD">
              <w:t>23 (14.6)*</w:t>
            </w:r>
          </w:p>
        </w:tc>
        <w:tc>
          <w:tcPr>
            <w:tcW w:w="546" w:type="pct"/>
            <w:vAlign w:val="center"/>
          </w:tcPr>
          <w:p w:rsidR="00B22C17" w:rsidRPr="00132EAD" w:rsidRDefault="00B22C17" w:rsidP="000F3495">
            <w:pPr>
              <w:pStyle w:val="Tabletext"/>
              <w:keepNext/>
              <w:keepLines/>
              <w:jc w:val="center"/>
            </w:pPr>
            <w:r w:rsidRPr="00132EAD">
              <w:t>41 (36.9)*</w:t>
            </w:r>
          </w:p>
        </w:tc>
        <w:tc>
          <w:tcPr>
            <w:tcW w:w="546" w:type="pct"/>
            <w:vAlign w:val="center"/>
          </w:tcPr>
          <w:p w:rsidR="00B22C17" w:rsidRPr="00132EAD" w:rsidRDefault="00B22C17" w:rsidP="000F3495">
            <w:pPr>
              <w:pStyle w:val="Tabletext"/>
              <w:keepNext/>
              <w:keepLines/>
              <w:jc w:val="center"/>
            </w:pPr>
            <w:r w:rsidRPr="00132EAD">
              <w:t>22 (20.6)*</w:t>
            </w:r>
          </w:p>
        </w:tc>
        <w:tc>
          <w:tcPr>
            <w:tcW w:w="546" w:type="pct"/>
            <w:vAlign w:val="center"/>
          </w:tcPr>
          <w:p w:rsidR="00B22C17" w:rsidRPr="00132EAD" w:rsidRDefault="00B22C17" w:rsidP="000F3495">
            <w:pPr>
              <w:pStyle w:val="Tabletext"/>
              <w:keepNext/>
              <w:keepLines/>
              <w:jc w:val="center"/>
            </w:pPr>
            <w:r w:rsidRPr="00132EAD">
              <w:t>13 (13.4)</w:t>
            </w:r>
          </w:p>
        </w:tc>
        <w:tc>
          <w:tcPr>
            <w:tcW w:w="545" w:type="pct"/>
            <w:vAlign w:val="center"/>
          </w:tcPr>
          <w:p w:rsidR="00B22C17" w:rsidRPr="00132EAD" w:rsidRDefault="00B22C17" w:rsidP="000F3495">
            <w:pPr>
              <w:pStyle w:val="Tabletext"/>
              <w:keepNext/>
              <w:keepLines/>
              <w:jc w:val="center"/>
            </w:pPr>
            <w:r w:rsidRPr="00132EAD">
              <w:t>17 (17.0)</w:t>
            </w:r>
          </w:p>
        </w:tc>
      </w:tr>
      <w:tr w:rsidR="00B22C17" w:rsidRPr="00132EAD" w:rsidTr="00625B2B">
        <w:tc>
          <w:tcPr>
            <w:tcW w:w="1726" w:type="pct"/>
            <w:vAlign w:val="center"/>
          </w:tcPr>
          <w:p w:rsidR="00B22C17" w:rsidRPr="00132EAD" w:rsidRDefault="00B22C17" w:rsidP="000F3495">
            <w:pPr>
              <w:pStyle w:val="Tabletext"/>
              <w:keepNext/>
              <w:keepLines/>
            </w:pPr>
            <w:r w:rsidRPr="00132EAD">
              <w:t>Withdrawal of treatment due to TEAEs</w:t>
            </w:r>
          </w:p>
        </w:tc>
        <w:tc>
          <w:tcPr>
            <w:tcW w:w="545" w:type="pct"/>
            <w:vAlign w:val="center"/>
          </w:tcPr>
          <w:p w:rsidR="00B22C17" w:rsidRPr="00132EAD" w:rsidRDefault="00B22C17" w:rsidP="000F3495">
            <w:pPr>
              <w:pStyle w:val="Tabletext"/>
              <w:keepNext/>
              <w:keepLines/>
              <w:jc w:val="center"/>
            </w:pPr>
            <w:r w:rsidRPr="00132EAD">
              <w:t>3 (1.9)</w:t>
            </w:r>
          </w:p>
        </w:tc>
        <w:tc>
          <w:tcPr>
            <w:tcW w:w="546" w:type="pct"/>
            <w:vAlign w:val="center"/>
          </w:tcPr>
          <w:p w:rsidR="00B22C17" w:rsidRPr="00132EAD" w:rsidRDefault="00B22C17" w:rsidP="000F3495">
            <w:pPr>
              <w:pStyle w:val="Tabletext"/>
              <w:keepNext/>
              <w:keepLines/>
              <w:jc w:val="center"/>
            </w:pPr>
            <w:r w:rsidRPr="00132EAD">
              <w:t>3 (1.9)</w:t>
            </w:r>
          </w:p>
        </w:tc>
        <w:tc>
          <w:tcPr>
            <w:tcW w:w="546" w:type="pct"/>
            <w:vAlign w:val="center"/>
          </w:tcPr>
          <w:p w:rsidR="00B22C17" w:rsidRPr="00132EAD" w:rsidRDefault="00B22C17" w:rsidP="000F3495">
            <w:pPr>
              <w:pStyle w:val="Tabletext"/>
              <w:keepNext/>
              <w:keepLines/>
              <w:jc w:val="center"/>
            </w:pPr>
            <w:r w:rsidRPr="00132EAD">
              <w:t>2 (1.8)</w:t>
            </w:r>
          </w:p>
        </w:tc>
        <w:tc>
          <w:tcPr>
            <w:tcW w:w="546" w:type="pct"/>
            <w:vAlign w:val="center"/>
          </w:tcPr>
          <w:p w:rsidR="00B22C17" w:rsidRPr="00132EAD" w:rsidRDefault="00B22C17" w:rsidP="000F3495">
            <w:pPr>
              <w:pStyle w:val="Tabletext"/>
              <w:keepNext/>
              <w:keepLines/>
              <w:jc w:val="center"/>
            </w:pPr>
            <w:r w:rsidRPr="00132EAD">
              <w:t>2 (1.9)</w:t>
            </w:r>
          </w:p>
        </w:tc>
        <w:tc>
          <w:tcPr>
            <w:tcW w:w="546" w:type="pct"/>
            <w:vAlign w:val="center"/>
          </w:tcPr>
          <w:p w:rsidR="00B22C17" w:rsidRPr="00132EAD" w:rsidRDefault="00B22C17" w:rsidP="000F3495">
            <w:pPr>
              <w:pStyle w:val="Tabletext"/>
              <w:keepNext/>
              <w:keepLines/>
              <w:jc w:val="center"/>
            </w:pPr>
            <w:r w:rsidRPr="00132EAD">
              <w:t>2 (2.1)</w:t>
            </w:r>
          </w:p>
        </w:tc>
        <w:tc>
          <w:tcPr>
            <w:tcW w:w="545" w:type="pct"/>
            <w:vAlign w:val="center"/>
          </w:tcPr>
          <w:p w:rsidR="00B22C17" w:rsidRPr="00132EAD" w:rsidRDefault="00B22C17" w:rsidP="000F3495">
            <w:pPr>
              <w:pStyle w:val="Tabletext"/>
              <w:keepNext/>
              <w:keepLines/>
              <w:jc w:val="center"/>
            </w:pPr>
            <w:r w:rsidRPr="00132EAD">
              <w:t>1 (1.0)</w:t>
            </w:r>
          </w:p>
        </w:tc>
      </w:tr>
      <w:tr w:rsidR="00B22C17" w:rsidRPr="00132EAD" w:rsidTr="00625B2B">
        <w:tc>
          <w:tcPr>
            <w:tcW w:w="5000" w:type="pct"/>
            <w:gridSpan w:val="7"/>
            <w:vAlign w:val="center"/>
          </w:tcPr>
          <w:p w:rsidR="00B22C17" w:rsidRPr="00132EAD" w:rsidRDefault="00B22C17" w:rsidP="000F3495">
            <w:pPr>
              <w:pStyle w:val="Tabletext"/>
              <w:keepNext/>
              <w:keepLines/>
              <w:rPr>
                <w:b/>
                <w:bCs/>
              </w:rPr>
            </w:pPr>
            <w:r w:rsidRPr="00132EAD">
              <w:rPr>
                <w:b/>
                <w:bCs/>
              </w:rPr>
              <w:t>Common TEAEs</w:t>
            </w:r>
          </w:p>
        </w:tc>
      </w:tr>
      <w:tr w:rsidR="00B22C17" w:rsidRPr="00132EAD" w:rsidTr="00625B2B">
        <w:tc>
          <w:tcPr>
            <w:tcW w:w="1726" w:type="pct"/>
            <w:vAlign w:val="center"/>
          </w:tcPr>
          <w:p w:rsidR="00B22C17" w:rsidRPr="00132EAD" w:rsidRDefault="00B22C17" w:rsidP="000F3495">
            <w:pPr>
              <w:pStyle w:val="Tabletext"/>
              <w:keepNext/>
              <w:keepLines/>
            </w:pPr>
            <w:r w:rsidRPr="00132EAD">
              <w:t>Gastrointestinal disorders</w:t>
            </w:r>
          </w:p>
        </w:tc>
        <w:tc>
          <w:tcPr>
            <w:tcW w:w="545" w:type="pct"/>
            <w:vAlign w:val="center"/>
          </w:tcPr>
          <w:p w:rsidR="00B22C17" w:rsidRPr="00132EAD" w:rsidRDefault="00B22C17" w:rsidP="000F3495">
            <w:pPr>
              <w:pStyle w:val="Tabletext"/>
              <w:keepNext/>
              <w:keepLines/>
              <w:jc w:val="center"/>
            </w:pPr>
            <w:r w:rsidRPr="00132EAD">
              <w:t>32 (20.1)*</w:t>
            </w:r>
          </w:p>
        </w:tc>
        <w:tc>
          <w:tcPr>
            <w:tcW w:w="546" w:type="pct"/>
            <w:vAlign w:val="center"/>
          </w:tcPr>
          <w:p w:rsidR="00B22C17" w:rsidRPr="00132EAD" w:rsidRDefault="00B22C17" w:rsidP="000F3495">
            <w:pPr>
              <w:pStyle w:val="Tabletext"/>
              <w:keepNext/>
              <w:keepLines/>
              <w:jc w:val="center"/>
            </w:pPr>
            <w:r w:rsidRPr="00132EAD">
              <w:t>17 (10.8)*</w:t>
            </w:r>
          </w:p>
        </w:tc>
        <w:tc>
          <w:tcPr>
            <w:tcW w:w="546" w:type="pct"/>
            <w:vAlign w:val="center"/>
          </w:tcPr>
          <w:p w:rsidR="00B22C17" w:rsidRPr="00132EAD" w:rsidRDefault="00B22C17" w:rsidP="000F3495">
            <w:pPr>
              <w:pStyle w:val="Tabletext"/>
              <w:keepNext/>
              <w:keepLines/>
              <w:jc w:val="center"/>
              <w:rPr>
                <w:iCs/>
              </w:rPr>
            </w:pPr>
            <w:r w:rsidRPr="00132EAD">
              <w:rPr>
                <w:iCs/>
              </w:rPr>
              <w:t>15 (13.5)</w:t>
            </w:r>
          </w:p>
        </w:tc>
        <w:tc>
          <w:tcPr>
            <w:tcW w:w="546" w:type="pct"/>
            <w:vAlign w:val="center"/>
          </w:tcPr>
          <w:p w:rsidR="00B22C17" w:rsidRPr="00132EAD" w:rsidRDefault="00B22C17" w:rsidP="000F3495">
            <w:pPr>
              <w:pStyle w:val="Tabletext"/>
              <w:keepNext/>
              <w:keepLines/>
              <w:jc w:val="center"/>
              <w:rPr>
                <w:iCs/>
              </w:rPr>
            </w:pPr>
            <w:r w:rsidRPr="00132EAD">
              <w:rPr>
                <w:iCs/>
              </w:rPr>
              <w:t>15 (14.0)</w:t>
            </w:r>
          </w:p>
        </w:tc>
        <w:tc>
          <w:tcPr>
            <w:tcW w:w="546" w:type="pct"/>
            <w:vAlign w:val="center"/>
          </w:tcPr>
          <w:p w:rsidR="00B22C17" w:rsidRPr="00132EAD" w:rsidRDefault="00B22C17" w:rsidP="000F3495">
            <w:pPr>
              <w:pStyle w:val="Tabletext"/>
              <w:keepNext/>
              <w:keepLines/>
              <w:jc w:val="center"/>
            </w:pPr>
            <w:r w:rsidRPr="00132EAD">
              <w:t>-</w:t>
            </w:r>
          </w:p>
        </w:tc>
        <w:tc>
          <w:tcPr>
            <w:tcW w:w="545" w:type="pct"/>
            <w:vAlign w:val="center"/>
          </w:tcPr>
          <w:p w:rsidR="00B22C17" w:rsidRPr="00132EAD" w:rsidRDefault="00B22C17" w:rsidP="000F3495">
            <w:pPr>
              <w:pStyle w:val="Tabletext"/>
              <w:keepNext/>
              <w:keepLines/>
              <w:jc w:val="center"/>
            </w:pPr>
            <w:r w:rsidRPr="00132EAD">
              <w:t>-</w:t>
            </w:r>
          </w:p>
        </w:tc>
      </w:tr>
      <w:tr w:rsidR="00B22C17" w:rsidRPr="00132EAD" w:rsidTr="00625B2B">
        <w:tc>
          <w:tcPr>
            <w:tcW w:w="1726" w:type="pct"/>
            <w:vAlign w:val="center"/>
          </w:tcPr>
          <w:p w:rsidR="00B22C17" w:rsidRPr="00132EAD" w:rsidRDefault="00B22C17" w:rsidP="000F3495">
            <w:pPr>
              <w:pStyle w:val="Tabletext"/>
              <w:keepNext/>
              <w:keepLines/>
            </w:pPr>
            <w:r w:rsidRPr="00132EAD">
              <w:t>General disorders &amp; administration site</w:t>
            </w:r>
          </w:p>
        </w:tc>
        <w:tc>
          <w:tcPr>
            <w:tcW w:w="545" w:type="pct"/>
            <w:vAlign w:val="center"/>
          </w:tcPr>
          <w:p w:rsidR="00B22C17" w:rsidRPr="00132EAD" w:rsidRDefault="00B22C17" w:rsidP="000F3495">
            <w:pPr>
              <w:pStyle w:val="Tabletext"/>
              <w:keepNext/>
              <w:keepLines/>
              <w:jc w:val="center"/>
            </w:pPr>
            <w:r w:rsidRPr="00132EAD">
              <w:t>16 (10.1)*</w:t>
            </w:r>
          </w:p>
        </w:tc>
        <w:tc>
          <w:tcPr>
            <w:tcW w:w="546" w:type="pct"/>
            <w:vAlign w:val="center"/>
          </w:tcPr>
          <w:p w:rsidR="00B22C17" w:rsidRPr="00132EAD" w:rsidRDefault="00B22C17" w:rsidP="000F3495">
            <w:pPr>
              <w:pStyle w:val="Tabletext"/>
              <w:keepNext/>
              <w:keepLines/>
              <w:jc w:val="center"/>
            </w:pPr>
            <w:r w:rsidRPr="00132EAD">
              <w:t>9 (5.7)*</w:t>
            </w:r>
          </w:p>
        </w:tc>
        <w:tc>
          <w:tcPr>
            <w:tcW w:w="546" w:type="pct"/>
            <w:vAlign w:val="center"/>
          </w:tcPr>
          <w:p w:rsidR="00B22C17" w:rsidRPr="00132EAD" w:rsidRDefault="00B22C17" w:rsidP="000F3495">
            <w:pPr>
              <w:pStyle w:val="Tabletext"/>
              <w:keepNext/>
              <w:keepLines/>
              <w:jc w:val="center"/>
              <w:rPr>
                <w:iCs/>
              </w:rPr>
            </w:pPr>
            <w:r w:rsidRPr="00132EAD">
              <w:rPr>
                <w:iCs/>
              </w:rPr>
              <w:t>17 (15.3)</w:t>
            </w:r>
          </w:p>
        </w:tc>
        <w:tc>
          <w:tcPr>
            <w:tcW w:w="546" w:type="pct"/>
            <w:vAlign w:val="center"/>
          </w:tcPr>
          <w:p w:rsidR="00B22C17" w:rsidRPr="00132EAD" w:rsidRDefault="00B22C17" w:rsidP="000F3495">
            <w:pPr>
              <w:pStyle w:val="Tabletext"/>
              <w:keepNext/>
              <w:keepLines/>
              <w:jc w:val="center"/>
              <w:rPr>
                <w:iCs/>
              </w:rPr>
            </w:pPr>
            <w:r w:rsidRPr="00132EAD">
              <w:rPr>
                <w:iCs/>
              </w:rPr>
              <w:t>8 (7.5)</w:t>
            </w:r>
          </w:p>
        </w:tc>
        <w:tc>
          <w:tcPr>
            <w:tcW w:w="546" w:type="pct"/>
            <w:vAlign w:val="center"/>
          </w:tcPr>
          <w:p w:rsidR="00B22C17" w:rsidRPr="00132EAD" w:rsidRDefault="00B22C17" w:rsidP="000F3495">
            <w:pPr>
              <w:pStyle w:val="Tabletext"/>
              <w:keepNext/>
              <w:keepLines/>
              <w:jc w:val="center"/>
            </w:pPr>
            <w:r w:rsidRPr="00132EAD">
              <w:t>-</w:t>
            </w:r>
          </w:p>
        </w:tc>
        <w:tc>
          <w:tcPr>
            <w:tcW w:w="545" w:type="pct"/>
            <w:vAlign w:val="center"/>
          </w:tcPr>
          <w:p w:rsidR="00B22C17" w:rsidRPr="00132EAD" w:rsidRDefault="00B22C17" w:rsidP="000F3495">
            <w:pPr>
              <w:pStyle w:val="Tabletext"/>
              <w:keepNext/>
              <w:keepLines/>
              <w:jc w:val="center"/>
            </w:pPr>
            <w:r w:rsidRPr="00132EAD">
              <w:t>-</w:t>
            </w:r>
          </w:p>
        </w:tc>
      </w:tr>
      <w:tr w:rsidR="00B22C17" w:rsidRPr="00132EAD" w:rsidTr="00625B2B">
        <w:tc>
          <w:tcPr>
            <w:tcW w:w="1726" w:type="pct"/>
            <w:vAlign w:val="center"/>
          </w:tcPr>
          <w:p w:rsidR="00B22C17" w:rsidRPr="00132EAD" w:rsidRDefault="00B22C17" w:rsidP="000F3495">
            <w:pPr>
              <w:pStyle w:val="Tabletext"/>
              <w:keepNext/>
              <w:keepLines/>
            </w:pPr>
            <w:r w:rsidRPr="00132EAD">
              <w:t>Infections &amp; infestations</w:t>
            </w:r>
          </w:p>
        </w:tc>
        <w:tc>
          <w:tcPr>
            <w:tcW w:w="545" w:type="pct"/>
            <w:vAlign w:val="center"/>
          </w:tcPr>
          <w:p w:rsidR="00B22C17" w:rsidRPr="00132EAD" w:rsidRDefault="00B22C17" w:rsidP="000F3495">
            <w:pPr>
              <w:pStyle w:val="Tabletext"/>
              <w:keepNext/>
              <w:keepLines/>
              <w:jc w:val="center"/>
            </w:pPr>
            <w:r w:rsidRPr="00132EAD">
              <w:t>85 (53.5)*</w:t>
            </w:r>
          </w:p>
        </w:tc>
        <w:tc>
          <w:tcPr>
            <w:tcW w:w="546" w:type="pct"/>
            <w:vAlign w:val="center"/>
          </w:tcPr>
          <w:p w:rsidR="00B22C17" w:rsidRPr="00132EAD" w:rsidRDefault="00B22C17" w:rsidP="000F3495">
            <w:pPr>
              <w:pStyle w:val="Tabletext"/>
              <w:keepNext/>
              <w:keepLines/>
              <w:jc w:val="center"/>
            </w:pPr>
            <w:r w:rsidRPr="00132EAD">
              <w:t>53 (33.5)*</w:t>
            </w:r>
          </w:p>
        </w:tc>
        <w:tc>
          <w:tcPr>
            <w:tcW w:w="546" w:type="pct"/>
            <w:vAlign w:val="center"/>
          </w:tcPr>
          <w:p w:rsidR="00B22C17" w:rsidRPr="00132EAD" w:rsidRDefault="00B22C17" w:rsidP="000F3495">
            <w:pPr>
              <w:pStyle w:val="Tabletext"/>
              <w:keepNext/>
              <w:keepLines/>
              <w:jc w:val="center"/>
              <w:rPr>
                <w:iCs/>
              </w:rPr>
            </w:pPr>
            <w:r w:rsidRPr="00132EAD">
              <w:rPr>
                <w:iCs/>
              </w:rPr>
              <w:t>43 (38.7)*</w:t>
            </w:r>
          </w:p>
        </w:tc>
        <w:tc>
          <w:tcPr>
            <w:tcW w:w="546" w:type="pct"/>
            <w:vAlign w:val="center"/>
          </w:tcPr>
          <w:p w:rsidR="00B22C17" w:rsidRPr="00132EAD" w:rsidRDefault="00B22C17" w:rsidP="000F3495">
            <w:pPr>
              <w:pStyle w:val="Tabletext"/>
              <w:keepNext/>
              <w:keepLines/>
              <w:jc w:val="center"/>
              <w:rPr>
                <w:iCs/>
              </w:rPr>
            </w:pPr>
            <w:r w:rsidRPr="00132EAD">
              <w:rPr>
                <w:iCs/>
              </w:rPr>
              <w:t>25 (23.4 )*</w:t>
            </w:r>
          </w:p>
        </w:tc>
        <w:tc>
          <w:tcPr>
            <w:tcW w:w="546" w:type="pct"/>
            <w:vAlign w:val="center"/>
          </w:tcPr>
          <w:p w:rsidR="00B22C17" w:rsidRPr="00132EAD" w:rsidRDefault="00B22C17" w:rsidP="000F3495">
            <w:pPr>
              <w:pStyle w:val="Tabletext"/>
              <w:keepNext/>
              <w:keepLines/>
              <w:jc w:val="center"/>
            </w:pPr>
            <w:r w:rsidRPr="00132EAD">
              <w:t>0</w:t>
            </w:r>
          </w:p>
        </w:tc>
        <w:tc>
          <w:tcPr>
            <w:tcW w:w="545" w:type="pct"/>
            <w:vAlign w:val="center"/>
          </w:tcPr>
          <w:p w:rsidR="00B22C17" w:rsidRPr="00132EAD" w:rsidRDefault="00B22C17" w:rsidP="000F3495">
            <w:pPr>
              <w:pStyle w:val="Tabletext"/>
              <w:keepNext/>
              <w:keepLines/>
              <w:jc w:val="center"/>
            </w:pPr>
            <w:r w:rsidRPr="00132EAD">
              <w:t>0</w:t>
            </w:r>
          </w:p>
        </w:tc>
      </w:tr>
      <w:tr w:rsidR="00B22C17" w:rsidRPr="00132EAD" w:rsidTr="00625B2B">
        <w:tc>
          <w:tcPr>
            <w:tcW w:w="1726" w:type="pct"/>
            <w:vAlign w:val="center"/>
          </w:tcPr>
          <w:p w:rsidR="00B22C17" w:rsidRPr="00132EAD" w:rsidRDefault="00B22C17" w:rsidP="000F3495">
            <w:pPr>
              <w:pStyle w:val="Tabletext"/>
              <w:keepNext/>
              <w:keepLines/>
            </w:pPr>
            <w:r w:rsidRPr="00132EAD">
              <w:t>Nervous system disorders</w:t>
            </w:r>
          </w:p>
        </w:tc>
        <w:tc>
          <w:tcPr>
            <w:tcW w:w="545" w:type="pct"/>
            <w:vAlign w:val="center"/>
          </w:tcPr>
          <w:p w:rsidR="00B22C17" w:rsidRPr="00132EAD" w:rsidRDefault="00B22C17" w:rsidP="000F3495">
            <w:pPr>
              <w:pStyle w:val="Tabletext"/>
              <w:keepNext/>
              <w:keepLines/>
              <w:jc w:val="center"/>
            </w:pPr>
            <w:r w:rsidRPr="00132EAD">
              <w:t>20 (12.6)*</w:t>
            </w:r>
          </w:p>
        </w:tc>
        <w:tc>
          <w:tcPr>
            <w:tcW w:w="546" w:type="pct"/>
            <w:vAlign w:val="center"/>
          </w:tcPr>
          <w:p w:rsidR="00B22C17" w:rsidRPr="00132EAD" w:rsidRDefault="00B22C17" w:rsidP="000F3495">
            <w:pPr>
              <w:pStyle w:val="Tabletext"/>
              <w:keepNext/>
              <w:keepLines/>
              <w:jc w:val="center"/>
            </w:pPr>
            <w:r w:rsidRPr="00132EAD">
              <w:t>10 (6.3)*</w:t>
            </w:r>
          </w:p>
        </w:tc>
        <w:tc>
          <w:tcPr>
            <w:tcW w:w="546" w:type="pct"/>
            <w:vAlign w:val="center"/>
          </w:tcPr>
          <w:p w:rsidR="00B22C17" w:rsidRPr="00132EAD" w:rsidRDefault="00B22C17" w:rsidP="000F3495">
            <w:pPr>
              <w:pStyle w:val="Tabletext"/>
              <w:keepNext/>
              <w:keepLines/>
              <w:jc w:val="center"/>
              <w:rPr>
                <w:iCs/>
              </w:rPr>
            </w:pPr>
            <w:r w:rsidRPr="00132EAD">
              <w:rPr>
                <w:iCs/>
              </w:rPr>
              <w:t>12 (10.8)</w:t>
            </w:r>
          </w:p>
        </w:tc>
        <w:tc>
          <w:tcPr>
            <w:tcW w:w="546" w:type="pct"/>
            <w:vAlign w:val="center"/>
          </w:tcPr>
          <w:p w:rsidR="00B22C17" w:rsidRPr="00132EAD" w:rsidRDefault="00B22C17" w:rsidP="000F3495">
            <w:pPr>
              <w:pStyle w:val="Tabletext"/>
              <w:keepNext/>
              <w:keepLines/>
              <w:jc w:val="center"/>
              <w:rPr>
                <w:iCs/>
              </w:rPr>
            </w:pPr>
            <w:r w:rsidRPr="00132EAD">
              <w:rPr>
                <w:iCs/>
              </w:rPr>
              <w:t>12 (11.2)</w:t>
            </w:r>
          </w:p>
        </w:tc>
        <w:tc>
          <w:tcPr>
            <w:tcW w:w="546" w:type="pct"/>
            <w:vAlign w:val="center"/>
          </w:tcPr>
          <w:p w:rsidR="00B22C17" w:rsidRPr="00132EAD" w:rsidRDefault="00B22C17" w:rsidP="000F3495">
            <w:pPr>
              <w:pStyle w:val="Tabletext"/>
              <w:keepNext/>
              <w:keepLines/>
              <w:jc w:val="center"/>
            </w:pPr>
            <w:r w:rsidRPr="00132EAD">
              <w:t>-</w:t>
            </w:r>
          </w:p>
        </w:tc>
        <w:tc>
          <w:tcPr>
            <w:tcW w:w="545" w:type="pct"/>
            <w:vAlign w:val="center"/>
          </w:tcPr>
          <w:p w:rsidR="00B22C17" w:rsidRPr="00132EAD" w:rsidRDefault="00B22C17" w:rsidP="000F3495">
            <w:pPr>
              <w:pStyle w:val="Tabletext"/>
              <w:keepNext/>
              <w:keepLines/>
              <w:jc w:val="center"/>
            </w:pPr>
            <w:r w:rsidRPr="00132EAD">
              <w:t>-</w:t>
            </w:r>
          </w:p>
        </w:tc>
      </w:tr>
      <w:tr w:rsidR="00B22C17" w:rsidRPr="00132EAD" w:rsidTr="00625B2B">
        <w:tc>
          <w:tcPr>
            <w:tcW w:w="1726" w:type="pct"/>
            <w:vAlign w:val="center"/>
          </w:tcPr>
          <w:p w:rsidR="00B22C17" w:rsidRPr="00132EAD" w:rsidRDefault="00B22C17" w:rsidP="000F3495">
            <w:pPr>
              <w:pStyle w:val="Tabletext"/>
              <w:keepNext/>
              <w:keepLines/>
            </w:pPr>
            <w:r w:rsidRPr="00132EAD">
              <w:t>Reproductive &amp; breast disorders</w:t>
            </w:r>
          </w:p>
        </w:tc>
        <w:tc>
          <w:tcPr>
            <w:tcW w:w="545" w:type="pct"/>
            <w:vAlign w:val="center"/>
          </w:tcPr>
          <w:p w:rsidR="00B22C17" w:rsidRPr="00132EAD" w:rsidRDefault="00B22C17" w:rsidP="000F3495">
            <w:pPr>
              <w:pStyle w:val="Tabletext"/>
              <w:keepNext/>
              <w:keepLines/>
              <w:jc w:val="center"/>
            </w:pPr>
            <w:r w:rsidRPr="00132EAD">
              <w:t>6 (3.8)</w:t>
            </w:r>
          </w:p>
        </w:tc>
        <w:tc>
          <w:tcPr>
            <w:tcW w:w="546" w:type="pct"/>
            <w:vAlign w:val="center"/>
          </w:tcPr>
          <w:p w:rsidR="00B22C17" w:rsidRPr="00132EAD" w:rsidRDefault="00B22C17" w:rsidP="000F3495">
            <w:pPr>
              <w:pStyle w:val="Tabletext"/>
              <w:keepNext/>
              <w:keepLines/>
              <w:jc w:val="center"/>
            </w:pPr>
            <w:r w:rsidRPr="00132EAD">
              <w:t>2 (1.3)</w:t>
            </w:r>
          </w:p>
        </w:tc>
        <w:tc>
          <w:tcPr>
            <w:tcW w:w="546" w:type="pct"/>
            <w:vAlign w:val="center"/>
          </w:tcPr>
          <w:p w:rsidR="00B22C17" w:rsidRPr="00132EAD" w:rsidRDefault="00B22C17" w:rsidP="000F3495">
            <w:pPr>
              <w:pStyle w:val="Tabletext"/>
              <w:keepNext/>
              <w:keepLines/>
              <w:jc w:val="center"/>
              <w:rPr>
                <w:iCs/>
              </w:rPr>
            </w:pPr>
            <w:r w:rsidRPr="00132EAD">
              <w:rPr>
                <w:iCs/>
              </w:rPr>
              <w:t>-</w:t>
            </w:r>
          </w:p>
        </w:tc>
        <w:tc>
          <w:tcPr>
            <w:tcW w:w="546" w:type="pct"/>
            <w:vAlign w:val="center"/>
          </w:tcPr>
          <w:p w:rsidR="00B22C17" w:rsidRPr="00132EAD" w:rsidRDefault="00B22C17" w:rsidP="000F3495">
            <w:pPr>
              <w:pStyle w:val="Tabletext"/>
              <w:keepNext/>
              <w:keepLines/>
              <w:jc w:val="center"/>
              <w:rPr>
                <w:iCs/>
              </w:rPr>
            </w:pPr>
            <w:r w:rsidRPr="00132EAD">
              <w:rPr>
                <w:iCs/>
              </w:rPr>
              <w:t>-</w:t>
            </w:r>
          </w:p>
        </w:tc>
        <w:tc>
          <w:tcPr>
            <w:tcW w:w="546" w:type="pct"/>
            <w:vAlign w:val="center"/>
          </w:tcPr>
          <w:p w:rsidR="00B22C17" w:rsidRPr="00132EAD" w:rsidRDefault="00B22C17" w:rsidP="000F3495">
            <w:pPr>
              <w:pStyle w:val="Tabletext"/>
              <w:keepNext/>
              <w:keepLines/>
              <w:jc w:val="center"/>
            </w:pPr>
            <w:r w:rsidRPr="00132EAD">
              <w:t>-</w:t>
            </w:r>
          </w:p>
        </w:tc>
        <w:tc>
          <w:tcPr>
            <w:tcW w:w="545" w:type="pct"/>
            <w:vAlign w:val="center"/>
          </w:tcPr>
          <w:p w:rsidR="00B22C17" w:rsidRPr="00132EAD" w:rsidRDefault="00B22C17" w:rsidP="000F3495">
            <w:pPr>
              <w:pStyle w:val="Tabletext"/>
              <w:keepNext/>
              <w:keepLines/>
              <w:jc w:val="center"/>
            </w:pPr>
            <w:r w:rsidRPr="00132EAD">
              <w:t>-</w:t>
            </w:r>
          </w:p>
        </w:tc>
      </w:tr>
      <w:tr w:rsidR="00B22C17" w:rsidRPr="00132EAD" w:rsidTr="00625B2B">
        <w:tc>
          <w:tcPr>
            <w:tcW w:w="1726" w:type="pct"/>
            <w:vAlign w:val="center"/>
          </w:tcPr>
          <w:p w:rsidR="00B22C17" w:rsidRPr="00132EAD" w:rsidRDefault="00B22C17" w:rsidP="000F3495">
            <w:pPr>
              <w:pStyle w:val="Tabletext"/>
              <w:keepNext/>
              <w:keepLines/>
            </w:pPr>
            <w:r w:rsidRPr="00132EAD">
              <w:t>Skin &amp; subcutaneous disorders</w:t>
            </w:r>
          </w:p>
        </w:tc>
        <w:tc>
          <w:tcPr>
            <w:tcW w:w="545" w:type="pct"/>
            <w:vAlign w:val="center"/>
          </w:tcPr>
          <w:p w:rsidR="00B22C17" w:rsidRPr="00132EAD" w:rsidRDefault="00B22C17" w:rsidP="000F3495">
            <w:pPr>
              <w:pStyle w:val="Tabletext"/>
              <w:keepNext/>
              <w:keepLines/>
              <w:jc w:val="center"/>
            </w:pPr>
            <w:r w:rsidRPr="00132EAD">
              <w:t>24 (15.1)*</w:t>
            </w:r>
          </w:p>
        </w:tc>
        <w:tc>
          <w:tcPr>
            <w:tcW w:w="546" w:type="pct"/>
            <w:vAlign w:val="center"/>
          </w:tcPr>
          <w:p w:rsidR="00B22C17" w:rsidRPr="00132EAD" w:rsidRDefault="00B22C17" w:rsidP="000F3495">
            <w:pPr>
              <w:pStyle w:val="Tabletext"/>
              <w:keepNext/>
              <w:keepLines/>
              <w:jc w:val="center"/>
            </w:pPr>
            <w:r w:rsidRPr="00132EAD">
              <w:t>9 (5.7)*</w:t>
            </w:r>
          </w:p>
        </w:tc>
        <w:tc>
          <w:tcPr>
            <w:tcW w:w="546" w:type="pct"/>
            <w:vAlign w:val="center"/>
          </w:tcPr>
          <w:p w:rsidR="00B22C17" w:rsidRPr="00132EAD" w:rsidRDefault="00B22C17" w:rsidP="000F3495">
            <w:pPr>
              <w:pStyle w:val="Tabletext"/>
              <w:keepNext/>
              <w:keepLines/>
              <w:jc w:val="center"/>
              <w:rPr>
                <w:iCs/>
              </w:rPr>
            </w:pPr>
            <w:r w:rsidRPr="00132EAD">
              <w:rPr>
                <w:iCs/>
              </w:rPr>
              <w:t>17 (15.3)</w:t>
            </w:r>
          </w:p>
        </w:tc>
        <w:tc>
          <w:tcPr>
            <w:tcW w:w="546" w:type="pct"/>
            <w:vAlign w:val="center"/>
          </w:tcPr>
          <w:p w:rsidR="00B22C17" w:rsidRPr="00132EAD" w:rsidRDefault="00B22C17" w:rsidP="000F3495">
            <w:pPr>
              <w:pStyle w:val="Tabletext"/>
              <w:keepNext/>
              <w:keepLines/>
              <w:jc w:val="center"/>
              <w:rPr>
                <w:iCs/>
              </w:rPr>
            </w:pPr>
            <w:r w:rsidRPr="00132EAD">
              <w:rPr>
                <w:iCs/>
              </w:rPr>
              <w:t>14 (13.1)</w:t>
            </w:r>
          </w:p>
        </w:tc>
        <w:tc>
          <w:tcPr>
            <w:tcW w:w="546" w:type="pct"/>
            <w:vAlign w:val="center"/>
          </w:tcPr>
          <w:p w:rsidR="00B22C17" w:rsidRPr="00132EAD" w:rsidRDefault="00B22C17" w:rsidP="000F3495">
            <w:pPr>
              <w:pStyle w:val="Tabletext"/>
              <w:keepNext/>
              <w:keepLines/>
              <w:jc w:val="center"/>
              <w:rPr>
                <w:iCs/>
              </w:rPr>
            </w:pPr>
            <w:r w:rsidRPr="00132EAD">
              <w:rPr>
                <w:iCs/>
              </w:rPr>
              <w:t>10 (10.3)</w:t>
            </w:r>
          </w:p>
        </w:tc>
        <w:tc>
          <w:tcPr>
            <w:tcW w:w="545" w:type="pct"/>
            <w:vAlign w:val="center"/>
          </w:tcPr>
          <w:p w:rsidR="00B22C17" w:rsidRPr="00132EAD" w:rsidRDefault="00B22C17" w:rsidP="000F3495">
            <w:pPr>
              <w:pStyle w:val="Tabletext"/>
              <w:keepNext/>
              <w:keepLines/>
              <w:jc w:val="center"/>
              <w:rPr>
                <w:iCs/>
              </w:rPr>
            </w:pPr>
            <w:r w:rsidRPr="00132EAD">
              <w:rPr>
                <w:iCs/>
              </w:rPr>
              <w:t>6 (6.0)</w:t>
            </w:r>
          </w:p>
        </w:tc>
      </w:tr>
      <w:tr w:rsidR="00B22C17" w:rsidRPr="00132EAD" w:rsidTr="00625B2B">
        <w:tc>
          <w:tcPr>
            <w:tcW w:w="1726" w:type="pct"/>
            <w:vAlign w:val="center"/>
          </w:tcPr>
          <w:p w:rsidR="00B22C17" w:rsidRPr="00132EAD" w:rsidRDefault="00B22C17" w:rsidP="000F3495">
            <w:pPr>
              <w:pStyle w:val="Tabletext"/>
              <w:keepNext/>
              <w:keepLines/>
            </w:pPr>
            <w:r w:rsidRPr="00132EAD">
              <w:t>Deaths</w:t>
            </w:r>
          </w:p>
        </w:tc>
        <w:tc>
          <w:tcPr>
            <w:tcW w:w="545" w:type="pct"/>
            <w:vAlign w:val="center"/>
          </w:tcPr>
          <w:p w:rsidR="00B22C17" w:rsidRPr="00132EAD" w:rsidRDefault="00B22C17" w:rsidP="000F3495">
            <w:pPr>
              <w:pStyle w:val="Tabletext"/>
              <w:keepNext/>
              <w:keepLines/>
              <w:jc w:val="center"/>
            </w:pPr>
            <w:r w:rsidRPr="00132EAD">
              <w:t>0</w:t>
            </w:r>
          </w:p>
        </w:tc>
        <w:tc>
          <w:tcPr>
            <w:tcW w:w="546" w:type="pct"/>
            <w:vAlign w:val="center"/>
          </w:tcPr>
          <w:p w:rsidR="00B22C17" w:rsidRPr="00132EAD" w:rsidRDefault="00B22C17" w:rsidP="000F3495">
            <w:pPr>
              <w:pStyle w:val="Tabletext"/>
              <w:keepNext/>
              <w:keepLines/>
              <w:jc w:val="center"/>
            </w:pPr>
            <w:r w:rsidRPr="00132EAD">
              <w:t>0</w:t>
            </w:r>
          </w:p>
        </w:tc>
        <w:tc>
          <w:tcPr>
            <w:tcW w:w="546" w:type="pct"/>
          </w:tcPr>
          <w:p w:rsidR="00B22C17" w:rsidRPr="00132EAD" w:rsidRDefault="00B22C17" w:rsidP="000F3495">
            <w:pPr>
              <w:pStyle w:val="Tabletext"/>
              <w:keepNext/>
              <w:keepLines/>
              <w:jc w:val="center"/>
            </w:pPr>
            <w:r w:rsidRPr="00132EAD">
              <w:t>0</w:t>
            </w:r>
          </w:p>
        </w:tc>
        <w:tc>
          <w:tcPr>
            <w:tcW w:w="546" w:type="pct"/>
          </w:tcPr>
          <w:p w:rsidR="00B22C17" w:rsidRPr="00132EAD" w:rsidRDefault="00B22C17" w:rsidP="000F3495">
            <w:pPr>
              <w:pStyle w:val="Tabletext"/>
              <w:keepNext/>
              <w:keepLines/>
              <w:jc w:val="center"/>
            </w:pPr>
            <w:r w:rsidRPr="00132EAD">
              <w:t>0</w:t>
            </w:r>
          </w:p>
        </w:tc>
        <w:tc>
          <w:tcPr>
            <w:tcW w:w="546" w:type="pct"/>
          </w:tcPr>
          <w:p w:rsidR="00B22C17" w:rsidRPr="00132EAD" w:rsidRDefault="00B22C17" w:rsidP="000F3495">
            <w:pPr>
              <w:pStyle w:val="Tabletext"/>
              <w:keepNext/>
              <w:keepLines/>
              <w:jc w:val="center"/>
            </w:pPr>
            <w:r w:rsidRPr="00132EAD">
              <w:t>0</w:t>
            </w:r>
          </w:p>
        </w:tc>
        <w:tc>
          <w:tcPr>
            <w:tcW w:w="545" w:type="pct"/>
          </w:tcPr>
          <w:p w:rsidR="00B22C17" w:rsidRPr="00132EAD" w:rsidRDefault="00B22C17" w:rsidP="000F3495">
            <w:pPr>
              <w:pStyle w:val="Tabletext"/>
              <w:keepNext/>
              <w:keepLines/>
              <w:jc w:val="center"/>
            </w:pPr>
            <w:r w:rsidRPr="00132EAD">
              <w:t>0</w:t>
            </w:r>
          </w:p>
        </w:tc>
      </w:tr>
    </w:tbl>
    <w:p w:rsidR="00B22C17" w:rsidRPr="00132EAD" w:rsidRDefault="00B22C17" w:rsidP="000F3495">
      <w:pPr>
        <w:pStyle w:val="TableFooter"/>
        <w:keepNext/>
        <w:keepLines/>
      </w:pPr>
      <w:r w:rsidRPr="00132EAD">
        <w:t xml:space="preserve">Abbreviations: </w:t>
      </w:r>
      <w:proofErr w:type="spellStart"/>
      <w:r w:rsidRPr="00132EAD">
        <w:t>axSpA</w:t>
      </w:r>
      <w:proofErr w:type="spellEnd"/>
      <w:r w:rsidRPr="00132EAD">
        <w:t xml:space="preserve">=axial </w:t>
      </w:r>
      <w:proofErr w:type="spellStart"/>
      <w:r w:rsidRPr="00132EAD">
        <w:t>spondyloarthritis</w:t>
      </w:r>
      <w:proofErr w:type="spellEnd"/>
      <w:r w:rsidRPr="00132EAD">
        <w:t xml:space="preserve">; </w:t>
      </w:r>
      <w:r w:rsidRPr="00132EAD">
        <w:rPr>
          <w:rFonts w:eastAsia="Calibri"/>
        </w:rPr>
        <w:t>CI=confidence interval; CZP=</w:t>
      </w:r>
      <w:proofErr w:type="spellStart"/>
      <w:r w:rsidRPr="00132EAD">
        <w:rPr>
          <w:rFonts w:eastAsia="Calibri"/>
        </w:rPr>
        <w:t>certolizumab</w:t>
      </w:r>
      <w:proofErr w:type="spellEnd"/>
      <w:r w:rsidRPr="00132EAD">
        <w:rPr>
          <w:rFonts w:eastAsia="Calibri"/>
        </w:rPr>
        <w:t xml:space="preserve"> </w:t>
      </w:r>
      <w:proofErr w:type="spellStart"/>
      <w:r w:rsidRPr="00132EAD">
        <w:rPr>
          <w:rFonts w:eastAsia="Calibri"/>
        </w:rPr>
        <w:t>pegol</w:t>
      </w:r>
      <w:proofErr w:type="spellEnd"/>
      <w:r w:rsidRPr="00132EAD">
        <w:rPr>
          <w:rFonts w:eastAsia="Calibri"/>
        </w:rPr>
        <w:t>; GLM=</w:t>
      </w:r>
      <w:proofErr w:type="spellStart"/>
      <w:r w:rsidRPr="00132EAD">
        <w:rPr>
          <w:rFonts w:eastAsia="Calibri"/>
        </w:rPr>
        <w:t>golimumab</w:t>
      </w:r>
      <w:proofErr w:type="spellEnd"/>
      <w:r w:rsidRPr="00132EAD">
        <w:rPr>
          <w:rFonts w:eastAsia="Calibri"/>
        </w:rPr>
        <w:t xml:space="preserve">; n=number of participants reporting data; N=total participants in group; </w:t>
      </w:r>
      <w:proofErr w:type="spellStart"/>
      <w:r w:rsidRPr="00132EAD">
        <w:rPr>
          <w:rFonts w:eastAsia="Calibri"/>
        </w:rPr>
        <w:t>nr-axSpA</w:t>
      </w:r>
      <w:proofErr w:type="spellEnd"/>
      <w:r w:rsidRPr="00132EAD">
        <w:rPr>
          <w:rFonts w:eastAsia="Calibri"/>
        </w:rPr>
        <w:t xml:space="preserve">=non-radiographic axial </w:t>
      </w:r>
      <w:proofErr w:type="spellStart"/>
      <w:r w:rsidRPr="00132EAD">
        <w:rPr>
          <w:rFonts w:eastAsia="Calibri"/>
        </w:rPr>
        <w:t>spondyloarthritis</w:t>
      </w:r>
      <w:proofErr w:type="spellEnd"/>
      <w:r w:rsidRPr="00132EAD">
        <w:rPr>
          <w:rFonts w:eastAsia="Calibri"/>
        </w:rPr>
        <w:t xml:space="preserve">; PBO=placebo; RD=risk difference; </w:t>
      </w:r>
    </w:p>
    <w:p w:rsidR="00B22C17" w:rsidRPr="00132EAD" w:rsidRDefault="00B22C17" w:rsidP="000F3495">
      <w:pPr>
        <w:pStyle w:val="TableFooter"/>
        <w:keepNext/>
        <w:keepLines/>
        <w:tabs>
          <w:tab w:val="left" w:pos="142"/>
        </w:tabs>
      </w:pPr>
      <w:r w:rsidRPr="00132EAD">
        <w:rPr>
          <w:vertAlign w:val="superscript"/>
        </w:rPr>
        <w:t>#</w:t>
      </w:r>
      <w:r w:rsidRPr="00132EAD">
        <w:tab/>
        <w:t>CZP 200mg Q2W treatment arm</w:t>
      </w:r>
    </w:p>
    <w:p w:rsidR="00B22C17" w:rsidRPr="00132EAD" w:rsidRDefault="00B22C17" w:rsidP="000F3495">
      <w:pPr>
        <w:pStyle w:val="TableFooter"/>
        <w:keepNext/>
        <w:keepLines/>
        <w:tabs>
          <w:tab w:val="left" w:pos="142"/>
        </w:tabs>
      </w:pPr>
      <w:r w:rsidRPr="00132EAD">
        <w:t>^</w:t>
      </w:r>
      <w:r w:rsidRPr="00132EAD">
        <w:tab/>
        <w:t>Entire PBO group, CZP data from PBO subjects were not utilized</w:t>
      </w:r>
    </w:p>
    <w:p w:rsidR="00B22C17" w:rsidRPr="00132EAD" w:rsidRDefault="00B22C17" w:rsidP="000F3495">
      <w:pPr>
        <w:pStyle w:val="TableFooter"/>
        <w:keepNext/>
        <w:keepLines/>
        <w:tabs>
          <w:tab w:val="left" w:pos="142"/>
        </w:tabs>
      </w:pPr>
      <w:r w:rsidRPr="00132EAD">
        <w:t>*</w:t>
      </w:r>
      <w:r w:rsidRPr="00132EAD">
        <w:tab/>
        <w:t>Risk difference p&lt;0.05</w:t>
      </w:r>
    </w:p>
    <w:p w:rsidR="00B22C17" w:rsidRPr="00132EAD" w:rsidRDefault="00B22C17" w:rsidP="000F3495">
      <w:pPr>
        <w:pStyle w:val="TableFooter"/>
        <w:keepNext/>
        <w:keepLines/>
        <w:rPr>
          <w:sz w:val="20"/>
        </w:rPr>
      </w:pPr>
      <w:r w:rsidRPr="00132EAD">
        <w:t>Source: Tables 2.36 to 2.37, pp103-105, Table 2.41, p112, Table 2.46, p115 of the submission</w:t>
      </w:r>
    </w:p>
    <w:p w:rsidR="00B22C17" w:rsidRPr="00132EAD" w:rsidRDefault="00B22C17" w:rsidP="00B22C17"/>
    <w:p w:rsidR="004C1072" w:rsidRPr="00132EAD" w:rsidRDefault="005F7BB6" w:rsidP="005F7BB6">
      <w:pPr>
        <w:pStyle w:val="ListParagraph"/>
        <w:widowControl/>
        <w:numPr>
          <w:ilvl w:val="1"/>
          <w:numId w:val="3"/>
        </w:numPr>
      </w:pPr>
      <w:r w:rsidRPr="00132EAD">
        <w:t>During the double-blind phases of AS0006 and AS001, patients treated with CZP experienced a higher incidence of treatment emergent adverse events (TEAEs) including drug-related TEAEs</w:t>
      </w:r>
      <w:r w:rsidR="00132EAD">
        <w:t xml:space="preserve">. </w:t>
      </w:r>
      <w:r w:rsidRPr="00132EAD">
        <w:t>However, the submission stated that differences in duration of treatment exposure between groups confound the results, due to permitted placebo-escape to open label CZP treatment.</w:t>
      </w:r>
    </w:p>
    <w:p w:rsidR="00B22C17" w:rsidRPr="00132EAD" w:rsidRDefault="004C1072" w:rsidP="00F637E8">
      <w:pPr>
        <w:pStyle w:val="ListParagraph"/>
        <w:widowControl/>
        <w:numPr>
          <w:ilvl w:val="1"/>
          <w:numId w:val="3"/>
        </w:numPr>
      </w:pPr>
      <w:r w:rsidRPr="00132EAD">
        <w:t xml:space="preserve">After correcting for </w:t>
      </w:r>
      <w:r w:rsidR="005F7BB6" w:rsidRPr="00132EAD">
        <w:t>duration of exposure</w:t>
      </w:r>
      <w:r w:rsidRPr="00132EAD">
        <w:t xml:space="preserve"> in AS0006</w:t>
      </w:r>
      <w:r w:rsidR="005F7BB6" w:rsidRPr="00132EAD">
        <w:t>, incidence rates of TEAEs in were generally similar between CZP 200mg Q2W and placebo (195.2/100 subject-years and 207.2/100 subject-years, respectively)</w:t>
      </w:r>
      <w:r w:rsidR="00132EAD">
        <w:t xml:space="preserve">. </w:t>
      </w:r>
      <w:r w:rsidRPr="00132EAD">
        <w:t>I</w:t>
      </w:r>
      <w:r w:rsidR="005F7BB6" w:rsidRPr="00132EAD">
        <w:t>ncidence rates remained higher</w:t>
      </w:r>
      <w:r w:rsidR="000419D2" w:rsidRPr="00132EAD">
        <w:t xml:space="preserve"> for patients</w:t>
      </w:r>
      <w:r w:rsidR="005F7BB6" w:rsidRPr="00132EAD">
        <w:t xml:space="preserve"> on CZP for infections (89.7 vs 76.1/100 subject-years), gastrointestinal disorders (24.9 vs 19.5/100 subject-years), skin and subcutaneous disorders (18.5 vs 10.1/100 subject-years)</w:t>
      </w:r>
      <w:r w:rsidRPr="00132EAD">
        <w:t xml:space="preserve"> and </w:t>
      </w:r>
      <w:r w:rsidR="005F7BB6" w:rsidRPr="00132EAD">
        <w:t>injection site reactions (5.0 vs 2.1/100 subject-years)</w:t>
      </w:r>
      <w:r w:rsidR="00132EAD">
        <w:t xml:space="preserve">. </w:t>
      </w:r>
      <w:r w:rsidR="005F7BB6" w:rsidRPr="00132EAD">
        <w:rPr>
          <w:iCs/>
        </w:rPr>
        <w:t>Overall, the safety</w:t>
      </w:r>
      <w:r w:rsidR="00FD6C61" w:rsidRPr="00132EAD">
        <w:rPr>
          <w:iCs/>
        </w:rPr>
        <w:t xml:space="preserve"> outcomes reported in the trials were </w:t>
      </w:r>
      <w:r w:rsidR="005F7BB6" w:rsidRPr="00132EAD">
        <w:rPr>
          <w:iCs/>
        </w:rPr>
        <w:t xml:space="preserve">consistent with the </w:t>
      </w:r>
      <w:r w:rsidR="00FD6C61" w:rsidRPr="00132EAD">
        <w:rPr>
          <w:iCs/>
        </w:rPr>
        <w:t xml:space="preserve">known safety profile of CZP and </w:t>
      </w:r>
      <w:r w:rsidR="005F7BB6" w:rsidRPr="00132EAD">
        <w:rPr>
          <w:iCs/>
        </w:rPr>
        <w:t>anticipated effects of TNF</w:t>
      </w:r>
      <w:r w:rsidR="00F637E8" w:rsidRPr="00132EAD">
        <w:rPr>
          <w:iCs/>
        </w:rPr>
        <w:t>α inhibitors</w:t>
      </w:r>
      <w:r w:rsidR="005F7BB6" w:rsidRPr="00132EAD">
        <w:rPr>
          <w:iCs/>
        </w:rPr>
        <w:t>.</w:t>
      </w:r>
    </w:p>
    <w:p w:rsidR="007F1017" w:rsidRPr="00132EAD" w:rsidRDefault="007F1017" w:rsidP="00936C60">
      <w:pPr>
        <w:pStyle w:val="Heading2"/>
      </w:pPr>
      <w:bookmarkStart w:id="11" w:name="_Toc19717647"/>
      <w:r w:rsidRPr="00132EAD">
        <w:t>Benefits/harms</w:t>
      </w:r>
      <w:bookmarkEnd w:id="11"/>
    </w:p>
    <w:p w:rsidR="005F7BB6" w:rsidRPr="00132EAD" w:rsidRDefault="005F7BB6" w:rsidP="00DF2B92">
      <w:pPr>
        <w:pStyle w:val="ListParagraph"/>
        <w:widowControl/>
        <w:numPr>
          <w:ilvl w:val="1"/>
          <w:numId w:val="3"/>
        </w:numPr>
        <w:rPr>
          <w:rFonts w:cs="Calibri"/>
          <w:iCs/>
          <w:snapToGrid/>
          <w:szCs w:val="24"/>
          <w:lang w:eastAsia="en-AU"/>
        </w:rPr>
      </w:pPr>
      <w:r w:rsidRPr="00132EAD">
        <w:rPr>
          <w:rFonts w:cs="Calibri"/>
          <w:iCs/>
          <w:snapToGrid/>
          <w:szCs w:val="24"/>
          <w:lang w:eastAsia="en-AU"/>
        </w:rPr>
        <w:t xml:space="preserve">There </w:t>
      </w:r>
      <w:r w:rsidR="00AC562B" w:rsidRPr="00132EAD">
        <w:rPr>
          <w:rFonts w:cs="Calibri"/>
          <w:iCs/>
          <w:snapToGrid/>
          <w:szCs w:val="24"/>
          <w:lang w:eastAsia="en-AU"/>
        </w:rPr>
        <w:t xml:space="preserve">were </w:t>
      </w:r>
      <w:r w:rsidRPr="00132EAD">
        <w:rPr>
          <w:rFonts w:cs="Calibri"/>
          <w:iCs/>
          <w:snapToGrid/>
          <w:szCs w:val="24"/>
          <w:lang w:eastAsia="en-AU"/>
        </w:rPr>
        <w:t xml:space="preserve">no expected clinically meaningful differences between CZP and GLM in efficacy and safety when used for the treatment of </w:t>
      </w:r>
      <w:proofErr w:type="spellStart"/>
      <w:r w:rsidRPr="00132EAD">
        <w:rPr>
          <w:rFonts w:cs="Calibri"/>
          <w:iCs/>
          <w:snapToGrid/>
          <w:szCs w:val="24"/>
          <w:lang w:eastAsia="en-AU"/>
        </w:rPr>
        <w:t>nr-axSpA</w:t>
      </w:r>
      <w:proofErr w:type="spellEnd"/>
      <w:r w:rsidRPr="00132EAD">
        <w:rPr>
          <w:rFonts w:cs="Calibri"/>
          <w:iCs/>
          <w:snapToGrid/>
          <w:szCs w:val="24"/>
          <w:lang w:eastAsia="en-AU"/>
        </w:rPr>
        <w:t xml:space="preserve"> with objective signs of inflammation</w:t>
      </w:r>
      <w:r w:rsidR="006864C7" w:rsidRPr="00132EAD">
        <w:rPr>
          <w:rFonts w:cs="Calibri"/>
          <w:iCs/>
          <w:snapToGrid/>
          <w:szCs w:val="24"/>
          <w:lang w:eastAsia="en-AU"/>
        </w:rPr>
        <w:t xml:space="preserve"> </w:t>
      </w:r>
      <w:r w:rsidR="00DF2B92" w:rsidRPr="00132EAD">
        <w:rPr>
          <w:rFonts w:cs="Calibri"/>
          <w:iCs/>
          <w:snapToGrid/>
          <w:szCs w:val="24"/>
          <w:lang w:eastAsia="en-AU"/>
        </w:rPr>
        <w:t xml:space="preserve">in the PBS population </w:t>
      </w:r>
      <w:r w:rsidR="009A315E" w:rsidRPr="00132EAD">
        <w:rPr>
          <w:rFonts w:cs="Calibri"/>
          <w:iCs/>
          <w:snapToGrid/>
          <w:szCs w:val="24"/>
          <w:lang w:eastAsia="en-AU"/>
        </w:rPr>
        <w:t>(MRI+ and CRP+)</w:t>
      </w:r>
      <w:r w:rsidRPr="00132EAD">
        <w:rPr>
          <w:rFonts w:cs="Calibri"/>
          <w:iCs/>
          <w:snapToGrid/>
          <w:szCs w:val="24"/>
          <w:lang w:eastAsia="en-AU"/>
        </w:rPr>
        <w:t>.</w:t>
      </w:r>
    </w:p>
    <w:p w:rsidR="009B7320" w:rsidRPr="00132EAD" w:rsidRDefault="009B7320">
      <w:pPr>
        <w:widowControl/>
        <w:jc w:val="left"/>
        <w:rPr>
          <w:b/>
          <w:i/>
          <w:sz w:val="28"/>
        </w:rPr>
      </w:pPr>
      <w:bookmarkStart w:id="12" w:name="_Toc19717648"/>
      <w:r w:rsidRPr="00132EAD">
        <w:br w:type="page"/>
      </w:r>
    </w:p>
    <w:p w:rsidR="00B60939" w:rsidRPr="00132EAD" w:rsidRDefault="00B60939" w:rsidP="00936C60">
      <w:pPr>
        <w:pStyle w:val="Heading2"/>
      </w:pPr>
      <w:r w:rsidRPr="00132EAD">
        <w:lastRenderedPageBreak/>
        <w:t>Clinical claim</w:t>
      </w:r>
      <w:bookmarkEnd w:id="12"/>
    </w:p>
    <w:p w:rsidR="000A274C" w:rsidRPr="00132EAD" w:rsidRDefault="000A274C" w:rsidP="000F3495">
      <w:pPr>
        <w:pStyle w:val="ListParagraph"/>
        <w:keepNext/>
        <w:keepLines/>
        <w:widowControl/>
        <w:numPr>
          <w:ilvl w:val="1"/>
          <w:numId w:val="3"/>
        </w:numPr>
        <w:rPr>
          <w:iCs/>
        </w:rPr>
      </w:pPr>
      <w:r w:rsidRPr="00132EAD">
        <w:t xml:space="preserve">The submission described CZP 200mg Q2W as non-inferior in terms of effectiveness and safety compared with GLM 50mg Q4W in patients with </w:t>
      </w:r>
      <w:proofErr w:type="spellStart"/>
      <w:r w:rsidRPr="00132EAD">
        <w:t>nr-axSpA</w:t>
      </w:r>
      <w:proofErr w:type="spellEnd"/>
      <w:r w:rsidRPr="00132EAD">
        <w:t xml:space="preserve"> meeting the broad TGA (MRI+ and/or CRP+) and narrow PBS (MRI+ and CRP+) definitions for objection signs of inflammation</w:t>
      </w:r>
      <w:r w:rsidR="00132EAD">
        <w:t xml:space="preserve">. </w:t>
      </w:r>
      <w:r w:rsidRPr="00132EAD">
        <w:rPr>
          <w:iCs/>
        </w:rPr>
        <w:t>Overall, the clinical claim of non-inferior efficacy and safety was generally reasonable despite the lack of a non-inferiority margin for BASDAI50 (the most relevant clinical outcome) and lack of formal comparison across safety</w:t>
      </w:r>
      <w:r w:rsidR="00132EAD">
        <w:rPr>
          <w:iCs/>
        </w:rPr>
        <w:t xml:space="preserve">. </w:t>
      </w:r>
      <w:r w:rsidR="00E81587" w:rsidRPr="00132EAD">
        <w:rPr>
          <w:iCs/>
        </w:rPr>
        <w:t>The results demonstrated point estimates of RR and RD either favoured CZP or showed minimal difference (i.e. close to zero or one) across all of the outcomes and populations</w:t>
      </w:r>
      <w:r w:rsidR="00132EAD">
        <w:rPr>
          <w:iCs/>
        </w:rPr>
        <w:t xml:space="preserve">. </w:t>
      </w:r>
      <w:r w:rsidRPr="00132EAD">
        <w:rPr>
          <w:iCs/>
        </w:rPr>
        <w:t>The PBAC has previously considered TNF</w:t>
      </w:r>
      <w:r w:rsidRPr="00132EAD">
        <w:rPr>
          <w:rFonts w:cs="Calibri"/>
          <w:iCs/>
        </w:rPr>
        <w:t xml:space="preserve">α inhibitors (including CZP and GLM) </w:t>
      </w:r>
      <w:r w:rsidR="008843AF" w:rsidRPr="00132EAD">
        <w:rPr>
          <w:rFonts w:cs="Calibri"/>
          <w:iCs/>
        </w:rPr>
        <w:t>are</w:t>
      </w:r>
      <w:r w:rsidRPr="00132EAD">
        <w:rPr>
          <w:rFonts w:cs="Calibri"/>
          <w:iCs/>
        </w:rPr>
        <w:t xml:space="preserve"> non-inferior</w:t>
      </w:r>
      <w:r w:rsidR="008843AF" w:rsidRPr="00132EAD">
        <w:rPr>
          <w:rFonts w:cs="Calibri"/>
          <w:iCs/>
        </w:rPr>
        <w:t xml:space="preserve"> in terms of</w:t>
      </w:r>
      <w:r w:rsidRPr="00132EAD">
        <w:rPr>
          <w:rFonts w:cs="Calibri"/>
          <w:iCs/>
        </w:rPr>
        <w:t xml:space="preserve"> safety </w:t>
      </w:r>
      <w:r w:rsidR="008843AF" w:rsidRPr="00132EAD">
        <w:rPr>
          <w:rFonts w:cs="Calibri"/>
          <w:iCs/>
        </w:rPr>
        <w:t>for</w:t>
      </w:r>
      <w:r w:rsidRPr="00132EAD">
        <w:rPr>
          <w:rFonts w:cs="Calibri"/>
          <w:iCs/>
        </w:rPr>
        <w:t xml:space="preserve"> other indications</w:t>
      </w:r>
      <w:r w:rsidR="00132EAD">
        <w:rPr>
          <w:rFonts w:cs="Calibri"/>
          <w:iCs/>
        </w:rPr>
        <w:t xml:space="preserve">. </w:t>
      </w:r>
    </w:p>
    <w:p w:rsidR="000A274C" w:rsidRPr="00132EAD" w:rsidRDefault="000A274C" w:rsidP="00586652">
      <w:pPr>
        <w:pStyle w:val="ListParagraph"/>
        <w:widowControl/>
        <w:numPr>
          <w:ilvl w:val="1"/>
          <w:numId w:val="3"/>
        </w:numPr>
        <w:rPr>
          <w:iCs/>
        </w:rPr>
      </w:pPr>
      <w:r w:rsidRPr="00132EAD">
        <w:rPr>
          <w:iCs/>
        </w:rPr>
        <w:t xml:space="preserve">The submission did not </w:t>
      </w:r>
      <w:r w:rsidR="00586652" w:rsidRPr="00132EAD">
        <w:rPr>
          <w:iCs/>
        </w:rPr>
        <w:t xml:space="preserve">present any evidence or make any explicit claim for </w:t>
      </w:r>
      <w:r w:rsidR="00321165" w:rsidRPr="00132EAD">
        <w:rPr>
          <w:iCs/>
        </w:rPr>
        <w:t>CZP</w:t>
      </w:r>
      <w:r w:rsidRPr="00132EAD">
        <w:rPr>
          <w:iCs/>
        </w:rPr>
        <w:t xml:space="preserve"> 400mg Q4W</w:t>
      </w:r>
      <w:r w:rsidR="00AC562B" w:rsidRPr="00132EAD">
        <w:rPr>
          <w:iCs/>
        </w:rPr>
        <w:t xml:space="preserve"> (the other approved dosing regimen for CZP</w:t>
      </w:r>
      <w:r w:rsidRPr="00132EAD">
        <w:rPr>
          <w:iCs/>
        </w:rPr>
        <w:t xml:space="preserve">) </w:t>
      </w:r>
      <w:r w:rsidR="00586652" w:rsidRPr="00132EAD">
        <w:rPr>
          <w:iCs/>
        </w:rPr>
        <w:t xml:space="preserve">versus </w:t>
      </w:r>
      <w:r w:rsidRPr="00132EAD">
        <w:rPr>
          <w:iCs/>
        </w:rPr>
        <w:t>GLM 50mg Q4W; however, results from trial AS001 found no notable differences between CZP 200mg Q2W and CZP 400mg Q4W</w:t>
      </w:r>
      <w:r w:rsidR="00132EAD">
        <w:rPr>
          <w:iCs/>
        </w:rPr>
        <w:t xml:space="preserve">. </w:t>
      </w:r>
      <w:r w:rsidRPr="00132EAD">
        <w:rPr>
          <w:iCs/>
        </w:rPr>
        <w:t xml:space="preserve">The PBAC has </w:t>
      </w:r>
      <w:r w:rsidR="00AC562B" w:rsidRPr="00132EAD">
        <w:rPr>
          <w:iCs/>
        </w:rPr>
        <w:t xml:space="preserve">also </w:t>
      </w:r>
      <w:r w:rsidRPr="00132EAD">
        <w:rPr>
          <w:iCs/>
        </w:rPr>
        <w:t>considered CZP 200mg Q2W and CZP400mg Q4W are equi-effective in other indications.</w:t>
      </w:r>
    </w:p>
    <w:p w:rsidR="00027F4B" w:rsidRPr="00132EAD" w:rsidRDefault="00027F4B" w:rsidP="00586652">
      <w:pPr>
        <w:pStyle w:val="ListParagraph"/>
        <w:widowControl/>
        <w:numPr>
          <w:ilvl w:val="1"/>
          <w:numId w:val="3"/>
        </w:numPr>
        <w:rPr>
          <w:iCs/>
        </w:rPr>
      </w:pPr>
      <w:r w:rsidRPr="00132EAD">
        <w:rPr>
          <w:iCs/>
        </w:rPr>
        <w:t>The PBAC</w:t>
      </w:r>
      <w:r w:rsidR="00325A4E">
        <w:rPr>
          <w:iCs/>
        </w:rPr>
        <w:t xml:space="preserve"> considered the claim of </w:t>
      </w:r>
      <w:r w:rsidRPr="00132EAD">
        <w:rPr>
          <w:rFonts w:cs="Calibri"/>
          <w:iCs/>
        </w:rPr>
        <w:t>non-inferior</w:t>
      </w:r>
      <w:r w:rsidR="00C17ED9">
        <w:rPr>
          <w:rFonts w:cs="Calibri"/>
          <w:iCs/>
        </w:rPr>
        <w:t xml:space="preserve"> comparative effectiveness and safety </w:t>
      </w:r>
      <w:r w:rsidRPr="00132EAD">
        <w:rPr>
          <w:rFonts w:cs="Calibri"/>
          <w:iCs/>
        </w:rPr>
        <w:t>was supported by</w:t>
      </w:r>
      <w:r w:rsidR="00C17ED9">
        <w:rPr>
          <w:rFonts w:cs="Calibri"/>
          <w:iCs/>
        </w:rPr>
        <w:t xml:space="preserve"> the clinical evidence.</w:t>
      </w:r>
    </w:p>
    <w:p w:rsidR="00B60939" w:rsidRPr="00132EAD" w:rsidRDefault="00B60939" w:rsidP="00936C60">
      <w:pPr>
        <w:pStyle w:val="Heading2"/>
      </w:pPr>
      <w:bookmarkStart w:id="13" w:name="_Toc19717649"/>
      <w:r w:rsidRPr="00132EAD">
        <w:t>Economic analysis</w:t>
      </w:r>
      <w:bookmarkEnd w:id="13"/>
      <w:r w:rsidR="00491B3A" w:rsidRPr="00132EAD">
        <w:t xml:space="preserve"> </w:t>
      </w:r>
    </w:p>
    <w:p w:rsidR="0081560B" w:rsidRPr="00132EAD" w:rsidRDefault="00321165" w:rsidP="005963A7">
      <w:pPr>
        <w:pStyle w:val="ListParagraph"/>
        <w:widowControl/>
        <w:numPr>
          <w:ilvl w:val="1"/>
          <w:numId w:val="3"/>
        </w:numPr>
      </w:pPr>
      <w:r w:rsidRPr="00132EAD">
        <w:rPr>
          <w:rFonts w:cs="Calibri"/>
          <w:snapToGrid/>
          <w:szCs w:val="24"/>
          <w:lang w:eastAsia="en-AU"/>
        </w:rPr>
        <w:t xml:space="preserve">The </w:t>
      </w:r>
      <w:r w:rsidRPr="00132EAD">
        <w:t>submission</w:t>
      </w:r>
      <w:r w:rsidRPr="00132EAD">
        <w:rPr>
          <w:rFonts w:cs="Calibri"/>
          <w:snapToGrid/>
          <w:szCs w:val="24"/>
          <w:lang w:eastAsia="en-AU"/>
        </w:rPr>
        <w:t xml:space="preserve"> presented a cost-minimisation analysis between CZP and GLM</w:t>
      </w:r>
      <w:r w:rsidR="005963A7" w:rsidRPr="00132EAD">
        <w:rPr>
          <w:rFonts w:cs="Calibri"/>
          <w:snapToGrid/>
          <w:szCs w:val="24"/>
          <w:lang w:eastAsia="en-AU"/>
        </w:rPr>
        <w:t>, and</w:t>
      </w:r>
      <w:r w:rsidR="0081560B" w:rsidRPr="00132EAD">
        <w:t xml:space="preserve"> proposed </w:t>
      </w:r>
      <w:r w:rsidR="005963A7" w:rsidRPr="00132EAD">
        <w:t xml:space="preserve">that </w:t>
      </w:r>
      <w:r w:rsidR="0081560B" w:rsidRPr="00132EAD">
        <w:t xml:space="preserve">“CZP 200mg every 2 weeks or 400mg every 4 weeks is equivalent to GLM 50mg every 4 weeks” for </w:t>
      </w:r>
      <w:proofErr w:type="spellStart"/>
      <w:r w:rsidR="0081560B" w:rsidRPr="00132EAD">
        <w:t>nr-axSpA</w:t>
      </w:r>
      <w:proofErr w:type="spellEnd"/>
      <w:r w:rsidR="0081560B" w:rsidRPr="00132EAD">
        <w:t>, based on the average doses in the trial, recommended doses in the PI and current formulations of CZP on the PBS.</w:t>
      </w:r>
    </w:p>
    <w:p w:rsidR="009E749D" w:rsidRPr="00132EAD" w:rsidRDefault="0081560B" w:rsidP="006C3084">
      <w:pPr>
        <w:pStyle w:val="ListParagraph"/>
        <w:widowControl/>
        <w:numPr>
          <w:ilvl w:val="1"/>
          <w:numId w:val="3"/>
        </w:numPr>
      </w:pPr>
      <w:r w:rsidRPr="00132EAD">
        <w:rPr>
          <w:iCs/>
        </w:rPr>
        <w:t>The</w:t>
      </w:r>
      <w:r w:rsidR="007D38E9" w:rsidRPr="00132EAD">
        <w:rPr>
          <w:iCs/>
        </w:rPr>
        <w:t xml:space="preserve"> sponsor</w:t>
      </w:r>
      <w:r w:rsidRPr="00132EAD">
        <w:rPr>
          <w:iCs/>
        </w:rPr>
        <w:t xml:space="preserve"> </w:t>
      </w:r>
      <w:r w:rsidR="0052706F" w:rsidRPr="00132EAD">
        <w:rPr>
          <w:iCs/>
        </w:rPr>
        <w:t xml:space="preserve">excluded the loading dose for CZP in the </w:t>
      </w:r>
      <w:r w:rsidRPr="00132EAD">
        <w:rPr>
          <w:iCs/>
        </w:rPr>
        <w:t>proposed equi-effective dose</w:t>
      </w:r>
      <w:r w:rsidR="0052706F" w:rsidRPr="00132EAD">
        <w:rPr>
          <w:iCs/>
        </w:rPr>
        <w:t xml:space="preserve"> calculation</w:t>
      </w:r>
      <w:r w:rsidR="00E97A9E" w:rsidRPr="00132EAD">
        <w:rPr>
          <w:iCs/>
        </w:rPr>
        <w:t>,</w:t>
      </w:r>
      <w:r w:rsidR="0052706F" w:rsidRPr="00132EAD">
        <w:rPr>
          <w:iCs/>
        </w:rPr>
        <w:t xml:space="preserve"> </w:t>
      </w:r>
      <w:r w:rsidR="000F1A80" w:rsidRPr="00132EAD">
        <w:rPr>
          <w:iCs/>
        </w:rPr>
        <w:t xml:space="preserve">which </w:t>
      </w:r>
      <w:r w:rsidRPr="00132EAD">
        <w:rPr>
          <w:iCs/>
        </w:rPr>
        <w:t xml:space="preserve">is inconsistent with the therapeutic relativity sheets for </w:t>
      </w:r>
      <w:proofErr w:type="spellStart"/>
      <w:r w:rsidRPr="00132EAD">
        <w:rPr>
          <w:iCs/>
        </w:rPr>
        <w:t>bDMARDs</w:t>
      </w:r>
      <w:proofErr w:type="spellEnd"/>
      <w:r w:rsidR="00767BFD" w:rsidRPr="00132EAD">
        <w:rPr>
          <w:iCs/>
        </w:rPr>
        <w:t>,</w:t>
      </w:r>
      <w:r w:rsidRPr="00132EAD">
        <w:rPr>
          <w:iCs/>
        </w:rPr>
        <w:t xml:space="preserve"> including CZP in other indications</w:t>
      </w:r>
      <w:r w:rsidR="00132EAD">
        <w:rPr>
          <w:iCs/>
        </w:rPr>
        <w:t xml:space="preserve">. </w:t>
      </w:r>
      <w:r w:rsidR="00767BFD" w:rsidRPr="00132EAD">
        <w:rPr>
          <w:iCs/>
        </w:rPr>
        <w:t>T</w:t>
      </w:r>
      <w:r w:rsidRPr="00132EAD">
        <w:rPr>
          <w:iCs/>
        </w:rPr>
        <w:t xml:space="preserve">he </w:t>
      </w:r>
      <w:r w:rsidR="003F3878">
        <w:rPr>
          <w:iCs/>
        </w:rPr>
        <w:t xml:space="preserve">PBAC considered the </w:t>
      </w:r>
      <w:r w:rsidRPr="00132EAD">
        <w:rPr>
          <w:iCs/>
        </w:rPr>
        <w:t xml:space="preserve">equi-effective doses </w:t>
      </w:r>
      <w:r w:rsidR="00EE43AE">
        <w:rPr>
          <w:iCs/>
        </w:rPr>
        <w:t xml:space="preserve">were </w:t>
      </w:r>
      <w:r w:rsidRPr="00132EAD">
        <w:rPr>
          <w:iCs/>
        </w:rPr>
        <w:t>CZP 400mg at Week 0, 2, 4 followed by 200mg every 2 weeks or 400mg every 4 weeks and GLM 50mg once a month</w:t>
      </w:r>
      <w:r w:rsidR="00132EAD">
        <w:rPr>
          <w:iCs/>
        </w:rPr>
        <w:t xml:space="preserve">. </w:t>
      </w:r>
    </w:p>
    <w:p w:rsidR="00706908" w:rsidRPr="00706908" w:rsidRDefault="00ED7945" w:rsidP="00706908">
      <w:pPr>
        <w:pStyle w:val="ListParagraph"/>
        <w:numPr>
          <w:ilvl w:val="1"/>
          <w:numId w:val="3"/>
        </w:numPr>
      </w:pPr>
      <w:r w:rsidRPr="00ED7945">
        <w:t xml:space="preserve">The </w:t>
      </w:r>
      <w:r>
        <w:t xml:space="preserve">submission </w:t>
      </w:r>
      <w:r w:rsidRPr="00ED7945">
        <w:t>calculated the requested AEMP ($</w:t>
      </w:r>
      <w:r w:rsidR="00157528">
        <w:rPr>
          <w:noProof/>
          <w:color w:val="000000"/>
          <w:highlight w:val="black"/>
        </w:rPr>
        <w:t>'''''''''''''''''</w:t>
      </w:r>
      <w:r w:rsidRPr="00ED7945">
        <w:t>) using a two-step process. The submission calculated AEMPs for CZP assuming five different time horizons (2-years, 3-years, 4-years, 5-years, and 6-years</w:t>
      </w:r>
      <w:r>
        <w:t xml:space="preserve">) and then </w:t>
      </w:r>
      <w:r w:rsidRPr="00ED7945">
        <w:t xml:space="preserve">weighted the estimated five AEMPs using persistence data from a DUSC review of ankylosing spondylitis (February 2016). </w:t>
      </w:r>
      <w:r w:rsidR="00706908" w:rsidRPr="00706908">
        <w:t xml:space="preserve">The PBAC considered that </w:t>
      </w:r>
      <w:r w:rsidR="00706908">
        <w:t xml:space="preserve">the approach was </w:t>
      </w:r>
      <w:r w:rsidR="00706908" w:rsidRPr="00ED7945">
        <w:t>poorly justified</w:t>
      </w:r>
      <w:r w:rsidR="00706908">
        <w:t xml:space="preserve">, </w:t>
      </w:r>
      <w:r w:rsidR="00C858C2" w:rsidRPr="00706908">
        <w:t xml:space="preserve">may lead to significant incremental financial </w:t>
      </w:r>
      <w:r w:rsidR="00C858C2">
        <w:t xml:space="preserve">costs for CZP and was </w:t>
      </w:r>
      <w:r w:rsidR="00706908">
        <w:t xml:space="preserve">inconsistent with the cost-minimisation approach generally utilised for </w:t>
      </w:r>
      <w:proofErr w:type="spellStart"/>
      <w:r w:rsidR="00706908">
        <w:t>bDMARDs</w:t>
      </w:r>
      <w:proofErr w:type="spellEnd"/>
      <w:r w:rsidR="00C858C2">
        <w:t>.</w:t>
      </w:r>
    </w:p>
    <w:p w:rsidR="00F81342" w:rsidRPr="00132EAD" w:rsidRDefault="00F81342" w:rsidP="00F81342">
      <w:pPr>
        <w:ind w:left="720" w:hanging="720"/>
        <w:rPr>
          <w:b/>
          <w:i/>
        </w:rPr>
      </w:pPr>
    </w:p>
    <w:p w:rsidR="00EE43AE" w:rsidRDefault="006F7B73" w:rsidP="00EE43AE">
      <w:pPr>
        <w:pStyle w:val="ListParagraph"/>
        <w:widowControl/>
        <w:numPr>
          <w:ilvl w:val="1"/>
          <w:numId w:val="3"/>
        </w:numPr>
        <w:rPr>
          <w:iCs/>
        </w:rPr>
      </w:pPr>
      <w:r w:rsidRPr="00132EAD">
        <w:rPr>
          <w:iCs/>
        </w:rPr>
        <w:t xml:space="preserve">The requested AEMP </w:t>
      </w:r>
      <w:r w:rsidR="008A379F" w:rsidRPr="00132EAD">
        <w:rPr>
          <w:iCs/>
        </w:rPr>
        <w:t>($</w:t>
      </w:r>
      <w:r w:rsidR="00157528">
        <w:rPr>
          <w:iCs/>
          <w:noProof/>
          <w:color w:val="000000"/>
          <w:highlight w:val="black"/>
        </w:rPr>
        <w:t>''''''''''''''''''</w:t>
      </w:r>
      <w:r w:rsidR="008A379F" w:rsidRPr="00132EAD">
        <w:rPr>
          <w:iCs/>
        </w:rPr>
        <w:t xml:space="preserve">) </w:t>
      </w:r>
      <w:r w:rsidRPr="00132EAD">
        <w:rPr>
          <w:iCs/>
        </w:rPr>
        <w:t xml:space="preserve">was higher than </w:t>
      </w:r>
      <w:r w:rsidR="005F068F">
        <w:rPr>
          <w:iCs/>
        </w:rPr>
        <w:t xml:space="preserve">the </w:t>
      </w:r>
      <w:r w:rsidRPr="00132EAD">
        <w:rPr>
          <w:iCs/>
        </w:rPr>
        <w:t>price calculated over the first two years of treatment</w:t>
      </w:r>
      <w:r w:rsidR="00304968" w:rsidRPr="00132EAD">
        <w:rPr>
          <w:iCs/>
        </w:rPr>
        <w:t>,</w:t>
      </w:r>
      <w:r w:rsidRPr="00132EAD">
        <w:rPr>
          <w:iCs/>
        </w:rPr>
        <w:t xml:space="preserve"> estimated during the evaluation as $</w:t>
      </w:r>
      <w:r w:rsidR="00157528">
        <w:rPr>
          <w:iCs/>
          <w:noProof/>
          <w:color w:val="000000"/>
          <w:highlight w:val="black"/>
        </w:rPr>
        <w:t>''''''''''''''''</w:t>
      </w:r>
      <w:r w:rsidRPr="00132EAD">
        <w:rPr>
          <w:iCs/>
        </w:rPr>
        <w:t xml:space="preserve"> (CZP </w:t>
      </w:r>
      <w:r w:rsidR="005F068F">
        <w:rPr>
          <w:iCs/>
        </w:rPr>
        <w:t>2</w:t>
      </w:r>
      <w:r w:rsidRPr="00132EAD">
        <w:rPr>
          <w:iCs/>
        </w:rPr>
        <w:t xml:space="preserve">00mg </w:t>
      </w:r>
      <w:r w:rsidRPr="00132EAD">
        <w:rPr>
          <w:iCs/>
        </w:rPr>
        <w:lastRenderedPageBreak/>
        <w:t>Q4W) or $</w:t>
      </w:r>
      <w:r w:rsidR="00157528">
        <w:rPr>
          <w:iCs/>
          <w:noProof/>
          <w:color w:val="000000"/>
          <w:highlight w:val="black"/>
        </w:rPr>
        <w:t>'''''''''''''''</w:t>
      </w:r>
      <w:r w:rsidRPr="00132EAD">
        <w:rPr>
          <w:iCs/>
        </w:rPr>
        <w:t xml:space="preserve"> (assuming </w:t>
      </w:r>
      <w:r w:rsidR="00157528">
        <w:rPr>
          <w:iCs/>
          <w:noProof/>
          <w:color w:val="000000"/>
          <w:highlight w:val="black"/>
        </w:rPr>
        <w:t>'''''''''''</w:t>
      </w:r>
      <w:r w:rsidR="00304968" w:rsidRPr="00132EAD">
        <w:rPr>
          <w:iCs/>
        </w:rPr>
        <w:t>,</w:t>
      </w:r>
      <w:r w:rsidRPr="00132EAD">
        <w:rPr>
          <w:iCs/>
        </w:rPr>
        <w:t xml:space="preserve"> CZP 200mg Q2W </w:t>
      </w:r>
      <w:r w:rsidR="00304968" w:rsidRPr="00132EAD">
        <w:rPr>
          <w:iCs/>
        </w:rPr>
        <w:t xml:space="preserve">and </w:t>
      </w:r>
      <w:r w:rsidRPr="00132EAD">
        <w:rPr>
          <w:iCs/>
        </w:rPr>
        <w:t>400mg Q4W).</w:t>
      </w:r>
      <w:r w:rsidR="005F068F" w:rsidRPr="005F068F">
        <w:rPr>
          <w:iCs/>
        </w:rPr>
        <w:t xml:space="preserve"> </w:t>
      </w:r>
      <w:r w:rsidR="005F068F" w:rsidRPr="00132EAD">
        <w:rPr>
          <w:iCs/>
        </w:rPr>
        <w:t xml:space="preserve">In the Pre-PBAC response, the sponsor accepted the AEMP of the </w:t>
      </w:r>
      <w:r w:rsidR="00157528">
        <w:rPr>
          <w:iCs/>
          <w:noProof/>
          <w:color w:val="000000"/>
          <w:highlight w:val="black"/>
        </w:rPr>
        <w:t>''''''''''''</w:t>
      </w:r>
      <w:r w:rsidR="005F068F" w:rsidRPr="00132EAD">
        <w:rPr>
          <w:iCs/>
        </w:rPr>
        <w:t xml:space="preserve"> weighted price of $</w:t>
      </w:r>
      <w:r w:rsidR="00157528">
        <w:rPr>
          <w:iCs/>
          <w:noProof/>
          <w:color w:val="000000"/>
          <w:highlight w:val="black"/>
        </w:rPr>
        <w:t>'''''''''''''''''</w:t>
      </w:r>
      <w:r w:rsidR="005F068F" w:rsidRPr="00132EAD">
        <w:rPr>
          <w:iCs/>
        </w:rPr>
        <w:t xml:space="preserve"> calculated over the first </w:t>
      </w:r>
      <w:r w:rsidR="00157528">
        <w:rPr>
          <w:iCs/>
          <w:noProof/>
          <w:color w:val="000000"/>
          <w:highlight w:val="black"/>
        </w:rPr>
        <w:t>'''</w:t>
      </w:r>
      <w:r w:rsidR="005F068F" w:rsidRPr="00132EAD">
        <w:rPr>
          <w:iCs/>
        </w:rPr>
        <w:t xml:space="preserve"> years of treatment. </w:t>
      </w:r>
    </w:p>
    <w:p w:rsidR="00C25D9C" w:rsidRPr="00132EAD" w:rsidRDefault="00DE0A07" w:rsidP="00E97A9E">
      <w:pPr>
        <w:pStyle w:val="Heading2"/>
      </w:pPr>
      <w:bookmarkStart w:id="14" w:name="_Toc19717650"/>
      <w:r w:rsidRPr="00132EAD">
        <w:t>Drug cost/patient/</w:t>
      </w:r>
      <w:r w:rsidR="00C25D9C" w:rsidRPr="00132EAD">
        <w:t>year</w:t>
      </w:r>
      <w:bookmarkEnd w:id="14"/>
      <w:r w:rsidR="0055059C">
        <w:t>: $</w:t>
      </w:r>
      <w:r w:rsidR="00157528">
        <w:rPr>
          <w:noProof/>
          <w:color w:val="000000"/>
          <w:highlight w:val="black"/>
        </w:rPr>
        <w:t>'''''''''''''''''''</w:t>
      </w:r>
    </w:p>
    <w:p w:rsidR="00DE0A07" w:rsidRPr="00132EAD" w:rsidRDefault="0055059C" w:rsidP="00E97A9E">
      <w:pPr>
        <w:pStyle w:val="ListParagraph"/>
        <w:numPr>
          <w:ilvl w:val="1"/>
          <w:numId w:val="3"/>
        </w:numPr>
      </w:pPr>
      <w:r>
        <w:t>A</w:t>
      </w:r>
      <w:r w:rsidR="00796534" w:rsidRPr="00132EAD">
        <w:t xml:space="preserve">ssuming </w:t>
      </w:r>
      <w:r w:rsidR="00FD5848" w:rsidRPr="00132EAD">
        <w:t>a DPMQ of $</w:t>
      </w:r>
      <w:r w:rsidR="00157528">
        <w:rPr>
          <w:noProof/>
          <w:color w:val="000000"/>
          <w:highlight w:val="black"/>
        </w:rPr>
        <w:t>'''''''''''''''</w:t>
      </w:r>
      <w:r w:rsidR="00FD5848" w:rsidRPr="00132EAD">
        <w:t xml:space="preserve"> (AEMP of $</w:t>
      </w:r>
      <w:r w:rsidR="00157528">
        <w:rPr>
          <w:noProof/>
          <w:color w:val="000000"/>
          <w:highlight w:val="black"/>
        </w:rPr>
        <w:t>''''''''''''''''</w:t>
      </w:r>
      <w:r w:rsidR="00FD5848" w:rsidRPr="00132EAD">
        <w:t xml:space="preserve">) and </w:t>
      </w:r>
      <w:r w:rsidR="00796534" w:rsidRPr="00132EAD">
        <w:t>15 scripts required for the first year of treatment inclusive of initial and continuing therapy</w:t>
      </w:r>
      <w:r>
        <w:t xml:space="preserve">, the cost per patient per year is </w:t>
      </w:r>
      <w:r w:rsidRPr="00132EAD">
        <w:t>$</w:t>
      </w:r>
      <w:r w:rsidR="00157528">
        <w:rPr>
          <w:noProof/>
          <w:color w:val="000000"/>
          <w:highlight w:val="black"/>
        </w:rPr>
        <w:t>''''''''''''''''''''</w:t>
      </w:r>
      <w:r w:rsidR="00132EAD">
        <w:t xml:space="preserve">. </w:t>
      </w:r>
      <w:r w:rsidR="00796534" w:rsidRPr="00132EAD">
        <w:rPr>
          <w:iCs/>
        </w:rPr>
        <w:t>Fifteen scripts provides for 54 weeks of treatment on CZP 200mg Q2W or 56 weeks of treatment on CZP 400mg Q2W</w:t>
      </w:r>
      <w:r w:rsidR="00132EAD">
        <w:rPr>
          <w:iCs/>
        </w:rPr>
        <w:t xml:space="preserve">. </w:t>
      </w:r>
      <w:r w:rsidR="00FD5848" w:rsidRPr="00132EAD">
        <w:rPr>
          <w:iCs/>
        </w:rPr>
        <w:t xml:space="preserve">The drug cost / patient / 52 weeks was </w:t>
      </w:r>
      <w:r w:rsidR="00DE0A07" w:rsidRPr="00132EAD">
        <w:rPr>
          <w:iCs/>
        </w:rPr>
        <w:t>$</w:t>
      </w:r>
      <w:r w:rsidR="00157528">
        <w:rPr>
          <w:iCs/>
          <w:noProof/>
          <w:color w:val="000000"/>
          <w:highlight w:val="black"/>
        </w:rPr>
        <w:t>''''''''''''''''''''</w:t>
      </w:r>
      <w:r w:rsidR="00DE0A07" w:rsidRPr="00132EAD">
        <w:t xml:space="preserve"> </w:t>
      </w:r>
      <w:r w:rsidR="00FD5848" w:rsidRPr="00132EAD">
        <w:rPr>
          <w:iCs/>
        </w:rPr>
        <w:t xml:space="preserve">for </w:t>
      </w:r>
      <w:r w:rsidR="00DE0A07" w:rsidRPr="00132EAD">
        <w:rPr>
          <w:iCs/>
        </w:rPr>
        <w:t>CZP 200mg Q2W</w:t>
      </w:r>
      <w:r w:rsidR="00FD5848" w:rsidRPr="00132EAD">
        <w:rPr>
          <w:iCs/>
        </w:rPr>
        <w:t xml:space="preserve"> (14.5 scripts</w:t>
      </w:r>
      <w:r w:rsidR="00DE0A07" w:rsidRPr="00132EAD">
        <w:rPr>
          <w:iCs/>
        </w:rPr>
        <w:t xml:space="preserve">) </w:t>
      </w:r>
      <w:r w:rsidR="00FD5848" w:rsidRPr="00132EAD">
        <w:rPr>
          <w:iCs/>
        </w:rPr>
        <w:t>and</w:t>
      </w:r>
      <w:r w:rsidR="00DE0A07" w:rsidRPr="00132EAD">
        <w:rPr>
          <w:iCs/>
        </w:rPr>
        <w:t xml:space="preserve"> $</w:t>
      </w:r>
      <w:r w:rsidR="00157528">
        <w:rPr>
          <w:iCs/>
          <w:noProof/>
          <w:color w:val="000000"/>
          <w:highlight w:val="black"/>
        </w:rPr>
        <w:t>'''''''''''''''''</w:t>
      </w:r>
      <w:r w:rsidR="00DE0A07" w:rsidRPr="00132EAD">
        <w:rPr>
          <w:iCs/>
        </w:rPr>
        <w:t xml:space="preserve"> (</w:t>
      </w:r>
      <w:r w:rsidR="00FD5848" w:rsidRPr="00132EAD">
        <w:rPr>
          <w:iCs/>
        </w:rPr>
        <w:t>14 scripts</w:t>
      </w:r>
      <w:r w:rsidR="00DE0A07" w:rsidRPr="00132EAD">
        <w:rPr>
          <w:iCs/>
        </w:rPr>
        <w:t>).</w:t>
      </w:r>
    </w:p>
    <w:p w:rsidR="00B60939" w:rsidRPr="00132EAD" w:rsidRDefault="00B60939" w:rsidP="00E97A9E">
      <w:pPr>
        <w:pStyle w:val="Heading2"/>
      </w:pPr>
      <w:bookmarkStart w:id="15" w:name="_Toc19717651"/>
      <w:r w:rsidRPr="00132EAD">
        <w:t>Estimated PBS usage &amp; financial implications</w:t>
      </w:r>
      <w:bookmarkEnd w:id="15"/>
    </w:p>
    <w:p w:rsidR="00B60149" w:rsidRPr="00132EAD" w:rsidRDefault="00706908" w:rsidP="00E97A9E">
      <w:pPr>
        <w:pStyle w:val="ListParagraph"/>
        <w:numPr>
          <w:ilvl w:val="1"/>
          <w:numId w:val="3"/>
        </w:numPr>
      </w:pPr>
      <w:r w:rsidRPr="00132EAD">
        <w:t>This submission was not considered by DUSC.</w:t>
      </w:r>
      <w:r>
        <w:t xml:space="preserve"> </w:t>
      </w:r>
      <w:r w:rsidR="00DE0A07" w:rsidRPr="00132EAD">
        <w:t xml:space="preserve">The </w:t>
      </w:r>
      <w:r w:rsidR="00652FAE" w:rsidRPr="00132EAD">
        <w:t xml:space="preserve">submission </w:t>
      </w:r>
      <w:r w:rsidR="00173A0F" w:rsidRPr="00132EAD">
        <w:t>estimated</w:t>
      </w:r>
      <w:r w:rsidR="00652FAE" w:rsidRPr="00132EAD">
        <w:t xml:space="preserve"> </w:t>
      </w:r>
      <w:r w:rsidR="00DE0A07" w:rsidRPr="00132EAD">
        <w:t xml:space="preserve">the total number of patients with </w:t>
      </w:r>
      <w:proofErr w:type="spellStart"/>
      <w:r w:rsidR="00DE0A07" w:rsidRPr="00132EAD">
        <w:t>nr-axSpA</w:t>
      </w:r>
      <w:proofErr w:type="spellEnd"/>
      <w:r w:rsidR="00DE0A07" w:rsidRPr="00132EAD">
        <w:t xml:space="preserve"> (MRI+ and CRP+) each year </w:t>
      </w:r>
      <w:r w:rsidR="00173A0F" w:rsidRPr="00132EAD">
        <w:t xml:space="preserve">based on epidemiological data </w:t>
      </w:r>
      <w:r w:rsidR="00DE0A07" w:rsidRPr="00132EAD">
        <w:t xml:space="preserve">and </w:t>
      </w:r>
      <w:r w:rsidR="00173A0F" w:rsidRPr="00132EAD">
        <w:t xml:space="preserve">assumed </w:t>
      </w:r>
      <w:r w:rsidR="00DE0A07" w:rsidRPr="00132EAD">
        <w:t xml:space="preserve">all patients remained eligible for </w:t>
      </w:r>
      <w:proofErr w:type="spellStart"/>
      <w:r w:rsidR="00DE0A07" w:rsidRPr="00132EAD">
        <w:t>bDMARD</w:t>
      </w:r>
      <w:proofErr w:type="spellEnd"/>
      <w:r w:rsidR="00DE0A07" w:rsidRPr="00132EAD">
        <w:t xml:space="preserve"> treatment irrespective of previous treatment failure</w:t>
      </w:r>
      <w:r w:rsidR="00132EAD">
        <w:t xml:space="preserve">. </w:t>
      </w:r>
      <w:r w:rsidR="00DE0A07" w:rsidRPr="00132EAD">
        <w:t xml:space="preserve">The model used historical market data in </w:t>
      </w:r>
      <w:r w:rsidR="00F07CF9" w:rsidRPr="00132EAD">
        <w:t>ankylosing spondylitis</w:t>
      </w:r>
      <w:r w:rsidR="00DE0A07" w:rsidRPr="00132EAD">
        <w:t xml:space="preserve"> to estimate the proportional use of initial and continuing therapy each year, and market-share assumptions to estimate the pr</w:t>
      </w:r>
      <w:r w:rsidR="00652FAE" w:rsidRPr="00132EAD">
        <w:t>oportional use of CZP and GLM.</w:t>
      </w:r>
      <w:r w:rsidR="00D91B3A" w:rsidRPr="00132EAD">
        <w:t xml:space="preserve"> </w:t>
      </w:r>
      <w:r w:rsidR="00C858C2" w:rsidRPr="00132EAD">
        <w:t>The est</w:t>
      </w:r>
      <w:r w:rsidR="00160364">
        <w:t>imates are summarised in Table 7</w:t>
      </w:r>
      <w:r w:rsidR="00C858C2" w:rsidRPr="00132EAD">
        <w:t xml:space="preserve">. </w:t>
      </w:r>
    </w:p>
    <w:p w:rsidR="00035462" w:rsidRPr="00132EAD" w:rsidRDefault="00035462" w:rsidP="00D27124">
      <w:pPr>
        <w:keepNext/>
        <w:keepLines/>
        <w:rPr>
          <w:rStyle w:val="CommentReference"/>
        </w:rPr>
      </w:pPr>
      <w:r w:rsidRPr="00132EAD">
        <w:rPr>
          <w:rStyle w:val="CommentReference"/>
        </w:rPr>
        <w:lastRenderedPageBreak/>
        <w:t xml:space="preserve">Table </w:t>
      </w:r>
      <w:r w:rsidR="00902D06">
        <w:rPr>
          <w:rStyle w:val="CommentReference"/>
        </w:rPr>
        <w:t>7</w:t>
      </w:r>
      <w:r w:rsidRPr="00132EAD">
        <w:rPr>
          <w:rStyle w:val="CommentReference"/>
        </w:rPr>
        <w:t>: Estimated use and financial implications to the PBS/RPBS of CZP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086"/>
        <w:gridCol w:w="1087"/>
        <w:gridCol w:w="1087"/>
        <w:gridCol w:w="1086"/>
        <w:gridCol w:w="1087"/>
        <w:gridCol w:w="1087"/>
      </w:tblGrid>
      <w:tr w:rsidR="00035462" w:rsidRPr="00132EAD" w:rsidTr="00625B2B">
        <w:trPr>
          <w:tblHeader/>
        </w:trPr>
        <w:tc>
          <w:tcPr>
            <w:tcW w:w="2547" w:type="dxa"/>
            <w:shd w:val="clear" w:color="auto" w:fill="auto"/>
            <w:vAlign w:val="center"/>
          </w:tcPr>
          <w:p w:rsidR="00035462" w:rsidRPr="00132EAD" w:rsidRDefault="00035462" w:rsidP="00D27124">
            <w:pPr>
              <w:pStyle w:val="Tabletext"/>
              <w:keepNext/>
              <w:keepLines/>
              <w:rPr>
                <w:b/>
              </w:rPr>
            </w:pPr>
          </w:p>
        </w:tc>
        <w:tc>
          <w:tcPr>
            <w:tcW w:w="1086" w:type="dxa"/>
            <w:shd w:val="clear" w:color="auto" w:fill="auto"/>
            <w:vAlign w:val="center"/>
          </w:tcPr>
          <w:p w:rsidR="00035462" w:rsidRPr="00132EAD" w:rsidRDefault="00035462" w:rsidP="00D27124">
            <w:pPr>
              <w:pStyle w:val="Tabletext"/>
              <w:keepNext/>
              <w:keepLines/>
              <w:jc w:val="center"/>
              <w:rPr>
                <w:b/>
              </w:rPr>
            </w:pPr>
            <w:r w:rsidRPr="00132EAD">
              <w:rPr>
                <w:b/>
              </w:rPr>
              <w:t>Year 1</w:t>
            </w:r>
          </w:p>
        </w:tc>
        <w:tc>
          <w:tcPr>
            <w:tcW w:w="1087" w:type="dxa"/>
            <w:shd w:val="clear" w:color="auto" w:fill="auto"/>
            <w:vAlign w:val="center"/>
          </w:tcPr>
          <w:p w:rsidR="00035462" w:rsidRPr="00132EAD" w:rsidRDefault="00035462" w:rsidP="00D27124">
            <w:pPr>
              <w:pStyle w:val="Tabletext"/>
              <w:keepNext/>
              <w:keepLines/>
              <w:jc w:val="center"/>
              <w:rPr>
                <w:b/>
              </w:rPr>
            </w:pPr>
            <w:r w:rsidRPr="00132EAD">
              <w:rPr>
                <w:b/>
              </w:rPr>
              <w:t>Year 2</w:t>
            </w:r>
          </w:p>
        </w:tc>
        <w:tc>
          <w:tcPr>
            <w:tcW w:w="1087" w:type="dxa"/>
            <w:shd w:val="clear" w:color="auto" w:fill="auto"/>
            <w:vAlign w:val="center"/>
          </w:tcPr>
          <w:p w:rsidR="00035462" w:rsidRPr="00132EAD" w:rsidRDefault="00035462" w:rsidP="00D27124">
            <w:pPr>
              <w:pStyle w:val="Tabletext"/>
              <w:keepNext/>
              <w:keepLines/>
              <w:jc w:val="center"/>
              <w:rPr>
                <w:b/>
              </w:rPr>
            </w:pPr>
            <w:r w:rsidRPr="00132EAD">
              <w:rPr>
                <w:b/>
              </w:rPr>
              <w:t>Year 3</w:t>
            </w:r>
          </w:p>
        </w:tc>
        <w:tc>
          <w:tcPr>
            <w:tcW w:w="1086" w:type="dxa"/>
            <w:shd w:val="clear" w:color="auto" w:fill="auto"/>
            <w:vAlign w:val="center"/>
          </w:tcPr>
          <w:p w:rsidR="00035462" w:rsidRPr="00132EAD" w:rsidRDefault="00035462" w:rsidP="00D27124">
            <w:pPr>
              <w:pStyle w:val="Tabletext"/>
              <w:keepNext/>
              <w:keepLines/>
              <w:jc w:val="center"/>
              <w:rPr>
                <w:b/>
              </w:rPr>
            </w:pPr>
            <w:r w:rsidRPr="00132EAD">
              <w:rPr>
                <w:b/>
              </w:rPr>
              <w:t>Year 4</w:t>
            </w:r>
          </w:p>
        </w:tc>
        <w:tc>
          <w:tcPr>
            <w:tcW w:w="1087" w:type="dxa"/>
            <w:shd w:val="clear" w:color="auto" w:fill="auto"/>
            <w:vAlign w:val="center"/>
          </w:tcPr>
          <w:p w:rsidR="00035462" w:rsidRPr="00132EAD" w:rsidRDefault="00035462" w:rsidP="00D27124">
            <w:pPr>
              <w:pStyle w:val="Tabletext"/>
              <w:keepNext/>
              <w:keepLines/>
              <w:jc w:val="center"/>
              <w:rPr>
                <w:b/>
              </w:rPr>
            </w:pPr>
            <w:r w:rsidRPr="00132EAD">
              <w:rPr>
                <w:b/>
              </w:rPr>
              <w:t>Year 5</w:t>
            </w:r>
          </w:p>
        </w:tc>
        <w:tc>
          <w:tcPr>
            <w:tcW w:w="1087" w:type="dxa"/>
            <w:shd w:val="clear" w:color="auto" w:fill="auto"/>
            <w:vAlign w:val="center"/>
          </w:tcPr>
          <w:p w:rsidR="00035462" w:rsidRPr="00132EAD" w:rsidRDefault="00035462" w:rsidP="00D27124">
            <w:pPr>
              <w:pStyle w:val="Tabletext"/>
              <w:keepNext/>
              <w:keepLines/>
              <w:jc w:val="center"/>
              <w:rPr>
                <w:b/>
              </w:rPr>
            </w:pPr>
            <w:r w:rsidRPr="00132EAD">
              <w:rPr>
                <w:b/>
              </w:rPr>
              <w:t>Year 6</w:t>
            </w:r>
          </w:p>
        </w:tc>
      </w:tr>
      <w:tr w:rsidR="00035462" w:rsidRPr="00132EAD" w:rsidTr="00625B2B">
        <w:trPr>
          <w:tblHeader/>
        </w:trPr>
        <w:tc>
          <w:tcPr>
            <w:tcW w:w="9067" w:type="dxa"/>
            <w:gridSpan w:val="7"/>
            <w:tcBorders>
              <w:bottom w:val="single" w:sz="4" w:space="0" w:color="auto"/>
            </w:tcBorders>
            <w:shd w:val="clear" w:color="auto" w:fill="auto"/>
            <w:vAlign w:val="center"/>
          </w:tcPr>
          <w:p w:rsidR="00035462" w:rsidRPr="00132EAD" w:rsidRDefault="00035462" w:rsidP="00D27124">
            <w:pPr>
              <w:pStyle w:val="Tabletext"/>
              <w:keepNext/>
              <w:keepLines/>
              <w:rPr>
                <w:b/>
              </w:rPr>
            </w:pPr>
            <w:r w:rsidRPr="00132EAD">
              <w:rPr>
                <w:b/>
              </w:rPr>
              <w:t xml:space="preserve">Estimated number of eligible patients with </w:t>
            </w:r>
            <w:proofErr w:type="spellStart"/>
            <w:r w:rsidRPr="00132EAD">
              <w:rPr>
                <w:b/>
              </w:rPr>
              <w:t>nr-axSpA</w:t>
            </w:r>
            <w:proofErr w:type="spellEnd"/>
            <w:r w:rsidRPr="00132EAD">
              <w:rPr>
                <w:b/>
              </w:rPr>
              <w:t xml:space="preserve"> (MRI+ and CRP+)</w:t>
            </w:r>
          </w:p>
        </w:tc>
      </w:tr>
      <w:tr w:rsidR="00035462" w:rsidRPr="00132EAD" w:rsidTr="00625B2B">
        <w:tc>
          <w:tcPr>
            <w:tcW w:w="2547" w:type="dxa"/>
            <w:tcBorders>
              <w:bottom w:val="nil"/>
            </w:tcBorders>
            <w:shd w:val="clear" w:color="auto" w:fill="auto"/>
            <w:vAlign w:val="center"/>
          </w:tcPr>
          <w:p w:rsidR="00035462" w:rsidRPr="00132EAD" w:rsidRDefault="00035462" w:rsidP="00D27124">
            <w:pPr>
              <w:pStyle w:val="Tabletext"/>
              <w:keepNext/>
              <w:keepLines/>
              <w:rPr>
                <w:b/>
                <w:bCs/>
              </w:rPr>
            </w:pPr>
            <w:r w:rsidRPr="00132EAD">
              <w:rPr>
                <w:b/>
                <w:bCs/>
              </w:rPr>
              <w:t>Eligible patients</w:t>
            </w:r>
          </w:p>
        </w:tc>
        <w:tc>
          <w:tcPr>
            <w:tcW w:w="1086" w:type="dxa"/>
            <w:tcBorders>
              <w:bottom w:val="nil"/>
            </w:tcBorders>
            <w:shd w:val="clear" w:color="auto" w:fill="auto"/>
            <w:vAlign w:val="bottom"/>
          </w:tcPr>
          <w:p w:rsidR="00035462" w:rsidRPr="00157528" w:rsidRDefault="00157528" w:rsidP="00D27124">
            <w:pPr>
              <w:pStyle w:val="Tabletext"/>
              <w:keepNext/>
              <w:keepLines/>
              <w:jc w:val="center"/>
              <w:rPr>
                <w:rFonts w:cs="Arial"/>
                <w:b/>
                <w:bCs/>
                <w:color w:val="000000"/>
                <w:highlight w:val="black"/>
              </w:rPr>
            </w:pPr>
            <w:r>
              <w:rPr>
                <w:rFonts w:cs="Arial"/>
                <w:b/>
                <w:bCs/>
                <w:noProof/>
                <w:color w:val="000000"/>
                <w:highlight w:val="black"/>
              </w:rPr>
              <w:t xml:space="preserve">''''''''''' </w:t>
            </w:r>
          </w:p>
        </w:tc>
        <w:tc>
          <w:tcPr>
            <w:tcW w:w="1087" w:type="dxa"/>
            <w:tcBorders>
              <w:bottom w:val="nil"/>
            </w:tcBorders>
            <w:shd w:val="clear" w:color="auto" w:fill="auto"/>
            <w:vAlign w:val="bottom"/>
          </w:tcPr>
          <w:p w:rsidR="00035462" w:rsidRPr="00157528" w:rsidRDefault="00157528" w:rsidP="00D27124">
            <w:pPr>
              <w:pStyle w:val="Tabletext"/>
              <w:keepNext/>
              <w:keepLines/>
              <w:jc w:val="center"/>
              <w:rPr>
                <w:rFonts w:cs="Arial"/>
                <w:b/>
                <w:bCs/>
                <w:color w:val="000000"/>
                <w:highlight w:val="black"/>
              </w:rPr>
            </w:pPr>
            <w:r>
              <w:rPr>
                <w:rFonts w:cs="Arial"/>
                <w:b/>
                <w:bCs/>
                <w:noProof/>
                <w:color w:val="000000"/>
                <w:highlight w:val="black"/>
              </w:rPr>
              <w:t xml:space="preserve">''''''''''' </w:t>
            </w:r>
          </w:p>
        </w:tc>
        <w:tc>
          <w:tcPr>
            <w:tcW w:w="1087" w:type="dxa"/>
            <w:tcBorders>
              <w:bottom w:val="nil"/>
            </w:tcBorders>
            <w:shd w:val="clear" w:color="auto" w:fill="auto"/>
            <w:vAlign w:val="bottom"/>
          </w:tcPr>
          <w:p w:rsidR="00035462" w:rsidRPr="00157528" w:rsidRDefault="00157528" w:rsidP="00D27124">
            <w:pPr>
              <w:pStyle w:val="Tabletext"/>
              <w:keepNext/>
              <w:keepLines/>
              <w:jc w:val="center"/>
              <w:rPr>
                <w:rFonts w:cs="Arial"/>
                <w:b/>
                <w:bCs/>
                <w:color w:val="000000"/>
                <w:highlight w:val="black"/>
              </w:rPr>
            </w:pPr>
            <w:r>
              <w:rPr>
                <w:rFonts w:cs="Arial"/>
                <w:b/>
                <w:bCs/>
                <w:noProof/>
                <w:color w:val="000000"/>
                <w:highlight w:val="black"/>
              </w:rPr>
              <w:t xml:space="preserve">''''''''''' </w:t>
            </w:r>
          </w:p>
        </w:tc>
        <w:tc>
          <w:tcPr>
            <w:tcW w:w="1086" w:type="dxa"/>
            <w:tcBorders>
              <w:bottom w:val="nil"/>
            </w:tcBorders>
            <w:shd w:val="clear" w:color="auto" w:fill="auto"/>
            <w:vAlign w:val="bottom"/>
          </w:tcPr>
          <w:p w:rsidR="00035462" w:rsidRPr="00157528" w:rsidRDefault="00157528" w:rsidP="00D27124">
            <w:pPr>
              <w:pStyle w:val="Tabletext"/>
              <w:keepNext/>
              <w:keepLines/>
              <w:jc w:val="center"/>
              <w:rPr>
                <w:rFonts w:cs="Arial"/>
                <w:b/>
                <w:bCs/>
                <w:color w:val="000000"/>
                <w:highlight w:val="black"/>
              </w:rPr>
            </w:pPr>
            <w:r>
              <w:rPr>
                <w:rFonts w:cs="Arial"/>
                <w:b/>
                <w:bCs/>
                <w:noProof/>
                <w:color w:val="000000"/>
                <w:highlight w:val="black"/>
              </w:rPr>
              <w:t xml:space="preserve">'''''''''' </w:t>
            </w:r>
          </w:p>
        </w:tc>
        <w:tc>
          <w:tcPr>
            <w:tcW w:w="1087" w:type="dxa"/>
            <w:tcBorders>
              <w:bottom w:val="nil"/>
            </w:tcBorders>
            <w:shd w:val="clear" w:color="auto" w:fill="auto"/>
            <w:vAlign w:val="bottom"/>
          </w:tcPr>
          <w:p w:rsidR="00035462" w:rsidRPr="00157528" w:rsidRDefault="00157528" w:rsidP="00D27124">
            <w:pPr>
              <w:pStyle w:val="Tabletext"/>
              <w:keepNext/>
              <w:keepLines/>
              <w:jc w:val="center"/>
              <w:rPr>
                <w:rFonts w:cs="Arial"/>
                <w:b/>
                <w:bCs/>
                <w:color w:val="000000"/>
                <w:highlight w:val="black"/>
              </w:rPr>
            </w:pPr>
            <w:r>
              <w:rPr>
                <w:rFonts w:cs="Arial"/>
                <w:b/>
                <w:bCs/>
                <w:noProof/>
                <w:color w:val="000000"/>
                <w:highlight w:val="black"/>
              </w:rPr>
              <w:t xml:space="preserve">'''''''''' </w:t>
            </w:r>
          </w:p>
        </w:tc>
        <w:tc>
          <w:tcPr>
            <w:tcW w:w="1087" w:type="dxa"/>
            <w:tcBorders>
              <w:bottom w:val="nil"/>
            </w:tcBorders>
            <w:shd w:val="clear" w:color="auto" w:fill="auto"/>
            <w:vAlign w:val="bottom"/>
          </w:tcPr>
          <w:p w:rsidR="00035462" w:rsidRPr="00157528" w:rsidRDefault="00157528" w:rsidP="00D27124">
            <w:pPr>
              <w:pStyle w:val="Tabletext"/>
              <w:keepNext/>
              <w:keepLines/>
              <w:jc w:val="center"/>
              <w:rPr>
                <w:rFonts w:cs="Arial"/>
                <w:b/>
                <w:bCs/>
                <w:color w:val="000000"/>
                <w:highlight w:val="black"/>
              </w:rPr>
            </w:pPr>
            <w:r>
              <w:rPr>
                <w:rFonts w:cs="Arial"/>
                <w:b/>
                <w:bCs/>
                <w:noProof/>
                <w:color w:val="000000"/>
                <w:highlight w:val="black"/>
              </w:rPr>
              <w:t xml:space="preserve">''''''''''' </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Incident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tc>
      </w:tr>
      <w:tr w:rsidR="00035462" w:rsidRPr="00132EAD" w:rsidTr="00625B2B">
        <w:tc>
          <w:tcPr>
            <w:tcW w:w="2547" w:type="dxa"/>
            <w:tcBorders>
              <w:top w:val="nil"/>
              <w:bottom w:val="single" w:sz="4" w:space="0" w:color="auto"/>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Prevalent</w:t>
            </w:r>
          </w:p>
        </w:tc>
        <w:tc>
          <w:tcPr>
            <w:tcW w:w="1086" w:type="dxa"/>
            <w:tcBorders>
              <w:top w:val="nil"/>
              <w:bottom w:val="single" w:sz="4" w:space="0" w:color="auto"/>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 xml:space="preserve">'''''''''''''' </w:t>
            </w:r>
          </w:p>
        </w:tc>
        <w:tc>
          <w:tcPr>
            <w:tcW w:w="1087" w:type="dxa"/>
            <w:tcBorders>
              <w:top w:val="nil"/>
              <w:bottom w:val="single" w:sz="4" w:space="0" w:color="auto"/>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 xml:space="preserve">''''''''''''' </w:t>
            </w:r>
          </w:p>
        </w:tc>
        <w:tc>
          <w:tcPr>
            <w:tcW w:w="1087" w:type="dxa"/>
            <w:tcBorders>
              <w:top w:val="nil"/>
              <w:bottom w:val="single" w:sz="4" w:space="0" w:color="auto"/>
            </w:tcBorders>
            <w:shd w:val="clear" w:color="auto" w:fill="auto"/>
            <w:vAlign w:val="center"/>
          </w:tcPr>
          <w:p w:rsidR="00412EF5"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w:t>
            </w:r>
          </w:p>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 xml:space="preserve">''' </w:t>
            </w:r>
          </w:p>
        </w:tc>
        <w:tc>
          <w:tcPr>
            <w:tcW w:w="1086" w:type="dxa"/>
            <w:tcBorders>
              <w:top w:val="nil"/>
              <w:bottom w:val="single" w:sz="4" w:space="0" w:color="auto"/>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 xml:space="preserve">'''''''''''''' </w:t>
            </w:r>
          </w:p>
        </w:tc>
        <w:tc>
          <w:tcPr>
            <w:tcW w:w="1087" w:type="dxa"/>
            <w:tcBorders>
              <w:top w:val="nil"/>
              <w:bottom w:val="single" w:sz="4" w:space="0" w:color="auto"/>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 xml:space="preserve">''''''''''''''' </w:t>
            </w:r>
          </w:p>
        </w:tc>
        <w:tc>
          <w:tcPr>
            <w:tcW w:w="1087" w:type="dxa"/>
            <w:tcBorders>
              <w:top w:val="nil"/>
              <w:bottom w:val="single" w:sz="4" w:space="0" w:color="auto"/>
            </w:tcBorders>
            <w:shd w:val="clear" w:color="auto" w:fill="auto"/>
            <w:vAlign w:val="center"/>
          </w:tcPr>
          <w:p w:rsidR="00035462" w:rsidRPr="00157528" w:rsidRDefault="00157528" w:rsidP="00D27124">
            <w:pPr>
              <w:pStyle w:val="Tabletext"/>
              <w:keepNext/>
              <w:keepLines/>
              <w:jc w:val="center"/>
              <w:rPr>
                <w:rFonts w:cs="Arial"/>
                <w:color w:val="808080" w:themeColor="background1" w:themeShade="80"/>
                <w:highlight w:val="black"/>
              </w:rPr>
            </w:pPr>
            <w:r>
              <w:rPr>
                <w:rFonts w:cs="Arial"/>
                <w:noProof/>
                <w:color w:val="000000"/>
                <w:highlight w:val="black"/>
              </w:rPr>
              <w:t xml:space="preserve">'''''''''''''' </w:t>
            </w:r>
          </w:p>
        </w:tc>
      </w:tr>
      <w:tr w:rsidR="00035462" w:rsidRPr="00132EAD" w:rsidTr="00625B2B">
        <w:tc>
          <w:tcPr>
            <w:tcW w:w="9067" w:type="dxa"/>
            <w:gridSpan w:val="7"/>
            <w:tcBorders>
              <w:top w:val="nil"/>
              <w:bottom w:val="single" w:sz="4" w:space="0" w:color="auto"/>
            </w:tcBorders>
            <w:shd w:val="clear" w:color="auto" w:fill="auto"/>
            <w:vAlign w:val="center"/>
          </w:tcPr>
          <w:p w:rsidR="00035462" w:rsidRPr="00132EAD" w:rsidRDefault="00035462" w:rsidP="00D27124">
            <w:pPr>
              <w:pStyle w:val="Tabletext"/>
              <w:keepNext/>
              <w:keepLines/>
              <w:rPr>
                <w:rFonts w:cs="Arial"/>
                <w:color w:val="000000"/>
              </w:rPr>
            </w:pPr>
            <w:r w:rsidRPr="00132EAD">
              <w:rPr>
                <w:b/>
              </w:rPr>
              <w:t xml:space="preserve">Estimated use of </w:t>
            </w:r>
            <w:proofErr w:type="spellStart"/>
            <w:r w:rsidRPr="00132EAD">
              <w:rPr>
                <w:b/>
              </w:rPr>
              <w:t>bDMARDs</w:t>
            </w:r>
            <w:proofErr w:type="spellEnd"/>
            <w:r w:rsidRPr="00132EAD">
              <w:rPr>
                <w:b/>
              </w:rPr>
              <w:t xml:space="preserve"> for </w:t>
            </w:r>
            <w:proofErr w:type="spellStart"/>
            <w:r w:rsidRPr="00132EAD">
              <w:rPr>
                <w:b/>
              </w:rPr>
              <w:t>nr-axSpA</w:t>
            </w:r>
            <w:proofErr w:type="spellEnd"/>
            <w:r w:rsidRPr="00132EAD">
              <w:rPr>
                <w:b/>
              </w:rPr>
              <w:t xml:space="preserve"> without CZP (current world with GLM only)</w:t>
            </w:r>
          </w:p>
        </w:tc>
      </w:tr>
      <w:tr w:rsidR="00035462" w:rsidRPr="00132EAD" w:rsidTr="00625B2B">
        <w:tc>
          <w:tcPr>
            <w:tcW w:w="2547" w:type="dxa"/>
            <w:tcBorders>
              <w:top w:val="single" w:sz="4" w:space="0" w:color="auto"/>
              <w:bottom w:val="nil"/>
            </w:tcBorders>
            <w:shd w:val="clear" w:color="auto" w:fill="auto"/>
            <w:vAlign w:val="center"/>
          </w:tcPr>
          <w:p w:rsidR="00035462" w:rsidRPr="00132EAD" w:rsidRDefault="00035462" w:rsidP="00D27124">
            <w:pPr>
              <w:pStyle w:val="Tabletext"/>
              <w:keepNext/>
              <w:keepLines/>
            </w:pPr>
            <w:r w:rsidRPr="00132EAD">
              <w:t>GLM patients treated</w:t>
            </w:r>
          </w:p>
        </w:tc>
        <w:tc>
          <w:tcPr>
            <w:tcW w:w="1086" w:type="dxa"/>
            <w:tcBorders>
              <w:top w:val="single" w:sz="4" w:space="0" w:color="auto"/>
              <w:bottom w:val="nil"/>
            </w:tcBorders>
            <w:shd w:val="clear" w:color="auto" w:fill="auto"/>
            <w:vAlign w:val="center"/>
          </w:tcPr>
          <w:p w:rsidR="00035462" w:rsidRPr="00157528" w:rsidRDefault="00157528" w:rsidP="00D27124">
            <w:pPr>
              <w:pStyle w:val="Tabletext"/>
              <w:keepNext/>
              <w:keepLines/>
              <w:jc w:val="center"/>
              <w:rPr>
                <w:rFonts w:cs="Arial"/>
                <w:color w:val="000000"/>
                <w:highlight w:val="black"/>
              </w:rPr>
            </w:pPr>
            <w:r>
              <w:rPr>
                <w:rFonts w:cs="Arial"/>
                <w:noProof/>
                <w:color w:val="000000"/>
                <w:highlight w:val="black"/>
              </w:rPr>
              <w:t xml:space="preserve">''''''''''''' </w:t>
            </w:r>
          </w:p>
        </w:tc>
        <w:tc>
          <w:tcPr>
            <w:tcW w:w="1087" w:type="dxa"/>
            <w:tcBorders>
              <w:top w:val="single" w:sz="4" w:space="0" w:color="auto"/>
              <w:bottom w:val="nil"/>
            </w:tcBorders>
            <w:shd w:val="clear" w:color="auto" w:fill="auto"/>
            <w:vAlign w:val="center"/>
          </w:tcPr>
          <w:p w:rsidR="00035462" w:rsidRPr="00157528" w:rsidRDefault="00157528" w:rsidP="00D27124">
            <w:pPr>
              <w:pStyle w:val="Tabletext"/>
              <w:keepNext/>
              <w:keepLines/>
              <w:jc w:val="center"/>
              <w:rPr>
                <w:rFonts w:cs="Arial"/>
                <w:color w:val="000000"/>
                <w:highlight w:val="black"/>
              </w:rPr>
            </w:pPr>
            <w:r>
              <w:rPr>
                <w:rFonts w:cs="Arial"/>
                <w:noProof/>
                <w:color w:val="000000"/>
                <w:highlight w:val="black"/>
              </w:rPr>
              <w:t xml:space="preserve">''''''''''''''' </w:t>
            </w:r>
          </w:p>
        </w:tc>
        <w:tc>
          <w:tcPr>
            <w:tcW w:w="1087" w:type="dxa"/>
            <w:tcBorders>
              <w:top w:val="single" w:sz="4" w:space="0" w:color="auto"/>
              <w:bottom w:val="nil"/>
            </w:tcBorders>
            <w:shd w:val="clear" w:color="auto" w:fill="auto"/>
            <w:vAlign w:val="center"/>
          </w:tcPr>
          <w:p w:rsidR="00035462" w:rsidRPr="00157528" w:rsidRDefault="00157528" w:rsidP="00D27124">
            <w:pPr>
              <w:pStyle w:val="Tabletext"/>
              <w:keepNext/>
              <w:keepLines/>
              <w:jc w:val="center"/>
              <w:rPr>
                <w:rFonts w:cs="Arial"/>
                <w:color w:val="000000"/>
                <w:highlight w:val="black"/>
              </w:rPr>
            </w:pPr>
            <w:r>
              <w:rPr>
                <w:rFonts w:cs="Arial"/>
                <w:noProof/>
                <w:color w:val="000000"/>
                <w:highlight w:val="black"/>
              </w:rPr>
              <w:t xml:space="preserve">'''''''''''''' </w:t>
            </w:r>
          </w:p>
        </w:tc>
        <w:tc>
          <w:tcPr>
            <w:tcW w:w="1086" w:type="dxa"/>
            <w:tcBorders>
              <w:top w:val="single" w:sz="4" w:space="0" w:color="auto"/>
              <w:bottom w:val="nil"/>
            </w:tcBorders>
            <w:shd w:val="clear" w:color="auto" w:fill="auto"/>
            <w:vAlign w:val="center"/>
          </w:tcPr>
          <w:p w:rsidR="00035462" w:rsidRPr="00157528" w:rsidRDefault="00157528" w:rsidP="00D27124">
            <w:pPr>
              <w:pStyle w:val="Tabletext"/>
              <w:keepNext/>
              <w:keepLines/>
              <w:jc w:val="center"/>
              <w:rPr>
                <w:rFonts w:cs="Arial"/>
                <w:color w:val="000000"/>
                <w:highlight w:val="black"/>
              </w:rPr>
            </w:pPr>
            <w:r>
              <w:rPr>
                <w:rFonts w:cs="Arial"/>
                <w:noProof/>
                <w:color w:val="000000"/>
                <w:highlight w:val="black"/>
              </w:rPr>
              <w:t xml:space="preserve">'''''''''''''' </w:t>
            </w:r>
          </w:p>
        </w:tc>
        <w:tc>
          <w:tcPr>
            <w:tcW w:w="1087" w:type="dxa"/>
            <w:tcBorders>
              <w:top w:val="single" w:sz="4" w:space="0" w:color="auto"/>
              <w:bottom w:val="nil"/>
            </w:tcBorders>
            <w:shd w:val="clear" w:color="auto" w:fill="auto"/>
            <w:vAlign w:val="center"/>
          </w:tcPr>
          <w:p w:rsidR="00035462" w:rsidRPr="00157528" w:rsidRDefault="00157528" w:rsidP="00D27124">
            <w:pPr>
              <w:pStyle w:val="Tabletext"/>
              <w:keepNext/>
              <w:keepLines/>
              <w:jc w:val="center"/>
              <w:rPr>
                <w:rFonts w:cs="Arial"/>
                <w:color w:val="000000"/>
                <w:highlight w:val="black"/>
              </w:rPr>
            </w:pPr>
            <w:r>
              <w:rPr>
                <w:rFonts w:cs="Arial"/>
                <w:noProof/>
                <w:color w:val="000000"/>
                <w:highlight w:val="black"/>
              </w:rPr>
              <w:t xml:space="preserve">'''''''''''''' </w:t>
            </w:r>
          </w:p>
        </w:tc>
        <w:tc>
          <w:tcPr>
            <w:tcW w:w="1087" w:type="dxa"/>
            <w:tcBorders>
              <w:top w:val="single" w:sz="4" w:space="0" w:color="auto"/>
              <w:bottom w:val="nil"/>
            </w:tcBorders>
            <w:shd w:val="clear" w:color="auto" w:fill="auto"/>
            <w:vAlign w:val="center"/>
          </w:tcPr>
          <w:p w:rsidR="00035462" w:rsidRPr="00157528" w:rsidRDefault="00157528" w:rsidP="00D27124">
            <w:pPr>
              <w:pStyle w:val="Tabletext"/>
              <w:keepNext/>
              <w:keepLines/>
              <w:jc w:val="center"/>
              <w:rPr>
                <w:rFonts w:cs="Arial"/>
                <w:color w:val="000000"/>
                <w:highlight w:val="black"/>
              </w:rPr>
            </w:pPr>
            <w:r>
              <w:rPr>
                <w:rFonts w:cs="Arial"/>
                <w:noProof/>
                <w:color w:val="000000"/>
                <w:highlight w:val="black"/>
              </w:rPr>
              <w:t xml:space="preserve">'''''''''''''' </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rPr>
                <w:b/>
                <w:bCs/>
              </w:rPr>
            </w:pPr>
            <w:r w:rsidRPr="00132EAD">
              <w:rPr>
                <w:b/>
                <w:bCs/>
              </w:rPr>
              <w:t>GLM scripts^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b/>
                <w:bCs/>
                <w:color w:val="000000"/>
                <w:highlight w:val="black"/>
              </w:rPr>
            </w:pPr>
            <w:r>
              <w:rPr>
                <w:b/>
                <w:bCs/>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b/>
                <w:bCs/>
                <w:color w:val="000000"/>
                <w:highlight w:val="black"/>
              </w:rPr>
            </w:pPr>
            <w:r>
              <w:rPr>
                <w:b/>
                <w:bCs/>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b/>
                <w:bCs/>
                <w:color w:val="000000"/>
                <w:highlight w:val="black"/>
              </w:rPr>
            </w:pPr>
            <w:r>
              <w:rPr>
                <w:b/>
                <w:bCs/>
                <w:iCs/>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b/>
                <w:bCs/>
                <w:color w:val="000000"/>
                <w:highlight w:val="black"/>
              </w:rPr>
            </w:pPr>
            <w:r>
              <w:rPr>
                <w:b/>
                <w:bCs/>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b/>
                <w:bCs/>
                <w:color w:val="000000"/>
                <w:highlight w:val="black"/>
              </w:rPr>
            </w:pPr>
            <w:r>
              <w:rPr>
                <w:b/>
                <w:bCs/>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b/>
                <w:bCs/>
                <w:color w:val="000000"/>
                <w:highlight w:val="black"/>
              </w:rPr>
            </w:pPr>
            <w:r>
              <w:rPr>
                <w:b/>
                <w:bCs/>
                <w:iCs/>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GLM initial (0-16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i/>
                <w:iCs/>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
                <w:iCs/>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
                <w:iCs/>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i/>
                <w:iCs/>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
                <w:iCs/>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
                <w:iCs/>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GLM continuing (17-52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GLM continuing (52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iCs/>
                <w:color w:val="808080" w:themeColor="background1" w:themeShade="80"/>
                <w:highlight w:val="black"/>
              </w:rPr>
            </w:pPr>
            <w:r>
              <w:rPr>
                <w:iCs/>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pPr>
            <w:r w:rsidRPr="00132EAD">
              <w:t xml:space="preserve">GLM PBS/RPBS cost </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iCs/>
                <w:color w:val="00000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iCs/>
                <w:color w:val="00000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iCs/>
                <w:color w:val="000000"/>
                <w:highlight w:val="black"/>
              </w:rPr>
            </w:pPr>
            <w:r>
              <w:rPr>
                <w:iCs/>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iCs/>
                <w:color w:val="00000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iCs/>
                <w:color w:val="000000"/>
                <w:highlight w:val="black"/>
              </w:rPr>
            </w:pPr>
            <w:r>
              <w:rPr>
                <w:i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rFonts w:cs="Arial"/>
                <w:iCs/>
                <w:color w:val="000000"/>
                <w:highlight w:val="black"/>
              </w:rPr>
            </w:pPr>
            <w:r>
              <w:rPr>
                <w:iCs/>
                <w:noProof/>
                <w:color w:val="000000"/>
                <w:highlight w:val="black"/>
              </w:rPr>
              <w:t>''''''''''''''''''''''''''''''</w:t>
            </w:r>
          </w:p>
        </w:tc>
      </w:tr>
      <w:tr w:rsidR="00035462" w:rsidRPr="00132EAD" w:rsidTr="00625B2B">
        <w:tc>
          <w:tcPr>
            <w:tcW w:w="2547" w:type="dxa"/>
            <w:tcBorders>
              <w:top w:val="nil"/>
            </w:tcBorders>
            <w:shd w:val="clear" w:color="auto" w:fill="auto"/>
            <w:vAlign w:val="center"/>
          </w:tcPr>
          <w:p w:rsidR="00035462" w:rsidRPr="00132EAD" w:rsidRDefault="00035462" w:rsidP="00D27124">
            <w:pPr>
              <w:pStyle w:val="Tabletext"/>
              <w:keepNext/>
              <w:keepLines/>
            </w:pPr>
            <w:r w:rsidRPr="00132EAD">
              <w:rPr>
                <w:b/>
                <w:bCs/>
              </w:rPr>
              <w:t xml:space="preserve">GLM net PBS/RPBS cost </w:t>
            </w:r>
          </w:p>
        </w:tc>
        <w:tc>
          <w:tcPr>
            <w:tcW w:w="1086" w:type="dxa"/>
            <w:tcBorders>
              <w:top w:val="nil"/>
            </w:tcBorders>
            <w:shd w:val="clear" w:color="auto" w:fill="auto"/>
          </w:tcPr>
          <w:p w:rsidR="00035462" w:rsidRPr="00157528" w:rsidRDefault="00157528" w:rsidP="00D27124">
            <w:pPr>
              <w:pStyle w:val="Tabletext"/>
              <w:keepNext/>
              <w:keepLines/>
              <w:jc w:val="center"/>
              <w:rPr>
                <w:rFonts w:cs="Arial"/>
                <w:b/>
                <w:bCs/>
                <w:iCs/>
                <w:color w:val="000000"/>
                <w:highlight w:val="black"/>
              </w:rPr>
            </w:pPr>
            <w:r>
              <w:rPr>
                <w:b/>
                <w:bCs/>
                <w:iCs/>
                <w:noProof/>
                <w:color w:val="000000"/>
                <w:highlight w:val="black"/>
              </w:rPr>
              <w:t>''''''''''''''''''''''''</w:t>
            </w:r>
          </w:p>
        </w:tc>
        <w:tc>
          <w:tcPr>
            <w:tcW w:w="1087" w:type="dxa"/>
            <w:tcBorders>
              <w:top w:val="nil"/>
            </w:tcBorders>
            <w:shd w:val="clear" w:color="auto" w:fill="auto"/>
          </w:tcPr>
          <w:p w:rsidR="00035462" w:rsidRPr="00157528" w:rsidRDefault="00157528" w:rsidP="00D27124">
            <w:pPr>
              <w:pStyle w:val="Tabletext"/>
              <w:keepNext/>
              <w:keepLines/>
              <w:jc w:val="center"/>
              <w:rPr>
                <w:rFonts w:cs="Arial"/>
                <w:b/>
                <w:bCs/>
                <w:iCs/>
                <w:color w:val="000000"/>
                <w:highlight w:val="black"/>
              </w:rPr>
            </w:pPr>
            <w:r>
              <w:rPr>
                <w:b/>
                <w:bCs/>
                <w:iCs/>
                <w:noProof/>
                <w:color w:val="000000"/>
                <w:highlight w:val="black"/>
              </w:rPr>
              <w:t>'''''''''''''''''''''''</w:t>
            </w:r>
          </w:p>
        </w:tc>
        <w:tc>
          <w:tcPr>
            <w:tcW w:w="1087" w:type="dxa"/>
            <w:tcBorders>
              <w:top w:val="nil"/>
            </w:tcBorders>
            <w:shd w:val="clear" w:color="auto" w:fill="auto"/>
          </w:tcPr>
          <w:p w:rsidR="00035462" w:rsidRPr="00157528" w:rsidRDefault="00157528" w:rsidP="00D27124">
            <w:pPr>
              <w:pStyle w:val="Tabletext"/>
              <w:keepNext/>
              <w:keepLines/>
              <w:jc w:val="center"/>
              <w:rPr>
                <w:rFonts w:cs="Arial"/>
                <w:b/>
                <w:bCs/>
                <w:iCs/>
                <w:color w:val="000000"/>
                <w:highlight w:val="black"/>
              </w:rPr>
            </w:pPr>
            <w:r>
              <w:rPr>
                <w:b/>
                <w:bCs/>
                <w:iCs/>
                <w:noProof/>
                <w:color w:val="000000"/>
                <w:highlight w:val="black"/>
              </w:rPr>
              <w:t>''''''''''''''''''''''''''</w:t>
            </w:r>
          </w:p>
        </w:tc>
        <w:tc>
          <w:tcPr>
            <w:tcW w:w="1086" w:type="dxa"/>
            <w:tcBorders>
              <w:top w:val="nil"/>
            </w:tcBorders>
            <w:shd w:val="clear" w:color="auto" w:fill="auto"/>
          </w:tcPr>
          <w:p w:rsidR="00035462" w:rsidRPr="00157528" w:rsidRDefault="00157528" w:rsidP="00D27124">
            <w:pPr>
              <w:pStyle w:val="Tabletext"/>
              <w:keepNext/>
              <w:keepLines/>
              <w:jc w:val="center"/>
              <w:rPr>
                <w:rFonts w:cs="Arial"/>
                <w:b/>
                <w:bCs/>
                <w:iCs/>
                <w:color w:val="000000"/>
                <w:highlight w:val="black"/>
              </w:rPr>
            </w:pPr>
            <w:r>
              <w:rPr>
                <w:b/>
                <w:bCs/>
                <w:iCs/>
                <w:noProof/>
                <w:color w:val="000000"/>
                <w:highlight w:val="black"/>
              </w:rPr>
              <w:t>''''''''''''''''''''''</w:t>
            </w:r>
          </w:p>
        </w:tc>
        <w:tc>
          <w:tcPr>
            <w:tcW w:w="1087" w:type="dxa"/>
            <w:tcBorders>
              <w:top w:val="nil"/>
            </w:tcBorders>
            <w:shd w:val="clear" w:color="auto" w:fill="auto"/>
          </w:tcPr>
          <w:p w:rsidR="00035462" w:rsidRPr="00157528" w:rsidRDefault="00157528" w:rsidP="00D27124">
            <w:pPr>
              <w:pStyle w:val="Tabletext"/>
              <w:keepNext/>
              <w:keepLines/>
              <w:jc w:val="center"/>
              <w:rPr>
                <w:rFonts w:cs="Arial"/>
                <w:b/>
                <w:bCs/>
                <w:iCs/>
                <w:color w:val="000000"/>
                <w:highlight w:val="black"/>
              </w:rPr>
            </w:pPr>
            <w:r>
              <w:rPr>
                <w:b/>
                <w:bCs/>
                <w:iCs/>
                <w:noProof/>
                <w:color w:val="000000"/>
                <w:highlight w:val="black"/>
              </w:rPr>
              <w:t>''''''''''''''''''''''</w:t>
            </w:r>
          </w:p>
        </w:tc>
        <w:tc>
          <w:tcPr>
            <w:tcW w:w="1087" w:type="dxa"/>
            <w:tcBorders>
              <w:top w:val="nil"/>
            </w:tcBorders>
            <w:shd w:val="clear" w:color="auto" w:fill="auto"/>
          </w:tcPr>
          <w:p w:rsidR="00035462" w:rsidRPr="00157528" w:rsidRDefault="00157528" w:rsidP="00D27124">
            <w:pPr>
              <w:pStyle w:val="Tabletext"/>
              <w:keepNext/>
              <w:keepLines/>
              <w:jc w:val="center"/>
              <w:rPr>
                <w:rFonts w:cs="Arial"/>
                <w:b/>
                <w:bCs/>
                <w:iCs/>
                <w:color w:val="000000"/>
                <w:highlight w:val="black"/>
              </w:rPr>
            </w:pPr>
            <w:r>
              <w:rPr>
                <w:b/>
                <w:bCs/>
                <w:iCs/>
                <w:noProof/>
                <w:color w:val="000000"/>
                <w:highlight w:val="black"/>
              </w:rPr>
              <w:t>'''''''''''''''''''''''''</w:t>
            </w:r>
          </w:p>
        </w:tc>
      </w:tr>
      <w:tr w:rsidR="00035462" w:rsidRPr="00132EAD" w:rsidTr="00625B2B">
        <w:tc>
          <w:tcPr>
            <w:tcW w:w="9067" w:type="dxa"/>
            <w:gridSpan w:val="7"/>
            <w:tcBorders>
              <w:bottom w:val="single" w:sz="4" w:space="0" w:color="auto"/>
            </w:tcBorders>
            <w:shd w:val="clear" w:color="auto" w:fill="auto"/>
            <w:vAlign w:val="center"/>
          </w:tcPr>
          <w:p w:rsidR="00035462" w:rsidRPr="00132EAD" w:rsidRDefault="00035462" w:rsidP="00D27124">
            <w:pPr>
              <w:pStyle w:val="Tabletext"/>
              <w:keepNext/>
              <w:keepLines/>
              <w:rPr>
                <w:rFonts w:cs="Arial"/>
                <w:color w:val="000000"/>
              </w:rPr>
            </w:pPr>
            <w:r w:rsidRPr="00132EAD">
              <w:rPr>
                <w:b/>
              </w:rPr>
              <w:t xml:space="preserve">Estimated use of </w:t>
            </w:r>
            <w:proofErr w:type="spellStart"/>
            <w:r w:rsidRPr="00132EAD">
              <w:rPr>
                <w:b/>
              </w:rPr>
              <w:t>bDMARDs</w:t>
            </w:r>
            <w:proofErr w:type="spellEnd"/>
            <w:r w:rsidRPr="00132EAD">
              <w:rPr>
                <w:b/>
              </w:rPr>
              <w:t xml:space="preserve"> for </w:t>
            </w:r>
            <w:proofErr w:type="spellStart"/>
            <w:r w:rsidRPr="00132EAD">
              <w:rPr>
                <w:b/>
              </w:rPr>
              <w:t>nr-axSpA</w:t>
            </w:r>
            <w:proofErr w:type="spellEnd"/>
            <w:r w:rsidRPr="00132EAD">
              <w:rPr>
                <w:b/>
              </w:rPr>
              <w:t xml:space="preserve"> with CZP (proposed world with GLM and CZP)</w:t>
            </w:r>
          </w:p>
        </w:tc>
      </w:tr>
      <w:tr w:rsidR="00035462" w:rsidRPr="00132EAD" w:rsidTr="00625B2B">
        <w:tc>
          <w:tcPr>
            <w:tcW w:w="2547" w:type="dxa"/>
            <w:tcBorders>
              <w:bottom w:val="nil"/>
            </w:tcBorders>
            <w:shd w:val="clear" w:color="auto" w:fill="auto"/>
            <w:vAlign w:val="center"/>
          </w:tcPr>
          <w:p w:rsidR="00035462" w:rsidRPr="00132EAD" w:rsidRDefault="00035462" w:rsidP="00D27124">
            <w:pPr>
              <w:pStyle w:val="Tabletext"/>
              <w:keepNext/>
              <w:keepLines/>
            </w:pPr>
            <w:r w:rsidRPr="00132EAD">
              <w:t>CZP patients treated</w:t>
            </w:r>
          </w:p>
        </w:tc>
        <w:tc>
          <w:tcPr>
            <w:tcW w:w="1086" w:type="dxa"/>
            <w:tcBorders>
              <w:bottom w:val="nil"/>
            </w:tcBorders>
            <w:shd w:val="clear" w:color="auto" w:fill="auto"/>
            <w:vAlign w:val="center"/>
          </w:tcPr>
          <w:p w:rsidR="00035462" w:rsidRPr="00132EAD" w:rsidRDefault="00035462" w:rsidP="00D27124">
            <w:pPr>
              <w:pStyle w:val="Tabletext"/>
              <w:keepNext/>
              <w:keepLines/>
              <w:jc w:val="center"/>
              <w:rPr>
                <w:rFonts w:cs="Arial"/>
                <w:color w:val="000000"/>
              </w:rPr>
            </w:pPr>
            <w:r w:rsidRPr="00132EAD">
              <w:rPr>
                <w:rFonts w:cs="Arial"/>
                <w:color w:val="000000"/>
              </w:rPr>
              <w:t>501</w:t>
            </w:r>
          </w:p>
        </w:tc>
        <w:tc>
          <w:tcPr>
            <w:tcW w:w="1087" w:type="dxa"/>
            <w:tcBorders>
              <w:bottom w:val="nil"/>
            </w:tcBorders>
            <w:shd w:val="clear" w:color="auto" w:fill="auto"/>
            <w:vAlign w:val="center"/>
          </w:tcPr>
          <w:p w:rsidR="00035462" w:rsidRPr="00132EAD" w:rsidRDefault="00035462" w:rsidP="00D27124">
            <w:pPr>
              <w:pStyle w:val="Tabletext"/>
              <w:keepNext/>
              <w:keepLines/>
              <w:jc w:val="center"/>
              <w:rPr>
                <w:rFonts w:cs="Arial"/>
                <w:color w:val="000000"/>
              </w:rPr>
            </w:pPr>
            <w:r w:rsidRPr="00132EAD">
              <w:rPr>
                <w:rFonts w:cs="Arial"/>
                <w:color w:val="000000"/>
              </w:rPr>
              <w:t>851</w:t>
            </w:r>
          </w:p>
        </w:tc>
        <w:tc>
          <w:tcPr>
            <w:tcW w:w="1087" w:type="dxa"/>
            <w:tcBorders>
              <w:bottom w:val="nil"/>
            </w:tcBorders>
            <w:shd w:val="clear" w:color="auto" w:fill="auto"/>
            <w:vAlign w:val="center"/>
          </w:tcPr>
          <w:p w:rsidR="00035462" w:rsidRPr="00132EAD" w:rsidRDefault="00035462" w:rsidP="00D27124">
            <w:pPr>
              <w:pStyle w:val="Tabletext"/>
              <w:keepNext/>
              <w:keepLines/>
              <w:jc w:val="center"/>
              <w:rPr>
                <w:rFonts w:cs="Arial"/>
                <w:color w:val="000000"/>
              </w:rPr>
            </w:pPr>
            <w:r w:rsidRPr="00132EAD">
              <w:rPr>
                <w:rFonts w:cs="Arial"/>
                <w:color w:val="000000"/>
              </w:rPr>
              <w:t>1,270</w:t>
            </w:r>
          </w:p>
        </w:tc>
        <w:tc>
          <w:tcPr>
            <w:tcW w:w="1086" w:type="dxa"/>
            <w:tcBorders>
              <w:bottom w:val="nil"/>
            </w:tcBorders>
            <w:shd w:val="clear" w:color="auto" w:fill="auto"/>
            <w:vAlign w:val="center"/>
          </w:tcPr>
          <w:p w:rsidR="00035462" w:rsidRPr="00132EAD" w:rsidRDefault="00035462" w:rsidP="00D27124">
            <w:pPr>
              <w:pStyle w:val="Tabletext"/>
              <w:keepNext/>
              <w:keepLines/>
              <w:jc w:val="center"/>
              <w:rPr>
                <w:rFonts w:cs="Arial"/>
                <w:color w:val="000000"/>
              </w:rPr>
            </w:pPr>
            <w:r w:rsidRPr="00132EAD">
              <w:rPr>
                <w:rFonts w:cs="Arial"/>
                <w:color w:val="000000"/>
              </w:rPr>
              <w:t>1,762</w:t>
            </w:r>
          </w:p>
        </w:tc>
        <w:tc>
          <w:tcPr>
            <w:tcW w:w="1087" w:type="dxa"/>
            <w:tcBorders>
              <w:bottom w:val="nil"/>
            </w:tcBorders>
            <w:shd w:val="clear" w:color="auto" w:fill="auto"/>
            <w:vAlign w:val="center"/>
          </w:tcPr>
          <w:p w:rsidR="00035462" w:rsidRPr="00132EAD" w:rsidRDefault="00035462" w:rsidP="00D27124">
            <w:pPr>
              <w:pStyle w:val="Tabletext"/>
              <w:keepNext/>
              <w:keepLines/>
              <w:jc w:val="center"/>
              <w:rPr>
                <w:rFonts w:cs="Arial"/>
                <w:color w:val="000000"/>
              </w:rPr>
            </w:pPr>
            <w:r w:rsidRPr="00132EAD">
              <w:rPr>
                <w:rFonts w:cs="Arial"/>
                <w:color w:val="000000"/>
              </w:rPr>
              <w:t>1,939</w:t>
            </w:r>
          </w:p>
        </w:tc>
        <w:tc>
          <w:tcPr>
            <w:tcW w:w="1087" w:type="dxa"/>
            <w:tcBorders>
              <w:bottom w:val="nil"/>
            </w:tcBorders>
            <w:shd w:val="clear" w:color="auto" w:fill="auto"/>
            <w:vAlign w:val="center"/>
          </w:tcPr>
          <w:p w:rsidR="00035462" w:rsidRPr="00132EAD" w:rsidRDefault="00035462" w:rsidP="00D27124">
            <w:pPr>
              <w:pStyle w:val="Tabletext"/>
              <w:keepNext/>
              <w:keepLines/>
              <w:jc w:val="center"/>
              <w:rPr>
                <w:rFonts w:cs="Arial"/>
                <w:color w:val="000000"/>
              </w:rPr>
            </w:pPr>
            <w:r w:rsidRPr="00132EAD">
              <w:rPr>
                <w:rFonts w:cs="Arial"/>
                <w:color w:val="000000"/>
              </w:rPr>
              <w:t>2,120</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rPr>
                <w:b/>
                <w:bCs/>
              </w:rPr>
            </w:pPr>
            <w:r w:rsidRPr="00132EAD">
              <w:rPr>
                <w:b/>
                <w:bCs/>
              </w:rPr>
              <w:t>CZP (200mg) scripts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CZP initial (0-16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CZP continuing (17-52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CZP continuing (52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pPr>
            <w:r w:rsidRPr="00132EAD">
              <w:t xml:space="preserve">CZP PBS/RPBS cost </w:t>
            </w:r>
          </w:p>
        </w:tc>
        <w:tc>
          <w:tcPr>
            <w:tcW w:w="1086" w:type="dxa"/>
            <w:tcBorders>
              <w:top w:val="nil"/>
              <w:bottom w:val="nil"/>
            </w:tcBorders>
            <w:shd w:val="clear" w:color="auto" w:fill="auto"/>
            <w:vAlign w:val="center"/>
          </w:tcPr>
          <w:p w:rsidR="00035462" w:rsidRPr="00132EAD" w:rsidRDefault="00035462" w:rsidP="00D27124">
            <w:pPr>
              <w:pStyle w:val="Tabletext"/>
              <w:keepNext/>
              <w:keepLines/>
              <w:jc w:val="center"/>
              <w:rPr>
                <w:rFonts w:cs="Arial"/>
              </w:rPr>
            </w:pPr>
            <w:r w:rsidRPr="00132EAD">
              <w:t>$</w:t>
            </w:r>
            <w:r w:rsidR="00157528">
              <w:rPr>
                <w:noProof/>
                <w:color w:val="000000"/>
                <w:highlight w:val="black"/>
              </w:rPr>
              <w:t>''''''''''''''''''''''''''</w:t>
            </w:r>
          </w:p>
        </w:tc>
        <w:tc>
          <w:tcPr>
            <w:tcW w:w="1087" w:type="dxa"/>
            <w:tcBorders>
              <w:top w:val="nil"/>
              <w:bottom w:val="nil"/>
            </w:tcBorders>
            <w:shd w:val="clear" w:color="auto" w:fill="auto"/>
            <w:vAlign w:val="center"/>
          </w:tcPr>
          <w:p w:rsidR="00035462" w:rsidRPr="00132EAD" w:rsidRDefault="00035462" w:rsidP="00D27124">
            <w:pPr>
              <w:pStyle w:val="Tabletext"/>
              <w:keepNext/>
              <w:keepLines/>
              <w:jc w:val="center"/>
              <w:rPr>
                <w:rFonts w:cs="Arial"/>
              </w:rPr>
            </w:pPr>
            <w:r w:rsidRPr="00132EAD">
              <w:t>$</w:t>
            </w:r>
            <w:r w:rsidR="00157528">
              <w:rPr>
                <w:noProof/>
                <w:color w:val="000000"/>
                <w:highlight w:val="black"/>
              </w:rPr>
              <w:t>''''''''''''''''''''''''''''</w:t>
            </w:r>
          </w:p>
        </w:tc>
        <w:tc>
          <w:tcPr>
            <w:tcW w:w="1087" w:type="dxa"/>
            <w:tcBorders>
              <w:top w:val="nil"/>
              <w:bottom w:val="nil"/>
            </w:tcBorders>
            <w:shd w:val="clear" w:color="auto" w:fill="auto"/>
            <w:vAlign w:val="center"/>
          </w:tcPr>
          <w:p w:rsidR="00035462" w:rsidRPr="00132EAD" w:rsidRDefault="00035462" w:rsidP="00D27124">
            <w:pPr>
              <w:pStyle w:val="Tabletext"/>
              <w:keepNext/>
              <w:keepLines/>
              <w:jc w:val="center"/>
              <w:rPr>
                <w:rFonts w:cs="Arial"/>
              </w:rPr>
            </w:pPr>
            <w:r w:rsidRPr="00132EAD">
              <w:t>$</w:t>
            </w:r>
            <w:r w:rsidR="00157528">
              <w:rPr>
                <w:noProof/>
                <w:color w:val="000000"/>
                <w:highlight w:val="black"/>
              </w:rPr>
              <w:t>'''''''''''''''''''''''''''</w:t>
            </w:r>
          </w:p>
        </w:tc>
        <w:tc>
          <w:tcPr>
            <w:tcW w:w="1086" w:type="dxa"/>
            <w:tcBorders>
              <w:top w:val="nil"/>
              <w:bottom w:val="nil"/>
            </w:tcBorders>
            <w:shd w:val="clear" w:color="auto" w:fill="auto"/>
            <w:vAlign w:val="center"/>
          </w:tcPr>
          <w:p w:rsidR="00035462" w:rsidRPr="00132EAD" w:rsidRDefault="00035462" w:rsidP="00D27124">
            <w:pPr>
              <w:pStyle w:val="Tabletext"/>
              <w:keepNext/>
              <w:keepLines/>
              <w:jc w:val="center"/>
              <w:rPr>
                <w:rFonts w:cs="Arial"/>
              </w:rPr>
            </w:pPr>
            <w:r w:rsidRPr="00132EAD">
              <w:t>$</w:t>
            </w:r>
            <w:r w:rsidR="00157528">
              <w:rPr>
                <w:noProof/>
                <w:color w:val="000000"/>
                <w:highlight w:val="black"/>
              </w:rPr>
              <w:t>''''''''''''''''''''''''''''</w:t>
            </w:r>
          </w:p>
        </w:tc>
        <w:tc>
          <w:tcPr>
            <w:tcW w:w="1087" w:type="dxa"/>
            <w:tcBorders>
              <w:top w:val="nil"/>
              <w:bottom w:val="nil"/>
            </w:tcBorders>
            <w:shd w:val="clear" w:color="auto" w:fill="auto"/>
            <w:vAlign w:val="center"/>
          </w:tcPr>
          <w:p w:rsidR="00035462" w:rsidRPr="00132EAD" w:rsidRDefault="00035462" w:rsidP="00D27124">
            <w:pPr>
              <w:pStyle w:val="Tabletext"/>
              <w:keepNext/>
              <w:keepLines/>
              <w:jc w:val="center"/>
              <w:rPr>
                <w:rFonts w:cs="Arial"/>
              </w:rPr>
            </w:pPr>
            <w:r w:rsidRPr="00132EAD">
              <w:t>$</w:t>
            </w:r>
            <w:r w:rsidR="00157528">
              <w:rPr>
                <w:noProof/>
                <w:color w:val="000000"/>
                <w:highlight w:val="black"/>
              </w:rPr>
              <w:t>'''''''''''''''''''''''''''''</w:t>
            </w:r>
          </w:p>
        </w:tc>
        <w:tc>
          <w:tcPr>
            <w:tcW w:w="1087" w:type="dxa"/>
            <w:tcBorders>
              <w:top w:val="nil"/>
              <w:bottom w:val="nil"/>
            </w:tcBorders>
            <w:shd w:val="clear" w:color="auto" w:fill="auto"/>
            <w:vAlign w:val="center"/>
          </w:tcPr>
          <w:p w:rsidR="00035462" w:rsidRPr="00132EAD" w:rsidRDefault="00035462" w:rsidP="00D27124">
            <w:pPr>
              <w:pStyle w:val="Tabletext"/>
              <w:keepNext/>
              <w:keepLines/>
              <w:jc w:val="center"/>
              <w:rPr>
                <w:rFonts w:cs="Arial"/>
              </w:rPr>
            </w:pPr>
            <w:r w:rsidRPr="00132EAD">
              <w:t>$</w:t>
            </w:r>
            <w:r w:rsidR="00157528">
              <w:rPr>
                <w:noProof/>
                <w:color w:val="000000"/>
                <w:highlight w:val="black"/>
              </w:rPr>
              <w:t>''''''''''''''''''''''''</w:t>
            </w:r>
          </w:p>
        </w:tc>
      </w:tr>
      <w:tr w:rsidR="00035462" w:rsidRPr="00132EAD" w:rsidTr="00625B2B">
        <w:tc>
          <w:tcPr>
            <w:tcW w:w="2547" w:type="dxa"/>
            <w:tcBorders>
              <w:top w:val="nil"/>
            </w:tcBorders>
            <w:shd w:val="clear" w:color="auto" w:fill="auto"/>
            <w:vAlign w:val="center"/>
          </w:tcPr>
          <w:p w:rsidR="00035462" w:rsidRPr="00132EAD" w:rsidRDefault="00035462" w:rsidP="00D27124">
            <w:pPr>
              <w:pStyle w:val="Tabletext"/>
              <w:keepNext/>
              <w:keepLines/>
              <w:rPr>
                <w:b/>
                <w:bCs/>
              </w:rPr>
            </w:pPr>
            <w:r w:rsidRPr="00132EAD">
              <w:rPr>
                <w:b/>
                <w:bCs/>
              </w:rPr>
              <w:t xml:space="preserve">CZP net PBS/RPBS cost </w:t>
            </w:r>
          </w:p>
        </w:tc>
        <w:tc>
          <w:tcPr>
            <w:tcW w:w="1086" w:type="dxa"/>
            <w:tcBorders>
              <w:top w:val="nil"/>
            </w:tcBorders>
            <w:shd w:val="clear" w:color="auto" w:fill="auto"/>
            <w:vAlign w:val="center"/>
          </w:tcPr>
          <w:p w:rsidR="00035462" w:rsidRPr="00132EAD" w:rsidRDefault="00035462" w:rsidP="00D27124">
            <w:pPr>
              <w:pStyle w:val="Tabletext"/>
              <w:keepNext/>
              <w:keepLines/>
              <w:jc w:val="center"/>
              <w:rPr>
                <w:rFonts w:cs="Arial"/>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rFonts w:cs="Arial"/>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rFonts w:cs="Arial"/>
                <w:b/>
                <w:bCs/>
              </w:rPr>
            </w:pPr>
            <w:r w:rsidRPr="00132EAD">
              <w:rPr>
                <w:b/>
                <w:bCs/>
              </w:rPr>
              <w:t>$</w:t>
            </w:r>
            <w:r w:rsidR="00157528">
              <w:rPr>
                <w:b/>
                <w:bCs/>
                <w:noProof/>
                <w:color w:val="000000"/>
                <w:highlight w:val="black"/>
              </w:rPr>
              <w:t>'''''''''''''''''''''</w:t>
            </w:r>
          </w:p>
        </w:tc>
        <w:tc>
          <w:tcPr>
            <w:tcW w:w="1086" w:type="dxa"/>
            <w:tcBorders>
              <w:top w:val="nil"/>
            </w:tcBorders>
            <w:shd w:val="clear" w:color="auto" w:fill="auto"/>
            <w:vAlign w:val="center"/>
          </w:tcPr>
          <w:p w:rsidR="00035462" w:rsidRPr="00132EAD" w:rsidRDefault="00035462" w:rsidP="00D27124">
            <w:pPr>
              <w:pStyle w:val="Tabletext"/>
              <w:keepNext/>
              <w:keepLines/>
              <w:jc w:val="center"/>
              <w:rPr>
                <w:rFonts w:cs="Arial"/>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rFonts w:cs="Arial"/>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rFonts w:cs="Arial"/>
                <w:b/>
                <w:bCs/>
              </w:rPr>
            </w:pPr>
            <w:r w:rsidRPr="00132EAD">
              <w:rPr>
                <w:b/>
                <w:bCs/>
              </w:rPr>
              <w:t>$</w:t>
            </w:r>
            <w:r w:rsidR="00157528">
              <w:rPr>
                <w:b/>
                <w:bCs/>
                <w:noProof/>
                <w:color w:val="000000"/>
                <w:highlight w:val="black"/>
              </w:rPr>
              <w:t>''''''''''''''''''''''</w:t>
            </w:r>
          </w:p>
        </w:tc>
      </w:tr>
      <w:tr w:rsidR="00035462" w:rsidRPr="00132EAD" w:rsidTr="00625B2B">
        <w:tc>
          <w:tcPr>
            <w:tcW w:w="9067" w:type="dxa"/>
            <w:gridSpan w:val="7"/>
            <w:tcBorders>
              <w:bottom w:val="single" w:sz="4" w:space="0" w:color="auto"/>
            </w:tcBorders>
            <w:shd w:val="clear" w:color="auto" w:fill="auto"/>
            <w:vAlign w:val="center"/>
          </w:tcPr>
          <w:p w:rsidR="00035462" w:rsidRPr="00132EAD" w:rsidRDefault="00035462" w:rsidP="00D27124">
            <w:pPr>
              <w:pStyle w:val="Tabletext"/>
              <w:keepNext/>
              <w:keepLines/>
              <w:rPr>
                <w:b/>
                <w:bCs/>
              </w:rPr>
            </w:pPr>
            <w:r w:rsidRPr="00132EAD">
              <w:rPr>
                <w:b/>
                <w:bCs/>
              </w:rPr>
              <w:t>Estimated change in use of other medicines (proposed world with GLM and CZP)</w:t>
            </w:r>
          </w:p>
        </w:tc>
      </w:tr>
      <w:tr w:rsidR="00035462" w:rsidRPr="00132EAD" w:rsidTr="00625B2B">
        <w:tc>
          <w:tcPr>
            <w:tcW w:w="2547" w:type="dxa"/>
            <w:tcBorders>
              <w:bottom w:val="nil"/>
            </w:tcBorders>
            <w:shd w:val="clear" w:color="auto" w:fill="auto"/>
            <w:vAlign w:val="center"/>
          </w:tcPr>
          <w:p w:rsidR="00035462" w:rsidRPr="00132EAD" w:rsidRDefault="00035462" w:rsidP="00D27124">
            <w:pPr>
              <w:pStyle w:val="Tabletext"/>
              <w:keepNext/>
              <w:keepLines/>
              <w:rPr>
                <w:b/>
                <w:bCs/>
              </w:rPr>
            </w:pPr>
            <w:r w:rsidRPr="00132EAD">
              <w:t>GLM patients treated</w:t>
            </w:r>
          </w:p>
        </w:tc>
        <w:tc>
          <w:tcPr>
            <w:tcW w:w="1086" w:type="dxa"/>
            <w:tcBorders>
              <w:bottom w:val="nil"/>
            </w:tcBorders>
            <w:shd w:val="clear" w:color="auto" w:fill="auto"/>
            <w:vAlign w:val="center"/>
          </w:tcPr>
          <w:p w:rsidR="00035462" w:rsidRPr="00157528" w:rsidRDefault="00157528" w:rsidP="00D27124">
            <w:pPr>
              <w:pStyle w:val="Tabletext"/>
              <w:keepNext/>
              <w:keepLines/>
              <w:jc w:val="center"/>
              <w:rPr>
                <w:b/>
                <w:bCs/>
                <w:highlight w:val="black"/>
              </w:rPr>
            </w:pPr>
            <w:r>
              <w:rPr>
                <w:rFonts w:cs="Arial"/>
                <w:noProof/>
                <w:color w:val="000000"/>
                <w:highlight w:val="black"/>
              </w:rPr>
              <w:t>'''''''''''</w:t>
            </w:r>
          </w:p>
        </w:tc>
        <w:tc>
          <w:tcPr>
            <w:tcW w:w="1087" w:type="dxa"/>
            <w:tcBorders>
              <w:bottom w:val="nil"/>
            </w:tcBorders>
            <w:shd w:val="clear" w:color="auto" w:fill="auto"/>
            <w:vAlign w:val="center"/>
          </w:tcPr>
          <w:p w:rsidR="00035462" w:rsidRPr="00157528" w:rsidRDefault="00157528" w:rsidP="00D27124">
            <w:pPr>
              <w:pStyle w:val="Tabletext"/>
              <w:keepNext/>
              <w:keepLines/>
              <w:jc w:val="center"/>
              <w:rPr>
                <w:b/>
                <w:bCs/>
                <w:highlight w:val="black"/>
              </w:rPr>
            </w:pPr>
            <w:r>
              <w:rPr>
                <w:rFonts w:cs="Arial"/>
                <w:noProof/>
                <w:color w:val="000000"/>
                <w:highlight w:val="black"/>
              </w:rPr>
              <w:t>'''''''''''</w:t>
            </w:r>
          </w:p>
        </w:tc>
        <w:tc>
          <w:tcPr>
            <w:tcW w:w="1087" w:type="dxa"/>
            <w:tcBorders>
              <w:bottom w:val="nil"/>
            </w:tcBorders>
            <w:shd w:val="clear" w:color="auto" w:fill="auto"/>
            <w:vAlign w:val="center"/>
          </w:tcPr>
          <w:p w:rsidR="00035462" w:rsidRPr="00157528" w:rsidRDefault="00157528" w:rsidP="00D27124">
            <w:pPr>
              <w:pStyle w:val="Tabletext"/>
              <w:keepNext/>
              <w:keepLines/>
              <w:jc w:val="center"/>
              <w:rPr>
                <w:b/>
                <w:bCs/>
                <w:highlight w:val="black"/>
              </w:rPr>
            </w:pPr>
            <w:r>
              <w:rPr>
                <w:rFonts w:cs="Arial"/>
                <w:noProof/>
                <w:color w:val="000000"/>
                <w:highlight w:val="black"/>
              </w:rPr>
              <w:t>''''''''''''''</w:t>
            </w:r>
          </w:p>
        </w:tc>
        <w:tc>
          <w:tcPr>
            <w:tcW w:w="1086" w:type="dxa"/>
            <w:tcBorders>
              <w:bottom w:val="nil"/>
            </w:tcBorders>
            <w:shd w:val="clear" w:color="auto" w:fill="auto"/>
            <w:vAlign w:val="center"/>
          </w:tcPr>
          <w:p w:rsidR="00035462" w:rsidRPr="00157528" w:rsidRDefault="00157528" w:rsidP="00D27124">
            <w:pPr>
              <w:pStyle w:val="Tabletext"/>
              <w:keepNext/>
              <w:keepLines/>
              <w:jc w:val="center"/>
              <w:rPr>
                <w:b/>
                <w:bCs/>
                <w:highlight w:val="black"/>
              </w:rPr>
            </w:pPr>
            <w:r>
              <w:rPr>
                <w:rFonts w:cs="Arial"/>
                <w:noProof/>
                <w:color w:val="000000"/>
                <w:highlight w:val="black"/>
              </w:rPr>
              <w:t>'''''''''''''''</w:t>
            </w:r>
          </w:p>
        </w:tc>
        <w:tc>
          <w:tcPr>
            <w:tcW w:w="1087" w:type="dxa"/>
            <w:tcBorders>
              <w:bottom w:val="nil"/>
            </w:tcBorders>
            <w:shd w:val="clear" w:color="auto" w:fill="auto"/>
            <w:vAlign w:val="center"/>
          </w:tcPr>
          <w:p w:rsidR="00035462" w:rsidRPr="00157528" w:rsidRDefault="00157528" w:rsidP="00D27124">
            <w:pPr>
              <w:pStyle w:val="Tabletext"/>
              <w:keepNext/>
              <w:keepLines/>
              <w:jc w:val="center"/>
              <w:rPr>
                <w:b/>
                <w:bCs/>
                <w:highlight w:val="black"/>
              </w:rPr>
            </w:pPr>
            <w:r>
              <w:rPr>
                <w:rFonts w:cs="Arial"/>
                <w:noProof/>
                <w:color w:val="000000"/>
                <w:highlight w:val="black"/>
              </w:rPr>
              <w:t>''''''''''''''''</w:t>
            </w:r>
          </w:p>
        </w:tc>
        <w:tc>
          <w:tcPr>
            <w:tcW w:w="1087" w:type="dxa"/>
            <w:tcBorders>
              <w:bottom w:val="nil"/>
            </w:tcBorders>
            <w:shd w:val="clear" w:color="auto" w:fill="auto"/>
            <w:vAlign w:val="center"/>
          </w:tcPr>
          <w:p w:rsidR="00035462" w:rsidRPr="00157528" w:rsidRDefault="00157528" w:rsidP="00D27124">
            <w:pPr>
              <w:pStyle w:val="Tabletext"/>
              <w:keepNext/>
              <w:keepLines/>
              <w:jc w:val="center"/>
              <w:rPr>
                <w:b/>
                <w:bCs/>
                <w:highlight w:val="black"/>
              </w:rPr>
            </w:pPr>
            <w:r>
              <w:rPr>
                <w:rFonts w:cs="Arial"/>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rPr>
                <w:b/>
                <w:bCs/>
              </w:rPr>
            </w:pPr>
            <w:r w:rsidRPr="00132EAD">
              <w:rPr>
                <w:b/>
                <w:bCs/>
              </w:rPr>
              <w:t>GLM scripts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b/>
                <w:bCs/>
                <w:highlight w:val="black"/>
              </w:rPr>
            </w:pPr>
            <w:r>
              <w:rPr>
                <w:b/>
                <w:bCs/>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GLM initial (0-16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GLM continuing (17-52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ind w:left="112"/>
              <w:rPr>
                <w:color w:val="808080" w:themeColor="background1" w:themeShade="80"/>
              </w:rPr>
            </w:pPr>
            <w:r w:rsidRPr="00132EAD">
              <w:rPr>
                <w:color w:val="808080" w:themeColor="background1" w:themeShade="80"/>
              </w:rPr>
              <w:t>GLM continuing (52 weeks)</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6"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c>
          <w:tcPr>
            <w:tcW w:w="1087" w:type="dxa"/>
            <w:tcBorders>
              <w:top w:val="nil"/>
              <w:bottom w:val="nil"/>
            </w:tcBorders>
            <w:shd w:val="clear" w:color="auto" w:fill="auto"/>
            <w:vAlign w:val="center"/>
          </w:tcPr>
          <w:p w:rsidR="00035462" w:rsidRPr="00157528" w:rsidRDefault="00157528" w:rsidP="00D27124">
            <w:pPr>
              <w:pStyle w:val="Tabletext"/>
              <w:keepNext/>
              <w:keepLines/>
              <w:jc w:val="center"/>
              <w:rPr>
                <w:color w:val="808080" w:themeColor="background1" w:themeShade="80"/>
                <w:highlight w:val="black"/>
              </w:rPr>
            </w:pPr>
            <w:r>
              <w:rPr>
                <w:noProof/>
                <w:color w:val="000000"/>
                <w:highlight w:val="black"/>
              </w:rPr>
              <w: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pPr>
            <w:r w:rsidRPr="00132EAD">
              <w:t xml:space="preserve">GLM PBS/RPBS cost </w:t>
            </w:r>
          </w:p>
        </w:tc>
        <w:tc>
          <w:tcPr>
            <w:tcW w:w="1086"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6"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r>
      <w:tr w:rsidR="00035462" w:rsidRPr="00132EAD" w:rsidTr="00625B2B">
        <w:tc>
          <w:tcPr>
            <w:tcW w:w="2547" w:type="dxa"/>
            <w:tcBorders>
              <w:top w:val="nil"/>
            </w:tcBorders>
            <w:shd w:val="clear" w:color="auto" w:fill="auto"/>
            <w:vAlign w:val="center"/>
          </w:tcPr>
          <w:p w:rsidR="00035462" w:rsidRPr="00132EAD" w:rsidRDefault="00035462" w:rsidP="00D27124">
            <w:pPr>
              <w:pStyle w:val="Tabletext"/>
              <w:keepNext/>
              <w:keepLines/>
              <w:rPr>
                <w:b/>
                <w:bCs/>
              </w:rPr>
            </w:pPr>
            <w:r w:rsidRPr="00132EAD">
              <w:rPr>
                <w:b/>
                <w:bCs/>
              </w:rPr>
              <w:t xml:space="preserve">GLM net PBS/RPBS cost </w:t>
            </w:r>
          </w:p>
        </w:tc>
        <w:tc>
          <w:tcPr>
            <w:tcW w:w="1086" w:type="dxa"/>
            <w:tcBorders>
              <w:top w:val="nil"/>
            </w:tcBorders>
            <w:shd w:val="clear" w:color="auto" w:fill="auto"/>
            <w:vAlign w:val="center"/>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6" w:type="dxa"/>
            <w:tcBorders>
              <w:top w:val="nil"/>
            </w:tcBorders>
            <w:shd w:val="clear" w:color="auto" w:fill="auto"/>
            <w:vAlign w:val="center"/>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vAlign w:val="center"/>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r>
      <w:tr w:rsidR="00035462" w:rsidRPr="00132EAD" w:rsidTr="00625B2B">
        <w:tc>
          <w:tcPr>
            <w:tcW w:w="9067" w:type="dxa"/>
            <w:gridSpan w:val="7"/>
            <w:tcBorders>
              <w:bottom w:val="single" w:sz="4" w:space="0" w:color="auto"/>
            </w:tcBorders>
            <w:shd w:val="clear" w:color="auto" w:fill="auto"/>
            <w:vAlign w:val="center"/>
          </w:tcPr>
          <w:p w:rsidR="00035462" w:rsidRPr="00132EAD" w:rsidRDefault="00035462" w:rsidP="00D27124">
            <w:pPr>
              <w:pStyle w:val="Tabletext"/>
              <w:keepNext/>
              <w:keepLines/>
              <w:rPr>
                <w:b/>
                <w:bCs/>
              </w:rPr>
            </w:pPr>
            <w:r w:rsidRPr="00132EAD">
              <w:rPr>
                <w:b/>
                <w:bCs/>
              </w:rPr>
              <w:t>Estimated financial implication to government</w:t>
            </w:r>
          </w:p>
        </w:tc>
      </w:tr>
      <w:tr w:rsidR="00035462" w:rsidRPr="00132EAD" w:rsidTr="00625B2B">
        <w:tc>
          <w:tcPr>
            <w:tcW w:w="2547" w:type="dxa"/>
            <w:tcBorders>
              <w:top w:val="nil"/>
              <w:bottom w:val="nil"/>
            </w:tcBorders>
            <w:shd w:val="clear" w:color="auto" w:fill="auto"/>
            <w:vAlign w:val="center"/>
          </w:tcPr>
          <w:p w:rsidR="00035462" w:rsidRPr="00132EAD" w:rsidRDefault="00035462" w:rsidP="00D27124">
            <w:pPr>
              <w:pStyle w:val="Tabletext"/>
              <w:keepNext/>
              <w:keepLines/>
            </w:pPr>
            <w:r w:rsidRPr="00132EAD">
              <w:t>Net cost to PBS/RPBS</w:t>
            </w:r>
          </w:p>
        </w:tc>
        <w:tc>
          <w:tcPr>
            <w:tcW w:w="1086"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6"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c>
          <w:tcPr>
            <w:tcW w:w="1087" w:type="dxa"/>
            <w:tcBorders>
              <w:top w:val="nil"/>
              <w:bottom w:val="nil"/>
            </w:tcBorders>
            <w:shd w:val="clear" w:color="auto" w:fill="auto"/>
          </w:tcPr>
          <w:p w:rsidR="00035462" w:rsidRPr="00132EAD" w:rsidRDefault="00035462" w:rsidP="00D27124">
            <w:pPr>
              <w:pStyle w:val="Tabletext"/>
              <w:keepNext/>
              <w:keepLines/>
              <w:jc w:val="center"/>
            </w:pPr>
            <w:r w:rsidRPr="00132EAD">
              <w:t>-$</w:t>
            </w:r>
            <w:r w:rsidR="00157528">
              <w:rPr>
                <w:noProof/>
                <w:color w:val="000000"/>
                <w:highlight w:val="black"/>
              </w:rPr>
              <w:t>'''''''''''''''''''</w:t>
            </w:r>
          </w:p>
        </w:tc>
      </w:tr>
      <w:tr w:rsidR="00035462" w:rsidRPr="00132EAD" w:rsidTr="00625B2B">
        <w:tc>
          <w:tcPr>
            <w:tcW w:w="2547" w:type="dxa"/>
            <w:tcBorders>
              <w:top w:val="nil"/>
            </w:tcBorders>
            <w:shd w:val="clear" w:color="auto" w:fill="auto"/>
            <w:vAlign w:val="center"/>
          </w:tcPr>
          <w:p w:rsidR="00035462" w:rsidRPr="00132EAD" w:rsidRDefault="00035462" w:rsidP="00D27124">
            <w:pPr>
              <w:pStyle w:val="Tabletext"/>
              <w:keepNext/>
              <w:keepLines/>
              <w:rPr>
                <w:b/>
                <w:bCs/>
              </w:rPr>
            </w:pPr>
            <w:r w:rsidRPr="00132EAD">
              <w:rPr>
                <w:b/>
                <w:bCs/>
              </w:rPr>
              <w:t>Net cost to health budget</w:t>
            </w:r>
          </w:p>
        </w:tc>
        <w:tc>
          <w:tcPr>
            <w:tcW w:w="1086" w:type="dxa"/>
            <w:tcBorders>
              <w:top w:val="nil"/>
            </w:tcBorders>
            <w:shd w:val="clear" w:color="auto" w:fill="auto"/>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6" w:type="dxa"/>
            <w:tcBorders>
              <w:top w:val="nil"/>
            </w:tcBorders>
            <w:shd w:val="clear" w:color="auto" w:fill="auto"/>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c>
          <w:tcPr>
            <w:tcW w:w="1087" w:type="dxa"/>
            <w:tcBorders>
              <w:top w:val="nil"/>
            </w:tcBorders>
            <w:shd w:val="clear" w:color="auto" w:fill="auto"/>
          </w:tcPr>
          <w:p w:rsidR="00035462" w:rsidRPr="00132EAD" w:rsidRDefault="00035462" w:rsidP="00D27124">
            <w:pPr>
              <w:pStyle w:val="Tabletext"/>
              <w:keepNext/>
              <w:keepLines/>
              <w:jc w:val="center"/>
              <w:rPr>
                <w:b/>
                <w:bCs/>
              </w:rPr>
            </w:pPr>
            <w:r w:rsidRPr="00132EAD">
              <w:rPr>
                <w:b/>
                <w:bCs/>
              </w:rPr>
              <w:t>-$</w:t>
            </w:r>
            <w:r w:rsidR="00157528">
              <w:rPr>
                <w:b/>
                <w:bCs/>
                <w:noProof/>
                <w:color w:val="000000"/>
                <w:highlight w:val="black"/>
              </w:rPr>
              <w:t>'''''''''''''''</w:t>
            </w:r>
          </w:p>
        </w:tc>
      </w:tr>
    </w:tbl>
    <w:p w:rsidR="00035462" w:rsidRPr="00132EAD" w:rsidRDefault="00035462" w:rsidP="00D27124">
      <w:pPr>
        <w:pStyle w:val="TableFooter"/>
        <w:keepNext/>
        <w:keepLines/>
        <w:tabs>
          <w:tab w:val="left" w:pos="142"/>
        </w:tabs>
      </w:pPr>
      <w:r w:rsidRPr="00132EAD">
        <w:t xml:space="preserve">Abbreviations: </w:t>
      </w:r>
      <w:proofErr w:type="spellStart"/>
      <w:r w:rsidRPr="00132EAD">
        <w:t>bDMARD</w:t>
      </w:r>
      <w:proofErr w:type="spellEnd"/>
      <w:r w:rsidRPr="00132EAD">
        <w:t>=biologic disease-modifying anti-rheumatic drug; CRP=C-reactive protein; CZP=</w:t>
      </w:r>
      <w:proofErr w:type="spellStart"/>
      <w:r w:rsidRPr="00132EAD">
        <w:t>certolizumab</w:t>
      </w:r>
      <w:proofErr w:type="spellEnd"/>
      <w:r w:rsidRPr="00132EAD">
        <w:t xml:space="preserve"> </w:t>
      </w:r>
      <w:proofErr w:type="spellStart"/>
      <w:r w:rsidRPr="00132EAD">
        <w:t>pegol</w:t>
      </w:r>
      <w:proofErr w:type="spellEnd"/>
      <w:r w:rsidRPr="00132EAD">
        <w:t>; GLM=</w:t>
      </w:r>
      <w:proofErr w:type="spellStart"/>
      <w:r w:rsidRPr="00132EAD">
        <w:t>golimumab</w:t>
      </w:r>
      <w:proofErr w:type="spellEnd"/>
      <w:r w:rsidRPr="00132EAD">
        <w:t xml:space="preserve">; MRI=magnetic resonance imaging; </w:t>
      </w:r>
      <w:proofErr w:type="spellStart"/>
      <w:r w:rsidRPr="00132EAD">
        <w:t>nr-axSpA</w:t>
      </w:r>
      <w:proofErr w:type="spellEnd"/>
      <w:r w:rsidRPr="00132EAD">
        <w:t xml:space="preserve">=non-radiographic axial </w:t>
      </w:r>
      <w:proofErr w:type="spellStart"/>
      <w:r w:rsidRPr="00132EAD">
        <w:t>spondyloarthritis</w:t>
      </w:r>
      <w:proofErr w:type="spellEnd"/>
      <w:r w:rsidRPr="00132EAD">
        <w:t xml:space="preserve">; </w:t>
      </w:r>
    </w:p>
    <w:p w:rsidR="00035462" w:rsidRPr="00132EAD" w:rsidRDefault="00035462" w:rsidP="00D27124">
      <w:pPr>
        <w:pStyle w:val="TableFooter"/>
        <w:keepNext/>
        <w:keepLines/>
        <w:tabs>
          <w:tab w:val="left" w:pos="142"/>
        </w:tabs>
        <w:rPr>
          <w:iCs/>
        </w:rPr>
      </w:pPr>
      <w:r w:rsidRPr="00132EAD">
        <w:t>^</w:t>
      </w:r>
      <w:r w:rsidRPr="00132EAD">
        <w:tab/>
      </w:r>
      <w:r w:rsidRPr="00132EAD">
        <w:rPr>
          <w:iCs/>
        </w:rPr>
        <w:t>Corrected for the number of RPBS scripts for continuing therapy</w:t>
      </w:r>
      <w:r w:rsidR="00132EAD">
        <w:rPr>
          <w:iCs/>
        </w:rPr>
        <w:t xml:space="preserve">. </w:t>
      </w:r>
      <w:r w:rsidRPr="00132EAD">
        <w:rPr>
          <w:iCs/>
        </w:rPr>
        <w:t>The submission incorrectly calculated the number of continuing scripts (17-52 weeks) from the proportional distribution of initial therapy and the number of continuing scripts (52 weeks) as the sum of both initial and continuing scripts, which underestimated the RPBS cost.</w:t>
      </w:r>
    </w:p>
    <w:p w:rsidR="00035462" w:rsidRPr="00132EAD" w:rsidRDefault="00035462" w:rsidP="00D27124">
      <w:pPr>
        <w:pStyle w:val="TableFooter"/>
        <w:keepNext/>
        <w:keepLines/>
        <w:rPr>
          <w:sz w:val="20"/>
        </w:rPr>
      </w:pPr>
      <w:r w:rsidRPr="00132EAD">
        <w:t>Source: Tables 4.7, 4.11 to 4.19, pp154, 157-161 of the submission.</w:t>
      </w:r>
    </w:p>
    <w:p w:rsidR="0030084E" w:rsidRDefault="0030084E" w:rsidP="0030084E">
      <w:pPr>
        <w:rPr>
          <w:rFonts w:asciiTheme="minorHAnsi" w:hAnsiTheme="minorHAnsi"/>
          <w:i/>
          <w:szCs w:val="24"/>
        </w:rPr>
      </w:pPr>
    </w:p>
    <w:p w:rsidR="0030084E" w:rsidRPr="0030084E" w:rsidRDefault="0030084E" w:rsidP="0030084E">
      <w:pPr>
        <w:rPr>
          <w:rFonts w:asciiTheme="minorHAnsi" w:hAnsiTheme="minorHAnsi"/>
          <w:szCs w:val="24"/>
        </w:rPr>
      </w:pPr>
      <w:r w:rsidRPr="0030084E">
        <w:rPr>
          <w:rFonts w:asciiTheme="minorHAnsi" w:hAnsiTheme="minorHAnsi"/>
          <w:szCs w:val="24"/>
        </w:rPr>
        <w:t>The redacte</w:t>
      </w:r>
      <w:r>
        <w:rPr>
          <w:rFonts w:asciiTheme="minorHAnsi" w:hAnsiTheme="minorHAnsi"/>
          <w:szCs w:val="24"/>
        </w:rPr>
        <w:t>d table shows that at Year 6</w:t>
      </w:r>
      <w:r w:rsidRPr="0030084E">
        <w:rPr>
          <w:rFonts w:asciiTheme="minorHAnsi" w:hAnsiTheme="minorHAnsi"/>
          <w:szCs w:val="24"/>
        </w:rPr>
        <w:t>, the estimate</w:t>
      </w:r>
      <w:r>
        <w:rPr>
          <w:rFonts w:asciiTheme="minorHAnsi" w:hAnsiTheme="minorHAnsi"/>
          <w:szCs w:val="24"/>
        </w:rPr>
        <w:t>d number of patients was less than 10,000 per year</w:t>
      </w:r>
      <w:r w:rsidRPr="0030084E">
        <w:rPr>
          <w:rFonts w:asciiTheme="minorHAnsi" w:hAnsiTheme="minorHAnsi"/>
          <w:szCs w:val="24"/>
        </w:rPr>
        <w:t xml:space="preserve"> and the net </w:t>
      </w:r>
      <w:r>
        <w:rPr>
          <w:rFonts w:asciiTheme="minorHAnsi" w:hAnsiTheme="minorHAnsi"/>
          <w:szCs w:val="24"/>
        </w:rPr>
        <w:t xml:space="preserve">cost to the PBS would be </w:t>
      </w:r>
      <w:r w:rsidRPr="0030084E">
        <w:rPr>
          <w:rFonts w:asciiTheme="minorHAnsi" w:hAnsiTheme="minorHAnsi"/>
          <w:szCs w:val="24"/>
        </w:rPr>
        <w:t xml:space="preserve">less than $10 million </w:t>
      </w:r>
      <w:r>
        <w:rPr>
          <w:rFonts w:asciiTheme="minorHAnsi" w:hAnsiTheme="minorHAnsi"/>
          <w:szCs w:val="24"/>
        </w:rPr>
        <w:t xml:space="preserve">for the first </w:t>
      </w:r>
      <w:r w:rsidR="00E9399F">
        <w:rPr>
          <w:rFonts w:asciiTheme="minorHAnsi" w:hAnsiTheme="minorHAnsi"/>
          <w:szCs w:val="24"/>
        </w:rPr>
        <w:t xml:space="preserve">6 </w:t>
      </w:r>
      <w:r>
        <w:rPr>
          <w:rFonts w:asciiTheme="minorHAnsi" w:hAnsiTheme="minorHAnsi"/>
          <w:szCs w:val="24"/>
        </w:rPr>
        <w:t>year</w:t>
      </w:r>
      <w:r w:rsidR="00575D44">
        <w:rPr>
          <w:rFonts w:asciiTheme="minorHAnsi" w:hAnsiTheme="minorHAnsi"/>
          <w:szCs w:val="24"/>
        </w:rPr>
        <w:t>.</w:t>
      </w:r>
      <w:r>
        <w:rPr>
          <w:rFonts w:asciiTheme="minorHAnsi" w:hAnsiTheme="minorHAnsi"/>
          <w:szCs w:val="24"/>
        </w:rPr>
        <w:t xml:space="preserve"> </w:t>
      </w:r>
    </w:p>
    <w:p w:rsidR="00035462" w:rsidRPr="00132EAD" w:rsidRDefault="00035462" w:rsidP="00035462">
      <w:pPr>
        <w:widowControl/>
      </w:pPr>
    </w:p>
    <w:p w:rsidR="0046025A" w:rsidRDefault="001A04AE" w:rsidP="00AB5BD2">
      <w:pPr>
        <w:pStyle w:val="ListParagraph"/>
        <w:widowControl/>
        <w:numPr>
          <w:ilvl w:val="1"/>
          <w:numId w:val="3"/>
        </w:numPr>
        <w:rPr>
          <w:iCs/>
        </w:rPr>
      </w:pPr>
      <w:r w:rsidRPr="00AB5BD2">
        <w:rPr>
          <w:iCs/>
        </w:rPr>
        <w:t xml:space="preserve">The ESC agreed with the </w:t>
      </w:r>
      <w:r w:rsidR="00BA2816" w:rsidRPr="00AB5BD2">
        <w:rPr>
          <w:iCs/>
        </w:rPr>
        <w:t>evaluation</w:t>
      </w:r>
      <w:r w:rsidRPr="00AB5BD2">
        <w:rPr>
          <w:iCs/>
        </w:rPr>
        <w:t xml:space="preserve"> that</w:t>
      </w:r>
      <w:r w:rsidR="00BA2816" w:rsidRPr="00AB5BD2">
        <w:rPr>
          <w:iCs/>
        </w:rPr>
        <w:t xml:space="preserve"> </w:t>
      </w:r>
      <w:r w:rsidRPr="00AB5BD2">
        <w:rPr>
          <w:iCs/>
        </w:rPr>
        <w:t>a</w:t>
      </w:r>
      <w:r w:rsidR="00035462" w:rsidRPr="00AB5BD2">
        <w:rPr>
          <w:iCs/>
        </w:rPr>
        <w:t>t the requested</w:t>
      </w:r>
      <w:r w:rsidR="00795858" w:rsidRPr="00AB5BD2">
        <w:rPr>
          <w:iCs/>
        </w:rPr>
        <w:t xml:space="preserve"> price,</w:t>
      </w:r>
      <w:r w:rsidR="00035462" w:rsidRPr="00AB5BD2">
        <w:rPr>
          <w:iCs/>
        </w:rPr>
        <w:t xml:space="preserve"> CZP is </w:t>
      </w:r>
      <w:r w:rsidR="00035462" w:rsidRPr="00575D44">
        <w:rPr>
          <w:iCs/>
        </w:rPr>
        <w:t>more costly</w:t>
      </w:r>
      <w:r w:rsidR="00035462" w:rsidRPr="00AB5BD2">
        <w:rPr>
          <w:iCs/>
        </w:rPr>
        <w:t xml:space="preserve"> than GLM </w:t>
      </w:r>
      <w:r w:rsidR="0013252E" w:rsidRPr="00AB5BD2">
        <w:rPr>
          <w:iCs/>
        </w:rPr>
        <w:t>for</w:t>
      </w:r>
      <w:r w:rsidR="00035462" w:rsidRPr="00AB5BD2">
        <w:rPr>
          <w:iCs/>
        </w:rPr>
        <w:t xml:space="preserve"> the first three years o</w:t>
      </w:r>
      <w:r w:rsidR="0013252E" w:rsidRPr="00AB5BD2">
        <w:rPr>
          <w:iCs/>
        </w:rPr>
        <w:t xml:space="preserve">n </w:t>
      </w:r>
      <w:r w:rsidR="00035462" w:rsidRPr="00AB5BD2">
        <w:rPr>
          <w:iCs/>
        </w:rPr>
        <w:t>treatmen</w:t>
      </w:r>
      <w:r w:rsidR="00AB5BD2">
        <w:rPr>
          <w:iCs/>
        </w:rPr>
        <w:t xml:space="preserve">t, and only becomes </w:t>
      </w:r>
      <w:r w:rsidR="00AB5BD2" w:rsidRPr="00575D44">
        <w:rPr>
          <w:iCs/>
        </w:rPr>
        <w:t>cost-saving</w:t>
      </w:r>
      <w:r w:rsidR="00035462" w:rsidRPr="00AB5BD2">
        <w:rPr>
          <w:iCs/>
        </w:rPr>
        <w:t xml:space="preserve"> for patients who remain on therapy for at least four years</w:t>
      </w:r>
      <w:r w:rsidR="00132EAD" w:rsidRPr="00AB5BD2">
        <w:rPr>
          <w:iCs/>
        </w:rPr>
        <w:t xml:space="preserve">. </w:t>
      </w:r>
      <w:r w:rsidR="0046025A" w:rsidRPr="00AB5BD2">
        <w:rPr>
          <w:iCs/>
        </w:rPr>
        <w:t xml:space="preserve">The Sponsor </w:t>
      </w:r>
      <w:r w:rsidR="001D1EAB">
        <w:rPr>
          <w:iCs/>
        </w:rPr>
        <w:t>stated in the pre-PBAC response</w:t>
      </w:r>
      <w:r w:rsidR="0046025A" w:rsidRPr="00AB5BD2">
        <w:rPr>
          <w:iCs/>
        </w:rPr>
        <w:t xml:space="preserve"> that under the accepted pricing methodology calculated over the first 2 years of treatment, CZP would be </w:t>
      </w:r>
      <w:r w:rsidR="0046025A" w:rsidRPr="00575D44">
        <w:rPr>
          <w:iCs/>
        </w:rPr>
        <w:t>cost saving</w:t>
      </w:r>
      <w:r w:rsidR="0046025A" w:rsidRPr="00AB5BD2">
        <w:rPr>
          <w:iCs/>
        </w:rPr>
        <w:t xml:space="preserve"> after year 2 of listing.</w:t>
      </w:r>
    </w:p>
    <w:p w:rsidR="00C20AD2" w:rsidRDefault="00C20AD2" w:rsidP="00C20AD2">
      <w:pPr>
        <w:pStyle w:val="ListParagraph"/>
        <w:widowControl/>
        <w:numPr>
          <w:ilvl w:val="1"/>
          <w:numId w:val="3"/>
        </w:numPr>
        <w:rPr>
          <w:iCs/>
        </w:rPr>
      </w:pPr>
      <w:r>
        <w:rPr>
          <w:iCs/>
        </w:rPr>
        <w:lastRenderedPageBreak/>
        <w:t>T</w:t>
      </w:r>
      <w:r w:rsidRPr="00132EAD">
        <w:t>he PBAC considered that the financial estimates</w:t>
      </w:r>
      <w:r w:rsidR="00843F7B">
        <w:t xml:space="preserve"> presented</w:t>
      </w:r>
      <w:r w:rsidRPr="00132EAD">
        <w:t xml:space="preserve"> </w:t>
      </w:r>
      <w:r>
        <w:t xml:space="preserve">in the submission </w:t>
      </w:r>
      <w:r w:rsidRPr="00132EAD">
        <w:t>were unreliable and uncertain</w:t>
      </w:r>
      <w:r w:rsidR="00843F7B">
        <w:t xml:space="preserve"> because the methodology adopted was likely to overestimate the number of eligible and treated patient</w:t>
      </w:r>
      <w:r w:rsidR="00973874">
        <w:t>s</w:t>
      </w:r>
      <w:r>
        <w:rPr>
          <w:iCs/>
        </w:rPr>
        <w:t>.</w:t>
      </w:r>
    </w:p>
    <w:p w:rsidR="0046025A" w:rsidRPr="00132EAD" w:rsidRDefault="0046025A" w:rsidP="0046025A"/>
    <w:p w:rsidR="00576972" w:rsidRPr="00132EAD" w:rsidRDefault="00576972" w:rsidP="00936C60">
      <w:pPr>
        <w:pStyle w:val="Heading2"/>
      </w:pPr>
      <w:bookmarkStart w:id="16" w:name="_Toc19717653"/>
      <w:r w:rsidRPr="00132EAD">
        <w:t>Financial Management – Risk Sharing Arrangements</w:t>
      </w:r>
      <w:bookmarkEnd w:id="16"/>
    </w:p>
    <w:p w:rsidR="00B245A2" w:rsidRPr="00132EAD" w:rsidRDefault="008210AE" w:rsidP="00E1229C">
      <w:pPr>
        <w:pStyle w:val="ListParagraph"/>
        <w:widowControl/>
        <w:numPr>
          <w:ilvl w:val="1"/>
          <w:numId w:val="3"/>
        </w:numPr>
        <w:rPr>
          <w:iCs/>
        </w:rPr>
      </w:pPr>
      <w:r w:rsidRPr="00132EAD">
        <w:t>The Sponsor expect</w:t>
      </w:r>
      <w:r w:rsidR="00787BF4" w:rsidRPr="00132EAD">
        <w:t>s</w:t>
      </w:r>
      <w:r w:rsidRPr="00132EAD">
        <w:t xml:space="preserve"> to join the existing RSA with GLM upon listing, which addresses the uncertainty around the financial estimates presented in the submission.</w:t>
      </w:r>
      <w:r w:rsidR="00B245A2" w:rsidRPr="00132EAD">
        <w:rPr>
          <w:rFonts w:asciiTheme="minorHAnsi" w:hAnsiTheme="minorHAnsi"/>
          <w:i/>
        </w:rPr>
        <w:t xml:space="preserve"> </w:t>
      </w:r>
    </w:p>
    <w:p w:rsidR="007A4834" w:rsidRPr="00132EAD" w:rsidRDefault="00B245A2" w:rsidP="007A4834">
      <w:pPr>
        <w:ind w:firstLine="720"/>
        <w:rPr>
          <w:b/>
          <w:bCs/>
          <w:i/>
          <w:sz w:val="32"/>
        </w:rPr>
      </w:pPr>
      <w:r w:rsidRPr="00132EAD">
        <w:rPr>
          <w:i/>
        </w:rPr>
        <w:t>For more detail on PBAC’s view, see section 7 PBAC outcome.</w:t>
      </w:r>
    </w:p>
    <w:p w:rsidR="0060084F" w:rsidRPr="00132EAD" w:rsidRDefault="0060084F" w:rsidP="00177F91">
      <w:pPr>
        <w:pStyle w:val="PBACHeading1"/>
        <w:rPr>
          <w:rFonts w:asciiTheme="minorHAnsi" w:hAnsiTheme="minorHAnsi"/>
          <w:b w:val="0"/>
          <w:bCs/>
        </w:rPr>
      </w:pPr>
      <w:r w:rsidRPr="00132EAD">
        <w:t>PBAC</w:t>
      </w:r>
      <w:r w:rsidRPr="00132EAD">
        <w:rPr>
          <w:rFonts w:asciiTheme="minorHAnsi" w:hAnsiTheme="minorHAnsi"/>
          <w:b w:val="0"/>
          <w:bCs/>
        </w:rPr>
        <w:t xml:space="preserve"> </w:t>
      </w:r>
      <w:r w:rsidRPr="00132EAD">
        <w:t>Outcome</w:t>
      </w:r>
    </w:p>
    <w:p w:rsidR="00121A79" w:rsidRDefault="00121A79" w:rsidP="007C7E28">
      <w:pPr>
        <w:numPr>
          <w:ilvl w:val="1"/>
          <w:numId w:val="3"/>
        </w:numPr>
        <w:spacing w:after="120"/>
        <w:rPr>
          <w:rFonts w:asciiTheme="minorHAnsi" w:hAnsiTheme="minorHAnsi"/>
          <w:bCs/>
        </w:rPr>
      </w:pPr>
      <w:r w:rsidRPr="00132EAD">
        <w:rPr>
          <w:rFonts w:asciiTheme="minorHAnsi" w:hAnsiTheme="minorHAnsi"/>
          <w:bCs/>
        </w:rPr>
        <w:t xml:space="preserve">The PBAC recommended </w:t>
      </w:r>
      <w:r w:rsidR="007C7E28">
        <w:rPr>
          <w:rFonts w:asciiTheme="minorHAnsi" w:hAnsiTheme="minorHAnsi"/>
          <w:bCs/>
        </w:rPr>
        <w:t xml:space="preserve">the Authority </w:t>
      </w:r>
      <w:proofErr w:type="gramStart"/>
      <w:r w:rsidR="007C7E28">
        <w:rPr>
          <w:rFonts w:asciiTheme="minorHAnsi" w:hAnsiTheme="minorHAnsi"/>
          <w:bCs/>
        </w:rPr>
        <w:t>Required</w:t>
      </w:r>
      <w:proofErr w:type="gramEnd"/>
      <w:r w:rsidR="007C7E28">
        <w:rPr>
          <w:rFonts w:asciiTheme="minorHAnsi" w:hAnsiTheme="minorHAnsi"/>
          <w:bCs/>
        </w:rPr>
        <w:t xml:space="preserve"> </w:t>
      </w:r>
      <w:r w:rsidRPr="00132EAD">
        <w:rPr>
          <w:rFonts w:asciiTheme="minorHAnsi" w:hAnsiTheme="minorHAnsi"/>
          <w:bCs/>
        </w:rPr>
        <w:t xml:space="preserve">listing of </w:t>
      </w:r>
      <w:proofErr w:type="spellStart"/>
      <w:r w:rsidR="007C7E28">
        <w:rPr>
          <w:rFonts w:asciiTheme="minorHAnsi" w:hAnsiTheme="minorHAnsi"/>
          <w:bCs/>
        </w:rPr>
        <w:t>certolizumab</w:t>
      </w:r>
      <w:proofErr w:type="spellEnd"/>
      <w:r w:rsidR="007C7E28">
        <w:rPr>
          <w:rFonts w:asciiTheme="minorHAnsi" w:hAnsiTheme="minorHAnsi"/>
          <w:bCs/>
        </w:rPr>
        <w:t xml:space="preserve"> (CZP) </w:t>
      </w:r>
      <w:r w:rsidRPr="00132EAD">
        <w:rPr>
          <w:rFonts w:asciiTheme="minorHAnsi" w:hAnsiTheme="minorHAnsi"/>
          <w:bCs/>
        </w:rPr>
        <w:t xml:space="preserve">for </w:t>
      </w:r>
      <w:r w:rsidR="007C7E28">
        <w:rPr>
          <w:rFonts w:asciiTheme="minorHAnsi" w:hAnsiTheme="minorHAnsi"/>
          <w:bCs/>
        </w:rPr>
        <w:t xml:space="preserve">the treatment of </w:t>
      </w:r>
      <w:r w:rsidR="007C7E28" w:rsidRPr="00132EAD">
        <w:t xml:space="preserve">non-radiographic axial </w:t>
      </w:r>
      <w:proofErr w:type="spellStart"/>
      <w:r w:rsidR="007C7E28" w:rsidRPr="00132EAD">
        <w:t>spondyloart</w:t>
      </w:r>
      <w:r w:rsidR="007C7E28">
        <w:t>hritis</w:t>
      </w:r>
      <w:proofErr w:type="spellEnd"/>
      <w:r w:rsidR="00843F7B">
        <w:t xml:space="preserve"> </w:t>
      </w:r>
      <w:r w:rsidR="007C7E28">
        <w:t>(</w:t>
      </w:r>
      <w:proofErr w:type="spellStart"/>
      <w:r w:rsidRPr="00132EAD">
        <w:t>nr-axSpA</w:t>
      </w:r>
      <w:proofErr w:type="spellEnd"/>
      <w:r w:rsidR="007C7E28">
        <w:t>)</w:t>
      </w:r>
      <w:r w:rsidR="00843F7B">
        <w:t>.</w:t>
      </w:r>
      <w:r w:rsidR="00C858C2">
        <w:t xml:space="preserve"> </w:t>
      </w:r>
      <w:r w:rsidR="007C7E28" w:rsidRPr="007C7E28">
        <w:rPr>
          <w:rFonts w:asciiTheme="minorHAnsi" w:hAnsiTheme="minorHAnsi"/>
          <w:bCs/>
        </w:rPr>
        <w:t xml:space="preserve">The PBAC’s recommendation for listing was based on, among other matters, its assessment, as described above, that </w:t>
      </w:r>
      <w:r w:rsidR="007C7E28">
        <w:rPr>
          <w:rFonts w:asciiTheme="minorHAnsi" w:hAnsiTheme="minorHAnsi"/>
          <w:bCs/>
        </w:rPr>
        <w:t>the cost-effectiveness of CZP</w:t>
      </w:r>
      <w:r w:rsidR="007C7E28" w:rsidRPr="007C7E28">
        <w:rPr>
          <w:rFonts w:asciiTheme="minorHAnsi" w:hAnsiTheme="minorHAnsi"/>
          <w:bCs/>
        </w:rPr>
        <w:t xml:space="preserve"> would be acceptable if it we</w:t>
      </w:r>
      <w:r w:rsidR="007C7E28">
        <w:rPr>
          <w:rFonts w:asciiTheme="minorHAnsi" w:hAnsiTheme="minorHAnsi"/>
          <w:bCs/>
        </w:rPr>
        <w:t xml:space="preserve">re cost-minimised </w:t>
      </w:r>
      <w:r w:rsidR="00C32B60">
        <w:rPr>
          <w:rFonts w:asciiTheme="minorHAnsi" w:hAnsiTheme="minorHAnsi"/>
          <w:bCs/>
        </w:rPr>
        <w:t xml:space="preserve">to </w:t>
      </w:r>
      <w:proofErr w:type="spellStart"/>
      <w:r w:rsidR="007C7E28">
        <w:rPr>
          <w:rFonts w:asciiTheme="minorHAnsi" w:hAnsiTheme="minorHAnsi"/>
          <w:bCs/>
        </w:rPr>
        <w:t>golimumab</w:t>
      </w:r>
      <w:proofErr w:type="spellEnd"/>
      <w:r w:rsidR="007C7E28">
        <w:rPr>
          <w:rFonts w:asciiTheme="minorHAnsi" w:hAnsiTheme="minorHAnsi"/>
          <w:bCs/>
        </w:rPr>
        <w:t xml:space="preserve"> (GLM)</w:t>
      </w:r>
      <w:r w:rsidR="007C7E28" w:rsidRPr="007C7E28">
        <w:rPr>
          <w:rFonts w:asciiTheme="minorHAnsi" w:hAnsiTheme="minorHAnsi"/>
          <w:bCs/>
        </w:rPr>
        <w:t>.</w:t>
      </w:r>
    </w:p>
    <w:p w:rsidR="00121A79" w:rsidRPr="00132EAD" w:rsidRDefault="00121A79" w:rsidP="00121A79">
      <w:pPr>
        <w:numPr>
          <w:ilvl w:val="1"/>
          <w:numId w:val="3"/>
        </w:numPr>
        <w:spacing w:after="120"/>
        <w:rPr>
          <w:rFonts w:asciiTheme="minorHAnsi" w:hAnsiTheme="minorHAnsi"/>
          <w:bCs/>
        </w:rPr>
      </w:pPr>
      <w:r w:rsidRPr="00132EAD">
        <w:rPr>
          <w:rFonts w:asciiTheme="minorHAnsi" w:hAnsiTheme="minorHAnsi"/>
          <w:bCs/>
        </w:rPr>
        <w:t xml:space="preserve">The PBAC considered the nominated comparator </w:t>
      </w:r>
      <w:r w:rsidR="007C7E28">
        <w:rPr>
          <w:rFonts w:asciiTheme="minorHAnsi" w:hAnsiTheme="minorHAnsi"/>
          <w:bCs/>
        </w:rPr>
        <w:t xml:space="preserve">was </w:t>
      </w:r>
      <w:r w:rsidRPr="00132EAD">
        <w:rPr>
          <w:rFonts w:asciiTheme="minorHAnsi" w:hAnsiTheme="minorHAnsi"/>
          <w:bCs/>
        </w:rPr>
        <w:t>appropriate</w:t>
      </w:r>
      <w:r w:rsidR="007C7E28">
        <w:rPr>
          <w:rFonts w:asciiTheme="minorHAnsi" w:hAnsiTheme="minorHAnsi"/>
          <w:bCs/>
        </w:rPr>
        <w:t xml:space="preserve"> and the equi-effective doses were </w:t>
      </w:r>
      <w:r w:rsidR="007C7E28" w:rsidRPr="007C7E28">
        <w:rPr>
          <w:rFonts w:asciiTheme="minorHAnsi" w:hAnsiTheme="minorHAnsi"/>
          <w:bCs/>
        </w:rPr>
        <w:t>CZP 400mg at Week 0, 2, 4 followed by 200mg every 2 weeks or 400mg every 4 weeks and GLM 50mg once a month</w:t>
      </w:r>
      <w:r w:rsidR="007C7E28">
        <w:rPr>
          <w:rFonts w:asciiTheme="minorHAnsi" w:hAnsiTheme="minorHAnsi"/>
          <w:bCs/>
        </w:rPr>
        <w:t>.</w:t>
      </w:r>
      <w:r w:rsidR="007C7E28" w:rsidRPr="00132EAD">
        <w:rPr>
          <w:rFonts w:asciiTheme="minorHAnsi" w:hAnsiTheme="minorHAnsi"/>
          <w:bCs/>
        </w:rPr>
        <w:t xml:space="preserve"> </w:t>
      </w:r>
      <w:r w:rsidR="007C7E28">
        <w:rPr>
          <w:rFonts w:asciiTheme="minorHAnsi" w:hAnsiTheme="minorHAnsi"/>
          <w:bCs/>
        </w:rPr>
        <w:t>The PBAC advised the cost-minimisation analysis should use the approved</w:t>
      </w:r>
      <w:r w:rsidR="0009207B">
        <w:rPr>
          <w:rFonts w:asciiTheme="minorHAnsi" w:hAnsiTheme="minorHAnsi"/>
          <w:bCs/>
        </w:rPr>
        <w:t xml:space="preserve"> ex-manufacturer price and </w:t>
      </w:r>
      <w:r w:rsidR="007C7E28">
        <w:rPr>
          <w:rFonts w:asciiTheme="minorHAnsi" w:hAnsiTheme="minorHAnsi"/>
          <w:bCs/>
        </w:rPr>
        <w:t>be conducted over 2 years</w:t>
      </w:r>
      <w:r w:rsidR="0009207B">
        <w:rPr>
          <w:rFonts w:asciiTheme="minorHAnsi" w:hAnsiTheme="minorHAnsi"/>
          <w:bCs/>
        </w:rPr>
        <w:t xml:space="preserve">, consistent with the approach previously applied to </w:t>
      </w:r>
      <w:proofErr w:type="spellStart"/>
      <w:r w:rsidR="0009207B">
        <w:rPr>
          <w:rFonts w:asciiTheme="minorHAnsi" w:hAnsiTheme="minorHAnsi"/>
          <w:bCs/>
        </w:rPr>
        <w:t>bDMARDs</w:t>
      </w:r>
      <w:proofErr w:type="spellEnd"/>
      <w:r w:rsidR="00F66E0A">
        <w:rPr>
          <w:rFonts w:asciiTheme="minorHAnsi" w:hAnsiTheme="minorHAnsi"/>
          <w:bCs/>
        </w:rPr>
        <w:t xml:space="preserve"> for other indications</w:t>
      </w:r>
      <w:r w:rsidR="007C7E28">
        <w:rPr>
          <w:rFonts w:asciiTheme="minorHAnsi" w:hAnsiTheme="minorHAnsi"/>
          <w:bCs/>
        </w:rPr>
        <w:t xml:space="preserve">.  </w:t>
      </w:r>
    </w:p>
    <w:p w:rsidR="00853B3E" w:rsidRPr="000526C9" w:rsidRDefault="0009207B" w:rsidP="000526C9">
      <w:pPr>
        <w:pStyle w:val="ListParagraph"/>
        <w:widowControl/>
        <w:numPr>
          <w:ilvl w:val="1"/>
          <w:numId w:val="3"/>
        </w:numPr>
        <w:spacing w:after="120"/>
        <w:rPr>
          <w:rFonts w:asciiTheme="minorHAnsi" w:hAnsiTheme="minorHAnsi"/>
          <w:bCs/>
          <w:iCs/>
        </w:rPr>
      </w:pPr>
      <w:r w:rsidRPr="00132EAD">
        <w:rPr>
          <w:iCs/>
        </w:rPr>
        <w:t>The PBAC</w:t>
      </w:r>
      <w:r w:rsidR="007A5F11">
        <w:rPr>
          <w:iCs/>
        </w:rPr>
        <w:t xml:space="preserve"> consid</w:t>
      </w:r>
      <w:r w:rsidR="00C32B60">
        <w:rPr>
          <w:iCs/>
        </w:rPr>
        <w:t>e</w:t>
      </w:r>
      <w:r w:rsidR="007A5F11">
        <w:rPr>
          <w:iCs/>
        </w:rPr>
        <w:t xml:space="preserve">red the claim </w:t>
      </w:r>
      <w:r w:rsidR="00C32B60">
        <w:rPr>
          <w:iCs/>
        </w:rPr>
        <w:t xml:space="preserve">that CZP was non-inferior to GLM in terms of effectiveness and safety was adequately supported by the evidence provided in the submission.  The PBAC </w:t>
      </w:r>
      <w:r w:rsidR="007A5F11">
        <w:rPr>
          <w:iCs/>
        </w:rPr>
        <w:t xml:space="preserve">noted </w:t>
      </w:r>
      <w:r w:rsidRPr="00132EAD">
        <w:rPr>
          <w:iCs/>
        </w:rPr>
        <w:t xml:space="preserve">the lack of a non-inferiority margin for BASDAI50 and </w:t>
      </w:r>
      <w:r w:rsidR="00C32B60">
        <w:rPr>
          <w:iCs/>
        </w:rPr>
        <w:t xml:space="preserve">the </w:t>
      </w:r>
      <w:r w:rsidRPr="00132EAD">
        <w:rPr>
          <w:iCs/>
        </w:rPr>
        <w:t xml:space="preserve">lack of formal comparison </w:t>
      </w:r>
      <w:r>
        <w:rPr>
          <w:iCs/>
        </w:rPr>
        <w:t xml:space="preserve">of </w:t>
      </w:r>
      <w:r w:rsidRPr="00132EAD">
        <w:rPr>
          <w:iCs/>
        </w:rPr>
        <w:t>safety</w:t>
      </w:r>
      <w:r w:rsidR="00C32B60">
        <w:rPr>
          <w:iCs/>
        </w:rPr>
        <w:t xml:space="preserve"> but overall, considered the claim of non-inferiority was reasonable. </w:t>
      </w:r>
    </w:p>
    <w:p w:rsidR="00121A79" w:rsidRPr="00853B3E" w:rsidRDefault="00121A79" w:rsidP="00853B3E">
      <w:pPr>
        <w:numPr>
          <w:ilvl w:val="1"/>
          <w:numId w:val="3"/>
        </w:numPr>
        <w:spacing w:after="120"/>
        <w:rPr>
          <w:rFonts w:asciiTheme="minorHAnsi" w:hAnsiTheme="minorHAnsi"/>
          <w:bCs/>
        </w:rPr>
      </w:pPr>
      <w:r w:rsidRPr="00853B3E">
        <w:rPr>
          <w:rFonts w:asciiTheme="minorHAnsi" w:hAnsiTheme="minorHAnsi"/>
          <w:bCs/>
        </w:rPr>
        <w:t>The</w:t>
      </w:r>
      <w:r w:rsidRPr="00853B3E">
        <w:rPr>
          <w:iCs/>
        </w:rPr>
        <w:t xml:space="preserve"> PBAC noted the requested restriction criteria for CZP </w:t>
      </w:r>
      <w:r w:rsidR="00E85409" w:rsidRPr="00853B3E">
        <w:rPr>
          <w:iCs/>
        </w:rPr>
        <w:t xml:space="preserve">allowed for </w:t>
      </w:r>
      <w:r w:rsidR="00C12650" w:rsidRPr="00853B3E">
        <w:rPr>
          <w:iCs/>
        </w:rPr>
        <w:t xml:space="preserve">two </w:t>
      </w:r>
      <w:r w:rsidR="00E85409" w:rsidRPr="00853B3E">
        <w:rPr>
          <w:iCs/>
        </w:rPr>
        <w:t>failures within a treatment cycle,</w:t>
      </w:r>
      <w:r w:rsidR="00AA2132" w:rsidRPr="00853B3E">
        <w:rPr>
          <w:iCs/>
        </w:rPr>
        <w:t xml:space="preserve"> consistent with</w:t>
      </w:r>
      <w:r w:rsidR="00E85409" w:rsidRPr="00853B3E">
        <w:rPr>
          <w:iCs/>
        </w:rPr>
        <w:t xml:space="preserve"> the current GLM restriction criteria, allowing for a total of </w:t>
      </w:r>
      <w:r w:rsidR="00C12650" w:rsidRPr="00853B3E">
        <w:rPr>
          <w:iCs/>
        </w:rPr>
        <w:t>four</w:t>
      </w:r>
      <w:r w:rsidR="00E85409" w:rsidRPr="00853B3E">
        <w:rPr>
          <w:iCs/>
        </w:rPr>
        <w:t xml:space="preserve"> failures within a treatment cycle. </w:t>
      </w:r>
      <w:r w:rsidR="00AA2132" w:rsidRPr="00853B3E">
        <w:rPr>
          <w:iCs/>
        </w:rPr>
        <w:t>The PBAC considered it appropriate</w:t>
      </w:r>
      <w:r w:rsidR="00E9167B" w:rsidRPr="00853B3E">
        <w:rPr>
          <w:iCs/>
        </w:rPr>
        <w:t xml:space="preserve"> that patients should be</w:t>
      </w:r>
      <w:r w:rsidR="00134A05" w:rsidRPr="00853B3E">
        <w:rPr>
          <w:iCs/>
        </w:rPr>
        <w:t xml:space="preserve"> eligible to initiate and fail </w:t>
      </w:r>
      <w:proofErr w:type="spellStart"/>
      <w:r w:rsidR="00134A05" w:rsidRPr="00853B3E">
        <w:rPr>
          <w:iCs/>
        </w:rPr>
        <w:t>bDMARD</w:t>
      </w:r>
      <w:proofErr w:type="spellEnd"/>
      <w:r w:rsidR="00134A05" w:rsidRPr="00853B3E">
        <w:rPr>
          <w:iCs/>
        </w:rPr>
        <w:t xml:space="preserve"> therapy three times within a single treatment cycle</w:t>
      </w:r>
      <w:r w:rsidR="00AA2132" w:rsidRPr="00853B3E">
        <w:rPr>
          <w:iCs/>
        </w:rPr>
        <w:t xml:space="preserve"> for consistency with listings for </w:t>
      </w:r>
      <w:proofErr w:type="spellStart"/>
      <w:r w:rsidR="00AA2132" w:rsidRPr="00853B3E">
        <w:rPr>
          <w:iCs/>
        </w:rPr>
        <w:t>bDMARD</w:t>
      </w:r>
      <w:r w:rsidR="00160364">
        <w:rPr>
          <w:iCs/>
        </w:rPr>
        <w:t>s</w:t>
      </w:r>
      <w:proofErr w:type="spellEnd"/>
      <w:r w:rsidR="00AA2132" w:rsidRPr="00853B3E">
        <w:rPr>
          <w:iCs/>
        </w:rPr>
        <w:t xml:space="preserve"> in other conditions. </w:t>
      </w:r>
      <w:r w:rsidR="00D36E82" w:rsidRPr="00853B3E">
        <w:rPr>
          <w:iCs/>
        </w:rPr>
        <w:t>The PBAC noted that there will be flow-on restriction changes to GLM regarding the number of treatment fai</w:t>
      </w:r>
      <w:r w:rsidR="00657498">
        <w:rPr>
          <w:iCs/>
        </w:rPr>
        <w:t>lures within a treatment cycle.</w:t>
      </w:r>
    </w:p>
    <w:p w:rsidR="00121A79" w:rsidRPr="00132EAD" w:rsidRDefault="00121A79" w:rsidP="00E35E21">
      <w:pPr>
        <w:keepNext/>
        <w:keepLines/>
        <w:numPr>
          <w:ilvl w:val="1"/>
          <w:numId w:val="3"/>
        </w:numPr>
        <w:spacing w:after="120"/>
        <w:rPr>
          <w:rFonts w:asciiTheme="minorHAnsi" w:hAnsiTheme="minorHAnsi"/>
          <w:bCs/>
        </w:rPr>
      </w:pPr>
      <w:r w:rsidRPr="00132EAD">
        <w:rPr>
          <w:rFonts w:asciiTheme="minorHAnsi" w:hAnsiTheme="minorHAnsi"/>
          <w:bCs/>
        </w:rPr>
        <w:lastRenderedPageBreak/>
        <w:t xml:space="preserve">The PBAC noted the requested changes from the Australian Rheumatology Association that were recommended at its </w:t>
      </w:r>
      <w:r w:rsidR="00C34200">
        <w:rPr>
          <w:rFonts w:asciiTheme="minorHAnsi" w:hAnsiTheme="minorHAnsi"/>
          <w:bCs/>
        </w:rPr>
        <w:t xml:space="preserve">August </w:t>
      </w:r>
      <w:r w:rsidRPr="00132EAD">
        <w:rPr>
          <w:rFonts w:asciiTheme="minorHAnsi" w:hAnsiTheme="minorHAnsi"/>
          <w:bCs/>
        </w:rPr>
        <w:t>2017</w:t>
      </w:r>
      <w:r w:rsidR="00C34200">
        <w:rPr>
          <w:rStyle w:val="FootnoteReference"/>
          <w:rFonts w:asciiTheme="minorHAnsi" w:hAnsiTheme="minorHAnsi"/>
          <w:bCs/>
        </w:rPr>
        <w:footnoteReference w:id="1"/>
      </w:r>
      <w:r w:rsidRPr="00132EAD">
        <w:rPr>
          <w:rFonts w:asciiTheme="minorHAnsi" w:hAnsiTheme="minorHAnsi"/>
          <w:bCs/>
        </w:rPr>
        <w:t xml:space="preserve"> meeting have been implemented for the biological medicines across multiple rheumatology indications and considered that it is appropriate to apply those changes to CZP and GLM for </w:t>
      </w:r>
      <w:proofErr w:type="spellStart"/>
      <w:r w:rsidRPr="00132EAD">
        <w:t>nr-axSpA</w:t>
      </w:r>
      <w:proofErr w:type="spellEnd"/>
      <w:r w:rsidRPr="00132EAD">
        <w:rPr>
          <w:rFonts w:asciiTheme="minorHAnsi" w:hAnsiTheme="minorHAnsi"/>
          <w:bCs/>
        </w:rPr>
        <w:t>, as follows. (1) Failure exclusions due to serious AEs</w:t>
      </w:r>
      <w:r w:rsidR="00132EAD">
        <w:rPr>
          <w:rFonts w:asciiTheme="minorHAnsi" w:hAnsiTheme="minorHAnsi"/>
          <w:bCs/>
        </w:rPr>
        <w:t xml:space="preserve"> </w:t>
      </w:r>
      <w:r w:rsidRPr="00132EAD">
        <w:rPr>
          <w:rFonts w:asciiTheme="minorHAnsi" w:hAnsiTheme="minorHAnsi"/>
          <w:bCs/>
        </w:rPr>
        <w:t>(2) Request for removal of requirement to fail previous therapy (in this case NSAID and exercise) when recommencing after treatment break.</w:t>
      </w:r>
      <w:r w:rsidR="00E35E21">
        <w:rPr>
          <w:rFonts w:asciiTheme="minorHAnsi" w:hAnsiTheme="minorHAnsi"/>
          <w:bCs/>
        </w:rPr>
        <w:t xml:space="preserve"> </w:t>
      </w:r>
      <w:r w:rsidR="00E35E21">
        <w:t>The PBAC considered it was appropriate to include "</w:t>
      </w:r>
      <w:r w:rsidR="00E35E21" w:rsidRPr="00E35E21">
        <w:t>If the requirement to demonstrate an elevated CRP cannot be met, the application must state the reason this criterion cannot be satisfied</w:t>
      </w:r>
      <w:r w:rsidR="00E35E21">
        <w:t xml:space="preserve">" consistent with </w:t>
      </w:r>
      <w:r w:rsidR="009606A7">
        <w:t xml:space="preserve">the criteria for biologic medicines for </w:t>
      </w:r>
      <w:r w:rsidR="00E35E21">
        <w:t>other indications.</w:t>
      </w:r>
    </w:p>
    <w:p w:rsidR="00D36E82" w:rsidRPr="00F2062A" w:rsidRDefault="00D36E82" w:rsidP="00D36E82">
      <w:pPr>
        <w:pStyle w:val="ListParagraph"/>
        <w:widowControl/>
        <w:numPr>
          <w:ilvl w:val="1"/>
          <w:numId w:val="3"/>
        </w:numPr>
        <w:spacing w:after="120"/>
        <w:rPr>
          <w:rFonts w:asciiTheme="minorHAnsi" w:hAnsiTheme="minorHAnsi"/>
          <w:bCs/>
          <w:iCs/>
        </w:rPr>
      </w:pPr>
      <w:r>
        <w:rPr>
          <w:iCs/>
        </w:rPr>
        <w:t xml:space="preserve">The </w:t>
      </w:r>
      <w:r w:rsidRPr="00132EAD">
        <w:t xml:space="preserve">PBAC considered the financial estimates </w:t>
      </w:r>
      <w:r>
        <w:t xml:space="preserve">provided in the submission </w:t>
      </w:r>
      <w:r w:rsidRPr="00132EAD">
        <w:t>were unreliable</w:t>
      </w:r>
      <w:r>
        <w:t xml:space="preserve"> and considered that listing CZP for </w:t>
      </w:r>
      <w:proofErr w:type="spellStart"/>
      <w:r>
        <w:t>nr-axSpA</w:t>
      </w:r>
      <w:proofErr w:type="spellEnd"/>
      <w:r w:rsidRPr="007A5F11">
        <w:t xml:space="preserve"> on a cost minimisation basis </w:t>
      </w:r>
      <w:r>
        <w:t>as described in paragraph 7.2 should</w:t>
      </w:r>
      <w:r w:rsidRPr="007A5F11">
        <w:t xml:space="preserve"> be cost-neutral to the PBS</w:t>
      </w:r>
      <w:r>
        <w:t>.</w:t>
      </w:r>
      <w:r w:rsidRPr="007A5F11" w:rsidDel="0009207B">
        <w:t xml:space="preserve"> </w:t>
      </w:r>
    </w:p>
    <w:p w:rsidR="00121A79" w:rsidRPr="00132EAD" w:rsidRDefault="00DE3A1A" w:rsidP="00121A79">
      <w:pPr>
        <w:numPr>
          <w:ilvl w:val="1"/>
          <w:numId w:val="3"/>
        </w:numPr>
        <w:spacing w:after="120"/>
      </w:pPr>
      <w:r w:rsidRPr="00DE3A1A">
        <w:rPr>
          <w:rFonts w:asciiTheme="minorHAnsi" w:hAnsiTheme="minorHAnsi"/>
          <w:bCs/>
          <w:iCs/>
        </w:rPr>
        <w:t xml:space="preserve">The PBAC recommended the written Authority </w:t>
      </w:r>
      <w:proofErr w:type="gramStart"/>
      <w:r w:rsidRPr="00DE3A1A">
        <w:rPr>
          <w:rFonts w:asciiTheme="minorHAnsi" w:hAnsiTheme="minorHAnsi"/>
          <w:bCs/>
          <w:iCs/>
        </w:rPr>
        <w:t>Required</w:t>
      </w:r>
      <w:proofErr w:type="gramEnd"/>
      <w:r w:rsidRPr="00DE3A1A">
        <w:rPr>
          <w:rFonts w:asciiTheme="minorHAnsi" w:hAnsiTheme="minorHAnsi"/>
          <w:bCs/>
          <w:iCs/>
        </w:rPr>
        <w:t xml:space="preserve"> listing of </w:t>
      </w:r>
      <w:proofErr w:type="spellStart"/>
      <w:r w:rsidRPr="00DE3A1A">
        <w:rPr>
          <w:rFonts w:asciiTheme="minorHAnsi" w:hAnsiTheme="minorHAnsi"/>
          <w:bCs/>
          <w:iCs/>
        </w:rPr>
        <w:t>certolizumab</w:t>
      </w:r>
      <w:proofErr w:type="spellEnd"/>
      <w:r w:rsidRPr="00DE3A1A">
        <w:rPr>
          <w:rFonts w:asciiTheme="minorHAnsi" w:hAnsiTheme="minorHAnsi"/>
          <w:bCs/>
          <w:iCs/>
        </w:rPr>
        <w:t xml:space="preserve"> for </w:t>
      </w:r>
      <w:proofErr w:type="spellStart"/>
      <w:r w:rsidRPr="00DE3A1A">
        <w:rPr>
          <w:rFonts w:asciiTheme="minorHAnsi" w:hAnsiTheme="minorHAnsi"/>
          <w:bCs/>
          <w:iCs/>
        </w:rPr>
        <w:t>nr-axSpA</w:t>
      </w:r>
      <w:proofErr w:type="spellEnd"/>
      <w:r w:rsidRPr="00DE3A1A">
        <w:rPr>
          <w:rFonts w:asciiTheme="minorHAnsi" w:hAnsiTheme="minorHAnsi"/>
          <w:bCs/>
          <w:iCs/>
        </w:rPr>
        <w:t xml:space="preserve"> and advised that it may be appropriate to explore other options for prescribing such as the Online PBS Authorities system, should that system provide suitable functionality</w:t>
      </w:r>
      <w:r>
        <w:rPr>
          <w:rFonts w:asciiTheme="minorHAnsi" w:hAnsiTheme="minorHAnsi"/>
          <w:bCs/>
          <w:iCs/>
        </w:rPr>
        <w:t>.</w:t>
      </w:r>
      <w:r w:rsidRPr="00DE3A1A" w:rsidDel="00DE3A1A">
        <w:rPr>
          <w:rFonts w:asciiTheme="minorHAnsi" w:hAnsiTheme="minorHAnsi"/>
          <w:bCs/>
          <w:iCs/>
        </w:rPr>
        <w:t xml:space="preserve"> </w:t>
      </w:r>
    </w:p>
    <w:p w:rsidR="00A818E6" w:rsidRPr="00132EAD" w:rsidRDefault="00A818E6" w:rsidP="009E7E40">
      <w:pPr>
        <w:pStyle w:val="Bodytextitalics"/>
        <w:numPr>
          <w:ilvl w:val="1"/>
          <w:numId w:val="3"/>
        </w:numPr>
        <w:jc w:val="both"/>
        <w:rPr>
          <w:i w:val="0"/>
          <w:snapToGrid w:val="0"/>
        </w:rPr>
      </w:pPr>
      <w:r w:rsidRPr="00132EAD">
        <w:rPr>
          <w:bCs/>
          <w:i w:val="0"/>
        </w:rPr>
        <w:t xml:space="preserve">The PBAC noted that its recommendation was on a cost-minimisation basis and advised that because </w:t>
      </w:r>
      <w:r w:rsidR="005F173B" w:rsidRPr="00132EAD">
        <w:rPr>
          <w:bCs/>
          <w:i w:val="0"/>
        </w:rPr>
        <w:t>CZP</w:t>
      </w:r>
      <w:r w:rsidRPr="00132EAD">
        <w:rPr>
          <w:bCs/>
          <w:i w:val="0"/>
        </w:rPr>
        <w:t xml:space="preserve"> is not expected to provide a substantial and clinically relevant improvement in efficacy or reduction in toxicity</w:t>
      </w:r>
      <w:r w:rsidR="005F173B" w:rsidRPr="00132EAD">
        <w:rPr>
          <w:bCs/>
          <w:i w:val="0"/>
        </w:rPr>
        <w:t xml:space="preserve"> over</w:t>
      </w:r>
      <w:r w:rsidRPr="00132EAD">
        <w:rPr>
          <w:bCs/>
          <w:i w:val="0"/>
        </w:rPr>
        <w:t xml:space="preserve"> </w:t>
      </w:r>
      <w:r w:rsidR="005F173B" w:rsidRPr="00132EAD">
        <w:rPr>
          <w:bCs/>
          <w:i w:val="0"/>
        </w:rPr>
        <w:t>GLM</w:t>
      </w:r>
      <w:r w:rsidRPr="00132EAD">
        <w:rPr>
          <w:bCs/>
          <w:i w:val="0"/>
        </w:rPr>
        <w:t xml:space="preserve"> and not expected to address a high and urgent unmet clinical need, the criteria prescribed by the National Health (Pharmaceuticals and Vaccines – Cost Recovery) Regulations 2009 for Pricing Pathway A were not met. </w:t>
      </w:r>
    </w:p>
    <w:p w:rsidR="0009207B" w:rsidRPr="0009207B" w:rsidRDefault="0009207B" w:rsidP="0009207B">
      <w:pPr>
        <w:pStyle w:val="ListParagraph"/>
        <w:numPr>
          <w:ilvl w:val="1"/>
          <w:numId w:val="3"/>
        </w:numPr>
        <w:rPr>
          <w:rFonts w:asciiTheme="minorHAnsi" w:hAnsiTheme="minorHAnsi"/>
          <w:bCs/>
        </w:rPr>
      </w:pPr>
      <w:r w:rsidRPr="0009207B">
        <w:rPr>
          <w:rFonts w:asciiTheme="minorHAnsi" w:hAnsiTheme="minorHAnsi"/>
          <w:bCs/>
        </w:rPr>
        <w:t>Under section 101(3BA) of the National Health Act 1953, the PBAC advised</w:t>
      </w:r>
      <w:r>
        <w:rPr>
          <w:rFonts w:asciiTheme="minorHAnsi" w:hAnsiTheme="minorHAnsi"/>
          <w:bCs/>
        </w:rPr>
        <w:t xml:space="preserve"> that </w:t>
      </w:r>
      <w:r w:rsidR="000E145E">
        <w:rPr>
          <w:rFonts w:asciiTheme="minorHAnsi" w:hAnsiTheme="minorHAnsi"/>
          <w:bCs/>
        </w:rPr>
        <w:t>CZP</w:t>
      </w:r>
      <w:r w:rsidRPr="0009207B">
        <w:rPr>
          <w:rFonts w:asciiTheme="minorHAnsi" w:hAnsiTheme="minorHAnsi"/>
          <w:bCs/>
        </w:rPr>
        <w:t xml:space="preserve"> may be treated as interchangeable on an individual patient basis with </w:t>
      </w:r>
      <w:r w:rsidR="000E145E">
        <w:rPr>
          <w:rFonts w:asciiTheme="minorHAnsi" w:hAnsiTheme="minorHAnsi"/>
          <w:bCs/>
        </w:rPr>
        <w:t>GLM</w:t>
      </w:r>
      <w:r w:rsidRPr="0009207B">
        <w:rPr>
          <w:rFonts w:asciiTheme="minorHAnsi" w:hAnsiTheme="minorHAnsi"/>
          <w:bCs/>
        </w:rPr>
        <w:t xml:space="preserve"> for</w:t>
      </w:r>
      <w:r>
        <w:rPr>
          <w:rFonts w:asciiTheme="minorHAnsi" w:hAnsiTheme="minorHAnsi"/>
          <w:bCs/>
        </w:rPr>
        <w:t xml:space="preserve"> </w:t>
      </w:r>
      <w:proofErr w:type="spellStart"/>
      <w:r w:rsidR="000E145E">
        <w:t>nr</w:t>
      </w:r>
      <w:r w:rsidR="000E145E">
        <w:noBreakHyphen/>
        <w:t>axSpA</w:t>
      </w:r>
      <w:proofErr w:type="spellEnd"/>
      <w:r w:rsidR="000E145E">
        <w:t>.</w:t>
      </w:r>
    </w:p>
    <w:p w:rsidR="00121A79" w:rsidRPr="00132EAD" w:rsidRDefault="00121A79" w:rsidP="00121A79">
      <w:pPr>
        <w:numPr>
          <w:ilvl w:val="1"/>
          <w:numId w:val="3"/>
        </w:numPr>
        <w:spacing w:after="120"/>
        <w:rPr>
          <w:rFonts w:asciiTheme="minorHAnsi" w:hAnsiTheme="minorHAnsi"/>
          <w:bCs/>
        </w:rPr>
      </w:pPr>
      <w:r w:rsidRPr="00132EAD">
        <w:rPr>
          <w:rFonts w:asciiTheme="minorHAnsi" w:hAnsiTheme="minorHAnsi"/>
          <w:bCs/>
        </w:rPr>
        <w:t xml:space="preserve">The PBAC advised that CZP is not suitable for prescribing by nurse practitioners. </w:t>
      </w:r>
    </w:p>
    <w:p w:rsidR="00121A79" w:rsidRPr="00132EAD" w:rsidRDefault="00121A79" w:rsidP="00121A79">
      <w:pPr>
        <w:numPr>
          <w:ilvl w:val="1"/>
          <w:numId w:val="3"/>
        </w:numPr>
        <w:spacing w:after="120"/>
        <w:rPr>
          <w:rFonts w:asciiTheme="minorHAnsi" w:hAnsiTheme="minorHAnsi"/>
          <w:bCs/>
        </w:rPr>
      </w:pPr>
      <w:r w:rsidRPr="00132EAD">
        <w:rPr>
          <w:rFonts w:asciiTheme="minorHAnsi" w:hAnsiTheme="minorHAnsi"/>
          <w:bCs/>
        </w:rPr>
        <w:t xml:space="preserve">The PBAC recommended that the Early Supply Rule should not apply to CZP. </w:t>
      </w:r>
    </w:p>
    <w:p w:rsidR="00121A79" w:rsidRPr="00132EAD" w:rsidRDefault="00121A79" w:rsidP="00121A79">
      <w:pPr>
        <w:numPr>
          <w:ilvl w:val="1"/>
          <w:numId w:val="3"/>
        </w:numPr>
        <w:spacing w:after="120"/>
        <w:rPr>
          <w:rFonts w:asciiTheme="minorHAnsi" w:hAnsiTheme="minorHAnsi"/>
          <w:bCs/>
        </w:rPr>
      </w:pPr>
      <w:r w:rsidRPr="00132EAD">
        <w:rPr>
          <w:rFonts w:asciiTheme="minorHAnsi" w:hAnsiTheme="minorHAnsi"/>
          <w:bCs/>
        </w:rPr>
        <w:t>The PBAC noted that this submission is not eligible for an Independent Review as it received a positive recommendation.</w:t>
      </w:r>
    </w:p>
    <w:p w:rsidR="00121A79" w:rsidRPr="00132EAD" w:rsidRDefault="00121A79" w:rsidP="00121A79">
      <w:pPr>
        <w:rPr>
          <w:b/>
          <w:bCs/>
        </w:rPr>
      </w:pPr>
      <w:r w:rsidRPr="00132EAD">
        <w:rPr>
          <w:b/>
          <w:bCs/>
        </w:rPr>
        <w:t>Outcome:</w:t>
      </w:r>
    </w:p>
    <w:p w:rsidR="00121A79" w:rsidRPr="00132EAD" w:rsidRDefault="00121A79" w:rsidP="00121A79">
      <w:r w:rsidRPr="00132EAD">
        <w:t>Recommended</w:t>
      </w:r>
    </w:p>
    <w:p w:rsidR="00AB4EA8" w:rsidRPr="00132EAD" w:rsidRDefault="00AB4EA8" w:rsidP="00E2366B">
      <w:pPr>
        <w:pStyle w:val="2Sections"/>
        <w:keepNext/>
        <w:numPr>
          <w:ilvl w:val="0"/>
          <w:numId w:val="3"/>
        </w:numPr>
        <w:rPr>
          <w:i/>
        </w:rPr>
      </w:pPr>
      <w:r w:rsidRPr="00132EAD">
        <w:t>Recommended listing</w:t>
      </w:r>
    </w:p>
    <w:p w:rsidR="001828F6" w:rsidRPr="001828F6" w:rsidRDefault="001828F6" w:rsidP="001828F6">
      <w:pPr>
        <w:pStyle w:val="ListParagraph"/>
        <w:numPr>
          <w:ilvl w:val="1"/>
          <w:numId w:val="3"/>
        </w:numPr>
        <w:rPr>
          <w:rFonts w:asciiTheme="minorHAnsi" w:hAnsiTheme="minorHAnsi" w:cstheme="minorHAnsi"/>
          <w:i/>
          <w:sz w:val="22"/>
          <w:lang w:val="en-GB"/>
        </w:rPr>
      </w:pPr>
      <w:r w:rsidRPr="001828F6">
        <w:rPr>
          <w:rFonts w:asciiTheme="minorHAnsi" w:hAnsiTheme="minorHAnsi" w:cstheme="minorHAnsi"/>
          <w:i/>
          <w:sz w:val="22"/>
          <w:lang w:val="en-GB"/>
        </w:rPr>
        <w:t>Add new indication as follows:</w:t>
      </w:r>
    </w:p>
    <w:p w:rsidR="00631108" w:rsidRPr="00D8249C" w:rsidRDefault="00631108" w:rsidP="00631108">
      <w:pPr>
        <w:rPr>
          <w:rFonts w:asciiTheme="minorHAnsi" w:hAnsiTheme="minorHAnsi" w:cstheme="minorHAnsi"/>
          <w:i/>
          <w:sz w:val="22"/>
          <w:lang w:val="en-GB"/>
        </w:rPr>
      </w:pPr>
      <w:r w:rsidRPr="00D8249C">
        <w:rPr>
          <w:rFonts w:asciiTheme="minorHAnsi" w:hAnsiTheme="minorHAnsi" w:cstheme="minorHAnsi"/>
          <w:i/>
          <w:sz w:val="22"/>
          <w:lang w:val="en-GB"/>
        </w:rPr>
        <w:lastRenderedPageBreak/>
        <w:t xml:space="preserve">Add new indication </w:t>
      </w:r>
      <w:r>
        <w:rPr>
          <w:rFonts w:asciiTheme="minorHAnsi" w:hAnsiTheme="minorHAnsi" w:cstheme="minorHAnsi"/>
          <w:i/>
          <w:sz w:val="22"/>
          <w:lang w:val="en-GB"/>
        </w:rPr>
        <w:t xml:space="preserve">to </w:t>
      </w:r>
      <w:proofErr w:type="spellStart"/>
      <w:r>
        <w:rPr>
          <w:rFonts w:asciiTheme="minorHAnsi" w:hAnsiTheme="minorHAnsi" w:cstheme="minorHAnsi"/>
          <w:i/>
          <w:sz w:val="22"/>
          <w:lang w:val="en-GB"/>
        </w:rPr>
        <w:t>certolizumab</w:t>
      </w:r>
      <w:proofErr w:type="spellEnd"/>
      <w:r>
        <w:rPr>
          <w:rFonts w:asciiTheme="minorHAnsi" w:hAnsiTheme="minorHAnsi" w:cstheme="minorHAnsi"/>
          <w:i/>
          <w:sz w:val="22"/>
          <w:lang w:val="en-GB"/>
        </w:rPr>
        <w:t xml:space="preserve"> </w:t>
      </w:r>
      <w:proofErr w:type="spellStart"/>
      <w:r>
        <w:rPr>
          <w:rFonts w:asciiTheme="minorHAnsi" w:hAnsiTheme="minorHAnsi" w:cstheme="minorHAnsi"/>
          <w:i/>
          <w:sz w:val="22"/>
          <w:lang w:val="en-GB"/>
        </w:rPr>
        <w:t>pegol</w:t>
      </w:r>
      <w:proofErr w:type="spellEnd"/>
      <w:r>
        <w:rPr>
          <w:rFonts w:asciiTheme="minorHAnsi" w:hAnsiTheme="minorHAnsi" w:cstheme="minorHAnsi"/>
          <w:i/>
          <w:sz w:val="22"/>
          <w:lang w:val="en-GB"/>
        </w:rPr>
        <w:t xml:space="preserve"> </w:t>
      </w:r>
      <w:r w:rsidRPr="00D8249C">
        <w:rPr>
          <w:rFonts w:asciiTheme="minorHAnsi" w:hAnsiTheme="minorHAnsi" w:cstheme="minorHAnsi"/>
          <w:i/>
          <w:sz w:val="22"/>
          <w:lang w:val="en-GB"/>
        </w:rPr>
        <w:t>as follows:</w:t>
      </w:r>
    </w:p>
    <w:p w:rsidR="00631108" w:rsidRPr="00D8249C" w:rsidRDefault="00631108" w:rsidP="00631108">
      <w:pPr>
        <w:rPr>
          <w:rFonts w:ascii="Arial Narrow" w:hAnsi="Arial Narrow"/>
          <w:i/>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844"/>
        <w:gridCol w:w="846"/>
        <w:gridCol w:w="845"/>
        <w:gridCol w:w="847"/>
        <w:gridCol w:w="1127"/>
        <w:gridCol w:w="1834"/>
      </w:tblGrid>
      <w:tr w:rsidR="00631108" w:rsidRPr="000C6534" w:rsidTr="00591A35">
        <w:trPr>
          <w:cantSplit/>
          <w:trHeight w:val="408"/>
        </w:trPr>
        <w:tc>
          <w:tcPr>
            <w:tcW w:w="2691"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Name, Restriction,</w:t>
            </w:r>
          </w:p>
          <w:p w:rsidR="00631108" w:rsidRPr="000C6534" w:rsidRDefault="00631108" w:rsidP="00591A35">
            <w:pPr>
              <w:rPr>
                <w:rFonts w:ascii="Arial Narrow" w:hAnsi="Arial Narrow"/>
                <w:sz w:val="18"/>
                <w:szCs w:val="18"/>
              </w:rPr>
            </w:pPr>
            <w:r w:rsidRPr="000C6534">
              <w:rPr>
                <w:rFonts w:ascii="Arial Narrow" w:hAnsi="Arial Narrow"/>
                <w:sz w:val="18"/>
                <w:szCs w:val="18"/>
              </w:rPr>
              <w:t>Manner of administration and form</w:t>
            </w:r>
          </w:p>
        </w:tc>
        <w:tc>
          <w:tcPr>
            <w:tcW w:w="848" w:type="dxa"/>
          </w:tcPr>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Max.Qty</w:t>
            </w:r>
            <w:proofErr w:type="spellEnd"/>
            <w:r>
              <w:rPr>
                <w:rFonts w:ascii="Arial Narrow" w:hAnsi="Arial Narrow"/>
                <w:sz w:val="18"/>
                <w:szCs w:val="18"/>
              </w:rPr>
              <w:t xml:space="preserve"> (Units)</w:t>
            </w: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 xml:space="preserve">Max. </w:t>
            </w:r>
            <w:proofErr w:type="spellStart"/>
            <w:r>
              <w:rPr>
                <w:rFonts w:ascii="Arial Narrow" w:hAnsi="Arial Narrow"/>
                <w:sz w:val="18"/>
                <w:szCs w:val="18"/>
              </w:rPr>
              <w:t>Qty</w:t>
            </w:r>
            <w:proofErr w:type="spellEnd"/>
            <w:r>
              <w:rPr>
                <w:rFonts w:ascii="Arial Narrow" w:hAnsi="Arial Narrow"/>
                <w:sz w:val="18"/>
                <w:szCs w:val="18"/>
              </w:rPr>
              <w:t xml:space="preserve"> (Packs)</w:t>
            </w:r>
          </w:p>
        </w:tc>
        <w:tc>
          <w:tcPr>
            <w:tcW w:w="849" w:type="dxa"/>
          </w:tcPr>
          <w:p w:rsidR="00631108" w:rsidRPr="000C6534" w:rsidRDefault="00631108" w:rsidP="00591A35">
            <w:pPr>
              <w:jc w:val="center"/>
              <w:rPr>
                <w:rFonts w:ascii="Arial Narrow" w:hAnsi="Arial Narrow"/>
                <w:sz w:val="18"/>
                <w:szCs w:val="18"/>
              </w:rPr>
            </w:pPr>
            <w:r w:rsidRPr="000C6534">
              <w:rPr>
                <w:rFonts w:ascii="Arial Narrow" w:hAnsi="Arial Narrow"/>
                <w:sz w:val="18"/>
                <w:szCs w:val="18"/>
              </w:rPr>
              <w:t>№.of</w:t>
            </w:r>
          </w:p>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Rpts</w:t>
            </w:r>
            <w:proofErr w:type="spellEnd"/>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PBS item code</w:t>
            </w:r>
          </w:p>
        </w:tc>
        <w:tc>
          <w:tcPr>
            <w:tcW w:w="2978" w:type="dxa"/>
            <w:gridSpan w:val="2"/>
          </w:tcPr>
          <w:p w:rsidR="00631108" w:rsidRPr="000C6534" w:rsidRDefault="00631108" w:rsidP="00591A35">
            <w:pPr>
              <w:rPr>
                <w:rFonts w:ascii="Arial Narrow" w:hAnsi="Arial Narrow"/>
                <w:sz w:val="18"/>
                <w:szCs w:val="18"/>
                <w:lang w:val="fr-FR"/>
              </w:rPr>
            </w:pPr>
            <w:r w:rsidRPr="000C6534">
              <w:rPr>
                <w:rFonts w:ascii="Arial Narrow" w:hAnsi="Arial Narrow"/>
                <w:sz w:val="18"/>
                <w:szCs w:val="18"/>
              </w:rPr>
              <w:t>Proprietary Name and Manufacturer</w:t>
            </w:r>
          </w:p>
        </w:tc>
      </w:tr>
      <w:tr w:rsidR="00631108" w:rsidRPr="000C6534" w:rsidTr="00591A35">
        <w:trPr>
          <w:cantSplit/>
          <w:trHeight w:val="500"/>
        </w:trPr>
        <w:tc>
          <w:tcPr>
            <w:tcW w:w="2691"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w:t>
            </w:r>
            <w:r w:rsidRPr="000C6534">
              <w:rPr>
                <w:rFonts w:ascii="Arial Narrow" w:hAnsi="Arial Narrow"/>
                <w:sz w:val="18"/>
                <w:szCs w:val="18"/>
              </w:rPr>
              <w:t>ertolizumab</w:t>
            </w:r>
            <w:proofErr w:type="spellEnd"/>
            <w:r>
              <w:rPr>
                <w:rFonts w:ascii="Arial Narrow" w:hAnsi="Arial Narrow"/>
                <w:sz w:val="18"/>
                <w:szCs w:val="18"/>
              </w:rPr>
              <w:t xml:space="preserve"> </w:t>
            </w:r>
            <w:proofErr w:type="spellStart"/>
            <w:r>
              <w:rPr>
                <w:rFonts w:ascii="Arial Narrow" w:hAnsi="Arial Narrow"/>
                <w:sz w:val="18"/>
                <w:szCs w:val="18"/>
              </w:rPr>
              <w:t>pegol</w:t>
            </w:r>
            <w:proofErr w:type="spellEnd"/>
            <w:r>
              <w:rPr>
                <w:rFonts w:ascii="Arial Narrow" w:hAnsi="Arial Narrow"/>
                <w:sz w:val="18"/>
                <w:szCs w:val="18"/>
              </w:rPr>
              <w:t xml:space="preserve"> </w:t>
            </w:r>
            <w:r w:rsidRPr="000C6534">
              <w:rPr>
                <w:rFonts w:ascii="Arial Narrow" w:hAnsi="Arial Narrow"/>
                <w:sz w:val="18"/>
                <w:szCs w:val="18"/>
              </w:rPr>
              <w:t>200</w:t>
            </w:r>
            <w:r>
              <w:rPr>
                <w:rFonts w:ascii="Arial Narrow" w:hAnsi="Arial Narrow"/>
                <w:sz w:val="18"/>
                <w:szCs w:val="18"/>
              </w:rPr>
              <w:t xml:space="preserve"> </w:t>
            </w:r>
            <w:r w:rsidRPr="000C6534">
              <w:rPr>
                <w:rFonts w:ascii="Arial Narrow" w:hAnsi="Arial Narrow"/>
                <w:sz w:val="18"/>
                <w:szCs w:val="18"/>
              </w:rPr>
              <w:t>mg/mL</w:t>
            </w:r>
            <w:r>
              <w:rPr>
                <w:rFonts w:ascii="Arial Narrow" w:hAnsi="Arial Narrow"/>
                <w:sz w:val="18"/>
                <w:szCs w:val="18"/>
              </w:rPr>
              <w:t xml:space="preserve"> injection, 2 x 1 mL pen devices</w:t>
            </w:r>
          </w:p>
        </w:tc>
        <w:tc>
          <w:tcPr>
            <w:tcW w:w="848" w:type="dxa"/>
          </w:tcPr>
          <w:p w:rsidR="00631108" w:rsidRPr="000C6534" w:rsidRDefault="00631108" w:rsidP="00591A35">
            <w:pPr>
              <w:jc w:val="center"/>
              <w:rPr>
                <w:rFonts w:ascii="Arial Narrow" w:hAnsi="Arial Narrow"/>
                <w:sz w:val="18"/>
                <w:szCs w:val="18"/>
              </w:rPr>
            </w:pPr>
            <w:r>
              <w:rPr>
                <w:rFonts w:ascii="Arial Narrow" w:hAnsi="Arial Narrow"/>
                <w:sz w:val="18"/>
                <w:szCs w:val="18"/>
              </w:rPr>
              <w:t>2</w:t>
            </w:r>
          </w:p>
          <w:p w:rsidR="00631108" w:rsidRPr="000C6534" w:rsidRDefault="00631108" w:rsidP="00591A35">
            <w:pPr>
              <w:jc w:val="center"/>
              <w:rPr>
                <w:rFonts w:ascii="Arial Narrow" w:hAnsi="Arial Narrow"/>
                <w:sz w:val="18"/>
                <w:szCs w:val="18"/>
              </w:rPr>
            </w:pP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Pr="000C6534" w:rsidRDefault="00631108" w:rsidP="00591A35">
            <w:pPr>
              <w:jc w:val="center"/>
              <w:rPr>
                <w:rFonts w:ascii="Arial Narrow" w:hAnsi="Arial Narrow"/>
                <w:sz w:val="18"/>
                <w:szCs w:val="18"/>
              </w:rPr>
            </w:pPr>
            <w:r>
              <w:rPr>
                <w:rFonts w:ascii="Arial Narrow" w:hAnsi="Arial Narrow"/>
                <w:sz w:val="18"/>
                <w:szCs w:val="18"/>
              </w:rPr>
              <w:t>5</w:t>
            </w:r>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NEW</w:t>
            </w:r>
          </w:p>
          <w:p w:rsidR="00631108" w:rsidRPr="000C6534" w:rsidRDefault="00631108" w:rsidP="00591A35">
            <w:pPr>
              <w:jc w:val="center"/>
              <w:rPr>
                <w:rFonts w:ascii="Arial Narrow" w:hAnsi="Arial Narrow"/>
                <w:sz w:val="18"/>
                <w:szCs w:val="18"/>
              </w:rPr>
            </w:pPr>
          </w:p>
        </w:tc>
        <w:tc>
          <w:tcPr>
            <w:tcW w:w="1133" w:type="dxa"/>
          </w:tcPr>
          <w:p w:rsidR="00631108" w:rsidRPr="000C6534" w:rsidRDefault="00631108" w:rsidP="00591A35">
            <w:pPr>
              <w:rPr>
                <w:rFonts w:ascii="Arial Narrow" w:hAnsi="Arial Narrow"/>
                <w:sz w:val="18"/>
                <w:szCs w:val="18"/>
              </w:rPr>
            </w:pPr>
            <w:proofErr w:type="spellStart"/>
            <w:r w:rsidRPr="000C6534">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UCB Australia Pty Ltd</w:t>
            </w:r>
          </w:p>
          <w:p w:rsidR="00631108" w:rsidRPr="000C6534" w:rsidRDefault="00631108" w:rsidP="00591A35">
            <w:pPr>
              <w:rPr>
                <w:rFonts w:ascii="Arial Narrow" w:hAnsi="Arial Narrow"/>
                <w:sz w:val="18"/>
                <w:szCs w:val="18"/>
              </w:rPr>
            </w:pPr>
          </w:p>
        </w:tc>
      </w:tr>
      <w:tr w:rsidR="00631108" w:rsidRPr="000C6534" w:rsidTr="00591A35">
        <w:trPr>
          <w:cantSplit/>
          <w:trHeight w:val="500"/>
        </w:trPr>
        <w:tc>
          <w:tcPr>
            <w:tcW w:w="2691" w:type="dxa"/>
          </w:tcPr>
          <w:p w:rsidR="00631108" w:rsidRDefault="00631108" w:rsidP="00591A35">
            <w:pPr>
              <w:rPr>
                <w:rFonts w:ascii="Arial Narrow" w:hAnsi="Arial Narrow"/>
                <w:sz w:val="18"/>
                <w:szCs w:val="18"/>
              </w:rPr>
            </w:pPr>
            <w:proofErr w:type="spellStart"/>
            <w:r w:rsidRPr="00B04825">
              <w:rPr>
                <w:rFonts w:ascii="Arial Narrow" w:hAnsi="Arial Narrow"/>
                <w:sz w:val="18"/>
                <w:szCs w:val="18"/>
              </w:rPr>
              <w:t>Certolizumab</w:t>
            </w:r>
            <w:proofErr w:type="spellEnd"/>
            <w:r w:rsidRPr="00B04825">
              <w:rPr>
                <w:rFonts w:ascii="Arial Narrow" w:hAnsi="Arial Narrow"/>
                <w:sz w:val="18"/>
                <w:szCs w:val="18"/>
              </w:rPr>
              <w:t xml:space="preserve"> </w:t>
            </w:r>
            <w:proofErr w:type="spellStart"/>
            <w:r w:rsidRPr="00B04825">
              <w:rPr>
                <w:rFonts w:ascii="Arial Narrow" w:hAnsi="Arial Narrow"/>
                <w:sz w:val="18"/>
                <w:szCs w:val="18"/>
              </w:rPr>
              <w:t>pegol</w:t>
            </w:r>
            <w:proofErr w:type="spellEnd"/>
            <w:r w:rsidRPr="00B04825">
              <w:rPr>
                <w:rFonts w:ascii="Arial Narrow" w:hAnsi="Arial Narrow"/>
                <w:sz w:val="18"/>
                <w:szCs w:val="18"/>
              </w:rPr>
              <w:t xml:space="preserve"> 200 mg/mL injection, 2 x 1 mL </w:t>
            </w:r>
            <w:r>
              <w:rPr>
                <w:rFonts w:ascii="Arial Narrow" w:hAnsi="Arial Narrow"/>
                <w:sz w:val="18"/>
                <w:szCs w:val="18"/>
              </w:rPr>
              <w:t>syringes</w:t>
            </w:r>
          </w:p>
        </w:tc>
        <w:tc>
          <w:tcPr>
            <w:tcW w:w="848" w:type="dxa"/>
          </w:tcPr>
          <w:p w:rsidR="00631108" w:rsidRDefault="00631108" w:rsidP="00591A35">
            <w:pPr>
              <w:jc w:val="center"/>
              <w:rPr>
                <w:rFonts w:ascii="Arial Narrow" w:hAnsi="Arial Narrow"/>
                <w:sz w:val="18"/>
                <w:szCs w:val="18"/>
              </w:rPr>
            </w:pPr>
            <w:r>
              <w:rPr>
                <w:rFonts w:ascii="Arial Narrow" w:hAnsi="Arial Narrow"/>
                <w:sz w:val="18"/>
                <w:szCs w:val="18"/>
              </w:rPr>
              <w:t>2</w:t>
            </w:r>
          </w:p>
        </w:tc>
        <w:tc>
          <w:tcPr>
            <w:tcW w:w="850" w:type="dxa"/>
          </w:tcPr>
          <w:p w:rsidR="00631108"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Default="00631108" w:rsidP="00591A35">
            <w:pPr>
              <w:jc w:val="center"/>
              <w:rPr>
                <w:rFonts w:ascii="Arial Narrow" w:hAnsi="Arial Narrow"/>
                <w:sz w:val="18"/>
                <w:szCs w:val="18"/>
              </w:rPr>
            </w:pPr>
            <w:r>
              <w:rPr>
                <w:rFonts w:ascii="Arial Narrow" w:hAnsi="Arial Narrow"/>
                <w:sz w:val="18"/>
                <w:szCs w:val="18"/>
              </w:rPr>
              <w:t>5</w:t>
            </w:r>
          </w:p>
        </w:tc>
        <w:tc>
          <w:tcPr>
            <w:tcW w:w="851" w:type="dxa"/>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1133"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Pr>
                <w:rFonts w:ascii="Arial Narrow" w:hAnsi="Arial Narrow"/>
                <w:sz w:val="18"/>
                <w:szCs w:val="18"/>
              </w:rPr>
              <w:t>UCB Australia Pty Ltd</w:t>
            </w:r>
          </w:p>
        </w:tc>
      </w:tr>
    </w:tbl>
    <w:p w:rsidR="00631108" w:rsidRDefault="00631108" w:rsidP="00631108">
      <w:pPr>
        <w:rPr>
          <w:rFonts w:ascii="Arial Narrow" w:hAnsi="Arial Narrow"/>
          <w:sz w:val="18"/>
          <w:szCs w:val="18"/>
          <w:lang w:val="en-GB"/>
        </w:rPr>
      </w:pPr>
    </w:p>
    <w:p w:rsidR="00631108" w:rsidRPr="00331670" w:rsidRDefault="00631108" w:rsidP="00631108">
      <w:pPr>
        <w:rPr>
          <w:rFonts w:ascii="Arial Narrow" w:hAnsi="Arial Narrow"/>
          <w:b/>
          <w:sz w:val="18"/>
          <w:szCs w:val="18"/>
          <w:lang w:val="en-GB"/>
        </w:rPr>
      </w:pPr>
      <w:r>
        <w:rPr>
          <w:rFonts w:ascii="Arial Narrow" w:hAnsi="Arial Narrow"/>
          <w:b/>
          <w:sz w:val="18"/>
          <w:szCs w:val="18"/>
          <w:lang w:val="en-GB"/>
        </w:rPr>
        <w:t xml:space="preserve">Initial treatment 1 </w:t>
      </w:r>
      <w:r w:rsidRPr="00331670">
        <w:rPr>
          <w:rFonts w:ascii="Arial Narrow" w:hAnsi="Arial Narrow"/>
          <w:b/>
          <w:sz w:val="18"/>
          <w:szCs w:val="18"/>
          <w:lang w:val="en-GB"/>
        </w:rPr>
        <w:t>Restriction Summary [NEW] / T</w:t>
      </w:r>
      <w:r>
        <w:rPr>
          <w:rFonts w:ascii="Arial Narrow" w:hAnsi="Arial Narrow"/>
          <w:b/>
          <w:sz w:val="18"/>
          <w:szCs w:val="18"/>
          <w:lang w:val="en-GB"/>
        </w:rPr>
        <w:t xml:space="preserve">reatment </w:t>
      </w:r>
      <w:r w:rsidRPr="00331670">
        <w:rPr>
          <w:rFonts w:ascii="Arial Narrow" w:hAnsi="Arial Narrow"/>
          <w:b/>
          <w:sz w:val="18"/>
          <w:szCs w:val="18"/>
          <w:lang w:val="en-GB"/>
        </w:rPr>
        <w:t>o</w:t>
      </w:r>
      <w:r>
        <w:rPr>
          <w:rFonts w:ascii="Arial Narrow" w:hAnsi="Arial Narrow"/>
          <w:b/>
          <w:sz w:val="18"/>
          <w:szCs w:val="18"/>
          <w:lang w:val="en-GB"/>
        </w:rPr>
        <w:t xml:space="preserve">f </w:t>
      </w:r>
      <w:r w:rsidRPr="00331670">
        <w:rPr>
          <w:rFonts w:ascii="Arial Narrow" w:hAnsi="Arial Narrow"/>
          <w:b/>
          <w:sz w:val="18"/>
          <w:szCs w:val="18"/>
          <w:lang w:val="en-GB"/>
        </w:rPr>
        <w:t>C</w:t>
      </w:r>
      <w:r>
        <w:rPr>
          <w:rFonts w:ascii="Arial Narrow" w:hAnsi="Arial Narrow"/>
          <w:b/>
          <w:sz w:val="18"/>
          <w:szCs w:val="18"/>
          <w:lang w:val="en-GB"/>
        </w:rPr>
        <w:t>oncept (</w:t>
      </w:r>
      <w:proofErr w:type="spellStart"/>
      <w:r>
        <w:rPr>
          <w:rFonts w:ascii="Arial Narrow" w:hAnsi="Arial Narrow"/>
          <w:b/>
          <w:sz w:val="18"/>
          <w:szCs w:val="18"/>
          <w:lang w:val="en-GB"/>
        </w:rPr>
        <w:t>ToC</w:t>
      </w:r>
      <w:proofErr w:type="spellEnd"/>
      <w:r>
        <w:rPr>
          <w:rFonts w:ascii="Arial Narrow" w:hAnsi="Arial Narrow"/>
          <w:b/>
          <w:sz w:val="18"/>
          <w:szCs w:val="18"/>
          <w:lang w:val="en-GB"/>
        </w:rPr>
        <w:t>)</w:t>
      </w:r>
      <w:r w:rsidRPr="00331670">
        <w:rPr>
          <w:rFonts w:ascii="Arial Narrow" w:hAnsi="Arial Narrow"/>
          <w:b/>
          <w:sz w:val="18"/>
          <w:szCs w:val="18"/>
          <w:lang w:val="en-GB"/>
        </w:rPr>
        <w:t>: [NEW]</w:t>
      </w:r>
    </w:p>
    <w:p w:rsidR="00631108" w:rsidRPr="008253C4" w:rsidRDefault="00631108" w:rsidP="00631108">
      <w:pPr>
        <w:rPr>
          <w:rFonts w:ascii="Arial Narrow" w:hAnsi="Arial Narrow"/>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631108" w:rsidRPr="00660A85" w:rsidTr="00591A35">
        <w:tc>
          <w:tcPr>
            <w:tcW w:w="548" w:type="pct"/>
          </w:tcPr>
          <w:p w:rsidR="00631108" w:rsidRPr="00CA5F03" w:rsidRDefault="00631108" w:rsidP="00591A35">
            <w:pPr>
              <w:pStyle w:val="TableLeft"/>
              <w:jc w:val="center"/>
              <w:rPr>
                <w:rFonts w:ascii="Arial Narrow" w:hAnsi="Arial Narrow" w:cs="Arial"/>
                <w:b/>
                <w:szCs w:val="18"/>
              </w:rPr>
            </w:pPr>
            <w:r w:rsidRPr="00CA5F03">
              <w:rPr>
                <w:rFonts w:ascii="Arial Narrow" w:hAnsi="Arial Narrow" w:cs="Arial"/>
                <w:b/>
                <w:szCs w:val="18"/>
              </w:rPr>
              <w:t>Concept ID</w:t>
            </w:r>
          </w:p>
        </w:tc>
        <w:tc>
          <w:tcPr>
            <w:tcW w:w="4452" w:type="pct"/>
          </w:tcPr>
          <w:p w:rsidR="00631108" w:rsidRPr="00DC0C1D" w:rsidRDefault="00631108" w:rsidP="00591A35">
            <w:pPr>
              <w:pStyle w:val="TableLeft"/>
              <w:rPr>
                <w:rFonts w:ascii="Arial Narrow" w:hAnsi="Arial Narrow"/>
                <w:szCs w:val="18"/>
              </w:rPr>
            </w:pPr>
            <w:r w:rsidRPr="00DC0C1D">
              <w:rPr>
                <w:rFonts w:ascii="Arial Narrow" w:hAnsi="Arial Narrow"/>
                <w:b/>
                <w:szCs w:val="18"/>
              </w:rPr>
              <w:t>Category / Program:</w:t>
            </w:r>
            <w:r w:rsidRPr="00DC0C1D">
              <w:rPr>
                <w:rFonts w:ascii="Arial Narrow" w:hAnsi="Arial Narrow"/>
                <w:szCs w:val="18"/>
              </w:rPr>
              <w:t xml:space="preserve"> General Schedule (Code GE)</w:t>
            </w:r>
          </w:p>
        </w:tc>
      </w:tr>
      <w:tr w:rsidR="00631108" w:rsidRPr="00660A85" w:rsidTr="00591A35">
        <w:trPr>
          <w:trHeight w:val="288"/>
        </w:trPr>
        <w:tc>
          <w:tcPr>
            <w:tcW w:w="548" w:type="pct"/>
          </w:tcPr>
          <w:p w:rsidR="00631108" w:rsidRPr="00DC0C1D" w:rsidRDefault="00631108" w:rsidP="00591A35">
            <w:pPr>
              <w:pStyle w:val="TableLeft"/>
              <w:jc w:val="center"/>
              <w:rPr>
                <w:rFonts w:ascii="Arial Narrow" w:hAnsi="Arial Narrow"/>
                <w:szCs w:val="18"/>
              </w:rPr>
            </w:pPr>
          </w:p>
        </w:tc>
        <w:tc>
          <w:tcPr>
            <w:tcW w:w="4452" w:type="pct"/>
          </w:tcPr>
          <w:p w:rsidR="00631108" w:rsidRPr="00DC0C1D" w:rsidRDefault="00631108" w:rsidP="00657498">
            <w:pPr>
              <w:rPr>
                <w:rFonts w:ascii="Arial Narrow" w:hAnsi="Arial Narrow"/>
                <w:sz w:val="18"/>
                <w:szCs w:val="18"/>
              </w:rPr>
            </w:pPr>
            <w:r w:rsidRPr="00DC0C1D">
              <w:rPr>
                <w:rFonts w:ascii="Arial Narrow" w:hAnsi="Arial Narrow"/>
                <w:b/>
                <w:sz w:val="18"/>
                <w:szCs w:val="18"/>
              </w:rPr>
              <w:t>Prescriber type:</w:t>
            </w:r>
            <w:r>
              <w:rPr>
                <w:rFonts w:ascii="Arial Narrow" w:hAnsi="Arial Narrow"/>
                <w:sz w:val="18"/>
                <w:szCs w:val="18"/>
              </w:rPr>
              <w:t xml:space="preserve"> </w:t>
            </w:r>
            <w:r w:rsidRPr="00DC0C1D">
              <w:rPr>
                <w:rFonts w:ascii="Arial Narrow" w:hAnsi="Arial Narrow"/>
                <w:sz w:val="18"/>
                <w:szCs w:val="18"/>
              </w:rPr>
              <w:fldChar w:fldCharType="begin">
                <w:ffData>
                  <w:name w:val="Check1"/>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Dental  </w:t>
            </w:r>
            <w:r>
              <w:rPr>
                <w:rFonts w:ascii="Arial Narrow" w:hAnsi="Arial Narrow"/>
                <w:sz w:val="18"/>
                <w:szCs w:val="18"/>
              </w:rPr>
              <w:t xml:space="preserve"> </w:t>
            </w: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Medical Practitioners</w:t>
            </w:r>
            <w:r>
              <w:rPr>
                <w:rFonts w:ascii="Arial Narrow" w:hAnsi="Arial Narrow"/>
                <w:sz w:val="18"/>
                <w:szCs w:val="18"/>
              </w:rPr>
              <w:t xml:space="preserve"> </w:t>
            </w:r>
            <w:r w:rsidRPr="00DC0C1D">
              <w:rPr>
                <w:rFonts w:ascii="Arial Narrow" w:hAnsi="Arial Narrow"/>
                <w:sz w:val="18"/>
                <w:szCs w:val="18"/>
              </w:rPr>
              <w:fldChar w:fldCharType="begin">
                <w:ffData>
                  <w:name w:val="Check3"/>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Nurse practitioners  </w:t>
            </w:r>
            <w:r w:rsidRPr="00DC0C1D">
              <w:rPr>
                <w:rFonts w:ascii="Arial Narrow" w:hAnsi="Arial Narrow"/>
                <w:sz w:val="18"/>
                <w:szCs w:val="18"/>
              </w:rPr>
              <w:fldChar w:fldCharType="begin">
                <w:ffData>
                  <w:name w:val=""/>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Optometrists   </w:t>
            </w:r>
            <w:r w:rsidRPr="00DC0C1D">
              <w:rPr>
                <w:rFonts w:ascii="Arial Narrow" w:hAnsi="Arial Narrow"/>
                <w:sz w:val="18"/>
                <w:szCs w:val="18"/>
              </w:rPr>
              <w:fldChar w:fldCharType="begin">
                <w:ffData>
                  <w:name w:val="Check5"/>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Midwives</w:t>
            </w:r>
          </w:p>
        </w:tc>
      </w:tr>
      <w:tr w:rsidR="00631108" w:rsidRPr="00660A85" w:rsidTr="00591A35">
        <w:tc>
          <w:tcPr>
            <w:tcW w:w="548" w:type="pct"/>
          </w:tcPr>
          <w:p w:rsidR="00631108" w:rsidRPr="00DC0C1D" w:rsidRDefault="00631108" w:rsidP="00591A35">
            <w:pPr>
              <w:jc w:val="center"/>
              <w:rPr>
                <w:rFonts w:ascii="Arial Narrow" w:hAnsi="Arial Narrow"/>
                <w:strike/>
                <w:sz w:val="18"/>
                <w:szCs w:val="18"/>
              </w:rPr>
            </w:pPr>
          </w:p>
        </w:tc>
        <w:tc>
          <w:tcPr>
            <w:tcW w:w="4452" w:type="pct"/>
          </w:tcPr>
          <w:p w:rsidR="00631108" w:rsidRPr="00DC0C1D" w:rsidRDefault="00631108" w:rsidP="00591A35">
            <w:pPr>
              <w:rPr>
                <w:rFonts w:ascii="Arial Narrow" w:hAnsi="Arial Narrow"/>
                <w:b/>
                <w:sz w:val="18"/>
                <w:szCs w:val="18"/>
              </w:rPr>
            </w:pPr>
            <w:r w:rsidRPr="00DC0C1D">
              <w:rPr>
                <w:rFonts w:ascii="Arial Narrow" w:hAnsi="Arial Narrow"/>
                <w:b/>
                <w:sz w:val="18"/>
                <w:szCs w:val="18"/>
              </w:rPr>
              <w:t>Restriction Level / Method:</w:t>
            </w:r>
          </w:p>
          <w:p w:rsidR="00631108" w:rsidRPr="00DC0C1D" w:rsidRDefault="00631108" w:rsidP="00591A35">
            <w:pPr>
              <w:rPr>
                <w:rFonts w:ascii="Arial Narrow" w:hAnsi="Arial Narrow"/>
                <w:sz w:val="18"/>
                <w:szCs w:val="18"/>
              </w:rPr>
            </w:pP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Authority Required </w:t>
            </w:r>
            <w:r>
              <w:rPr>
                <w:rFonts w:ascii="Arial Narrow" w:hAnsi="Arial Narrow"/>
                <w:sz w:val="18"/>
                <w:szCs w:val="18"/>
              </w:rPr>
              <w:t>–</w:t>
            </w:r>
            <w:r w:rsidRPr="00DC0C1D">
              <w:rPr>
                <w:rFonts w:ascii="Arial Narrow" w:hAnsi="Arial Narrow"/>
                <w:sz w:val="18"/>
                <w:szCs w:val="18"/>
              </w:rPr>
              <w:t xml:space="preserve"> </w:t>
            </w:r>
            <w:r>
              <w:rPr>
                <w:rFonts w:ascii="Arial Narrow" w:hAnsi="Arial Narrow"/>
                <w:sz w:val="18"/>
                <w:szCs w:val="18"/>
              </w:rPr>
              <w:t>In Writing</w:t>
            </w:r>
          </w:p>
        </w:tc>
      </w:tr>
      <w:tr w:rsidR="00631108" w:rsidRPr="00660A85" w:rsidTr="00591A35">
        <w:tc>
          <w:tcPr>
            <w:tcW w:w="548" w:type="pct"/>
            <w:vAlign w:val="center"/>
          </w:tcPr>
          <w:p w:rsidR="00631108" w:rsidRDefault="00631108" w:rsidP="00591A35">
            <w:pPr>
              <w:jc w:val="center"/>
              <w:rPr>
                <w:rFonts w:ascii="Arial Narrow" w:hAnsi="Arial Narrow"/>
                <w:sz w:val="18"/>
                <w:szCs w:val="18"/>
              </w:rPr>
            </w:pPr>
          </w:p>
          <w:p w:rsidR="00631108" w:rsidRDefault="00631108" w:rsidP="00591A35">
            <w:pPr>
              <w:jc w:val="center"/>
              <w:rPr>
                <w:rFonts w:ascii="Arial Narrow" w:hAnsi="Arial Narrow"/>
                <w:sz w:val="18"/>
                <w:szCs w:val="18"/>
              </w:rPr>
            </w:pPr>
            <w:r>
              <w:rPr>
                <w:rFonts w:ascii="Arial Narrow" w:hAnsi="Arial Narrow"/>
                <w:sz w:val="18"/>
                <w:szCs w:val="18"/>
              </w:rPr>
              <w:t>NEW</w:t>
            </w:r>
          </w:p>
        </w:tc>
        <w:tc>
          <w:tcPr>
            <w:tcW w:w="4452" w:type="pct"/>
            <w:vAlign w:val="center"/>
          </w:tcPr>
          <w:p w:rsidR="00631108" w:rsidRPr="00612D15" w:rsidRDefault="00631108" w:rsidP="00591A35">
            <w:pPr>
              <w:rPr>
                <w:rFonts w:ascii="Arial Narrow" w:hAnsi="Arial Narrow"/>
                <w:b/>
                <w:bCs/>
                <w:sz w:val="18"/>
                <w:szCs w:val="18"/>
              </w:rPr>
            </w:pPr>
            <w:r w:rsidRPr="00612D15">
              <w:rPr>
                <w:rFonts w:ascii="Arial Narrow" w:hAnsi="Arial Narrow"/>
                <w:b/>
                <w:bCs/>
                <w:sz w:val="18"/>
                <w:szCs w:val="18"/>
              </w:rPr>
              <w:t>Administrative advice:</w:t>
            </w:r>
          </w:p>
          <w:p w:rsidR="00631108" w:rsidRPr="00A2207C" w:rsidRDefault="00631108" w:rsidP="00591A35">
            <w:pPr>
              <w:rPr>
                <w:rFonts w:ascii="Arial Narrow" w:hAnsi="Arial Narrow"/>
                <w:b/>
                <w:bCs/>
                <w:sz w:val="18"/>
                <w:szCs w:val="18"/>
              </w:rPr>
            </w:pPr>
            <w:r w:rsidRPr="00A2207C">
              <w:rPr>
                <w:rFonts w:ascii="Arial Narrow" w:hAnsi="Arial Narrow"/>
                <w:b/>
                <w:bCs/>
                <w:sz w:val="18"/>
                <w:szCs w:val="18"/>
              </w:rPr>
              <w:t>TREATMENT OF ADULT PATIENTS WITH NON-RADIOGRAPHIC ANKYLOSING SPONDYLITIS</w:t>
            </w:r>
          </w:p>
          <w:p w:rsidR="00631108" w:rsidRPr="00612D15" w:rsidRDefault="00631108" w:rsidP="00591A35">
            <w:pPr>
              <w:rPr>
                <w:rFonts w:ascii="Arial Narrow" w:hAnsi="Arial Narrow"/>
                <w:bCs/>
                <w:i/>
                <w:sz w:val="18"/>
                <w:szCs w:val="18"/>
              </w:rPr>
            </w:pPr>
            <w:r>
              <w:rPr>
                <w:rFonts w:ascii="Arial Narrow" w:hAnsi="Arial Narrow"/>
                <w:bCs/>
                <w:i/>
                <w:sz w:val="18"/>
                <w:szCs w:val="18"/>
              </w:rPr>
              <w:t>See end of restrictions for full explanatory note</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22964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Indication:</w:t>
            </w:r>
            <w:r>
              <w:rPr>
                <w:rFonts w:ascii="Arial Narrow" w:hAnsi="Arial Narrow"/>
                <w:sz w:val="18"/>
                <w:szCs w:val="18"/>
              </w:rPr>
              <w:t xml:space="preserve"> </w:t>
            </w:r>
            <w:r w:rsidRPr="00660A85">
              <w:rPr>
                <w:rFonts w:ascii="Arial Narrow" w:hAnsi="Arial Narrow"/>
                <w:sz w:val="18"/>
                <w:szCs w:val="18"/>
              </w:rPr>
              <w:t xml:space="preserve">Non-radiographic axial </w:t>
            </w:r>
            <w:proofErr w:type="spellStart"/>
            <w:r w:rsidRPr="00660A85">
              <w:rPr>
                <w:rFonts w:ascii="Arial Narrow" w:hAnsi="Arial Narrow"/>
                <w:sz w:val="18"/>
                <w:szCs w:val="18"/>
              </w:rPr>
              <w:t>spondyloarthritis</w:t>
            </w:r>
            <w:proofErr w:type="spellEnd"/>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edit</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Treatment Phase:</w:t>
            </w:r>
            <w:r>
              <w:rPr>
                <w:rFonts w:ascii="Arial Narrow" w:hAnsi="Arial Narrow"/>
                <w:sz w:val="18"/>
                <w:szCs w:val="18"/>
              </w:rPr>
              <w:t xml:space="preserve"> Initial treatment 1 - </w:t>
            </w:r>
            <w:r w:rsidRPr="00660A85">
              <w:rPr>
                <w:rFonts w:ascii="Arial Narrow" w:hAnsi="Arial Narrow"/>
                <w:sz w:val="18"/>
                <w:szCs w:val="18"/>
              </w:rPr>
              <w:t>Ne</w:t>
            </w:r>
            <w:r>
              <w:rPr>
                <w:rFonts w:ascii="Arial Narrow" w:hAnsi="Arial Narrow"/>
                <w:sz w:val="18"/>
                <w:szCs w:val="18"/>
              </w:rPr>
              <w:t>w patient</w:t>
            </w:r>
            <w:r w:rsidRPr="00FE0A7F">
              <w:rPr>
                <w:rFonts w:ascii="Arial Narrow" w:hAnsi="Arial Narrow"/>
                <w:strike/>
                <w:sz w:val="18"/>
                <w:szCs w:val="18"/>
              </w:rPr>
              <w:t>s</w:t>
            </w:r>
          </w:p>
        </w:tc>
      </w:tr>
      <w:tr w:rsidR="00631108" w:rsidRPr="00660A85" w:rsidTr="00591A35">
        <w:tc>
          <w:tcPr>
            <w:tcW w:w="548" w:type="pct"/>
            <w:vAlign w:val="center"/>
            <w:hideMark/>
          </w:tcPr>
          <w:p w:rsidR="00631108" w:rsidRPr="00DC0C1D" w:rsidRDefault="00631108" w:rsidP="00591A35">
            <w:pPr>
              <w:jc w:val="center"/>
              <w:rPr>
                <w:rFonts w:ascii="Arial Narrow" w:hAnsi="Arial Narrow"/>
                <w:sz w:val="18"/>
                <w:szCs w:val="18"/>
              </w:rPr>
            </w:pPr>
            <w:r>
              <w:rPr>
                <w:rFonts w:ascii="Arial Narrow" w:hAnsi="Arial Narrow"/>
                <w:sz w:val="18"/>
                <w:szCs w:val="18"/>
              </w:rPr>
              <w:t>23582</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DC0C1D" w:rsidRDefault="00631108" w:rsidP="00591A35">
            <w:pPr>
              <w:jc w:val="center"/>
              <w:rPr>
                <w:rFonts w:ascii="Arial Narrow" w:hAnsi="Arial Narrow"/>
                <w:sz w:val="18"/>
                <w:szCs w:val="18"/>
              </w:rPr>
            </w:pPr>
            <w:r>
              <w:rPr>
                <w:rFonts w:ascii="Arial Narrow" w:hAnsi="Arial Narrow"/>
                <w:sz w:val="18"/>
                <w:szCs w:val="18"/>
              </w:rPr>
              <w:t>23581</w:t>
            </w:r>
          </w:p>
        </w:tc>
        <w:tc>
          <w:tcPr>
            <w:tcW w:w="4452" w:type="pct"/>
            <w:vAlign w:val="center"/>
          </w:tcPr>
          <w:p w:rsidR="00631108" w:rsidRPr="00660A85" w:rsidRDefault="00631108" w:rsidP="00591A35">
            <w:pPr>
              <w:rPr>
                <w:rFonts w:ascii="Arial Narrow" w:hAnsi="Arial Narrow"/>
                <w:sz w:val="18"/>
                <w:szCs w:val="18"/>
              </w:rPr>
            </w:pPr>
            <w:r w:rsidRPr="00547129">
              <w:rPr>
                <w:rFonts w:ascii="Arial Narrow" w:hAnsi="Arial Narrow"/>
                <w:sz w:val="18"/>
                <w:szCs w:val="18"/>
              </w:rPr>
              <w:t>Patient must not have received PBS-subsidised treatment with a biological medicine for this condition.</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DC0C1D" w:rsidRDefault="00631108" w:rsidP="00591A35">
            <w:pPr>
              <w:jc w:val="center"/>
              <w:rPr>
                <w:rFonts w:ascii="Arial Narrow" w:hAnsi="Arial Narrow"/>
                <w:sz w:val="18"/>
                <w:szCs w:val="18"/>
              </w:rPr>
            </w:pPr>
            <w:r>
              <w:rPr>
                <w:rFonts w:ascii="Arial Narrow" w:hAnsi="Arial Narrow"/>
                <w:sz w:val="18"/>
                <w:szCs w:val="18"/>
              </w:rPr>
              <w:t>22968</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22966</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Patient must have had chronic lower back pain and stiffness for 3 or more months that is relieved by exercise but not rest</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11155</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11154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Patient must have failed to achieve an adequate response following treatment with at least 2 non-steroidal anti-inflammatory drugs (NSAIDs), whilst completing an appropriate exercise program, for a total period of 3 months</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22972</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22971</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Patient must have one or more of the following: (a) </w:t>
            </w:r>
            <w:proofErr w:type="spellStart"/>
            <w:r w:rsidRPr="00660A85">
              <w:rPr>
                <w:rFonts w:ascii="Arial Narrow" w:hAnsi="Arial Narrow"/>
                <w:sz w:val="18"/>
                <w:szCs w:val="18"/>
              </w:rPr>
              <w:t>enthesitis</w:t>
            </w:r>
            <w:proofErr w:type="spellEnd"/>
            <w:r w:rsidRPr="00660A85">
              <w:rPr>
                <w:rFonts w:ascii="Arial Narrow" w:hAnsi="Arial Narrow"/>
                <w:sz w:val="18"/>
                <w:szCs w:val="18"/>
              </w:rPr>
              <w:t xml:space="preserve"> (heel); (b) uveitis; (c) </w:t>
            </w:r>
            <w:proofErr w:type="spellStart"/>
            <w:r w:rsidRPr="00660A85">
              <w:rPr>
                <w:rFonts w:ascii="Arial Narrow" w:hAnsi="Arial Narrow"/>
                <w:sz w:val="18"/>
                <w:szCs w:val="18"/>
              </w:rPr>
              <w:t>dactylitis</w:t>
            </w:r>
            <w:proofErr w:type="spellEnd"/>
            <w:r w:rsidRPr="00660A85">
              <w:rPr>
                <w:rFonts w:ascii="Arial Narrow" w:hAnsi="Arial Narrow"/>
                <w:sz w:val="18"/>
                <w:szCs w:val="18"/>
              </w:rPr>
              <w:t>; (d) psoriasis; (e) inflammatory bowel disease; or (f) positive for Human Leukocyte Antigen B27 (HLA-B27)</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22974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22973</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not be radiographically evidenced on plain x-ray of Grade II bilateral </w:t>
            </w:r>
            <w:proofErr w:type="spellStart"/>
            <w:r w:rsidRPr="00660A85">
              <w:rPr>
                <w:rFonts w:ascii="Arial Narrow" w:hAnsi="Arial Narrow"/>
                <w:sz w:val="18"/>
                <w:szCs w:val="18"/>
              </w:rPr>
              <w:t>sacroiliitis</w:t>
            </w:r>
            <w:proofErr w:type="spellEnd"/>
            <w:r w:rsidRPr="00660A85">
              <w:rPr>
                <w:rFonts w:ascii="Arial Narrow" w:hAnsi="Arial Narrow"/>
                <w:sz w:val="18"/>
                <w:szCs w:val="18"/>
              </w:rPr>
              <w:t xml:space="preserve"> or Grade III or IV unilateral </w:t>
            </w:r>
            <w:proofErr w:type="spellStart"/>
            <w:r w:rsidRPr="00660A85">
              <w:rPr>
                <w:rFonts w:ascii="Arial Narrow" w:hAnsi="Arial Narrow"/>
                <w:sz w:val="18"/>
                <w:szCs w:val="18"/>
              </w:rPr>
              <w:t>sacroiliitis</w:t>
            </w:r>
            <w:proofErr w:type="spellEnd"/>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22976</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22975</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be non-radiographic axial </w:t>
            </w:r>
            <w:proofErr w:type="spellStart"/>
            <w:r w:rsidRPr="00660A85">
              <w:rPr>
                <w:rFonts w:ascii="Arial Narrow" w:hAnsi="Arial Narrow"/>
                <w:sz w:val="18"/>
                <w:szCs w:val="18"/>
              </w:rPr>
              <w:t>spondyloarthritis</w:t>
            </w:r>
            <w:proofErr w:type="spellEnd"/>
            <w:r w:rsidRPr="00660A85">
              <w:rPr>
                <w:rFonts w:ascii="Arial Narrow" w:hAnsi="Arial Narrow"/>
                <w:sz w:val="18"/>
                <w:szCs w:val="18"/>
              </w:rPr>
              <w:t xml:space="preserve">, as defined by Assessment of </w:t>
            </w:r>
            <w:proofErr w:type="spellStart"/>
            <w:r w:rsidRPr="00660A85">
              <w:rPr>
                <w:rFonts w:ascii="Arial Narrow" w:hAnsi="Arial Narrow"/>
                <w:sz w:val="18"/>
                <w:szCs w:val="18"/>
              </w:rPr>
              <w:t>Spondyloarthritis</w:t>
            </w:r>
            <w:proofErr w:type="spellEnd"/>
            <w:r w:rsidRPr="00660A85">
              <w:rPr>
                <w:rFonts w:ascii="Arial Narrow" w:hAnsi="Arial Narrow"/>
                <w:sz w:val="18"/>
                <w:szCs w:val="18"/>
              </w:rPr>
              <w:t xml:space="preserve"> International Society (ASAS)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973E6" w:rsidRDefault="00631108" w:rsidP="00591A35">
            <w:pPr>
              <w:jc w:val="center"/>
              <w:rPr>
                <w:rFonts w:ascii="Arial Narrow" w:hAnsi="Arial Narrow"/>
                <w:sz w:val="18"/>
                <w:szCs w:val="18"/>
              </w:rPr>
            </w:pPr>
            <w:r>
              <w:rPr>
                <w:rFonts w:ascii="Arial Narrow" w:hAnsi="Arial Narrow"/>
                <w:sz w:val="18"/>
                <w:szCs w:val="18"/>
              </w:rPr>
              <w:t>22978</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22977</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be </w:t>
            </w:r>
            <w:proofErr w:type="spellStart"/>
            <w:r w:rsidRPr="00660A85">
              <w:rPr>
                <w:rFonts w:ascii="Arial Narrow" w:hAnsi="Arial Narrow"/>
                <w:sz w:val="18"/>
                <w:szCs w:val="18"/>
              </w:rPr>
              <w:t>sacroiliitis</w:t>
            </w:r>
            <w:proofErr w:type="spellEnd"/>
            <w:r w:rsidRPr="00660A85">
              <w:rPr>
                <w:rFonts w:ascii="Arial Narrow" w:hAnsi="Arial Narrow"/>
                <w:sz w:val="18"/>
                <w:szCs w:val="18"/>
              </w:rPr>
              <w:t xml:space="preserve"> with active inflammation and/or oedema on non-contrast Magnetic Resonance Imaging (MRI)</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22980</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rPr>
          <w:trHeight w:val="491"/>
        </w:trPr>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22979</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have presence of Bone Marrow Oedema (BMO) depicted as a </w:t>
            </w:r>
            <w:proofErr w:type="spellStart"/>
            <w:r w:rsidRPr="00660A85">
              <w:rPr>
                <w:rFonts w:ascii="Arial Narrow" w:hAnsi="Arial Narrow"/>
                <w:sz w:val="18"/>
                <w:szCs w:val="18"/>
              </w:rPr>
              <w:t>hyperintense</w:t>
            </w:r>
            <w:proofErr w:type="spellEnd"/>
            <w:r w:rsidRPr="00660A85">
              <w:rPr>
                <w:rFonts w:ascii="Arial Narrow" w:hAnsi="Arial Narrow"/>
                <w:sz w:val="18"/>
                <w:szCs w:val="18"/>
              </w:rPr>
              <w:t xml:space="preserve"> signal on a Short Tau Inversion Recovery (STIR) image (or equivalent)</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22982</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lastRenderedPageBreak/>
              <w:t>22981</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have BMO depicted as a </w:t>
            </w:r>
            <w:proofErr w:type="spellStart"/>
            <w:r w:rsidRPr="00660A85">
              <w:rPr>
                <w:rFonts w:ascii="Arial Narrow" w:hAnsi="Arial Narrow"/>
                <w:sz w:val="18"/>
                <w:szCs w:val="18"/>
              </w:rPr>
              <w:t>hypointense</w:t>
            </w:r>
            <w:proofErr w:type="spellEnd"/>
            <w:r w:rsidRPr="00660A85">
              <w:rPr>
                <w:rFonts w:ascii="Arial Narrow" w:hAnsi="Arial Narrow"/>
                <w:sz w:val="18"/>
                <w:szCs w:val="18"/>
              </w:rPr>
              <w:t xml:space="preserve"> signal on a T1 weighted image (without gadolinium)</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12971</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rPr>
          <w:hidden/>
        </w:trPr>
        <w:tc>
          <w:tcPr>
            <w:tcW w:w="548" w:type="pct"/>
            <w:vAlign w:val="center"/>
            <w:hideMark/>
          </w:tcPr>
          <w:p w:rsidR="00631108" w:rsidRPr="00660A85" w:rsidRDefault="00631108" w:rsidP="00591A35">
            <w:pPr>
              <w:jc w:val="center"/>
              <w:rPr>
                <w:rFonts w:ascii="Arial Narrow" w:hAnsi="Arial Narrow"/>
                <w:vanish/>
                <w:sz w:val="18"/>
                <w:szCs w:val="18"/>
              </w:rPr>
            </w:pPr>
            <w:r>
              <w:rPr>
                <w:rFonts w:ascii="Arial Narrow" w:hAnsi="Arial Narrow"/>
                <w:vanish/>
                <w:sz w:val="18"/>
                <w:szCs w:val="18"/>
              </w:rPr>
              <w:t>12970</w:t>
            </w:r>
          </w:p>
        </w:tc>
        <w:tc>
          <w:tcPr>
            <w:tcW w:w="4452" w:type="pct"/>
            <w:vAlign w:val="center"/>
            <w:hideMark/>
          </w:tcPr>
          <w:p w:rsidR="00631108" w:rsidRPr="00660A85" w:rsidRDefault="00631108" w:rsidP="00591A35">
            <w:pPr>
              <w:rPr>
                <w:rFonts w:ascii="Arial Narrow" w:hAnsi="Arial Narrow"/>
                <w:sz w:val="18"/>
                <w:szCs w:val="18"/>
              </w:rPr>
            </w:pPr>
            <w:r>
              <w:rPr>
                <w:rFonts w:ascii="Arial Narrow" w:hAnsi="Arial Narrow"/>
                <w:sz w:val="18"/>
                <w:szCs w:val="18"/>
              </w:rPr>
              <w:t>Patient</w:t>
            </w:r>
            <w:r w:rsidRPr="00660A85">
              <w:rPr>
                <w:rFonts w:ascii="Arial Narrow" w:hAnsi="Arial Narrow"/>
                <w:sz w:val="18"/>
                <w:szCs w:val="18"/>
              </w:rPr>
              <w:t xml:space="preserve"> must not </w:t>
            </w:r>
            <w:r>
              <w:rPr>
                <w:rFonts w:ascii="Arial Narrow" w:hAnsi="Arial Narrow"/>
                <w:sz w:val="18"/>
                <w:szCs w:val="18"/>
              </w:rPr>
              <w:t>receive more than 18 to 20 weeks of treatment, depending on the dosage regimen, under this restriction</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8384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Population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8383</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Patient must be aged 18 years or older</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22985</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Treatment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10111</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Must be treated by a rheumatologist; or</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22986</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Must be treated by a clinical immunologist with expertise in the management of non-radiographic axial </w:t>
            </w:r>
            <w:proofErr w:type="spellStart"/>
            <w:r w:rsidRPr="00660A85">
              <w:rPr>
                <w:rFonts w:ascii="Arial Narrow" w:hAnsi="Arial Narrow"/>
                <w:sz w:val="18"/>
                <w:szCs w:val="18"/>
              </w:rPr>
              <w:t>spondyloarthritis</w:t>
            </w:r>
            <w:proofErr w:type="spellEnd"/>
          </w:p>
        </w:tc>
      </w:tr>
      <w:tr w:rsidR="00631108" w:rsidRPr="00660A85" w:rsidTr="00591A35">
        <w:trPr>
          <w:hidden/>
        </w:trPr>
        <w:tc>
          <w:tcPr>
            <w:tcW w:w="548" w:type="pct"/>
            <w:vAlign w:val="center"/>
          </w:tcPr>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11158</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tc>
        <w:tc>
          <w:tcPr>
            <w:tcW w:w="4452" w:type="pct"/>
            <w:vAlign w:val="center"/>
          </w:tcPr>
          <w:p w:rsidR="00631108" w:rsidRPr="00D06BBE" w:rsidRDefault="00631108" w:rsidP="00591A35">
            <w:pPr>
              <w:rPr>
                <w:rFonts w:ascii="Arial Narrow" w:hAnsi="Arial Narrow"/>
                <w:sz w:val="18"/>
                <w:szCs w:val="18"/>
              </w:rPr>
            </w:pPr>
            <w:r w:rsidRPr="00D06BBE">
              <w:rPr>
                <w:rFonts w:ascii="Arial Narrow" w:hAnsi="Arial Narrow"/>
                <w:b/>
                <w:bCs/>
                <w:sz w:val="18"/>
                <w:szCs w:val="18"/>
              </w:rPr>
              <w:t>Prescribing Instructions:</w:t>
            </w:r>
          </w:p>
          <w:p w:rsidR="00631108" w:rsidRPr="00D06BBE" w:rsidRDefault="00631108" w:rsidP="00591A35">
            <w:pPr>
              <w:rPr>
                <w:rFonts w:ascii="Arial Narrow" w:hAnsi="Arial Narrow"/>
                <w:sz w:val="18"/>
                <w:szCs w:val="18"/>
              </w:rPr>
            </w:pPr>
            <w:r w:rsidRPr="00D06BBE">
              <w:rPr>
                <w:rFonts w:ascii="Arial Narrow" w:hAnsi="Arial Narrow"/>
                <w:sz w:val="18"/>
                <w:szCs w:val="18"/>
              </w:rPr>
              <w:t xml:space="preserve">The application must include details of the NSAIDs trialled, their doses and duration of treatment. </w:t>
            </w:r>
          </w:p>
          <w:p w:rsidR="00631108" w:rsidRDefault="00631108" w:rsidP="00591A35">
            <w:pPr>
              <w:rPr>
                <w:rFonts w:ascii="Arial Narrow" w:hAnsi="Arial Narrow"/>
                <w:sz w:val="18"/>
                <w:szCs w:val="18"/>
              </w:rPr>
            </w:pPr>
            <w:r w:rsidRPr="00D06BBE">
              <w:rPr>
                <w:rFonts w:ascii="Arial Narrow" w:hAnsi="Arial Narrow"/>
                <w:sz w:val="18"/>
                <w:szCs w:val="18"/>
              </w:rPr>
              <w:t>If the NSAID dose is less than the maximum recommended dose in the relevant TGA-approved Product Information, the application must include the reason a higher dose cannot be used.</w:t>
            </w:r>
          </w:p>
          <w:p w:rsidR="00631108" w:rsidRPr="00D06BBE" w:rsidRDefault="00631108" w:rsidP="00591A35">
            <w:pPr>
              <w:rPr>
                <w:rFonts w:ascii="Arial Narrow" w:hAnsi="Arial Narrow"/>
                <w:sz w:val="18"/>
                <w:szCs w:val="18"/>
              </w:rPr>
            </w:pPr>
          </w:p>
          <w:p w:rsidR="00631108" w:rsidRDefault="00631108" w:rsidP="00591A35">
            <w:pPr>
              <w:rPr>
                <w:rFonts w:ascii="Arial Narrow" w:hAnsi="Arial Narrow"/>
                <w:sz w:val="18"/>
                <w:szCs w:val="18"/>
              </w:rPr>
            </w:pPr>
            <w:r w:rsidRPr="00D06BBE">
              <w:rPr>
                <w:rFonts w:ascii="Arial Narrow" w:hAnsi="Arial Narrow"/>
                <w:sz w:val="18"/>
                <w:szCs w:val="18"/>
              </w:rPr>
              <w:t>If treatment with NSAIDs is contraindicated according to the relevant TGA-approved Product Information, the application must provide details of the contraindication.</w:t>
            </w:r>
          </w:p>
          <w:p w:rsidR="00631108" w:rsidRPr="00D06BBE" w:rsidRDefault="00631108" w:rsidP="00591A35">
            <w:pPr>
              <w:rPr>
                <w:rFonts w:ascii="Arial Narrow" w:hAnsi="Arial Narrow"/>
                <w:sz w:val="18"/>
                <w:szCs w:val="18"/>
              </w:rPr>
            </w:pPr>
          </w:p>
          <w:p w:rsidR="00631108" w:rsidRPr="00660A85" w:rsidRDefault="00631108" w:rsidP="00591A35">
            <w:pPr>
              <w:rPr>
                <w:rFonts w:ascii="Arial Narrow" w:hAnsi="Arial Narrow"/>
                <w:sz w:val="18"/>
                <w:szCs w:val="18"/>
              </w:rPr>
            </w:pPr>
            <w:r w:rsidRPr="00D06BBE">
              <w:rPr>
                <w:rFonts w:ascii="Arial Narrow" w:hAnsi="Arial Narrow"/>
                <w:sz w:val="18"/>
                <w:szCs w:val="18"/>
              </w:rPr>
              <w:t>If intolerance to NSAID treatment develops during the relevant period of use which is of a severity to necessitate permanent treatment withdrawal, the application must provide details of the nature and severity of this intolerance.</w:t>
            </w:r>
          </w:p>
        </w:tc>
      </w:tr>
      <w:tr w:rsidR="00631108" w:rsidRPr="00660A85" w:rsidTr="00591A35">
        <w:tc>
          <w:tcPr>
            <w:tcW w:w="548" w:type="pct"/>
            <w:vAlign w:val="center"/>
            <w:hideMark/>
          </w:tcPr>
          <w:p w:rsidR="00631108" w:rsidRDefault="00631108" w:rsidP="00591A35">
            <w:pPr>
              <w:jc w:val="center"/>
              <w:rPr>
                <w:rFonts w:ascii="Arial Narrow" w:hAnsi="Arial Narrow"/>
                <w:sz w:val="18"/>
                <w:szCs w:val="18"/>
              </w:rPr>
            </w:pPr>
            <w:r>
              <w:rPr>
                <w:rFonts w:ascii="Arial Narrow" w:hAnsi="Arial Narrow"/>
                <w:sz w:val="18"/>
                <w:szCs w:val="18"/>
              </w:rPr>
              <w:t>edit</w:t>
            </w:r>
          </w:p>
          <w:p w:rsidR="00631108" w:rsidRDefault="00631108" w:rsidP="00591A35">
            <w:pPr>
              <w:jc w:val="center"/>
              <w:rPr>
                <w:rFonts w:ascii="Arial Narrow" w:hAnsi="Arial Narrow"/>
                <w:sz w:val="18"/>
                <w:szCs w:val="18"/>
              </w:rPr>
            </w:pPr>
            <w:r>
              <w:rPr>
                <w:rFonts w:ascii="Arial Narrow" w:hAnsi="Arial Narrow"/>
                <w:sz w:val="18"/>
                <w:szCs w:val="18"/>
              </w:rPr>
              <w:t>23012</w:t>
            </w:r>
          </w:p>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Prescribing Instructions:</w:t>
            </w:r>
          </w:p>
          <w:p w:rsidR="00631108" w:rsidRPr="00D06BBE" w:rsidRDefault="00631108" w:rsidP="00591A35">
            <w:pPr>
              <w:rPr>
                <w:rFonts w:ascii="Arial Narrow" w:hAnsi="Arial Narrow"/>
                <w:sz w:val="18"/>
                <w:szCs w:val="18"/>
              </w:rPr>
            </w:pPr>
            <w:r w:rsidRPr="00D06BBE">
              <w:rPr>
                <w:rFonts w:ascii="Arial Narrow" w:hAnsi="Arial Narrow"/>
                <w:sz w:val="18"/>
                <w:szCs w:val="18"/>
              </w:rPr>
              <w:t>The following criteria indicate failure to achieve an adequate response to NSAIDs and must be demonstrated at the time of the initial application:</w:t>
            </w:r>
          </w:p>
          <w:p w:rsidR="00631108" w:rsidRPr="00D06BBE" w:rsidRDefault="00631108" w:rsidP="00591A35">
            <w:pPr>
              <w:rPr>
                <w:rFonts w:ascii="Arial Narrow" w:hAnsi="Arial Narrow"/>
                <w:sz w:val="18"/>
                <w:szCs w:val="18"/>
              </w:rPr>
            </w:pPr>
            <w:r w:rsidRPr="00D06BBE">
              <w:rPr>
                <w:rFonts w:ascii="Arial Narrow" w:hAnsi="Arial Narrow"/>
                <w:sz w:val="18"/>
                <w:szCs w:val="18"/>
              </w:rPr>
              <w:t>(a) a Bath Ankylosing Spondylitis Disease Activity Index (BASDAI) of at least 4 on a 0-10 scale; and</w:t>
            </w:r>
          </w:p>
          <w:p w:rsidR="00631108" w:rsidRDefault="00631108" w:rsidP="00591A35">
            <w:pPr>
              <w:rPr>
                <w:rFonts w:ascii="Arial Narrow" w:hAnsi="Arial Narrow"/>
                <w:sz w:val="18"/>
                <w:szCs w:val="18"/>
              </w:rPr>
            </w:pPr>
            <w:r w:rsidRPr="00D06BBE">
              <w:rPr>
                <w:rFonts w:ascii="Arial Narrow" w:hAnsi="Arial Narrow"/>
                <w:sz w:val="18"/>
                <w:szCs w:val="18"/>
              </w:rPr>
              <w:t>(b) C-reactive protein (CRP) level greater than 10 mg per L.</w:t>
            </w:r>
          </w:p>
          <w:p w:rsidR="00631108" w:rsidRPr="00D06BBE" w:rsidRDefault="00631108" w:rsidP="00591A35">
            <w:pPr>
              <w:rPr>
                <w:rFonts w:ascii="Arial Narrow" w:hAnsi="Arial Narrow"/>
                <w:sz w:val="18"/>
                <w:szCs w:val="18"/>
              </w:rPr>
            </w:pPr>
          </w:p>
          <w:p w:rsidR="00631108" w:rsidRDefault="00631108" w:rsidP="00591A35">
            <w:pPr>
              <w:rPr>
                <w:rFonts w:ascii="Arial Narrow" w:hAnsi="Arial Narrow"/>
                <w:sz w:val="18"/>
                <w:szCs w:val="18"/>
              </w:rPr>
            </w:pPr>
            <w:r w:rsidRPr="00D06BBE">
              <w:rPr>
                <w:rFonts w:ascii="Arial Narrow" w:hAnsi="Arial Narrow"/>
                <w:sz w:val="18"/>
                <w:szCs w:val="18"/>
              </w:rPr>
              <w:t>The BASDAI must be determined at the completion of the 3-month NSAID and exercise trial, but prior to ceasing NSAID treatment. The BASDAI must be no more than 1 month old at the time of initial application.</w:t>
            </w:r>
          </w:p>
          <w:p w:rsidR="00631108" w:rsidRPr="00D06BBE" w:rsidRDefault="00631108" w:rsidP="00591A35">
            <w:pPr>
              <w:rPr>
                <w:rFonts w:ascii="Arial Narrow" w:hAnsi="Arial Narrow"/>
                <w:sz w:val="18"/>
                <w:szCs w:val="18"/>
              </w:rPr>
            </w:pPr>
          </w:p>
          <w:p w:rsidR="00631108" w:rsidRPr="00D06BBE" w:rsidRDefault="00631108" w:rsidP="00591A35">
            <w:pPr>
              <w:rPr>
                <w:rFonts w:ascii="Arial Narrow" w:hAnsi="Arial Narrow"/>
                <w:sz w:val="18"/>
                <w:szCs w:val="18"/>
              </w:rPr>
            </w:pPr>
            <w:r w:rsidRPr="00D06BBE">
              <w:rPr>
                <w:rFonts w:ascii="Arial Narrow" w:hAnsi="Arial Narrow"/>
                <w:sz w:val="18"/>
                <w:szCs w:val="18"/>
              </w:rPr>
              <w:t>CRP measure must be provided with the initial treatment application and must be no more than 1 month old at the time of application.</w:t>
            </w:r>
            <w:r w:rsidRPr="003869E7">
              <w:rPr>
                <w:rFonts w:ascii="Arial Narrow" w:hAnsi="Arial Narrow"/>
                <w:i/>
                <w:color w:val="333333"/>
                <w:sz w:val="18"/>
                <w:szCs w:val="18"/>
                <w:lang w:eastAsia="en-AU"/>
              </w:rPr>
              <w:t xml:space="preserve"> </w:t>
            </w:r>
            <w:r w:rsidRPr="003869E7">
              <w:rPr>
                <w:rFonts w:ascii="Arial Narrow" w:hAnsi="Arial Narrow"/>
                <w:i/>
                <w:sz w:val="18"/>
                <w:szCs w:val="18"/>
              </w:rPr>
              <w:t xml:space="preserve">If the requirement to demonstrate an elevated CRP </w:t>
            </w:r>
            <w:proofErr w:type="spellStart"/>
            <w:r w:rsidRPr="003869E7">
              <w:rPr>
                <w:rFonts w:ascii="Arial Narrow" w:hAnsi="Arial Narrow"/>
                <w:i/>
                <w:sz w:val="18"/>
                <w:szCs w:val="18"/>
              </w:rPr>
              <w:t>c</w:t>
            </w:r>
            <w:r>
              <w:rPr>
                <w:rFonts w:ascii="Arial Narrow" w:hAnsi="Arial Narrow"/>
                <w:i/>
                <w:sz w:val="18"/>
                <w:szCs w:val="18"/>
              </w:rPr>
              <w:t>an</w:t>
            </w:r>
            <w:r w:rsidRPr="003869E7">
              <w:rPr>
                <w:rFonts w:ascii="Arial Narrow" w:hAnsi="Arial Narrow"/>
                <w:i/>
                <w:sz w:val="18"/>
                <w:szCs w:val="18"/>
              </w:rPr>
              <w:t xml:space="preserve"> not</w:t>
            </w:r>
            <w:proofErr w:type="spellEnd"/>
            <w:r w:rsidRPr="003869E7">
              <w:rPr>
                <w:rFonts w:ascii="Arial Narrow" w:hAnsi="Arial Narrow"/>
                <w:i/>
                <w:sz w:val="18"/>
                <w:szCs w:val="18"/>
              </w:rPr>
              <w:t xml:space="preserve"> be met, the reason must be stated in the application.</w:t>
            </w:r>
          </w:p>
        </w:tc>
      </w:tr>
      <w:tr w:rsidR="00631108" w:rsidRPr="00660A85" w:rsidTr="00591A35">
        <w:tc>
          <w:tcPr>
            <w:tcW w:w="548" w:type="pct"/>
            <w:vAlign w:val="center"/>
            <w:hideMark/>
          </w:tcPr>
          <w:p w:rsidR="00631108" w:rsidRDefault="00631108" w:rsidP="00591A35">
            <w:pPr>
              <w:jc w:val="center"/>
              <w:rPr>
                <w:rFonts w:ascii="Arial Narrow" w:hAnsi="Arial Narrow"/>
                <w:sz w:val="18"/>
                <w:szCs w:val="18"/>
              </w:rPr>
            </w:pPr>
          </w:p>
          <w:p w:rsidR="00631108" w:rsidRDefault="00631108" w:rsidP="00591A35">
            <w:pPr>
              <w:jc w:val="center"/>
              <w:rPr>
                <w:rFonts w:ascii="Arial Narrow" w:hAnsi="Arial Narrow"/>
                <w:sz w:val="18"/>
                <w:szCs w:val="18"/>
              </w:rPr>
            </w:pPr>
            <w:r>
              <w:rPr>
                <w:rFonts w:ascii="Arial Narrow" w:hAnsi="Arial Narrow"/>
                <w:sz w:val="18"/>
                <w:szCs w:val="18"/>
              </w:rPr>
              <w:t>11161</w:t>
            </w:r>
          </w:p>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Prescribing Instructions:</w:t>
            </w:r>
          </w:p>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assessment of the patient's response to the initial course of treatment must be made following a minimum of 12 weeks of treatment </w:t>
            </w:r>
            <w:r w:rsidRPr="00D06BBE">
              <w:rPr>
                <w:rFonts w:ascii="Arial Narrow" w:hAnsi="Arial Narrow"/>
                <w:sz w:val="18"/>
                <w:szCs w:val="18"/>
              </w:rPr>
              <w:t>and submitted no later than 4 weeks from the cessation of that treatment course. If the response assessment is not submitted within these timeframes, the patient will be deemed to have failed this course of treatment.</w:t>
            </w:r>
          </w:p>
        </w:tc>
      </w:tr>
      <w:tr w:rsidR="00631108" w:rsidRPr="00660A85" w:rsidTr="00591A35">
        <w:tc>
          <w:tcPr>
            <w:tcW w:w="548" w:type="pct"/>
            <w:vAlign w:val="center"/>
            <w:hideMark/>
          </w:tcPr>
          <w:p w:rsidR="00631108" w:rsidRPr="00C95BEF" w:rsidRDefault="00631108" w:rsidP="00591A35">
            <w:pPr>
              <w:jc w:val="center"/>
              <w:rPr>
                <w:rFonts w:ascii="Arial Narrow" w:hAnsi="Arial Narrow"/>
                <w:sz w:val="18"/>
                <w:szCs w:val="18"/>
              </w:rPr>
            </w:pPr>
            <w:r w:rsidRPr="00C95BEF">
              <w:rPr>
                <w:rFonts w:ascii="Arial Narrow" w:hAnsi="Arial Narrow"/>
                <w:sz w:val="18"/>
                <w:szCs w:val="18"/>
              </w:rPr>
              <w:t>23014</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Full</w:t>
            </w:r>
          </w:p>
          <w:p w:rsidR="00631108" w:rsidRPr="00660A85" w:rsidRDefault="00631108" w:rsidP="00591A35">
            <w:pPr>
              <w:jc w:val="center"/>
              <w:rPr>
                <w:rFonts w:ascii="Arial Narrow" w:hAnsi="Arial Narrow"/>
                <w:vanish/>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Prescribing Instructions:</w:t>
            </w:r>
          </w:p>
          <w:p w:rsidR="00631108" w:rsidRPr="00D06BBE" w:rsidRDefault="00631108" w:rsidP="00591A35">
            <w:pPr>
              <w:rPr>
                <w:rFonts w:ascii="Arial Narrow" w:hAnsi="Arial Narrow"/>
                <w:sz w:val="18"/>
                <w:szCs w:val="18"/>
              </w:rPr>
            </w:pPr>
            <w:r w:rsidRPr="00D06BBE">
              <w:rPr>
                <w:rFonts w:ascii="Arial Narrow" w:hAnsi="Arial Narrow"/>
                <w:sz w:val="18"/>
                <w:szCs w:val="18"/>
              </w:rPr>
              <w:t>The authority application must be made in writing and must include:</w:t>
            </w:r>
          </w:p>
          <w:p w:rsidR="00631108" w:rsidRPr="00D06BBE" w:rsidRDefault="00631108" w:rsidP="00591A35">
            <w:pPr>
              <w:rPr>
                <w:rFonts w:ascii="Arial Narrow" w:hAnsi="Arial Narrow"/>
                <w:sz w:val="18"/>
                <w:szCs w:val="18"/>
              </w:rPr>
            </w:pPr>
            <w:r w:rsidRPr="00D06BBE">
              <w:rPr>
                <w:rFonts w:ascii="Arial Narrow" w:hAnsi="Arial Narrow"/>
                <w:sz w:val="18"/>
                <w:szCs w:val="18"/>
              </w:rPr>
              <w:t>(a) a completed authority prescription form; and</w:t>
            </w:r>
          </w:p>
          <w:p w:rsidR="00631108" w:rsidRPr="00D06BBE" w:rsidRDefault="00631108" w:rsidP="00591A35">
            <w:pPr>
              <w:rPr>
                <w:rFonts w:ascii="Arial Narrow" w:hAnsi="Arial Narrow"/>
                <w:sz w:val="18"/>
                <w:szCs w:val="18"/>
              </w:rPr>
            </w:pPr>
            <w:r w:rsidRPr="00D06BBE">
              <w:rPr>
                <w:rFonts w:ascii="Arial Narrow" w:hAnsi="Arial Narrow"/>
                <w:sz w:val="18"/>
                <w:szCs w:val="18"/>
              </w:rPr>
              <w:t xml:space="preserve">(b) a completed Non-radiographic axial </w:t>
            </w:r>
            <w:proofErr w:type="spellStart"/>
            <w:r w:rsidRPr="00D06BBE">
              <w:rPr>
                <w:rFonts w:ascii="Arial Narrow" w:hAnsi="Arial Narrow"/>
                <w:sz w:val="18"/>
                <w:szCs w:val="18"/>
              </w:rPr>
              <w:t>spondyloarthritis</w:t>
            </w:r>
            <w:proofErr w:type="spellEnd"/>
            <w:r w:rsidRPr="00D06BBE">
              <w:rPr>
                <w:rFonts w:ascii="Arial Narrow" w:hAnsi="Arial Narrow"/>
                <w:sz w:val="18"/>
                <w:szCs w:val="18"/>
              </w:rPr>
              <w:t xml:space="preserve"> initial PBS Authority Application - Supporting Information Form which must include the following:</w:t>
            </w:r>
          </w:p>
          <w:p w:rsidR="00631108" w:rsidRPr="00D06BBE" w:rsidRDefault="00631108" w:rsidP="00591A35">
            <w:pPr>
              <w:rPr>
                <w:rFonts w:ascii="Arial Narrow" w:hAnsi="Arial Narrow"/>
                <w:sz w:val="18"/>
                <w:szCs w:val="18"/>
              </w:rPr>
            </w:pPr>
            <w:r w:rsidRPr="00D06BBE">
              <w:rPr>
                <w:rFonts w:ascii="Arial Narrow" w:hAnsi="Arial Narrow"/>
                <w:sz w:val="18"/>
                <w:szCs w:val="18"/>
              </w:rPr>
              <w:t>(</w:t>
            </w:r>
            <w:proofErr w:type="spellStart"/>
            <w:r w:rsidRPr="00D06BBE">
              <w:rPr>
                <w:rFonts w:ascii="Arial Narrow" w:hAnsi="Arial Narrow"/>
                <w:sz w:val="18"/>
                <w:szCs w:val="18"/>
              </w:rPr>
              <w:t>i</w:t>
            </w:r>
            <w:proofErr w:type="spellEnd"/>
            <w:r w:rsidRPr="00D06BBE">
              <w:rPr>
                <w:rFonts w:ascii="Arial Narrow" w:hAnsi="Arial Narrow"/>
                <w:sz w:val="18"/>
                <w:szCs w:val="18"/>
              </w:rPr>
              <w:t xml:space="preserve">) a copy of the radiological report confirming the absence of Grade II bilateral </w:t>
            </w:r>
            <w:proofErr w:type="spellStart"/>
            <w:r w:rsidRPr="00D06BBE">
              <w:rPr>
                <w:rFonts w:ascii="Arial Narrow" w:hAnsi="Arial Narrow"/>
                <w:sz w:val="18"/>
                <w:szCs w:val="18"/>
              </w:rPr>
              <w:t>sacroiliitis</w:t>
            </w:r>
            <w:proofErr w:type="spellEnd"/>
            <w:r w:rsidRPr="00D06BBE">
              <w:rPr>
                <w:rFonts w:ascii="Arial Narrow" w:hAnsi="Arial Narrow"/>
                <w:sz w:val="18"/>
                <w:szCs w:val="18"/>
              </w:rPr>
              <w:t xml:space="preserve"> or Grade III or IV unilateral </w:t>
            </w:r>
            <w:proofErr w:type="spellStart"/>
            <w:r w:rsidRPr="00D06BBE">
              <w:rPr>
                <w:rFonts w:ascii="Arial Narrow" w:hAnsi="Arial Narrow"/>
                <w:sz w:val="18"/>
                <w:szCs w:val="18"/>
              </w:rPr>
              <w:t>sacroiliitis</w:t>
            </w:r>
            <w:proofErr w:type="spellEnd"/>
            <w:r w:rsidRPr="00D06BBE">
              <w:rPr>
                <w:rFonts w:ascii="Arial Narrow" w:hAnsi="Arial Narrow"/>
                <w:sz w:val="18"/>
                <w:szCs w:val="18"/>
              </w:rPr>
              <w:t>; and</w:t>
            </w:r>
          </w:p>
          <w:p w:rsidR="00631108" w:rsidRPr="00D06BBE" w:rsidRDefault="00631108" w:rsidP="00591A35">
            <w:pPr>
              <w:rPr>
                <w:rFonts w:ascii="Arial Narrow" w:hAnsi="Arial Narrow"/>
                <w:sz w:val="18"/>
                <w:szCs w:val="18"/>
              </w:rPr>
            </w:pPr>
            <w:r w:rsidRPr="00D06BBE">
              <w:rPr>
                <w:rFonts w:ascii="Arial Narrow" w:hAnsi="Arial Narrow"/>
                <w:sz w:val="18"/>
                <w:szCs w:val="18"/>
              </w:rPr>
              <w:t>(ii) a completed BASDAI Assessment Form; and</w:t>
            </w:r>
          </w:p>
          <w:p w:rsidR="00631108" w:rsidRPr="00D06BBE" w:rsidRDefault="00631108" w:rsidP="00591A35">
            <w:pPr>
              <w:rPr>
                <w:rFonts w:ascii="Arial Narrow" w:hAnsi="Arial Narrow"/>
                <w:sz w:val="18"/>
                <w:szCs w:val="18"/>
              </w:rPr>
            </w:pPr>
            <w:r w:rsidRPr="00D06BBE">
              <w:rPr>
                <w:rFonts w:ascii="Arial Narrow" w:hAnsi="Arial Narrow"/>
                <w:sz w:val="18"/>
                <w:szCs w:val="18"/>
              </w:rPr>
              <w:t>(iii) a copy of C-reactive protein (CRP) test result which must not be more than 1 month old at the time of application ; and</w:t>
            </w:r>
          </w:p>
          <w:p w:rsidR="00631108" w:rsidRPr="00D06BBE" w:rsidRDefault="00631108" w:rsidP="00591A35">
            <w:pPr>
              <w:rPr>
                <w:rFonts w:ascii="Arial Narrow" w:hAnsi="Arial Narrow"/>
                <w:sz w:val="18"/>
                <w:szCs w:val="18"/>
              </w:rPr>
            </w:pPr>
            <w:r w:rsidRPr="00D06BBE">
              <w:rPr>
                <w:rFonts w:ascii="Arial Narrow" w:hAnsi="Arial Narrow"/>
                <w:sz w:val="18"/>
                <w:szCs w:val="18"/>
              </w:rPr>
              <w:t>(iv) a completed Exercise Program Self Certification Form included in the supporting information form; and</w:t>
            </w:r>
          </w:p>
          <w:p w:rsidR="00631108" w:rsidRPr="00D06BBE" w:rsidRDefault="00631108" w:rsidP="00591A35">
            <w:pPr>
              <w:rPr>
                <w:rFonts w:ascii="Arial Narrow" w:hAnsi="Arial Narrow"/>
                <w:sz w:val="18"/>
                <w:szCs w:val="18"/>
              </w:rPr>
            </w:pPr>
            <w:r w:rsidRPr="00D06BBE">
              <w:rPr>
                <w:rFonts w:ascii="Arial Narrow" w:hAnsi="Arial Narrow"/>
                <w:sz w:val="18"/>
                <w:szCs w:val="18"/>
              </w:rPr>
              <w:t>(v) a copy of the MRI report; and</w:t>
            </w:r>
          </w:p>
          <w:p w:rsidR="00631108" w:rsidRPr="00660A85" w:rsidRDefault="00631108" w:rsidP="00591A35">
            <w:pPr>
              <w:rPr>
                <w:rFonts w:ascii="Arial Narrow" w:hAnsi="Arial Narrow"/>
                <w:sz w:val="18"/>
                <w:szCs w:val="18"/>
              </w:rPr>
            </w:pPr>
            <w:r w:rsidRPr="00D06BBE">
              <w:rPr>
                <w:rFonts w:ascii="Arial Narrow" w:hAnsi="Arial Narrow"/>
                <w:sz w:val="18"/>
                <w:szCs w:val="18"/>
              </w:rPr>
              <w:t>(vi) details of the NSAIDs trialled, their doses and duration of treatment or the reason a higher dose cannot be used where the NSAID dose is less than the maximum recommended dose in the relevant TGA-approved Product Information or details of the contraindication according to the relevant TGA-approved Product Information</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11164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p>
          <w:p w:rsidR="00631108" w:rsidRPr="00660A85" w:rsidRDefault="00631108" w:rsidP="00591A35">
            <w:pPr>
              <w:rPr>
                <w:rFonts w:ascii="Arial Narrow" w:hAnsi="Arial Narrow"/>
                <w:sz w:val="18"/>
                <w:szCs w:val="18"/>
              </w:rPr>
            </w:pPr>
            <w:r w:rsidRPr="00660A85">
              <w:rPr>
                <w:rFonts w:ascii="Arial Narrow" w:hAnsi="Arial Narrow"/>
                <w:sz w:val="18"/>
                <w:szCs w:val="18"/>
              </w:rPr>
              <w:t>Details of the toxicities, including severity, which will be accepted for the purposes of administering this restriction can be found on the Department of Human Services website at www.humanservices.gov.au</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sidRPr="00660A85">
              <w:rPr>
                <w:rFonts w:ascii="Arial Narrow" w:hAnsi="Arial Narrow"/>
                <w:sz w:val="18"/>
                <w:szCs w:val="18"/>
              </w:rPr>
              <w:t>1116</w:t>
            </w:r>
            <w:r>
              <w:rPr>
                <w:rFonts w:ascii="Arial Narrow" w:hAnsi="Arial Narrow"/>
                <w:sz w:val="18"/>
                <w:szCs w:val="18"/>
              </w:rPr>
              <w:t>5</w:t>
            </w:r>
          </w:p>
          <w:p w:rsidR="00631108" w:rsidRPr="00D06BBE" w:rsidRDefault="00631108" w:rsidP="00591A35">
            <w:pPr>
              <w:jc w:val="center"/>
              <w:rPr>
                <w:rFonts w:ascii="Arial Narrow" w:hAnsi="Arial Narrow"/>
                <w:vanish/>
                <w:sz w:val="18"/>
                <w:szCs w:val="18"/>
              </w:rPr>
            </w:pPr>
            <w:r w:rsidRPr="00D06BBE">
              <w:rPr>
                <w:rFonts w:ascii="Arial Narrow" w:hAnsi="Arial Narrow"/>
                <w:vanish/>
                <w:sz w:val="18"/>
                <w:szCs w:val="18"/>
              </w:rPr>
              <w:t>CAR</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p>
          <w:p w:rsidR="00631108" w:rsidRPr="00660A85" w:rsidRDefault="00631108" w:rsidP="00591A35">
            <w:pPr>
              <w:rPr>
                <w:rFonts w:ascii="Arial Narrow" w:hAnsi="Arial Narrow"/>
                <w:sz w:val="18"/>
                <w:szCs w:val="18"/>
              </w:rPr>
            </w:pPr>
            <w:r w:rsidRPr="00660A85">
              <w:rPr>
                <w:rFonts w:ascii="Arial Narrow" w:hAnsi="Arial Narrow"/>
                <w:sz w:val="18"/>
                <w:szCs w:val="18"/>
              </w:rPr>
              <w:t>For details on the appropriate minimum exercise program that will be accepted for the purposes of administering this restriction, please refer to the Department of Human Services website at www.humanservices.gov.au</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lastRenderedPageBreak/>
              <w:t>7606</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r>
              <w:rPr>
                <w:rFonts w:ascii="Arial Narrow" w:hAnsi="Arial Narrow"/>
                <w:sz w:val="18"/>
                <w:szCs w:val="18"/>
              </w:rPr>
              <w:t xml:space="preserve"> </w:t>
            </w:r>
            <w:r w:rsidRPr="00660A85">
              <w:rPr>
                <w:rFonts w:ascii="Arial Narrow" w:hAnsi="Arial Narrow"/>
                <w:sz w:val="18"/>
                <w:szCs w:val="18"/>
              </w:rPr>
              <w:t>No increase in the maximum quantity or number of units may be authorised.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7607</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r>
              <w:rPr>
                <w:rFonts w:ascii="Arial Narrow" w:hAnsi="Arial Narrow"/>
                <w:sz w:val="18"/>
                <w:szCs w:val="18"/>
              </w:rPr>
              <w:t xml:space="preserve"> </w:t>
            </w:r>
            <w:r w:rsidRPr="00660A85">
              <w:rPr>
                <w:rFonts w:ascii="Arial Narrow" w:hAnsi="Arial Narrow"/>
                <w:sz w:val="18"/>
                <w:szCs w:val="18"/>
              </w:rPr>
              <w:t>No increase in the maximum number of repeats may be authorised.</w:t>
            </w:r>
          </w:p>
        </w:tc>
      </w:tr>
      <w:tr w:rsidR="00631108" w:rsidRPr="00660A85" w:rsidTr="00591A35">
        <w:tc>
          <w:tcPr>
            <w:tcW w:w="548" w:type="pct"/>
            <w:vAlign w:val="center"/>
          </w:tcPr>
          <w:p w:rsidR="00631108" w:rsidRDefault="00631108" w:rsidP="00591A35">
            <w:pPr>
              <w:jc w:val="center"/>
              <w:rPr>
                <w:rFonts w:ascii="Arial Narrow" w:hAnsi="Arial Narrow"/>
                <w:sz w:val="18"/>
                <w:szCs w:val="18"/>
              </w:rPr>
            </w:pPr>
            <w:r>
              <w:rPr>
                <w:rFonts w:ascii="Arial Narrow" w:hAnsi="Arial Narrow"/>
                <w:sz w:val="18"/>
                <w:szCs w:val="18"/>
              </w:rPr>
              <w:t>7753</w:t>
            </w:r>
          </w:p>
          <w:p w:rsidR="00631108" w:rsidRDefault="00631108" w:rsidP="00591A35">
            <w:pPr>
              <w:jc w:val="center"/>
              <w:rPr>
                <w:rFonts w:ascii="Arial Narrow" w:hAnsi="Arial Narrow"/>
                <w:sz w:val="18"/>
                <w:szCs w:val="18"/>
              </w:rPr>
            </w:pPr>
            <w:r>
              <w:rPr>
                <w:rFonts w:ascii="Arial Narrow" w:hAnsi="Arial Narrow"/>
                <w:sz w:val="18"/>
                <w:szCs w:val="18"/>
              </w:rPr>
              <w:t>CAR</w:t>
            </w:r>
          </w:p>
        </w:tc>
        <w:tc>
          <w:tcPr>
            <w:tcW w:w="4452" w:type="pct"/>
            <w:vAlign w:val="center"/>
          </w:tcPr>
          <w:p w:rsidR="00631108" w:rsidRDefault="00631108" w:rsidP="00591A35">
            <w:pPr>
              <w:rPr>
                <w:rFonts w:ascii="Arial Narrow" w:hAnsi="Arial Narrow"/>
                <w:bCs/>
                <w:sz w:val="18"/>
                <w:szCs w:val="18"/>
              </w:rPr>
            </w:pPr>
            <w:r w:rsidRPr="00660A85">
              <w:rPr>
                <w:rFonts w:ascii="Arial Narrow" w:hAnsi="Arial Narrow"/>
                <w:b/>
                <w:bCs/>
                <w:sz w:val="18"/>
                <w:szCs w:val="18"/>
              </w:rPr>
              <w:t>Administrative Advice:</w:t>
            </w:r>
          </w:p>
          <w:p w:rsidR="00631108" w:rsidRPr="003A4DB8" w:rsidRDefault="00631108" w:rsidP="00591A35">
            <w:pPr>
              <w:rPr>
                <w:rFonts w:ascii="Arial Narrow" w:hAnsi="Arial Narrow"/>
                <w:bCs/>
                <w:sz w:val="18"/>
                <w:szCs w:val="18"/>
              </w:rPr>
            </w:pPr>
            <w:r w:rsidRPr="003A4DB8">
              <w:rPr>
                <w:rFonts w:ascii="Arial Narrow" w:hAnsi="Arial Narrow"/>
                <w:bCs/>
                <w:sz w:val="18"/>
                <w:szCs w:val="18"/>
              </w:rPr>
              <w:t xml:space="preserve">Any queries concerning the arrangements to prescribe may be directed to the Department of Human Services on 1800 700 270 (hours of operation 8 a.m. to 5 p.m. EST Monday to Friday). </w:t>
            </w:r>
          </w:p>
          <w:p w:rsidR="00631108" w:rsidRPr="003A4DB8" w:rsidRDefault="00631108" w:rsidP="00591A35">
            <w:pPr>
              <w:rPr>
                <w:rFonts w:ascii="Arial Narrow" w:hAnsi="Arial Narrow"/>
                <w:bCs/>
                <w:sz w:val="18"/>
                <w:szCs w:val="18"/>
              </w:rPr>
            </w:pPr>
            <w:r w:rsidRPr="003A4DB8">
              <w:rPr>
                <w:rFonts w:ascii="Arial Narrow" w:hAnsi="Arial Narrow"/>
                <w:bCs/>
                <w:sz w:val="18"/>
                <w:szCs w:val="18"/>
              </w:rPr>
              <w:t>Prescribing information (including Authority Application forms and other relevant documentation as applicable) is available on the Department of Human Services website at www.humanservices.gov.au</w:t>
            </w:r>
          </w:p>
          <w:p w:rsidR="00631108" w:rsidRPr="003A4DB8" w:rsidRDefault="00631108" w:rsidP="00591A35">
            <w:pPr>
              <w:rPr>
                <w:rFonts w:ascii="Arial Narrow" w:hAnsi="Arial Narrow"/>
                <w:bCs/>
                <w:sz w:val="18"/>
                <w:szCs w:val="18"/>
              </w:rPr>
            </w:pPr>
            <w:r w:rsidRPr="003A4DB8">
              <w:rPr>
                <w:rFonts w:ascii="Arial Narrow" w:hAnsi="Arial Narrow"/>
                <w:bCs/>
                <w:sz w:val="18"/>
                <w:szCs w:val="18"/>
              </w:rPr>
              <w:t xml:space="preserve">Applications for authority to prescribe should be forwarded to: </w:t>
            </w:r>
          </w:p>
          <w:p w:rsidR="00631108" w:rsidRPr="003A4DB8" w:rsidRDefault="00631108" w:rsidP="00591A35">
            <w:pPr>
              <w:rPr>
                <w:rFonts w:ascii="Arial Narrow" w:hAnsi="Arial Narrow"/>
                <w:bCs/>
                <w:sz w:val="18"/>
                <w:szCs w:val="18"/>
              </w:rPr>
            </w:pPr>
            <w:r w:rsidRPr="003A4DB8">
              <w:rPr>
                <w:rFonts w:ascii="Arial Narrow" w:hAnsi="Arial Narrow"/>
                <w:bCs/>
                <w:sz w:val="18"/>
                <w:szCs w:val="18"/>
              </w:rPr>
              <w:t>Department of Human Services</w:t>
            </w:r>
          </w:p>
          <w:p w:rsidR="00631108" w:rsidRPr="003A4DB8" w:rsidRDefault="00631108" w:rsidP="00591A35">
            <w:pPr>
              <w:rPr>
                <w:rFonts w:ascii="Arial Narrow" w:hAnsi="Arial Narrow"/>
                <w:bCs/>
                <w:sz w:val="18"/>
                <w:szCs w:val="18"/>
              </w:rPr>
            </w:pPr>
            <w:r w:rsidRPr="003A4DB8">
              <w:rPr>
                <w:rFonts w:ascii="Arial Narrow" w:hAnsi="Arial Narrow"/>
                <w:bCs/>
                <w:sz w:val="18"/>
                <w:szCs w:val="18"/>
              </w:rPr>
              <w:t xml:space="preserve">Complex Drugs </w:t>
            </w:r>
          </w:p>
          <w:p w:rsidR="00631108" w:rsidRPr="003A4DB8" w:rsidRDefault="00631108" w:rsidP="00591A35">
            <w:pPr>
              <w:rPr>
                <w:rFonts w:ascii="Arial Narrow" w:hAnsi="Arial Narrow"/>
                <w:bCs/>
                <w:sz w:val="18"/>
                <w:szCs w:val="18"/>
              </w:rPr>
            </w:pPr>
            <w:r w:rsidRPr="003A4DB8">
              <w:rPr>
                <w:rFonts w:ascii="Arial Narrow" w:hAnsi="Arial Narrow"/>
                <w:bCs/>
                <w:sz w:val="18"/>
                <w:szCs w:val="18"/>
              </w:rPr>
              <w:t xml:space="preserve">Reply Paid 9826 </w:t>
            </w:r>
          </w:p>
          <w:p w:rsidR="00631108" w:rsidRPr="00660A85" w:rsidRDefault="00631108" w:rsidP="00591A35">
            <w:pPr>
              <w:rPr>
                <w:rFonts w:ascii="Arial Narrow" w:hAnsi="Arial Narrow"/>
                <w:b/>
                <w:bCs/>
                <w:sz w:val="18"/>
                <w:szCs w:val="18"/>
              </w:rPr>
            </w:pPr>
            <w:r w:rsidRPr="003A4DB8">
              <w:rPr>
                <w:rFonts w:ascii="Arial Narrow" w:hAnsi="Arial Narrow"/>
                <w:bCs/>
                <w:sz w:val="18"/>
                <w:szCs w:val="18"/>
              </w:rPr>
              <w:t>HOBART TAS 7001</w:t>
            </w:r>
          </w:p>
        </w:tc>
      </w:tr>
    </w:tbl>
    <w:p w:rsidR="00631108" w:rsidRDefault="00631108" w:rsidP="00631108"/>
    <w:p w:rsidR="00631108" w:rsidRPr="00331670" w:rsidRDefault="00631108" w:rsidP="00631108">
      <w:pPr>
        <w:rPr>
          <w:rFonts w:ascii="Arial Narrow" w:hAnsi="Arial Narrow"/>
          <w:b/>
          <w:sz w:val="18"/>
          <w:szCs w:val="18"/>
          <w:lang w:val="en-GB"/>
        </w:rPr>
      </w:pPr>
      <w:r>
        <w:rPr>
          <w:rFonts w:ascii="Arial Narrow" w:hAnsi="Arial Narrow"/>
          <w:b/>
          <w:sz w:val="18"/>
          <w:szCs w:val="18"/>
          <w:lang w:val="en-GB"/>
        </w:rPr>
        <w:t xml:space="preserve">Initial treatment 2 </w:t>
      </w:r>
      <w:r w:rsidRPr="00331670">
        <w:rPr>
          <w:rFonts w:ascii="Arial Narrow" w:hAnsi="Arial Narrow"/>
          <w:b/>
          <w:sz w:val="18"/>
          <w:szCs w:val="18"/>
          <w:lang w:val="en-GB"/>
        </w:rPr>
        <w:t xml:space="preserve">Restriction Summary [NEW] / </w:t>
      </w:r>
      <w:proofErr w:type="spellStart"/>
      <w:r w:rsidRPr="00331670">
        <w:rPr>
          <w:rFonts w:ascii="Arial Narrow" w:hAnsi="Arial Narrow"/>
          <w:b/>
          <w:sz w:val="18"/>
          <w:szCs w:val="18"/>
          <w:lang w:val="en-GB"/>
        </w:rPr>
        <w:t>ToC</w:t>
      </w:r>
      <w:proofErr w:type="spellEnd"/>
      <w:r w:rsidRPr="00331670">
        <w:rPr>
          <w:rFonts w:ascii="Arial Narrow" w:hAnsi="Arial Narrow"/>
          <w:b/>
          <w:sz w:val="18"/>
          <w:szCs w:val="18"/>
          <w:lang w:val="en-GB"/>
        </w:rPr>
        <w:t>: [NEW]</w:t>
      </w:r>
    </w:p>
    <w:p w:rsidR="00631108" w:rsidRPr="00972088" w:rsidRDefault="00631108" w:rsidP="00631108">
      <w:pPr>
        <w:rPr>
          <w:rFonts w:ascii="Arial Narrow" w:hAnsi="Arial Narrow"/>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631108" w:rsidRPr="00FB4582" w:rsidTr="00591A35">
        <w:tc>
          <w:tcPr>
            <w:tcW w:w="548" w:type="pct"/>
          </w:tcPr>
          <w:p w:rsidR="00631108" w:rsidRPr="00CA5F03" w:rsidRDefault="00631108" w:rsidP="00591A35">
            <w:pPr>
              <w:pStyle w:val="TableLeft"/>
              <w:jc w:val="center"/>
              <w:rPr>
                <w:rFonts w:ascii="Arial Narrow" w:hAnsi="Arial Narrow" w:cs="Arial"/>
                <w:b/>
                <w:szCs w:val="18"/>
              </w:rPr>
            </w:pPr>
            <w:r w:rsidRPr="00CA5F03">
              <w:rPr>
                <w:rFonts w:ascii="Arial Narrow" w:hAnsi="Arial Narrow" w:cs="Arial"/>
                <w:b/>
                <w:szCs w:val="18"/>
              </w:rPr>
              <w:t>Concept ID</w:t>
            </w:r>
          </w:p>
        </w:tc>
        <w:tc>
          <w:tcPr>
            <w:tcW w:w="4452" w:type="pct"/>
          </w:tcPr>
          <w:p w:rsidR="00631108" w:rsidRPr="00DC0C1D" w:rsidRDefault="00631108" w:rsidP="00591A35">
            <w:pPr>
              <w:pStyle w:val="TableLeft"/>
              <w:rPr>
                <w:rFonts w:ascii="Arial Narrow" w:hAnsi="Arial Narrow"/>
                <w:szCs w:val="18"/>
              </w:rPr>
            </w:pPr>
            <w:r w:rsidRPr="00DC0C1D">
              <w:rPr>
                <w:rFonts w:ascii="Arial Narrow" w:hAnsi="Arial Narrow"/>
                <w:b/>
                <w:szCs w:val="18"/>
              </w:rPr>
              <w:t>Category / Program:</w:t>
            </w:r>
            <w:r w:rsidRPr="00DC0C1D">
              <w:rPr>
                <w:rFonts w:ascii="Arial Narrow" w:hAnsi="Arial Narrow"/>
                <w:szCs w:val="18"/>
              </w:rPr>
              <w:t xml:space="preserve"> General Schedule (Code GE)</w:t>
            </w:r>
          </w:p>
        </w:tc>
      </w:tr>
      <w:tr w:rsidR="00631108" w:rsidRPr="00FB4582" w:rsidTr="00591A35">
        <w:tc>
          <w:tcPr>
            <w:tcW w:w="548" w:type="pct"/>
          </w:tcPr>
          <w:p w:rsidR="00631108" w:rsidRPr="00DC0C1D" w:rsidRDefault="00631108" w:rsidP="00591A35">
            <w:pPr>
              <w:pStyle w:val="TableLeft"/>
              <w:jc w:val="center"/>
              <w:rPr>
                <w:rFonts w:ascii="Arial Narrow" w:hAnsi="Arial Narrow"/>
                <w:szCs w:val="18"/>
              </w:rPr>
            </w:pPr>
          </w:p>
        </w:tc>
        <w:tc>
          <w:tcPr>
            <w:tcW w:w="4452" w:type="pct"/>
          </w:tcPr>
          <w:p w:rsidR="00631108" w:rsidRPr="00DC0C1D" w:rsidRDefault="00631108" w:rsidP="00657498">
            <w:pPr>
              <w:rPr>
                <w:rFonts w:ascii="Arial Narrow" w:hAnsi="Arial Narrow"/>
                <w:sz w:val="18"/>
                <w:szCs w:val="18"/>
              </w:rPr>
            </w:pPr>
            <w:r w:rsidRPr="00DC0C1D">
              <w:rPr>
                <w:rFonts w:ascii="Arial Narrow" w:hAnsi="Arial Narrow"/>
                <w:b/>
                <w:sz w:val="18"/>
                <w:szCs w:val="18"/>
              </w:rPr>
              <w:t>Prescriber type:</w:t>
            </w:r>
            <w:r>
              <w:rPr>
                <w:rFonts w:ascii="Arial Narrow" w:hAnsi="Arial Narrow"/>
                <w:sz w:val="18"/>
                <w:szCs w:val="18"/>
              </w:rPr>
              <w:t xml:space="preserve">  </w:t>
            </w:r>
            <w:r w:rsidRPr="00DC0C1D">
              <w:rPr>
                <w:rFonts w:ascii="Arial Narrow" w:hAnsi="Arial Narrow"/>
                <w:sz w:val="18"/>
                <w:szCs w:val="18"/>
              </w:rPr>
              <w:fldChar w:fldCharType="begin">
                <w:ffData>
                  <w:name w:val="Check1"/>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Dental  </w:t>
            </w:r>
            <w:r>
              <w:rPr>
                <w:rFonts w:ascii="Arial Narrow" w:hAnsi="Arial Narrow"/>
                <w:sz w:val="18"/>
                <w:szCs w:val="18"/>
              </w:rPr>
              <w:t xml:space="preserve"> </w:t>
            </w: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Medical Practitioners</w:t>
            </w:r>
            <w:r>
              <w:rPr>
                <w:rFonts w:ascii="Arial Narrow" w:hAnsi="Arial Narrow"/>
                <w:sz w:val="18"/>
                <w:szCs w:val="18"/>
              </w:rPr>
              <w:t xml:space="preserve">  </w:t>
            </w:r>
            <w:r w:rsidRPr="00DC0C1D">
              <w:rPr>
                <w:rFonts w:ascii="Arial Narrow" w:hAnsi="Arial Narrow"/>
                <w:sz w:val="18"/>
                <w:szCs w:val="18"/>
              </w:rPr>
              <w:fldChar w:fldCharType="begin">
                <w:ffData>
                  <w:name w:val="Check3"/>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Nurse practitioners  </w:t>
            </w:r>
            <w:r w:rsidRPr="00DC0C1D">
              <w:rPr>
                <w:rFonts w:ascii="Arial Narrow" w:hAnsi="Arial Narrow"/>
                <w:sz w:val="18"/>
                <w:szCs w:val="18"/>
              </w:rPr>
              <w:fldChar w:fldCharType="begin">
                <w:ffData>
                  <w:name w:val=""/>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Optometrists   </w:t>
            </w:r>
            <w:r w:rsidRPr="00DC0C1D">
              <w:rPr>
                <w:rFonts w:ascii="Arial Narrow" w:hAnsi="Arial Narrow"/>
                <w:sz w:val="18"/>
                <w:szCs w:val="18"/>
              </w:rPr>
              <w:fldChar w:fldCharType="begin">
                <w:ffData>
                  <w:name w:val="Check5"/>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Midwives</w:t>
            </w:r>
          </w:p>
        </w:tc>
      </w:tr>
      <w:tr w:rsidR="00631108" w:rsidRPr="00FB4582" w:rsidTr="00591A35">
        <w:tc>
          <w:tcPr>
            <w:tcW w:w="548" w:type="pct"/>
          </w:tcPr>
          <w:p w:rsidR="00631108" w:rsidRPr="00DC0C1D" w:rsidRDefault="00631108" w:rsidP="00591A35">
            <w:pPr>
              <w:jc w:val="center"/>
              <w:rPr>
                <w:rFonts w:ascii="Arial Narrow" w:hAnsi="Arial Narrow"/>
                <w:strike/>
                <w:sz w:val="18"/>
                <w:szCs w:val="18"/>
              </w:rPr>
            </w:pPr>
          </w:p>
        </w:tc>
        <w:tc>
          <w:tcPr>
            <w:tcW w:w="4452" w:type="pct"/>
          </w:tcPr>
          <w:p w:rsidR="00631108" w:rsidRPr="00DC0C1D" w:rsidRDefault="00631108" w:rsidP="00591A35">
            <w:pPr>
              <w:rPr>
                <w:rFonts w:ascii="Arial Narrow" w:hAnsi="Arial Narrow"/>
                <w:b/>
                <w:sz w:val="18"/>
                <w:szCs w:val="18"/>
              </w:rPr>
            </w:pPr>
            <w:r w:rsidRPr="00DC0C1D">
              <w:rPr>
                <w:rFonts w:ascii="Arial Narrow" w:hAnsi="Arial Narrow"/>
                <w:b/>
                <w:sz w:val="18"/>
                <w:szCs w:val="18"/>
              </w:rPr>
              <w:t>Restriction Level / Method:</w:t>
            </w:r>
          </w:p>
          <w:p w:rsidR="00631108" w:rsidRPr="00DC0C1D" w:rsidRDefault="00631108" w:rsidP="00591A35">
            <w:pPr>
              <w:rPr>
                <w:rFonts w:ascii="Arial Narrow" w:hAnsi="Arial Narrow"/>
                <w:sz w:val="18"/>
                <w:szCs w:val="18"/>
              </w:rPr>
            </w:pP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Authority Required </w:t>
            </w:r>
            <w:r>
              <w:rPr>
                <w:rFonts w:ascii="Arial Narrow" w:hAnsi="Arial Narrow"/>
                <w:sz w:val="18"/>
                <w:szCs w:val="18"/>
              </w:rPr>
              <w:t>–</w:t>
            </w:r>
            <w:r w:rsidRPr="00DC0C1D">
              <w:rPr>
                <w:rFonts w:ascii="Arial Narrow" w:hAnsi="Arial Narrow"/>
                <w:sz w:val="18"/>
                <w:szCs w:val="18"/>
              </w:rPr>
              <w:t xml:space="preserve"> </w:t>
            </w:r>
            <w:r>
              <w:rPr>
                <w:rFonts w:ascii="Arial Narrow" w:hAnsi="Arial Narrow"/>
                <w:sz w:val="18"/>
                <w:szCs w:val="18"/>
              </w:rPr>
              <w:t>In writing</w:t>
            </w:r>
          </w:p>
        </w:tc>
      </w:tr>
      <w:tr w:rsidR="00631108" w:rsidRPr="00FB4582" w:rsidTr="00591A35">
        <w:tc>
          <w:tcPr>
            <w:tcW w:w="548" w:type="pct"/>
            <w:vAlign w:val="center"/>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4452" w:type="pct"/>
            <w:vAlign w:val="center"/>
          </w:tcPr>
          <w:p w:rsidR="00631108" w:rsidRDefault="00631108" w:rsidP="00591A35">
            <w:pPr>
              <w:rPr>
                <w:rFonts w:ascii="Arial Narrow" w:hAnsi="Arial Narrow"/>
                <w:b/>
                <w:bCs/>
                <w:sz w:val="18"/>
                <w:szCs w:val="18"/>
              </w:rPr>
            </w:pPr>
            <w:r w:rsidRPr="00612D15">
              <w:rPr>
                <w:rFonts w:ascii="Arial Narrow" w:hAnsi="Arial Narrow"/>
                <w:b/>
                <w:bCs/>
                <w:sz w:val="18"/>
                <w:szCs w:val="18"/>
              </w:rPr>
              <w:t>Administrative advice:</w:t>
            </w:r>
          </w:p>
          <w:p w:rsidR="00631108" w:rsidRPr="00612D15" w:rsidRDefault="00631108" w:rsidP="00591A35">
            <w:pPr>
              <w:rPr>
                <w:rFonts w:ascii="Arial Narrow" w:hAnsi="Arial Narrow"/>
                <w:b/>
                <w:bCs/>
                <w:sz w:val="18"/>
                <w:szCs w:val="18"/>
              </w:rPr>
            </w:pPr>
            <w:r w:rsidRPr="00A2207C">
              <w:rPr>
                <w:rFonts w:ascii="Arial Narrow" w:hAnsi="Arial Narrow"/>
                <w:b/>
                <w:bCs/>
                <w:sz w:val="18"/>
                <w:szCs w:val="18"/>
              </w:rPr>
              <w:t>TREATMENT OF ADULT PATIENTS WITH NON-RADIOGRAPHIC ANKYLOSING SPONDYLITIS</w:t>
            </w:r>
          </w:p>
          <w:p w:rsidR="00631108" w:rsidRPr="00612D15" w:rsidRDefault="00631108" w:rsidP="00591A35">
            <w:pPr>
              <w:rPr>
                <w:rFonts w:ascii="Arial Narrow" w:hAnsi="Arial Narrow"/>
                <w:bCs/>
                <w:i/>
                <w:sz w:val="18"/>
                <w:szCs w:val="18"/>
              </w:rPr>
            </w:pPr>
            <w:r w:rsidRPr="00976448">
              <w:rPr>
                <w:rFonts w:ascii="Arial Narrow" w:hAnsi="Arial Narrow"/>
                <w:bCs/>
                <w:i/>
                <w:sz w:val="18"/>
                <w:szCs w:val="18"/>
              </w:rPr>
              <w:t>See end of restrictions for full explanatory note</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22964</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Indication:</w:t>
            </w:r>
            <w:r>
              <w:rPr>
                <w:rFonts w:ascii="Arial Narrow" w:hAnsi="Arial Narrow"/>
                <w:b/>
                <w:bCs/>
                <w:color w:val="333333"/>
                <w:sz w:val="18"/>
                <w:szCs w:val="18"/>
                <w:lang w:eastAsia="en-AU"/>
              </w:rPr>
              <w:t xml:space="preserve"> </w:t>
            </w:r>
            <w:r w:rsidRPr="00FB4582">
              <w:rPr>
                <w:rFonts w:ascii="Arial Narrow" w:hAnsi="Arial Narrow"/>
                <w:color w:val="333333"/>
                <w:sz w:val="18"/>
                <w:szCs w:val="18"/>
                <w:lang w:eastAsia="en-AU"/>
              </w:rPr>
              <w:t xml:space="preserve">Non-radiographic axial </w:t>
            </w:r>
            <w:proofErr w:type="spellStart"/>
            <w:r w:rsidRPr="00FB4582">
              <w:rPr>
                <w:rFonts w:ascii="Arial Narrow" w:hAnsi="Arial Narrow"/>
                <w:color w:val="333333"/>
                <w:sz w:val="18"/>
                <w:szCs w:val="18"/>
                <w:lang w:eastAsia="en-AU"/>
              </w:rPr>
              <w:t>spondyloarthritis</w:t>
            </w:r>
            <w:proofErr w:type="spellEnd"/>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Treatment Phase:</w:t>
            </w:r>
            <w:r>
              <w:rPr>
                <w:rFonts w:ascii="Arial Narrow" w:hAnsi="Arial Narrow"/>
                <w:color w:val="333333"/>
                <w:sz w:val="18"/>
                <w:szCs w:val="18"/>
                <w:lang w:eastAsia="en-AU"/>
              </w:rPr>
              <w:t xml:space="preserve"> </w:t>
            </w:r>
            <w:r w:rsidRPr="00FB4582">
              <w:rPr>
                <w:rFonts w:ascii="Arial Narrow" w:hAnsi="Arial Narrow"/>
                <w:color w:val="333333"/>
                <w:sz w:val="18"/>
                <w:szCs w:val="18"/>
                <w:lang w:eastAsia="en-AU"/>
              </w:rPr>
              <w:t>Initial treatment 2 (</w:t>
            </w:r>
            <w:r>
              <w:rPr>
                <w:rFonts w:ascii="Arial Narrow" w:hAnsi="Arial Narrow"/>
                <w:color w:val="333333"/>
                <w:sz w:val="18"/>
                <w:szCs w:val="18"/>
                <w:lang w:eastAsia="en-AU"/>
              </w:rPr>
              <w:t>Change or r</w:t>
            </w:r>
            <w:r w:rsidRPr="00FB4582">
              <w:rPr>
                <w:rFonts w:ascii="Arial Narrow" w:hAnsi="Arial Narrow"/>
                <w:color w:val="333333"/>
                <w:sz w:val="18"/>
                <w:szCs w:val="18"/>
                <w:lang w:eastAsia="en-AU"/>
              </w:rPr>
              <w:t>e-commencement of treatment after a break of less than 5 years)</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AND</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22219</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Clinical criteria:</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22218</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456BDE">
              <w:rPr>
                <w:rFonts w:ascii="Arial Narrow" w:hAnsi="Arial Narrow"/>
                <w:color w:val="333333"/>
                <w:sz w:val="18"/>
                <w:szCs w:val="18"/>
                <w:lang w:eastAsia="en-AU"/>
              </w:rPr>
              <w:t>Patient must have received prior PBS-subsidised treatment with a biological medicine for this co</w:t>
            </w:r>
            <w:r>
              <w:rPr>
                <w:rFonts w:ascii="Arial Narrow" w:hAnsi="Arial Narrow"/>
                <w:color w:val="333333"/>
                <w:sz w:val="18"/>
                <w:szCs w:val="18"/>
                <w:lang w:eastAsia="en-AU"/>
              </w:rPr>
              <w:t>ndition in this treatment cycle</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AND</w:t>
            </w:r>
          </w:p>
        </w:tc>
      </w:tr>
      <w:tr w:rsidR="00631108" w:rsidRPr="00FB4582" w:rsidTr="00591A35">
        <w:tc>
          <w:tcPr>
            <w:tcW w:w="548" w:type="pct"/>
            <w:vAlign w:val="center"/>
          </w:tcPr>
          <w:p w:rsidR="00631108" w:rsidRPr="00FB4582" w:rsidRDefault="00631108" w:rsidP="00591A35">
            <w:pPr>
              <w:jc w:val="center"/>
              <w:rPr>
                <w:rFonts w:ascii="Arial Narrow" w:hAnsi="Arial Narrow"/>
                <w:color w:val="333333"/>
                <w:sz w:val="18"/>
                <w:szCs w:val="18"/>
                <w:lang w:eastAsia="en-AU"/>
              </w:rPr>
            </w:pPr>
            <w:r w:rsidRPr="00456BDE">
              <w:rPr>
                <w:rFonts w:ascii="Arial Narrow" w:hAnsi="Arial Narrow"/>
                <w:color w:val="333333"/>
                <w:sz w:val="18"/>
                <w:szCs w:val="18"/>
                <w:lang w:eastAsia="en-AU"/>
              </w:rPr>
              <w:t>24295</w:t>
            </w:r>
          </w:p>
        </w:tc>
        <w:tc>
          <w:tcPr>
            <w:tcW w:w="4452" w:type="pct"/>
            <w:vAlign w:val="center"/>
          </w:tcPr>
          <w:p w:rsidR="00631108" w:rsidRPr="00FB4582" w:rsidRDefault="00631108" w:rsidP="00591A35">
            <w:pPr>
              <w:rPr>
                <w:rFonts w:ascii="Arial Narrow" w:hAnsi="Arial Narrow"/>
                <w:b/>
                <w:bCs/>
                <w:color w:val="333333"/>
                <w:sz w:val="18"/>
                <w:szCs w:val="18"/>
                <w:lang w:eastAsia="en-AU"/>
              </w:rPr>
            </w:pPr>
            <w:r w:rsidRPr="00456BDE">
              <w:rPr>
                <w:rFonts w:ascii="Arial Narrow" w:hAnsi="Arial Narrow"/>
                <w:b/>
                <w:bCs/>
                <w:color w:val="333333"/>
                <w:sz w:val="18"/>
                <w:szCs w:val="18"/>
                <w:lang w:eastAsia="en-AU"/>
              </w:rPr>
              <w:t>Clinical criteria:</w:t>
            </w:r>
          </w:p>
        </w:tc>
      </w:tr>
      <w:tr w:rsidR="00631108" w:rsidRPr="00FB4582" w:rsidTr="00591A35">
        <w:tc>
          <w:tcPr>
            <w:tcW w:w="548" w:type="pct"/>
            <w:vAlign w:val="center"/>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24296</w:t>
            </w:r>
          </w:p>
        </w:tc>
        <w:tc>
          <w:tcPr>
            <w:tcW w:w="4452" w:type="pct"/>
            <w:vAlign w:val="center"/>
          </w:tcPr>
          <w:p w:rsidR="00631108" w:rsidRPr="00456BDE" w:rsidRDefault="00631108" w:rsidP="00591A35">
            <w:pPr>
              <w:rPr>
                <w:rFonts w:ascii="Arial Narrow" w:hAnsi="Arial Narrow"/>
                <w:bCs/>
                <w:color w:val="333333"/>
                <w:sz w:val="18"/>
                <w:szCs w:val="18"/>
                <w:lang w:eastAsia="en-AU"/>
              </w:rPr>
            </w:pPr>
            <w:r w:rsidRPr="00456BDE">
              <w:rPr>
                <w:rFonts w:ascii="Arial Narrow" w:hAnsi="Arial Narrow"/>
                <w:bCs/>
                <w:color w:val="333333"/>
                <w:sz w:val="18"/>
                <w:szCs w:val="18"/>
                <w:lang w:eastAsia="en-AU"/>
              </w:rPr>
              <w:t>Patient must not have already failed, or ceased to respond to, PBS-subsidised treatment with this drug for this condition during the current treatment cycle.</w:t>
            </w:r>
          </w:p>
        </w:tc>
      </w:tr>
      <w:tr w:rsidR="00631108" w:rsidRPr="00FB4582" w:rsidTr="00591A35">
        <w:tc>
          <w:tcPr>
            <w:tcW w:w="548" w:type="pct"/>
            <w:vAlign w:val="center"/>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tcPr>
          <w:p w:rsidR="00631108" w:rsidRPr="00FB4582" w:rsidRDefault="00631108" w:rsidP="00591A35">
            <w:pPr>
              <w:rPr>
                <w:rFonts w:ascii="Arial Narrow" w:hAnsi="Arial Narrow"/>
                <w:b/>
                <w:bCs/>
                <w:color w:val="333333"/>
                <w:sz w:val="18"/>
                <w:szCs w:val="18"/>
                <w:lang w:eastAsia="en-AU"/>
              </w:rPr>
            </w:pPr>
            <w:r w:rsidRPr="00456BDE">
              <w:rPr>
                <w:rFonts w:ascii="Arial Narrow" w:hAnsi="Arial Narrow"/>
                <w:b/>
                <w:bCs/>
                <w:color w:val="333333"/>
                <w:sz w:val="18"/>
                <w:szCs w:val="18"/>
                <w:lang w:eastAsia="en-AU"/>
              </w:rPr>
              <w:t>AND</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23033</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Clinical criteria:</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23032</w:t>
            </w:r>
          </w:p>
          <w:p w:rsidR="00631108" w:rsidRPr="00D06BBE" w:rsidRDefault="00631108" w:rsidP="00591A35">
            <w:pPr>
              <w:jc w:val="center"/>
              <w:outlineLvl w:val="4"/>
              <w:rPr>
                <w:rFonts w:ascii="Arial Narrow" w:hAnsi="Arial Narrow"/>
                <w:vanish/>
                <w:color w:val="333333"/>
                <w:sz w:val="18"/>
                <w:szCs w:val="18"/>
                <w:lang w:eastAsia="en-AU"/>
              </w:rPr>
            </w:pPr>
            <w:r w:rsidRPr="00D06BBE">
              <w:rPr>
                <w:rFonts w:ascii="Arial Narrow" w:hAnsi="Arial Narrow"/>
                <w:vanish/>
                <w:color w:val="555555"/>
                <w:sz w:val="18"/>
                <w:szCs w:val="18"/>
                <w:lang w:eastAsia="en-AU"/>
              </w:rPr>
              <w:t>Full</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color w:val="333333"/>
                <w:sz w:val="18"/>
                <w:szCs w:val="18"/>
                <w:lang w:eastAsia="en-AU"/>
              </w:rPr>
              <w:t>Patient must not have failed PBS-subsidised treatment with this drug for this condition more than once within the last five years</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AND</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22984</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Clinical criteria:</w:t>
            </w:r>
          </w:p>
        </w:tc>
      </w:tr>
      <w:tr w:rsidR="00631108" w:rsidRPr="00FB4582" w:rsidTr="00591A35">
        <w:trPr>
          <w:hidden/>
        </w:trPr>
        <w:tc>
          <w:tcPr>
            <w:tcW w:w="548" w:type="pct"/>
            <w:vAlign w:val="center"/>
            <w:hideMark/>
          </w:tcPr>
          <w:p w:rsidR="00631108" w:rsidRPr="00660A85" w:rsidRDefault="00631108" w:rsidP="00591A35">
            <w:pPr>
              <w:jc w:val="center"/>
              <w:rPr>
                <w:rFonts w:ascii="Arial Narrow" w:hAnsi="Arial Narrow"/>
                <w:vanish/>
                <w:sz w:val="18"/>
                <w:szCs w:val="18"/>
              </w:rPr>
            </w:pPr>
            <w:r>
              <w:rPr>
                <w:rFonts w:ascii="Arial Narrow" w:hAnsi="Arial Narrow"/>
                <w:vanish/>
                <w:sz w:val="18"/>
                <w:szCs w:val="18"/>
              </w:rPr>
              <w:t>12970</w:t>
            </w:r>
          </w:p>
        </w:tc>
        <w:tc>
          <w:tcPr>
            <w:tcW w:w="4452" w:type="pct"/>
            <w:vAlign w:val="center"/>
          </w:tcPr>
          <w:p w:rsidR="00631108" w:rsidRPr="00660A85" w:rsidRDefault="00631108" w:rsidP="00591A35">
            <w:pPr>
              <w:rPr>
                <w:rFonts w:ascii="Arial Narrow" w:hAnsi="Arial Narrow"/>
                <w:sz w:val="18"/>
                <w:szCs w:val="18"/>
              </w:rPr>
            </w:pPr>
            <w:r>
              <w:rPr>
                <w:rFonts w:ascii="Arial Narrow" w:hAnsi="Arial Narrow"/>
                <w:sz w:val="18"/>
                <w:szCs w:val="18"/>
              </w:rPr>
              <w:t>Patient</w:t>
            </w:r>
            <w:r w:rsidRPr="00660A85">
              <w:rPr>
                <w:rFonts w:ascii="Arial Narrow" w:hAnsi="Arial Narrow"/>
                <w:sz w:val="18"/>
                <w:szCs w:val="18"/>
              </w:rPr>
              <w:t xml:space="preserve"> must not </w:t>
            </w:r>
            <w:r>
              <w:rPr>
                <w:rFonts w:ascii="Arial Narrow" w:hAnsi="Arial Narrow"/>
                <w:sz w:val="18"/>
                <w:szCs w:val="18"/>
              </w:rPr>
              <w:t>receive more than 18 to 20 weeks of treatment, depending on the dosage regimen, under this restriction</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AND</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8384</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Population criteria:</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8383</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color w:val="333333"/>
                <w:sz w:val="18"/>
                <w:szCs w:val="18"/>
                <w:lang w:eastAsia="en-AU"/>
              </w:rPr>
              <w:t>Patient must be aged 18 years or older</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AND</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22985</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Treatment criteria:</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10111</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color w:val="333333"/>
                <w:sz w:val="18"/>
                <w:szCs w:val="18"/>
                <w:lang w:eastAsia="en-AU"/>
              </w:rPr>
              <w:t>Must be treated by a rheumatologist; or</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22986</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color w:val="333333"/>
                <w:sz w:val="18"/>
                <w:szCs w:val="18"/>
                <w:lang w:eastAsia="en-AU"/>
              </w:rPr>
              <w:t xml:space="preserve">Must be treated by a clinical immunologist with expertise in the management of non-radiographic axial </w:t>
            </w:r>
            <w:proofErr w:type="spellStart"/>
            <w:r w:rsidRPr="00FB4582">
              <w:rPr>
                <w:rFonts w:ascii="Arial Narrow" w:hAnsi="Arial Narrow"/>
                <w:color w:val="333333"/>
                <w:sz w:val="18"/>
                <w:szCs w:val="18"/>
                <w:lang w:eastAsia="en-AU"/>
              </w:rPr>
              <w:t>spondyloarthritis</w:t>
            </w:r>
            <w:proofErr w:type="spellEnd"/>
          </w:p>
        </w:tc>
      </w:tr>
      <w:tr w:rsidR="00631108" w:rsidRPr="00FB4582" w:rsidTr="00591A35">
        <w:trPr>
          <w:trHeight w:val="951"/>
        </w:trPr>
        <w:tc>
          <w:tcPr>
            <w:tcW w:w="548" w:type="pct"/>
            <w:vAlign w:val="center"/>
            <w:hideMark/>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23034</w:t>
            </w:r>
          </w:p>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edited</w:t>
            </w:r>
          </w:p>
          <w:p w:rsidR="00631108" w:rsidRPr="00D06BBE" w:rsidRDefault="00631108" w:rsidP="00591A35">
            <w:pPr>
              <w:jc w:val="center"/>
              <w:outlineLvl w:val="4"/>
              <w:rPr>
                <w:rFonts w:ascii="Arial Narrow" w:hAnsi="Arial Narrow"/>
                <w:vanish/>
                <w:color w:val="333333"/>
                <w:sz w:val="18"/>
                <w:szCs w:val="18"/>
                <w:lang w:eastAsia="en-AU"/>
              </w:rPr>
            </w:pPr>
            <w:r w:rsidRPr="00D06BBE">
              <w:rPr>
                <w:rFonts w:ascii="Arial Narrow" w:hAnsi="Arial Narrow"/>
                <w:vanish/>
                <w:color w:val="555555"/>
                <w:sz w:val="18"/>
                <w:szCs w:val="18"/>
                <w:lang w:eastAsia="en-AU"/>
              </w:rPr>
              <w:t>Full</w:t>
            </w:r>
          </w:p>
          <w:p w:rsidR="00631108" w:rsidRPr="00FB4582" w:rsidRDefault="00631108" w:rsidP="00591A35">
            <w:pPr>
              <w:jc w:val="center"/>
              <w:rPr>
                <w:rFonts w:ascii="Arial Narrow" w:hAnsi="Arial Narrow"/>
                <w:vanish/>
                <w:color w:val="333333"/>
                <w:sz w:val="18"/>
                <w:szCs w:val="18"/>
                <w:lang w:eastAsia="en-AU"/>
              </w:rPr>
            </w:pP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Prescribing Instructions:</w:t>
            </w:r>
          </w:p>
          <w:p w:rsidR="00631108" w:rsidRPr="00FB4582" w:rsidRDefault="00631108" w:rsidP="00591A35">
            <w:pPr>
              <w:rPr>
                <w:rFonts w:ascii="Arial Narrow" w:hAnsi="Arial Narrow"/>
                <w:color w:val="333333"/>
                <w:sz w:val="18"/>
                <w:szCs w:val="18"/>
                <w:lang w:eastAsia="en-AU"/>
              </w:rPr>
            </w:pPr>
            <w:r w:rsidRPr="00D06BBE">
              <w:rPr>
                <w:rFonts w:ascii="Arial Narrow" w:hAnsi="Arial Narrow"/>
                <w:color w:val="333333"/>
                <w:sz w:val="18"/>
                <w:szCs w:val="18"/>
                <w:lang w:eastAsia="en-AU"/>
              </w:rPr>
              <w:t>An application for Initial 2 treatment must be accompanied by BASDAI and CRP results of the most recent course of treatment with this drug for this condition within the last 5 years to demonstrate a response to treatment. The results must be conducted following a minimum of 12 weeks of treatment.</w:t>
            </w:r>
          </w:p>
        </w:tc>
      </w:tr>
      <w:tr w:rsidR="00631108" w:rsidRPr="00FB4582" w:rsidTr="00591A35">
        <w:tc>
          <w:tcPr>
            <w:tcW w:w="548" w:type="pct"/>
            <w:vAlign w:val="center"/>
            <w:hideMark/>
          </w:tcPr>
          <w:p w:rsidR="00631108" w:rsidRPr="00976448" w:rsidRDefault="00631108" w:rsidP="00591A35">
            <w:pPr>
              <w:jc w:val="center"/>
              <w:rPr>
                <w:rFonts w:ascii="Arial Narrow" w:hAnsi="Arial Narrow"/>
                <w:color w:val="333333"/>
                <w:sz w:val="18"/>
                <w:szCs w:val="18"/>
                <w:lang w:eastAsia="en-AU"/>
              </w:rPr>
            </w:pPr>
            <w:r w:rsidRPr="00976448">
              <w:rPr>
                <w:rFonts w:ascii="Arial Narrow" w:hAnsi="Arial Narrow"/>
                <w:color w:val="333333"/>
                <w:sz w:val="18"/>
                <w:szCs w:val="18"/>
                <w:lang w:eastAsia="en-AU"/>
              </w:rPr>
              <w:t>23037</w:t>
            </w:r>
          </w:p>
          <w:p w:rsidR="00631108" w:rsidRPr="00D06BBE" w:rsidRDefault="00631108" w:rsidP="00591A35">
            <w:pPr>
              <w:jc w:val="center"/>
              <w:outlineLvl w:val="4"/>
              <w:rPr>
                <w:rFonts w:ascii="Arial Narrow" w:hAnsi="Arial Narrow"/>
                <w:vanish/>
                <w:color w:val="333333"/>
                <w:sz w:val="18"/>
                <w:szCs w:val="18"/>
                <w:lang w:eastAsia="en-AU"/>
              </w:rPr>
            </w:pPr>
            <w:r w:rsidRPr="00D06BBE">
              <w:rPr>
                <w:rFonts w:ascii="Arial Narrow" w:hAnsi="Arial Narrow"/>
                <w:vanish/>
                <w:color w:val="555555"/>
                <w:sz w:val="18"/>
                <w:szCs w:val="18"/>
                <w:lang w:eastAsia="en-AU"/>
              </w:rPr>
              <w:t>Full</w:t>
            </w:r>
          </w:p>
          <w:p w:rsidR="00631108" w:rsidRPr="00FB4582" w:rsidRDefault="00631108" w:rsidP="00591A35">
            <w:pPr>
              <w:jc w:val="center"/>
              <w:rPr>
                <w:rFonts w:ascii="Arial Narrow" w:hAnsi="Arial Narrow"/>
                <w:vanish/>
                <w:color w:val="333333"/>
                <w:sz w:val="18"/>
                <w:szCs w:val="18"/>
                <w:lang w:eastAsia="en-AU"/>
              </w:rPr>
            </w:pPr>
          </w:p>
        </w:tc>
        <w:tc>
          <w:tcPr>
            <w:tcW w:w="4452" w:type="pct"/>
            <w:vAlign w:val="center"/>
            <w:hideMark/>
          </w:tcPr>
          <w:p w:rsidR="00631108" w:rsidRPr="00D06BBE" w:rsidRDefault="00631108" w:rsidP="00591A35">
            <w:pPr>
              <w:rPr>
                <w:rFonts w:ascii="Arial Narrow" w:hAnsi="Arial Narrow"/>
                <w:color w:val="333333"/>
                <w:sz w:val="18"/>
                <w:szCs w:val="18"/>
                <w:lang w:eastAsia="en-AU"/>
              </w:rPr>
            </w:pPr>
            <w:r w:rsidRPr="00D06BBE">
              <w:rPr>
                <w:rFonts w:ascii="Arial Narrow" w:hAnsi="Arial Narrow"/>
                <w:b/>
                <w:bCs/>
                <w:color w:val="333333"/>
                <w:sz w:val="18"/>
                <w:szCs w:val="18"/>
                <w:lang w:eastAsia="en-AU"/>
              </w:rPr>
              <w:t>Prescribing Instructions:</w:t>
            </w:r>
          </w:p>
          <w:p w:rsidR="00631108" w:rsidRPr="00D06BBE" w:rsidRDefault="00631108" w:rsidP="00591A35">
            <w:pPr>
              <w:rPr>
                <w:rFonts w:ascii="Arial Narrow" w:hAnsi="Arial Narrow"/>
                <w:color w:val="333333"/>
                <w:sz w:val="18"/>
                <w:szCs w:val="18"/>
                <w:lang w:eastAsia="en-AU"/>
              </w:rPr>
            </w:pPr>
            <w:r w:rsidRPr="00D06BBE">
              <w:rPr>
                <w:rFonts w:ascii="Arial Narrow" w:hAnsi="Arial Narrow"/>
                <w:color w:val="333333"/>
                <w:sz w:val="18"/>
                <w:szCs w:val="18"/>
                <w:lang w:eastAsia="en-AU"/>
              </w:rPr>
              <w:t>The authority application must be made in writing and must include:</w:t>
            </w:r>
          </w:p>
          <w:p w:rsidR="00631108" w:rsidRPr="00D06BBE" w:rsidRDefault="00631108" w:rsidP="00591A35">
            <w:pPr>
              <w:rPr>
                <w:rFonts w:ascii="Arial Narrow" w:hAnsi="Arial Narrow"/>
                <w:color w:val="333333"/>
                <w:sz w:val="18"/>
                <w:szCs w:val="18"/>
                <w:lang w:eastAsia="en-AU"/>
              </w:rPr>
            </w:pPr>
            <w:r w:rsidRPr="00D06BBE">
              <w:rPr>
                <w:rFonts w:ascii="Arial Narrow" w:hAnsi="Arial Narrow"/>
                <w:color w:val="333333"/>
                <w:sz w:val="18"/>
                <w:szCs w:val="18"/>
                <w:lang w:eastAsia="en-AU"/>
              </w:rPr>
              <w:t>(a) a completed authority prescription form; and</w:t>
            </w:r>
          </w:p>
          <w:p w:rsidR="00631108" w:rsidRPr="00D06BBE" w:rsidRDefault="00631108" w:rsidP="00591A35">
            <w:pPr>
              <w:rPr>
                <w:rFonts w:ascii="Arial Narrow" w:hAnsi="Arial Narrow"/>
                <w:color w:val="333333"/>
                <w:sz w:val="18"/>
                <w:szCs w:val="18"/>
                <w:lang w:eastAsia="en-AU"/>
              </w:rPr>
            </w:pPr>
            <w:r w:rsidRPr="00D06BBE">
              <w:rPr>
                <w:rFonts w:ascii="Arial Narrow" w:hAnsi="Arial Narrow"/>
                <w:color w:val="333333"/>
                <w:sz w:val="18"/>
                <w:szCs w:val="18"/>
                <w:lang w:eastAsia="en-AU"/>
              </w:rPr>
              <w:lastRenderedPageBreak/>
              <w:t xml:space="preserve">(b) a completed Non-radiographic axial </w:t>
            </w:r>
            <w:proofErr w:type="spellStart"/>
            <w:r w:rsidRPr="00D06BBE">
              <w:rPr>
                <w:rFonts w:ascii="Arial Narrow" w:hAnsi="Arial Narrow"/>
                <w:color w:val="333333"/>
                <w:sz w:val="18"/>
                <w:szCs w:val="18"/>
                <w:lang w:eastAsia="en-AU"/>
              </w:rPr>
              <w:t>spondyloarthritis</w:t>
            </w:r>
            <w:proofErr w:type="spellEnd"/>
            <w:r w:rsidRPr="00D06BBE">
              <w:rPr>
                <w:rFonts w:ascii="Arial Narrow" w:hAnsi="Arial Narrow"/>
                <w:color w:val="333333"/>
                <w:sz w:val="18"/>
                <w:szCs w:val="18"/>
                <w:lang w:eastAsia="en-AU"/>
              </w:rPr>
              <w:t xml:space="preserve"> PBS Authority Application - Supporting Information Form including:</w:t>
            </w:r>
          </w:p>
          <w:p w:rsidR="00657498" w:rsidRDefault="00631108" w:rsidP="00657498">
            <w:pPr>
              <w:widowControl/>
              <w:numPr>
                <w:ilvl w:val="0"/>
                <w:numId w:val="50"/>
              </w:numPr>
              <w:jc w:val="left"/>
              <w:rPr>
                <w:rFonts w:ascii="Arial Narrow" w:hAnsi="Arial Narrow"/>
                <w:color w:val="333333"/>
                <w:sz w:val="18"/>
                <w:szCs w:val="18"/>
                <w:lang w:eastAsia="en-AU"/>
              </w:rPr>
            </w:pPr>
            <w:r w:rsidRPr="00D06BBE">
              <w:rPr>
                <w:rFonts w:ascii="Arial Narrow" w:hAnsi="Arial Narrow"/>
                <w:color w:val="333333"/>
                <w:sz w:val="18"/>
                <w:szCs w:val="18"/>
                <w:lang w:eastAsia="en-AU"/>
              </w:rPr>
              <w:t>a completed BASDAI Assessment Form; and</w:t>
            </w:r>
          </w:p>
          <w:p w:rsidR="00631108" w:rsidRPr="00FB4582" w:rsidRDefault="00631108" w:rsidP="00657498">
            <w:pPr>
              <w:widowControl/>
              <w:numPr>
                <w:ilvl w:val="0"/>
                <w:numId w:val="50"/>
              </w:numPr>
              <w:jc w:val="left"/>
              <w:rPr>
                <w:rFonts w:ascii="Arial Narrow" w:hAnsi="Arial Narrow"/>
                <w:color w:val="333333"/>
                <w:sz w:val="18"/>
                <w:szCs w:val="18"/>
                <w:lang w:eastAsia="en-AU"/>
              </w:rPr>
            </w:pPr>
            <w:r w:rsidRPr="00D06BBE">
              <w:rPr>
                <w:rFonts w:ascii="Arial Narrow" w:hAnsi="Arial Narrow"/>
                <w:color w:val="333333"/>
                <w:sz w:val="18"/>
                <w:szCs w:val="18"/>
                <w:lang w:eastAsia="en-AU"/>
              </w:rPr>
              <w:t>a copy of C-reactive protein (CRP) test result</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lastRenderedPageBreak/>
              <w:t>7606</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FB4582">
              <w:rPr>
                <w:rFonts w:ascii="Arial Narrow" w:hAnsi="Arial Narrow"/>
                <w:color w:val="333333"/>
                <w:sz w:val="18"/>
                <w:szCs w:val="18"/>
                <w:lang w:eastAsia="en-AU"/>
              </w:rPr>
              <w:t>No increase in the maximum quantity or number of units may be authorised.</w:t>
            </w:r>
          </w:p>
        </w:tc>
      </w:tr>
      <w:tr w:rsidR="00631108" w:rsidRPr="00FB4582" w:rsidTr="00591A35">
        <w:tc>
          <w:tcPr>
            <w:tcW w:w="548" w:type="pct"/>
            <w:vAlign w:val="center"/>
            <w:hideMark/>
          </w:tcPr>
          <w:p w:rsidR="00631108" w:rsidRPr="00FB458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7607</w:t>
            </w:r>
          </w:p>
        </w:tc>
        <w:tc>
          <w:tcPr>
            <w:tcW w:w="4452" w:type="pct"/>
            <w:vAlign w:val="center"/>
            <w:hideMark/>
          </w:tcPr>
          <w:p w:rsidR="00631108" w:rsidRPr="00FB4582" w:rsidRDefault="00631108" w:rsidP="00591A35">
            <w:pPr>
              <w:rPr>
                <w:rFonts w:ascii="Arial Narrow" w:hAnsi="Arial Narrow"/>
                <w:color w:val="333333"/>
                <w:sz w:val="18"/>
                <w:szCs w:val="18"/>
                <w:lang w:eastAsia="en-AU"/>
              </w:rPr>
            </w:pPr>
            <w:r w:rsidRPr="00FB4582">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FB4582">
              <w:rPr>
                <w:rFonts w:ascii="Arial Narrow" w:hAnsi="Arial Narrow"/>
                <w:color w:val="333333"/>
                <w:sz w:val="18"/>
                <w:szCs w:val="18"/>
                <w:lang w:eastAsia="en-AU"/>
              </w:rPr>
              <w:t>No increase in the maximum number of repeats may be authorised.</w:t>
            </w:r>
          </w:p>
        </w:tc>
      </w:tr>
      <w:tr w:rsidR="00631108" w:rsidRPr="00FB4582"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7753</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CAR</w:t>
            </w:r>
          </w:p>
        </w:tc>
        <w:tc>
          <w:tcPr>
            <w:tcW w:w="4452" w:type="pct"/>
            <w:vAlign w:val="center"/>
          </w:tcPr>
          <w:p w:rsidR="00631108" w:rsidRPr="003A4DB8" w:rsidRDefault="00631108" w:rsidP="00591A35">
            <w:pPr>
              <w:rPr>
                <w:rFonts w:ascii="Arial Narrow" w:hAnsi="Arial Narrow"/>
                <w:b/>
                <w:bCs/>
                <w:color w:val="333333"/>
                <w:sz w:val="18"/>
                <w:szCs w:val="18"/>
                <w:lang w:eastAsia="en-AU"/>
              </w:rPr>
            </w:pPr>
            <w:r w:rsidRPr="003A4DB8">
              <w:rPr>
                <w:rFonts w:ascii="Arial Narrow" w:hAnsi="Arial Narrow"/>
                <w:b/>
                <w:bCs/>
                <w:color w:val="333333"/>
                <w:sz w:val="18"/>
                <w:szCs w:val="18"/>
                <w:lang w:eastAsia="en-AU"/>
              </w:rPr>
              <w:t>Administrative Advice:</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Any queries concerning the arrangements to prescribe may be directed to the Department of Human Services on 1800 700 270 (hours of operation 8 a.m. to 5 p.m. EST Monday to Friday). </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Prescribing information (including Authority Application forms and other relevant documentation as applicable) is available on the Department of Human Services website at www.humanservices.gov.au</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Applications for authority to prescribe should be forwarded to: </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Department of Human Services</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Complex Drugs </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Reply Paid 9826 </w:t>
            </w:r>
          </w:p>
          <w:p w:rsidR="00631108" w:rsidRPr="00FB4582" w:rsidRDefault="00631108" w:rsidP="00591A35">
            <w:pPr>
              <w:rPr>
                <w:rFonts w:ascii="Arial Narrow" w:hAnsi="Arial Narrow"/>
                <w:b/>
                <w:bCs/>
                <w:color w:val="333333"/>
                <w:sz w:val="18"/>
                <w:szCs w:val="18"/>
                <w:lang w:eastAsia="en-AU"/>
              </w:rPr>
            </w:pPr>
            <w:r w:rsidRPr="003A4DB8">
              <w:rPr>
                <w:rFonts w:ascii="Arial Narrow" w:hAnsi="Arial Narrow"/>
                <w:bCs/>
                <w:color w:val="333333"/>
                <w:sz w:val="18"/>
                <w:szCs w:val="18"/>
                <w:lang w:eastAsia="en-AU"/>
              </w:rPr>
              <w:t>HOBART TAS 7001</w:t>
            </w:r>
          </w:p>
        </w:tc>
      </w:tr>
    </w:tbl>
    <w:p w:rsidR="00631108" w:rsidRDefault="00631108" w:rsidP="00631108"/>
    <w:p w:rsidR="00631108" w:rsidRPr="00331670" w:rsidRDefault="00631108" w:rsidP="00631108">
      <w:pPr>
        <w:rPr>
          <w:rFonts w:ascii="Arial Narrow" w:hAnsi="Arial Narrow"/>
          <w:b/>
          <w:sz w:val="18"/>
          <w:szCs w:val="18"/>
          <w:lang w:val="en-GB"/>
        </w:rPr>
      </w:pPr>
      <w:r>
        <w:rPr>
          <w:rFonts w:ascii="Arial Narrow" w:hAnsi="Arial Narrow"/>
          <w:b/>
          <w:sz w:val="18"/>
          <w:szCs w:val="18"/>
          <w:lang w:val="en-GB"/>
        </w:rPr>
        <w:t xml:space="preserve">Initial treatment 3 </w:t>
      </w:r>
      <w:r w:rsidRPr="00331670">
        <w:rPr>
          <w:rFonts w:ascii="Arial Narrow" w:hAnsi="Arial Narrow"/>
          <w:b/>
          <w:sz w:val="18"/>
          <w:szCs w:val="18"/>
          <w:lang w:val="en-GB"/>
        </w:rPr>
        <w:t xml:space="preserve">Restriction Summary [NEW] / </w:t>
      </w:r>
      <w:proofErr w:type="spellStart"/>
      <w:r w:rsidRPr="00331670">
        <w:rPr>
          <w:rFonts w:ascii="Arial Narrow" w:hAnsi="Arial Narrow"/>
          <w:b/>
          <w:sz w:val="18"/>
          <w:szCs w:val="18"/>
          <w:lang w:val="en-GB"/>
        </w:rPr>
        <w:t>ToC</w:t>
      </w:r>
      <w:proofErr w:type="spellEnd"/>
      <w:r w:rsidRPr="00331670">
        <w:rPr>
          <w:rFonts w:ascii="Arial Narrow" w:hAnsi="Arial Narrow"/>
          <w:b/>
          <w:sz w:val="18"/>
          <w:szCs w:val="18"/>
          <w:lang w:val="en-GB"/>
        </w:rPr>
        <w:t>: [NEW]</w:t>
      </w:r>
    </w:p>
    <w:p w:rsidR="00631108" w:rsidRPr="00972088" w:rsidRDefault="00631108" w:rsidP="00631108">
      <w:pPr>
        <w:rPr>
          <w:rFonts w:ascii="Arial Narrow" w:hAnsi="Arial Narrow"/>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631108" w:rsidRPr="00660A85" w:rsidTr="00591A35">
        <w:tc>
          <w:tcPr>
            <w:tcW w:w="548" w:type="pct"/>
          </w:tcPr>
          <w:p w:rsidR="00631108" w:rsidRPr="00CA5F03" w:rsidRDefault="00631108" w:rsidP="00591A35">
            <w:pPr>
              <w:pStyle w:val="TableLeft"/>
              <w:jc w:val="center"/>
              <w:rPr>
                <w:rFonts w:ascii="Arial Narrow" w:hAnsi="Arial Narrow" w:cs="Arial"/>
                <w:b/>
                <w:szCs w:val="18"/>
              </w:rPr>
            </w:pPr>
            <w:r w:rsidRPr="00CA5F03">
              <w:rPr>
                <w:rFonts w:ascii="Arial Narrow" w:hAnsi="Arial Narrow" w:cs="Arial"/>
                <w:b/>
                <w:szCs w:val="18"/>
              </w:rPr>
              <w:t>Concept ID</w:t>
            </w:r>
          </w:p>
        </w:tc>
        <w:tc>
          <w:tcPr>
            <w:tcW w:w="4452" w:type="pct"/>
          </w:tcPr>
          <w:p w:rsidR="00631108" w:rsidRPr="00DC0C1D" w:rsidRDefault="00631108" w:rsidP="00591A35">
            <w:pPr>
              <w:pStyle w:val="TableLeft"/>
              <w:rPr>
                <w:rFonts w:ascii="Arial Narrow" w:hAnsi="Arial Narrow"/>
                <w:szCs w:val="18"/>
              </w:rPr>
            </w:pPr>
            <w:r w:rsidRPr="00DC0C1D">
              <w:rPr>
                <w:rFonts w:ascii="Arial Narrow" w:hAnsi="Arial Narrow"/>
                <w:b/>
                <w:szCs w:val="18"/>
              </w:rPr>
              <w:t>Category / Program:</w:t>
            </w:r>
            <w:r w:rsidRPr="00DC0C1D">
              <w:rPr>
                <w:rFonts w:ascii="Arial Narrow" w:hAnsi="Arial Narrow"/>
                <w:szCs w:val="18"/>
              </w:rPr>
              <w:t xml:space="preserve"> General Schedule (Code GE)</w:t>
            </w:r>
          </w:p>
        </w:tc>
      </w:tr>
      <w:tr w:rsidR="00631108" w:rsidRPr="00660A85" w:rsidTr="00591A35">
        <w:trPr>
          <w:trHeight w:val="288"/>
        </w:trPr>
        <w:tc>
          <w:tcPr>
            <w:tcW w:w="548" w:type="pct"/>
          </w:tcPr>
          <w:p w:rsidR="00631108" w:rsidRPr="00DC0C1D" w:rsidRDefault="00631108" w:rsidP="00591A35">
            <w:pPr>
              <w:pStyle w:val="TableLeft"/>
              <w:jc w:val="center"/>
              <w:rPr>
                <w:rFonts w:ascii="Arial Narrow" w:hAnsi="Arial Narrow"/>
                <w:szCs w:val="18"/>
              </w:rPr>
            </w:pPr>
          </w:p>
        </w:tc>
        <w:tc>
          <w:tcPr>
            <w:tcW w:w="4452" w:type="pct"/>
          </w:tcPr>
          <w:p w:rsidR="00631108" w:rsidRPr="00DC0C1D" w:rsidRDefault="00631108" w:rsidP="00657498">
            <w:pPr>
              <w:rPr>
                <w:rFonts w:ascii="Arial Narrow" w:hAnsi="Arial Narrow"/>
                <w:sz w:val="18"/>
                <w:szCs w:val="18"/>
              </w:rPr>
            </w:pPr>
            <w:r w:rsidRPr="00DC0C1D">
              <w:rPr>
                <w:rFonts w:ascii="Arial Narrow" w:hAnsi="Arial Narrow"/>
                <w:b/>
                <w:sz w:val="18"/>
                <w:szCs w:val="18"/>
              </w:rPr>
              <w:t xml:space="preserve">Prescriber </w:t>
            </w:r>
            <w:proofErr w:type="spellStart"/>
            <w:r w:rsidRPr="00DC0C1D">
              <w:rPr>
                <w:rFonts w:ascii="Arial Narrow" w:hAnsi="Arial Narrow"/>
                <w:b/>
                <w:sz w:val="18"/>
                <w:szCs w:val="18"/>
              </w:rPr>
              <w:t>type:</w:t>
            </w:r>
            <w:r w:rsidRPr="00DC0C1D">
              <w:rPr>
                <w:rFonts w:ascii="Arial Narrow" w:hAnsi="Arial Narrow"/>
                <w:sz w:val="18"/>
                <w:szCs w:val="18"/>
              </w:rPr>
              <w:fldChar w:fldCharType="begin">
                <w:ffData>
                  <w:name w:val="Check1"/>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Dental</w:t>
            </w:r>
            <w:proofErr w:type="spellEnd"/>
            <w:r w:rsidRPr="00DC0C1D">
              <w:rPr>
                <w:rFonts w:ascii="Arial Narrow" w:hAnsi="Arial Narrow"/>
                <w:sz w:val="18"/>
                <w:szCs w:val="18"/>
              </w:rPr>
              <w:t xml:space="preserve">  </w:t>
            </w:r>
            <w:r>
              <w:rPr>
                <w:rFonts w:ascii="Arial Narrow" w:hAnsi="Arial Narrow"/>
                <w:sz w:val="18"/>
                <w:szCs w:val="18"/>
              </w:rPr>
              <w:t xml:space="preserve"> </w:t>
            </w: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Medical Practitioners </w:t>
            </w:r>
            <w:r w:rsidRPr="00DC0C1D">
              <w:rPr>
                <w:rFonts w:ascii="Arial Narrow" w:hAnsi="Arial Narrow"/>
                <w:sz w:val="18"/>
                <w:szCs w:val="18"/>
              </w:rPr>
              <w:fldChar w:fldCharType="begin">
                <w:ffData>
                  <w:name w:val="Check3"/>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Nurse practitioners  </w:t>
            </w:r>
            <w:r w:rsidRPr="00DC0C1D">
              <w:rPr>
                <w:rFonts w:ascii="Arial Narrow" w:hAnsi="Arial Narrow"/>
                <w:sz w:val="18"/>
                <w:szCs w:val="18"/>
              </w:rPr>
              <w:fldChar w:fldCharType="begin">
                <w:ffData>
                  <w:name w:val=""/>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Optometrists   </w:t>
            </w:r>
            <w:r w:rsidRPr="00DC0C1D">
              <w:rPr>
                <w:rFonts w:ascii="Arial Narrow" w:hAnsi="Arial Narrow"/>
                <w:sz w:val="18"/>
                <w:szCs w:val="18"/>
              </w:rPr>
              <w:fldChar w:fldCharType="begin">
                <w:ffData>
                  <w:name w:val="Check5"/>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Midwives</w:t>
            </w:r>
          </w:p>
        </w:tc>
      </w:tr>
      <w:tr w:rsidR="00631108" w:rsidRPr="00660A85" w:rsidTr="00591A35">
        <w:trPr>
          <w:trHeight w:val="491"/>
        </w:trPr>
        <w:tc>
          <w:tcPr>
            <w:tcW w:w="548" w:type="pct"/>
          </w:tcPr>
          <w:p w:rsidR="00631108" w:rsidRPr="00DC0C1D" w:rsidRDefault="00631108" w:rsidP="00591A35">
            <w:pPr>
              <w:jc w:val="center"/>
              <w:rPr>
                <w:rFonts w:ascii="Arial Narrow" w:hAnsi="Arial Narrow"/>
                <w:strike/>
                <w:sz w:val="18"/>
                <w:szCs w:val="18"/>
              </w:rPr>
            </w:pPr>
          </w:p>
        </w:tc>
        <w:tc>
          <w:tcPr>
            <w:tcW w:w="4452" w:type="pct"/>
          </w:tcPr>
          <w:p w:rsidR="00631108" w:rsidRPr="00DC0C1D" w:rsidRDefault="00631108" w:rsidP="00591A35">
            <w:pPr>
              <w:rPr>
                <w:rFonts w:ascii="Arial Narrow" w:hAnsi="Arial Narrow"/>
                <w:b/>
                <w:sz w:val="18"/>
                <w:szCs w:val="18"/>
              </w:rPr>
            </w:pPr>
            <w:r w:rsidRPr="00DC0C1D">
              <w:rPr>
                <w:rFonts w:ascii="Arial Narrow" w:hAnsi="Arial Narrow"/>
                <w:b/>
                <w:sz w:val="18"/>
                <w:szCs w:val="18"/>
              </w:rPr>
              <w:t>Restriction Level / Method:</w:t>
            </w:r>
          </w:p>
          <w:p w:rsidR="00631108" w:rsidRPr="00DC0C1D" w:rsidRDefault="00631108" w:rsidP="00591A35">
            <w:pPr>
              <w:rPr>
                <w:rFonts w:ascii="Arial Narrow" w:hAnsi="Arial Narrow"/>
                <w:sz w:val="18"/>
                <w:szCs w:val="18"/>
              </w:rPr>
            </w:pP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Authority Required </w:t>
            </w:r>
            <w:r>
              <w:rPr>
                <w:rFonts w:ascii="Arial Narrow" w:hAnsi="Arial Narrow"/>
                <w:sz w:val="18"/>
                <w:szCs w:val="18"/>
              </w:rPr>
              <w:t>–</w:t>
            </w:r>
            <w:r w:rsidRPr="00DC0C1D">
              <w:rPr>
                <w:rFonts w:ascii="Arial Narrow" w:hAnsi="Arial Narrow"/>
                <w:sz w:val="18"/>
                <w:szCs w:val="18"/>
              </w:rPr>
              <w:t xml:space="preserve"> </w:t>
            </w:r>
            <w:r>
              <w:rPr>
                <w:rFonts w:ascii="Arial Narrow" w:hAnsi="Arial Narrow"/>
                <w:sz w:val="18"/>
                <w:szCs w:val="18"/>
              </w:rPr>
              <w:t>In writing</w:t>
            </w:r>
          </w:p>
        </w:tc>
      </w:tr>
      <w:tr w:rsidR="00631108" w:rsidRPr="00660A85" w:rsidTr="00591A35">
        <w:tc>
          <w:tcPr>
            <w:tcW w:w="548" w:type="pct"/>
            <w:vAlign w:val="center"/>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4452" w:type="pct"/>
            <w:vAlign w:val="center"/>
          </w:tcPr>
          <w:p w:rsidR="00631108" w:rsidRDefault="00631108" w:rsidP="00591A35">
            <w:pPr>
              <w:rPr>
                <w:rFonts w:ascii="Arial Narrow" w:hAnsi="Arial Narrow"/>
                <w:b/>
                <w:bCs/>
                <w:sz w:val="18"/>
                <w:szCs w:val="18"/>
              </w:rPr>
            </w:pPr>
            <w:r w:rsidRPr="00612D15">
              <w:rPr>
                <w:rFonts w:ascii="Arial Narrow" w:hAnsi="Arial Narrow"/>
                <w:b/>
                <w:bCs/>
                <w:sz w:val="18"/>
                <w:szCs w:val="18"/>
              </w:rPr>
              <w:t>Administrative advice:</w:t>
            </w:r>
          </w:p>
          <w:p w:rsidR="00631108" w:rsidRPr="00A2207C" w:rsidRDefault="00631108" w:rsidP="00591A35">
            <w:pPr>
              <w:rPr>
                <w:rFonts w:ascii="Arial Narrow" w:hAnsi="Arial Narrow"/>
                <w:b/>
                <w:bCs/>
                <w:color w:val="333333"/>
                <w:sz w:val="18"/>
                <w:szCs w:val="18"/>
                <w:lang w:eastAsia="en-AU"/>
              </w:rPr>
            </w:pPr>
            <w:r w:rsidRPr="00047BB0">
              <w:rPr>
                <w:rFonts w:ascii="Arial Narrow" w:hAnsi="Arial Narrow"/>
                <w:b/>
                <w:bCs/>
                <w:color w:val="333333"/>
                <w:sz w:val="18"/>
                <w:szCs w:val="18"/>
                <w:lang w:eastAsia="en-AU"/>
              </w:rPr>
              <w:t>TREATMENT OF ADULT PATIENTS WITH</w:t>
            </w:r>
            <w:r>
              <w:rPr>
                <w:rFonts w:ascii="Arial Narrow" w:hAnsi="Arial Narrow"/>
                <w:b/>
                <w:bCs/>
                <w:color w:val="333333"/>
                <w:sz w:val="18"/>
                <w:szCs w:val="18"/>
                <w:lang w:eastAsia="en-AU"/>
              </w:rPr>
              <w:t xml:space="preserve"> NON-RADIOGRAPHIC</w:t>
            </w:r>
            <w:r w:rsidRPr="00047BB0">
              <w:rPr>
                <w:rFonts w:ascii="Arial Narrow" w:hAnsi="Arial Narrow"/>
                <w:b/>
                <w:bCs/>
                <w:color w:val="333333"/>
                <w:sz w:val="18"/>
                <w:szCs w:val="18"/>
                <w:lang w:eastAsia="en-AU"/>
              </w:rPr>
              <w:t xml:space="preserve"> ANKYLOSING SPONDYLITIS</w:t>
            </w:r>
          </w:p>
          <w:p w:rsidR="00631108" w:rsidRPr="00612D15" w:rsidRDefault="00631108" w:rsidP="00591A35">
            <w:pPr>
              <w:rPr>
                <w:rFonts w:ascii="Arial Narrow" w:hAnsi="Arial Narrow"/>
                <w:bCs/>
                <w:i/>
                <w:sz w:val="18"/>
                <w:szCs w:val="18"/>
              </w:rPr>
            </w:pPr>
            <w:r w:rsidRPr="00FB739F">
              <w:rPr>
                <w:rFonts w:ascii="Arial Narrow" w:hAnsi="Arial Narrow"/>
                <w:bCs/>
                <w:i/>
                <w:sz w:val="18"/>
                <w:szCs w:val="18"/>
              </w:rPr>
              <w:t>See end of restrictions for full explanatory note</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22964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Indication:</w:t>
            </w:r>
            <w:r>
              <w:rPr>
                <w:rFonts w:ascii="Arial Narrow" w:hAnsi="Arial Narrow"/>
                <w:sz w:val="18"/>
                <w:szCs w:val="18"/>
              </w:rPr>
              <w:t xml:space="preserve"> </w:t>
            </w:r>
            <w:r w:rsidRPr="00660A85">
              <w:rPr>
                <w:rFonts w:ascii="Arial Narrow" w:hAnsi="Arial Narrow"/>
                <w:sz w:val="18"/>
                <w:szCs w:val="18"/>
              </w:rPr>
              <w:t xml:space="preserve">Non-radiographic axial </w:t>
            </w:r>
            <w:proofErr w:type="spellStart"/>
            <w:r w:rsidRPr="00660A85">
              <w:rPr>
                <w:rFonts w:ascii="Arial Narrow" w:hAnsi="Arial Narrow"/>
                <w:sz w:val="18"/>
                <w:szCs w:val="18"/>
              </w:rPr>
              <w:t>spondyloarthritis</w:t>
            </w:r>
            <w:proofErr w:type="spellEnd"/>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Treatment Phase:</w:t>
            </w:r>
            <w:r>
              <w:rPr>
                <w:rFonts w:ascii="Arial Narrow" w:hAnsi="Arial Narrow"/>
                <w:sz w:val="18"/>
                <w:szCs w:val="18"/>
              </w:rPr>
              <w:t xml:space="preserve"> </w:t>
            </w:r>
            <w:r w:rsidRPr="008253C4">
              <w:rPr>
                <w:rFonts w:ascii="Arial Narrow" w:hAnsi="Arial Narrow"/>
                <w:sz w:val="18"/>
                <w:szCs w:val="18"/>
              </w:rPr>
              <w:t>Initial treatment - Initial 3 (recommencement of treatment after a break in biological medicine of more than 5 years)</w:t>
            </w:r>
          </w:p>
        </w:tc>
      </w:tr>
      <w:tr w:rsidR="00631108" w:rsidRPr="00660A85" w:rsidTr="00591A35">
        <w:tc>
          <w:tcPr>
            <w:tcW w:w="548" w:type="pct"/>
            <w:vAlign w:val="center"/>
            <w:hideMark/>
          </w:tcPr>
          <w:p w:rsidR="00631108" w:rsidRPr="00DC0C1D" w:rsidRDefault="00631108" w:rsidP="00591A35">
            <w:pPr>
              <w:jc w:val="center"/>
              <w:rPr>
                <w:rFonts w:ascii="Arial Narrow" w:hAnsi="Arial Narrow"/>
                <w:sz w:val="18"/>
                <w:szCs w:val="18"/>
              </w:rPr>
            </w:pPr>
            <w:r>
              <w:rPr>
                <w:rFonts w:ascii="Arial Narrow" w:hAnsi="Arial Narrow"/>
                <w:sz w:val="18"/>
                <w:szCs w:val="18"/>
              </w:rPr>
              <w:t>23588</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DC0C1D" w:rsidRDefault="00631108" w:rsidP="00591A35">
            <w:pPr>
              <w:jc w:val="center"/>
              <w:rPr>
                <w:rFonts w:ascii="Arial Narrow" w:hAnsi="Arial Narrow"/>
                <w:sz w:val="18"/>
                <w:szCs w:val="18"/>
              </w:rPr>
            </w:pPr>
            <w:r>
              <w:rPr>
                <w:rFonts w:ascii="Arial Narrow" w:hAnsi="Arial Narrow"/>
                <w:sz w:val="18"/>
                <w:szCs w:val="18"/>
              </w:rPr>
              <w:t>23589</w:t>
            </w:r>
          </w:p>
        </w:tc>
        <w:tc>
          <w:tcPr>
            <w:tcW w:w="4452" w:type="pct"/>
            <w:vAlign w:val="center"/>
          </w:tcPr>
          <w:p w:rsidR="00631108" w:rsidRPr="00660A85" w:rsidRDefault="00631108" w:rsidP="00591A35">
            <w:pPr>
              <w:rPr>
                <w:rFonts w:ascii="Arial Narrow" w:hAnsi="Arial Narrow"/>
                <w:sz w:val="18"/>
                <w:szCs w:val="18"/>
              </w:rPr>
            </w:pPr>
            <w:r w:rsidRPr="008253C4">
              <w:rPr>
                <w:rFonts w:ascii="Arial Narrow" w:hAnsi="Arial Narrow"/>
                <w:sz w:val="18"/>
                <w:szCs w:val="18"/>
              </w:rPr>
              <w:t>Patient must have received prior PBS-subsidised treatment with a biological medicine for this condition</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DC0C1D" w:rsidRDefault="00631108" w:rsidP="00591A35">
            <w:pPr>
              <w:jc w:val="center"/>
              <w:rPr>
                <w:rFonts w:ascii="Arial Narrow" w:hAnsi="Arial Narrow"/>
                <w:sz w:val="18"/>
                <w:szCs w:val="18"/>
              </w:rPr>
            </w:pPr>
            <w:r>
              <w:rPr>
                <w:rFonts w:ascii="Arial Narrow" w:hAnsi="Arial Narrow"/>
                <w:sz w:val="18"/>
                <w:szCs w:val="18"/>
              </w:rPr>
              <w:t>22968</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22966</w:t>
            </w:r>
          </w:p>
          <w:p w:rsidR="00631108" w:rsidRPr="003A4DB8" w:rsidRDefault="00631108" w:rsidP="00591A35">
            <w:pPr>
              <w:jc w:val="center"/>
              <w:rPr>
                <w:rFonts w:ascii="Arial Narrow" w:hAnsi="Arial Narrow"/>
                <w:vanish/>
                <w:sz w:val="18"/>
                <w:szCs w:val="18"/>
              </w:rPr>
            </w:pPr>
            <w:r w:rsidRPr="003A4DB8">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Patient must have had chronic lower back pain and stiffness for 3 or more months that is relieved by exercise but not rest</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23945</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23944</w:t>
            </w:r>
          </w:p>
        </w:tc>
        <w:tc>
          <w:tcPr>
            <w:tcW w:w="4452" w:type="pct"/>
            <w:vAlign w:val="center"/>
            <w:hideMark/>
          </w:tcPr>
          <w:p w:rsidR="00631108" w:rsidRPr="00660A85" w:rsidRDefault="00631108" w:rsidP="00591A35">
            <w:pPr>
              <w:rPr>
                <w:rFonts w:ascii="Arial Narrow" w:hAnsi="Arial Narrow"/>
                <w:sz w:val="18"/>
                <w:szCs w:val="18"/>
              </w:rPr>
            </w:pPr>
            <w:r w:rsidRPr="008253C4">
              <w:rPr>
                <w:rFonts w:ascii="Arial Narrow" w:hAnsi="Arial Narrow"/>
                <w:sz w:val="18"/>
                <w:szCs w:val="18"/>
              </w:rPr>
              <w:t xml:space="preserve">Patient must have </w:t>
            </w:r>
            <w:r>
              <w:rPr>
                <w:rFonts w:ascii="Arial Narrow" w:hAnsi="Arial Narrow"/>
                <w:sz w:val="18"/>
                <w:szCs w:val="18"/>
              </w:rPr>
              <w:t>(</w:t>
            </w:r>
            <w:r>
              <w:rPr>
                <w:rFonts w:ascii="Arial Narrow" w:hAnsi="Arial Narrow"/>
                <w:i/>
                <w:sz w:val="18"/>
                <w:szCs w:val="18"/>
              </w:rPr>
              <w:t xml:space="preserve">had) </w:t>
            </w:r>
            <w:r w:rsidRPr="008253C4">
              <w:rPr>
                <w:rFonts w:ascii="Arial Narrow" w:hAnsi="Arial Narrow"/>
                <w:sz w:val="18"/>
                <w:szCs w:val="18"/>
              </w:rPr>
              <w:t>a break in treatment of 5 years or more from the most recently approved PBS-subsidised biological medicine for this condition</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22972</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22971</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Patient must have one or more of the following: (a) </w:t>
            </w:r>
            <w:proofErr w:type="spellStart"/>
            <w:r w:rsidRPr="00660A85">
              <w:rPr>
                <w:rFonts w:ascii="Arial Narrow" w:hAnsi="Arial Narrow"/>
                <w:sz w:val="18"/>
                <w:szCs w:val="18"/>
              </w:rPr>
              <w:t>enthesitis</w:t>
            </w:r>
            <w:proofErr w:type="spellEnd"/>
            <w:r w:rsidRPr="00660A85">
              <w:rPr>
                <w:rFonts w:ascii="Arial Narrow" w:hAnsi="Arial Narrow"/>
                <w:sz w:val="18"/>
                <w:szCs w:val="18"/>
              </w:rPr>
              <w:t xml:space="preserve"> (heel); (b) uveitis; (c) </w:t>
            </w:r>
            <w:proofErr w:type="spellStart"/>
            <w:r w:rsidRPr="00660A85">
              <w:rPr>
                <w:rFonts w:ascii="Arial Narrow" w:hAnsi="Arial Narrow"/>
                <w:sz w:val="18"/>
                <w:szCs w:val="18"/>
              </w:rPr>
              <w:t>dactylitis</w:t>
            </w:r>
            <w:proofErr w:type="spellEnd"/>
            <w:r w:rsidRPr="00660A85">
              <w:rPr>
                <w:rFonts w:ascii="Arial Narrow" w:hAnsi="Arial Narrow"/>
                <w:sz w:val="18"/>
                <w:szCs w:val="18"/>
              </w:rPr>
              <w:t>; (d) psoriasis; (e) inflammatory bowel disease; or (f) positive for Human Leukocyte Antigen B27 (HLA-B27)</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22974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22973</w:t>
            </w:r>
          </w:p>
          <w:p w:rsidR="00631108" w:rsidRPr="003A4DB8" w:rsidRDefault="00631108" w:rsidP="00591A35">
            <w:pPr>
              <w:jc w:val="center"/>
              <w:rPr>
                <w:rFonts w:ascii="Arial Narrow" w:hAnsi="Arial Narrow"/>
                <w:vanish/>
                <w:sz w:val="18"/>
                <w:szCs w:val="18"/>
              </w:rPr>
            </w:pPr>
            <w:r w:rsidRPr="003A4DB8">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not be radiographically evidenced on plain x-ray of Grade II bilateral </w:t>
            </w:r>
            <w:proofErr w:type="spellStart"/>
            <w:r w:rsidRPr="00660A85">
              <w:rPr>
                <w:rFonts w:ascii="Arial Narrow" w:hAnsi="Arial Narrow"/>
                <w:sz w:val="18"/>
                <w:szCs w:val="18"/>
              </w:rPr>
              <w:t>sacroiliitis</w:t>
            </w:r>
            <w:proofErr w:type="spellEnd"/>
            <w:r w:rsidRPr="00660A85">
              <w:rPr>
                <w:rFonts w:ascii="Arial Narrow" w:hAnsi="Arial Narrow"/>
                <w:sz w:val="18"/>
                <w:szCs w:val="18"/>
              </w:rPr>
              <w:t xml:space="preserve"> or Grade III or IV unilateral </w:t>
            </w:r>
            <w:proofErr w:type="spellStart"/>
            <w:r w:rsidRPr="00660A85">
              <w:rPr>
                <w:rFonts w:ascii="Arial Narrow" w:hAnsi="Arial Narrow"/>
                <w:sz w:val="18"/>
                <w:szCs w:val="18"/>
              </w:rPr>
              <w:t>sacroiliitis</w:t>
            </w:r>
            <w:proofErr w:type="spellEnd"/>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22976</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22975</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be non-radiographic axial </w:t>
            </w:r>
            <w:proofErr w:type="spellStart"/>
            <w:r w:rsidRPr="00660A85">
              <w:rPr>
                <w:rFonts w:ascii="Arial Narrow" w:hAnsi="Arial Narrow"/>
                <w:sz w:val="18"/>
                <w:szCs w:val="18"/>
              </w:rPr>
              <w:t>spondyloarthritis</w:t>
            </w:r>
            <w:proofErr w:type="spellEnd"/>
            <w:r w:rsidRPr="00660A85">
              <w:rPr>
                <w:rFonts w:ascii="Arial Narrow" w:hAnsi="Arial Narrow"/>
                <w:sz w:val="18"/>
                <w:szCs w:val="18"/>
              </w:rPr>
              <w:t xml:space="preserve">, as defined by Assessment of </w:t>
            </w:r>
            <w:proofErr w:type="spellStart"/>
            <w:r w:rsidRPr="00660A85">
              <w:rPr>
                <w:rFonts w:ascii="Arial Narrow" w:hAnsi="Arial Narrow"/>
                <w:sz w:val="18"/>
                <w:szCs w:val="18"/>
              </w:rPr>
              <w:t>Spondyloarthritis</w:t>
            </w:r>
            <w:proofErr w:type="spellEnd"/>
            <w:r w:rsidRPr="00660A85">
              <w:rPr>
                <w:rFonts w:ascii="Arial Narrow" w:hAnsi="Arial Narrow"/>
                <w:sz w:val="18"/>
                <w:szCs w:val="18"/>
              </w:rPr>
              <w:t xml:space="preserve"> International Society (ASAS)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973E6" w:rsidRDefault="00631108" w:rsidP="00591A35">
            <w:pPr>
              <w:jc w:val="center"/>
              <w:rPr>
                <w:rFonts w:ascii="Arial Narrow" w:hAnsi="Arial Narrow"/>
                <w:sz w:val="18"/>
                <w:szCs w:val="18"/>
              </w:rPr>
            </w:pPr>
            <w:r>
              <w:rPr>
                <w:rFonts w:ascii="Arial Narrow" w:hAnsi="Arial Narrow"/>
                <w:sz w:val="18"/>
                <w:szCs w:val="18"/>
              </w:rPr>
              <w:t>22978</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22977</w:t>
            </w:r>
          </w:p>
          <w:p w:rsidR="00631108" w:rsidRPr="003A4DB8" w:rsidRDefault="00631108" w:rsidP="00591A35">
            <w:pPr>
              <w:jc w:val="center"/>
              <w:rPr>
                <w:rFonts w:ascii="Arial Narrow" w:hAnsi="Arial Narrow"/>
                <w:vanish/>
                <w:sz w:val="18"/>
                <w:szCs w:val="18"/>
              </w:rPr>
            </w:pPr>
            <w:r w:rsidRPr="003A4DB8">
              <w:rPr>
                <w:rFonts w:ascii="Arial Narrow" w:hAnsi="Arial Narrow"/>
                <w:vanish/>
                <w:sz w:val="18"/>
                <w:szCs w:val="18"/>
              </w:rPr>
              <w:lastRenderedPageBreak/>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lastRenderedPageBreak/>
              <w:t xml:space="preserve">The condition must be </w:t>
            </w:r>
            <w:proofErr w:type="spellStart"/>
            <w:r w:rsidRPr="00660A85">
              <w:rPr>
                <w:rFonts w:ascii="Arial Narrow" w:hAnsi="Arial Narrow"/>
                <w:sz w:val="18"/>
                <w:szCs w:val="18"/>
              </w:rPr>
              <w:t>sacroiliitis</w:t>
            </w:r>
            <w:proofErr w:type="spellEnd"/>
            <w:r w:rsidRPr="00660A85">
              <w:rPr>
                <w:rFonts w:ascii="Arial Narrow" w:hAnsi="Arial Narrow"/>
                <w:sz w:val="18"/>
                <w:szCs w:val="18"/>
              </w:rPr>
              <w:t xml:space="preserve"> with active inflammation and/or oedema on non-contrast Magnetic Resonance Imaging </w:t>
            </w:r>
            <w:r w:rsidRPr="00660A85">
              <w:rPr>
                <w:rFonts w:ascii="Arial Narrow" w:hAnsi="Arial Narrow"/>
                <w:sz w:val="18"/>
                <w:szCs w:val="18"/>
              </w:rPr>
              <w:lastRenderedPageBreak/>
              <w:t>(MRI)</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22980</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22979</w:t>
            </w:r>
          </w:p>
          <w:p w:rsidR="00631108" w:rsidRPr="003A4DB8" w:rsidRDefault="00631108" w:rsidP="00591A35">
            <w:pPr>
              <w:jc w:val="center"/>
              <w:rPr>
                <w:rFonts w:ascii="Arial Narrow" w:hAnsi="Arial Narrow"/>
                <w:vanish/>
                <w:sz w:val="18"/>
                <w:szCs w:val="18"/>
              </w:rPr>
            </w:pPr>
            <w:r w:rsidRPr="003A4DB8">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have presence of Bone Marrow Oedema (BMO) depicted as a </w:t>
            </w:r>
            <w:proofErr w:type="spellStart"/>
            <w:r w:rsidRPr="00660A85">
              <w:rPr>
                <w:rFonts w:ascii="Arial Narrow" w:hAnsi="Arial Narrow"/>
                <w:sz w:val="18"/>
                <w:szCs w:val="18"/>
              </w:rPr>
              <w:t>hyperintense</w:t>
            </w:r>
            <w:proofErr w:type="spellEnd"/>
            <w:r w:rsidRPr="00660A85">
              <w:rPr>
                <w:rFonts w:ascii="Arial Narrow" w:hAnsi="Arial Narrow"/>
                <w:sz w:val="18"/>
                <w:szCs w:val="18"/>
              </w:rPr>
              <w:t xml:space="preserve"> signal on a Short Tau Inversion Recovery (STIR) image (or equivalent)</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22982</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22981</w:t>
            </w:r>
          </w:p>
          <w:p w:rsidR="00631108" w:rsidRPr="003A4DB8" w:rsidRDefault="00631108" w:rsidP="00591A35">
            <w:pPr>
              <w:jc w:val="center"/>
              <w:rPr>
                <w:rFonts w:ascii="Arial Narrow" w:hAnsi="Arial Narrow"/>
                <w:vanish/>
                <w:sz w:val="18"/>
                <w:szCs w:val="18"/>
              </w:rPr>
            </w:pPr>
            <w:r w:rsidRPr="003A4DB8">
              <w:rPr>
                <w:rFonts w:ascii="Arial Narrow" w:hAnsi="Arial Narrow"/>
                <w:vanish/>
                <w:sz w:val="18"/>
                <w:szCs w:val="18"/>
              </w:rPr>
              <w:t>Full</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condition must have BMO depicted as a </w:t>
            </w:r>
            <w:proofErr w:type="spellStart"/>
            <w:r w:rsidRPr="00660A85">
              <w:rPr>
                <w:rFonts w:ascii="Arial Narrow" w:hAnsi="Arial Narrow"/>
                <w:sz w:val="18"/>
                <w:szCs w:val="18"/>
              </w:rPr>
              <w:t>hypointense</w:t>
            </w:r>
            <w:proofErr w:type="spellEnd"/>
            <w:r w:rsidRPr="00660A85">
              <w:rPr>
                <w:rFonts w:ascii="Arial Narrow" w:hAnsi="Arial Narrow"/>
                <w:sz w:val="18"/>
                <w:szCs w:val="18"/>
              </w:rPr>
              <w:t xml:space="preserve"> signal on a T1 weighted image (without gadolinium)</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CA5F03" w:rsidRDefault="00631108" w:rsidP="00591A35">
            <w:pPr>
              <w:jc w:val="center"/>
              <w:rPr>
                <w:rFonts w:ascii="Arial Narrow" w:hAnsi="Arial Narrow"/>
                <w:sz w:val="18"/>
                <w:szCs w:val="18"/>
              </w:rPr>
            </w:pPr>
            <w:r>
              <w:rPr>
                <w:rFonts w:ascii="Arial Narrow" w:hAnsi="Arial Narrow"/>
                <w:sz w:val="18"/>
                <w:szCs w:val="18"/>
              </w:rPr>
              <w:t>12971</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Clinical criteria:</w:t>
            </w:r>
          </w:p>
        </w:tc>
      </w:tr>
      <w:tr w:rsidR="00631108" w:rsidRPr="00660A85" w:rsidTr="00591A35">
        <w:trPr>
          <w:hidden/>
        </w:trPr>
        <w:tc>
          <w:tcPr>
            <w:tcW w:w="548" w:type="pct"/>
            <w:vAlign w:val="center"/>
            <w:hideMark/>
          </w:tcPr>
          <w:p w:rsidR="00631108" w:rsidRPr="00660A85" w:rsidRDefault="00631108" w:rsidP="00591A35">
            <w:pPr>
              <w:jc w:val="center"/>
              <w:rPr>
                <w:rFonts w:ascii="Arial Narrow" w:hAnsi="Arial Narrow"/>
                <w:vanish/>
                <w:sz w:val="18"/>
                <w:szCs w:val="18"/>
              </w:rPr>
            </w:pPr>
            <w:r>
              <w:rPr>
                <w:rFonts w:ascii="Arial Narrow" w:hAnsi="Arial Narrow"/>
                <w:vanish/>
                <w:sz w:val="18"/>
                <w:szCs w:val="18"/>
              </w:rPr>
              <w:t>12970</w:t>
            </w:r>
          </w:p>
        </w:tc>
        <w:tc>
          <w:tcPr>
            <w:tcW w:w="4452" w:type="pct"/>
            <w:vAlign w:val="center"/>
            <w:hideMark/>
          </w:tcPr>
          <w:p w:rsidR="00631108" w:rsidRPr="00660A85" w:rsidRDefault="00631108" w:rsidP="00591A35">
            <w:pPr>
              <w:rPr>
                <w:rFonts w:ascii="Arial Narrow" w:hAnsi="Arial Narrow"/>
                <w:sz w:val="18"/>
                <w:szCs w:val="18"/>
              </w:rPr>
            </w:pPr>
            <w:r>
              <w:rPr>
                <w:rFonts w:ascii="Arial Narrow" w:hAnsi="Arial Narrow"/>
                <w:sz w:val="18"/>
                <w:szCs w:val="18"/>
              </w:rPr>
              <w:t>Patient</w:t>
            </w:r>
            <w:r w:rsidRPr="00660A85">
              <w:rPr>
                <w:rFonts w:ascii="Arial Narrow" w:hAnsi="Arial Narrow"/>
                <w:sz w:val="18"/>
                <w:szCs w:val="18"/>
              </w:rPr>
              <w:t xml:space="preserve"> must not </w:t>
            </w:r>
            <w:r>
              <w:rPr>
                <w:rFonts w:ascii="Arial Narrow" w:hAnsi="Arial Narrow"/>
                <w:sz w:val="18"/>
                <w:szCs w:val="18"/>
              </w:rPr>
              <w:t>receive more than 18 to 20 weeks of treatment, depending on the dosage regimen, under this restriction</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8384</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Population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8383</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Patient must be aged 18 years or older</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AND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22985</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Treatment criteria:</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10111</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Must be treated by a rheumatologist; or</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22986</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Must be treated by a clinical immunologist with expertise in the management of non-radiographic axial </w:t>
            </w:r>
            <w:proofErr w:type="spellStart"/>
            <w:r w:rsidRPr="00660A85">
              <w:rPr>
                <w:rFonts w:ascii="Arial Narrow" w:hAnsi="Arial Narrow"/>
                <w:sz w:val="18"/>
                <w:szCs w:val="18"/>
              </w:rPr>
              <w:t>spondyloarthritis</w:t>
            </w:r>
            <w:proofErr w:type="spellEnd"/>
          </w:p>
        </w:tc>
      </w:tr>
      <w:tr w:rsidR="00631108" w:rsidRPr="00660A85" w:rsidTr="00591A35">
        <w:tc>
          <w:tcPr>
            <w:tcW w:w="548" w:type="pct"/>
            <w:vAlign w:val="center"/>
          </w:tcPr>
          <w:p w:rsidR="00631108" w:rsidRDefault="00631108" w:rsidP="00591A35">
            <w:pPr>
              <w:jc w:val="center"/>
              <w:rPr>
                <w:rFonts w:ascii="Arial Narrow" w:hAnsi="Arial Narrow"/>
                <w:sz w:val="18"/>
                <w:szCs w:val="18"/>
              </w:rPr>
            </w:pPr>
            <w:r>
              <w:rPr>
                <w:rFonts w:ascii="Arial Narrow" w:hAnsi="Arial Narrow"/>
                <w:sz w:val="18"/>
                <w:szCs w:val="18"/>
              </w:rPr>
              <w:t>New</w:t>
            </w:r>
          </w:p>
          <w:p w:rsidR="00631108" w:rsidRDefault="00631108" w:rsidP="00591A35">
            <w:pPr>
              <w:jc w:val="center"/>
              <w:rPr>
                <w:rFonts w:ascii="Arial Narrow" w:hAnsi="Arial Narrow"/>
                <w:sz w:val="18"/>
                <w:szCs w:val="18"/>
              </w:rPr>
            </w:pPr>
            <w:r>
              <w:rPr>
                <w:rFonts w:ascii="Arial Narrow" w:hAnsi="Arial Narrow"/>
                <w:sz w:val="18"/>
                <w:szCs w:val="18"/>
              </w:rPr>
              <w:t>Full</w:t>
            </w:r>
          </w:p>
        </w:tc>
        <w:tc>
          <w:tcPr>
            <w:tcW w:w="4452" w:type="pct"/>
            <w:vAlign w:val="center"/>
          </w:tcPr>
          <w:p w:rsidR="00631108" w:rsidRPr="003A4DB8" w:rsidRDefault="00631108" w:rsidP="00591A35">
            <w:pPr>
              <w:rPr>
                <w:rFonts w:ascii="Arial Narrow" w:hAnsi="Arial Narrow"/>
                <w:sz w:val="18"/>
                <w:szCs w:val="18"/>
              </w:rPr>
            </w:pPr>
            <w:r w:rsidRPr="003A4DB8">
              <w:rPr>
                <w:rFonts w:ascii="Arial Narrow" w:hAnsi="Arial Narrow"/>
                <w:b/>
                <w:bCs/>
                <w:sz w:val="18"/>
                <w:szCs w:val="18"/>
              </w:rPr>
              <w:t>Prescribing Instructions:</w:t>
            </w:r>
          </w:p>
          <w:p w:rsidR="00631108" w:rsidRPr="003A4DB8" w:rsidRDefault="00631108" w:rsidP="00591A35">
            <w:pPr>
              <w:rPr>
                <w:rFonts w:ascii="Arial Narrow" w:hAnsi="Arial Narrow"/>
                <w:sz w:val="18"/>
                <w:szCs w:val="18"/>
              </w:rPr>
            </w:pPr>
            <w:r w:rsidRPr="003A4DB8">
              <w:rPr>
                <w:rFonts w:ascii="Arial Narrow" w:hAnsi="Arial Narrow"/>
                <w:sz w:val="18"/>
                <w:szCs w:val="18"/>
              </w:rPr>
              <w:t>The authority application must be made in writing and must include:</w:t>
            </w:r>
          </w:p>
          <w:p w:rsidR="00631108" w:rsidRPr="003A4DB8" w:rsidRDefault="00631108" w:rsidP="00591A35">
            <w:pPr>
              <w:rPr>
                <w:rFonts w:ascii="Arial Narrow" w:hAnsi="Arial Narrow"/>
                <w:sz w:val="18"/>
                <w:szCs w:val="18"/>
              </w:rPr>
            </w:pPr>
            <w:r w:rsidRPr="003A4DB8">
              <w:rPr>
                <w:rFonts w:ascii="Arial Narrow" w:hAnsi="Arial Narrow"/>
                <w:sz w:val="18"/>
                <w:szCs w:val="18"/>
              </w:rPr>
              <w:t>(a) a completed authority prescription form; and</w:t>
            </w:r>
          </w:p>
          <w:p w:rsidR="00631108" w:rsidRPr="003869E7" w:rsidRDefault="00631108" w:rsidP="00591A35">
            <w:pPr>
              <w:rPr>
                <w:rFonts w:ascii="Arial Narrow" w:hAnsi="Arial Narrow"/>
                <w:sz w:val="18"/>
                <w:szCs w:val="18"/>
              </w:rPr>
            </w:pPr>
            <w:r w:rsidRPr="003A4DB8">
              <w:rPr>
                <w:rFonts w:ascii="Arial Narrow" w:hAnsi="Arial Narrow"/>
                <w:sz w:val="18"/>
                <w:szCs w:val="18"/>
              </w:rPr>
              <w:t xml:space="preserve">(b) a completed Non-radiographic axial </w:t>
            </w:r>
            <w:proofErr w:type="spellStart"/>
            <w:r w:rsidRPr="003A4DB8">
              <w:rPr>
                <w:rFonts w:ascii="Arial Narrow" w:hAnsi="Arial Narrow"/>
                <w:sz w:val="18"/>
                <w:szCs w:val="18"/>
              </w:rPr>
              <w:t>spondyloarthritis</w:t>
            </w:r>
            <w:proofErr w:type="spellEnd"/>
            <w:r w:rsidRPr="003A4DB8">
              <w:rPr>
                <w:rFonts w:ascii="Arial Narrow" w:hAnsi="Arial Narrow"/>
                <w:sz w:val="18"/>
                <w:szCs w:val="18"/>
              </w:rPr>
              <w:t xml:space="preserve"> initial</w:t>
            </w:r>
            <w:r>
              <w:rPr>
                <w:rFonts w:ascii="Arial Narrow" w:hAnsi="Arial Narrow"/>
                <w:sz w:val="18"/>
                <w:szCs w:val="18"/>
              </w:rPr>
              <w:t xml:space="preserve"> 3</w:t>
            </w:r>
            <w:r w:rsidRPr="003A4DB8">
              <w:rPr>
                <w:rFonts w:ascii="Arial Narrow" w:hAnsi="Arial Narrow"/>
                <w:sz w:val="18"/>
                <w:szCs w:val="18"/>
              </w:rPr>
              <w:t xml:space="preserve"> PBS Authority Applicatio</w:t>
            </w:r>
            <w:r>
              <w:rPr>
                <w:rFonts w:ascii="Arial Narrow" w:hAnsi="Arial Narrow"/>
                <w:sz w:val="18"/>
                <w:szCs w:val="18"/>
              </w:rPr>
              <w:t>n - Supporting Information Form</w:t>
            </w:r>
          </w:p>
        </w:tc>
      </w:tr>
      <w:tr w:rsidR="00631108" w:rsidRPr="00660A85" w:rsidTr="00591A35">
        <w:tc>
          <w:tcPr>
            <w:tcW w:w="548" w:type="pct"/>
            <w:vAlign w:val="center"/>
            <w:hideMark/>
          </w:tcPr>
          <w:p w:rsidR="00631108" w:rsidRDefault="00631108" w:rsidP="00591A35">
            <w:pPr>
              <w:jc w:val="center"/>
              <w:rPr>
                <w:rFonts w:ascii="Arial Narrow" w:hAnsi="Arial Narrow"/>
                <w:sz w:val="18"/>
                <w:szCs w:val="18"/>
              </w:rPr>
            </w:pPr>
          </w:p>
          <w:p w:rsidR="00631108" w:rsidRDefault="00631108" w:rsidP="00591A35">
            <w:pPr>
              <w:jc w:val="center"/>
              <w:rPr>
                <w:rFonts w:ascii="Arial Narrow" w:hAnsi="Arial Narrow"/>
                <w:sz w:val="18"/>
                <w:szCs w:val="18"/>
              </w:rPr>
            </w:pPr>
            <w:r>
              <w:rPr>
                <w:rFonts w:ascii="Arial Narrow" w:hAnsi="Arial Narrow"/>
                <w:sz w:val="18"/>
                <w:szCs w:val="18"/>
              </w:rPr>
              <w:t>11161</w:t>
            </w:r>
          </w:p>
          <w:p w:rsidR="00631108" w:rsidRPr="00660A85" w:rsidRDefault="00631108" w:rsidP="00591A35">
            <w:pPr>
              <w:jc w:val="center"/>
              <w:rPr>
                <w:rFonts w:ascii="Arial Narrow" w:hAnsi="Arial Narrow"/>
                <w:sz w:val="18"/>
                <w:szCs w:val="18"/>
              </w:rPr>
            </w:pP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Prescribing Instructions:</w:t>
            </w:r>
          </w:p>
          <w:p w:rsidR="00631108" w:rsidRPr="00660A85" w:rsidRDefault="00631108" w:rsidP="00591A35">
            <w:pPr>
              <w:rPr>
                <w:rFonts w:ascii="Arial Narrow" w:hAnsi="Arial Narrow"/>
                <w:sz w:val="18"/>
                <w:szCs w:val="18"/>
              </w:rPr>
            </w:pPr>
            <w:r w:rsidRPr="00660A85">
              <w:rPr>
                <w:rFonts w:ascii="Arial Narrow" w:hAnsi="Arial Narrow"/>
                <w:sz w:val="18"/>
                <w:szCs w:val="18"/>
              </w:rPr>
              <w:t xml:space="preserve">The assessment of the patient's response to the initial course of treatment must be made following a minimum of 12 weeks of treatment </w:t>
            </w:r>
            <w:r w:rsidRPr="008958D9">
              <w:rPr>
                <w:rFonts w:ascii="Arial Narrow" w:hAnsi="Arial Narrow"/>
                <w:sz w:val="18"/>
                <w:szCs w:val="18"/>
              </w:rPr>
              <w:t>and submitted no later than 4 weeks from the cessation of that treatment course. If the response assessment is not submitted within these timeframes, the patient will be deemed to have failed this course of treatment.</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7606</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r>
              <w:rPr>
                <w:rFonts w:ascii="Arial Narrow" w:hAnsi="Arial Narrow"/>
                <w:sz w:val="18"/>
                <w:szCs w:val="18"/>
              </w:rPr>
              <w:t xml:space="preserve"> </w:t>
            </w:r>
            <w:r w:rsidRPr="00660A85">
              <w:rPr>
                <w:rFonts w:ascii="Arial Narrow" w:hAnsi="Arial Narrow"/>
                <w:sz w:val="18"/>
                <w:szCs w:val="18"/>
              </w:rPr>
              <w:t>No increase in the maximum quantity or number of units may be authorised.</w:t>
            </w:r>
          </w:p>
        </w:tc>
      </w:tr>
      <w:tr w:rsidR="00631108" w:rsidRPr="00660A85" w:rsidTr="00591A35">
        <w:tc>
          <w:tcPr>
            <w:tcW w:w="548" w:type="pct"/>
            <w:vAlign w:val="center"/>
            <w:hideMark/>
          </w:tcPr>
          <w:p w:rsidR="00631108" w:rsidRPr="00660A85" w:rsidRDefault="00631108" w:rsidP="00591A35">
            <w:pPr>
              <w:jc w:val="center"/>
              <w:rPr>
                <w:rFonts w:ascii="Arial Narrow" w:hAnsi="Arial Narrow"/>
                <w:sz w:val="18"/>
                <w:szCs w:val="18"/>
              </w:rPr>
            </w:pPr>
            <w:r>
              <w:rPr>
                <w:rFonts w:ascii="Arial Narrow" w:hAnsi="Arial Narrow"/>
                <w:sz w:val="18"/>
                <w:szCs w:val="18"/>
              </w:rPr>
              <w:t>7607</w:t>
            </w:r>
          </w:p>
        </w:tc>
        <w:tc>
          <w:tcPr>
            <w:tcW w:w="4452" w:type="pct"/>
            <w:vAlign w:val="center"/>
            <w:hideMark/>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r>
              <w:rPr>
                <w:rFonts w:ascii="Arial Narrow" w:hAnsi="Arial Narrow"/>
                <w:sz w:val="18"/>
                <w:szCs w:val="18"/>
              </w:rPr>
              <w:t xml:space="preserve"> </w:t>
            </w:r>
            <w:r w:rsidRPr="00660A85">
              <w:rPr>
                <w:rFonts w:ascii="Arial Narrow" w:hAnsi="Arial Narrow"/>
                <w:sz w:val="18"/>
                <w:szCs w:val="18"/>
              </w:rPr>
              <w:t>No increase in the maximum number of repeats may be authorised.</w:t>
            </w:r>
          </w:p>
        </w:tc>
      </w:tr>
      <w:tr w:rsidR="00631108" w:rsidRPr="00660A85"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7753</w:t>
            </w:r>
          </w:p>
          <w:p w:rsidR="00631108" w:rsidRDefault="00631108" w:rsidP="00591A35">
            <w:pPr>
              <w:jc w:val="center"/>
              <w:rPr>
                <w:rFonts w:ascii="Arial Narrow" w:hAnsi="Arial Narrow"/>
                <w:sz w:val="18"/>
                <w:szCs w:val="18"/>
              </w:rPr>
            </w:pPr>
            <w:r>
              <w:rPr>
                <w:rFonts w:ascii="Arial Narrow" w:hAnsi="Arial Narrow"/>
                <w:color w:val="333333"/>
                <w:sz w:val="18"/>
                <w:szCs w:val="18"/>
                <w:lang w:eastAsia="en-AU"/>
              </w:rPr>
              <w:t>CAR</w:t>
            </w:r>
          </w:p>
        </w:tc>
        <w:tc>
          <w:tcPr>
            <w:tcW w:w="4452" w:type="pct"/>
            <w:vAlign w:val="center"/>
          </w:tcPr>
          <w:p w:rsidR="00631108" w:rsidRPr="003A4DB8" w:rsidRDefault="00631108" w:rsidP="00591A35">
            <w:pPr>
              <w:rPr>
                <w:rFonts w:ascii="Arial Narrow" w:hAnsi="Arial Narrow"/>
                <w:b/>
                <w:bCs/>
                <w:color w:val="333333"/>
                <w:sz w:val="18"/>
                <w:szCs w:val="18"/>
                <w:lang w:eastAsia="en-AU"/>
              </w:rPr>
            </w:pPr>
            <w:r w:rsidRPr="003A4DB8">
              <w:rPr>
                <w:rFonts w:ascii="Arial Narrow" w:hAnsi="Arial Narrow"/>
                <w:b/>
                <w:bCs/>
                <w:color w:val="333333"/>
                <w:sz w:val="18"/>
                <w:szCs w:val="18"/>
                <w:lang w:eastAsia="en-AU"/>
              </w:rPr>
              <w:t>Administrative Advice:</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Any queries concerning the arrangements to prescribe may be directed to the Department of Human Services on 1800 700 270 (hours of operation 8 a.m. to 5 p.m. EST Monday to Friday). </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Prescribing information (including Authority Application forms and other relevant documentation as applicable) is available on the Department of Human Services website at www.humanservices.gov.au</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Applications for authority to prescribe should be forwarded to: </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Department of Human Services</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Complex Drugs </w:t>
            </w:r>
          </w:p>
          <w:p w:rsidR="00631108" w:rsidRPr="003A4DB8" w:rsidRDefault="00631108" w:rsidP="00591A35">
            <w:pPr>
              <w:rPr>
                <w:rFonts w:ascii="Arial Narrow" w:hAnsi="Arial Narrow"/>
                <w:bCs/>
                <w:color w:val="333333"/>
                <w:sz w:val="18"/>
                <w:szCs w:val="18"/>
                <w:lang w:eastAsia="en-AU"/>
              </w:rPr>
            </w:pPr>
            <w:r w:rsidRPr="003A4DB8">
              <w:rPr>
                <w:rFonts w:ascii="Arial Narrow" w:hAnsi="Arial Narrow"/>
                <w:bCs/>
                <w:color w:val="333333"/>
                <w:sz w:val="18"/>
                <w:szCs w:val="18"/>
                <w:lang w:eastAsia="en-AU"/>
              </w:rPr>
              <w:t xml:space="preserve">Reply Paid 9826 </w:t>
            </w:r>
          </w:p>
          <w:p w:rsidR="00631108" w:rsidRPr="00660A85" w:rsidRDefault="00631108" w:rsidP="00591A35">
            <w:pPr>
              <w:rPr>
                <w:rFonts w:ascii="Arial Narrow" w:hAnsi="Arial Narrow"/>
                <w:b/>
                <w:bCs/>
                <w:sz w:val="18"/>
                <w:szCs w:val="18"/>
              </w:rPr>
            </w:pPr>
            <w:r w:rsidRPr="003A4DB8">
              <w:rPr>
                <w:rFonts w:ascii="Arial Narrow" w:hAnsi="Arial Narrow"/>
                <w:bCs/>
                <w:color w:val="333333"/>
                <w:sz w:val="18"/>
                <w:szCs w:val="18"/>
                <w:lang w:eastAsia="en-AU"/>
              </w:rPr>
              <w:t>HOBART TAS 7001</w:t>
            </w:r>
          </w:p>
        </w:tc>
      </w:tr>
    </w:tbl>
    <w:p w:rsidR="00631108" w:rsidRDefault="00631108" w:rsidP="00631108">
      <w:pPr>
        <w:rPr>
          <w:lang w:val="en-GB"/>
        </w:rPr>
      </w:pPr>
    </w:p>
    <w:p w:rsidR="00631108" w:rsidRDefault="00631108" w:rsidP="00631108">
      <w:pPr>
        <w:rPr>
          <w:rFonts w:ascii="Arial Narrow" w:hAnsi="Arial Narrow"/>
          <w:b/>
          <w:sz w:val="18"/>
          <w:szCs w:val="18"/>
          <w:lang w:val="en-GB"/>
        </w:rPr>
      </w:pPr>
      <w:r w:rsidRPr="003A4DB8">
        <w:rPr>
          <w:rFonts w:ascii="Arial Narrow" w:hAnsi="Arial Narrow"/>
          <w:b/>
          <w:sz w:val="18"/>
          <w:szCs w:val="18"/>
          <w:lang w:val="en-GB"/>
        </w:rPr>
        <w:t xml:space="preserve">Balance of supply </w:t>
      </w:r>
      <w:r>
        <w:rPr>
          <w:rFonts w:ascii="Arial Narrow" w:hAnsi="Arial Narrow"/>
          <w:b/>
          <w:sz w:val="18"/>
          <w:szCs w:val="18"/>
          <w:lang w:val="en-GB"/>
        </w:rPr>
        <w:t>- i</w:t>
      </w:r>
      <w:r w:rsidRPr="00564C01">
        <w:rPr>
          <w:rFonts w:ascii="Arial Narrow" w:hAnsi="Arial Narrow"/>
          <w:b/>
          <w:sz w:val="18"/>
          <w:szCs w:val="18"/>
          <w:lang w:val="en-GB"/>
        </w:rPr>
        <w:t xml:space="preserve">nitial </w:t>
      </w:r>
      <w:r>
        <w:rPr>
          <w:rFonts w:ascii="Arial Narrow" w:hAnsi="Arial Narrow"/>
          <w:b/>
          <w:sz w:val="18"/>
          <w:szCs w:val="18"/>
          <w:lang w:val="en-GB"/>
        </w:rPr>
        <w:t xml:space="preserve">1, 2 and 3 </w:t>
      </w:r>
      <w:r w:rsidRPr="00564C01">
        <w:rPr>
          <w:rFonts w:ascii="Arial Narrow" w:hAnsi="Arial Narrow"/>
          <w:b/>
          <w:sz w:val="18"/>
          <w:szCs w:val="18"/>
          <w:lang w:val="en-GB"/>
        </w:rPr>
        <w:t xml:space="preserve">treatment </w:t>
      </w:r>
      <w:r w:rsidRPr="003A4DB8">
        <w:rPr>
          <w:rFonts w:ascii="Arial Narrow" w:hAnsi="Arial Narrow"/>
          <w:b/>
          <w:sz w:val="18"/>
          <w:szCs w:val="18"/>
          <w:lang w:val="en-GB"/>
        </w:rPr>
        <w:t xml:space="preserve">Restriction Summary [NEW] / </w:t>
      </w:r>
      <w:proofErr w:type="spellStart"/>
      <w:r w:rsidRPr="003A4DB8">
        <w:rPr>
          <w:rFonts w:ascii="Arial Narrow" w:hAnsi="Arial Narrow"/>
          <w:b/>
          <w:sz w:val="18"/>
          <w:szCs w:val="18"/>
          <w:lang w:val="en-GB"/>
        </w:rPr>
        <w:t>ToC</w:t>
      </w:r>
      <w:proofErr w:type="spellEnd"/>
      <w:r w:rsidRPr="003A4DB8">
        <w:rPr>
          <w:rFonts w:ascii="Arial Narrow" w:hAnsi="Arial Narrow"/>
          <w:b/>
          <w:sz w:val="18"/>
          <w:szCs w:val="18"/>
          <w:lang w:val="en-GB"/>
        </w:rPr>
        <w: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844"/>
        <w:gridCol w:w="846"/>
        <w:gridCol w:w="845"/>
        <w:gridCol w:w="847"/>
        <w:gridCol w:w="1127"/>
        <w:gridCol w:w="1834"/>
      </w:tblGrid>
      <w:tr w:rsidR="00631108" w:rsidRPr="000C6534" w:rsidTr="00591A35">
        <w:trPr>
          <w:cantSplit/>
          <w:trHeight w:val="408"/>
        </w:trPr>
        <w:tc>
          <w:tcPr>
            <w:tcW w:w="2691"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Name, Restriction,</w:t>
            </w:r>
          </w:p>
          <w:p w:rsidR="00631108" w:rsidRPr="000C6534" w:rsidRDefault="00631108" w:rsidP="00591A35">
            <w:pPr>
              <w:rPr>
                <w:rFonts w:ascii="Arial Narrow" w:hAnsi="Arial Narrow"/>
                <w:sz w:val="18"/>
                <w:szCs w:val="18"/>
              </w:rPr>
            </w:pPr>
            <w:r w:rsidRPr="000C6534">
              <w:rPr>
                <w:rFonts w:ascii="Arial Narrow" w:hAnsi="Arial Narrow"/>
                <w:sz w:val="18"/>
                <w:szCs w:val="18"/>
              </w:rPr>
              <w:t>Manner of administration and form</w:t>
            </w:r>
          </w:p>
        </w:tc>
        <w:tc>
          <w:tcPr>
            <w:tcW w:w="848" w:type="dxa"/>
          </w:tcPr>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Max.Qty</w:t>
            </w:r>
            <w:proofErr w:type="spellEnd"/>
            <w:r>
              <w:rPr>
                <w:rFonts w:ascii="Arial Narrow" w:hAnsi="Arial Narrow"/>
                <w:sz w:val="18"/>
                <w:szCs w:val="18"/>
              </w:rPr>
              <w:t xml:space="preserve"> (Units)</w:t>
            </w: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 xml:space="preserve">Max. </w:t>
            </w:r>
            <w:proofErr w:type="spellStart"/>
            <w:r>
              <w:rPr>
                <w:rFonts w:ascii="Arial Narrow" w:hAnsi="Arial Narrow"/>
                <w:sz w:val="18"/>
                <w:szCs w:val="18"/>
              </w:rPr>
              <w:t>Qty</w:t>
            </w:r>
            <w:proofErr w:type="spellEnd"/>
            <w:r>
              <w:rPr>
                <w:rFonts w:ascii="Arial Narrow" w:hAnsi="Arial Narrow"/>
                <w:sz w:val="18"/>
                <w:szCs w:val="18"/>
              </w:rPr>
              <w:t xml:space="preserve"> (Packs)</w:t>
            </w:r>
          </w:p>
        </w:tc>
        <w:tc>
          <w:tcPr>
            <w:tcW w:w="849" w:type="dxa"/>
          </w:tcPr>
          <w:p w:rsidR="00631108" w:rsidRPr="000C6534" w:rsidRDefault="00631108" w:rsidP="00591A35">
            <w:pPr>
              <w:jc w:val="center"/>
              <w:rPr>
                <w:rFonts w:ascii="Arial Narrow" w:hAnsi="Arial Narrow"/>
                <w:sz w:val="18"/>
                <w:szCs w:val="18"/>
              </w:rPr>
            </w:pPr>
            <w:r w:rsidRPr="000C6534">
              <w:rPr>
                <w:rFonts w:ascii="Arial Narrow" w:hAnsi="Arial Narrow"/>
                <w:sz w:val="18"/>
                <w:szCs w:val="18"/>
              </w:rPr>
              <w:t>№.of</w:t>
            </w:r>
          </w:p>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Rpts</w:t>
            </w:r>
            <w:proofErr w:type="spellEnd"/>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PBS item code</w:t>
            </w:r>
          </w:p>
        </w:tc>
        <w:tc>
          <w:tcPr>
            <w:tcW w:w="2978" w:type="dxa"/>
            <w:gridSpan w:val="2"/>
          </w:tcPr>
          <w:p w:rsidR="00631108" w:rsidRPr="000C6534" w:rsidRDefault="00631108" w:rsidP="00591A35">
            <w:pPr>
              <w:rPr>
                <w:rFonts w:ascii="Arial Narrow" w:hAnsi="Arial Narrow"/>
                <w:sz w:val="18"/>
                <w:szCs w:val="18"/>
                <w:lang w:val="fr-FR"/>
              </w:rPr>
            </w:pPr>
            <w:r w:rsidRPr="000C6534">
              <w:rPr>
                <w:rFonts w:ascii="Arial Narrow" w:hAnsi="Arial Narrow"/>
                <w:sz w:val="18"/>
                <w:szCs w:val="18"/>
              </w:rPr>
              <w:t>Proprietary Name and Manufacturer</w:t>
            </w:r>
          </w:p>
        </w:tc>
      </w:tr>
      <w:tr w:rsidR="00631108" w:rsidRPr="000C6534" w:rsidTr="00591A35">
        <w:trPr>
          <w:cantSplit/>
          <w:trHeight w:val="500"/>
        </w:trPr>
        <w:tc>
          <w:tcPr>
            <w:tcW w:w="2691"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w:t>
            </w:r>
            <w:r w:rsidRPr="000C6534">
              <w:rPr>
                <w:rFonts w:ascii="Arial Narrow" w:hAnsi="Arial Narrow"/>
                <w:sz w:val="18"/>
                <w:szCs w:val="18"/>
              </w:rPr>
              <w:t>ertolizumab</w:t>
            </w:r>
            <w:proofErr w:type="spellEnd"/>
            <w:r>
              <w:rPr>
                <w:rFonts w:ascii="Arial Narrow" w:hAnsi="Arial Narrow"/>
                <w:sz w:val="18"/>
                <w:szCs w:val="18"/>
              </w:rPr>
              <w:t xml:space="preserve"> </w:t>
            </w:r>
            <w:proofErr w:type="spellStart"/>
            <w:r>
              <w:rPr>
                <w:rFonts w:ascii="Arial Narrow" w:hAnsi="Arial Narrow"/>
                <w:sz w:val="18"/>
                <w:szCs w:val="18"/>
              </w:rPr>
              <w:t>pegol</w:t>
            </w:r>
            <w:proofErr w:type="spellEnd"/>
            <w:r>
              <w:rPr>
                <w:rFonts w:ascii="Arial Narrow" w:hAnsi="Arial Narrow"/>
                <w:sz w:val="18"/>
                <w:szCs w:val="18"/>
              </w:rPr>
              <w:t xml:space="preserve"> </w:t>
            </w:r>
            <w:r w:rsidRPr="000C6534">
              <w:rPr>
                <w:rFonts w:ascii="Arial Narrow" w:hAnsi="Arial Narrow"/>
                <w:sz w:val="18"/>
                <w:szCs w:val="18"/>
              </w:rPr>
              <w:t>200</w:t>
            </w:r>
            <w:r>
              <w:rPr>
                <w:rFonts w:ascii="Arial Narrow" w:hAnsi="Arial Narrow"/>
                <w:sz w:val="18"/>
                <w:szCs w:val="18"/>
              </w:rPr>
              <w:t xml:space="preserve"> </w:t>
            </w:r>
            <w:r w:rsidRPr="000C6534">
              <w:rPr>
                <w:rFonts w:ascii="Arial Narrow" w:hAnsi="Arial Narrow"/>
                <w:sz w:val="18"/>
                <w:szCs w:val="18"/>
              </w:rPr>
              <w:t>mg/mL</w:t>
            </w:r>
            <w:r>
              <w:rPr>
                <w:rFonts w:ascii="Arial Narrow" w:hAnsi="Arial Narrow"/>
                <w:sz w:val="18"/>
                <w:szCs w:val="18"/>
              </w:rPr>
              <w:t xml:space="preserve"> injection, 2 x 1 mL pen devices</w:t>
            </w:r>
          </w:p>
        </w:tc>
        <w:tc>
          <w:tcPr>
            <w:tcW w:w="848" w:type="dxa"/>
          </w:tcPr>
          <w:p w:rsidR="00631108" w:rsidRPr="000C6534" w:rsidRDefault="00631108" w:rsidP="00591A35">
            <w:pPr>
              <w:jc w:val="center"/>
              <w:rPr>
                <w:rFonts w:ascii="Arial Narrow" w:hAnsi="Arial Narrow"/>
                <w:sz w:val="18"/>
                <w:szCs w:val="18"/>
              </w:rPr>
            </w:pPr>
            <w:r>
              <w:rPr>
                <w:rFonts w:ascii="Arial Narrow" w:hAnsi="Arial Narrow"/>
                <w:sz w:val="18"/>
                <w:szCs w:val="18"/>
              </w:rPr>
              <w:t>2</w:t>
            </w:r>
          </w:p>
          <w:p w:rsidR="00631108" w:rsidRPr="000C6534" w:rsidRDefault="00631108" w:rsidP="00591A35">
            <w:pPr>
              <w:jc w:val="center"/>
              <w:rPr>
                <w:rFonts w:ascii="Arial Narrow" w:hAnsi="Arial Narrow"/>
                <w:sz w:val="18"/>
                <w:szCs w:val="18"/>
              </w:rPr>
            </w:pP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Pr="000C6534" w:rsidRDefault="00631108" w:rsidP="00591A35">
            <w:pPr>
              <w:jc w:val="center"/>
              <w:rPr>
                <w:rFonts w:ascii="Arial Narrow" w:hAnsi="Arial Narrow"/>
                <w:sz w:val="18"/>
                <w:szCs w:val="18"/>
              </w:rPr>
            </w:pPr>
            <w:r>
              <w:rPr>
                <w:rFonts w:ascii="Arial Narrow" w:hAnsi="Arial Narrow"/>
                <w:sz w:val="18"/>
                <w:szCs w:val="18"/>
              </w:rPr>
              <w:t>0</w:t>
            </w:r>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NEW</w:t>
            </w:r>
          </w:p>
          <w:p w:rsidR="00631108" w:rsidRPr="000C6534" w:rsidRDefault="00631108" w:rsidP="00591A35">
            <w:pPr>
              <w:jc w:val="center"/>
              <w:rPr>
                <w:rFonts w:ascii="Arial Narrow" w:hAnsi="Arial Narrow"/>
                <w:sz w:val="18"/>
                <w:szCs w:val="18"/>
              </w:rPr>
            </w:pPr>
          </w:p>
        </w:tc>
        <w:tc>
          <w:tcPr>
            <w:tcW w:w="1133" w:type="dxa"/>
          </w:tcPr>
          <w:p w:rsidR="00631108" w:rsidRPr="000C6534" w:rsidRDefault="00631108" w:rsidP="00591A35">
            <w:pPr>
              <w:rPr>
                <w:rFonts w:ascii="Arial Narrow" w:hAnsi="Arial Narrow"/>
                <w:sz w:val="18"/>
                <w:szCs w:val="18"/>
              </w:rPr>
            </w:pPr>
            <w:proofErr w:type="spellStart"/>
            <w:r w:rsidRPr="000C6534">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UCB Australia Pty Ltd</w:t>
            </w:r>
          </w:p>
          <w:p w:rsidR="00631108" w:rsidRPr="000C6534" w:rsidRDefault="00631108" w:rsidP="00591A35">
            <w:pPr>
              <w:rPr>
                <w:rFonts w:ascii="Arial Narrow" w:hAnsi="Arial Narrow"/>
                <w:sz w:val="18"/>
                <w:szCs w:val="18"/>
              </w:rPr>
            </w:pPr>
          </w:p>
        </w:tc>
      </w:tr>
      <w:tr w:rsidR="00631108" w:rsidRPr="000C6534" w:rsidTr="00591A35">
        <w:trPr>
          <w:cantSplit/>
          <w:trHeight w:val="500"/>
        </w:trPr>
        <w:tc>
          <w:tcPr>
            <w:tcW w:w="2691" w:type="dxa"/>
          </w:tcPr>
          <w:p w:rsidR="00631108" w:rsidRDefault="00631108" w:rsidP="00591A35">
            <w:pPr>
              <w:rPr>
                <w:rFonts w:ascii="Arial Narrow" w:hAnsi="Arial Narrow"/>
                <w:sz w:val="18"/>
                <w:szCs w:val="18"/>
              </w:rPr>
            </w:pPr>
            <w:proofErr w:type="spellStart"/>
            <w:r w:rsidRPr="00B04825">
              <w:rPr>
                <w:rFonts w:ascii="Arial Narrow" w:hAnsi="Arial Narrow"/>
                <w:sz w:val="18"/>
                <w:szCs w:val="18"/>
              </w:rPr>
              <w:t>Certolizumab</w:t>
            </w:r>
            <w:proofErr w:type="spellEnd"/>
            <w:r w:rsidRPr="00B04825">
              <w:rPr>
                <w:rFonts w:ascii="Arial Narrow" w:hAnsi="Arial Narrow"/>
                <w:sz w:val="18"/>
                <w:szCs w:val="18"/>
              </w:rPr>
              <w:t xml:space="preserve"> </w:t>
            </w:r>
            <w:proofErr w:type="spellStart"/>
            <w:r w:rsidRPr="00B04825">
              <w:rPr>
                <w:rFonts w:ascii="Arial Narrow" w:hAnsi="Arial Narrow"/>
                <w:sz w:val="18"/>
                <w:szCs w:val="18"/>
              </w:rPr>
              <w:t>pegol</w:t>
            </w:r>
            <w:proofErr w:type="spellEnd"/>
            <w:r w:rsidRPr="00B04825">
              <w:rPr>
                <w:rFonts w:ascii="Arial Narrow" w:hAnsi="Arial Narrow"/>
                <w:sz w:val="18"/>
                <w:szCs w:val="18"/>
              </w:rPr>
              <w:t xml:space="preserve"> 200 mg/mL injection, 2 x 1 mL </w:t>
            </w:r>
            <w:r>
              <w:rPr>
                <w:rFonts w:ascii="Arial Narrow" w:hAnsi="Arial Narrow"/>
                <w:sz w:val="18"/>
                <w:szCs w:val="18"/>
              </w:rPr>
              <w:t>syringes</w:t>
            </w:r>
          </w:p>
        </w:tc>
        <w:tc>
          <w:tcPr>
            <w:tcW w:w="848" w:type="dxa"/>
          </w:tcPr>
          <w:p w:rsidR="00631108" w:rsidRDefault="00631108" w:rsidP="00591A35">
            <w:pPr>
              <w:jc w:val="center"/>
              <w:rPr>
                <w:rFonts w:ascii="Arial Narrow" w:hAnsi="Arial Narrow"/>
                <w:sz w:val="18"/>
                <w:szCs w:val="18"/>
              </w:rPr>
            </w:pPr>
            <w:r>
              <w:rPr>
                <w:rFonts w:ascii="Arial Narrow" w:hAnsi="Arial Narrow"/>
                <w:sz w:val="18"/>
                <w:szCs w:val="18"/>
              </w:rPr>
              <w:t>2</w:t>
            </w:r>
          </w:p>
        </w:tc>
        <w:tc>
          <w:tcPr>
            <w:tcW w:w="850" w:type="dxa"/>
          </w:tcPr>
          <w:p w:rsidR="00631108"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Default="00631108" w:rsidP="00591A35">
            <w:pPr>
              <w:jc w:val="center"/>
              <w:rPr>
                <w:rFonts w:ascii="Arial Narrow" w:hAnsi="Arial Narrow"/>
                <w:sz w:val="18"/>
                <w:szCs w:val="18"/>
              </w:rPr>
            </w:pPr>
            <w:r>
              <w:rPr>
                <w:rFonts w:ascii="Arial Narrow" w:hAnsi="Arial Narrow"/>
                <w:sz w:val="18"/>
                <w:szCs w:val="18"/>
              </w:rPr>
              <w:t>0</w:t>
            </w:r>
          </w:p>
        </w:tc>
        <w:tc>
          <w:tcPr>
            <w:tcW w:w="851" w:type="dxa"/>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1133"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Pr>
                <w:rFonts w:ascii="Arial Narrow" w:hAnsi="Arial Narrow"/>
                <w:sz w:val="18"/>
                <w:szCs w:val="18"/>
              </w:rPr>
              <w:t>UCB Australia Pty Ltd</w:t>
            </w:r>
          </w:p>
        </w:tc>
      </w:tr>
    </w:tbl>
    <w:p w:rsidR="00631108" w:rsidRPr="003A4DB8" w:rsidRDefault="00631108" w:rsidP="00631108">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631108" w:rsidRPr="003A4DB8" w:rsidTr="00591A35">
        <w:tc>
          <w:tcPr>
            <w:tcW w:w="548" w:type="pct"/>
          </w:tcPr>
          <w:p w:rsidR="00631108" w:rsidRPr="003A4DB8" w:rsidRDefault="00631108" w:rsidP="00591A35">
            <w:pPr>
              <w:pStyle w:val="TableLeft"/>
              <w:jc w:val="center"/>
              <w:rPr>
                <w:rFonts w:ascii="Arial Narrow" w:hAnsi="Arial Narrow" w:cs="Arial"/>
                <w:b/>
                <w:szCs w:val="18"/>
              </w:rPr>
            </w:pPr>
            <w:r w:rsidRPr="003A4DB8">
              <w:rPr>
                <w:rFonts w:ascii="Arial Narrow" w:hAnsi="Arial Narrow" w:cs="Arial"/>
                <w:b/>
                <w:szCs w:val="18"/>
              </w:rPr>
              <w:t>Concept ID</w:t>
            </w:r>
          </w:p>
        </w:tc>
        <w:tc>
          <w:tcPr>
            <w:tcW w:w="4452" w:type="pct"/>
          </w:tcPr>
          <w:p w:rsidR="00631108" w:rsidRPr="003A4DB8" w:rsidRDefault="00631108" w:rsidP="00591A35">
            <w:pPr>
              <w:pStyle w:val="TableLeft"/>
              <w:rPr>
                <w:rFonts w:ascii="Arial Narrow" w:hAnsi="Arial Narrow"/>
                <w:szCs w:val="18"/>
              </w:rPr>
            </w:pPr>
            <w:r w:rsidRPr="003A4DB8">
              <w:rPr>
                <w:rFonts w:ascii="Arial Narrow" w:hAnsi="Arial Narrow"/>
                <w:b/>
                <w:szCs w:val="18"/>
              </w:rPr>
              <w:t>Category / Program:</w:t>
            </w:r>
            <w:r w:rsidRPr="003A4DB8">
              <w:rPr>
                <w:rFonts w:ascii="Arial Narrow" w:hAnsi="Arial Narrow"/>
                <w:szCs w:val="18"/>
              </w:rPr>
              <w:t xml:space="preserve"> General Schedule (Code GE)</w:t>
            </w:r>
          </w:p>
        </w:tc>
      </w:tr>
      <w:tr w:rsidR="00631108" w:rsidRPr="003A4DB8" w:rsidTr="00591A35">
        <w:tc>
          <w:tcPr>
            <w:tcW w:w="548" w:type="pct"/>
          </w:tcPr>
          <w:p w:rsidR="00631108" w:rsidRPr="003A4DB8" w:rsidRDefault="00631108" w:rsidP="00591A35">
            <w:pPr>
              <w:pStyle w:val="TableLeft"/>
              <w:jc w:val="center"/>
              <w:rPr>
                <w:rFonts w:ascii="Arial Narrow" w:hAnsi="Arial Narrow"/>
                <w:szCs w:val="18"/>
              </w:rPr>
            </w:pPr>
          </w:p>
        </w:tc>
        <w:tc>
          <w:tcPr>
            <w:tcW w:w="4452" w:type="pct"/>
          </w:tcPr>
          <w:p w:rsidR="00631108" w:rsidRPr="003A4DB8" w:rsidRDefault="00631108" w:rsidP="00657498">
            <w:pPr>
              <w:rPr>
                <w:rFonts w:ascii="Arial Narrow" w:hAnsi="Arial Narrow"/>
                <w:sz w:val="18"/>
                <w:szCs w:val="18"/>
              </w:rPr>
            </w:pPr>
            <w:r w:rsidRPr="003A4DB8">
              <w:rPr>
                <w:rFonts w:ascii="Arial Narrow" w:hAnsi="Arial Narrow"/>
                <w:b/>
                <w:sz w:val="18"/>
                <w:szCs w:val="18"/>
              </w:rPr>
              <w:t>Prescriber type:</w:t>
            </w:r>
            <w:r w:rsidR="00657498">
              <w:rPr>
                <w:rFonts w:ascii="Arial Narrow" w:hAnsi="Arial Narrow"/>
                <w:b/>
                <w:sz w:val="18"/>
                <w:szCs w:val="18"/>
              </w:rPr>
              <w:t xml:space="preserve"> </w:t>
            </w:r>
            <w:r w:rsidRPr="003A4DB8">
              <w:rPr>
                <w:rFonts w:ascii="Arial Narrow" w:hAnsi="Arial Narrow"/>
                <w:sz w:val="18"/>
                <w:szCs w:val="18"/>
              </w:rPr>
              <w:fldChar w:fldCharType="begin">
                <w:ffData>
                  <w:name w:val="Check1"/>
                  <w:enabled/>
                  <w:calcOnExit w:val="0"/>
                  <w:checkBox>
                    <w:sizeAuto/>
                    <w:default w:val="0"/>
                  </w:checkBox>
                </w:ffData>
              </w:fldChar>
            </w:r>
            <w:r w:rsidRPr="003A4DB8">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3A4DB8">
              <w:rPr>
                <w:rFonts w:ascii="Arial Narrow" w:hAnsi="Arial Narrow"/>
                <w:sz w:val="18"/>
                <w:szCs w:val="18"/>
              </w:rPr>
              <w:fldChar w:fldCharType="end"/>
            </w:r>
            <w:r w:rsidRPr="003A4DB8">
              <w:rPr>
                <w:rFonts w:ascii="Arial Narrow" w:hAnsi="Arial Narrow"/>
                <w:sz w:val="18"/>
                <w:szCs w:val="18"/>
              </w:rPr>
              <w:t xml:space="preserve">Dental   </w:t>
            </w:r>
            <w:r w:rsidRPr="003A4DB8">
              <w:rPr>
                <w:rFonts w:ascii="Arial Narrow" w:hAnsi="Arial Narrow"/>
                <w:sz w:val="18"/>
                <w:szCs w:val="18"/>
              </w:rPr>
              <w:fldChar w:fldCharType="begin">
                <w:ffData>
                  <w:name w:val=""/>
                  <w:enabled/>
                  <w:calcOnExit w:val="0"/>
                  <w:checkBox>
                    <w:sizeAuto/>
                    <w:default w:val="1"/>
                  </w:checkBox>
                </w:ffData>
              </w:fldChar>
            </w:r>
            <w:r w:rsidRPr="003A4DB8">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3A4DB8">
              <w:rPr>
                <w:rFonts w:ascii="Arial Narrow" w:hAnsi="Arial Narrow"/>
                <w:sz w:val="18"/>
                <w:szCs w:val="18"/>
              </w:rPr>
              <w:fldChar w:fldCharType="end"/>
            </w:r>
            <w:r w:rsidRPr="003A4DB8">
              <w:rPr>
                <w:rFonts w:ascii="Arial Narrow" w:hAnsi="Arial Narrow"/>
                <w:sz w:val="18"/>
                <w:szCs w:val="18"/>
              </w:rPr>
              <w:t xml:space="preserve">Medical Practitioners </w:t>
            </w:r>
            <w:r w:rsidRPr="003A4DB8">
              <w:rPr>
                <w:rFonts w:ascii="Arial Narrow" w:hAnsi="Arial Narrow"/>
                <w:sz w:val="18"/>
                <w:szCs w:val="18"/>
              </w:rPr>
              <w:fldChar w:fldCharType="begin">
                <w:ffData>
                  <w:name w:val="Check3"/>
                  <w:enabled/>
                  <w:calcOnExit w:val="0"/>
                  <w:checkBox>
                    <w:sizeAuto/>
                    <w:default w:val="0"/>
                  </w:checkBox>
                </w:ffData>
              </w:fldChar>
            </w:r>
            <w:r w:rsidRPr="003A4DB8">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3A4DB8">
              <w:rPr>
                <w:rFonts w:ascii="Arial Narrow" w:hAnsi="Arial Narrow"/>
                <w:sz w:val="18"/>
                <w:szCs w:val="18"/>
              </w:rPr>
              <w:fldChar w:fldCharType="end"/>
            </w:r>
            <w:r w:rsidRPr="003A4DB8">
              <w:rPr>
                <w:rFonts w:ascii="Arial Narrow" w:hAnsi="Arial Narrow"/>
                <w:sz w:val="18"/>
                <w:szCs w:val="18"/>
              </w:rPr>
              <w:t xml:space="preserve">Nurse practitioners  </w:t>
            </w:r>
            <w:r w:rsidRPr="003A4DB8">
              <w:rPr>
                <w:rFonts w:ascii="Arial Narrow" w:hAnsi="Arial Narrow"/>
                <w:sz w:val="18"/>
                <w:szCs w:val="18"/>
              </w:rPr>
              <w:fldChar w:fldCharType="begin">
                <w:ffData>
                  <w:name w:val=""/>
                  <w:enabled/>
                  <w:calcOnExit w:val="0"/>
                  <w:checkBox>
                    <w:sizeAuto/>
                    <w:default w:val="0"/>
                  </w:checkBox>
                </w:ffData>
              </w:fldChar>
            </w:r>
            <w:r w:rsidRPr="003A4DB8">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3A4DB8">
              <w:rPr>
                <w:rFonts w:ascii="Arial Narrow" w:hAnsi="Arial Narrow"/>
                <w:sz w:val="18"/>
                <w:szCs w:val="18"/>
              </w:rPr>
              <w:fldChar w:fldCharType="end"/>
            </w:r>
            <w:r w:rsidRPr="003A4DB8">
              <w:rPr>
                <w:rFonts w:ascii="Arial Narrow" w:hAnsi="Arial Narrow"/>
                <w:sz w:val="18"/>
                <w:szCs w:val="18"/>
              </w:rPr>
              <w:t xml:space="preserve">Optometrists   </w:t>
            </w:r>
            <w:r w:rsidRPr="003A4DB8">
              <w:rPr>
                <w:rFonts w:ascii="Arial Narrow" w:hAnsi="Arial Narrow"/>
                <w:sz w:val="18"/>
                <w:szCs w:val="18"/>
              </w:rPr>
              <w:fldChar w:fldCharType="begin">
                <w:ffData>
                  <w:name w:val="Check5"/>
                  <w:enabled/>
                  <w:calcOnExit w:val="0"/>
                  <w:checkBox>
                    <w:sizeAuto/>
                    <w:default w:val="0"/>
                  </w:checkBox>
                </w:ffData>
              </w:fldChar>
            </w:r>
            <w:r w:rsidRPr="003A4DB8">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3A4DB8">
              <w:rPr>
                <w:rFonts w:ascii="Arial Narrow" w:hAnsi="Arial Narrow"/>
                <w:sz w:val="18"/>
                <w:szCs w:val="18"/>
              </w:rPr>
              <w:fldChar w:fldCharType="end"/>
            </w:r>
            <w:r w:rsidRPr="003A4DB8">
              <w:rPr>
                <w:rFonts w:ascii="Arial Narrow" w:hAnsi="Arial Narrow"/>
                <w:sz w:val="18"/>
                <w:szCs w:val="18"/>
              </w:rPr>
              <w:t>Midwives</w:t>
            </w:r>
          </w:p>
        </w:tc>
      </w:tr>
      <w:tr w:rsidR="00631108" w:rsidRPr="003A4DB8" w:rsidTr="00591A35">
        <w:tc>
          <w:tcPr>
            <w:tcW w:w="548" w:type="pct"/>
          </w:tcPr>
          <w:p w:rsidR="00631108" w:rsidRPr="003A4DB8" w:rsidRDefault="00631108" w:rsidP="00591A35">
            <w:pPr>
              <w:jc w:val="center"/>
              <w:rPr>
                <w:rFonts w:ascii="Arial Narrow" w:hAnsi="Arial Narrow"/>
                <w:strike/>
                <w:sz w:val="18"/>
                <w:szCs w:val="18"/>
              </w:rPr>
            </w:pPr>
          </w:p>
        </w:tc>
        <w:tc>
          <w:tcPr>
            <w:tcW w:w="4452" w:type="pct"/>
          </w:tcPr>
          <w:p w:rsidR="00631108" w:rsidRPr="003A4DB8" w:rsidRDefault="00631108" w:rsidP="00591A35">
            <w:pPr>
              <w:rPr>
                <w:rFonts w:ascii="Arial Narrow" w:hAnsi="Arial Narrow"/>
                <w:b/>
                <w:sz w:val="18"/>
                <w:szCs w:val="18"/>
              </w:rPr>
            </w:pPr>
            <w:r w:rsidRPr="003A4DB8">
              <w:rPr>
                <w:rFonts w:ascii="Arial Narrow" w:hAnsi="Arial Narrow"/>
                <w:b/>
                <w:sz w:val="18"/>
                <w:szCs w:val="18"/>
              </w:rPr>
              <w:t>Restriction Level / Method:</w:t>
            </w:r>
          </w:p>
          <w:p w:rsidR="00631108" w:rsidRPr="003A4DB8" w:rsidRDefault="00631108" w:rsidP="00591A35">
            <w:pPr>
              <w:rPr>
                <w:rFonts w:ascii="Arial Narrow" w:hAnsi="Arial Narrow"/>
                <w:sz w:val="18"/>
                <w:szCs w:val="18"/>
              </w:rPr>
            </w:pPr>
            <w:r w:rsidRPr="003A4DB8">
              <w:rPr>
                <w:rFonts w:ascii="Arial Narrow" w:hAnsi="Arial Narrow"/>
                <w:sz w:val="18"/>
                <w:szCs w:val="18"/>
              </w:rPr>
              <w:fldChar w:fldCharType="begin">
                <w:ffData>
                  <w:name w:val=""/>
                  <w:enabled/>
                  <w:calcOnExit w:val="0"/>
                  <w:checkBox>
                    <w:sizeAuto/>
                    <w:default w:val="1"/>
                  </w:checkBox>
                </w:ffData>
              </w:fldChar>
            </w:r>
            <w:r w:rsidRPr="003A4DB8">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3A4DB8">
              <w:rPr>
                <w:rFonts w:ascii="Arial Narrow" w:hAnsi="Arial Narrow"/>
                <w:sz w:val="18"/>
                <w:szCs w:val="18"/>
              </w:rPr>
              <w:fldChar w:fldCharType="end"/>
            </w:r>
            <w:r w:rsidRPr="003A4DB8">
              <w:rPr>
                <w:rFonts w:ascii="Arial Narrow" w:hAnsi="Arial Narrow"/>
                <w:sz w:val="18"/>
                <w:szCs w:val="18"/>
              </w:rPr>
              <w:t>Authority Required – (Telephone/Emergency/Electronic)</w:t>
            </w:r>
          </w:p>
        </w:tc>
      </w:tr>
      <w:tr w:rsidR="00631108" w:rsidRPr="003A4DB8" w:rsidTr="00591A35">
        <w:tc>
          <w:tcPr>
            <w:tcW w:w="548" w:type="pct"/>
            <w:vAlign w:val="center"/>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NEW</w:t>
            </w:r>
          </w:p>
        </w:tc>
        <w:tc>
          <w:tcPr>
            <w:tcW w:w="4452" w:type="pct"/>
            <w:vAlign w:val="center"/>
          </w:tcPr>
          <w:p w:rsidR="00631108" w:rsidRPr="003A4DB8" w:rsidRDefault="00631108" w:rsidP="00591A35">
            <w:pPr>
              <w:rPr>
                <w:rFonts w:ascii="Arial Narrow" w:hAnsi="Arial Narrow"/>
                <w:b/>
                <w:bCs/>
                <w:sz w:val="18"/>
                <w:szCs w:val="18"/>
                <w:lang w:eastAsia="en-AU"/>
              </w:rPr>
            </w:pPr>
            <w:r w:rsidRPr="003A4DB8">
              <w:rPr>
                <w:rFonts w:ascii="Arial Narrow" w:hAnsi="Arial Narrow"/>
                <w:b/>
                <w:bCs/>
                <w:sz w:val="18"/>
                <w:szCs w:val="18"/>
                <w:lang w:eastAsia="en-AU"/>
              </w:rPr>
              <w:t>Administrative Advice:</w:t>
            </w:r>
          </w:p>
          <w:p w:rsidR="00631108" w:rsidRPr="003A4DB8" w:rsidRDefault="00631108" w:rsidP="00591A35">
            <w:pPr>
              <w:rPr>
                <w:rFonts w:ascii="Arial Narrow" w:hAnsi="Arial Narrow"/>
                <w:b/>
                <w:bCs/>
                <w:sz w:val="18"/>
                <w:szCs w:val="18"/>
                <w:lang w:eastAsia="en-AU"/>
              </w:rPr>
            </w:pPr>
            <w:r w:rsidRPr="003A4DB8">
              <w:rPr>
                <w:rFonts w:ascii="Arial Narrow" w:hAnsi="Arial Narrow"/>
                <w:b/>
                <w:bCs/>
                <w:sz w:val="18"/>
                <w:szCs w:val="18"/>
                <w:lang w:eastAsia="en-AU"/>
              </w:rPr>
              <w:lastRenderedPageBreak/>
              <w:t>TREATMENT OF ADULT PATIENTS WITH NON-RADIOGRAPHIC ANKYLOSING SPONDYLITIS</w:t>
            </w:r>
          </w:p>
          <w:p w:rsidR="00631108" w:rsidRPr="003A4DB8" w:rsidRDefault="00631108" w:rsidP="00591A35">
            <w:pPr>
              <w:rPr>
                <w:rFonts w:ascii="Arial Narrow" w:hAnsi="Arial Narrow"/>
                <w:bCs/>
                <w:i/>
                <w:sz w:val="18"/>
                <w:szCs w:val="18"/>
                <w:lang w:eastAsia="en-AU"/>
              </w:rPr>
            </w:pPr>
            <w:r w:rsidRPr="003A4DB8">
              <w:rPr>
                <w:rFonts w:ascii="Arial Narrow" w:hAnsi="Arial Narrow"/>
                <w:bCs/>
                <w:i/>
                <w:sz w:val="18"/>
                <w:szCs w:val="18"/>
                <w:lang w:eastAsia="en-AU"/>
              </w:rPr>
              <w:t>Insert long common explanatory note here</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lastRenderedPageBreak/>
              <w:t>22964</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Indication:</w:t>
            </w:r>
            <w:r w:rsidRPr="003A4DB8">
              <w:rPr>
                <w:rFonts w:ascii="Arial Narrow" w:hAnsi="Arial Narrow"/>
                <w:sz w:val="18"/>
                <w:szCs w:val="18"/>
                <w:lang w:eastAsia="en-AU"/>
              </w:rPr>
              <w:t xml:space="preserve"> Non-radiographic axial </w:t>
            </w:r>
            <w:proofErr w:type="spellStart"/>
            <w:r w:rsidRPr="003A4DB8">
              <w:rPr>
                <w:rFonts w:ascii="Arial Narrow" w:hAnsi="Arial Narrow"/>
                <w:sz w:val="18"/>
                <w:szCs w:val="18"/>
                <w:lang w:eastAsia="en-AU"/>
              </w:rPr>
              <w:t>spondyloarthritis</w:t>
            </w:r>
            <w:proofErr w:type="spellEnd"/>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Treatment Phase:</w:t>
            </w:r>
          </w:p>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Initial treatment - Initial 1 (new patient), Initial 2 (change or recommencement of treatment after a break in biological medicine of less than 5 years) or Initial 3 (recommencement of treatment after a break in biological medicine of more than 5 years) - balance of supply</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24321</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Clinical criteria:</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24318</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Patient must have received insufficient therapy with this drug for this condition under the Initial 1 (new patient) restriction to complete 18 to 20 weeks treatment; or</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24319</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Patient must have received insufficient therapy with this drug for this condition under the Initial 2 (change or recommencement of treatment after a break in biological medicine of less than 5 years) restriction to complete 18 to 20 weeks treatment; or</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24320</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Patient must have received insufficient therapy with this drug for this condition under the Initial 3 (recommencement of treatment after a break in biological medicine of more than 5 years) restriction to complete 18 to 20 weeks treatment</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AND</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11203</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Clinical criteria:</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11202</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The treatment must provide no more than the balance of up to 18 to 20 weeks treatment available under the above restrictions</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AND</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21932</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Treatment criteria:</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10111</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Must be treated by a rheumatologist; or</w:t>
            </w:r>
          </w:p>
        </w:tc>
      </w:tr>
      <w:tr w:rsidR="00631108" w:rsidRPr="003A4DB8" w:rsidTr="00591A35">
        <w:tc>
          <w:tcPr>
            <w:tcW w:w="548" w:type="pct"/>
            <w:vAlign w:val="center"/>
            <w:hideMark/>
          </w:tcPr>
          <w:p w:rsidR="00631108" w:rsidRPr="003A4DB8" w:rsidRDefault="00631108" w:rsidP="00591A35">
            <w:pPr>
              <w:jc w:val="center"/>
              <w:rPr>
                <w:rFonts w:ascii="Arial Narrow" w:hAnsi="Arial Narrow"/>
                <w:sz w:val="18"/>
                <w:szCs w:val="18"/>
                <w:lang w:eastAsia="en-AU"/>
              </w:rPr>
            </w:pPr>
            <w:r w:rsidRPr="003A4DB8">
              <w:rPr>
                <w:rFonts w:ascii="Arial Narrow" w:hAnsi="Arial Narrow"/>
                <w:sz w:val="18"/>
                <w:szCs w:val="18"/>
                <w:lang w:eastAsia="en-AU"/>
              </w:rPr>
              <w:t>21933</w:t>
            </w:r>
          </w:p>
        </w:tc>
        <w:tc>
          <w:tcPr>
            <w:tcW w:w="4452" w:type="pct"/>
            <w:vAlign w:val="center"/>
            <w:hideMark/>
          </w:tcPr>
          <w:p w:rsidR="00631108" w:rsidRPr="003A4DB8" w:rsidRDefault="00631108" w:rsidP="00591A35">
            <w:pPr>
              <w:rPr>
                <w:rFonts w:ascii="Arial Narrow" w:hAnsi="Arial Narrow"/>
                <w:sz w:val="18"/>
                <w:szCs w:val="18"/>
                <w:lang w:eastAsia="en-AU"/>
              </w:rPr>
            </w:pPr>
            <w:r w:rsidRPr="003A4DB8">
              <w:rPr>
                <w:rFonts w:ascii="Arial Narrow" w:hAnsi="Arial Narrow"/>
                <w:sz w:val="18"/>
                <w:szCs w:val="18"/>
                <w:lang w:eastAsia="en-AU"/>
              </w:rPr>
              <w:t>Must be treated by a clinical immunologist with expertise in the management of ankylosing spondylitis</w:t>
            </w:r>
          </w:p>
        </w:tc>
      </w:tr>
      <w:tr w:rsidR="00631108" w:rsidRPr="003A4DB8" w:rsidTr="00591A35">
        <w:tc>
          <w:tcPr>
            <w:tcW w:w="548" w:type="pct"/>
            <w:vAlign w:val="center"/>
          </w:tcPr>
          <w:p w:rsidR="00631108" w:rsidRDefault="00631108" w:rsidP="00591A35">
            <w:pPr>
              <w:jc w:val="center"/>
              <w:rPr>
                <w:rFonts w:ascii="Arial Narrow" w:hAnsi="Arial Narrow"/>
                <w:sz w:val="18"/>
                <w:szCs w:val="18"/>
                <w:lang w:eastAsia="en-AU"/>
              </w:rPr>
            </w:pPr>
            <w:r>
              <w:rPr>
                <w:rFonts w:ascii="Arial Narrow" w:hAnsi="Arial Narrow"/>
                <w:sz w:val="18"/>
                <w:szCs w:val="18"/>
                <w:lang w:eastAsia="en-AU"/>
              </w:rPr>
              <w:t>23318</w:t>
            </w:r>
          </w:p>
          <w:p w:rsidR="00631108" w:rsidRPr="003A4DB8" w:rsidRDefault="00631108" w:rsidP="00591A35">
            <w:pPr>
              <w:jc w:val="center"/>
              <w:rPr>
                <w:rFonts w:ascii="Arial Narrow" w:hAnsi="Arial Narrow"/>
                <w:sz w:val="18"/>
                <w:szCs w:val="18"/>
                <w:lang w:eastAsia="en-AU"/>
              </w:rPr>
            </w:pPr>
            <w:r>
              <w:rPr>
                <w:rFonts w:ascii="Arial Narrow" w:hAnsi="Arial Narrow"/>
                <w:sz w:val="18"/>
                <w:szCs w:val="18"/>
                <w:lang w:eastAsia="en-AU"/>
              </w:rPr>
              <w:t>CAR</w:t>
            </w:r>
          </w:p>
        </w:tc>
        <w:tc>
          <w:tcPr>
            <w:tcW w:w="4452" w:type="pct"/>
            <w:vAlign w:val="center"/>
          </w:tcPr>
          <w:p w:rsidR="00631108" w:rsidRPr="003A4DB8" w:rsidRDefault="00631108" w:rsidP="00591A35">
            <w:pPr>
              <w:rPr>
                <w:rFonts w:ascii="Arial Narrow" w:hAnsi="Arial Narrow"/>
                <w:sz w:val="18"/>
                <w:szCs w:val="18"/>
                <w:lang w:eastAsia="en-AU"/>
              </w:rPr>
            </w:pPr>
            <w:r w:rsidRPr="003A4DB8">
              <w:rPr>
                <w:rFonts w:ascii="Arial Narrow" w:hAnsi="Arial Narrow"/>
                <w:b/>
                <w:bCs/>
                <w:sz w:val="18"/>
                <w:szCs w:val="18"/>
                <w:lang w:eastAsia="en-AU"/>
              </w:rPr>
              <w:t>Administrative Advice:</w:t>
            </w:r>
          </w:p>
          <w:p w:rsidR="00631108" w:rsidRPr="003A4DB8" w:rsidRDefault="00631108" w:rsidP="00591A35">
            <w:pPr>
              <w:rPr>
                <w:rFonts w:ascii="Arial Narrow" w:hAnsi="Arial Narrow"/>
                <w:sz w:val="18"/>
                <w:szCs w:val="18"/>
                <w:lang w:eastAsia="en-AU"/>
              </w:rPr>
            </w:pPr>
            <w:r w:rsidRPr="00564C01">
              <w:rPr>
                <w:rFonts w:ascii="Arial Narrow" w:hAnsi="Arial Narrow"/>
                <w:sz w:val="18"/>
                <w:szCs w:val="18"/>
                <w:lang w:eastAsia="en-AU"/>
              </w:rPr>
              <w:t>Authority approval for sufficient therapy to complete a maximum of 20 weeks of treatment may be requested by telephone by contacting the Department of Human Services on 1800 700 270 (hours of operation 8 a.m. to 5 p.m. EST Monday to Friday).</w:t>
            </w:r>
          </w:p>
        </w:tc>
      </w:tr>
    </w:tbl>
    <w:p w:rsidR="00631108" w:rsidRDefault="00631108" w:rsidP="00631108">
      <w:pPr>
        <w:rPr>
          <w:lang w:val="en-GB"/>
        </w:rPr>
      </w:pPr>
    </w:p>
    <w:p w:rsidR="00631108" w:rsidRDefault="00631108" w:rsidP="00631108">
      <w:pPr>
        <w:rPr>
          <w:rFonts w:ascii="Arial Narrow" w:hAnsi="Arial Narrow"/>
          <w:b/>
          <w:sz w:val="18"/>
          <w:szCs w:val="18"/>
          <w:lang w:val="en-GB"/>
        </w:rPr>
      </w:pPr>
      <w:r>
        <w:rPr>
          <w:rFonts w:ascii="Arial Narrow" w:hAnsi="Arial Narrow"/>
          <w:b/>
          <w:sz w:val="18"/>
          <w:szCs w:val="18"/>
          <w:lang w:val="en-GB"/>
        </w:rPr>
        <w:t xml:space="preserve">Grandfathering treatment </w:t>
      </w:r>
      <w:r w:rsidRPr="00B17AE7">
        <w:rPr>
          <w:rFonts w:ascii="Arial Narrow" w:hAnsi="Arial Narrow"/>
          <w:b/>
          <w:sz w:val="18"/>
          <w:szCs w:val="18"/>
          <w:lang w:val="en-GB"/>
        </w:rPr>
        <w:t xml:space="preserve">Restriction Summary </w:t>
      </w:r>
      <w:r>
        <w:rPr>
          <w:rFonts w:ascii="Arial Narrow" w:hAnsi="Arial Narrow"/>
          <w:b/>
          <w:sz w:val="18"/>
          <w:szCs w:val="18"/>
          <w:lang w:val="en-GB"/>
        </w:rPr>
        <w:t xml:space="preserve">[NEW] / </w:t>
      </w:r>
      <w:proofErr w:type="spellStart"/>
      <w:r>
        <w:rPr>
          <w:rFonts w:ascii="Arial Narrow" w:hAnsi="Arial Narrow"/>
          <w:b/>
          <w:sz w:val="18"/>
          <w:szCs w:val="18"/>
          <w:lang w:val="en-GB"/>
        </w:rPr>
        <w:t>ToC</w:t>
      </w:r>
      <w:proofErr w:type="spellEnd"/>
      <w:r>
        <w:rPr>
          <w:rFonts w:ascii="Arial Narrow" w:hAnsi="Arial Narrow"/>
          <w:b/>
          <w:sz w:val="18"/>
          <w:szCs w:val="18"/>
          <w:lang w:val="en-GB"/>
        </w:rPr>
        <w: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844"/>
        <w:gridCol w:w="846"/>
        <w:gridCol w:w="845"/>
        <w:gridCol w:w="847"/>
        <w:gridCol w:w="1127"/>
        <w:gridCol w:w="1834"/>
      </w:tblGrid>
      <w:tr w:rsidR="00631108" w:rsidRPr="000C6534" w:rsidTr="00591A35">
        <w:trPr>
          <w:cantSplit/>
          <w:trHeight w:val="408"/>
        </w:trPr>
        <w:tc>
          <w:tcPr>
            <w:tcW w:w="2691"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Name, Restriction,</w:t>
            </w:r>
          </w:p>
          <w:p w:rsidR="00631108" w:rsidRPr="000C6534" w:rsidRDefault="00631108" w:rsidP="00591A35">
            <w:pPr>
              <w:rPr>
                <w:rFonts w:ascii="Arial Narrow" w:hAnsi="Arial Narrow"/>
                <w:sz w:val="18"/>
                <w:szCs w:val="18"/>
              </w:rPr>
            </w:pPr>
            <w:r w:rsidRPr="000C6534">
              <w:rPr>
                <w:rFonts w:ascii="Arial Narrow" w:hAnsi="Arial Narrow"/>
                <w:sz w:val="18"/>
                <w:szCs w:val="18"/>
              </w:rPr>
              <w:t>Manner of administration and form</w:t>
            </w:r>
          </w:p>
        </w:tc>
        <w:tc>
          <w:tcPr>
            <w:tcW w:w="848" w:type="dxa"/>
          </w:tcPr>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Max.Qty</w:t>
            </w:r>
            <w:proofErr w:type="spellEnd"/>
            <w:r>
              <w:rPr>
                <w:rFonts w:ascii="Arial Narrow" w:hAnsi="Arial Narrow"/>
                <w:sz w:val="18"/>
                <w:szCs w:val="18"/>
              </w:rPr>
              <w:t xml:space="preserve"> (Units)</w:t>
            </w: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 xml:space="preserve">Max. </w:t>
            </w:r>
            <w:proofErr w:type="spellStart"/>
            <w:r>
              <w:rPr>
                <w:rFonts w:ascii="Arial Narrow" w:hAnsi="Arial Narrow"/>
                <w:sz w:val="18"/>
                <w:szCs w:val="18"/>
              </w:rPr>
              <w:t>Qty</w:t>
            </w:r>
            <w:proofErr w:type="spellEnd"/>
            <w:r>
              <w:rPr>
                <w:rFonts w:ascii="Arial Narrow" w:hAnsi="Arial Narrow"/>
                <w:sz w:val="18"/>
                <w:szCs w:val="18"/>
              </w:rPr>
              <w:t xml:space="preserve"> (Packs)</w:t>
            </w:r>
          </w:p>
        </w:tc>
        <w:tc>
          <w:tcPr>
            <w:tcW w:w="849" w:type="dxa"/>
          </w:tcPr>
          <w:p w:rsidR="00631108" w:rsidRPr="000C6534" w:rsidRDefault="00631108" w:rsidP="00591A35">
            <w:pPr>
              <w:jc w:val="center"/>
              <w:rPr>
                <w:rFonts w:ascii="Arial Narrow" w:hAnsi="Arial Narrow"/>
                <w:sz w:val="18"/>
                <w:szCs w:val="18"/>
              </w:rPr>
            </w:pPr>
            <w:r w:rsidRPr="000C6534">
              <w:rPr>
                <w:rFonts w:ascii="Arial Narrow" w:hAnsi="Arial Narrow"/>
                <w:sz w:val="18"/>
                <w:szCs w:val="18"/>
              </w:rPr>
              <w:t>№.of</w:t>
            </w:r>
          </w:p>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Rpts</w:t>
            </w:r>
            <w:proofErr w:type="spellEnd"/>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PBS item code</w:t>
            </w:r>
          </w:p>
        </w:tc>
        <w:tc>
          <w:tcPr>
            <w:tcW w:w="2978" w:type="dxa"/>
            <w:gridSpan w:val="2"/>
          </w:tcPr>
          <w:p w:rsidR="00631108" w:rsidRPr="000C6534" w:rsidRDefault="00631108" w:rsidP="00591A35">
            <w:pPr>
              <w:rPr>
                <w:rFonts w:ascii="Arial Narrow" w:hAnsi="Arial Narrow"/>
                <w:sz w:val="18"/>
                <w:szCs w:val="18"/>
                <w:lang w:val="fr-FR"/>
              </w:rPr>
            </w:pPr>
            <w:r w:rsidRPr="000C6534">
              <w:rPr>
                <w:rFonts w:ascii="Arial Narrow" w:hAnsi="Arial Narrow"/>
                <w:sz w:val="18"/>
                <w:szCs w:val="18"/>
              </w:rPr>
              <w:t>Proprietary Name and Manufacturer</w:t>
            </w:r>
          </w:p>
        </w:tc>
      </w:tr>
      <w:tr w:rsidR="00631108" w:rsidRPr="000C6534" w:rsidTr="00591A35">
        <w:trPr>
          <w:cantSplit/>
          <w:trHeight w:val="500"/>
        </w:trPr>
        <w:tc>
          <w:tcPr>
            <w:tcW w:w="2691"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w:t>
            </w:r>
            <w:r w:rsidRPr="000C6534">
              <w:rPr>
                <w:rFonts w:ascii="Arial Narrow" w:hAnsi="Arial Narrow"/>
                <w:sz w:val="18"/>
                <w:szCs w:val="18"/>
              </w:rPr>
              <w:t>ertolizumab</w:t>
            </w:r>
            <w:proofErr w:type="spellEnd"/>
            <w:r>
              <w:rPr>
                <w:rFonts w:ascii="Arial Narrow" w:hAnsi="Arial Narrow"/>
                <w:sz w:val="18"/>
                <w:szCs w:val="18"/>
              </w:rPr>
              <w:t xml:space="preserve"> </w:t>
            </w:r>
            <w:proofErr w:type="spellStart"/>
            <w:r>
              <w:rPr>
                <w:rFonts w:ascii="Arial Narrow" w:hAnsi="Arial Narrow"/>
                <w:sz w:val="18"/>
                <w:szCs w:val="18"/>
              </w:rPr>
              <w:t>pegol</w:t>
            </w:r>
            <w:proofErr w:type="spellEnd"/>
            <w:r>
              <w:rPr>
                <w:rFonts w:ascii="Arial Narrow" w:hAnsi="Arial Narrow"/>
                <w:sz w:val="18"/>
                <w:szCs w:val="18"/>
              </w:rPr>
              <w:t xml:space="preserve"> </w:t>
            </w:r>
            <w:r w:rsidRPr="000C6534">
              <w:rPr>
                <w:rFonts w:ascii="Arial Narrow" w:hAnsi="Arial Narrow"/>
                <w:sz w:val="18"/>
                <w:szCs w:val="18"/>
              </w:rPr>
              <w:t>200</w:t>
            </w:r>
            <w:r>
              <w:rPr>
                <w:rFonts w:ascii="Arial Narrow" w:hAnsi="Arial Narrow"/>
                <w:sz w:val="18"/>
                <w:szCs w:val="18"/>
              </w:rPr>
              <w:t xml:space="preserve"> </w:t>
            </w:r>
            <w:r w:rsidRPr="000C6534">
              <w:rPr>
                <w:rFonts w:ascii="Arial Narrow" w:hAnsi="Arial Narrow"/>
                <w:sz w:val="18"/>
                <w:szCs w:val="18"/>
              </w:rPr>
              <w:t>mg/mL</w:t>
            </w:r>
            <w:r>
              <w:rPr>
                <w:rFonts w:ascii="Arial Narrow" w:hAnsi="Arial Narrow"/>
                <w:sz w:val="18"/>
                <w:szCs w:val="18"/>
              </w:rPr>
              <w:t xml:space="preserve"> injection, 2 x 1 mL pen devices</w:t>
            </w:r>
          </w:p>
        </w:tc>
        <w:tc>
          <w:tcPr>
            <w:tcW w:w="848" w:type="dxa"/>
          </w:tcPr>
          <w:p w:rsidR="00631108" w:rsidRPr="000C6534" w:rsidRDefault="00631108" w:rsidP="00591A35">
            <w:pPr>
              <w:jc w:val="center"/>
              <w:rPr>
                <w:rFonts w:ascii="Arial Narrow" w:hAnsi="Arial Narrow"/>
                <w:sz w:val="18"/>
                <w:szCs w:val="18"/>
              </w:rPr>
            </w:pPr>
            <w:r>
              <w:rPr>
                <w:rFonts w:ascii="Arial Narrow" w:hAnsi="Arial Narrow"/>
                <w:sz w:val="18"/>
                <w:szCs w:val="18"/>
              </w:rPr>
              <w:t>2</w:t>
            </w:r>
          </w:p>
          <w:p w:rsidR="00631108" w:rsidRPr="000C6534" w:rsidRDefault="00631108" w:rsidP="00591A35">
            <w:pPr>
              <w:jc w:val="center"/>
              <w:rPr>
                <w:rFonts w:ascii="Arial Narrow" w:hAnsi="Arial Narrow"/>
                <w:sz w:val="18"/>
                <w:szCs w:val="18"/>
              </w:rPr>
            </w:pP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Pr="000C6534" w:rsidRDefault="00631108" w:rsidP="00591A35">
            <w:pPr>
              <w:jc w:val="center"/>
              <w:rPr>
                <w:rFonts w:ascii="Arial Narrow" w:hAnsi="Arial Narrow"/>
                <w:sz w:val="18"/>
                <w:szCs w:val="18"/>
              </w:rPr>
            </w:pPr>
            <w:r>
              <w:rPr>
                <w:rFonts w:ascii="Arial Narrow" w:hAnsi="Arial Narrow"/>
                <w:sz w:val="18"/>
                <w:szCs w:val="18"/>
              </w:rPr>
              <w:t>5</w:t>
            </w:r>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NEW</w:t>
            </w:r>
          </w:p>
          <w:p w:rsidR="00631108" w:rsidRPr="000C6534" w:rsidRDefault="00631108" w:rsidP="00591A35">
            <w:pPr>
              <w:jc w:val="center"/>
              <w:rPr>
                <w:rFonts w:ascii="Arial Narrow" w:hAnsi="Arial Narrow"/>
                <w:sz w:val="18"/>
                <w:szCs w:val="18"/>
              </w:rPr>
            </w:pPr>
          </w:p>
        </w:tc>
        <w:tc>
          <w:tcPr>
            <w:tcW w:w="1133" w:type="dxa"/>
          </w:tcPr>
          <w:p w:rsidR="00631108" w:rsidRPr="000C6534" w:rsidRDefault="00631108" w:rsidP="00591A35">
            <w:pPr>
              <w:rPr>
                <w:rFonts w:ascii="Arial Narrow" w:hAnsi="Arial Narrow"/>
                <w:sz w:val="18"/>
                <w:szCs w:val="18"/>
              </w:rPr>
            </w:pPr>
            <w:proofErr w:type="spellStart"/>
            <w:r w:rsidRPr="000C6534">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UCB Australia Pty Ltd</w:t>
            </w:r>
          </w:p>
          <w:p w:rsidR="00631108" w:rsidRPr="000C6534" w:rsidRDefault="00631108" w:rsidP="00591A35">
            <w:pPr>
              <w:rPr>
                <w:rFonts w:ascii="Arial Narrow" w:hAnsi="Arial Narrow"/>
                <w:sz w:val="18"/>
                <w:szCs w:val="18"/>
              </w:rPr>
            </w:pPr>
          </w:p>
        </w:tc>
      </w:tr>
      <w:tr w:rsidR="00631108" w:rsidRPr="000C6534" w:rsidTr="00591A35">
        <w:trPr>
          <w:cantSplit/>
          <w:trHeight w:val="500"/>
        </w:trPr>
        <w:tc>
          <w:tcPr>
            <w:tcW w:w="2691" w:type="dxa"/>
          </w:tcPr>
          <w:p w:rsidR="00631108" w:rsidRDefault="00631108" w:rsidP="00591A35">
            <w:pPr>
              <w:rPr>
                <w:rFonts w:ascii="Arial Narrow" w:hAnsi="Arial Narrow"/>
                <w:sz w:val="18"/>
                <w:szCs w:val="18"/>
              </w:rPr>
            </w:pPr>
            <w:proofErr w:type="spellStart"/>
            <w:r w:rsidRPr="00B04825">
              <w:rPr>
                <w:rFonts w:ascii="Arial Narrow" w:hAnsi="Arial Narrow"/>
                <w:sz w:val="18"/>
                <w:szCs w:val="18"/>
              </w:rPr>
              <w:t>Certolizumab</w:t>
            </w:r>
            <w:proofErr w:type="spellEnd"/>
            <w:r w:rsidRPr="00B04825">
              <w:rPr>
                <w:rFonts w:ascii="Arial Narrow" w:hAnsi="Arial Narrow"/>
                <w:sz w:val="18"/>
                <w:szCs w:val="18"/>
              </w:rPr>
              <w:t xml:space="preserve"> </w:t>
            </w:r>
            <w:proofErr w:type="spellStart"/>
            <w:r w:rsidRPr="00B04825">
              <w:rPr>
                <w:rFonts w:ascii="Arial Narrow" w:hAnsi="Arial Narrow"/>
                <w:sz w:val="18"/>
                <w:szCs w:val="18"/>
              </w:rPr>
              <w:t>pegol</w:t>
            </w:r>
            <w:proofErr w:type="spellEnd"/>
            <w:r w:rsidRPr="00B04825">
              <w:rPr>
                <w:rFonts w:ascii="Arial Narrow" w:hAnsi="Arial Narrow"/>
                <w:sz w:val="18"/>
                <w:szCs w:val="18"/>
              </w:rPr>
              <w:t xml:space="preserve"> 200 mg/mL injection, 2 x 1 mL </w:t>
            </w:r>
            <w:r>
              <w:rPr>
                <w:rFonts w:ascii="Arial Narrow" w:hAnsi="Arial Narrow"/>
                <w:sz w:val="18"/>
                <w:szCs w:val="18"/>
              </w:rPr>
              <w:t>syringes</w:t>
            </w:r>
          </w:p>
        </w:tc>
        <w:tc>
          <w:tcPr>
            <w:tcW w:w="848" w:type="dxa"/>
          </w:tcPr>
          <w:p w:rsidR="00631108" w:rsidRDefault="00631108" w:rsidP="00591A35">
            <w:pPr>
              <w:jc w:val="center"/>
              <w:rPr>
                <w:rFonts w:ascii="Arial Narrow" w:hAnsi="Arial Narrow"/>
                <w:sz w:val="18"/>
                <w:szCs w:val="18"/>
              </w:rPr>
            </w:pPr>
            <w:r>
              <w:rPr>
                <w:rFonts w:ascii="Arial Narrow" w:hAnsi="Arial Narrow"/>
                <w:sz w:val="18"/>
                <w:szCs w:val="18"/>
              </w:rPr>
              <w:t>2</w:t>
            </w:r>
          </w:p>
        </w:tc>
        <w:tc>
          <w:tcPr>
            <w:tcW w:w="850" w:type="dxa"/>
          </w:tcPr>
          <w:p w:rsidR="00631108"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Default="00631108" w:rsidP="00591A35">
            <w:pPr>
              <w:jc w:val="center"/>
              <w:rPr>
                <w:rFonts w:ascii="Arial Narrow" w:hAnsi="Arial Narrow"/>
                <w:sz w:val="18"/>
                <w:szCs w:val="18"/>
              </w:rPr>
            </w:pPr>
            <w:r>
              <w:rPr>
                <w:rFonts w:ascii="Arial Narrow" w:hAnsi="Arial Narrow"/>
                <w:sz w:val="18"/>
                <w:szCs w:val="18"/>
              </w:rPr>
              <w:t>5</w:t>
            </w:r>
          </w:p>
        </w:tc>
        <w:tc>
          <w:tcPr>
            <w:tcW w:w="851" w:type="dxa"/>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1133"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Pr>
                <w:rFonts w:ascii="Arial Narrow" w:hAnsi="Arial Narrow"/>
                <w:sz w:val="18"/>
                <w:szCs w:val="18"/>
              </w:rPr>
              <w:t>UCB Australia Pty Ltd</w:t>
            </w:r>
          </w:p>
        </w:tc>
      </w:tr>
    </w:tbl>
    <w:p w:rsidR="00631108" w:rsidRPr="000F7462" w:rsidRDefault="00631108" w:rsidP="00631108">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631108" w:rsidRPr="000F7462" w:rsidTr="00591A35">
        <w:tc>
          <w:tcPr>
            <w:tcW w:w="548" w:type="pct"/>
          </w:tcPr>
          <w:p w:rsidR="00631108" w:rsidRPr="00CA5F03" w:rsidRDefault="00631108" w:rsidP="00591A35">
            <w:pPr>
              <w:pStyle w:val="TableLeft"/>
              <w:jc w:val="center"/>
              <w:rPr>
                <w:rFonts w:ascii="Arial Narrow" w:hAnsi="Arial Narrow" w:cs="Arial"/>
                <w:b/>
                <w:szCs w:val="18"/>
              </w:rPr>
            </w:pPr>
            <w:r w:rsidRPr="00CA5F03">
              <w:rPr>
                <w:rFonts w:ascii="Arial Narrow" w:hAnsi="Arial Narrow" w:cs="Arial"/>
                <w:b/>
                <w:szCs w:val="18"/>
              </w:rPr>
              <w:t>Concept ID</w:t>
            </w:r>
          </w:p>
        </w:tc>
        <w:tc>
          <w:tcPr>
            <w:tcW w:w="4452" w:type="pct"/>
          </w:tcPr>
          <w:p w:rsidR="00631108" w:rsidRPr="00DC0C1D" w:rsidRDefault="00631108" w:rsidP="00591A35">
            <w:pPr>
              <w:pStyle w:val="TableLeft"/>
              <w:rPr>
                <w:rFonts w:ascii="Arial Narrow" w:hAnsi="Arial Narrow"/>
                <w:szCs w:val="18"/>
              </w:rPr>
            </w:pPr>
            <w:r w:rsidRPr="00DC0C1D">
              <w:rPr>
                <w:rFonts w:ascii="Arial Narrow" w:hAnsi="Arial Narrow"/>
                <w:b/>
                <w:szCs w:val="18"/>
              </w:rPr>
              <w:t>Category / Program:</w:t>
            </w:r>
            <w:r w:rsidRPr="00DC0C1D">
              <w:rPr>
                <w:rFonts w:ascii="Arial Narrow" w:hAnsi="Arial Narrow"/>
                <w:szCs w:val="18"/>
              </w:rPr>
              <w:t xml:space="preserve"> General Schedule (Code GE)</w:t>
            </w:r>
          </w:p>
        </w:tc>
      </w:tr>
      <w:tr w:rsidR="00631108" w:rsidRPr="000F7462" w:rsidTr="00591A35">
        <w:tc>
          <w:tcPr>
            <w:tcW w:w="548" w:type="pct"/>
          </w:tcPr>
          <w:p w:rsidR="00631108" w:rsidRPr="00DC0C1D" w:rsidRDefault="00631108" w:rsidP="00591A35">
            <w:pPr>
              <w:pStyle w:val="TableLeft"/>
              <w:jc w:val="center"/>
              <w:rPr>
                <w:rFonts w:ascii="Arial Narrow" w:hAnsi="Arial Narrow"/>
                <w:szCs w:val="18"/>
              </w:rPr>
            </w:pPr>
          </w:p>
        </w:tc>
        <w:tc>
          <w:tcPr>
            <w:tcW w:w="4452" w:type="pct"/>
          </w:tcPr>
          <w:p w:rsidR="00631108" w:rsidRPr="00DC0C1D" w:rsidRDefault="00631108" w:rsidP="00657498">
            <w:pPr>
              <w:rPr>
                <w:rFonts w:ascii="Arial Narrow" w:hAnsi="Arial Narrow"/>
                <w:sz w:val="18"/>
                <w:szCs w:val="18"/>
              </w:rPr>
            </w:pPr>
            <w:r w:rsidRPr="00DC0C1D">
              <w:rPr>
                <w:rFonts w:ascii="Arial Narrow" w:hAnsi="Arial Narrow"/>
                <w:b/>
                <w:sz w:val="18"/>
                <w:szCs w:val="18"/>
              </w:rPr>
              <w:t>Prescriber type:</w:t>
            </w:r>
            <w:r>
              <w:rPr>
                <w:rFonts w:ascii="Arial Narrow" w:hAnsi="Arial Narrow"/>
                <w:sz w:val="18"/>
                <w:szCs w:val="18"/>
              </w:rPr>
              <w:t xml:space="preserve"> </w:t>
            </w:r>
            <w:r w:rsidRPr="00DC0C1D">
              <w:rPr>
                <w:rFonts w:ascii="Arial Narrow" w:hAnsi="Arial Narrow"/>
                <w:sz w:val="18"/>
                <w:szCs w:val="18"/>
              </w:rPr>
              <w:fldChar w:fldCharType="begin">
                <w:ffData>
                  <w:name w:val="Check1"/>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Dental  </w:t>
            </w:r>
            <w:r>
              <w:rPr>
                <w:rFonts w:ascii="Arial Narrow" w:hAnsi="Arial Narrow"/>
                <w:sz w:val="18"/>
                <w:szCs w:val="18"/>
              </w:rPr>
              <w:t xml:space="preserve"> </w:t>
            </w: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Medical Practitioners </w:t>
            </w:r>
            <w:r w:rsidRPr="00DC0C1D">
              <w:rPr>
                <w:rFonts w:ascii="Arial Narrow" w:hAnsi="Arial Narrow"/>
                <w:sz w:val="18"/>
                <w:szCs w:val="18"/>
              </w:rPr>
              <w:fldChar w:fldCharType="begin">
                <w:ffData>
                  <w:name w:val="Check3"/>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Nurse practitioners  </w:t>
            </w:r>
            <w:r w:rsidRPr="00DC0C1D">
              <w:rPr>
                <w:rFonts w:ascii="Arial Narrow" w:hAnsi="Arial Narrow"/>
                <w:sz w:val="18"/>
                <w:szCs w:val="18"/>
              </w:rPr>
              <w:fldChar w:fldCharType="begin">
                <w:ffData>
                  <w:name w:val=""/>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Optometrists   </w:t>
            </w:r>
            <w:r w:rsidRPr="00DC0C1D">
              <w:rPr>
                <w:rFonts w:ascii="Arial Narrow" w:hAnsi="Arial Narrow"/>
                <w:sz w:val="18"/>
                <w:szCs w:val="18"/>
              </w:rPr>
              <w:fldChar w:fldCharType="begin">
                <w:ffData>
                  <w:name w:val="Check5"/>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Midwives</w:t>
            </w:r>
          </w:p>
        </w:tc>
      </w:tr>
      <w:tr w:rsidR="00631108" w:rsidRPr="000F7462" w:rsidTr="00591A35">
        <w:trPr>
          <w:trHeight w:val="496"/>
        </w:trPr>
        <w:tc>
          <w:tcPr>
            <w:tcW w:w="548" w:type="pct"/>
          </w:tcPr>
          <w:p w:rsidR="00631108" w:rsidRPr="00DC0C1D" w:rsidRDefault="00631108" w:rsidP="00591A35">
            <w:pPr>
              <w:jc w:val="center"/>
              <w:rPr>
                <w:rFonts w:ascii="Arial Narrow" w:hAnsi="Arial Narrow"/>
                <w:strike/>
                <w:sz w:val="18"/>
                <w:szCs w:val="18"/>
              </w:rPr>
            </w:pPr>
          </w:p>
        </w:tc>
        <w:tc>
          <w:tcPr>
            <w:tcW w:w="4452" w:type="pct"/>
          </w:tcPr>
          <w:p w:rsidR="00631108" w:rsidRPr="00DC0C1D" w:rsidRDefault="00631108" w:rsidP="00591A35">
            <w:pPr>
              <w:rPr>
                <w:rFonts w:ascii="Arial Narrow" w:hAnsi="Arial Narrow"/>
                <w:b/>
                <w:sz w:val="18"/>
                <w:szCs w:val="18"/>
              </w:rPr>
            </w:pPr>
            <w:r w:rsidRPr="00DC0C1D">
              <w:rPr>
                <w:rFonts w:ascii="Arial Narrow" w:hAnsi="Arial Narrow"/>
                <w:b/>
                <w:sz w:val="18"/>
                <w:szCs w:val="18"/>
              </w:rPr>
              <w:t>Restriction Level / Method:</w:t>
            </w:r>
          </w:p>
          <w:p w:rsidR="00631108" w:rsidRPr="00DC0C1D" w:rsidRDefault="00631108" w:rsidP="00591A35">
            <w:pPr>
              <w:rPr>
                <w:rFonts w:ascii="Arial Narrow" w:hAnsi="Arial Narrow"/>
                <w:sz w:val="18"/>
                <w:szCs w:val="18"/>
              </w:rPr>
            </w:pP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Authority Required </w:t>
            </w:r>
            <w:r>
              <w:rPr>
                <w:rFonts w:ascii="Arial Narrow" w:hAnsi="Arial Narrow"/>
                <w:sz w:val="18"/>
                <w:szCs w:val="18"/>
              </w:rPr>
              <w:t>–</w:t>
            </w:r>
            <w:r w:rsidRPr="00DC0C1D">
              <w:rPr>
                <w:rFonts w:ascii="Arial Narrow" w:hAnsi="Arial Narrow"/>
                <w:sz w:val="18"/>
                <w:szCs w:val="18"/>
              </w:rPr>
              <w:t xml:space="preserve"> </w:t>
            </w:r>
            <w:r>
              <w:rPr>
                <w:rFonts w:ascii="Arial Narrow" w:hAnsi="Arial Narrow"/>
                <w:sz w:val="18"/>
                <w:szCs w:val="18"/>
              </w:rPr>
              <w:t>In writing</w:t>
            </w:r>
          </w:p>
        </w:tc>
      </w:tr>
      <w:tr w:rsidR="00631108" w:rsidRPr="000F7462" w:rsidTr="00591A35">
        <w:tc>
          <w:tcPr>
            <w:tcW w:w="548" w:type="pct"/>
            <w:vAlign w:val="center"/>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4452" w:type="pct"/>
            <w:vAlign w:val="center"/>
          </w:tcPr>
          <w:p w:rsidR="00631108" w:rsidRPr="00612D15" w:rsidRDefault="00631108" w:rsidP="00591A35">
            <w:pPr>
              <w:rPr>
                <w:rFonts w:ascii="Arial Narrow" w:hAnsi="Arial Narrow"/>
                <w:b/>
                <w:bCs/>
                <w:sz w:val="18"/>
                <w:szCs w:val="18"/>
              </w:rPr>
            </w:pPr>
            <w:r w:rsidRPr="00612D15">
              <w:rPr>
                <w:rFonts w:ascii="Arial Narrow" w:hAnsi="Arial Narrow"/>
                <w:b/>
                <w:bCs/>
                <w:sz w:val="18"/>
                <w:szCs w:val="18"/>
              </w:rPr>
              <w:t>Administrative advice:</w:t>
            </w:r>
          </w:p>
          <w:p w:rsidR="00631108" w:rsidRDefault="00631108" w:rsidP="00591A35">
            <w:pPr>
              <w:rPr>
                <w:rFonts w:ascii="Arial Narrow" w:hAnsi="Arial Narrow"/>
                <w:b/>
                <w:bCs/>
                <w:color w:val="333333"/>
                <w:sz w:val="18"/>
                <w:szCs w:val="18"/>
                <w:lang w:eastAsia="en-AU"/>
              </w:rPr>
            </w:pPr>
            <w:r w:rsidRPr="00047BB0">
              <w:rPr>
                <w:rFonts w:ascii="Arial Narrow" w:hAnsi="Arial Narrow"/>
                <w:b/>
                <w:bCs/>
                <w:color w:val="333333"/>
                <w:sz w:val="18"/>
                <w:szCs w:val="18"/>
                <w:lang w:eastAsia="en-AU"/>
              </w:rPr>
              <w:t>TREATMENT OF ADULT PATIENTS WITH</w:t>
            </w:r>
            <w:r>
              <w:rPr>
                <w:rFonts w:ascii="Arial Narrow" w:hAnsi="Arial Narrow"/>
                <w:b/>
                <w:bCs/>
                <w:color w:val="333333"/>
                <w:sz w:val="18"/>
                <w:szCs w:val="18"/>
                <w:lang w:eastAsia="en-AU"/>
              </w:rPr>
              <w:t xml:space="preserve"> NON-RADIOGRAPHIC</w:t>
            </w:r>
            <w:r w:rsidRPr="00047BB0">
              <w:rPr>
                <w:rFonts w:ascii="Arial Narrow" w:hAnsi="Arial Narrow"/>
                <w:b/>
                <w:bCs/>
                <w:color w:val="333333"/>
                <w:sz w:val="18"/>
                <w:szCs w:val="18"/>
                <w:lang w:eastAsia="en-AU"/>
              </w:rPr>
              <w:t xml:space="preserve"> ANKYLOSING SPONDYLITIS</w:t>
            </w:r>
          </w:p>
          <w:p w:rsidR="00631108" w:rsidRPr="00612D15" w:rsidRDefault="00631108" w:rsidP="00591A35">
            <w:pPr>
              <w:rPr>
                <w:rFonts w:ascii="Arial Narrow" w:hAnsi="Arial Narrow"/>
                <w:bCs/>
                <w:i/>
                <w:sz w:val="18"/>
                <w:szCs w:val="18"/>
              </w:rPr>
            </w:pPr>
            <w:r w:rsidRPr="001B6EC2">
              <w:rPr>
                <w:rFonts w:ascii="Arial Narrow" w:hAnsi="Arial Narrow"/>
                <w:bCs/>
                <w:i/>
                <w:sz w:val="18"/>
                <w:szCs w:val="18"/>
              </w:rPr>
              <w:t>See end of restrictions for full explanatory note</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22964</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Indication:</w:t>
            </w:r>
            <w:r>
              <w:rPr>
                <w:rFonts w:ascii="Arial Narrow" w:hAnsi="Arial Narrow"/>
                <w:color w:val="333333"/>
                <w:sz w:val="18"/>
                <w:szCs w:val="18"/>
                <w:lang w:eastAsia="en-AU"/>
              </w:rPr>
              <w:t xml:space="preserve"> </w:t>
            </w:r>
            <w:r w:rsidRPr="000F7462">
              <w:rPr>
                <w:rFonts w:ascii="Arial Narrow" w:hAnsi="Arial Narrow"/>
                <w:color w:val="333333"/>
                <w:sz w:val="18"/>
                <w:szCs w:val="18"/>
                <w:lang w:eastAsia="en-AU"/>
              </w:rPr>
              <w:t xml:space="preserve">Non-radiographic axial </w:t>
            </w:r>
            <w:proofErr w:type="spellStart"/>
            <w:r w:rsidRPr="000F7462">
              <w:rPr>
                <w:rFonts w:ascii="Arial Narrow" w:hAnsi="Arial Narrow"/>
                <w:color w:val="333333"/>
                <w:sz w:val="18"/>
                <w:szCs w:val="18"/>
                <w:lang w:eastAsia="en-AU"/>
              </w:rPr>
              <w:t>spondyloarthritis</w:t>
            </w:r>
            <w:proofErr w:type="spellEnd"/>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Treatment Phase:</w:t>
            </w:r>
            <w:r>
              <w:rPr>
                <w:rFonts w:ascii="Arial Narrow" w:hAnsi="Arial Narrow"/>
                <w:color w:val="333333"/>
                <w:sz w:val="18"/>
                <w:szCs w:val="18"/>
                <w:lang w:eastAsia="en-AU"/>
              </w:rPr>
              <w:t xml:space="preserve"> Grandfathered patient</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23039</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outlineLvl w:val="4"/>
              <w:rPr>
                <w:rFonts w:ascii="Arial Narrow" w:hAnsi="Arial Narrow"/>
                <w:vanish/>
                <w:color w:val="333333"/>
                <w:sz w:val="18"/>
                <w:szCs w:val="18"/>
                <w:lang w:eastAsia="en-AU"/>
              </w:rPr>
            </w:pPr>
            <w:r>
              <w:rPr>
                <w:rFonts w:ascii="Arial Narrow" w:hAnsi="Arial Narrow"/>
                <w:color w:val="333333"/>
                <w:sz w:val="18"/>
                <w:szCs w:val="18"/>
                <w:lang w:eastAsia="en-AU"/>
              </w:rPr>
              <w:t>NEW</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Patient must have previously received non-PBS subsidised therapy with this drug for this condition prior to </w:t>
            </w:r>
            <w:r>
              <w:rPr>
                <w:rFonts w:ascii="Arial Narrow" w:hAnsi="Arial Narrow"/>
                <w:color w:val="333333"/>
                <w:sz w:val="18"/>
                <w:szCs w:val="18"/>
                <w:lang w:eastAsia="en-AU"/>
              </w:rPr>
              <w:t>[</w:t>
            </w:r>
            <w:r w:rsidRPr="000F7462">
              <w:rPr>
                <w:rFonts w:ascii="Arial Narrow" w:hAnsi="Arial Narrow"/>
                <w:color w:val="333333"/>
                <w:sz w:val="18"/>
                <w:szCs w:val="18"/>
                <w:lang w:eastAsia="en-AU"/>
              </w:rPr>
              <w:t xml:space="preserve">1 </w:t>
            </w:r>
            <w:r>
              <w:rPr>
                <w:rFonts w:ascii="Arial Narrow" w:hAnsi="Arial Narrow"/>
                <w:color w:val="333333"/>
                <w:sz w:val="18"/>
                <w:szCs w:val="18"/>
                <w:lang w:eastAsia="en-AU"/>
              </w:rPr>
              <w:t>Month 20XX; insert listing date here]</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22701</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22700</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Patient must have demonstrated an adequate response to non-PBS subsidised treatment with this drug for this condition</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23041</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lastRenderedPageBreak/>
              <w:t>23040</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Patient must have had chronic lower back pain and stiffness for 3 or more months that was relieved by exercise but not rest, prior to initiating non-PBS subsidised treatment with this drug for this condition</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23043</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23042</w:t>
            </w:r>
          </w:p>
          <w:p w:rsidR="00631108" w:rsidRPr="008958D9" w:rsidRDefault="00631108" w:rsidP="00591A35">
            <w:pPr>
              <w:jc w:val="center"/>
              <w:outlineLvl w:val="4"/>
              <w:rPr>
                <w:rFonts w:ascii="Arial Narrow" w:hAnsi="Arial Narrow"/>
                <w:vanish/>
                <w:color w:val="333333"/>
                <w:sz w:val="18"/>
                <w:szCs w:val="18"/>
                <w:lang w:eastAsia="en-AU"/>
              </w:rPr>
            </w:pPr>
            <w:r w:rsidRPr="008958D9">
              <w:rPr>
                <w:rFonts w:ascii="Arial Narrow" w:hAnsi="Arial Narrow"/>
                <w:vanish/>
                <w:color w:val="555555"/>
                <w:sz w:val="18"/>
                <w:szCs w:val="18"/>
                <w:lang w:eastAsia="en-AU"/>
              </w:rPr>
              <w:t>Full</w:t>
            </w:r>
          </w:p>
          <w:p w:rsidR="00631108" w:rsidRPr="000F7462" w:rsidRDefault="00631108" w:rsidP="00591A35">
            <w:pPr>
              <w:jc w:val="center"/>
              <w:rPr>
                <w:rFonts w:ascii="Arial Narrow" w:hAnsi="Arial Narrow"/>
                <w:vanish/>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Patient must have had failed to achieve an adequate response following treatment with at least 2 non-steroidal anti-inflammatory drugs (NSAIDs), whilst completing an appropriate exercise program, for a total period of 3 months, prior to initiating non-PBS-subsidised treatment with this drug for this condition</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23045</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23044</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Patient must have had one or more of the following: (a) </w:t>
            </w:r>
            <w:proofErr w:type="spellStart"/>
            <w:r w:rsidRPr="000F7462">
              <w:rPr>
                <w:rFonts w:ascii="Arial Narrow" w:hAnsi="Arial Narrow"/>
                <w:color w:val="333333"/>
                <w:sz w:val="18"/>
                <w:szCs w:val="18"/>
                <w:lang w:eastAsia="en-AU"/>
              </w:rPr>
              <w:t>enthesitis</w:t>
            </w:r>
            <w:proofErr w:type="spellEnd"/>
            <w:r w:rsidRPr="000F7462">
              <w:rPr>
                <w:rFonts w:ascii="Arial Narrow" w:hAnsi="Arial Narrow"/>
                <w:color w:val="333333"/>
                <w:sz w:val="18"/>
                <w:szCs w:val="18"/>
                <w:lang w:eastAsia="en-AU"/>
              </w:rPr>
              <w:t xml:space="preserve"> (heel); (b) uveitis; (c) </w:t>
            </w:r>
            <w:proofErr w:type="spellStart"/>
            <w:r w:rsidRPr="000F7462">
              <w:rPr>
                <w:rFonts w:ascii="Arial Narrow" w:hAnsi="Arial Narrow"/>
                <w:color w:val="333333"/>
                <w:sz w:val="18"/>
                <w:szCs w:val="18"/>
                <w:lang w:eastAsia="en-AU"/>
              </w:rPr>
              <w:t>dactylitis</w:t>
            </w:r>
            <w:proofErr w:type="spellEnd"/>
            <w:r w:rsidRPr="000F7462">
              <w:rPr>
                <w:rFonts w:ascii="Arial Narrow" w:hAnsi="Arial Narrow"/>
                <w:color w:val="333333"/>
                <w:sz w:val="18"/>
                <w:szCs w:val="18"/>
                <w:lang w:eastAsia="en-AU"/>
              </w:rPr>
              <w:t>; (d) psoriasis; (e) inflammatory bowel disease; or (f) positive for Human Leukocyte Antigen B27 (HLA-B27); prior to initiating non-PBS subsidised treatment with this drug for this condition</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22974</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22973</w:t>
            </w:r>
          </w:p>
          <w:p w:rsidR="00631108" w:rsidRPr="008958D9" w:rsidRDefault="00631108" w:rsidP="00591A35">
            <w:pPr>
              <w:jc w:val="center"/>
              <w:outlineLvl w:val="4"/>
              <w:rPr>
                <w:rFonts w:ascii="Arial Narrow" w:hAnsi="Arial Narrow"/>
                <w:vanish/>
                <w:color w:val="333333"/>
                <w:sz w:val="18"/>
                <w:szCs w:val="18"/>
                <w:lang w:eastAsia="en-AU"/>
              </w:rPr>
            </w:pPr>
            <w:r w:rsidRPr="008958D9">
              <w:rPr>
                <w:rFonts w:ascii="Arial Narrow" w:hAnsi="Arial Narrow"/>
                <w:vanish/>
                <w:color w:val="555555"/>
                <w:sz w:val="18"/>
                <w:szCs w:val="18"/>
                <w:lang w:eastAsia="en-AU"/>
              </w:rPr>
              <w:t>Full</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The condition must not be radiographically evidenced on plain x-ray of Grade II bilateral </w:t>
            </w:r>
            <w:proofErr w:type="spellStart"/>
            <w:r w:rsidRPr="000F7462">
              <w:rPr>
                <w:rFonts w:ascii="Arial Narrow" w:hAnsi="Arial Narrow"/>
                <w:color w:val="333333"/>
                <w:sz w:val="18"/>
                <w:szCs w:val="18"/>
                <w:lang w:eastAsia="en-AU"/>
              </w:rPr>
              <w:t>sacroiliitis</w:t>
            </w:r>
            <w:proofErr w:type="spellEnd"/>
            <w:r w:rsidRPr="000F7462">
              <w:rPr>
                <w:rFonts w:ascii="Arial Narrow" w:hAnsi="Arial Narrow"/>
                <w:color w:val="333333"/>
                <w:sz w:val="18"/>
                <w:szCs w:val="18"/>
                <w:lang w:eastAsia="en-AU"/>
              </w:rPr>
              <w:t xml:space="preserve"> or Grade III or IV unilateral </w:t>
            </w:r>
            <w:proofErr w:type="spellStart"/>
            <w:r w:rsidRPr="000F7462">
              <w:rPr>
                <w:rFonts w:ascii="Arial Narrow" w:hAnsi="Arial Narrow"/>
                <w:color w:val="333333"/>
                <w:sz w:val="18"/>
                <w:szCs w:val="18"/>
                <w:lang w:eastAsia="en-AU"/>
              </w:rPr>
              <w:t>sacroiliitis</w:t>
            </w:r>
            <w:proofErr w:type="spellEnd"/>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22976</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22975</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The condition must be non-radiographic axial </w:t>
            </w:r>
            <w:proofErr w:type="spellStart"/>
            <w:r w:rsidRPr="000F7462">
              <w:rPr>
                <w:rFonts w:ascii="Arial Narrow" w:hAnsi="Arial Narrow"/>
                <w:color w:val="333333"/>
                <w:sz w:val="18"/>
                <w:szCs w:val="18"/>
                <w:lang w:eastAsia="en-AU"/>
              </w:rPr>
              <w:t>spondyloarthritis</w:t>
            </w:r>
            <w:proofErr w:type="spellEnd"/>
            <w:r w:rsidRPr="000F7462">
              <w:rPr>
                <w:rFonts w:ascii="Arial Narrow" w:hAnsi="Arial Narrow"/>
                <w:color w:val="333333"/>
                <w:sz w:val="18"/>
                <w:szCs w:val="18"/>
                <w:lang w:eastAsia="en-AU"/>
              </w:rPr>
              <w:t xml:space="preserve">, as defined by Assessment of </w:t>
            </w:r>
            <w:proofErr w:type="spellStart"/>
            <w:r w:rsidRPr="000F7462">
              <w:rPr>
                <w:rFonts w:ascii="Arial Narrow" w:hAnsi="Arial Narrow"/>
                <w:color w:val="333333"/>
                <w:sz w:val="18"/>
                <w:szCs w:val="18"/>
                <w:lang w:eastAsia="en-AU"/>
              </w:rPr>
              <w:t>Spondyloarthritis</w:t>
            </w:r>
            <w:proofErr w:type="spellEnd"/>
            <w:r w:rsidRPr="000F7462">
              <w:rPr>
                <w:rFonts w:ascii="Arial Narrow" w:hAnsi="Arial Narrow"/>
                <w:color w:val="333333"/>
                <w:sz w:val="18"/>
                <w:szCs w:val="18"/>
                <w:lang w:eastAsia="en-AU"/>
              </w:rPr>
              <w:t xml:space="preserve"> International Society (ASAS)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23049</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rPr>
          <w:trHeight w:val="508"/>
        </w:trPr>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23048</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The condition must have been </w:t>
            </w:r>
            <w:proofErr w:type="spellStart"/>
            <w:r w:rsidRPr="000F7462">
              <w:rPr>
                <w:rFonts w:ascii="Arial Narrow" w:hAnsi="Arial Narrow"/>
                <w:color w:val="333333"/>
                <w:sz w:val="18"/>
                <w:szCs w:val="18"/>
                <w:lang w:eastAsia="en-AU"/>
              </w:rPr>
              <w:t>sacroiliitis</w:t>
            </w:r>
            <w:proofErr w:type="spellEnd"/>
            <w:r w:rsidRPr="000F7462">
              <w:rPr>
                <w:rFonts w:ascii="Arial Narrow" w:hAnsi="Arial Narrow"/>
                <w:color w:val="333333"/>
                <w:sz w:val="18"/>
                <w:szCs w:val="18"/>
                <w:lang w:eastAsia="en-AU"/>
              </w:rPr>
              <w:t xml:space="preserve"> with active inflammation and/or oedema on non-contrast Magnetic Resonance Imaging (MRI)</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23047</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23046</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The condition must have had presence of Bone Marrow Oedema (BMO) depicted as a </w:t>
            </w:r>
            <w:proofErr w:type="spellStart"/>
            <w:r w:rsidRPr="000F7462">
              <w:rPr>
                <w:rFonts w:ascii="Arial Narrow" w:hAnsi="Arial Narrow"/>
                <w:color w:val="333333"/>
                <w:sz w:val="18"/>
                <w:szCs w:val="18"/>
                <w:lang w:eastAsia="en-AU"/>
              </w:rPr>
              <w:t>hyperintense</w:t>
            </w:r>
            <w:proofErr w:type="spellEnd"/>
            <w:r w:rsidRPr="000F7462">
              <w:rPr>
                <w:rFonts w:ascii="Arial Narrow" w:hAnsi="Arial Narrow"/>
                <w:color w:val="333333"/>
                <w:sz w:val="18"/>
                <w:szCs w:val="18"/>
                <w:lang w:eastAsia="en-AU"/>
              </w:rPr>
              <w:t xml:space="preserve"> signal on a Short Tau Inversion Recovery (STIR) image (or equivalent)</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23051</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23050</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The condition must have had BMO depicted as a </w:t>
            </w:r>
            <w:proofErr w:type="spellStart"/>
            <w:r w:rsidRPr="000F7462">
              <w:rPr>
                <w:rFonts w:ascii="Arial Narrow" w:hAnsi="Arial Narrow"/>
                <w:color w:val="333333"/>
                <w:sz w:val="18"/>
                <w:szCs w:val="18"/>
                <w:lang w:eastAsia="en-AU"/>
              </w:rPr>
              <w:t>hypointense</w:t>
            </w:r>
            <w:proofErr w:type="spellEnd"/>
            <w:r w:rsidRPr="000F7462">
              <w:rPr>
                <w:rFonts w:ascii="Arial Narrow" w:hAnsi="Arial Narrow"/>
                <w:color w:val="333333"/>
                <w:sz w:val="18"/>
                <w:szCs w:val="18"/>
                <w:lang w:eastAsia="en-AU"/>
              </w:rPr>
              <w:t xml:space="preserve"> signal on a T1 weighted image (without gadolinium)</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23053</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Clinical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23052</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The treatment must not exceed a maximum of 24 weeks with this drug under this restriction</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8384</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Population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8383</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Patient must be aged 18 years or older</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AND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22985</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Treatment criteria:</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10111</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Must be treated by a rheumatologist; or</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22986</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Must be treated by a clinical immunologist with expertise in the management of non-radiographic axial </w:t>
            </w:r>
            <w:proofErr w:type="spellStart"/>
            <w:r w:rsidRPr="000F7462">
              <w:rPr>
                <w:rFonts w:ascii="Arial Narrow" w:hAnsi="Arial Narrow"/>
                <w:color w:val="333333"/>
                <w:sz w:val="18"/>
                <w:szCs w:val="18"/>
                <w:lang w:eastAsia="en-AU"/>
              </w:rPr>
              <w:t>spondyloarthritis</w:t>
            </w:r>
            <w:proofErr w:type="spellEnd"/>
          </w:p>
        </w:tc>
      </w:tr>
      <w:tr w:rsidR="00631108" w:rsidRPr="000F7462" w:rsidTr="00591A35">
        <w:tc>
          <w:tcPr>
            <w:tcW w:w="548" w:type="pct"/>
            <w:vAlign w:val="center"/>
            <w:hideMark/>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11158</w:t>
            </w:r>
          </w:p>
          <w:p w:rsidR="00631108" w:rsidRPr="008958D9" w:rsidRDefault="00631108" w:rsidP="00591A35">
            <w:pPr>
              <w:jc w:val="center"/>
              <w:outlineLvl w:val="4"/>
              <w:rPr>
                <w:rFonts w:ascii="Arial Narrow" w:hAnsi="Arial Narrow"/>
                <w:vanish/>
                <w:color w:val="333333"/>
                <w:sz w:val="18"/>
                <w:szCs w:val="18"/>
                <w:lang w:eastAsia="en-AU"/>
              </w:rPr>
            </w:pPr>
            <w:r w:rsidRPr="008958D9">
              <w:rPr>
                <w:rFonts w:ascii="Arial Narrow" w:hAnsi="Arial Narrow"/>
                <w:vanish/>
                <w:color w:val="555555"/>
                <w:sz w:val="18"/>
                <w:szCs w:val="18"/>
                <w:lang w:eastAsia="en-AU"/>
              </w:rPr>
              <w:t>Full</w:t>
            </w:r>
          </w:p>
          <w:p w:rsidR="00631108" w:rsidRPr="000F7462" w:rsidRDefault="00631108" w:rsidP="00591A35">
            <w:pPr>
              <w:rPr>
                <w:rFonts w:ascii="Arial Narrow" w:hAnsi="Arial Narrow"/>
                <w:vanish/>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Prescribing Instructions:</w:t>
            </w:r>
          </w:p>
          <w:p w:rsidR="00631108"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 xml:space="preserve">The application must include details of the NSAIDs trialled, their doses and duration of treatment. </w:t>
            </w:r>
          </w:p>
          <w:p w:rsidR="00631108" w:rsidRPr="008958D9" w:rsidRDefault="00631108" w:rsidP="00591A35">
            <w:pPr>
              <w:rPr>
                <w:rFonts w:ascii="Arial Narrow" w:hAnsi="Arial Narrow"/>
                <w:color w:val="333333"/>
                <w:sz w:val="18"/>
                <w:szCs w:val="18"/>
                <w:lang w:eastAsia="en-AU"/>
              </w:rPr>
            </w:pPr>
          </w:p>
          <w:p w:rsidR="00631108"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If the NSAID dose is less than the maximum recommended dose in the relevant TGA-approved Product Information, the application must include the reason a higher dose cannot be used.</w:t>
            </w:r>
          </w:p>
          <w:p w:rsidR="00631108" w:rsidRPr="008958D9" w:rsidRDefault="00631108" w:rsidP="00591A35">
            <w:pPr>
              <w:rPr>
                <w:rFonts w:ascii="Arial Narrow" w:hAnsi="Arial Narrow"/>
                <w:color w:val="333333"/>
                <w:sz w:val="18"/>
                <w:szCs w:val="18"/>
                <w:lang w:eastAsia="en-AU"/>
              </w:rPr>
            </w:pPr>
          </w:p>
          <w:p w:rsidR="00631108"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If treatment with NSAIDs is contraindicated according to the relevant TGA-approved Product Information, the application must provide details of the contraindication.</w:t>
            </w:r>
          </w:p>
          <w:p w:rsidR="00631108" w:rsidRPr="008958D9" w:rsidRDefault="00631108" w:rsidP="00591A35">
            <w:pPr>
              <w:rPr>
                <w:rFonts w:ascii="Arial Narrow" w:hAnsi="Arial Narrow"/>
                <w:color w:val="333333"/>
                <w:sz w:val="18"/>
                <w:szCs w:val="18"/>
                <w:lang w:eastAsia="en-AU"/>
              </w:rPr>
            </w:pPr>
          </w:p>
          <w:p w:rsidR="00631108" w:rsidRPr="000F7462"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If intolerance to NSAID treatment develops during the relevant period of use which is of a severity to necessitate permanent treatment withdrawal, the application must provide details of the nature and severity of this intolerance.</w:t>
            </w:r>
          </w:p>
        </w:tc>
      </w:tr>
      <w:tr w:rsidR="00631108" w:rsidRPr="000F7462" w:rsidTr="00591A35">
        <w:tc>
          <w:tcPr>
            <w:tcW w:w="548" w:type="pct"/>
            <w:vAlign w:val="center"/>
            <w:hideMark/>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edit</w:t>
            </w:r>
          </w:p>
          <w:p w:rsidR="00631108" w:rsidRDefault="00631108" w:rsidP="00591A35">
            <w:pPr>
              <w:jc w:val="center"/>
              <w:rPr>
                <w:rFonts w:ascii="Arial Narrow" w:hAnsi="Arial Narrow"/>
                <w:color w:val="333333"/>
                <w:sz w:val="18"/>
                <w:szCs w:val="18"/>
                <w:lang w:eastAsia="en-AU"/>
              </w:rPr>
            </w:pPr>
            <w:r w:rsidRPr="00C55666">
              <w:rPr>
                <w:rFonts w:ascii="Arial Narrow" w:hAnsi="Arial Narrow"/>
                <w:color w:val="333333"/>
                <w:sz w:val="18"/>
                <w:szCs w:val="18"/>
                <w:lang w:eastAsia="en-AU"/>
              </w:rPr>
              <w:lastRenderedPageBreak/>
              <w:t>23054</w:t>
            </w:r>
          </w:p>
          <w:p w:rsidR="00631108" w:rsidRPr="008958D9" w:rsidRDefault="00631108" w:rsidP="00591A35">
            <w:pPr>
              <w:jc w:val="center"/>
              <w:outlineLvl w:val="4"/>
              <w:rPr>
                <w:rFonts w:ascii="Arial Narrow" w:hAnsi="Arial Narrow"/>
                <w:vanish/>
                <w:color w:val="333333"/>
                <w:sz w:val="18"/>
                <w:szCs w:val="18"/>
                <w:lang w:eastAsia="en-AU"/>
              </w:rPr>
            </w:pPr>
            <w:r w:rsidRPr="008958D9">
              <w:rPr>
                <w:rFonts w:ascii="Arial Narrow" w:hAnsi="Arial Narrow"/>
                <w:vanish/>
                <w:color w:val="555555"/>
                <w:sz w:val="18"/>
                <w:szCs w:val="18"/>
                <w:lang w:eastAsia="en-AU"/>
              </w:rPr>
              <w:t>Full</w:t>
            </w:r>
          </w:p>
          <w:p w:rsidR="00631108" w:rsidRPr="000F7462" w:rsidRDefault="00631108" w:rsidP="00591A35">
            <w:pPr>
              <w:rPr>
                <w:rFonts w:ascii="Arial Narrow" w:hAnsi="Arial Narrow"/>
                <w:vanish/>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lastRenderedPageBreak/>
              <w:t>Prescribing Instructions:</w:t>
            </w:r>
          </w:p>
          <w:p w:rsidR="00631108" w:rsidRPr="008958D9"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lastRenderedPageBreak/>
              <w:t>The following criteria indicate failure to achieve an adequate response to NSAIDs and must have been demonstrated prior to initiation of non PBS subsidised treatment with this drug for this condition:</w:t>
            </w:r>
          </w:p>
          <w:p w:rsidR="00631108" w:rsidRPr="008958D9"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(a) a Bath Ankylosing Spondylitis Disease Activity Index (BASDAI) of at least 4 on a 0-10 scale; and</w:t>
            </w:r>
          </w:p>
          <w:p w:rsidR="00631108" w:rsidRPr="008958D9"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(b) C-reactive protein (CRP) level greater than 10 mg per L.</w:t>
            </w:r>
          </w:p>
          <w:p w:rsidR="00631108" w:rsidRPr="008958D9"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The BASDAI must be determined at the completion of the 3-month NSAID and exercise trial, but prior to ceasing NSAID treatment. The BASDAI must be no more than 1 month old at the time of initiating non-PBS subsidised treatment with this drug for this condition.</w:t>
            </w:r>
          </w:p>
          <w:p w:rsidR="00631108" w:rsidRPr="000F7462" w:rsidRDefault="00631108" w:rsidP="00591A35">
            <w:pPr>
              <w:rPr>
                <w:rFonts w:ascii="Arial Narrow" w:hAnsi="Arial Narrow"/>
                <w:color w:val="333333"/>
                <w:sz w:val="18"/>
                <w:szCs w:val="18"/>
                <w:lang w:eastAsia="en-AU"/>
              </w:rPr>
            </w:pPr>
            <w:r w:rsidRPr="008958D9">
              <w:rPr>
                <w:rFonts w:ascii="Arial Narrow" w:hAnsi="Arial Narrow"/>
                <w:color w:val="333333"/>
                <w:sz w:val="18"/>
                <w:szCs w:val="18"/>
                <w:lang w:eastAsia="en-AU"/>
              </w:rPr>
              <w:t>CRP measurement must be provided with the initial treatment application and must be no more than 1 month old at the time of initiating non-PBS subsidised treatment with this drug for this condition.</w:t>
            </w:r>
            <w:r>
              <w:rPr>
                <w:rFonts w:ascii="Arial Narrow" w:hAnsi="Arial Narrow"/>
                <w:color w:val="333333"/>
                <w:sz w:val="18"/>
                <w:szCs w:val="18"/>
                <w:lang w:eastAsia="en-AU"/>
              </w:rPr>
              <w:t xml:space="preserve"> </w:t>
            </w:r>
            <w:r w:rsidRPr="001B6EC2">
              <w:rPr>
                <w:rFonts w:ascii="Arial Narrow" w:hAnsi="Arial Narrow"/>
                <w:i/>
                <w:color w:val="333333"/>
                <w:sz w:val="18"/>
                <w:szCs w:val="18"/>
                <w:lang w:eastAsia="en-AU"/>
              </w:rPr>
              <w:t xml:space="preserve">If the requirement to demonstrate an elevated CRP </w:t>
            </w:r>
            <w:r>
              <w:rPr>
                <w:rFonts w:ascii="Arial Narrow" w:hAnsi="Arial Narrow"/>
                <w:i/>
                <w:color w:val="333333"/>
                <w:sz w:val="18"/>
                <w:szCs w:val="18"/>
                <w:lang w:eastAsia="en-AU"/>
              </w:rPr>
              <w:t>could not</w:t>
            </w:r>
            <w:r w:rsidRPr="001B6EC2">
              <w:rPr>
                <w:rFonts w:ascii="Arial Narrow" w:hAnsi="Arial Narrow"/>
                <w:i/>
                <w:color w:val="333333"/>
                <w:sz w:val="18"/>
                <w:szCs w:val="18"/>
                <w:lang w:eastAsia="en-AU"/>
              </w:rPr>
              <w:t xml:space="preserve"> be met, the reason must be </w:t>
            </w:r>
            <w:r>
              <w:rPr>
                <w:rFonts w:ascii="Arial Narrow" w:hAnsi="Arial Narrow"/>
                <w:i/>
                <w:color w:val="333333"/>
                <w:sz w:val="18"/>
                <w:szCs w:val="18"/>
                <w:lang w:eastAsia="en-AU"/>
              </w:rPr>
              <w:t>stated in the application</w:t>
            </w:r>
            <w:r w:rsidRPr="001B6EC2">
              <w:rPr>
                <w:rFonts w:ascii="Arial Narrow" w:hAnsi="Arial Narrow"/>
                <w:i/>
                <w:color w:val="333333"/>
                <w:sz w:val="18"/>
                <w:szCs w:val="18"/>
                <w:lang w:eastAsia="en-AU"/>
              </w:rPr>
              <w:t>.</w:t>
            </w:r>
          </w:p>
        </w:tc>
      </w:tr>
      <w:tr w:rsidR="00631108" w:rsidRPr="000F7462"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lastRenderedPageBreak/>
              <w:t>11161</w:t>
            </w:r>
          </w:p>
        </w:tc>
        <w:tc>
          <w:tcPr>
            <w:tcW w:w="4452" w:type="pct"/>
            <w:vAlign w:val="center"/>
          </w:tcPr>
          <w:p w:rsidR="00631108" w:rsidRPr="008958D9" w:rsidRDefault="00631108" w:rsidP="00591A35">
            <w:pPr>
              <w:rPr>
                <w:rFonts w:ascii="Arial Narrow" w:hAnsi="Arial Narrow"/>
                <w:b/>
                <w:bCs/>
                <w:color w:val="333333"/>
                <w:sz w:val="18"/>
                <w:szCs w:val="18"/>
                <w:lang w:eastAsia="en-AU"/>
              </w:rPr>
            </w:pPr>
            <w:r w:rsidRPr="008958D9">
              <w:rPr>
                <w:rFonts w:ascii="Arial Narrow" w:hAnsi="Arial Narrow"/>
                <w:b/>
                <w:bCs/>
                <w:color w:val="333333"/>
                <w:sz w:val="18"/>
                <w:szCs w:val="18"/>
                <w:lang w:eastAsia="en-AU"/>
              </w:rPr>
              <w:t>Prescribing Instructions:</w:t>
            </w:r>
          </w:p>
          <w:p w:rsidR="00631108" w:rsidRPr="008958D9" w:rsidRDefault="00631108" w:rsidP="00591A35">
            <w:pPr>
              <w:rPr>
                <w:rFonts w:ascii="Arial Narrow" w:hAnsi="Arial Narrow"/>
                <w:bCs/>
                <w:color w:val="333333"/>
                <w:sz w:val="18"/>
                <w:szCs w:val="18"/>
                <w:lang w:eastAsia="en-AU"/>
              </w:rPr>
            </w:pPr>
            <w:r w:rsidRPr="008958D9">
              <w:rPr>
                <w:rFonts w:ascii="Arial Narrow" w:hAnsi="Arial Narrow"/>
                <w:bCs/>
                <w:color w:val="333333"/>
                <w:sz w:val="18"/>
                <w:szCs w:val="18"/>
                <w:lang w:eastAsia="en-AU"/>
              </w:rPr>
              <w:t>The assessment of the patient's response to the initial course of treatment must be made following a minimum of 12 weeks of treatment and submitted no later than 4 weeks from the cessation of that treatment course. If the response assessment is not submitted within these timeframes, the patient will be deemed to have failed this course of treatment.</w:t>
            </w:r>
          </w:p>
        </w:tc>
      </w:tr>
      <w:tr w:rsidR="00631108" w:rsidRPr="000F7462" w:rsidTr="00591A35">
        <w:tc>
          <w:tcPr>
            <w:tcW w:w="548" w:type="pct"/>
            <w:vAlign w:val="center"/>
            <w:hideMark/>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edit</w:t>
            </w:r>
          </w:p>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23055</w:t>
            </w:r>
          </w:p>
          <w:p w:rsidR="00631108" w:rsidRPr="00E11884" w:rsidRDefault="00631108" w:rsidP="00591A35">
            <w:pPr>
              <w:jc w:val="center"/>
              <w:outlineLvl w:val="4"/>
              <w:rPr>
                <w:rFonts w:ascii="Arial Narrow" w:hAnsi="Arial Narrow"/>
                <w:vanish/>
                <w:color w:val="333333"/>
                <w:sz w:val="18"/>
                <w:szCs w:val="18"/>
                <w:lang w:eastAsia="en-AU"/>
              </w:rPr>
            </w:pPr>
            <w:r w:rsidRPr="00E11884">
              <w:rPr>
                <w:rFonts w:ascii="Arial Narrow" w:hAnsi="Arial Narrow"/>
                <w:vanish/>
                <w:color w:val="555555"/>
                <w:sz w:val="18"/>
                <w:szCs w:val="18"/>
                <w:lang w:eastAsia="en-AU"/>
              </w:rPr>
              <w:t>Full</w:t>
            </w:r>
          </w:p>
          <w:p w:rsidR="00631108" w:rsidRPr="000F7462" w:rsidRDefault="00631108" w:rsidP="00591A35">
            <w:pPr>
              <w:jc w:val="center"/>
              <w:rPr>
                <w:rFonts w:ascii="Arial Narrow" w:hAnsi="Arial Narrow"/>
                <w:vanish/>
                <w:color w:val="333333"/>
                <w:sz w:val="18"/>
                <w:szCs w:val="18"/>
                <w:lang w:eastAsia="en-AU"/>
              </w:rPr>
            </w:pP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Prescribing Instructions:</w:t>
            </w:r>
          </w:p>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An adequate response to therapy with this drug is defined as a reduction from baseline in the Bath Ankylosing Spondylitis Disease Activity Index (BASDAI) score by 2 or more units (on a scale of </w:t>
            </w:r>
            <w:r w:rsidRPr="00B47AC2">
              <w:rPr>
                <w:rFonts w:ascii="Arial Narrow" w:hAnsi="Arial Narrow"/>
                <w:strike/>
                <w:color w:val="333333"/>
                <w:sz w:val="18"/>
                <w:szCs w:val="18"/>
                <w:lang w:eastAsia="en-AU"/>
              </w:rPr>
              <w:t>1</w:t>
            </w:r>
            <w:r>
              <w:rPr>
                <w:rFonts w:ascii="Arial Narrow" w:hAnsi="Arial Narrow"/>
                <w:i/>
                <w:color w:val="333333"/>
                <w:sz w:val="18"/>
                <w:szCs w:val="18"/>
                <w:lang w:eastAsia="en-AU"/>
              </w:rPr>
              <w:t xml:space="preserve">0 </w:t>
            </w:r>
            <w:r w:rsidRPr="000F7462">
              <w:rPr>
                <w:rFonts w:ascii="Arial Narrow" w:hAnsi="Arial Narrow"/>
                <w:color w:val="333333"/>
                <w:sz w:val="18"/>
                <w:szCs w:val="18"/>
                <w:lang w:eastAsia="en-AU"/>
              </w:rPr>
              <w:t>-10) and 1 of the following:</w:t>
            </w:r>
          </w:p>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(a) a CRP measurement no greater than 10 mg per L; or</w:t>
            </w:r>
          </w:p>
          <w:p w:rsidR="00631108" w:rsidRPr="000F7462" w:rsidRDefault="00631108" w:rsidP="00591A35">
            <w:pPr>
              <w:rPr>
                <w:rFonts w:ascii="Arial Narrow" w:hAnsi="Arial Narrow"/>
                <w:color w:val="333333"/>
                <w:sz w:val="18"/>
                <w:szCs w:val="18"/>
                <w:lang w:eastAsia="en-AU"/>
              </w:rPr>
            </w:pPr>
            <w:r w:rsidRPr="000F7462">
              <w:rPr>
                <w:rFonts w:ascii="Arial Narrow" w:hAnsi="Arial Narrow"/>
                <w:color w:val="333333"/>
                <w:sz w:val="18"/>
                <w:szCs w:val="18"/>
                <w:lang w:eastAsia="en-AU"/>
              </w:rPr>
              <w:t xml:space="preserve">(b) </w:t>
            </w:r>
            <w:proofErr w:type="gramStart"/>
            <w:r w:rsidRPr="000F7462">
              <w:rPr>
                <w:rFonts w:ascii="Arial Narrow" w:hAnsi="Arial Narrow"/>
                <w:color w:val="333333"/>
                <w:sz w:val="18"/>
                <w:szCs w:val="18"/>
                <w:lang w:eastAsia="en-AU"/>
              </w:rPr>
              <w:t>a</w:t>
            </w:r>
            <w:proofErr w:type="gramEnd"/>
            <w:r w:rsidRPr="000F7462">
              <w:rPr>
                <w:rFonts w:ascii="Arial Narrow" w:hAnsi="Arial Narrow"/>
                <w:color w:val="333333"/>
                <w:sz w:val="18"/>
                <w:szCs w:val="18"/>
                <w:lang w:eastAsia="en-AU"/>
              </w:rPr>
              <w:t xml:space="preserve"> CRP measurement reduced by at least 20% from baseline.</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23701</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Prescribing Instructions:</w:t>
            </w:r>
          </w:p>
          <w:p w:rsidR="00631108" w:rsidRPr="000F7462" w:rsidRDefault="00631108" w:rsidP="00591A35">
            <w:pPr>
              <w:rPr>
                <w:rFonts w:ascii="Arial Narrow" w:hAnsi="Arial Narrow"/>
                <w:color w:val="333333"/>
                <w:sz w:val="18"/>
                <w:szCs w:val="18"/>
                <w:lang w:eastAsia="en-AU"/>
              </w:rPr>
            </w:pPr>
            <w:r w:rsidRPr="00C55666">
              <w:rPr>
                <w:rFonts w:ascii="Arial Narrow" w:hAnsi="Arial Narrow"/>
                <w:color w:val="333333"/>
                <w:sz w:val="18"/>
                <w:szCs w:val="18"/>
                <w:lang w:eastAsia="en-AU"/>
              </w:rPr>
              <w:t>A Grandfathered patient may qualify for PBS-subsidised treatment under this restriction once only. For continuing PBS-subsidised treatment, a Grandfathered patient must qualify under the continuing treatment criteria.</w:t>
            </w:r>
          </w:p>
        </w:tc>
      </w:tr>
      <w:tr w:rsidR="00631108" w:rsidRPr="000F7462"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edit</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23056</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Full</w:t>
            </w:r>
          </w:p>
        </w:tc>
        <w:tc>
          <w:tcPr>
            <w:tcW w:w="4452" w:type="pct"/>
            <w:vAlign w:val="center"/>
          </w:tcPr>
          <w:p w:rsidR="00631108" w:rsidRPr="00E11884" w:rsidRDefault="00631108" w:rsidP="00591A35">
            <w:pPr>
              <w:rPr>
                <w:rFonts w:ascii="Arial Narrow" w:hAnsi="Arial Narrow"/>
                <w:b/>
                <w:bCs/>
                <w:color w:val="333333"/>
                <w:sz w:val="18"/>
                <w:szCs w:val="18"/>
                <w:lang w:eastAsia="en-AU"/>
              </w:rPr>
            </w:pPr>
            <w:r w:rsidRPr="00E11884">
              <w:rPr>
                <w:rFonts w:ascii="Arial Narrow" w:hAnsi="Arial Narrow"/>
                <w:b/>
                <w:bCs/>
                <w:color w:val="333333"/>
                <w:sz w:val="18"/>
                <w:szCs w:val="18"/>
                <w:lang w:eastAsia="en-AU"/>
              </w:rPr>
              <w:t>Prescribing Instructions:</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The authority application must be made in writing and must include:</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(a) a completed authority prescription form; and</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(b) a completed Non-radiographic axial </w:t>
            </w:r>
            <w:proofErr w:type="spellStart"/>
            <w:r w:rsidRPr="00E11884">
              <w:rPr>
                <w:rFonts w:ascii="Arial Narrow" w:hAnsi="Arial Narrow"/>
                <w:bCs/>
                <w:color w:val="333333"/>
                <w:sz w:val="18"/>
                <w:szCs w:val="18"/>
                <w:lang w:eastAsia="en-AU"/>
              </w:rPr>
              <w:t>spondyloarthritis</w:t>
            </w:r>
            <w:proofErr w:type="spellEnd"/>
            <w:r w:rsidRPr="00E11884">
              <w:rPr>
                <w:rFonts w:ascii="Arial Narrow" w:hAnsi="Arial Narrow"/>
                <w:bCs/>
                <w:color w:val="333333"/>
                <w:sz w:val="18"/>
                <w:szCs w:val="18"/>
                <w:lang w:eastAsia="en-AU"/>
              </w:rPr>
              <w:t xml:space="preserve"> Grandfathered PBS Authority Application - Supporting Information Form which must include the following:</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w:t>
            </w:r>
            <w:proofErr w:type="spellStart"/>
            <w:r w:rsidRPr="00E11884">
              <w:rPr>
                <w:rFonts w:ascii="Arial Narrow" w:hAnsi="Arial Narrow"/>
                <w:bCs/>
                <w:color w:val="333333"/>
                <w:sz w:val="18"/>
                <w:szCs w:val="18"/>
                <w:lang w:eastAsia="en-AU"/>
              </w:rPr>
              <w:t>i</w:t>
            </w:r>
            <w:proofErr w:type="spellEnd"/>
            <w:r w:rsidRPr="00E11884">
              <w:rPr>
                <w:rFonts w:ascii="Arial Narrow" w:hAnsi="Arial Narrow"/>
                <w:bCs/>
                <w:color w:val="333333"/>
                <w:sz w:val="18"/>
                <w:szCs w:val="18"/>
                <w:lang w:eastAsia="en-AU"/>
              </w:rPr>
              <w:t xml:space="preserve">) a copy of the radiological report confirming the absence of Grade II bilateral </w:t>
            </w:r>
            <w:proofErr w:type="spellStart"/>
            <w:r w:rsidRPr="00E11884">
              <w:rPr>
                <w:rFonts w:ascii="Arial Narrow" w:hAnsi="Arial Narrow"/>
                <w:bCs/>
                <w:color w:val="333333"/>
                <w:sz w:val="18"/>
                <w:szCs w:val="18"/>
                <w:lang w:eastAsia="en-AU"/>
              </w:rPr>
              <w:t>sacroiliitis</w:t>
            </w:r>
            <w:proofErr w:type="spellEnd"/>
            <w:r w:rsidRPr="00E11884">
              <w:rPr>
                <w:rFonts w:ascii="Arial Narrow" w:hAnsi="Arial Narrow"/>
                <w:bCs/>
                <w:color w:val="333333"/>
                <w:sz w:val="18"/>
                <w:szCs w:val="18"/>
                <w:lang w:eastAsia="en-AU"/>
              </w:rPr>
              <w:t xml:space="preserve"> or Grade III or IV unilateral </w:t>
            </w:r>
            <w:proofErr w:type="spellStart"/>
            <w:r w:rsidRPr="00E11884">
              <w:rPr>
                <w:rFonts w:ascii="Arial Narrow" w:hAnsi="Arial Narrow"/>
                <w:bCs/>
                <w:color w:val="333333"/>
                <w:sz w:val="18"/>
                <w:szCs w:val="18"/>
                <w:lang w:eastAsia="en-AU"/>
              </w:rPr>
              <w:t>sacroiliitis</w:t>
            </w:r>
            <w:proofErr w:type="spellEnd"/>
            <w:r w:rsidRPr="00E11884">
              <w:rPr>
                <w:rFonts w:ascii="Arial Narrow" w:hAnsi="Arial Narrow"/>
                <w:bCs/>
                <w:color w:val="333333"/>
                <w:sz w:val="18"/>
                <w:szCs w:val="18"/>
                <w:lang w:eastAsia="en-AU"/>
              </w:rPr>
              <w:t>; and</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(ii) evidence of failure to achieve an adequate response to NSAIDs prior to initiating non-PBS subsidised </w:t>
            </w:r>
            <w:r>
              <w:rPr>
                <w:rFonts w:ascii="Arial Narrow" w:hAnsi="Arial Narrow"/>
                <w:bCs/>
                <w:i/>
                <w:color w:val="333333"/>
                <w:sz w:val="18"/>
                <w:szCs w:val="18"/>
                <w:lang w:eastAsia="en-AU"/>
              </w:rPr>
              <w:t xml:space="preserve">treatment with this biological medicine </w:t>
            </w:r>
            <w:r>
              <w:rPr>
                <w:rFonts w:ascii="Arial Narrow" w:hAnsi="Arial Narrow"/>
                <w:bCs/>
                <w:color w:val="333333"/>
                <w:sz w:val="18"/>
                <w:szCs w:val="18"/>
                <w:lang w:eastAsia="en-AU"/>
              </w:rPr>
              <w:t>for this condition</w:t>
            </w:r>
            <w:r w:rsidRPr="00E11884">
              <w:rPr>
                <w:rFonts w:ascii="Arial Narrow" w:hAnsi="Arial Narrow"/>
                <w:bCs/>
                <w:color w:val="333333"/>
                <w:sz w:val="18"/>
                <w:szCs w:val="18"/>
                <w:lang w:eastAsia="en-AU"/>
              </w:rPr>
              <w:t>; and</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(iii) evidence of an adequate response to therapy with non-PBS subsidised</w:t>
            </w:r>
            <w:r>
              <w:rPr>
                <w:rFonts w:ascii="Arial Narrow" w:hAnsi="Arial Narrow"/>
                <w:bCs/>
                <w:color w:val="333333"/>
                <w:sz w:val="18"/>
                <w:szCs w:val="18"/>
                <w:lang w:eastAsia="en-AU"/>
              </w:rPr>
              <w:t xml:space="preserve"> </w:t>
            </w:r>
            <w:r>
              <w:rPr>
                <w:rFonts w:ascii="Arial Narrow" w:hAnsi="Arial Narrow"/>
                <w:bCs/>
                <w:i/>
                <w:color w:val="333333"/>
                <w:sz w:val="18"/>
                <w:szCs w:val="18"/>
                <w:lang w:eastAsia="en-AU"/>
              </w:rPr>
              <w:t>treatment with this biological medicine</w:t>
            </w:r>
            <w:r w:rsidRPr="00E11884">
              <w:rPr>
                <w:rFonts w:ascii="Arial Narrow" w:hAnsi="Arial Narrow"/>
                <w:bCs/>
                <w:color w:val="333333"/>
                <w:sz w:val="18"/>
                <w:szCs w:val="18"/>
                <w:lang w:eastAsia="en-AU"/>
              </w:rPr>
              <w:t xml:space="preserve"> for this condition following a minimum of 12 weeks of treatment with this </w:t>
            </w:r>
            <w:r w:rsidRPr="00E11884">
              <w:rPr>
                <w:rFonts w:ascii="Arial Narrow" w:hAnsi="Arial Narrow"/>
                <w:bCs/>
                <w:strike/>
                <w:color w:val="333333"/>
                <w:sz w:val="18"/>
                <w:szCs w:val="18"/>
                <w:lang w:eastAsia="en-AU"/>
              </w:rPr>
              <w:t>drug for this condition</w:t>
            </w:r>
            <w:r>
              <w:rPr>
                <w:rFonts w:ascii="Arial Narrow" w:hAnsi="Arial Narrow"/>
                <w:bCs/>
                <w:i/>
                <w:color w:val="333333"/>
                <w:sz w:val="18"/>
                <w:szCs w:val="18"/>
                <w:lang w:eastAsia="en-AU"/>
              </w:rPr>
              <w:t xml:space="preserve"> biological medicine</w:t>
            </w:r>
            <w:r w:rsidRPr="00E11884">
              <w:rPr>
                <w:rFonts w:ascii="Arial Narrow" w:hAnsi="Arial Narrow"/>
                <w:bCs/>
                <w:color w:val="333333"/>
                <w:sz w:val="18"/>
                <w:szCs w:val="18"/>
                <w:lang w:eastAsia="en-AU"/>
              </w:rPr>
              <w:t>; and</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(iv) a copy of the MRI report; and</w:t>
            </w:r>
          </w:p>
          <w:p w:rsidR="00631108" w:rsidRPr="000F7462" w:rsidRDefault="00631108" w:rsidP="00591A35">
            <w:pPr>
              <w:rPr>
                <w:rFonts w:ascii="Arial Narrow" w:hAnsi="Arial Narrow"/>
                <w:b/>
                <w:bCs/>
                <w:color w:val="333333"/>
                <w:sz w:val="18"/>
                <w:szCs w:val="18"/>
                <w:lang w:eastAsia="en-AU"/>
              </w:rPr>
            </w:pPr>
            <w:r w:rsidRPr="00E11884">
              <w:rPr>
                <w:rFonts w:ascii="Arial Narrow" w:hAnsi="Arial Narrow"/>
                <w:bCs/>
                <w:color w:val="333333"/>
                <w:sz w:val="18"/>
                <w:szCs w:val="18"/>
                <w:lang w:eastAsia="en-AU"/>
              </w:rPr>
              <w:t xml:space="preserve">(v) </w:t>
            </w:r>
            <w:proofErr w:type="gramStart"/>
            <w:r w:rsidRPr="00E11884">
              <w:rPr>
                <w:rFonts w:ascii="Arial Narrow" w:hAnsi="Arial Narrow"/>
                <w:bCs/>
                <w:color w:val="333333"/>
                <w:sz w:val="18"/>
                <w:szCs w:val="18"/>
                <w:lang w:eastAsia="en-AU"/>
              </w:rPr>
              <w:t>details</w:t>
            </w:r>
            <w:proofErr w:type="gramEnd"/>
            <w:r w:rsidRPr="00E11884">
              <w:rPr>
                <w:rFonts w:ascii="Arial Narrow" w:hAnsi="Arial Narrow"/>
                <w:bCs/>
                <w:color w:val="333333"/>
                <w:sz w:val="18"/>
                <w:szCs w:val="18"/>
                <w:lang w:eastAsia="en-AU"/>
              </w:rPr>
              <w:t xml:space="preserve"> of the NSAIDs trialled, their doses and duration of treatment or the reason a higher dose cannot be used where the NSAID dose is less than the maximum recommended dose in the relevant TGA-approved Product Information or details of the contraindication according to the relevant TGA-approved Product Information.</w:t>
            </w:r>
          </w:p>
        </w:tc>
      </w:tr>
      <w:tr w:rsidR="00631108" w:rsidRPr="000F7462"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sz w:val="18"/>
                <w:szCs w:val="18"/>
              </w:rPr>
              <w:t>11164</w:t>
            </w:r>
          </w:p>
        </w:tc>
        <w:tc>
          <w:tcPr>
            <w:tcW w:w="4452" w:type="pct"/>
            <w:vAlign w:val="center"/>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p>
          <w:p w:rsidR="00631108" w:rsidRPr="000F7462" w:rsidRDefault="00631108" w:rsidP="00591A35">
            <w:pPr>
              <w:rPr>
                <w:rFonts w:ascii="Arial Narrow" w:hAnsi="Arial Narrow"/>
                <w:b/>
                <w:bCs/>
                <w:color w:val="333333"/>
                <w:sz w:val="18"/>
                <w:szCs w:val="18"/>
                <w:lang w:eastAsia="en-AU"/>
              </w:rPr>
            </w:pPr>
            <w:r w:rsidRPr="00660A85">
              <w:rPr>
                <w:rFonts w:ascii="Arial Narrow" w:hAnsi="Arial Narrow"/>
                <w:sz w:val="18"/>
                <w:szCs w:val="18"/>
              </w:rPr>
              <w:t>Details of the toxicities, including severity, which will be accepted for the purposes of administering this restriction can be found on the Department of Human Services website at www.humanservices.gov.au</w:t>
            </w:r>
          </w:p>
        </w:tc>
      </w:tr>
      <w:tr w:rsidR="00631108" w:rsidRPr="000F7462" w:rsidTr="00591A35">
        <w:tc>
          <w:tcPr>
            <w:tcW w:w="548" w:type="pct"/>
            <w:vAlign w:val="center"/>
          </w:tcPr>
          <w:p w:rsidR="00631108" w:rsidRPr="00660A85" w:rsidRDefault="00631108" w:rsidP="00591A35">
            <w:pPr>
              <w:jc w:val="center"/>
              <w:rPr>
                <w:rFonts w:ascii="Arial Narrow" w:hAnsi="Arial Narrow"/>
                <w:sz w:val="18"/>
                <w:szCs w:val="18"/>
              </w:rPr>
            </w:pPr>
            <w:r w:rsidRPr="00660A85">
              <w:rPr>
                <w:rFonts w:ascii="Arial Narrow" w:hAnsi="Arial Narrow"/>
                <w:sz w:val="18"/>
                <w:szCs w:val="18"/>
              </w:rPr>
              <w:t>1116</w:t>
            </w:r>
            <w:r>
              <w:rPr>
                <w:rFonts w:ascii="Arial Narrow" w:hAnsi="Arial Narrow"/>
                <w:sz w:val="18"/>
                <w:szCs w:val="18"/>
              </w:rPr>
              <w:t>5</w:t>
            </w:r>
          </w:p>
          <w:p w:rsidR="00631108" w:rsidRPr="00E11884" w:rsidRDefault="00631108" w:rsidP="00591A35">
            <w:pPr>
              <w:jc w:val="center"/>
              <w:rPr>
                <w:rFonts w:ascii="Arial Narrow" w:hAnsi="Arial Narrow"/>
                <w:color w:val="333333"/>
                <w:sz w:val="18"/>
                <w:szCs w:val="18"/>
                <w:lang w:eastAsia="en-AU"/>
              </w:rPr>
            </w:pPr>
            <w:r w:rsidRPr="00E11884">
              <w:rPr>
                <w:rFonts w:ascii="Arial Narrow" w:hAnsi="Arial Narrow"/>
                <w:vanish/>
                <w:sz w:val="18"/>
                <w:szCs w:val="18"/>
              </w:rPr>
              <w:t>CAR</w:t>
            </w:r>
          </w:p>
        </w:tc>
        <w:tc>
          <w:tcPr>
            <w:tcW w:w="4452" w:type="pct"/>
            <w:vAlign w:val="center"/>
          </w:tcPr>
          <w:p w:rsidR="00631108" w:rsidRPr="00660A85" w:rsidRDefault="00631108" w:rsidP="00591A35">
            <w:pPr>
              <w:rPr>
                <w:rFonts w:ascii="Arial Narrow" w:hAnsi="Arial Narrow"/>
                <w:sz w:val="18"/>
                <w:szCs w:val="18"/>
              </w:rPr>
            </w:pPr>
            <w:r w:rsidRPr="00660A85">
              <w:rPr>
                <w:rFonts w:ascii="Arial Narrow" w:hAnsi="Arial Narrow"/>
                <w:b/>
                <w:bCs/>
                <w:sz w:val="18"/>
                <w:szCs w:val="18"/>
              </w:rPr>
              <w:t>Administrative Advice:</w:t>
            </w:r>
          </w:p>
          <w:p w:rsidR="00631108" w:rsidRPr="000F7462" w:rsidRDefault="00631108" w:rsidP="00591A35">
            <w:pPr>
              <w:rPr>
                <w:rFonts w:ascii="Arial Narrow" w:hAnsi="Arial Narrow"/>
                <w:b/>
                <w:bCs/>
                <w:color w:val="333333"/>
                <w:sz w:val="18"/>
                <w:szCs w:val="18"/>
                <w:lang w:eastAsia="en-AU"/>
              </w:rPr>
            </w:pPr>
            <w:r w:rsidRPr="00660A85">
              <w:rPr>
                <w:rFonts w:ascii="Arial Narrow" w:hAnsi="Arial Narrow"/>
                <w:sz w:val="18"/>
                <w:szCs w:val="18"/>
              </w:rPr>
              <w:t>For details on the appropriate minimum exercise program that will be accepted for the purposes of administering this restriction, please refer to the Department of Human Services website at www.humanservices.gov.au</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7606</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0F7462">
              <w:rPr>
                <w:rFonts w:ascii="Arial Narrow" w:hAnsi="Arial Narrow"/>
                <w:color w:val="333333"/>
                <w:sz w:val="18"/>
                <w:szCs w:val="18"/>
                <w:lang w:eastAsia="en-AU"/>
              </w:rPr>
              <w:t>No increase in the maximum quantity or number of units may be authorised.</w:t>
            </w:r>
          </w:p>
        </w:tc>
      </w:tr>
      <w:tr w:rsidR="00631108" w:rsidRPr="000F7462" w:rsidTr="00591A35">
        <w:tc>
          <w:tcPr>
            <w:tcW w:w="548" w:type="pct"/>
            <w:vAlign w:val="center"/>
            <w:hideMark/>
          </w:tcPr>
          <w:p w:rsidR="00631108" w:rsidRPr="000F7462"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7607</w:t>
            </w:r>
          </w:p>
        </w:tc>
        <w:tc>
          <w:tcPr>
            <w:tcW w:w="4452" w:type="pct"/>
            <w:vAlign w:val="center"/>
            <w:hideMark/>
          </w:tcPr>
          <w:p w:rsidR="00631108" w:rsidRPr="000F7462" w:rsidRDefault="00631108" w:rsidP="00591A35">
            <w:pPr>
              <w:rPr>
                <w:rFonts w:ascii="Arial Narrow" w:hAnsi="Arial Narrow"/>
                <w:color w:val="333333"/>
                <w:sz w:val="18"/>
                <w:szCs w:val="18"/>
                <w:lang w:eastAsia="en-AU"/>
              </w:rPr>
            </w:pPr>
            <w:r w:rsidRPr="000F7462">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0F7462">
              <w:rPr>
                <w:rFonts w:ascii="Arial Narrow" w:hAnsi="Arial Narrow"/>
                <w:color w:val="333333"/>
                <w:sz w:val="18"/>
                <w:szCs w:val="18"/>
                <w:lang w:eastAsia="en-AU"/>
              </w:rPr>
              <w:t>No increase in the maximum number of repeats may be authorised.</w:t>
            </w:r>
          </w:p>
        </w:tc>
      </w:tr>
      <w:tr w:rsidR="00631108" w:rsidRPr="000F7462"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7753</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CAR</w:t>
            </w:r>
          </w:p>
        </w:tc>
        <w:tc>
          <w:tcPr>
            <w:tcW w:w="4452" w:type="pct"/>
            <w:vAlign w:val="center"/>
          </w:tcPr>
          <w:p w:rsidR="00631108" w:rsidRPr="00E11884" w:rsidRDefault="00631108" w:rsidP="00591A35">
            <w:pPr>
              <w:rPr>
                <w:rFonts w:ascii="Arial Narrow" w:hAnsi="Arial Narrow"/>
                <w:b/>
                <w:bCs/>
                <w:color w:val="333333"/>
                <w:sz w:val="18"/>
                <w:szCs w:val="18"/>
                <w:lang w:eastAsia="en-AU"/>
              </w:rPr>
            </w:pPr>
            <w:r w:rsidRPr="00E11884">
              <w:rPr>
                <w:rFonts w:ascii="Arial Narrow" w:hAnsi="Arial Narrow"/>
                <w:b/>
                <w:bCs/>
                <w:color w:val="333333"/>
                <w:sz w:val="18"/>
                <w:szCs w:val="18"/>
                <w:lang w:eastAsia="en-AU"/>
              </w:rPr>
              <w:t>Administrative Advice:</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Any queries concerning the arrangements to prescribe may be directed to the Department of Human Services on 1800 700 270 (hours of operation 8 a.m. to 5 p.m. EST Monday to Friday). </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Prescribing information (including Authority Application forms and other relevant documentation as applicable) is available on the Department of Human Services website at www.humanservices.gov.au</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Applications for authority to prescribe should be forwarded to: </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Department of Human Services</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Complex Drugs </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Reply Paid 9826 </w:t>
            </w:r>
          </w:p>
          <w:p w:rsidR="00631108" w:rsidRPr="000F7462" w:rsidRDefault="00631108" w:rsidP="00591A35">
            <w:pPr>
              <w:rPr>
                <w:rFonts w:ascii="Arial Narrow" w:hAnsi="Arial Narrow"/>
                <w:b/>
                <w:bCs/>
                <w:color w:val="333333"/>
                <w:sz w:val="18"/>
                <w:szCs w:val="18"/>
                <w:lang w:eastAsia="en-AU"/>
              </w:rPr>
            </w:pPr>
            <w:r w:rsidRPr="00E11884">
              <w:rPr>
                <w:rFonts w:ascii="Arial Narrow" w:hAnsi="Arial Narrow"/>
                <w:bCs/>
                <w:color w:val="333333"/>
                <w:sz w:val="18"/>
                <w:szCs w:val="18"/>
                <w:lang w:eastAsia="en-AU"/>
              </w:rPr>
              <w:t>HOBART TAS 7001</w:t>
            </w:r>
          </w:p>
        </w:tc>
      </w:tr>
    </w:tbl>
    <w:p w:rsidR="00631108" w:rsidRDefault="00631108" w:rsidP="00631108">
      <w:pPr>
        <w:rPr>
          <w:lang w:val="en-GB"/>
        </w:rPr>
      </w:pPr>
    </w:p>
    <w:p w:rsidR="00631108" w:rsidRDefault="00631108" w:rsidP="00631108">
      <w:pPr>
        <w:rPr>
          <w:rFonts w:ascii="Arial Narrow" w:hAnsi="Arial Narrow"/>
          <w:b/>
          <w:sz w:val="18"/>
          <w:szCs w:val="18"/>
          <w:lang w:val="en-GB"/>
        </w:rPr>
      </w:pPr>
      <w:r>
        <w:rPr>
          <w:rFonts w:ascii="Arial Narrow" w:hAnsi="Arial Narrow"/>
          <w:b/>
          <w:sz w:val="18"/>
          <w:szCs w:val="18"/>
          <w:lang w:val="en-GB"/>
        </w:rPr>
        <w:t xml:space="preserve">Continuing treatment </w:t>
      </w:r>
      <w:r w:rsidRPr="00B17AE7">
        <w:rPr>
          <w:rFonts w:ascii="Arial Narrow" w:hAnsi="Arial Narrow"/>
          <w:b/>
          <w:sz w:val="18"/>
          <w:szCs w:val="18"/>
          <w:lang w:val="en-GB"/>
        </w:rPr>
        <w:t xml:space="preserve">Restriction Summary </w:t>
      </w:r>
      <w:r>
        <w:rPr>
          <w:rFonts w:ascii="Arial Narrow" w:hAnsi="Arial Narrow"/>
          <w:b/>
          <w:sz w:val="18"/>
          <w:szCs w:val="18"/>
          <w:lang w:val="en-GB"/>
        </w:rPr>
        <w:t xml:space="preserve">[NEW] / </w:t>
      </w:r>
      <w:proofErr w:type="spellStart"/>
      <w:r>
        <w:rPr>
          <w:rFonts w:ascii="Arial Narrow" w:hAnsi="Arial Narrow"/>
          <w:b/>
          <w:sz w:val="18"/>
          <w:szCs w:val="18"/>
          <w:lang w:val="en-GB"/>
        </w:rPr>
        <w:t>ToC</w:t>
      </w:r>
      <w:proofErr w:type="spellEnd"/>
      <w:r>
        <w:rPr>
          <w:rFonts w:ascii="Arial Narrow" w:hAnsi="Arial Narrow"/>
          <w:b/>
          <w:sz w:val="18"/>
          <w:szCs w:val="18"/>
          <w:lang w:val="en-GB"/>
        </w:rPr>
        <w: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844"/>
        <w:gridCol w:w="846"/>
        <w:gridCol w:w="845"/>
        <w:gridCol w:w="847"/>
        <w:gridCol w:w="1127"/>
        <w:gridCol w:w="1834"/>
      </w:tblGrid>
      <w:tr w:rsidR="00631108" w:rsidRPr="000C6534" w:rsidTr="00591A35">
        <w:trPr>
          <w:cantSplit/>
          <w:trHeight w:val="408"/>
        </w:trPr>
        <w:tc>
          <w:tcPr>
            <w:tcW w:w="2691" w:type="dxa"/>
          </w:tcPr>
          <w:p w:rsidR="00631108" w:rsidRPr="000C6534" w:rsidRDefault="00631108" w:rsidP="00591A35">
            <w:pPr>
              <w:rPr>
                <w:rFonts w:ascii="Arial Narrow" w:hAnsi="Arial Narrow"/>
                <w:sz w:val="18"/>
                <w:szCs w:val="18"/>
              </w:rPr>
            </w:pPr>
            <w:r w:rsidRPr="000C6534">
              <w:rPr>
                <w:rFonts w:ascii="Arial Narrow" w:hAnsi="Arial Narrow"/>
                <w:sz w:val="18"/>
                <w:szCs w:val="18"/>
              </w:rPr>
              <w:lastRenderedPageBreak/>
              <w:t>Name, Restriction,</w:t>
            </w:r>
          </w:p>
          <w:p w:rsidR="00631108" w:rsidRPr="000C6534" w:rsidRDefault="00631108" w:rsidP="00591A35">
            <w:pPr>
              <w:rPr>
                <w:rFonts w:ascii="Arial Narrow" w:hAnsi="Arial Narrow"/>
                <w:sz w:val="18"/>
                <w:szCs w:val="18"/>
              </w:rPr>
            </w:pPr>
            <w:r w:rsidRPr="000C6534">
              <w:rPr>
                <w:rFonts w:ascii="Arial Narrow" w:hAnsi="Arial Narrow"/>
                <w:sz w:val="18"/>
                <w:szCs w:val="18"/>
              </w:rPr>
              <w:t>Manner of administration and form</w:t>
            </w:r>
          </w:p>
        </w:tc>
        <w:tc>
          <w:tcPr>
            <w:tcW w:w="848" w:type="dxa"/>
          </w:tcPr>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Max.Qty</w:t>
            </w:r>
            <w:proofErr w:type="spellEnd"/>
            <w:r>
              <w:rPr>
                <w:rFonts w:ascii="Arial Narrow" w:hAnsi="Arial Narrow"/>
                <w:sz w:val="18"/>
                <w:szCs w:val="18"/>
              </w:rPr>
              <w:t xml:space="preserve"> (Units)</w:t>
            </w: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 xml:space="preserve">Max. </w:t>
            </w:r>
            <w:proofErr w:type="spellStart"/>
            <w:r>
              <w:rPr>
                <w:rFonts w:ascii="Arial Narrow" w:hAnsi="Arial Narrow"/>
                <w:sz w:val="18"/>
                <w:szCs w:val="18"/>
              </w:rPr>
              <w:t>Qty</w:t>
            </w:r>
            <w:proofErr w:type="spellEnd"/>
            <w:r>
              <w:rPr>
                <w:rFonts w:ascii="Arial Narrow" w:hAnsi="Arial Narrow"/>
                <w:sz w:val="18"/>
                <w:szCs w:val="18"/>
              </w:rPr>
              <w:t xml:space="preserve"> (Packs)</w:t>
            </w:r>
          </w:p>
        </w:tc>
        <w:tc>
          <w:tcPr>
            <w:tcW w:w="849" w:type="dxa"/>
          </w:tcPr>
          <w:p w:rsidR="00631108" w:rsidRPr="000C6534" w:rsidRDefault="00631108" w:rsidP="00591A35">
            <w:pPr>
              <w:jc w:val="center"/>
              <w:rPr>
                <w:rFonts w:ascii="Arial Narrow" w:hAnsi="Arial Narrow"/>
                <w:sz w:val="18"/>
                <w:szCs w:val="18"/>
              </w:rPr>
            </w:pPr>
            <w:r w:rsidRPr="000C6534">
              <w:rPr>
                <w:rFonts w:ascii="Arial Narrow" w:hAnsi="Arial Narrow"/>
                <w:sz w:val="18"/>
                <w:szCs w:val="18"/>
              </w:rPr>
              <w:t>№.of</w:t>
            </w:r>
          </w:p>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Rpts</w:t>
            </w:r>
            <w:proofErr w:type="spellEnd"/>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PBS item code</w:t>
            </w:r>
          </w:p>
        </w:tc>
        <w:tc>
          <w:tcPr>
            <w:tcW w:w="2978" w:type="dxa"/>
            <w:gridSpan w:val="2"/>
          </w:tcPr>
          <w:p w:rsidR="00631108" w:rsidRPr="000C6534" w:rsidRDefault="00631108" w:rsidP="00591A35">
            <w:pPr>
              <w:rPr>
                <w:rFonts w:ascii="Arial Narrow" w:hAnsi="Arial Narrow"/>
                <w:sz w:val="18"/>
                <w:szCs w:val="18"/>
                <w:lang w:val="fr-FR"/>
              </w:rPr>
            </w:pPr>
            <w:r w:rsidRPr="000C6534">
              <w:rPr>
                <w:rFonts w:ascii="Arial Narrow" w:hAnsi="Arial Narrow"/>
                <w:sz w:val="18"/>
                <w:szCs w:val="18"/>
              </w:rPr>
              <w:t>Proprietary Name and Manufacturer</w:t>
            </w:r>
          </w:p>
        </w:tc>
      </w:tr>
      <w:tr w:rsidR="00631108" w:rsidRPr="000C6534" w:rsidTr="00591A35">
        <w:trPr>
          <w:cantSplit/>
          <w:trHeight w:val="500"/>
        </w:trPr>
        <w:tc>
          <w:tcPr>
            <w:tcW w:w="2691"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w:t>
            </w:r>
            <w:r w:rsidRPr="000C6534">
              <w:rPr>
                <w:rFonts w:ascii="Arial Narrow" w:hAnsi="Arial Narrow"/>
                <w:sz w:val="18"/>
                <w:szCs w:val="18"/>
              </w:rPr>
              <w:t>ertolizumab</w:t>
            </w:r>
            <w:proofErr w:type="spellEnd"/>
            <w:r>
              <w:rPr>
                <w:rFonts w:ascii="Arial Narrow" w:hAnsi="Arial Narrow"/>
                <w:sz w:val="18"/>
                <w:szCs w:val="18"/>
              </w:rPr>
              <w:t xml:space="preserve"> </w:t>
            </w:r>
            <w:proofErr w:type="spellStart"/>
            <w:r>
              <w:rPr>
                <w:rFonts w:ascii="Arial Narrow" w:hAnsi="Arial Narrow"/>
                <w:sz w:val="18"/>
                <w:szCs w:val="18"/>
              </w:rPr>
              <w:t>pegol</w:t>
            </w:r>
            <w:proofErr w:type="spellEnd"/>
            <w:r>
              <w:rPr>
                <w:rFonts w:ascii="Arial Narrow" w:hAnsi="Arial Narrow"/>
                <w:sz w:val="18"/>
                <w:szCs w:val="18"/>
              </w:rPr>
              <w:t xml:space="preserve"> </w:t>
            </w:r>
            <w:r w:rsidRPr="000C6534">
              <w:rPr>
                <w:rFonts w:ascii="Arial Narrow" w:hAnsi="Arial Narrow"/>
                <w:sz w:val="18"/>
                <w:szCs w:val="18"/>
              </w:rPr>
              <w:t>200</w:t>
            </w:r>
            <w:r>
              <w:rPr>
                <w:rFonts w:ascii="Arial Narrow" w:hAnsi="Arial Narrow"/>
                <w:sz w:val="18"/>
                <w:szCs w:val="18"/>
              </w:rPr>
              <w:t xml:space="preserve"> </w:t>
            </w:r>
            <w:r w:rsidRPr="000C6534">
              <w:rPr>
                <w:rFonts w:ascii="Arial Narrow" w:hAnsi="Arial Narrow"/>
                <w:sz w:val="18"/>
                <w:szCs w:val="18"/>
              </w:rPr>
              <w:t>mg/mL</w:t>
            </w:r>
            <w:r>
              <w:rPr>
                <w:rFonts w:ascii="Arial Narrow" w:hAnsi="Arial Narrow"/>
                <w:sz w:val="18"/>
                <w:szCs w:val="18"/>
              </w:rPr>
              <w:t xml:space="preserve"> injection, 2 x 1 mL pen devices</w:t>
            </w:r>
          </w:p>
        </w:tc>
        <w:tc>
          <w:tcPr>
            <w:tcW w:w="848" w:type="dxa"/>
          </w:tcPr>
          <w:p w:rsidR="00631108" w:rsidRPr="000C6534" w:rsidRDefault="00631108" w:rsidP="00591A35">
            <w:pPr>
              <w:jc w:val="center"/>
              <w:rPr>
                <w:rFonts w:ascii="Arial Narrow" w:hAnsi="Arial Narrow"/>
                <w:sz w:val="18"/>
                <w:szCs w:val="18"/>
              </w:rPr>
            </w:pPr>
            <w:r>
              <w:rPr>
                <w:rFonts w:ascii="Arial Narrow" w:hAnsi="Arial Narrow"/>
                <w:sz w:val="18"/>
                <w:szCs w:val="18"/>
              </w:rPr>
              <w:t>2</w:t>
            </w:r>
          </w:p>
          <w:p w:rsidR="00631108" w:rsidRPr="000C6534" w:rsidRDefault="00631108" w:rsidP="00591A35">
            <w:pPr>
              <w:jc w:val="center"/>
              <w:rPr>
                <w:rFonts w:ascii="Arial Narrow" w:hAnsi="Arial Narrow"/>
                <w:sz w:val="18"/>
                <w:szCs w:val="18"/>
              </w:rPr>
            </w:pPr>
          </w:p>
        </w:tc>
        <w:tc>
          <w:tcPr>
            <w:tcW w:w="850" w:type="dxa"/>
          </w:tcPr>
          <w:p w:rsidR="00631108" w:rsidRPr="000C6534"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Pr="000C6534" w:rsidRDefault="00631108" w:rsidP="00591A35">
            <w:pPr>
              <w:jc w:val="center"/>
              <w:rPr>
                <w:rFonts w:ascii="Arial Narrow" w:hAnsi="Arial Narrow"/>
                <w:sz w:val="18"/>
                <w:szCs w:val="18"/>
              </w:rPr>
            </w:pPr>
            <w:r>
              <w:rPr>
                <w:rFonts w:ascii="Arial Narrow" w:hAnsi="Arial Narrow"/>
                <w:sz w:val="18"/>
                <w:szCs w:val="18"/>
              </w:rPr>
              <w:t>5</w:t>
            </w:r>
          </w:p>
        </w:tc>
        <w:tc>
          <w:tcPr>
            <w:tcW w:w="851" w:type="dxa"/>
          </w:tcPr>
          <w:p w:rsidR="00631108" w:rsidRPr="000C6534" w:rsidRDefault="00631108" w:rsidP="00591A35">
            <w:pPr>
              <w:jc w:val="center"/>
              <w:rPr>
                <w:rFonts w:ascii="Arial Narrow" w:hAnsi="Arial Narrow"/>
                <w:sz w:val="18"/>
                <w:szCs w:val="18"/>
              </w:rPr>
            </w:pPr>
            <w:r>
              <w:rPr>
                <w:rFonts w:ascii="Arial Narrow" w:hAnsi="Arial Narrow"/>
                <w:sz w:val="18"/>
                <w:szCs w:val="18"/>
              </w:rPr>
              <w:t>NEW</w:t>
            </w:r>
          </w:p>
          <w:p w:rsidR="00631108" w:rsidRPr="000C6534" w:rsidRDefault="00631108" w:rsidP="00591A35">
            <w:pPr>
              <w:jc w:val="center"/>
              <w:rPr>
                <w:rFonts w:ascii="Arial Narrow" w:hAnsi="Arial Narrow"/>
                <w:sz w:val="18"/>
                <w:szCs w:val="18"/>
              </w:rPr>
            </w:pPr>
          </w:p>
        </w:tc>
        <w:tc>
          <w:tcPr>
            <w:tcW w:w="1133" w:type="dxa"/>
          </w:tcPr>
          <w:p w:rsidR="00631108" w:rsidRPr="000C6534" w:rsidRDefault="00631108" w:rsidP="00591A35">
            <w:pPr>
              <w:rPr>
                <w:rFonts w:ascii="Arial Narrow" w:hAnsi="Arial Narrow"/>
                <w:sz w:val="18"/>
                <w:szCs w:val="18"/>
              </w:rPr>
            </w:pPr>
            <w:proofErr w:type="spellStart"/>
            <w:r w:rsidRPr="000C6534">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UCB Australia Pty Ltd</w:t>
            </w:r>
          </w:p>
          <w:p w:rsidR="00631108" w:rsidRPr="000C6534" w:rsidRDefault="00631108" w:rsidP="00591A35">
            <w:pPr>
              <w:rPr>
                <w:rFonts w:ascii="Arial Narrow" w:hAnsi="Arial Narrow"/>
                <w:sz w:val="18"/>
                <w:szCs w:val="18"/>
              </w:rPr>
            </w:pPr>
          </w:p>
        </w:tc>
      </w:tr>
      <w:tr w:rsidR="00631108" w:rsidRPr="000C6534" w:rsidTr="00591A35">
        <w:trPr>
          <w:cantSplit/>
          <w:trHeight w:val="500"/>
        </w:trPr>
        <w:tc>
          <w:tcPr>
            <w:tcW w:w="2691" w:type="dxa"/>
          </w:tcPr>
          <w:p w:rsidR="00631108" w:rsidRDefault="00631108" w:rsidP="00591A35">
            <w:pPr>
              <w:rPr>
                <w:rFonts w:ascii="Arial Narrow" w:hAnsi="Arial Narrow"/>
                <w:sz w:val="18"/>
                <w:szCs w:val="18"/>
              </w:rPr>
            </w:pPr>
            <w:proofErr w:type="spellStart"/>
            <w:r w:rsidRPr="00B04825">
              <w:rPr>
                <w:rFonts w:ascii="Arial Narrow" w:hAnsi="Arial Narrow"/>
                <w:sz w:val="18"/>
                <w:szCs w:val="18"/>
              </w:rPr>
              <w:t>Certolizumab</w:t>
            </w:r>
            <w:proofErr w:type="spellEnd"/>
            <w:r w:rsidRPr="00B04825">
              <w:rPr>
                <w:rFonts w:ascii="Arial Narrow" w:hAnsi="Arial Narrow"/>
                <w:sz w:val="18"/>
                <w:szCs w:val="18"/>
              </w:rPr>
              <w:t xml:space="preserve"> </w:t>
            </w:r>
            <w:proofErr w:type="spellStart"/>
            <w:r w:rsidRPr="00B04825">
              <w:rPr>
                <w:rFonts w:ascii="Arial Narrow" w:hAnsi="Arial Narrow"/>
                <w:sz w:val="18"/>
                <w:szCs w:val="18"/>
              </w:rPr>
              <w:t>pegol</w:t>
            </w:r>
            <w:proofErr w:type="spellEnd"/>
            <w:r w:rsidRPr="00B04825">
              <w:rPr>
                <w:rFonts w:ascii="Arial Narrow" w:hAnsi="Arial Narrow"/>
                <w:sz w:val="18"/>
                <w:szCs w:val="18"/>
              </w:rPr>
              <w:t xml:space="preserve"> 200 mg/mL injection, 2 x 1 mL </w:t>
            </w:r>
            <w:r>
              <w:rPr>
                <w:rFonts w:ascii="Arial Narrow" w:hAnsi="Arial Narrow"/>
                <w:sz w:val="18"/>
                <w:szCs w:val="18"/>
              </w:rPr>
              <w:t>syringes</w:t>
            </w:r>
          </w:p>
        </w:tc>
        <w:tc>
          <w:tcPr>
            <w:tcW w:w="848" w:type="dxa"/>
          </w:tcPr>
          <w:p w:rsidR="00631108" w:rsidRDefault="00631108" w:rsidP="00591A35">
            <w:pPr>
              <w:jc w:val="center"/>
              <w:rPr>
                <w:rFonts w:ascii="Arial Narrow" w:hAnsi="Arial Narrow"/>
                <w:sz w:val="18"/>
                <w:szCs w:val="18"/>
              </w:rPr>
            </w:pPr>
            <w:r>
              <w:rPr>
                <w:rFonts w:ascii="Arial Narrow" w:hAnsi="Arial Narrow"/>
                <w:sz w:val="18"/>
                <w:szCs w:val="18"/>
              </w:rPr>
              <w:t>2</w:t>
            </w:r>
          </w:p>
        </w:tc>
        <w:tc>
          <w:tcPr>
            <w:tcW w:w="850" w:type="dxa"/>
          </w:tcPr>
          <w:p w:rsidR="00631108" w:rsidRDefault="00631108" w:rsidP="00591A35">
            <w:pPr>
              <w:jc w:val="center"/>
              <w:rPr>
                <w:rFonts w:ascii="Arial Narrow" w:hAnsi="Arial Narrow"/>
                <w:sz w:val="18"/>
                <w:szCs w:val="18"/>
              </w:rPr>
            </w:pPr>
            <w:r>
              <w:rPr>
                <w:rFonts w:ascii="Arial Narrow" w:hAnsi="Arial Narrow"/>
                <w:sz w:val="18"/>
                <w:szCs w:val="18"/>
              </w:rPr>
              <w:t>1</w:t>
            </w:r>
          </w:p>
        </w:tc>
        <w:tc>
          <w:tcPr>
            <w:tcW w:w="849" w:type="dxa"/>
          </w:tcPr>
          <w:p w:rsidR="00631108" w:rsidRDefault="00631108" w:rsidP="00591A35">
            <w:pPr>
              <w:jc w:val="center"/>
              <w:rPr>
                <w:rFonts w:ascii="Arial Narrow" w:hAnsi="Arial Narrow"/>
                <w:sz w:val="18"/>
                <w:szCs w:val="18"/>
              </w:rPr>
            </w:pPr>
            <w:r>
              <w:rPr>
                <w:rFonts w:ascii="Arial Narrow" w:hAnsi="Arial Narrow"/>
                <w:sz w:val="18"/>
                <w:szCs w:val="18"/>
              </w:rPr>
              <w:t>5</w:t>
            </w:r>
          </w:p>
        </w:tc>
        <w:tc>
          <w:tcPr>
            <w:tcW w:w="851" w:type="dxa"/>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1133"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Cimzia</w:t>
            </w:r>
            <w:proofErr w:type="spellEnd"/>
          </w:p>
        </w:tc>
        <w:tc>
          <w:tcPr>
            <w:tcW w:w="1845" w:type="dxa"/>
          </w:tcPr>
          <w:p w:rsidR="00631108" w:rsidRPr="000C6534" w:rsidRDefault="00631108" w:rsidP="00591A35">
            <w:pPr>
              <w:rPr>
                <w:rFonts w:ascii="Arial Narrow" w:hAnsi="Arial Narrow"/>
                <w:sz w:val="18"/>
                <w:szCs w:val="18"/>
              </w:rPr>
            </w:pPr>
            <w:r>
              <w:rPr>
                <w:rFonts w:ascii="Arial Narrow" w:hAnsi="Arial Narrow"/>
                <w:sz w:val="18"/>
                <w:szCs w:val="18"/>
              </w:rPr>
              <w:t>UCB Australia Pty Ltd</w:t>
            </w:r>
          </w:p>
        </w:tc>
      </w:tr>
    </w:tbl>
    <w:p w:rsidR="00631108" w:rsidRPr="00B17AE7" w:rsidRDefault="00631108" w:rsidP="00631108">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631108" w:rsidRPr="00962058" w:rsidTr="00591A35">
        <w:tc>
          <w:tcPr>
            <w:tcW w:w="548" w:type="pct"/>
          </w:tcPr>
          <w:p w:rsidR="00631108" w:rsidRPr="00CA5F03" w:rsidRDefault="00631108" w:rsidP="00591A35">
            <w:pPr>
              <w:pStyle w:val="TableLeft"/>
              <w:jc w:val="center"/>
              <w:rPr>
                <w:rFonts w:ascii="Arial Narrow" w:hAnsi="Arial Narrow" w:cs="Arial"/>
                <w:b/>
                <w:szCs w:val="18"/>
              </w:rPr>
            </w:pPr>
            <w:r w:rsidRPr="00CA5F03">
              <w:rPr>
                <w:rFonts w:ascii="Arial Narrow" w:hAnsi="Arial Narrow" w:cs="Arial"/>
                <w:b/>
                <w:szCs w:val="18"/>
              </w:rPr>
              <w:t>Concept ID</w:t>
            </w:r>
          </w:p>
        </w:tc>
        <w:tc>
          <w:tcPr>
            <w:tcW w:w="4452" w:type="pct"/>
          </w:tcPr>
          <w:p w:rsidR="00631108" w:rsidRPr="00DC0C1D" w:rsidRDefault="00631108" w:rsidP="00591A35">
            <w:pPr>
              <w:pStyle w:val="TableLeft"/>
              <w:rPr>
                <w:rFonts w:ascii="Arial Narrow" w:hAnsi="Arial Narrow"/>
                <w:szCs w:val="18"/>
              </w:rPr>
            </w:pPr>
            <w:r w:rsidRPr="00DC0C1D">
              <w:rPr>
                <w:rFonts w:ascii="Arial Narrow" w:hAnsi="Arial Narrow"/>
                <w:b/>
                <w:szCs w:val="18"/>
              </w:rPr>
              <w:t>Category / Program:</w:t>
            </w:r>
            <w:r w:rsidRPr="00DC0C1D">
              <w:rPr>
                <w:rFonts w:ascii="Arial Narrow" w:hAnsi="Arial Narrow"/>
                <w:szCs w:val="18"/>
              </w:rPr>
              <w:t xml:space="preserve"> General Schedule (Code GE)</w:t>
            </w:r>
          </w:p>
        </w:tc>
      </w:tr>
      <w:tr w:rsidR="00631108" w:rsidRPr="00962058" w:rsidTr="00591A35">
        <w:tc>
          <w:tcPr>
            <w:tcW w:w="548" w:type="pct"/>
          </w:tcPr>
          <w:p w:rsidR="00631108" w:rsidRPr="00DC0C1D" w:rsidRDefault="00631108" w:rsidP="00591A35">
            <w:pPr>
              <w:pStyle w:val="TableLeft"/>
              <w:jc w:val="center"/>
              <w:rPr>
                <w:rFonts w:ascii="Arial Narrow" w:hAnsi="Arial Narrow"/>
                <w:szCs w:val="18"/>
              </w:rPr>
            </w:pPr>
          </w:p>
        </w:tc>
        <w:tc>
          <w:tcPr>
            <w:tcW w:w="4452" w:type="pct"/>
          </w:tcPr>
          <w:p w:rsidR="00631108" w:rsidRPr="00DC0C1D" w:rsidRDefault="00631108" w:rsidP="00657498">
            <w:pPr>
              <w:rPr>
                <w:rFonts w:ascii="Arial Narrow" w:hAnsi="Arial Narrow"/>
                <w:sz w:val="18"/>
                <w:szCs w:val="18"/>
              </w:rPr>
            </w:pPr>
            <w:r w:rsidRPr="00DC0C1D">
              <w:rPr>
                <w:rFonts w:ascii="Arial Narrow" w:hAnsi="Arial Narrow"/>
                <w:b/>
                <w:sz w:val="18"/>
                <w:szCs w:val="18"/>
              </w:rPr>
              <w:t>Prescriber type:</w:t>
            </w:r>
            <w:r>
              <w:rPr>
                <w:rFonts w:ascii="Arial Narrow" w:hAnsi="Arial Narrow"/>
                <w:sz w:val="18"/>
                <w:szCs w:val="18"/>
              </w:rPr>
              <w:t xml:space="preserve"> </w:t>
            </w:r>
            <w:r w:rsidRPr="00DC0C1D">
              <w:rPr>
                <w:rFonts w:ascii="Arial Narrow" w:hAnsi="Arial Narrow"/>
                <w:sz w:val="18"/>
                <w:szCs w:val="18"/>
              </w:rPr>
              <w:fldChar w:fldCharType="begin">
                <w:ffData>
                  <w:name w:val="Check1"/>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Dental  </w:t>
            </w:r>
            <w:r>
              <w:rPr>
                <w:rFonts w:ascii="Arial Narrow" w:hAnsi="Arial Narrow"/>
                <w:sz w:val="18"/>
                <w:szCs w:val="18"/>
              </w:rPr>
              <w:t xml:space="preserve"> </w:t>
            </w: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Medical Practitioners </w:t>
            </w:r>
            <w:r w:rsidRPr="00DC0C1D">
              <w:rPr>
                <w:rFonts w:ascii="Arial Narrow" w:hAnsi="Arial Narrow"/>
                <w:sz w:val="18"/>
                <w:szCs w:val="18"/>
              </w:rPr>
              <w:fldChar w:fldCharType="begin">
                <w:ffData>
                  <w:name w:val="Check3"/>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Nurse practitioners  </w:t>
            </w:r>
            <w:r w:rsidRPr="00DC0C1D">
              <w:rPr>
                <w:rFonts w:ascii="Arial Narrow" w:hAnsi="Arial Narrow"/>
                <w:sz w:val="18"/>
                <w:szCs w:val="18"/>
              </w:rPr>
              <w:fldChar w:fldCharType="begin">
                <w:ffData>
                  <w:name w:val=""/>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Optometrists   </w:t>
            </w:r>
            <w:r w:rsidRPr="00DC0C1D">
              <w:rPr>
                <w:rFonts w:ascii="Arial Narrow" w:hAnsi="Arial Narrow"/>
                <w:sz w:val="18"/>
                <w:szCs w:val="18"/>
              </w:rPr>
              <w:fldChar w:fldCharType="begin">
                <w:ffData>
                  <w:name w:val="Check5"/>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Midwives</w:t>
            </w:r>
          </w:p>
        </w:tc>
      </w:tr>
      <w:tr w:rsidR="00631108" w:rsidRPr="00962058" w:rsidTr="00591A35">
        <w:tc>
          <w:tcPr>
            <w:tcW w:w="548" w:type="pct"/>
          </w:tcPr>
          <w:p w:rsidR="00631108" w:rsidRPr="00DC0C1D" w:rsidRDefault="00631108" w:rsidP="00591A35">
            <w:pPr>
              <w:jc w:val="center"/>
              <w:rPr>
                <w:rFonts w:ascii="Arial Narrow" w:hAnsi="Arial Narrow"/>
                <w:strike/>
                <w:sz w:val="18"/>
                <w:szCs w:val="18"/>
              </w:rPr>
            </w:pPr>
          </w:p>
        </w:tc>
        <w:tc>
          <w:tcPr>
            <w:tcW w:w="4452" w:type="pct"/>
          </w:tcPr>
          <w:p w:rsidR="00631108" w:rsidRPr="00DC0C1D" w:rsidRDefault="00631108" w:rsidP="00591A35">
            <w:pPr>
              <w:rPr>
                <w:rFonts w:ascii="Arial Narrow" w:hAnsi="Arial Narrow"/>
                <w:b/>
                <w:sz w:val="18"/>
                <w:szCs w:val="18"/>
              </w:rPr>
            </w:pPr>
            <w:r w:rsidRPr="00DC0C1D">
              <w:rPr>
                <w:rFonts w:ascii="Arial Narrow" w:hAnsi="Arial Narrow"/>
                <w:b/>
                <w:sz w:val="18"/>
                <w:szCs w:val="18"/>
              </w:rPr>
              <w:t>Restriction Level / Method:</w:t>
            </w:r>
          </w:p>
          <w:p w:rsidR="00631108" w:rsidRPr="00DC0C1D" w:rsidRDefault="00631108" w:rsidP="00591A35">
            <w:pPr>
              <w:rPr>
                <w:rFonts w:ascii="Arial Narrow" w:hAnsi="Arial Narrow"/>
                <w:sz w:val="18"/>
                <w:szCs w:val="18"/>
              </w:rPr>
            </w:pP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Authority Required </w:t>
            </w:r>
            <w:r>
              <w:rPr>
                <w:rFonts w:ascii="Arial Narrow" w:hAnsi="Arial Narrow"/>
                <w:sz w:val="18"/>
                <w:szCs w:val="18"/>
              </w:rPr>
              <w:t>–</w:t>
            </w:r>
            <w:r w:rsidRPr="00DC0C1D">
              <w:rPr>
                <w:rFonts w:ascii="Arial Narrow" w:hAnsi="Arial Narrow"/>
                <w:sz w:val="18"/>
                <w:szCs w:val="18"/>
              </w:rPr>
              <w:t xml:space="preserve"> </w:t>
            </w:r>
            <w:r>
              <w:rPr>
                <w:rFonts w:ascii="Arial Narrow" w:hAnsi="Arial Narrow"/>
                <w:sz w:val="18"/>
                <w:szCs w:val="18"/>
              </w:rPr>
              <w:t>In writing</w:t>
            </w:r>
          </w:p>
        </w:tc>
      </w:tr>
      <w:tr w:rsidR="00631108" w:rsidRPr="00962058" w:rsidTr="00591A35">
        <w:tc>
          <w:tcPr>
            <w:tcW w:w="548" w:type="pct"/>
            <w:vAlign w:val="center"/>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4452" w:type="pct"/>
            <w:vAlign w:val="center"/>
          </w:tcPr>
          <w:p w:rsidR="00631108" w:rsidRPr="00612D15" w:rsidRDefault="00631108" w:rsidP="00591A35">
            <w:pPr>
              <w:rPr>
                <w:rFonts w:ascii="Arial Narrow" w:hAnsi="Arial Narrow"/>
                <w:b/>
                <w:bCs/>
                <w:sz w:val="18"/>
                <w:szCs w:val="18"/>
              </w:rPr>
            </w:pPr>
            <w:r w:rsidRPr="00612D15">
              <w:rPr>
                <w:rFonts w:ascii="Arial Narrow" w:hAnsi="Arial Narrow"/>
                <w:b/>
                <w:bCs/>
                <w:sz w:val="18"/>
                <w:szCs w:val="18"/>
              </w:rPr>
              <w:t>Administrative advice:</w:t>
            </w:r>
          </w:p>
          <w:p w:rsidR="00631108" w:rsidRDefault="00631108" w:rsidP="00591A35">
            <w:pPr>
              <w:rPr>
                <w:rFonts w:ascii="Arial Narrow" w:hAnsi="Arial Narrow"/>
                <w:b/>
                <w:bCs/>
                <w:color w:val="333333"/>
                <w:sz w:val="18"/>
                <w:szCs w:val="18"/>
                <w:lang w:eastAsia="en-AU"/>
              </w:rPr>
            </w:pPr>
            <w:r w:rsidRPr="00047BB0">
              <w:rPr>
                <w:rFonts w:ascii="Arial Narrow" w:hAnsi="Arial Narrow"/>
                <w:b/>
                <w:bCs/>
                <w:color w:val="333333"/>
                <w:sz w:val="18"/>
                <w:szCs w:val="18"/>
                <w:lang w:eastAsia="en-AU"/>
              </w:rPr>
              <w:t>TREATMENT OF ADULT PATIENTS WITH</w:t>
            </w:r>
            <w:r>
              <w:rPr>
                <w:rFonts w:ascii="Arial Narrow" w:hAnsi="Arial Narrow"/>
                <w:b/>
                <w:bCs/>
                <w:color w:val="333333"/>
                <w:sz w:val="18"/>
                <w:szCs w:val="18"/>
                <w:lang w:eastAsia="en-AU"/>
              </w:rPr>
              <w:t xml:space="preserve"> NON-RADIOGRAPHIC</w:t>
            </w:r>
            <w:r w:rsidRPr="00047BB0">
              <w:rPr>
                <w:rFonts w:ascii="Arial Narrow" w:hAnsi="Arial Narrow"/>
                <w:b/>
                <w:bCs/>
                <w:color w:val="333333"/>
                <w:sz w:val="18"/>
                <w:szCs w:val="18"/>
                <w:lang w:eastAsia="en-AU"/>
              </w:rPr>
              <w:t xml:space="preserve"> ANKYLOSING SPONDYLITIS</w:t>
            </w:r>
          </w:p>
          <w:p w:rsidR="00631108" w:rsidRPr="00612D15" w:rsidRDefault="00631108" w:rsidP="00591A35">
            <w:pPr>
              <w:rPr>
                <w:rFonts w:ascii="Arial Narrow" w:hAnsi="Arial Narrow"/>
                <w:bCs/>
                <w:i/>
                <w:sz w:val="18"/>
                <w:szCs w:val="18"/>
              </w:rPr>
            </w:pPr>
            <w:r w:rsidRPr="00E23012">
              <w:rPr>
                <w:rFonts w:ascii="Arial Narrow" w:hAnsi="Arial Narrow"/>
                <w:bCs/>
                <w:i/>
                <w:sz w:val="18"/>
                <w:szCs w:val="18"/>
              </w:rPr>
              <w:t>See end of restrictions for full explanatory note</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22964</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Indication:</w:t>
            </w:r>
            <w:r>
              <w:rPr>
                <w:rFonts w:ascii="Arial Narrow" w:hAnsi="Arial Narrow"/>
                <w:color w:val="333333"/>
                <w:sz w:val="18"/>
                <w:szCs w:val="18"/>
                <w:lang w:eastAsia="en-AU"/>
              </w:rPr>
              <w:t xml:space="preserve"> </w:t>
            </w:r>
            <w:r w:rsidRPr="00962058">
              <w:rPr>
                <w:rFonts w:ascii="Arial Narrow" w:hAnsi="Arial Narrow"/>
                <w:color w:val="333333"/>
                <w:sz w:val="18"/>
                <w:szCs w:val="18"/>
                <w:lang w:eastAsia="en-AU"/>
              </w:rPr>
              <w:t xml:space="preserve">Non-radiographic axial </w:t>
            </w:r>
            <w:proofErr w:type="spellStart"/>
            <w:r w:rsidRPr="00962058">
              <w:rPr>
                <w:rFonts w:ascii="Arial Narrow" w:hAnsi="Arial Narrow"/>
                <w:color w:val="333333"/>
                <w:sz w:val="18"/>
                <w:szCs w:val="18"/>
                <w:lang w:eastAsia="en-AU"/>
              </w:rPr>
              <w:t>spondyloarthritis</w:t>
            </w:r>
            <w:proofErr w:type="spellEnd"/>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Treatment Phase:</w:t>
            </w:r>
            <w:r>
              <w:rPr>
                <w:rFonts w:ascii="Arial Narrow" w:hAnsi="Arial Narrow"/>
                <w:color w:val="333333"/>
                <w:sz w:val="18"/>
                <w:szCs w:val="18"/>
                <w:lang w:eastAsia="en-AU"/>
              </w:rPr>
              <w:t xml:space="preserve"> </w:t>
            </w:r>
            <w:r w:rsidRPr="00962058">
              <w:rPr>
                <w:rFonts w:ascii="Arial Narrow" w:hAnsi="Arial Narrow"/>
                <w:color w:val="333333"/>
                <w:sz w:val="18"/>
                <w:szCs w:val="18"/>
                <w:lang w:eastAsia="en-AU"/>
              </w:rPr>
              <w:t>Continuing treatment</w:t>
            </w:r>
          </w:p>
        </w:tc>
      </w:tr>
      <w:tr w:rsidR="00631108" w:rsidRPr="00962058" w:rsidTr="00591A35">
        <w:tc>
          <w:tcPr>
            <w:tcW w:w="548" w:type="pct"/>
            <w:vAlign w:val="center"/>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23622</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Clinical criteria:</w:t>
            </w:r>
          </w:p>
        </w:tc>
      </w:tr>
      <w:tr w:rsidR="00631108" w:rsidRPr="00962058" w:rsidTr="00591A35">
        <w:trPr>
          <w:hidden/>
        </w:trPr>
        <w:tc>
          <w:tcPr>
            <w:tcW w:w="548" w:type="pct"/>
            <w:vAlign w:val="center"/>
          </w:tcPr>
          <w:p w:rsidR="00631108" w:rsidRPr="00962058" w:rsidRDefault="00631108" w:rsidP="00591A35">
            <w:pPr>
              <w:jc w:val="center"/>
              <w:rPr>
                <w:rFonts w:ascii="Arial Narrow" w:hAnsi="Arial Narrow"/>
                <w:vanish/>
                <w:color w:val="333333"/>
                <w:sz w:val="18"/>
                <w:szCs w:val="18"/>
                <w:lang w:eastAsia="en-AU"/>
              </w:rPr>
            </w:pPr>
            <w:r>
              <w:rPr>
                <w:rFonts w:ascii="Arial Narrow" w:hAnsi="Arial Narrow"/>
                <w:vanish/>
                <w:color w:val="333333"/>
                <w:sz w:val="18"/>
                <w:szCs w:val="18"/>
                <w:lang w:eastAsia="en-AU"/>
              </w:rPr>
              <w:t>23621</w:t>
            </w:r>
          </w:p>
        </w:tc>
        <w:tc>
          <w:tcPr>
            <w:tcW w:w="4452" w:type="pct"/>
            <w:vAlign w:val="center"/>
          </w:tcPr>
          <w:p w:rsidR="00631108" w:rsidRPr="00962058" w:rsidRDefault="00631108" w:rsidP="00591A35">
            <w:pPr>
              <w:rPr>
                <w:rFonts w:ascii="Arial Narrow" w:hAnsi="Arial Narrow"/>
                <w:color w:val="333333"/>
                <w:sz w:val="18"/>
                <w:szCs w:val="18"/>
                <w:lang w:eastAsia="en-AU"/>
              </w:rPr>
            </w:pPr>
            <w:r w:rsidRPr="00C66A01">
              <w:rPr>
                <w:rFonts w:ascii="Arial Narrow" w:hAnsi="Arial Narrow"/>
                <w:color w:val="333333"/>
                <w:sz w:val="18"/>
                <w:szCs w:val="18"/>
                <w:lang w:eastAsia="en-AU"/>
              </w:rPr>
              <w:t>Patient must have received this drug as their most recent course of PBS-subsidised biological medicine treatment for this condition</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AND</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23061</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Clinical criteria:</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23059</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Patient must have demonstrated an adequate response to treatment with this drug for this condition</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AND</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23089</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Clinical criteria:</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23088</w:t>
            </w:r>
          </w:p>
          <w:p w:rsidR="00631108" w:rsidRPr="00E11884" w:rsidRDefault="00631108" w:rsidP="00591A35">
            <w:pPr>
              <w:jc w:val="center"/>
              <w:outlineLvl w:val="4"/>
              <w:rPr>
                <w:rFonts w:ascii="Arial Narrow" w:hAnsi="Arial Narrow"/>
                <w:vanish/>
                <w:color w:val="333333"/>
                <w:sz w:val="18"/>
                <w:szCs w:val="18"/>
                <w:lang w:eastAsia="en-AU"/>
              </w:rPr>
            </w:pPr>
            <w:r w:rsidRPr="00E11884">
              <w:rPr>
                <w:rFonts w:ascii="Arial Narrow" w:hAnsi="Arial Narrow"/>
                <w:vanish/>
                <w:color w:val="555555"/>
                <w:sz w:val="18"/>
                <w:szCs w:val="18"/>
                <w:lang w:eastAsia="en-AU"/>
              </w:rPr>
              <w:t xml:space="preserve">Full </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The treatment must not exceed a maximum of 24 weeks with this drug per authorised course under this restriction</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AND</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8384</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Population criteria:</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8383</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Patient must be aged 18 years or older</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AND</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22985</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Treatment criteria:</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10111</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Must be treated by a rheumatologist; or</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22986</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 xml:space="preserve">Must be treated by a clinical immunologist with expertise in the management of non-radiographic axial </w:t>
            </w:r>
            <w:proofErr w:type="spellStart"/>
            <w:r w:rsidRPr="00962058">
              <w:rPr>
                <w:rFonts w:ascii="Arial Narrow" w:hAnsi="Arial Narrow"/>
                <w:color w:val="333333"/>
                <w:sz w:val="18"/>
                <w:szCs w:val="18"/>
                <w:lang w:eastAsia="en-AU"/>
              </w:rPr>
              <w:t>spondyloarthritis</w:t>
            </w:r>
            <w:proofErr w:type="spellEnd"/>
          </w:p>
        </w:tc>
      </w:tr>
      <w:tr w:rsidR="00631108" w:rsidRPr="00962058" w:rsidTr="00591A35">
        <w:tc>
          <w:tcPr>
            <w:tcW w:w="548" w:type="pct"/>
            <w:vAlign w:val="center"/>
            <w:hideMark/>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edit</w:t>
            </w:r>
          </w:p>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23055</w:t>
            </w:r>
          </w:p>
          <w:p w:rsidR="00631108" w:rsidRPr="00E11884" w:rsidRDefault="00631108" w:rsidP="00591A35">
            <w:pPr>
              <w:jc w:val="center"/>
              <w:outlineLvl w:val="4"/>
              <w:rPr>
                <w:rFonts w:ascii="Arial Narrow" w:hAnsi="Arial Narrow"/>
                <w:vanish/>
                <w:color w:val="333333"/>
                <w:sz w:val="18"/>
                <w:szCs w:val="18"/>
                <w:lang w:eastAsia="en-AU"/>
              </w:rPr>
            </w:pPr>
            <w:r w:rsidRPr="00E11884">
              <w:rPr>
                <w:rFonts w:ascii="Arial Narrow" w:hAnsi="Arial Narrow"/>
                <w:vanish/>
                <w:color w:val="555555"/>
                <w:sz w:val="18"/>
                <w:szCs w:val="18"/>
                <w:lang w:eastAsia="en-AU"/>
              </w:rPr>
              <w:t>Full</w:t>
            </w:r>
          </w:p>
          <w:p w:rsidR="00631108" w:rsidRPr="00962058" w:rsidRDefault="00631108" w:rsidP="00591A35">
            <w:pPr>
              <w:jc w:val="center"/>
              <w:rPr>
                <w:rFonts w:ascii="Arial Narrow" w:hAnsi="Arial Narrow"/>
                <w:vanish/>
                <w:color w:val="333333"/>
                <w:sz w:val="18"/>
                <w:szCs w:val="18"/>
                <w:lang w:eastAsia="en-AU"/>
              </w:rPr>
            </w:pP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Prescribing Instructions:</w:t>
            </w:r>
          </w:p>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 xml:space="preserve">An adequate response to therapy with this drug is defined as a reduction from baseline in the Bath Ankylosing Spondylitis Disease Activity Index (BASDAI) score by 2 or more units (on a scale of </w:t>
            </w:r>
            <w:r w:rsidRPr="00B47AC2">
              <w:rPr>
                <w:rFonts w:ascii="Arial Narrow" w:hAnsi="Arial Narrow"/>
                <w:strike/>
                <w:color w:val="333333"/>
                <w:sz w:val="18"/>
                <w:szCs w:val="18"/>
                <w:lang w:eastAsia="en-AU"/>
              </w:rPr>
              <w:t>1</w:t>
            </w:r>
            <w:r>
              <w:rPr>
                <w:rFonts w:ascii="Arial Narrow" w:hAnsi="Arial Narrow"/>
                <w:i/>
                <w:color w:val="333333"/>
                <w:sz w:val="18"/>
                <w:szCs w:val="18"/>
                <w:lang w:eastAsia="en-AU"/>
              </w:rPr>
              <w:t xml:space="preserve">0 </w:t>
            </w:r>
            <w:r w:rsidRPr="00962058">
              <w:rPr>
                <w:rFonts w:ascii="Arial Narrow" w:hAnsi="Arial Narrow"/>
                <w:color w:val="333333"/>
                <w:sz w:val="18"/>
                <w:szCs w:val="18"/>
                <w:lang w:eastAsia="en-AU"/>
              </w:rPr>
              <w:t>-10) and 1 of the following:</w:t>
            </w:r>
          </w:p>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(a) a CRP measurement no greater than 10 mg per L; or</w:t>
            </w:r>
          </w:p>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 xml:space="preserve">(b) </w:t>
            </w:r>
            <w:proofErr w:type="gramStart"/>
            <w:r w:rsidRPr="00962058">
              <w:rPr>
                <w:rFonts w:ascii="Arial Narrow" w:hAnsi="Arial Narrow"/>
                <w:color w:val="333333"/>
                <w:sz w:val="18"/>
                <w:szCs w:val="18"/>
                <w:lang w:eastAsia="en-AU"/>
              </w:rPr>
              <w:t>a</w:t>
            </w:r>
            <w:proofErr w:type="gramEnd"/>
            <w:r w:rsidRPr="00962058">
              <w:rPr>
                <w:rFonts w:ascii="Arial Narrow" w:hAnsi="Arial Narrow"/>
                <w:color w:val="333333"/>
                <w:sz w:val="18"/>
                <w:szCs w:val="18"/>
                <w:lang w:eastAsia="en-AU"/>
              </w:rPr>
              <w:t xml:space="preserve"> CRP measurement reduced by at least 20% from baseline.</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23062</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Prescribing Instructions:</w:t>
            </w:r>
          </w:p>
          <w:p w:rsidR="00631108" w:rsidRPr="00962058" w:rsidRDefault="00631108" w:rsidP="00591A35">
            <w:pPr>
              <w:rPr>
                <w:rFonts w:ascii="Arial Narrow" w:hAnsi="Arial Narrow"/>
                <w:color w:val="333333"/>
                <w:sz w:val="18"/>
                <w:szCs w:val="18"/>
                <w:lang w:eastAsia="en-AU"/>
              </w:rPr>
            </w:pPr>
            <w:r w:rsidRPr="00962058">
              <w:rPr>
                <w:rFonts w:ascii="Arial Narrow" w:hAnsi="Arial Narrow"/>
                <w:color w:val="333333"/>
                <w:sz w:val="18"/>
                <w:szCs w:val="18"/>
                <w:lang w:eastAsia="en-AU"/>
              </w:rPr>
              <w:t>The patient remains eligible to receive continuing treatment with the same drug in courses of up to 24 weeks providing they continue to sustain the response. It is recommended that a patient be reviewed in the month prior to completing their current course of treatment.</w:t>
            </w:r>
          </w:p>
        </w:tc>
      </w:tr>
      <w:tr w:rsidR="00631108" w:rsidRPr="00962058"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edit</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23063</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Full</w:t>
            </w:r>
          </w:p>
        </w:tc>
        <w:tc>
          <w:tcPr>
            <w:tcW w:w="4452" w:type="pct"/>
            <w:vAlign w:val="center"/>
          </w:tcPr>
          <w:p w:rsidR="00631108" w:rsidRPr="00E11884" w:rsidRDefault="00631108" w:rsidP="00591A35">
            <w:pPr>
              <w:rPr>
                <w:rFonts w:ascii="Arial Narrow" w:hAnsi="Arial Narrow"/>
                <w:b/>
                <w:bCs/>
                <w:color w:val="333333"/>
                <w:sz w:val="18"/>
                <w:szCs w:val="18"/>
                <w:lang w:eastAsia="en-AU"/>
              </w:rPr>
            </w:pPr>
            <w:r w:rsidRPr="00E11884">
              <w:rPr>
                <w:rFonts w:ascii="Arial Narrow" w:hAnsi="Arial Narrow"/>
                <w:b/>
                <w:bCs/>
                <w:color w:val="333333"/>
                <w:sz w:val="18"/>
                <w:szCs w:val="18"/>
                <w:lang w:eastAsia="en-AU"/>
              </w:rPr>
              <w:t>Prescribing Instructions:</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The authority application must be made in writing and must include:</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(a) a completed authority prescription form; and</w:t>
            </w:r>
          </w:p>
          <w:p w:rsidR="00631108" w:rsidRPr="00962058" w:rsidRDefault="00631108" w:rsidP="00591A35">
            <w:pPr>
              <w:rPr>
                <w:rFonts w:ascii="Arial Narrow" w:hAnsi="Arial Narrow"/>
                <w:b/>
                <w:bCs/>
                <w:color w:val="333333"/>
                <w:sz w:val="18"/>
                <w:szCs w:val="18"/>
                <w:lang w:eastAsia="en-AU"/>
              </w:rPr>
            </w:pPr>
            <w:r w:rsidRPr="00E11884">
              <w:rPr>
                <w:rFonts w:ascii="Arial Narrow" w:hAnsi="Arial Narrow"/>
                <w:bCs/>
                <w:color w:val="333333"/>
                <w:sz w:val="18"/>
                <w:szCs w:val="18"/>
                <w:lang w:eastAsia="en-AU"/>
              </w:rPr>
              <w:t xml:space="preserve">(b) </w:t>
            </w:r>
            <w:proofErr w:type="gramStart"/>
            <w:r w:rsidRPr="00E11884">
              <w:rPr>
                <w:rFonts w:ascii="Arial Narrow" w:hAnsi="Arial Narrow"/>
                <w:bCs/>
                <w:color w:val="333333"/>
                <w:sz w:val="18"/>
                <w:szCs w:val="18"/>
                <w:lang w:eastAsia="en-AU"/>
              </w:rPr>
              <w:t>a</w:t>
            </w:r>
            <w:proofErr w:type="gramEnd"/>
            <w:r w:rsidRPr="00E11884">
              <w:rPr>
                <w:rFonts w:ascii="Arial Narrow" w:hAnsi="Arial Narrow"/>
                <w:bCs/>
                <w:color w:val="333333"/>
                <w:sz w:val="18"/>
                <w:szCs w:val="18"/>
                <w:lang w:eastAsia="en-AU"/>
              </w:rPr>
              <w:t xml:space="preserve"> completed Non-radiographic axial </w:t>
            </w:r>
            <w:proofErr w:type="spellStart"/>
            <w:r w:rsidRPr="00E11884">
              <w:rPr>
                <w:rFonts w:ascii="Arial Narrow" w:hAnsi="Arial Narrow"/>
                <w:bCs/>
                <w:color w:val="333333"/>
                <w:sz w:val="18"/>
                <w:szCs w:val="18"/>
                <w:lang w:eastAsia="en-AU"/>
              </w:rPr>
              <w:t>spondyloarthritis</w:t>
            </w:r>
            <w:proofErr w:type="spellEnd"/>
            <w:r w:rsidRPr="00E11884">
              <w:rPr>
                <w:rFonts w:ascii="Arial Narrow" w:hAnsi="Arial Narrow"/>
                <w:bCs/>
                <w:color w:val="333333"/>
                <w:sz w:val="18"/>
                <w:szCs w:val="18"/>
                <w:lang w:eastAsia="en-AU"/>
              </w:rPr>
              <w:t xml:space="preserve"> PBS Authority Application - Supporting Information including evidence of adequate response to therapy with </w:t>
            </w:r>
            <w:r>
              <w:rPr>
                <w:rFonts w:ascii="Arial Narrow" w:hAnsi="Arial Narrow"/>
                <w:bCs/>
                <w:i/>
                <w:color w:val="333333"/>
                <w:sz w:val="18"/>
                <w:szCs w:val="18"/>
                <w:lang w:eastAsia="en-AU"/>
              </w:rPr>
              <w:t xml:space="preserve">this </w:t>
            </w:r>
            <w:r>
              <w:rPr>
                <w:rFonts w:ascii="Arial Narrow" w:hAnsi="Arial Narrow"/>
                <w:bCs/>
                <w:color w:val="333333"/>
                <w:sz w:val="18"/>
                <w:szCs w:val="18"/>
                <w:lang w:eastAsia="en-AU"/>
              </w:rPr>
              <w:t xml:space="preserve">PBS-subsidised </w:t>
            </w:r>
            <w:r>
              <w:rPr>
                <w:rFonts w:ascii="Arial Narrow" w:hAnsi="Arial Narrow"/>
                <w:bCs/>
                <w:i/>
                <w:color w:val="333333"/>
                <w:sz w:val="18"/>
                <w:szCs w:val="18"/>
                <w:lang w:eastAsia="en-AU"/>
              </w:rPr>
              <w:t>biological medicine</w:t>
            </w:r>
            <w:r w:rsidRPr="00E11884">
              <w:rPr>
                <w:rFonts w:ascii="Arial Narrow" w:hAnsi="Arial Narrow"/>
                <w:bCs/>
                <w:color w:val="333333"/>
                <w:sz w:val="18"/>
                <w:szCs w:val="18"/>
                <w:lang w:eastAsia="en-AU"/>
              </w:rPr>
              <w:t>.</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7606</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962058">
              <w:rPr>
                <w:rFonts w:ascii="Arial Narrow" w:hAnsi="Arial Narrow"/>
                <w:color w:val="333333"/>
                <w:sz w:val="18"/>
                <w:szCs w:val="18"/>
                <w:lang w:eastAsia="en-AU"/>
              </w:rPr>
              <w:t>No increase in the maximum quantity or number of units may be authorised.</w:t>
            </w:r>
          </w:p>
        </w:tc>
      </w:tr>
      <w:tr w:rsidR="00631108" w:rsidRPr="00962058" w:rsidTr="00591A35">
        <w:tc>
          <w:tcPr>
            <w:tcW w:w="548" w:type="pct"/>
            <w:vAlign w:val="center"/>
            <w:hideMark/>
          </w:tcPr>
          <w:p w:rsidR="00631108" w:rsidRPr="0096205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7607</w:t>
            </w:r>
          </w:p>
        </w:tc>
        <w:tc>
          <w:tcPr>
            <w:tcW w:w="4452" w:type="pct"/>
            <w:vAlign w:val="center"/>
            <w:hideMark/>
          </w:tcPr>
          <w:p w:rsidR="00631108" w:rsidRPr="00962058" w:rsidRDefault="00631108" w:rsidP="00591A35">
            <w:pPr>
              <w:rPr>
                <w:rFonts w:ascii="Arial Narrow" w:hAnsi="Arial Narrow"/>
                <w:color w:val="333333"/>
                <w:sz w:val="18"/>
                <w:szCs w:val="18"/>
                <w:lang w:eastAsia="en-AU"/>
              </w:rPr>
            </w:pPr>
            <w:r w:rsidRPr="00962058">
              <w:rPr>
                <w:rFonts w:ascii="Arial Narrow" w:hAnsi="Arial Narrow"/>
                <w:b/>
                <w:bCs/>
                <w:color w:val="333333"/>
                <w:sz w:val="18"/>
                <w:szCs w:val="18"/>
                <w:lang w:eastAsia="en-AU"/>
              </w:rPr>
              <w:t>Administrative Advice:</w:t>
            </w:r>
            <w:r>
              <w:rPr>
                <w:rFonts w:ascii="Arial Narrow" w:hAnsi="Arial Narrow"/>
                <w:color w:val="333333"/>
                <w:sz w:val="18"/>
                <w:szCs w:val="18"/>
                <w:lang w:eastAsia="en-AU"/>
              </w:rPr>
              <w:t xml:space="preserve"> </w:t>
            </w:r>
            <w:r w:rsidRPr="00962058">
              <w:rPr>
                <w:rFonts w:ascii="Arial Narrow" w:hAnsi="Arial Narrow"/>
                <w:color w:val="333333"/>
                <w:sz w:val="18"/>
                <w:szCs w:val="18"/>
                <w:lang w:eastAsia="en-AU"/>
              </w:rPr>
              <w:t>No increase in the maximum number of repeats may be authorised.</w:t>
            </w:r>
          </w:p>
        </w:tc>
      </w:tr>
      <w:tr w:rsidR="00631108" w:rsidRPr="00962058" w:rsidTr="00591A35">
        <w:tc>
          <w:tcPr>
            <w:tcW w:w="548" w:type="pct"/>
            <w:vAlign w:val="center"/>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7753</w:t>
            </w:r>
          </w:p>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CAR</w:t>
            </w:r>
          </w:p>
        </w:tc>
        <w:tc>
          <w:tcPr>
            <w:tcW w:w="4452" w:type="pct"/>
            <w:vAlign w:val="center"/>
          </w:tcPr>
          <w:p w:rsidR="00631108" w:rsidRPr="00E11884" w:rsidRDefault="00631108" w:rsidP="00591A35">
            <w:pPr>
              <w:rPr>
                <w:rFonts w:ascii="Arial Narrow" w:hAnsi="Arial Narrow"/>
                <w:b/>
                <w:bCs/>
                <w:color w:val="333333"/>
                <w:sz w:val="18"/>
                <w:szCs w:val="18"/>
                <w:lang w:eastAsia="en-AU"/>
              </w:rPr>
            </w:pPr>
            <w:r w:rsidRPr="00E11884">
              <w:rPr>
                <w:rFonts w:ascii="Arial Narrow" w:hAnsi="Arial Narrow"/>
                <w:b/>
                <w:bCs/>
                <w:color w:val="333333"/>
                <w:sz w:val="18"/>
                <w:szCs w:val="18"/>
                <w:lang w:eastAsia="en-AU"/>
              </w:rPr>
              <w:t>Administrative Advice:</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Any queries concerning the arrangements to prescribe may be directed to the Department of Human Services on 1800 700 270 (hours of operation 8 a.m. to 5 p.m. EST Monday to Friday). </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Prescribing information (including Authority Application forms and other relevant documentation as applicable) is available on the Department of Human Services website at www.humanservices.gov.au</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lastRenderedPageBreak/>
              <w:t xml:space="preserve">Applications for authority to prescribe should be forwarded to: </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Department of Human Services</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Complex Drugs </w:t>
            </w:r>
          </w:p>
          <w:p w:rsidR="00631108" w:rsidRPr="00E11884" w:rsidRDefault="00631108" w:rsidP="00591A35">
            <w:pPr>
              <w:rPr>
                <w:rFonts w:ascii="Arial Narrow" w:hAnsi="Arial Narrow"/>
                <w:bCs/>
                <w:color w:val="333333"/>
                <w:sz w:val="18"/>
                <w:szCs w:val="18"/>
                <w:lang w:eastAsia="en-AU"/>
              </w:rPr>
            </w:pPr>
            <w:r w:rsidRPr="00E11884">
              <w:rPr>
                <w:rFonts w:ascii="Arial Narrow" w:hAnsi="Arial Narrow"/>
                <w:bCs/>
                <w:color w:val="333333"/>
                <w:sz w:val="18"/>
                <w:szCs w:val="18"/>
                <w:lang w:eastAsia="en-AU"/>
              </w:rPr>
              <w:t xml:space="preserve">Reply Paid 9826 </w:t>
            </w:r>
          </w:p>
          <w:p w:rsidR="00631108" w:rsidRPr="00962058" w:rsidRDefault="00631108" w:rsidP="00591A35">
            <w:pPr>
              <w:rPr>
                <w:rFonts w:ascii="Arial Narrow" w:hAnsi="Arial Narrow"/>
                <w:b/>
                <w:bCs/>
                <w:color w:val="333333"/>
                <w:sz w:val="18"/>
                <w:szCs w:val="18"/>
                <w:lang w:eastAsia="en-AU"/>
              </w:rPr>
            </w:pPr>
            <w:r w:rsidRPr="00E11884">
              <w:rPr>
                <w:rFonts w:ascii="Arial Narrow" w:hAnsi="Arial Narrow"/>
                <w:bCs/>
                <w:color w:val="333333"/>
                <w:sz w:val="18"/>
                <w:szCs w:val="18"/>
                <w:lang w:eastAsia="en-AU"/>
              </w:rPr>
              <w:t>HOBART TAS 7001</w:t>
            </w:r>
          </w:p>
        </w:tc>
      </w:tr>
    </w:tbl>
    <w:p w:rsidR="00631108" w:rsidRDefault="00631108" w:rsidP="00631108"/>
    <w:p w:rsidR="00631108" w:rsidRDefault="00631108" w:rsidP="00631108">
      <w:pPr>
        <w:rPr>
          <w:rFonts w:ascii="Arial Narrow" w:hAnsi="Arial Narrow"/>
          <w:b/>
          <w:sz w:val="18"/>
          <w:szCs w:val="18"/>
        </w:rPr>
      </w:pPr>
      <w:r w:rsidRPr="00564C01">
        <w:rPr>
          <w:rFonts w:ascii="Arial Narrow" w:hAnsi="Arial Narrow"/>
          <w:b/>
          <w:sz w:val="18"/>
          <w:szCs w:val="18"/>
        </w:rPr>
        <w:t xml:space="preserve">Balance of supply – continuing treatment and grandfathered patients Restriction Summary [new] / </w:t>
      </w:r>
      <w:proofErr w:type="spellStart"/>
      <w:r w:rsidRPr="00564C01">
        <w:rPr>
          <w:rFonts w:ascii="Arial Narrow" w:hAnsi="Arial Narrow"/>
          <w:b/>
          <w:sz w:val="18"/>
          <w:szCs w:val="18"/>
        </w:rPr>
        <w:t>ToC</w:t>
      </w:r>
      <w:proofErr w:type="spellEnd"/>
      <w:r w:rsidRPr="00564C01">
        <w:rPr>
          <w:rFonts w:ascii="Arial Narrow" w:hAnsi="Arial Narrow"/>
          <w:b/>
          <w:sz w:val="18"/>
          <w:szCs w:val="18"/>
        </w:rPr>
        <w:t>: [new]: Authority Required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844"/>
        <w:gridCol w:w="846"/>
        <w:gridCol w:w="845"/>
        <w:gridCol w:w="847"/>
        <w:gridCol w:w="1127"/>
        <w:gridCol w:w="1744"/>
      </w:tblGrid>
      <w:tr w:rsidR="00631108" w:rsidRPr="000C6534" w:rsidTr="00591A35">
        <w:trPr>
          <w:cantSplit/>
          <w:trHeight w:val="408"/>
        </w:trPr>
        <w:tc>
          <w:tcPr>
            <w:tcW w:w="2673"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Name, Restriction,</w:t>
            </w:r>
          </w:p>
          <w:p w:rsidR="00631108" w:rsidRPr="000C6534" w:rsidRDefault="00631108" w:rsidP="00591A35">
            <w:pPr>
              <w:rPr>
                <w:rFonts w:ascii="Arial Narrow" w:hAnsi="Arial Narrow"/>
                <w:sz w:val="18"/>
                <w:szCs w:val="18"/>
              </w:rPr>
            </w:pPr>
            <w:r w:rsidRPr="000C6534">
              <w:rPr>
                <w:rFonts w:ascii="Arial Narrow" w:hAnsi="Arial Narrow"/>
                <w:sz w:val="18"/>
                <w:szCs w:val="18"/>
              </w:rPr>
              <w:t>Manner of administration and form</w:t>
            </w:r>
          </w:p>
        </w:tc>
        <w:tc>
          <w:tcPr>
            <w:tcW w:w="844" w:type="dxa"/>
          </w:tcPr>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Max.Qty</w:t>
            </w:r>
            <w:proofErr w:type="spellEnd"/>
            <w:r>
              <w:rPr>
                <w:rFonts w:ascii="Arial Narrow" w:hAnsi="Arial Narrow"/>
                <w:sz w:val="18"/>
                <w:szCs w:val="18"/>
              </w:rPr>
              <w:t xml:space="preserve"> (Units)</w:t>
            </w:r>
          </w:p>
        </w:tc>
        <w:tc>
          <w:tcPr>
            <w:tcW w:w="846" w:type="dxa"/>
          </w:tcPr>
          <w:p w:rsidR="00631108" w:rsidRPr="000C6534" w:rsidRDefault="00631108" w:rsidP="00591A35">
            <w:pPr>
              <w:jc w:val="center"/>
              <w:rPr>
                <w:rFonts w:ascii="Arial Narrow" w:hAnsi="Arial Narrow"/>
                <w:sz w:val="18"/>
                <w:szCs w:val="18"/>
              </w:rPr>
            </w:pPr>
            <w:r>
              <w:rPr>
                <w:rFonts w:ascii="Arial Narrow" w:hAnsi="Arial Narrow"/>
                <w:sz w:val="18"/>
                <w:szCs w:val="18"/>
              </w:rPr>
              <w:t xml:space="preserve">Max. </w:t>
            </w:r>
            <w:proofErr w:type="spellStart"/>
            <w:r>
              <w:rPr>
                <w:rFonts w:ascii="Arial Narrow" w:hAnsi="Arial Narrow"/>
                <w:sz w:val="18"/>
                <w:szCs w:val="18"/>
              </w:rPr>
              <w:t>Qty</w:t>
            </w:r>
            <w:proofErr w:type="spellEnd"/>
            <w:r>
              <w:rPr>
                <w:rFonts w:ascii="Arial Narrow" w:hAnsi="Arial Narrow"/>
                <w:sz w:val="18"/>
                <w:szCs w:val="18"/>
              </w:rPr>
              <w:t xml:space="preserve"> (Packs)</w:t>
            </w:r>
          </w:p>
        </w:tc>
        <w:tc>
          <w:tcPr>
            <w:tcW w:w="845" w:type="dxa"/>
          </w:tcPr>
          <w:p w:rsidR="00631108" w:rsidRPr="000C6534" w:rsidRDefault="00631108" w:rsidP="00591A35">
            <w:pPr>
              <w:jc w:val="center"/>
              <w:rPr>
                <w:rFonts w:ascii="Arial Narrow" w:hAnsi="Arial Narrow"/>
                <w:sz w:val="18"/>
                <w:szCs w:val="18"/>
              </w:rPr>
            </w:pPr>
            <w:r w:rsidRPr="000C6534">
              <w:rPr>
                <w:rFonts w:ascii="Arial Narrow" w:hAnsi="Arial Narrow"/>
                <w:sz w:val="18"/>
                <w:szCs w:val="18"/>
              </w:rPr>
              <w:t>№.of</w:t>
            </w:r>
          </w:p>
          <w:p w:rsidR="00631108" w:rsidRPr="000C6534" w:rsidRDefault="00631108" w:rsidP="00591A35">
            <w:pPr>
              <w:jc w:val="center"/>
              <w:rPr>
                <w:rFonts w:ascii="Arial Narrow" w:hAnsi="Arial Narrow"/>
                <w:sz w:val="18"/>
                <w:szCs w:val="18"/>
              </w:rPr>
            </w:pPr>
            <w:proofErr w:type="spellStart"/>
            <w:r w:rsidRPr="000C6534">
              <w:rPr>
                <w:rFonts w:ascii="Arial Narrow" w:hAnsi="Arial Narrow"/>
                <w:sz w:val="18"/>
                <w:szCs w:val="18"/>
              </w:rPr>
              <w:t>Rpts</w:t>
            </w:r>
            <w:proofErr w:type="spellEnd"/>
          </w:p>
        </w:tc>
        <w:tc>
          <w:tcPr>
            <w:tcW w:w="847" w:type="dxa"/>
          </w:tcPr>
          <w:p w:rsidR="00631108" w:rsidRPr="000C6534" w:rsidRDefault="00631108" w:rsidP="00591A35">
            <w:pPr>
              <w:jc w:val="center"/>
              <w:rPr>
                <w:rFonts w:ascii="Arial Narrow" w:hAnsi="Arial Narrow"/>
                <w:sz w:val="18"/>
                <w:szCs w:val="18"/>
              </w:rPr>
            </w:pPr>
            <w:r>
              <w:rPr>
                <w:rFonts w:ascii="Arial Narrow" w:hAnsi="Arial Narrow"/>
                <w:sz w:val="18"/>
                <w:szCs w:val="18"/>
              </w:rPr>
              <w:t>PBS item code</w:t>
            </w:r>
          </w:p>
        </w:tc>
        <w:tc>
          <w:tcPr>
            <w:tcW w:w="2871" w:type="dxa"/>
            <w:gridSpan w:val="2"/>
          </w:tcPr>
          <w:p w:rsidR="00631108" w:rsidRPr="000C6534" w:rsidRDefault="00631108" w:rsidP="00591A35">
            <w:pPr>
              <w:rPr>
                <w:rFonts w:ascii="Arial Narrow" w:hAnsi="Arial Narrow"/>
                <w:sz w:val="18"/>
                <w:szCs w:val="18"/>
                <w:lang w:val="fr-FR"/>
              </w:rPr>
            </w:pPr>
            <w:r w:rsidRPr="000C6534">
              <w:rPr>
                <w:rFonts w:ascii="Arial Narrow" w:hAnsi="Arial Narrow"/>
                <w:sz w:val="18"/>
                <w:szCs w:val="18"/>
              </w:rPr>
              <w:t>Proprietary Name and Manufacturer</w:t>
            </w:r>
          </w:p>
        </w:tc>
      </w:tr>
      <w:tr w:rsidR="00631108" w:rsidRPr="000C6534" w:rsidTr="00591A35">
        <w:trPr>
          <w:cantSplit/>
          <w:trHeight w:val="500"/>
        </w:trPr>
        <w:tc>
          <w:tcPr>
            <w:tcW w:w="2673"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w:t>
            </w:r>
            <w:r w:rsidRPr="000C6534">
              <w:rPr>
                <w:rFonts w:ascii="Arial Narrow" w:hAnsi="Arial Narrow"/>
                <w:sz w:val="18"/>
                <w:szCs w:val="18"/>
              </w:rPr>
              <w:t>ertolizumab</w:t>
            </w:r>
            <w:proofErr w:type="spellEnd"/>
            <w:r>
              <w:rPr>
                <w:rFonts w:ascii="Arial Narrow" w:hAnsi="Arial Narrow"/>
                <w:sz w:val="18"/>
                <w:szCs w:val="18"/>
              </w:rPr>
              <w:t xml:space="preserve"> </w:t>
            </w:r>
            <w:proofErr w:type="spellStart"/>
            <w:r>
              <w:rPr>
                <w:rFonts w:ascii="Arial Narrow" w:hAnsi="Arial Narrow"/>
                <w:sz w:val="18"/>
                <w:szCs w:val="18"/>
              </w:rPr>
              <w:t>pegol</w:t>
            </w:r>
            <w:proofErr w:type="spellEnd"/>
            <w:r>
              <w:rPr>
                <w:rFonts w:ascii="Arial Narrow" w:hAnsi="Arial Narrow"/>
                <w:sz w:val="18"/>
                <w:szCs w:val="18"/>
              </w:rPr>
              <w:t xml:space="preserve"> </w:t>
            </w:r>
            <w:r w:rsidRPr="000C6534">
              <w:rPr>
                <w:rFonts w:ascii="Arial Narrow" w:hAnsi="Arial Narrow"/>
                <w:sz w:val="18"/>
                <w:szCs w:val="18"/>
              </w:rPr>
              <w:t>200</w:t>
            </w:r>
            <w:r>
              <w:rPr>
                <w:rFonts w:ascii="Arial Narrow" w:hAnsi="Arial Narrow"/>
                <w:sz w:val="18"/>
                <w:szCs w:val="18"/>
              </w:rPr>
              <w:t xml:space="preserve"> </w:t>
            </w:r>
            <w:r w:rsidRPr="000C6534">
              <w:rPr>
                <w:rFonts w:ascii="Arial Narrow" w:hAnsi="Arial Narrow"/>
                <w:sz w:val="18"/>
                <w:szCs w:val="18"/>
              </w:rPr>
              <w:t>mg/mL</w:t>
            </w:r>
            <w:r>
              <w:rPr>
                <w:rFonts w:ascii="Arial Narrow" w:hAnsi="Arial Narrow"/>
                <w:sz w:val="18"/>
                <w:szCs w:val="18"/>
              </w:rPr>
              <w:t xml:space="preserve"> injection, 2 x 1 mL pen devices</w:t>
            </w:r>
          </w:p>
        </w:tc>
        <w:tc>
          <w:tcPr>
            <w:tcW w:w="844" w:type="dxa"/>
          </w:tcPr>
          <w:p w:rsidR="00631108" w:rsidRPr="000C6534" w:rsidRDefault="00631108" w:rsidP="00591A35">
            <w:pPr>
              <w:jc w:val="center"/>
              <w:rPr>
                <w:rFonts w:ascii="Arial Narrow" w:hAnsi="Arial Narrow"/>
                <w:sz w:val="18"/>
                <w:szCs w:val="18"/>
              </w:rPr>
            </w:pPr>
            <w:r>
              <w:rPr>
                <w:rFonts w:ascii="Arial Narrow" w:hAnsi="Arial Narrow"/>
                <w:sz w:val="18"/>
                <w:szCs w:val="18"/>
              </w:rPr>
              <w:t>2</w:t>
            </w:r>
          </w:p>
          <w:p w:rsidR="00631108" w:rsidRPr="000C6534" w:rsidRDefault="00631108" w:rsidP="00591A35">
            <w:pPr>
              <w:jc w:val="center"/>
              <w:rPr>
                <w:rFonts w:ascii="Arial Narrow" w:hAnsi="Arial Narrow"/>
                <w:sz w:val="18"/>
                <w:szCs w:val="18"/>
              </w:rPr>
            </w:pPr>
          </w:p>
        </w:tc>
        <w:tc>
          <w:tcPr>
            <w:tcW w:w="846" w:type="dxa"/>
          </w:tcPr>
          <w:p w:rsidR="00631108" w:rsidRPr="000C6534" w:rsidRDefault="00631108" w:rsidP="00591A35">
            <w:pPr>
              <w:jc w:val="center"/>
              <w:rPr>
                <w:rFonts w:ascii="Arial Narrow" w:hAnsi="Arial Narrow"/>
                <w:sz w:val="18"/>
                <w:szCs w:val="18"/>
              </w:rPr>
            </w:pPr>
            <w:r>
              <w:rPr>
                <w:rFonts w:ascii="Arial Narrow" w:hAnsi="Arial Narrow"/>
                <w:sz w:val="18"/>
                <w:szCs w:val="18"/>
              </w:rPr>
              <w:t>1</w:t>
            </w:r>
          </w:p>
        </w:tc>
        <w:tc>
          <w:tcPr>
            <w:tcW w:w="845" w:type="dxa"/>
          </w:tcPr>
          <w:p w:rsidR="00631108" w:rsidRPr="000C6534" w:rsidRDefault="00631108" w:rsidP="00591A35">
            <w:pPr>
              <w:jc w:val="center"/>
              <w:rPr>
                <w:rFonts w:ascii="Arial Narrow" w:hAnsi="Arial Narrow"/>
                <w:sz w:val="18"/>
                <w:szCs w:val="18"/>
              </w:rPr>
            </w:pPr>
            <w:r>
              <w:rPr>
                <w:rFonts w:ascii="Arial Narrow" w:hAnsi="Arial Narrow"/>
                <w:sz w:val="18"/>
                <w:szCs w:val="18"/>
              </w:rPr>
              <w:t>0</w:t>
            </w:r>
          </w:p>
        </w:tc>
        <w:tc>
          <w:tcPr>
            <w:tcW w:w="847" w:type="dxa"/>
          </w:tcPr>
          <w:p w:rsidR="00631108" w:rsidRPr="000C6534" w:rsidRDefault="00631108" w:rsidP="00591A35">
            <w:pPr>
              <w:jc w:val="center"/>
              <w:rPr>
                <w:rFonts w:ascii="Arial Narrow" w:hAnsi="Arial Narrow"/>
                <w:sz w:val="18"/>
                <w:szCs w:val="18"/>
              </w:rPr>
            </w:pPr>
            <w:r>
              <w:rPr>
                <w:rFonts w:ascii="Arial Narrow" w:hAnsi="Arial Narrow"/>
                <w:sz w:val="18"/>
                <w:szCs w:val="18"/>
              </w:rPr>
              <w:t>NEW</w:t>
            </w:r>
          </w:p>
          <w:p w:rsidR="00631108" w:rsidRPr="000C6534" w:rsidRDefault="00631108" w:rsidP="00591A35">
            <w:pPr>
              <w:jc w:val="center"/>
              <w:rPr>
                <w:rFonts w:ascii="Arial Narrow" w:hAnsi="Arial Narrow"/>
                <w:sz w:val="18"/>
                <w:szCs w:val="18"/>
              </w:rPr>
            </w:pPr>
          </w:p>
        </w:tc>
        <w:tc>
          <w:tcPr>
            <w:tcW w:w="1127" w:type="dxa"/>
          </w:tcPr>
          <w:p w:rsidR="00631108" w:rsidRPr="000C6534" w:rsidRDefault="00631108" w:rsidP="00591A35">
            <w:pPr>
              <w:rPr>
                <w:rFonts w:ascii="Arial Narrow" w:hAnsi="Arial Narrow"/>
                <w:sz w:val="18"/>
                <w:szCs w:val="18"/>
              </w:rPr>
            </w:pPr>
            <w:proofErr w:type="spellStart"/>
            <w:r w:rsidRPr="000C6534">
              <w:rPr>
                <w:rFonts w:ascii="Arial Narrow" w:hAnsi="Arial Narrow"/>
                <w:sz w:val="18"/>
                <w:szCs w:val="18"/>
              </w:rPr>
              <w:t>Cimzia</w:t>
            </w:r>
            <w:proofErr w:type="spellEnd"/>
          </w:p>
        </w:tc>
        <w:tc>
          <w:tcPr>
            <w:tcW w:w="1744" w:type="dxa"/>
          </w:tcPr>
          <w:p w:rsidR="00631108" w:rsidRPr="000C6534" w:rsidRDefault="00631108" w:rsidP="00591A35">
            <w:pPr>
              <w:rPr>
                <w:rFonts w:ascii="Arial Narrow" w:hAnsi="Arial Narrow"/>
                <w:sz w:val="18"/>
                <w:szCs w:val="18"/>
              </w:rPr>
            </w:pPr>
            <w:r w:rsidRPr="000C6534">
              <w:rPr>
                <w:rFonts w:ascii="Arial Narrow" w:hAnsi="Arial Narrow"/>
                <w:sz w:val="18"/>
                <w:szCs w:val="18"/>
              </w:rPr>
              <w:t>UCB Australia Pty Ltd</w:t>
            </w:r>
          </w:p>
          <w:p w:rsidR="00631108" w:rsidRPr="000C6534" w:rsidRDefault="00631108" w:rsidP="00591A35">
            <w:pPr>
              <w:rPr>
                <w:rFonts w:ascii="Arial Narrow" w:hAnsi="Arial Narrow"/>
                <w:sz w:val="18"/>
                <w:szCs w:val="18"/>
              </w:rPr>
            </w:pPr>
          </w:p>
        </w:tc>
      </w:tr>
      <w:tr w:rsidR="00631108" w:rsidRPr="000C6534" w:rsidTr="00591A35">
        <w:trPr>
          <w:cantSplit/>
          <w:trHeight w:val="500"/>
        </w:trPr>
        <w:tc>
          <w:tcPr>
            <w:tcW w:w="2673" w:type="dxa"/>
          </w:tcPr>
          <w:p w:rsidR="00631108" w:rsidRDefault="00631108" w:rsidP="00591A35">
            <w:pPr>
              <w:rPr>
                <w:rFonts w:ascii="Arial Narrow" w:hAnsi="Arial Narrow"/>
                <w:sz w:val="18"/>
                <w:szCs w:val="18"/>
              </w:rPr>
            </w:pPr>
            <w:proofErr w:type="spellStart"/>
            <w:r w:rsidRPr="00B04825">
              <w:rPr>
                <w:rFonts w:ascii="Arial Narrow" w:hAnsi="Arial Narrow"/>
                <w:sz w:val="18"/>
                <w:szCs w:val="18"/>
              </w:rPr>
              <w:t>Certolizumab</w:t>
            </w:r>
            <w:proofErr w:type="spellEnd"/>
            <w:r w:rsidRPr="00B04825">
              <w:rPr>
                <w:rFonts w:ascii="Arial Narrow" w:hAnsi="Arial Narrow"/>
                <w:sz w:val="18"/>
                <w:szCs w:val="18"/>
              </w:rPr>
              <w:t xml:space="preserve"> </w:t>
            </w:r>
            <w:proofErr w:type="spellStart"/>
            <w:r w:rsidRPr="00B04825">
              <w:rPr>
                <w:rFonts w:ascii="Arial Narrow" w:hAnsi="Arial Narrow"/>
                <w:sz w:val="18"/>
                <w:szCs w:val="18"/>
              </w:rPr>
              <w:t>pegol</w:t>
            </w:r>
            <w:proofErr w:type="spellEnd"/>
            <w:r w:rsidRPr="00B04825">
              <w:rPr>
                <w:rFonts w:ascii="Arial Narrow" w:hAnsi="Arial Narrow"/>
                <w:sz w:val="18"/>
                <w:szCs w:val="18"/>
              </w:rPr>
              <w:t xml:space="preserve"> 200 mg/mL injection, 2 x 1 mL </w:t>
            </w:r>
            <w:r>
              <w:rPr>
                <w:rFonts w:ascii="Arial Narrow" w:hAnsi="Arial Narrow"/>
                <w:sz w:val="18"/>
                <w:szCs w:val="18"/>
              </w:rPr>
              <w:t>syringes</w:t>
            </w:r>
          </w:p>
        </w:tc>
        <w:tc>
          <w:tcPr>
            <w:tcW w:w="844" w:type="dxa"/>
          </w:tcPr>
          <w:p w:rsidR="00631108" w:rsidRDefault="00631108" w:rsidP="00591A35">
            <w:pPr>
              <w:jc w:val="center"/>
              <w:rPr>
                <w:rFonts w:ascii="Arial Narrow" w:hAnsi="Arial Narrow"/>
                <w:sz w:val="18"/>
                <w:szCs w:val="18"/>
              </w:rPr>
            </w:pPr>
            <w:r>
              <w:rPr>
                <w:rFonts w:ascii="Arial Narrow" w:hAnsi="Arial Narrow"/>
                <w:sz w:val="18"/>
                <w:szCs w:val="18"/>
              </w:rPr>
              <w:t>2</w:t>
            </w:r>
          </w:p>
        </w:tc>
        <w:tc>
          <w:tcPr>
            <w:tcW w:w="846" w:type="dxa"/>
          </w:tcPr>
          <w:p w:rsidR="00631108" w:rsidRDefault="00631108" w:rsidP="00591A35">
            <w:pPr>
              <w:jc w:val="center"/>
              <w:rPr>
                <w:rFonts w:ascii="Arial Narrow" w:hAnsi="Arial Narrow"/>
                <w:sz w:val="18"/>
                <w:szCs w:val="18"/>
              </w:rPr>
            </w:pPr>
            <w:r>
              <w:rPr>
                <w:rFonts w:ascii="Arial Narrow" w:hAnsi="Arial Narrow"/>
                <w:sz w:val="18"/>
                <w:szCs w:val="18"/>
              </w:rPr>
              <w:t>1</w:t>
            </w:r>
          </w:p>
        </w:tc>
        <w:tc>
          <w:tcPr>
            <w:tcW w:w="845" w:type="dxa"/>
          </w:tcPr>
          <w:p w:rsidR="00631108" w:rsidRDefault="00631108" w:rsidP="00591A35">
            <w:pPr>
              <w:jc w:val="center"/>
              <w:rPr>
                <w:rFonts w:ascii="Arial Narrow" w:hAnsi="Arial Narrow"/>
                <w:sz w:val="18"/>
                <w:szCs w:val="18"/>
              </w:rPr>
            </w:pPr>
            <w:r>
              <w:rPr>
                <w:rFonts w:ascii="Arial Narrow" w:hAnsi="Arial Narrow"/>
                <w:sz w:val="18"/>
                <w:szCs w:val="18"/>
              </w:rPr>
              <w:t>0</w:t>
            </w:r>
          </w:p>
        </w:tc>
        <w:tc>
          <w:tcPr>
            <w:tcW w:w="847" w:type="dxa"/>
          </w:tcPr>
          <w:p w:rsidR="00631108" w:rsidRDefault="00631108" w:rsidP="00591A35">
            <w:pPr>
              <w:jc w:val="center"/>
              <w:rPr>
                <w:rFonts w:ascii="Arial Narrow" w:hAnsi="Arial Narrow"/>
                <w:sz w:val="18"/>
                <w:szCs w:val="18"/>
              </w:rPr>
            </w:pPr>
            <w:r>
              <w:rPr>
                <w:rFonts w:ascii="Arial Narrow" w:hAnsi="Arial Narrow"/>
                <w:sz w:val="18"/>
                <w:szCs w:val="18"/>
              </w:rPr>
              <w:t>NEW</w:t>
            </w:r>
          </w:p>
        </w:tc>
        <w:tc>
          <w:tcPr>
            <w:tcW w:w="1127" w:type="dxa"/>
          </w:tcPr>
          <w:p w:rsidR="00631108" w:rsidRPr="000C6534" w:rsidRDefault="00631108" w:rsidP="00591A35">
            <w:pPr>
              <w:rPr>
                <w:rFonts w:ascii="Arial Narrow" w:hAnsi="Arial Narrow"/>
                <w:sz w:val="18"/>
                <w:szCs w:val="18"/>
              </w:rPr>
            </w:pPr>
            <w:proofErr w:type="spellStart"/>
            <w:r>
              <w:rPr>
                <w:rFonts w:ascii="Arial Narrow" w:hAnsi="Arial Narrow"/>
                <w:sz w:val="18"/>
                <w:szCs w:val="18"/>
              </w:rPr>
              <w:t>Cimzia</w:t>
            </w:r>
            <w:proofErr w:type="spellEnd"/>
          </w:p>
        </w:tc>
        <w:tc>
          <w:tcPr>
            <w:tcW w:w="1744" w:type="dxa"/>
          </w:tcPr>
          <w:p w:rsidR="00631108" w:rsidRPr="000C6534" w:rsidRDefault="00631108" w:rsidP="00591A35">
            <w:pPr>
              <w:rPr>
                <w:rFonts w:ascii="Arial Narrow" w:hAnsi="Arial Narrow"/>
                <w:sz w:val="18"/>
                <w:szCs w:val="18"/>
              </w:rPr>
            </w:pPr>
            <w:r>
              <w:rPr>
                <w:rFonts w:ascii="Arial Narrow" w:hAnsi="Arial Narrow"/>
                <w:sz w:val="18"/>
                <w:szCs w:val="18"/>
              </w:rPr>
              <w:t>UCB Australia Pty Ltd</w:t>
            </w:r>
          </w:p>
        </w:tc>
      </w:tr>
    </w:tbl>
    <w:p w:rsidR="00631108" w:rsidRPr="00564C01" w:rsidRDefault="00631108" w:rsidP="00631108">
      <w:pPr>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631108" w:rsidRPr="00E11884" w:rsidTr="00591A35">
        <w:tc>
          <w:tcPr>
            <w:tcW w:w="553" w:type="pct"/>
          </w:tcPr>
          <w:p w:rsidR="00631108" w:rsidRPr="00871A6D" w:rsidRDefault="00631108" w:rsidP="00591A35">
            <w:pPr>
              <w:spacing w:after="100" w:afterAutospacing="1"/>
              <w:jc w:val="center"/>
              <w:rPr>
                <w:rFonts w:ascii="Arial Narrow" w:hAnsi="Arial Narrow"/>
                <w:color w:val="333333"/>
                <w:sz w:val="18"/>
                <w:szCs w:val="18"/>
                <w:lang w:eastAsia="en-AU"/>
              </w:rPr>
            </w:pPr>
            <w:r w:rsidRPr="00871A6D">
              <w:rPr>
                <w:rFonts w:ascii="Arial Narrow" w:hAnsi="Arial Narrow"/>
                <w:b/>
                <w:sz w:val="18"/>
                <w:szCs w:val="18"/>
              </w:rPr>
              <w:t>Concept ID</w:t>
            </w:r>
          </w:p>
        </w:tc>
        <w:tc>
          <w:tcPr>
            <w:tcW w:w="4447" w:type="pct"/>
          </w:tcPr>
          <w:p w:rsidR="00631108" w:rsidRPr="00871A6D" w:rsidRDefault="00631108" w:rsidP="00591A35">
            <w:pPr>
              <w:spacing w:after="100" w:afterAutospacing="1"/>
              <w:rPr>
                <w:rFonts w:ascii="Arial Narrow" w:hAnsi="Arial Narrow"/>
                <w:b/>
                <w:bCs/>
                <w:color w:val="333333"/>
                <w:sz w:val="18"/>
                <w:szCs w:val="18"/>
                <w:lang w:eastAsia="en-AU"/>
              </w:rPr>
            </w:pPr>
            <w:r w:rsidRPr="00871A6D">
              <w:rPr>
                <w:rFonts w:ascii="Arial Narrow" w:hAnsi="Arial Narrow"/>
                <w:b/>
                <w:sz w:val="18"/>
                <w:szCs w:val="18"/>
              </w:rPr>
              <w:t>Category / Program:</w:t>
            </w:r>
            <w:r w:rsidRPr="00871A6D">
              <w:rPr>
                <w:rFonts w:ascii="Arial Narrow" w:hAnsi="Arial Narrow"/>
                <w:sz w:val="18"/>
                <w:szCs w:val="18"/>
              </w:rPr>
              <w:t xml:space="preserve"> General Schedule (Code GE)</w:t>
            </w:r>
          </w:p>
        </w:tc>
      </w:tr>
      <w:tr w:rsidR="00631108" w:rsidRPr="00E11884" w:rsidTr="00591A35">
        <w:tc>
          <w:tcPr>
            <w:tcW w:w="553" w:type="pct"/>
          </w:tcPr>
          <w:p w:rsidR="00631108" w:rsidRDefault="00631108" w:rsidP="00591A35">
            <w:pPr>
              <w:spacing w:after="100" w:afterAutospacing="1"/>
              <w:jc w:val="center"/>
              <w:rPr>
                <w:rFonts w:ascii="Arial Narrow" w:hAnsi="Arial Narrow"/>
                <w:color w:val="333333"/>
                <w:sz w:val="18"/>
                <w:szCs w:val="18"/>
                <w:lang w:eastAsia="en-AU"/>
              </w:rPr>
            </w:pPr>
          </w:p>
        </w:tc>
        <w:tc>
          <w:tcPr>
            <w:tcW w:w="4447" w:type="pct"/>
          </w:tcPr>
          <w:p w:rsidR="00631108" w:rsidRPr="00E11884" w:rsidRDefault="00631108" w:rsidP="00657498">
            <w:pPr>
              <w:spacing w:after="100" w:afterAutospacing="1"/>
              <w:rPr>
                <w:rFonts w:ascii="Arial Narrow" w:hAnsi="Arial Narrow"/>
                <w:b/>
                <w:bCs/>
                <w:color w:val="333333"/>
                <w:sz w:val="18"/>
                <w:szCs w:val="18"/>
                <w:lang w:eastAsia="en-AU"/>
              </w:rPr>
            </w:pPr>
            <w:r w:rsidRPr="00DC0C1D">
              <w:rPr>
                <w:rFonts w:ascii="Arial Narrow" w:hAnsi="Arial Narrow"/>
                <w:b/>
                <w:sz w:val="18"/>
                <w:szCs w:val="18"/>
              </w:rPr>
              <w:t>Prescriber type:</w:t>
            </w:r>
            <w:r>
              <w:rPr>
                <w:rFonts w:ascii="Arial Narrow" w:hAnsi="Arial Narrow"/>
                <w:sz w:val="18"/>
                <w:szCs w:val="18"/>
              </w:rPr>
              <w:t xml:space="preserve"> </w:t>
            </w:r>
            <w:r w:rsidRPr="00DC0C1D">
              <w:rPr>
                <w:rFonts w:ascii="Arial Narrow" w:hAnsi="Arial Narrow"/>
                <w:sz w:val="18"/>
                <w:szCs w:val="18"/>
              </w:rPr>
              <w:fldChar w:fldCharType="begin">
                <w:ffData>
                  <w:name w:val="Check1"/>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Dental  </w:t>
            </w:r>
            <w:r>
              <w:rPr>
                <w:rFonts w:ascii="Arial Narrow" w:hAnsi="Arial Narrow"/>
                <w:sz w:val="18"/>
                <w:szCs w:val="18"/>
              </w:rPr>
              <w:t xml:space="preserve"> </w:t>
            </w: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Medical Practitioners </w:t>
            </w:r>
            <w:r w:rsidRPr="00DC0C1D">
              <w:rPr>
                <w:rFonts w:ascii="Arial Narrow" w:hAnsi="Arial Narrow"/>
                <w:sz w:val="18"/>
                <w:szCs w:val="18"/>
              </w:rPr>
              <w:fldChar w:fldCharType="begin">
                <w:ffData>
                  <w:name w:val="Check3"/>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Nurse practitioners  </w:t>
            </w:r>
            <w:r w:rsidRPr="00DC0C1D">
              <w:rPr>
                <w:rFonts w:ascii="Arial Narrow" w:hAnsi="Arial Narrow"/>
                <w:sz w:val="18"/>
                <w:szCs w:val="18"/>
              </w:rPr>
              <w:fldChar w:fldCharType="begin">
                <w:ffData>
                  <w:name w:val=""/>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Optometrists   </w:t>
            </w:r>
            <w:r w:rsidRPr="00DC0C1D">
              <w:rPr>
                <w:rFonts w:ascii="Arial Narrow" w:hAnsi="Arial Narrow"/>
                <w:sz w:val="18"/>
                <w:szCs w:val="18"/>
              </w:rPr>
              <w:fldChar w:fldCharType="begin">
                <w:ffData>
                  <w:name w:val="Check5"/>
                  <w:enabled/>
                  <w:calcOnExit w:val="0"/>
                  <w:checkBox>
                    <w:sizeAuto/>
                    <w:default w:val="0"/>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Midwives</w:t>
            </w:r>
          </w:p>
        </w:tc>
      </w:tr>
      <w:tr w:rsidR="00631108" w:rsidRPr="00E11884" w:rsidTr="00591A35">
        <w:tc>
          <w:tcPr>
            <w:tcW w:w="553" w:type="pct"/>
          </w:tcPr>
          <w:p w:rsidR="00631108" w:rsidRDefault="00631108" w:rsidP="00591A35">
            <w:pPr>
              <w:spacing w:after="100" w:afterAutospacing="1"/>
              <w:jc w:val="center"/>
              <w:rPr>
                <w:rFonts w:ascii="Arial Narrow" w:hAnsi="Arial Narrow"/>
                <w:color w:val="333333"/>
                <w:sz w:val="18"/>
                <w:szCs w:val="18"/>
                <w:lang w:eastAsia="en-AU"/>
              </w:rPr>
            </w:pPr>
          </w:p>
        </w:tc>
        <w:tc>
          <w:tcPr>
            <w:tcW w:w="4447" w:type="pct"/>
          </w:tcPr>
          <w:p w:rsidR="00631108" w:rsidRPr="00DC0C1D" w:rsidRDefault="00631108" w:rsidP="00591A35">
            <w:pPr>
              <w:rPr>
                <w:rFonts w:ascii="Arial Narrow" w:hAnsi="Arial Narrow"/>
                <w:b/>
                <w:sz w:val="18"/>
                <w:szCs w:val="18"/>
              </w:rPr>
            </w:pPr>
            <w:r w:rsidRPr="00DC0C1D">
              <w:rPr>
                <w:rFonts w:ascii="Arial Narrow" w:hAnsi="Arial Narrow"/>
                <w:b/>
                <w:sz w:val="18"/>
                <w:szCs w:val="18"/>
              </w:rPr>
              <w:t>Restriction Level / Method:</w:t>
            </w:r>
          </w:p>
          <w:p w:rsidR="00631108" w:rsidRPr="00E11884" w:rsidRDefault="00631108" w:rsidP="00591A35">
            <w:pPr>
              <w:spacing w:after="100" w:afterAutospacing="1"/>
              <w:rPr>
                <w:rFonts w:ascii="Arial Narrow" w:hAnsi="Arial Narrow"/>
                <w:b/>
                <w:bCs/>
                <w:color w:val="333333"/>
                <w:sz w:val="18"/>
                <w:szCs w:val="18"/>
                <w:lang w:eastAsia="en-AU"/>
              </w:rPr>
            </w:pPr>
            <w:r w:rsidRPr="00DC0C1D">
              <w:rPr>
                <w:rFonts w:ascii="Arial Narrow" w:hAnsi="Arial Narrow"/>
                <w:sz w:val="18"/>
                <w:szCs w:val="18"/>
              </w:rPr>
              <w:fldChar w:fldCharType="begin">
                <w:ffData>
                  <w:name w:val=""/>
                  <w:enabled/>
                  <w:calcOnExit w:val="0"/>
                  <w:checkBox>
                    <w:sizeAuto/>
                    <w:default w:val="1"/>
                  </w:checkBox>
                </w:ffData>
              </w:fldChar>
            </w:r>
            <w:r w:rsidRPr="00DC0C1D">
              <w:rPr>
                <w:rFonts w:ascii="Arial Narrow" w:hAnsi="Arial Narrow"/>
                <w:sz w:val="18"/>
                <w:szCs w:val="18"/>
              </w:rPr>
              <w:instrText xml:space="preserve"> FORMCHECKBOX </w:instrText>
            </w:r>
            <w:r w:rsidR="002C4D8C">
              <w:rPr>
                <w:rFonts w:ascii="Arial Narrow" w:hAnsi="Arial Narrow"/>
                <w:sz w:val="18"/>
                <w:szCs w:val="18"/>
              </w:rPr>
            </w:r>
            <w:r w:rsidR="002C4D8C">
              <w:rPr>
                <w:rFonts w:ascii="Arial Narrow" w:hAnsi="Arial Narrow"/>
                <w:sz w:val="18"/>
                <w:szCs w:val="18"/>
              </w:rPr>
              <w:fldChar w:fldCharType="separate"/>
            </w:r>
            <w:r w:rsidRPr="00DC0C1D">
              <w:rPr>
                <w:rFonts w:ascii="Arial Narrow" w:hAnsi="Arial Narrow"/>
                <w:sz w:val="18"/>
                <w:szCs w:val="18"/>
              </w:rPr>
              <w:fldChar w:fldCharType="end"/>
            </w:r>
            <w:r w:rsidRPr="00DC0C1D">
              <w:rPr>
                <w:rFonts w:ascii="Arial Narrow" w:hAnsi="Arial Narrow"/>
                <w:sz w:val="18"/>
                <w:szCs w:val="18"/>
              </w:rPr>
              <w:t xml:space="preserve">Authority Required </w:t>
            </w:r>
            <w:r>
              <w:rPr>
                <w:rFonts w:ascii="Arial Narrow" w:hAnsi="Arial Narrow"/>
                <w:sz w:val="18"/>
                <w:szCs w:val="18"/>
              </w:rPr>
              <w:t>–</w:t>
            </w:r>
            <w:r w:rsidRPr="00DC0C1D">
              <w:rPr>
                <w:rFonts w:ascii="Arial Narrow" w:hAnsi="Arial Narrow"/>
                <w:sz w:val="18"/>
                <w:szCs w:val="18"/>
              </w:rPr>
              <w:t xml:space="preserve"> </w:t>
            </w:r>
            <w:r>
              <w:rPr>
                <w:rFonts w:ascii="Arial Narrow" w:hAnsi="Arial Narrow"/>
                <w:sz w:val="18"/>
                <w:szCs w:val="18"/>
              </w:rPr>
              <w:t>(Telephone/Emergency/Electronic)</w:t>
            </w:r>
          </w:p>
        </w:tc>
      </w:tr>
      <w:tr w:rsidR="00631108" w:rsidRPr="00E11884" w:rsidTr="00591A35">
        <w:tc>
          <w:tcPr>
            <w:tcW w:w="553" w:type="pct"/>
            <w:vAlign w:val="center"/>
          </w:tcPr>
          <w:p w:rsidR="00631108" w:rsidRDefault="00631108" w:rsidP="00591A35">
            <w:pPr>
              <w:spacing w:after="100" w:afterAutospacing="1"/>
              <w:jc w:val="center"/>
              <w:rPr>
                <w:rFonts w:ascii="Arial Narrow" w:hAnsi="Arial Narrow"/>
                <w:color w:val="333333"/>
                <w:sz w:val="18"/>
                <w:szCs w:val="18"/>
                <w:lang w:eastAsia="en-AU"/>
              </w:rPr>
            </w:pPr>
            <w:r>
              <w:rPr>
                <w:rFonts w:ascii="Arial Narrow" w:hAnsi="Arial Narrow"/>
                <w:sz w:val="18"/>
                <w:szCs w:val="18"/>
              </w:rPr>
              <w:t>NEW</w:t>
            </w:r>
          </w:p>
        </w:tc>
        <w:tc>
          <w:tcPr>
            <w:tcW w:w="4447" w:type="pct"/>
            <w:vAlign w:val="center"/>
          </w:tcPr>
          <w:p w:rsidR="00631108" w:rsidRPr="00612D15" w:rsidRDefault="00631108" w:rsidP="00591A35">
            <w:pPr>
              <w:rPr>
                <w:rFonts w:ascii="Arial Narrow" w:hAnsi="Arial Narrow"/>
                <w:b/>
                <w:bCs/>
                <w:sz w:val="18"/>
                <w:szCs w:val="18"/>
              </w:rPr>
            </w:pPr>
            <w:r w:rsidRPr="00612D15">
              <w:rPr>
                <w:rFonts w:ascii="Arial Narrow" w:hAnsi="Arial Narrow"/>
                <w:b/>
                <w:bCs/>
                <w:sz w:val="18"/>
                <w:szCs w:val="18"/>
              </w:rPr>
              <w:t>Administrative advice:</w:t>
            </w:r>
          </w:p>
          <w:p w:rsidR="00631108" w:rsidRDefault="00631108" w:rsidP="00591A35">
            <w:pPr>
              <w:rPr>
                <w:rFonts w:ascii="Arial Narrow" w:hAnsi="Arial Narrow"/>
                <w:b/>
                <w:bCs/>
                <w:color w:val="333333"/>
                <w:sz w:val="18"/>
                <w:szCs w:val="18"/>
                <w:lang w:eastAsia="en-AU"/>
              </w:rPr>
            </w:pPr>
            <w:r w:rsidRPr="00047BB0">
              <w:rPr>
                <w:rFonts w:ascii="Arial Narrow" w:hAnsi="Arial Narrow"/>
                <w:b/>
                <w:bCs/>
                <w:color w:val="333333"/>
                <w:sz w:val="18"/>
                <w:szCs w:val="18"/>
                <w:lang w:eastAsia="en-AU"/>
              </w:rPr>
              <w:t>TREATMENT OF ADULT PATIENTS WITH</w:t>
            </w:r>
            <w:r>
              <w:rPr>
                <w:rFonts w:ascii="Arial Narrow" w:hAnsi="Arial Narrow"/>
                <w:b/>
                <w:bCs/>
                <w:color w:val="333333"/>
                <w:sz w:val="18"/>
                <w:szCs w:val="18"/>
                <w:lang w:eastAsia="en-AU"/>
              </w:rPr>
              <w:t xml:space="preserve"> NON-RADIOGRAPHIC</w:t>
            </w:r>
            <w:r w:rsidRPr="00047BB0">
              <w:rPr>
                <w:rFonts w:ascii="Arial Narrow" w:hAnsi="Arial Narrow"/>
                <w:b/>
                <w:bCs/>
                <w:color w:val="333333"/>
                <w:sz w:val="18"/>
                <w:szCs w:val="18"/>
                <w:lang w:eastAsia="en-AU"/>
              </w:rPr>
              <w:t xml:space="preserve"> ANKYLOSING SPONDYLITIS</w:t>
            </w:r>
          </w:p>
          <w:p w:rsidR="00631108" w:rsidRPr="00E23012" w:rsidRDefault="00631108" w:rsidP="00591A35">
            <w:pPr>
              <w:spacing w:after="100" w:afterAutospacing="1"/>
              <w:rPr>
                <w:rFonts w:ascii="Arial Narrow" w:hAnsi="Arial Narrow"/>
                <w:bCs/>
                <w:color w:val="333333"/>
                <w:sz w:val="18"/>
                <w:szCs w:val="18"/>
                <w:lang w:eastAsia="en-AU"/>
              </w:rPr>
            </w:pPr>
            <w:r w:rsidRPr="00E23012">
              <w:rPr>
                <w:rFonts w:ascii="Arial Narrow" w:hAnsi="Arial Narrow"/>
                <w:bCs/>
                <w:i/>
                <w:color w:val="333333"/>
                <w:sz w:val="18"/>
                <w:szCs w:val="18"/>
                <w:lang w:eastAsia="en-AU"/>
              </w:rPr>
              <w:t>See end of restrictions for full explanatory note</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22964</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Indication:</w:t>
            </w:r>
            <w:r>
              <w:rPr>
                <w:rFonts w:ascii="Arial Narrow" w:hAnsi="Arial Narrow"/>
                <w:b/>
                <w:bCs/>
                <w:color w:val="333333"/>
                <w:sz w:val="18"/>
                <w:szCs w:val="18"/>
                <w:lang w:eastAsia="en-AU"/>
              </w:rPr>
              <w:t xml:space="preserve"> </w:t>
            </w:r>
            <w:r w:rsidRPr="00E11884">
              <w:rPr>
                <w:rFonts w:ascii="Arial Narrow" w:hAnsi="Arial Narrow"/>
                <w:color w:val="333333"/>
                <w:sz w:val="18"/>
                <w:szCs w:val="18"/>
                <w:lang w:eastAsia="en-AU"/>
              </w:rPr>
              <w:t xml:space="preserve">Non-radiographic axial </w:t>
            </w:r>
            <w:proofErr w:type="spellStart"/>
            <w:r w:rsidRPr="00E11884">
              <w:rPr>
                <w:rFonts w:ascii="Arial Narrow" w:hAnsi="Arial Narrow"/>
                <w:color w:val="333333"/>
                <w:sz w:val="18"/>
                <w:szCs w:val="18"/>
                <w:lang w:eastAsia="en-AU"/>
              </w:rPr>
              <w:t>spondyloarthritis</w:t>
            </w:r>
            <w:proofErr w:type="spellEnd"/>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Treatment Phase:</w:t>
            </w:r>
            <w:r>
              <w:rPr>
                <w:rFonts w:ascii="Arial Narrow" w:hAnsi="Arial Narrow"/>
                <w:color w:val="333333"/>
                <w:sz w:val="18"/>
                <w:szCs w:val="18"/>
                <w:lang w:eastAsia="en-AU"/>
              </w:rPr>
              <w:t xml:space="preserve"> </w:t>
            </w:r>
            <w:r w:rsidRPr="00E11884">
              <w:rPr>
                <w:rFonts w:ascii="Arial Narrow" w:hAnsi="Arial Narrow"/>
                <w:color w:val="333333"/>
                <w:sz w:val="18"/>
                <w:szCs w:val="18"/>
                <w:lang w:eastAsia="en-AU"/>
              </w:rPr>
              <w:t>Continuing and Grandfathered treatment - balance of supply</w:t>
            </w:r>
          </w:p>
        </w:tc>
      </w:tr>
      <w:tr w:rsidR="00631108" w:rsidRPr="00E11884" w:rsidTr="00591A35">
        <w:tc>
          <w:tcPr>
            <w:tcW w:w="553" w:type="pct"/>
            <w:vMerge w:val="restar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new</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Clinical criteria:</w:t>
            </w:r>
          </w:p>
        </w:tc>
      </w:tr>
      <w:tr w:rsidR="00631108" w:rsidRPr="00E11884" w:rsidTr="00591A35">
        <w:tc>
          <w:tcPr>
            <w:tcW w:w="553" w:type="pct"/>
            <w:vMerge/>
            <w:vAlign w:val="center"/>
          </w:tcPr>
          <w:p w:rsidR="00631108" w:rsidRPr="00E11884" w:rsidRDefault="00631108" w:rsidP="00591A35">
            <w:pPr>
              <w:spacing w:after="100" w:afterAutospacing="1"/>
              <w:jc w:val="center"/>
              <w:rPr>
                <w:rFonts w:ascii="Arial Narrow" w:hAnsi="Arial Narrow"/>
                <w:color w:val="333333"/>
                <w:sz w:val="18"/>
                <w:szCs w:val="18"/>
                <w:lang w:eastAsia="en-AU"/>
              </w:rPr>
            </w:pP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color w:val="333333"/>
                <w:sz w:val="18"/>
                <w:szCs w:val="18"/>
                <w:lang w:eastAsia="en-AU"/>
              </w:rPr>
              <w:t xml:space="preserve">Patient must have received insufficient therapy with this drug under the </w:t>
            </w:r>
            <w:r>
              <w:rPr>
                <w:rFonts w:ascii="Arial Narrow" w:hAnsi="Arial Narrow"/>
                <w:color w:val="333333"/>
                <w:sz w:val="18"/>
                <w:szCs w:val="18"/>
                <w:lang w:eastAsia="en-AU"/>
              </w:rPr>
              <w:t>grandfathered patient</w:t>
            </w:r>
            <w:r w:rsidRPr="00E11884">
              <w:rPr>
                <w:rFonts w:ascii="Arial Narrow" w:hAnsi="Arial Narrow"/>
                <w:color w:val="333333"/>
                <w:sz w:val="18"/>
                <w:szCs w:val="18"/>
                <w:lang w:eastAsia="en-AU"/>
              </w:rPr>
              <w:t xml:space="preserve"> restriction to complete 24 weeks of treatment; or</w:t>
            </w:r>
          </w:p>
        </w:tc>
      </w:tr>
      <w:tr w:rsidR="00631108" w:rsidRPr="00E11884" w:rsidTr="00591A35">
        <w:tc>
          <w:tcPr>
            <w:tcW w:w="553" w:type="pct"/>
            <w:vMerge/>
            <w:vAlign w:val="center"/>
          </w:tcPr>
          <w:p w:rsidR="00631108" w:rsidRPr="00E11884" w:rsidRDefault="00631108" w:rsidP="00591A35">
            <w:pPr>
              <w:spacing w:after="100" w:afterAutospacing="1"/>
              <w:jc w:val="center"/>
              <w:rPr>
                <w:rFonts w:ascii="Arial Narrow" w:hAnsi="Arial Narrow"/>
                <w:color w:val="333333"/>
                <w:sz w:val="18"/>
                <w:szCs w:val="18"/>
                <w:lang w:eastAsia="en-AU"/>
              </w:rPr>
            </w:pP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color w:val="333333"/>
                <w:sz w:val="18"/>
                <w:szCs w:val="18"/>
                <w:lang w:eastAsia="en-AU"/>
              </w:rPr>
              <w:t>Patient must have received insufficient therapy with this drug under the Continuing treatment restriction to complete 24 weeks of treatment</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AND</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10472</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Clinical criteria:</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10471</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color w:val="333333"/>
                <w:sz w:val="18"/>
                <w:szCs w:val="18"/>
                <w:lang w:eastAsia="en-AU"/>
              </w:rPr>
              <w:t>The treatment must provide no more than the balance of up to 24 weeks treatment available under the above restriction</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AND</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22985</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b/>
                <w:bCs/>
                <w:color w:val="333333"/>
                <w:sz w:val="18"/>
                <w:szCs w:val="18"/>
                <w:lang w:eastAsia="en-AU"/>
              </w:rPr>
              <w:t>Treatment criteria:</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10111</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color w:val="333333"/>
                <w:sz w:val="18"/>
                <w:szCs w:val="18"/>
                <w:lang w:eastAsia="en-AU"/>
              </w:rPr>
              <w:t>Must be treated by a rheumatologist; or</w:t>
            </w:r>
          </w:p>
        </w:tc>
      </w:tr>
      <w:tr w:rsidR="00631108" w:rsidRPr="00E11884" w:rsidTr="00591A35">
        <w:tc>
          <w:tcPr>
            <w:tcW w:w="553" w:type="pct"/>
            <w:vAlign w:val="center"/>
            <w:hideMark/>
          </w:tcPr>
          <w:p w:rsidR="00631108" w:rsidRPr="00E11884" w:rsidRDefault="00631108" w:rsidP="00591A35">
            <w:pPr>
              <w:spacing w:after="100" w:afterAutospacing="1"/>
              <w:jc w:val="center"/>
              <w:rPr>
                <w:rFonts w:ascii="Arial Narrow" w:hAnsi="Arial Narrow"/>
                <w:color w:val="333333"/>
                <w:sz w:val="18"/>
                <w:szCs w:val="18"/>
                <w:lang w:eastAsia="en-AU"/>
              </w:rPr>
            </w:pPr>
            <w:r>
              <w:rPr>
                <w:rFonts w:ascii="Arial Narrow" w:hAnsi="Arial Narrow"/>
                <w:color w:val="333333"/>
                <w:sz w:val="18"/>
                <w:szCs w:val="18"/>
                <w:lang w:eastAsia="en-AU"/>
              </w:rPr>
              <w:t>22986</w:t>
            </w:r>
          </w:p>
        </w:tc>
        <w:tc>
          <w:tcPr>
            <w:tcW w:w="4447" w:type="pct"/>
            <w:vAlign w:val="center"/>
            <w:hideMark/>
          </w:tcPr>
          <w:p w:rsidR="00631108" w:rsidRPr="00E11884" w:rsidRDefault="00631108" w:rsidP="00591A35">
            <w:pPr>
              <w:spacing w:after="100" w:afterAutospacing="1"/>
              <w:rPr>
                <w:rFonts w:ascii="Arial Narrow" w:hAnsi="Arial Narrow"/>
                <w:color w:val="333333"/>
                <w:sz w:val="18"/>
                <w:szCs w:val="18"/>
                <w:lang w:eastAsia="en-AU"/>
              </w:rPr>
            </w:pPr>
            <w:r w:rsidRPr="00E11884">
              <w:rPr>
                <w:rFonts w:ascii="Arial Narrow" w:hAnsi="Arial Narrow"/>
                <w:color w:val="333333"/>
                <w:sz w:val="18"/>
                <w:szCs w:val="18"/>
                <w:lang w:eastAsia="en-AU"/>
              </w:rPr>
              <w:t xml:space="preserve">Must be treated by a clinical immunologist with expertise in the management of non-radiographic axial </w:t>
            </w:r>
            <w:proofErr w:type="spellStart"/>
            <w:r w:rsidRPr="00E11884">
              <w:rPr>
                <w:rFonts w:ascii="Arial Narrow" w:hAnsi="Arial Narrow"/>
                <w:color w:val="333333"/>
                <w:sz w:val="18"/>
                <w:szCs w:val="18"/>
                <w:lang w:eastAsia="en-AU"/>
              </w:rPr>
              <w:t>spondyloarthritis</w:t>
            </w:r>
            <w:proofErr w:type="spellEnd"/>
          </w:p>
        </w:tc>
      </w:tr>
      <w:tr w:rsidR="00631108" w:rsidRPr="00E11884" w:rsidTr="00591A35">
        <w:tc>
          <w:tcPr>
            <w:tcW w:w="553" w:type="pct"/>
            <w:vAlign w:val="center"/>
            <w:hideMark/>
          </w:tcPr>
          <w:p w:rsidR="00631108"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19604</w:t>
            </w:r>
          </w:p>
          <w:p w:rsidR="00631108" w:rsidRPr="00E11884" w:rsidRDefault="00631108" w:rsidP="00591A35">
            <w:pPr>
              <w:jc w:val="center"/>
              <w:rPr>
                <w:rFonts w:ascii="Arial Narrow" w:hAnsi="Arial Narrow"/>
                <w:color w:val="333333"/>
                <w:sz w:val="18"/>
                <w:szCs w:val="18"/>
                <w:lang w:eastAsia="en-AU"/>
              </w:rPr>
            </w:pPr>
            <w:r>
              <w:rPr>
                <w:rFonts w:ascii="Arial Narrow" w:hAnsi="Arial Narrow"/>
                <w:color w:val="333333"/>
                <w:sz w:val="18"/>
                <w:szCs w:val="18"/>
                <w:lang w:eastAsia="en-AU"/>
              </w:rPr>
              <w:t>CAR</w:t>
            </w:r>
          </w:p>
        </w:tc>
        <w:tc>
          <w:tcPr>
            <w:tcW w:w="4447" w:type="pct"/>
            <w:vAlign w:val="center"/>
            <w:hideMark/>
          </w:tcPr>
          <w:p w:rsidR="00631108" w:rsidRPr="00E11884" w:rsidRDefault="00631108" w:rsidP="00591A35">
            <w:pPr>
              <w:rPr>
                <w:rFonts w:ascii="Arial Narrow" w:hAnsi="Arial Narrow"/>
                <w:color w:val="333333"/>
                <w:sz w:val="18"/>
                <w:szCs w:val="18"/>
                <w:lang w:eastAsia="en-AU"/>
              </w:rPr>
            </w:pPr>
            <w:r w:rsidRPr="00E11884">
              <w:rPr>
                <w:rFonts w:ascii="Arial Narrow" w:hAnsi="Arial Narrow"/>
                <w:b/>
                <w:bCs/>
                <w:color w:val="333333"/>
                <w:sz w:val="18"/>
                <w:szCs w:val="18"/>
                <w:lang w:eastAsia="en-AU"/>
              </w:rPr>
              <w:t>Administrative Advice:</w:t>
            </w:r>
          </w:p>
          <w:p w:rsidR="00631108" w:rsidRPr="00E11884" w:rsidRDefault="00631108" w:rsidP="00591A35">
            <w:pPr>
              <w:rPr>
                <w:rFonts w:ascii="Arial Narrow" w:hAnsi="Arial Narrow"/>
                <w:color w:val="333333"/>
                <w:sz w:val="18"/>
                <w:szCs w:val="18"/>
                <w:lang w:eastAsia="en-AU"/>
              </w:rPr>
            </w:pPr>
            <w:r w:rsidRPr="00E11884">
              <w:rPr>
                <w:rFonts w:ascii="Arial Narrow" w:hAnsi="Arial Narrow"/>
                <w:color w:val="333333"/>
                <w:sz w:val="18"/>
                <w:szCs w:val="18"/>
                <w:lang w:eastAsia="en-AU"/>
              </w:rPr>
              <w:t>Authority approval for sufficient therapy to complete a maximum of 24 weeks of treatment may be requested by telephone by contacting the Department of Human Services on 1800 700 270 (hours of operation 8 a.m. to 5 p.m. EST Monday to Friday).</w:t>
            </w:r>
          </w:p>
        </w:tc>
      </w:tr>
    </w:tbl>
    <w:p w:rsidR="00631108" w:rsidRDefault="00631108" w:rsidP="00631108"/>
    <w:tbl>
      <w:tblPr>
        <w:tblStyle w:val="TableGrid"/>
        <w:tblW w:w="8926" w:type="dxa"/>
        <w:tblLook w:val="04A0" w:firstRow="1" w:lastRow="0" w:firstColumn="1" w:lastColumn="0" w:noHBand="0" w:noVBand="1"/>
      </w:tblPr>
      <w:tblGrid>
        <w:gridCol w:w="807"/>
        <w:gridCol w:w="8119"/>
      </w:tblGrid>
      <w:tr w:rsidR="00631108" w:rsidTr="00591A35">
        <w:tc>
          <w:tcPr>
            <w:tcW w:w="807" w:type="dxa"/>
          </w:tcPr>
          <w:p w:rsidR="00631108" w:rsidRDefault="00631108" w:rsidP="00591A35">
            <w:pPr>
              <w:jc w:val="center"/>
            </w:pPr>
            <w:r w:rsidRPr="009E5346">
              <w:rPr>
                <w:rFonts w:ascii="Arial Narrow" w:hAnsi="Arial Narrow"/>
                <w:b/>
                <w:sz w:val="18"/>
                <w:szCs w:val="18"/>
              </w:rPr>
              <w:t>Concept ID</w:t>
            </w:r>
          </w:p>
        </w:tc>
        <w:tc>
          <w:tcPr>
            <w:tcW w:w="8119" w:type="dxa"/>
            <w:vMerge w:val="restart"/>
          </w:tcPr>
          <w:p w:rsidR="00631108" w:rsidRDefault="00631108" w:rsidP="00591A35">
            <w:pPr>
              <w:pStyle w:val="TableLeft"/>
              <w:rPr>
                <w:rFonts w:ascii="Arial Narrow" w:hAnsi="Arial Narrow"/>
                <w:b/>
                <w:bCs/>
                <w:szCs w:val="18"/>
              </w:rPr>
            </w:pPr>
            <w:r w:rsidRPr="00962058">
              <w:rPr>
                <w:rFonts w:ascii="Arial Narrow" w:eastAsia="Times New Roman" w:hAnsi="Arial Narrow"/>
                <w:b/>
                <w:bCs/>
                <w:color w:val="333333"/>
                <w:szCs w:val="18"/>
                <w:lang w:eastAsia="en-AU"/>
              </w:rPr>
              <w:t>Administrative Advice:</w:t>
            </w:r>
          </w:p>
          <w:p w:rsidR="00631108" w:rsidRPr="009E5346" w:rsidRDefault="00631108" w:rsidP="00591A35">
            <w:pPr>
              <w:pStyle w:val="TableLeft"/>
              <w:rPr>
                <w:rFonts w:ascii="Arial Narrow" w:hAnsi="Arial Narrow"/>
                <w:b/>
                <w:bCs/>
                <w:szCs w:val="18"/>
              </w:rPr>
            </w:pPr>
            <w:r w:rsidRPr="009E5346">
              <w:rPr>
                <w:rFonts w:ascii="Arial Narrow" w:hAnsi="Arial Narrow"/>
                <w:b/>
                <w:bCs/>
                <w:szCs w:val="18"/>
              </w:rPr>
              <w:t>TREATMENT OF ADULT PATIENTS WITH NON-RADIOGRAPHIC ANKYLOSING SPONDYLITIS</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The following information applies to the prescribing under the Pharmaceutical Benefits Scheme (PBS) of </w:t>
            </w:r>
            <w:proofErr w:type="spellStart"/>
            <w:r w:rsidRPr="009E5346">
              <w:rPr>
                <w:rFonts w:ascii="Arial Narrow" w:hAnsi="Arial Narrow"/>
                <w:bCs/>
                <w:szCs w:val="18"/>
              </w:rPr>
              <w:t>certolizumab</w:t>
            </w:r>
            <w:proofErr w:type="spellEnd"/>
            <w:r w:rsidRPr="009E5346">
              <w:rPr>
                <w:rFonts w:ascii="Arial Narrow" w:hAnsi="Arial Narrow"/>
                <w:bCs/>
                <w:szCs w:val="18"/>
              </w:rPr>
              <w:t xml:space="preserve"> </w:t>
            </w:r>
            <w:proofErr w:type="spellStart"/>
            <w:r w:rsidRPr="009E5346">
              <w:rPr>
                <w:rFonts w:ascii="Arial Narrow" w:hAnsi="Arial Narrow"/>
                <w:bCs/>
                <w:szCs w:val="18"/>
              </w:rPr>
              <w:t>pegol</w:t>
            </w:r>
            <w:proofErr w:type="spellEnd"/>
            <w:r w:rsidRPr="009E5346">
              <w:rPr>
                <w:rFonts w:ascii="Arial Narrow" w:hAnsi="Arial Narrow"/>
                <w:bCs/>
                <w:szCs w:val="18"/>
              </w:rPr>
              <w:t xml:space="preserve"> and </w:t>
            </w:r>
            <w:proofErr w:type="spellStart"/>
            <w:r w:rsidRPr="009E5346">
              <w:rPr>
                <w:rFonts w:ascii="Arial Narrow" w:hAnsi="Arial Narrow"/>
                <w:bCs/>
                <w:szCs w:val="18"/>
              </w:rPr>
              <w:t>golimumab</w:t>
            </w:r>
            <w:proofErr w:type="spellEnd"/>
            <w:r w:rsidRPr="009E5346">
              <w:rPr>
                <w:rFonts w:ascii="Arial Narrow" w:hAnsi="Arial Narrow"/>
                <w:bCs/>
                <w:szCs w:val="18"/>
              </w:rPr>
              <w:t xml:space="preserve"> for adult patients with non-radiographic axial </w:t>
            </w:r>
            <w:proofErr w:type="spellStart"/>
            <w:r w:rsidRPr="009E5346">
              <w:rPr>
                <w:rFonts w:ascii="Arial Narrow" w:hAnsi="Arial Narrow"/>
                <w:bCs/>
                <w:szCs w:val="18"/>
              </w:rPr>
              <w:t>spondyoarthritis</w:t>
            </w:r>
            <w:proofErr w:type="spellEnd"/>
            <w:r w:rsidRPr="009E5346">
              <w:rPr>
                <w:rFonts w:ascii="Arial Narrow" w:hAnsi="Arial Narrow"/>
                <w:bCs/>
                <w:szCs w:val="18"/>
              </w:rPr>
              <w:t>.</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Where the term 'biological medicine' appears in notes and restrictions, it refers to </w:t>
            </w:r>
            <w:proofErr w:type="spellStart"/>
            <w:r w:rsidRPr="009E5346">
              <w:rPr>
                <w:rFonts w:ascii="Arial Narrow" w:hAnsi="Arial Narrow"/>
                <w:bCs/>
                <w:szCs w:val="18"/>
              </w:rPr>
              <w:t>certolizumab</w:t>
            </w:r>
            <w:proofErr w:type="spellEnd"/>
            <w:r w:rsidRPr="009E5346">
              <w:rPr>
                <w:rFonts w:ascii="Arial Narrow" w:hAnsi="Arial Narrow"/>
                <w:bCs/>
                <w:szCs w:val="18"/>
              </w:rPr>
              <w:t xml:space="preserve"> </w:t>
            </w:r>
            <w:proofErr w:type="spellStart"/>
            <w:r w:rsidRPr="009E5346">
              <w:rPr>
                <w:rFonts w:ascii="Arial Narrow" w:hAnsi="Arial Narrow"/>
                <w:bCs/>
                <w:szCs w:val="18"/>
              </w:rPr>
              <w:t>pegol</w:t>
            </w:r>
            <w:proofErr w:type="spellEnd"/>
            <w:r w:rsidRPr="009E5346">
              <w:rPr>
                <w:rFonts w:ascii="Arial Narrow" w:hAnsi="Arial Narrow"/>
                <w:bCs/>
                <w:szCs w:val="18"/>
              </w:rPr>
              <w:t xml:space="preserve"> and </w:t>
            </w:r>
            <w:proofErr w:type="spellStart"/>
            <w:r w:rsidRPr="009E5346">
              <w:rPr>
                <w:rFonts w:ascii="Arial Narrow" w:hAnsi="Arial Narrow"/>
                <w:bCs/>
                <w:szCs w:val="18"/>
              </w:rPr>
              <w:t>golimumab</w:t>
            </w:r>
            <w:proofErr w:type="spellEnd"/>
            <w:r w:rsidRPr="009E5346">
              <w:rPr>
                <w:rFonts w:ascii="Arial Narrow" w:hAnsi="Arial Narrow"/>
                <w:bCs/>
                <w:szCs w:val="18"/>
              </w:rPr>
              <w:t xml:space="preserve"> only.</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A patient is eligible for PBS-subsidised treatment with only 1 of the 2 biological medicines at any one time.</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Under these arrangements, within a single treatment cycle, a patient may continue to receive long-term treatment with a biological medicine while they continue to show a response to therapy.</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lastRenderedPageBreak/>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Within the same treatment cycle, a paediatric patient cannot trial and fail, or cease to respond to, the same PBS-subsidised biological medicine more than twice.</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Once a patient has either failed or ceased to respond to treatment 3 times, they are deemed to have completed a treatment cycle and they must have, at a minimum, a 5-year break in PBS-subsidised biological medicine therapy before they are eligible to commence the next cycle. The 5-year break is measured from the date of the last prescription for PBS-subsidised biological medicine treatment in the most recent cycle to the date of the first application for initial treatment with a biological medicine under the new treatment cycle.</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A patient who has failed fewer than 3 trials of biological medicine therapy in a treatment cycle and who has a break in therapy of less than 5 years may commence a further course of treatment within the same treatment cycle.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A patient who has failed 3 trials or fewer of biological medicine therapy in a treatment cycle and who has a break in therapy of more than 5 years may commence a new treatment cycle.</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There is no limit to the number of treatment cycles a patient may undertake in their lifetime.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How to prescribe PBS-subsidised biological medicine treatment with </w:t>
            </w:r>
            <w:proofErr w:type="spellStart"/>
            <w:r w:rsidRPr="009E5346">
              <w:rPr>
                <w:rFonts w:ascii="Arial Narrow" w:hAnsi="Arial Narrow"/>
                <w:bCs/>
                <w:szCs w:val="18"/>
              </w:rPr>
              <w:t>certolizumab</w:t>
            </w:r>
            <w:proofErr w:type="spellEnd"/>
            <w:r w:rsidRPr="009E5346">
              <w:rPr>
                <w:rFonts w:ascii="Arial Narrow" w:hAnsi="Arial Narrow"/>
                <w:bCs/>
                <w:szCs w:val="18"/>
              </w:rPr>
              <w:t xml:space="preserve"> </w:t>
            </w:r>
            <w:proofErr w:type="spellStart"/>
            <w:r w:rsidRPr="009E5346">
              <w:rPr>
                <w:rFonts w:ascii="Arial Narrow" w:hAnsi="Arial Narrow"/>
                <w:bCs/>
                <w:szCs w:val="18"/>
              </w:rPr>
              <w:t>pegol</w:t>
            </w:r>
            <w:proofErr w:type="spellEnd"/>
            <w:r w:rsidRPr="009E5346">
              <w:rPr>
                <w:rFonts w:ascii="Arial Narrow" w:hAnsi="Arial Narrow"/>
                <w:bCs/>
                <w:szCs w:val="18"/>
              </w:rPr>
              <w:t xml:space="preserve"> and </w:t>
            </w:r>
            <w:proofErr w:type="spellStart"/>
            <w:r w:rsidRPr="009E5346">
              <w:rPr>
                <w:rFonts w:ascii="Arial Narrow" w:hAnsi="Arial Narrow"/>
                <w:bCs/>
                <w:szCs w:val="18"/>
              </w:rPr>
              <w:t>golimumab</w:t>
            </w:r>
            <w:proofErr w:type="spellEnd"/>
          </w:p>
          <w:p w:rsidR="00631108" w:rsidRPr="009E5346" w:rsidRDefault="00631108" w:rsidP="00591A35">
            <w:pPr>
              <w:pStyle w:val="TableLeft"/>
              <w:rPr>
                <w:rFonts w:ascii="Arial Narrow" w:hAnsi="Arial Narrow"/>
                <w:bCs/>
                <w:szCs w:val="18"/>
              </w:rPr>
            </w:pPr>
            <w:r w:rsidRPr="009E5346">
              <w:rPr>
                <w:rFonts w:ascii="Arial Narrow" w:hAnsi="Arial Narrow"/>
                <w:bCs/>
                <w:szCs w:val="18"/>
              </w:rPr>
              <w:t>(a) Initial treatment.</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Applications for initial treatment should be made where:</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w:t>
            </w:r>
            <w:proofErr w:type="spellStart"/>
            <w:r w:rsidRPr="009E5346">
              <w:rPr>
                <w:rFonts w:ascii="Arial Narrow" w:hAnsi="Arial Narrow"/>
                <w:bCs/>
                <w:szCs w:val="18"/>
              </w:rPr>
              <w:t>i</w:t>
            </w:r>
            <w:proofErr w:type="spellEnd"/>
            <w:r w:rsidRPr="009E5346">
              <w:rPr>
                <w:rFonts w:ascii="Arial Narrow" w:hAnsi="Arial Narrow"/>
                <w:bCs/>
                <w:szCs w:val="18"/>
              </w:rPr>
              <w:t xml:space="preserve">) a patient has received no prior PBS-subsidised biological medicine treatment in this treatment cycle and wishes to commence such therapy (Initial 1 - New patient)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(ii) a patient has received prior PBS-subsidised (initial or continuing) biological medicine therapy and wishes to trial an alternate agent (Initial 2 - Change or Recommencement of treatment after a break in therapy of less than 5 years) [further details are under 'Swapping therapy' below]; or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(iii) a patient wishes to recommence treatment with a specific biological medicine following a break in PBS-subsidised therapy of less than 5 years with the same agent (Initial 2 - Change or Recommencement of treatment after a break in therapy of less than 5 years); or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(iv) </w:t>
            </w:r>
            <w:proofErr w:type="gramStart"/>
            <w:r w:rsidRPr="009E5346">
              <w:rPr>
                <w:rFonts w:ascii="Arial Narrow" w:hAnsi="Arial Narrow"/>
                <w:bCs/>
                <w:szCs w:val="18"/>
              </w:rPr>
              <w:t>a</w:t>
            </w:r>
            <w:proofErr w:type="gramEnd"/>
            <w:r w:rsidRPr="009E5346">
              <w:rPr>
                <w:rFonts w:ascii="Arial Narrow" w:hAnsi="Arial Narrow"/>
                <w:bCs/>
                <w:szCs w:val="18"/>
              </w:rPr>
              <w:t xml:space="preserve"> patient wishes to recommence treatment with a biological medicine following a break in PBS-subsidised therapy of more than 5 years (Initial 3 - Recommencement of treatment after a break in biological medicine of more than 5 years).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A patient must be assessed for response to a course of initial PBS-subsidised treatment following a minimum of 12 weeks of therapy.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(b) Continuing treatment.</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For the first continuing treatment course of PBS-subsidised biological medicine, it is recommended that a patient is reviewed for response following a minimum of 12 weeks of therapy under the Initial 1, Initial 2 or Initial 3 treatment restrictions. For second and subsequent continuing courses of PBS-subsidised biological medicine it is recommended that a patient be reviewed the month prior to completing their current course of treatment to ensure uninterrupted biological medicine supply.</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A patient must be assessed for response to a course of continuing therapy, and the assessment must be conducted within 1 month of the last dose. Where a response assessment is not conducted within the required timeframe, the patient will be deemed to have failed to respond to treatment with that biological medicine, unless the patient has experienced a serious adverse reaction of a severity resulting in the necessity for permanent withdrawal of treatment.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(2) Swapping therapy.</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Once initial treatment with the first PBS-subsidised biological medicine is approved, a patient may swap to an alternate biological medicine within the same treatment cycle without having to requalify with respect to the indices of disease </w:t>
            </w:r>
            <w:r w:rsidRPr="009E5346">
              <w:rPr>
                <w:rFonts w:ascii="Arial Narrow" w:hAnsi="Arial Narrow"/>
                <w:bCs/>
                <w:szCs w:val="18"/>
              </w:rPr>
              <w:lastRenderedPageBreak/>
              <w:t xml:space="preserve">severity (i.e. the C-reactive protein (CRP) levels and the BASDAI), or the prior NSAID therapy and exercise program requirements.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To ensure a patient receives the maximum treatment opportunities allowed under these arrangements, it is important that they are assessed for response to every course of treatment. </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(3) Baseline measurements to determine response.</w:t>
            </w: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A response to treatment is based on the baseline measurements of the BASDAI and CRP documented in the patient’s medical records at the time of the first authority application for a biological medicine.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For a new patient, the BASDAI used to determine the baseline must be measured while the patient is receiving NSAID therapy and completing their exercise program.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 xml:space="preserve">To ensure consistency in determining response, the same indices of disease severity used to establish baseline must be used for all subsequent continuing treatment applications. Therefore CRP level must be used to determine response. </w:t>
            </w:r>
          </w:p>
          <w:p w:rsidR="00631108" w:rsidRPr="009E5346" w:rsidRDefault="00631108" w:rsidP="00591A35">
            <w:pPr>
              <w:pStyle w:val="TableLeft"/>
              <w:rPr>
                <w:rFonts w:ascii="Arial Narrow" w:hAnsi="Arial Narrow"/>
                <w:bCs/>
                <w:szCs w:val="18"/>
              </w:rPr>
            </w:pPr>
          </w:p>
          <w:p w:rsidR="00631108" w:rsidRPr="009E5346" w:rsidRDefault="00631108" w:rsidP="00591A35">
            <w:pPr>
              <w:pStyle w:val="TableLeft"/>
              <w:rPr>
                <w:rFonts w:ascii="Arial Narrow" w:hAnsi="Arial Narrow"/>
                <w:bCs/>
                <w:szCs w:val="18"/>
              </w:rPr>
            </w:pPr>
            <w:r w:rsidRPr="009E5346">
              <w:rPr>
                <w:rFonts w:ascii="Arial Narrow" w:hAnsi="Arial Narrow"/>
                <w:bCs/>
                <w:szCs w:val="18"/>
              </w:rPr>
              <w:t>(4) Recommencement of treatment after a 5-year break in PBS-subsidised therapy.</w:t>
            </w:r>
          </w:p>
          <w:p w:rsidR="00631108" w:rsidRPr="00EF701F" w:rsidRDefault="00631108" w:rsidP="00591A35">
            <w:pPr>
              <w:rPr>
                <w:sz w:val="18"/>
                <w:szCs w:val="18"/>
              </w:rPr>
            </w:pPr>
            <w:r w:rsidRPr="00EF701F">
              <w:rPr>
                <w:rFonts w:ascii="Arial Narrow" w:hAnsi="Arial Narrow"/>
                <w:bCs/>
                <w:sz w:val="18"/>
                <w:szCs w:val="18"/>
              </w:rPr>
              <w:t>A patient who wishes to trial a second or subsequent course of treatment following a break in PBS-subsidised biological medicine therapy of at least 5 years, must qualify under the Initial 3 treatment restriction. The same clinical criteria and indices of disease severity (i.e. the C-reactive protein (CRP) levels and the BASDAI) as for the Initial 1 (New patient) restriction will need to be met, but a re-trial of NSAID therapy and exercise therapy is not required.</w:t>
            </w:r>
          </w:p>
        </w:tc>
      </w:tr>
      <w:tr w:rsidR="00631108" w:rsidTr="00591A35">
        <w:tc>
          <w:tcPr>
            <w:tcW w:w="807" w:type="dxa"/>
          </w:tcPr>
          <w:p w:rsidR="00631108" w:rsidRDefault="00631108" w:rsidP="00591A35">
            <w:pPr>
              <w:rPr>
                <w:rFonts w:ascii="Arial Narrow" w:hAnsi="Arial Narrow"/>
                <w:sz w:val="18"/>
                <w:szCs w:val="18"/>
              </w:rPr>
            </w:pPr>
          </w:p>
          <w:p w:rsidR="00631108" w:rsidRDefault="00631108" w:rsidP="00591A35">
            <w:pPr>
              <w:jc w:val="center"/>
            </w:pPr>
            <w:r>
              <w:rPr>
                <w:rFonts w:ascii="Arial Narrow" w:hAnsi="Arial Narrow"/>
                <w:sz w:val="18"/>
                <w:szCs w:val="18"/>
              </w:rPr>
              <w:t>NEW</w:t>
            </w:r>
          </w:p>
        </w:tc>
        <w:tc>
          <w:tcPr>
            <w:tcW w:w="8119" w:type="dxa"/>
            <w:vMerge/>
          </w:tcPr>
          <w:p w:rsidR="00631108" w:rsidRDefault="00631108" w:rsidP="00591A35"/>
        </w:tc>
      </w:tr>
    </w:tbl>
    <w:p w:rsidR="001828F6" w:rsidRDefault="001828F6" w:rsidP="001828F6"/>
    <w:p w:rsidR="00092D72" w:rsidRPr="00132EAD" w:rsidRDefault="00092D72" w:rsidP="00092D72">
      <w:pPr>
        <w:rPr>
          <w:rFonts w:ascii="Arial Narrow" w:hAnsi="Arial Narrow"/>
          <w:b/>
          <w:sz w:val="20"/>
          <w:szCs w:val="20"/>
        </w:rPr>
      </w:pPr>
    </w:p>
    <w:p w:rsidR="00CF3B2B" w:rsidRPr="00CF3B2B" w:rsidRDefault="00CF3B2B" w:rsidP="00CF3B2B">
      <w:pPr>
        <w:numPr>
          <w:ilvl w:val="1"/>
          <w:numId w:val="3"/>
        </w:numPr>
        <w:spacing w:after="120"/>
        <w:rPr>
          <w:rFonts w:cs="Calibri"/>
        </w:rPr>
      </w:pPr>
      <w:r w:rsidRPr="00CF3B2B">
        <w:t xml:space="preserve">Flow-on changes to </w:t>
      </w:r>
      <w:r>
        <w:t>GLM</w:t>
      </w:r>
      <w:r w:rsidRPr="00CF3B2B">
        <w:t xml:space="preserve"> are to be confirmed for item numbers 11516D</w:t>
      </w:r>
      <w:r>
        <w:t>,</w:t>
      </w:r>
      <w:r w:rsidRPr="00CF3B2B">
        <w:t xml:space="preserve"> 11521J</w:t>
      </w:r>
      <w:r>
        <w:t>,</w:t>
      </w:r>
      <w:r w:rsidRPr="00CF3B2B">
        <w:t xml:space="preserve"> 11538G</w:t>
      </w:r>
      <w:r>
        <w:t>,</w:t>
      </w:r>
      <w:r w:rsidRPr="00CF3B2B">
        <w:t xml:space="preserve"> 11560K.</w:t>
      </w:r>
    </w:p>
    <w:p w:rsidR="00E004BD" w:rsidRDefault="002F2994" w:rsidP="00901FCE">
      <w:pPr>
        <w:spacing w:after="120"/>
      </w:pPr>
      <w:r w:rsidRPr="00901FCE">
        <w:rPr>
          <w:rFonts w:cs="Calibri"/>
          <w:i/>
        </w:rPr>
        <w:t>This restriction may be subject to further review. Should there be any changes made to the restriction the Sponsor will be informed.</w:t>
      </w:r>
    </w:p>
    <w:p w:rsidR="00F16677" w:rsidRDefault="00F16677" w:rsidP="00901FCE">
      <w:pPr>
        <w:pStyle w:val="2Sections"/>
        <w:numPr>
          <w:ilvl w:val="0"/>
          <w:numId w:val="3"/>
        </w:numPr>
        <w:rPr>
          <w:rFonts w:cstheme="minorHAnsi"/>
        </w:rPr>
      </w:pPr>
      <w:r>
        <w:t xml:space="preserve">Context for Decision </w:t>
      </w:r>
    </w:p>
    <w:p w:rsidR="00F16677" w:rsidRDefault="00A66826" w:rsidP="00F16677">
      <w:r w:rsidRPr="00A66826">
        <w:rPr>
          <w:rFonts w:asciiTheme="minorHAnsi" w:hAnsi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16677" w:rsidRPr="00D53BD3" w:rsidRDefault="00F16677" w:rsidP="00F16677">
      <w:pPr>
        <w:pStyle w:val="2Sections"/>
        <w:numPr>
          <w:ilvl w:val="0"/>
          <w:numId w:val="3"/>
        </w:numPr>
      </w:pPr>
      <w:r w:rsidRPr="00D53BD3">
        <w:t>Sponsor’s Comment</w:t>
      </w:r>
    </w:p>
    <w:p w:rsidR="00F16677" w:rsidRPr="00D53BD3" w:rsidRDefault="00F16677" w:rsidP="00F16677">
      <w:pPr>
        <w:spacing w:after="120" w:line="276" w:lineRule="auto"/>
        <w:rPr>
          <w:rFonts w:asciiTheme="minorHAnsi" w:eastAsiaTheme="minorHAnsi" w:hAnsiTheme="minorHAnsi"/>
          <w:bCs/>
        </w:rPr>
      </w:pPr>
      <w:r w:rsidRPr="00D53BD3">
        <w:rPr>
          <w:rFonts w:asciiTheme="minorHAnsi" w:eastAsiaTheme="minorHAnsi" w:hAnsiTheme="minorHAnsi"/>
          <w:bCs/>
        </w:rPr>
        <w:t>The sponsor had no comment.</w:t>
      </w:r>
    </w:p>
    <w:p w:rsidR="00F16677" w:rsidRPr="002F2994" w:rsidRDefault="00F16677" w:rsidP="002F2994">
      <w:pPr>
        <w:pStyle w:val="NoSpacing"/>
      </w:pPr>
    </w:p>
    <w:sectPr w:rsidR="00F16677" w:rsidRPr="002F2994" w:rsidSect="00E004BD">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6F537F" w16cid:durableId="2154164C"/>
  <w16cid:commentId w16cid:paraId="567F81B7" w16cid:durableId="215416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98" w:rsidRDefault="00657498" w:rsidP="00124A51">
      <w:r>
        <w:separator/>
      </w:r>
    </w:p>
    <w:p w:rsidR="00657498" w:rsidRDefault="00657498"/>
  </w:endnote>
  <w:endnote w:type="continuationSeparator" w:id="0">
    <w:p w:rsidR="00657498" w:rsidRDefault="00657498" w:rsidP="00124A51">
      <w:r>
        <w:continuationSeparator/>
      </w:r>
    </w:p>
    <w:p w:rsidR="00657498" w:rsidRDefault="00657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98" w:rsidRPr="0050483B" w:rsidRDefault="00657498">
    <w:pPr>
      <w:pStyle w:val="Footer"/>
      <w:jc w:val="center"/>
      <w:rPr>
        <w:b/>
      </w:rPr>
    </w:pPr>
    <w:r>
      <w:t xml:space="preserve"> </w:t>
    </w:r>
    <w:sdt>
      <w:sdtPr>
        <w:rPr>
          <w:b/>
        </w:rPr>
        <w:id w:val="-1525398999"/>
        <w:docPartObj>
          <w:docPartGallery w:val="Page Numbers (Bottom of Page)"/>
          <w:docPartUnique/>
        </w:docPartObj>
      </w:sdtPr>
      <w:sdtEndPr>
        <w:rPr>
          <w:noProof/>
        </w:rPr>
      </w:sdtEndPr>
      <w:sdtContent>
        <w:r w:rsidRPr="0050483B">
          <w:rPr>
            <w:b/>
          </w:rPr>
          <w:fldChar w:fldCharType="begin"/>
        </w:r>
        <w:r w:rsidRPr="0050483B">
          <w:rPr>
            <w:b/>
          </w:rPr>
          <w:instrText xml:space="preserve"> PAGE   \* MERGEFORMAT </w:instrText>
        </w:r>
        <w:r w:rsidRPr="0050483B">
          <w:rPr>
            <w:b/>
          </w:rPr>
          <w:fldChar w:fldCharType="separate"/>
        </w:r>
        <w:r w:rsidR="002C4D8C">
          <w:rPr>
            <w:b/>
            <w:noProof/>
          </w:rPr>
          <w:t>1</w:t>
        </w:r>
        <w:r w:rsidRPr="0050483B">
          <w:rPr>
            <w:b/>
            <w:noProof/>
          </w:rPr>
          <w:fldChar w:fldCharType="end"/>
        </w:r>
      </w:sdtContent>
    </w:sdt>
  </w:p>
  <w:p w:rsidR="00657498" w:rsidRPr="00056413" w:rsidRDefault="00657498" w:rsidP="00A4173C">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98" w:rsidRDefault="00657498" w:rsidP="00124A51">
      <w:r>
        <w:separator/>
      </w:r>
    </w:p>
    <w:p w:rsidR="00657498" w:rsidRDefault="00657498"/>
  </w:footnote>
  <w:footnote w:type="continuationSeparator" w:id="0">
    <w:p w:rsidR="00657498" w:rsidRDefault="00657498" w:rsidP="00124A51">
      <w:r>
        <w:continuationSeparator/>
      </w:r>
    </w:p>
    <w:p w:rsidR="00657498" w:rsidRDefault="00657498"/>
  </w:footnote>
  <w:footnote w:id="1">
    <w:p w:rsidR="00657498" w:rsidRPr="004742A3" w:rsidRDefault="00657498">
      <w:pPr>
        <w:pStyle w:val="FootnoteText"/>
        <w:rPr>
          <w:rFonts w:ascii="Arial Narrow" w:hAnsi="Arial Narrow"/>
          <w:sz w:val="18"/>
          <w:szCs w:val="18"/>
        </w:rPr>
      </w:pPr>
      <w:r w:rsidRPr="004742A3">
        <w:rPr>
          <w:rStyle w:val="FootnoteReference"/>
          <w:rFonts w:ascii="Arial Narrow" w:hAnsi="Arial Narrow"/>
          <w:sz w:val="18"/>
          <w:szCs w:val="18"/>
        </w:rPr>
        <w:footnoteRef/>
      </w:r>
      <w:r w:rsidRPr="004742A3">
        <w:rPr>
          <w:rFonts w:ascii="Arial Narrow" w:hAnsi="Arial Narrow"/>
          <w:sz w:val="18"/>
          <w:szCs w:val="18"/>
        </w:rPr>
        <w:t xml:space="preserve"> </w:t>
      </w:r>
      <w:hyperlink r:id="rId1" w:history="1">
        <w:r w:rsidRPr="004742A3">
          <w:rPr>
            <w:rStyle w:val="Hyperlink"/>
            <w:rFonts w:ascii="Arial Narrow" w:hAnsi="Arial Narrow"/>
            <w:sz w:val="18"/>
            <w:szCs w:val="18"/>
          </w:rPr>
          <w:t>http://www.pbs.gov.au/industry/listing/elements/pbac-meetings/pbac-outcomes/2017-08/positive-recommendations-2017-08.pdf</w:t>
        </w:r>
      </w:hyperlink>
      <w:r w:rsidRPr="004742A3">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98" w:rsidRDefault="00657498" w:rsidP="00056413">
    <w:pPr>
      <w:tabs>
        <w:tab w:val="left" w:pos="142"/>
        <w:tab w:val="right" w:pos="9027"/>
      </w:tabs>
      <w:jc w:val="center"/>
      <w:rPr>
        <w:i/>
        <w:szCs w:val="24"/>
      </w:rPr>
    </w:pPr>
    <w:r>
      <w:rPr>
        <w:i/>
        <w:szCs w:val="24"/>
      </w:rPr>
      <w:t>Public Summary Document – November 2019 PBAC Meeting</w:t>
    </w:r>
  </w:p>
  <w:p w:rsidR="00657498" w:rsidRDefault="00657498">
    <w:pPr>
      <w:pStyle w:val="Header"/>
    </w:pPr>
  </w:p>
  <w:p w:rsidR="00657498" w:rsidRPr="008C7ECB" w:rsidRDefault="0065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61A011C"/>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6295"/>
    <w:multiLevelType w:val="hybridMultilevel"/>
    <w:tmpl w:val="A516E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52341"/>
    <w:multiLevelType w:val="multilevel"/>
    <w:tmpl w:val="770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9180D"/>
    <w:multiLevelType w:val="multilevel"/>
    <w:tmpl w:val="C4EC3132"/>
    <w:lvl w:ilvl="0">
      <w:start w:val="1"/>
      <w:numFmt w:val="decimal"/>
      <w:lvlText w:val="%1"/>
      <w:lvlJc w:val="left"/>
      <w:pPr>
        <w:ind w:left="720" w:hanging="720"/>
      </w:pPr>
      <w:rPr>
        <w:rFonts w:hint="default"/>
        <w:b/>
      </w:rPr>
    </w:lvl>
    <w:lvl w:ilvl="1">
      <w:start w:val="3"/>
      <w:numFmt w:val="bullet"/>
      <w:lvlText w:val="•"/>
      <w:lvlJc w:val="left"/>
      <w:pPr>
        <w:ind w:left="720" w:hanging="720"/>
      </w:pPr>
      <w:rPr>
        <w:rFonts w:ascii="Calibri" w:eastAsiaTheme="majorEastAsia" w:hAnsi="Calibri" w:cstheme="majorBidi"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B49FE"/>
    <w:multiLevelType w:val="hybridMultilevel"/>
    <w:tmpl w:val="CFEC4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6D456A"/>
    <w:multiLevelType w:val="hybridMultilevel"/>
    <w:tmpl w:val="50AA151E"/>
    <w:lvl w:ilvl="0" w:tplc="94E47A84">
      <w:start w:val="3"/>
      <w:numFmt w:val="bullet"/>
      <w:lvlText w:val="•"/>
      <w:lvlJc w:val="left"/>
      <w:pPr>
        <w:ind w:left="0" w:hanging="360"/>
      </w:pPr>
      <w:rPr>
        <w:rFonts w:ascii="Calibri" w:eastAsiaTheme="majorEastAsia" w:hAnsi="Calibri" w:cstheme="maj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15:restartNumberingAfterBreak="0">
    <w:nsid w:val="284E6825"/>
    <w:multiLevelType w:val="multilevel"/>
    <w:tmpl w:val="3AE4C8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A0D7F96"/>
    <w:multiLevelType w:val="hybridMultilevel"/>
    <w:tmpl w:val="DC9C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F936BF"/>
    <w:multiLevelType w:val="multilevel"/>
    <w:tmpl w:val="802815E6"/>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8802F1"/>
    <w:multiLevelType w:val="multilevel"/>
    <w:tmpl w:val="EC1E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94113"/>
    <w:multiLevelType w:val="multilevel"/>
    <w:tmpl w:val="7AE6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C1CB9"/>
    <w:multiLevelType w:val="hybridMultilevel"/>
    <w:tmpl w:val="5DD40A4C"/>
    <w:lvl w:ilvl="0" w:tplc="DB26D734">
      <w:start w:val="9"/>
      <w:numFmt w:val="bullet"/>
      <w:lvlText w:val="-"/>
      <w:lvlJc w:val="left"/>
      <w:pPr>
        <w:ind w:left="360" w:hanging="360"/>
      </w:pPr>
      <w:rPr>
        <w:rFonts w:ascii="Arial Narrow" w:eastAsiaTheme="minorHAnsi" w:hAnsi="Arial Narrow"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6851CB"/>
    <w:multiLevelType w:val="hybridMultilevel"/>
    <w:tmpl w:val="C00E9316"/>
    <w:lvl w:ilvl="0" w:tplc="7BBE99DA">
      <w:start w:val="30"/>
      <w:numFmt w:val="bullet"/>
      <w:lvlText w:val="-"/>
      <w:lvlJc w:val="left"/>
      <w:pPr>
        <w:ind w:left="467" w:hanging="360"/>
      </w:pPr>
      <w:rPr>
        <w:rFonts w:ascii="Arial Narrow" w:eastAsia="Times New Roman" w:hAnsi="Arial Narrow" w:cs="Aria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2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95904"/>
    <w:multiLevelType w:val="multilevel"/>
    <w:tmpl w:val="D9E23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26F0E"/>
    <w:multiLevelType w:val="hybridMultilevel"/>
    <w:tmpl w:val="69683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7C34E2"/>
    <w:multiLevelType w:val="hybridMultilevel"/>
    <w:tmpl w:val="0E2E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5" w15:restartNumberingAfterBreak="0">
    <w:nsid w:val="43D057DD"/>
    <w:multiLevelType w:val="multilevel"/>
    <w:tmpl w:val="0F3CD7E0"/>
    <w:lvl w:ilvl="0">
      <w:start w:val="1"/>
      <w:numFmt w:val="decimal"/>
      <w:lvlText w:val="%1"/>
      <w:lvlJc w:val="left"/>
      <w:pPr>
        <w:ind w:left="720" w:hanging="720"/>
      </w:pPr>
      <w:rPr>
        <w:rFonts w:hint="default"/>
        <w:b/>
      </w:rPr>
    </w:lvl>
    <w:lvl w:ilvl="1">
      <w:start w:val="3"/>
      <w:numFmt w:val="bullet"/>
      <w:lvlText w:val="•"/>
      <w:lvlJc w:val="left"/>
      <w:pPr>
        <w:ind w:left="720" w:hanging="720"/>
      </w:pPr>
      <w:rPr>
        <w:rFonts w:ascii="Calibri" w:eastAsiaTheme="majorEastAsia" w:hAnsi="Calibri" w:cstheme="majorBidi"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81408"/>
    <w:multiLevelType w:val="hybridMultilevel"/>
    <w:tmpl w:val="6EBCC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327CE"/>
    <w:multiLevelType w:val="multilevel"/>
    <w:tmpl w:val="66A8C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2C66B9"/>
    <w:multiLevelType w:val="hybridMultilevel"/>
    <w:tmpl w:val="25AA6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E276DE"/>
    <w:multiLevelType w:val="multilevel"/>
    <w:tmpl w:val="E958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66092"/>
    <w:multiLevelType w:val="hybridMultilevel"/>
    <w:tmpl w:val="E5EEA1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5B1EC5"/>
    <w:multiLevelType w:val="hybridMultilevel"/>
    <w:tmpl w:val="35B60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A6237"/>
    <w:multiLevelType w:val="multilevel"/>
    <w:tmpl w:val="24F4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31EC3"/>
    <w:multiLevelType w:val="hybridMultilevel"/>
    <w:tmpl w:val="17A201B2"/>
    <w:lvl w:ilvl="0" w:tplc="4FFE51E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7D473D6"/>
    <w:multiLevelType w:val="hybridMultilevel"/>
    <w:tmpl w:val="3C388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1A2388"/>
    <w:multiLevelType w:val="multilevel"/>
    <w:tmpl w:val="9B9AD3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17E45"/>
    <w:multiLevelType w:val="multilevel"/>
    <w:tmpl w:val="F2A8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0E5AAC"/>
    <w:multiLevelType w:val="multilevel"/>
    <w:tmpl w:val="963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84270"/>
    <w:multiLevelType w:val="multilevel"/>
    <w:tmpl w:val="28C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D033C"/>
    <w:multiLevelType w:val="multilevel"/>
    <w:tmpl w:val="197CF4E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45"/>
  </w:num>
  <w:num w:numId="4">
    <w:abstractNumId w:val="46"/>
  </w:num>
  <w:num w:numId="5">
    <w:abstractNumId w:val="37"/>
  </w:num>
  <w:num w:numId="6">
    <w:abstractNumId w:val="32"/>
  </w:num>
  <w:num w:numId="7">
    <w:abstractNumId w:val="26"/>
  </w:num>
  <w:num w:numId="8">
    <w:abstractNumId w:val="28"/>
  </w:num>
  <w:num w:numId="9">
    <w:abstractNumId w:val="20"/>
  </w:num>
  <w:num w:numId="10">
    <w:abstractNumId w:val="19"/>
  </w:num>
  <w:num w:numId="11">
    <w:abstractNumId w:val="5"/>
  </w:num>
  <w:num w:numId="12">
    <w:abstractNumId w:val="17"/>
  </w:num>
  <w:num w:numId="13">
    <w:abstractNumId w:val="16"/>
  </w:num>
  <w:num w:numId="14">
    <w:abstractNumId w:val="38"/>
  </w:num>
  <w:num w:numId="15">
    <w:abstractNumId w:val="42"/>
  </w:num>
  <w:num w:numId="16">
    <w:abstractNumId w:val="43"/>
  </w:num>
  <w:num w:numId="17">
    <w:abstractNumId w:val="21"/>
  </w:num>
  <w:num w:numId="18">
    <w:abstractNumId w:val="44"/>
  </w:num>
  <w:num w:numId="19">
    <w:abstractNumId w:val="33"/>
  </w:num>
  <w:num w:numId="20">
    <w:abstractNumId w:val="7"/>
  </w:num>
  <w:num w:numId="21">
    <w:abstractNumId w:val="36"/>
  </w:num>
  <w:num w:numId="22">
    <w:abstractNumId w:val="11"/>
  </w:num>
  <w:num w:numId="23">
    <w:abstractNumId w:val="18"/>
  </w:num>
  <w:num w:numId="24">
    <w:abstractNumId w:val="30"/>
  </w:num>
  <w:num w:numId="25">
    <w:abstractNumId w:val="3"/>
  </w:num>
  <w:num w:numId="26">
    <w:abstractNumId w:val="40"/>
  </w:num>
  <w:num w:numId="27">
    <w:abstractNumId w:val="22"/>
  </w:num>
  <w:num w:numId="28">
    <w:abstractNumId w:val="13"/>
  </w:num>
  <w:num w:numId="29">
    <w:abstractNumId w:val="27"/>
  </w:num>
  <w:num w:numId="30">
    <w:abstractNumId w:val="6"/>
  </w:num>
  <w:num w:numId="31">
    <w:abstractNumId w:val="25"/>
  </w:num>
  <w:num w:numId="32">
    <w:abstractNumId w:val="12"/>
  </w:num>
  <w:num w:numId="33">
    <w:abstractNumId w:val="41"/>
  </w:num>
  <w:num w:numId="34">
    <w:abstractNumId w:val="14"/>
  </w:num>
  <w:num w:numId="35">
    <w:abstractNumId w:val="9"/>
  </w:num>
  <w:num w:numId="36">
    <w:abstractNumId w:val="24"/>
  </w:num>
  <w:num w:numId="37">
    <w:abstractNumId w:val="39"/>
  </w:num>
  <w:num w:numId="38">
    <w:abstractNumId w:val="34"/>
  </w:num>
  <w:num w:numId="39">
    <w:abstractNumId w:val="35"/>
  </w:num>
  <w:num w:numId="40">
    <w:abstractNumId w:val="4"/>
  </w:num>
  <w:num w:numId="41">
    <w:abstractNumId w:val="1"/>
  </w:num>
  <w:num w:numId="42">
    <w:abstractNumId w:val="10"/>
  </w:num>
  <w:num w:numId="43">
    <w:abstractNumId w:val="15"/>
  </w:num>
  <w:num w:numId="44">
    <w:abstractNumId w:val="8"/>
  </w:num>
  <w:num w:numId="45">
    <w:abstractNumId w:val="45"/>
  </w:num>
  <w:num w:numId="46">
    <w:abstractNumId w:val="45"/>
  </w:num>
  <w:num w:numId="47">
    <w:abstractNumId w:val="45"/>
  </w:num>
  <w:num w:numId="48">
    <w:abstractNumId w:val="0"/>
  </w:num>
  <w:num w:numId="49">
    <w:abstractNumId w:val="31"/>
  </w:num>
  <w:num w:numId="5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es-MX"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2A2"/>
    <w:rsid w:val="00001880"/>
    <w:rsid w:val="00001A9C"/>
    <w:rsid w:val="00003499"/>
    <w:rsid w:val="00003995"/>
    <w:rsid w:val="000039B7"/>
    <w:rsid w:val="0000496E"/>
    <w:rsid w:val="000049A0"/>
    <w:rsid w:val="0000536B"/>
    <w:rsid w:val="000070CD"/>
    <w:rsid w:val="00007EC2"/>
    <w:rsid w:val="0001149D"/>
    <w:rsid w:val="00011724"/>
    <w:rsid w:val="00011A31"/>
    <w:rsid w:val="00011CB0"/>
    <w:rsid w:val="000121BF"/>
    <w:rsid w:val="00012F44"/>
    <w:rsid w:val="00013247"/>
    <w:rsid w:val="00013D0A"/>
    <w:rsid w:val="00014494"/>
    <w:rsid w:val="00015886"/>
    <w:rsid w:val="000162EF"/>
    <w:rsid w:val="000166F0"/>
    <w:rsid w:val="000172D9"/>
    <w:rsid w:val="000177C0"/>
    <w:rsid w:val="0002225F"/>
    <w:rsid w:val="00022677"/>
    <w:rsid w:val="00022915"/>
    <w:rsid w:val="00022BAE"/>
    <w:rsid w:val="00023763"/>
    <w:rsid w:val="00024617"/>
    <w:rsid w:val="00026C7C"/>
    <w:rsid w:val="00027F4B"/>
    <w:rsid w:val="00030F91"/>
    <w:rsid w:val="00031A62"/>
    <w:rsid w:val="00032D6B"/>
    <w:rsid w:val="00032FEE"/>
    <w:rsid w:val="00033863"/>
    <w:rsid w:val="00035462"/>
    <w:rsid w:val="00035B1E"/>
    <w:rsid w:val="00035DC0"/>
    <w:rsid w:val="00035FF5"/>
    <w:rsid w:val="000366F6"/>
    <w:rsid w:val="00036829"/>
    <w:rsid w:val="00036901"/>
    <w:rsid w:val="00036D03"/>
    <w:rsid w:val="00037223"/>
    <w:rsid w:val="00037C74"/>
    <w:rsid w:val="000404E3"/>
    <w:rsid w:val="00040895"/>
    <w:rsid w:val="00040CEC"/>
    <w:rsid w:val="00040FD4"/>
    <w:rsid w:val="00041159"/>
    <w:rsid w:val="000419D2"/>
    <w:rsid w:val="00041D9E"/>
    <w:rsid w:val="00041FF8"/>
    <w:rsid w:val="00042009"/>
    <w:rsid w:val="0004208B"/>
    <w:rsid w:val="000425AB"/>
    <w:rsid w:val="00042FEF"/>
    <w:rsid w:val="00043C37"/>
    <w:rsid w:val="000449CA"/>
    <w:rsid w:val="00045017"/>
    <w:rsid w:val="00045977"/>
    <w:rsid w:val="00045A2B"/>
    <w:rsid w:val="00045C7B"/>
    <w:rsid w:val="0004693E"/>
    <w:rsid w:val="0004698F"/>
    <w:rsid w:val="00050FBC"/>
    <w:rsid w:val="00051DA4"/>
    <w:rsid w:val="000526C9"/>
    <w:rsid w:val="00052D80"/>
    <w:rsid w:val="00053140"/>
    <w:rsid w:val="000537C3"/>
    <w:rsid w:val="000539D0"/>
    <w:rsid w:val="00054177"/>
    <w:rsid w:val="00054621"/>
    <w:rsid w:val="000546D7"/>
    <w:rsid w:val="00055101"/>
    <w:rsid w:val="0005531F"/>
    <w:rsid w:val="000557D5"/>
    <w:rsid w:val="0005631F"/>
    <w:rsid w:val="00056413"/>
    <w:rsid w:val="00060865"/>
    <w:rsid w:val="00060C83"/>
    <w:rsid w:val="000616FE"/>
    <w:rsid w:val="000622EA"/>
    <w:rsid w:val="00062ADE"/>
    <w:rsid w:val="00062E7D"/>
    <w:rsid w:val="00063CE1"/>
    <w:rsid w:val="0006423C"/>
    <w:rsid w:val="000644C5"/>
    <w:rsid w:val="00066360"/>
    <w:rsid w:val="00066CE7"/>
    <w:rsid w:val="00067B02"/>
    <w:rsid w:val="00067BBA"/>
    <w:rsid w:val="000706FA"/>
    <w:rsid w:val="00071248"/>
    <w:rsid w:val="00071C5B"/>
    <w:rsid w:val="00071F00"/>
    <w:rsid w:val="000720B9"/>
    <w:rsid w:val="0007302B"/>
    <w:rsid w:val="000737F7"/>
    <w:rsid w:val="00074A20"/>
    <w:rsid w:val="00075769"/>
    <w:rsid w:val="00075EAC"/>
    <w:rsid w:val="00076627"/>
    <w:rsid w:val="0007672F"/>
    <w:rsid w:val="000774F0"/>
    <w:rsid w:val="00077A11"/>
    <w:rsid w:val="00077E40"/>
    <w:rsid w:val="00080909"/>
    <w:rsid w:val="00080B69"/>
    <w:rsid w:val="000812CA"/>
    <w:rsid w:val="00081DFF"/>
    <w:rsid w:val="0008258D"/>
    <w:rsid w:val="000837E1"/>
    <w:rsid w:val="00083E99"/>
    <w:rsid w:val="000856C5"/>
    <w:rsid w:val="00085950"/>
    <w:rsid w:val="0008768B"/>
    <w:rsid w:val="00090C7E"/>
    <w:rsid w:val="00090C8F"/>
    <w:rsid w:val="0009135C"/>
    <w:rsid w:val="00091C09"/>
    <w:rsid w:val="00091D37"/>
    <w:rsid w:val="0009207B"/>
    <w:rsid w:val="0009221F"/>
    <w:rsid w:val="00092600"/>
    <w:rsid w:val="0009262B"/>
    <w:rsid w:val="00092D72"/>
    <w:rsid w:val="00093310"/>
    <w:rsid w:val="0009445C"/>
    <w:rsid w:val="00095FE5"/>
    <w:rsid w:val="00096284"/>
    <w:rsid w:val="0009641C"/>
    <w:rsid w:val="00096FEC"/>
    <w:rsid w:val="000978F0"/>
    <w:rsid w:val="00097D08"/>
    <w:rsid w:val="000A16E6"/>
    <w:rsid w:val="000A16F1"/>
    <w:rsid w:val="000A271C"/>
    <w:rsid w:val="000A274C"/>
    <w:rsid w:val="000A35D9"/>
    <w:rsid w:val="000A3881"/>
    <w:rsid w:val="000A4E58"/>
    <w:rsid w:val="000A5E40"/>
    <w:rsid w:val="000A672E"/>
    <w:rsid w:val="000A75A9"/>
    <w:rsid w:val="000A7D08"/>
    <w:rsid w:val="000B0670"/>
    <w:rsid w:val="000B0E75"/>
    <w:rsid w:val="000B0F07"/>
    <w:rsid w:val="000B1595"/>
    <w:rsid w:val="000B1675"/>
    <w:rsid w:val="000B16A9"/>
    <w:rsid w:val="000B1B4C"/>
    <w:rsid w:val="000B3D2A"/>
    <w:rsid w:val="000B5791"/>
    <w:rsid w:val="000B6A8B"/>
    <w:rsid w:val="000B6CAC"/>
    <w:rsid w:val="000B7612"/>
    <w:rsid w:val="000B799B"/>
    <w:rsid w:val="000C073A"/>
    <w:rsid w:val="000C0D9D"/>
    <w:rsid w:val="000C1289"/>
    <w:rsid w:val="000C1786"/>
    <w:rsid w:val="000C2064"/>
    <w:rsid w:val="000C20AD"/>
    <w:rsid w:val="000C210D"/>
    <w:rsid w:val="000C2193"/>
    <w:rsid w:val="000C2F94"/>
    <w:rsid w:val="000C3DF9"/>
    <w:rsid w:val="000C4928"/>
    <w:rsid w:val="000C4ADF"/>
    <w:rsid w:val="000C54D7"/>
    <w:rsid w:val="000C57E4"/>
    <w:rsid w:val="000C5D09"/>
    <w:rsid w:val="000C6713"/>
    <w:rsid w:val="000C79EB"/>
    <w:rsid w:val="000D12AA"/>
    <w:rsid w:val="000D1446"/>
    <w:rsid w:val="000D1BFC"/>
    <w:rsid w:val="000D2485"/>
    <w:rsid w:val="000D281A"/>
    <w:rsid w:val="000D326A"/>
    <w:rsid w:val="000D3F06"/>
    <w:rsid w:val="000D4425"/>
    <w:rsid w:val="000D51FB"/>
    <w:rsid w:val="000D5720"/>
    <w:rsid w:val="000D5EA0"/>
    <w:rsid w:val="000D630D"/>
    <w:rsid w:val="000D633C"/>
    <w:rsid w:val="000D6981"/>
    <w:rsid w:val="000E0683"/>
    <w:rsid w:val="000E135D"/>
    <w:rsid w:val="000E145E"/>
    <w:rsid w:val="000E1481"/>
    <w:rsid w:val="000E2413"/>
    <w:rsid w:val="000E2D3C"/>
    <w:rsid w:val="000E3B94"/>
    <w:rsid w:val="000E3FB0"/>
    <w:rsid w:val="000E4E35"/>
    <w:rsid w:val="000E552D"/>
    <w:rsid w:val="000E6152"/>
    <w:rsid w:val="000E68E9"/>
    <w:rsid w:val="000E6FE6"/>
    <w:rsid w:val="000F00BA"/>
    <w:rsid w:val="000F1A80"/>
    <w:rsid w:val="000F28D9"/>
    <w:rsid w:val="000F316A"/>
    <w:rsid w:val="000F3196"/>
    <w:rsid w:val="000F3495"/>
    <w:rsid w:val="000F3984"/>
    <w:rsid w:val="000F3C74"/>
    <w:rsid w:val="000F4861"/>
    <w:rsid w:val="000F4BB8"/>
    <w:rsid w:val="000F5C34"/>
    <w:rsid w:val="000F6A60"/>
    <w:rsid w:val="000F6F48"/>
    <w:rsid w:val="000F7127"/>
    <w:rsid w:val="000F7FDE"/>
    <w:rsid w:val="00100F8A"/>
    <w:rsid w:val="00101A3E"/>
    <w:rsid w:val="00101E0D"/>
    <w:rsid w:val="0010211A"/>
    <w:rsid w:val="0010255A"/>
    <w:rsid w:val="0010282D"/>
    <w:rsid w:val="00102B1D"/>
    <w:rsid w:val="00103C2D"/>
    <w:rsid w:val="00104E72"/>
    <w:rsid w:val="001050E2"/>
    <w:rsid w:val="00105AE2"/>
    <w:rsid w:val="00105F1D"/>
    <w:rsid w:val="00106B80"/>
    <w:rsid w:val="00106ED9"/>
    <w:rsid w:val="001077A2"/>
    <w:rsid w:val="00107CA8"/>
    <w:rsid w:val="00107E39"/>
    <w:rsid w:val="001101C2"/>
    <w:rsid w:val="0011032E"/>
    <w:rsid w:val="00110805"/>
    <w:rsid w:val="00111174"/>
    <w:rsid w:val="00111834"/>
    <w:rsid w:val="00111D0B"/>
    <w:rsid w:val="00112F08"/>
    <w:rsid w:val="0011348B"/>
    <w:rsid w:val="00114FEA"/>
    <w:rsid w:val="00115982"/>
    <w:rsid w:val="00115C3E"/>
    <w:rsid w:val="00116C53"/>
    <w:rsid w:val="001170B7"/>
    <w:rsid w:val="001175B5"/>
    <w:rsid w:val="00120738"/>
    <w:rsid w:val="00121799"/>
    <w:rsid w:val="00121A79"/>
    <w:rsid w:val="00121F88"/>
    <w:rsid w:val="001222FC"/>
    <w:rsid w:val="001235AB"/>
    <w:rsid w:val="00124A51"/>
    <w:rsid w:val="00126621"/>
    <w:rsid w:val="00126D4D"/>
    <w:rsid w:val="00126FD3"/>
    <w:rsid w:val="00127DB3"/>
    <w:rsid w:val="001301E9"/>
    <w:rsid w:val="00130E30"/>
    <w:rsid w:val="00131D50"/>
    <w:rsid w:val="00131D82"/>
    <w:rsid w:val="0013252E"/>
    <w:rsid w:val="00132DCF"/>
    <w:rsid w:val="00132EAD"/>
    <w:rsid w:val="00133AAB"/>
    <w:rsid w:val="00133D36"/>
    <w:rsid w:val="00134A05"/>
    <w:rsid w:val="00135459"/>
    <w:rsid w:val="001364C2"/>
    <w:rsid w:val="00136B66"/>
    <w:rsid w:val="00137645"/>
    <w:rsid w:val="0014015A"/>
    <w:rsid w:val="00140E99"/>
    <w:rsid w:val="00142C22"/>
    <w:rsid w:val="00144025"/>
    <w:rsid w:val="00145540"/>
    <w:rsid w:val="001456B0"/>
    <w:rsid w:val="00145863"/>
    <w:rsid w:val="0014712A"/>
    <w:rsid w:val="00151408"/>
    <w:rsid w:val="00151669"/>
    <w:rsid w:val="00153903"/>
    <w:rsid w:val="001545F2"/>
    <w:rsid w:val="00154910"/>
    <w:rsid w:val="001552A1"/>
    <w:rsid w:val="001559A6"/>
    <w:rsid w:val="00155CF6"/>
    <w:rsid w:val="00155FF1"/>
    <w:rsid w:val="00157130"/>
    <w:rsid w:val="00157528"/>
    <w:rsid w:val="001576B1"/>
    <w:rsid w:val="00160364"/>
    <w:rsid w:val="00160A4C"/>
    <w:rsid w:val="00160EA8"/>
    <w:rsid w:val="001614DF"/>
    <w:rsid w:val="001621A5"/>
    <w:rsid w:val="00162913"/>
    <w:rsid w:val="00162D14"/>
    <w:rsid w:val="00163294"/>
    <w:rsid w:val="00163D74"/>
    <w:rsid w:val="00163EFF"/>
    <w:rsid w:val="001655FC"/>
    <w:rsid w:val="001661FB"/>
    <w:rsid w:val="001705AC"/>
    <w:rsid w:val="001707F0"/>
    <w:rsid w:val="0017100C"/>
    <w:rsid w:val="00171A4F"/>
    <w:rsid w:val="00172AC6"/>
    <w:rsid w:val="00173565"/>
    <w:rsid w:val="00173A0F"/>
    <w:rsid w:val="00173B07"/>
    <w:rsid w:val="00173CB4"/>
    <w:rsid w:val="00174E56"/>
    <w:rsid w:val="001763D6"/>
    <w:rsid w:val="001763DF"/>
    <w:rsid w:val="00176663"/>
    <w:rsid w:val="00177F91"/>
    <w:rsid w:val="00177FC1"/>
    <w:rsid w:val="00180658"/>
    <w:rsid w:val="00181D9C"/>
    <w:rsid w:val="001828F6"/>
    <w:rsid w:val="00182AF1"/>
    <w:rsid w:val="00182DDD"/>
    <w:rsid w:val="00184309"/>
    <w:rsid w:val="00185932"/>
    <w:rsid w:val="00185E8D"/>
    <w:rsid w:val="00186BD9"/>
    <w:rsid w:val="0018752F"/>
    <w:rsid w:val="00187A66"/>
    <w:rsid w:val="0019098A"/>
    <w:rsid w:val="001928E9"/>
    <w:rsid w:val="001931AA"/>
    <w:rsid w:val="00193B5E"/>
    <w:rsid w:val="001940A9"/>
    <w:rsid w:val="00195222"/>
    <w:rsid w:val="001963EA"/>
    <w:rsid w:val="001975D8"/>
    <w:rsid w:val="001A0445"/>
    <w:rsid w:val="001A04AE"/>
    <w:rsid w:val="001A1BB1"/>
    <w:rsid w:val="001A2847"/>
    <w:rsid w:val="001A2B64"/>
    <w:rsid w:val="001A3F6A"/>
    <w:rsid w:val="001A43FA"/>
    <w:rsid w:val="001A447D"/>
    <w:rsid w:val="001A59FB"/>
    <w:rsid w:val="001A6354"/>
    <w:rsid w:val="001A6A81"/>
    <w:rsid w:val="001A700B"/>
    <w:rsid w:val="001A777B"/>
    <w:rsid w:val="001A7AE8"/>
    <w:rsid w:val="001B0B75"/>
    <w:rsid w:val="001B14A1"/>
    <w:rsid w:val="001B1C25"/>
    <w:rsid w:val="001B204E"/>
    <w:rsid w:val="001B22F3"/>
    <w:rsid w:val="001B3064"/>
    <w:rsid w:val="001B33B4"/>
    <w:rsid w:val="001B3443"/>
    <w:rsid w:val="001B415A"/>
    <w:rsid w:val="001B47CE"/>
    <w:rsid w:val="001B4AA0"/>
    <w:rsid w:val="001B4D20"/>
    <w:rsid w:val="001B5233"/>
    <w:rsid w:val="001B6DD6"/>
    <w:rsid w:val="001C07B3"/>
    <w:rsid w:val="001C0B70"/>
    <w:rsid w:val="001C1504"/>
    <w:rsid w:val="001C1FE3"/>
    <w:rsid w:val="001C21AD"/>
    <w:rsid w:val="001C26D0"/>
    <w:rsid w:val="001C2A9B"/>
    <w:rsid w:val="001C39D6"/>
    <w:rsid w:val="001C3BCC"/>
    <w:rsid w:val="001C4299"/>
    <w:rsid w:val="001C5A6F"/>
    <w:rsid w:val="001C5ECF"/>
    <w:rsid w:val="001C5F94"/>
    <w:rsid w:val="001C6C38"/>
    <w:rsid w:val="001C6E66"/>
    <w:rsid w:val="001C7157"/>
    <w:rsid w:val="001C71C5"/>
    <w:rsid w:val="001C756C"/>
    <w:rsid w:val="001D0856"/>
    <w:rsid w:val="001D0EE6"/>
    <w:rsid w:val="001D1EAB"/>
    <w:rsid w:val="001D23B6"/>
    <w:rsid w:val="001D3808"/>
    <w:rsid w:val="001D510F"/>
    <w:rsid w:val="001D5293"/>
    <w:rsid w:val="001D5337"/>
    <w:rsid w:val="001D5EBD"/>
    <w:rsid w:val="001D60DC"/>
    <w:rsid w:val="001D6386"/>
    <w:rsid w:val="001D6930"/>
    <w:rsid w:val="001D72B7"/>
    <w:rsid w:val="001D783A"/>
    <w:rsid w:val="001D7E2E"/>
    <w:rsid w:val="001E1168"/>
    <w:rsid w:val="001E238E"/>
    <w:rsid w:val="001E2483"/>
    <w:rsid w:val="001E2B1E"/>
    <w:rsid w:val="001E30D4"/>
    <w:rsid w:val="001E4DE8"/>
    <w:rsid w:val="001E4F76"/>
    <w:rsid w:val="001E52EB"/>
    <w:rsid w:val="001E58DD"/>
    <w:rsid w:val="001E61D2"/>
    <w:rsid w:val="001E740C"/>
    <w:rsid w:val="001F11EF"/>
    <w:rsid w:val="001F1235"/>
    <w:rsid w:val="001F197B"/>
    <w:rsid w:val="001F1CB3"/>
    <w:rsid w:val="001F31D9"/>
    <w:rsid w:val="001F38B5"/>
    <w:rsid w:val="001F3CF3"/>
    <w:rsid w:val="001F442F"/>
    <w:rsid w:val="001F7361"/>
    <w:rsid w:val="001F7877"/>
    <w:rsid w:val="001F7A1B"/>
    <w:rsid w:val="00200500"/>
    <w:rsid w:val="002011B0"/>
    <w:rsid w:val="00201244"/>
    <w:rsid w:val="00203089"/>
    <w:rsid w:val="00203181"/>
    <w:rsid w:val="0020321A"/>
    <w:rsid w:val="00203783"/>
    <w:rsid w:val="0020385F"/>
    <w:rsid w:val="00204461"/>
    <w:rsid w:val="00206E38"/>
    <w:rsid w:val="00207021"/>
    <w:rsid w:val="0020732F"/>
    <w:rsid w:val="002074C2"/>
    <w:rsid w:val="00207D00"/>
    <w:rsid w:val="002105C1"/>
    <w:rsid w:val="00210F38"/>
    <w:rsid w:val="00211732"/>
    <w:rsid w:val="00211E47"/>
    <w:rsid w:val="00212285"/>
    <w:rsid w:val="00213BA2"/>
    <w:rsid w:val="0021435C"/>
    <w:rsid w:val="00214A49"/>
    <w:rsid w:val="0021571B"/>
    <w:rsid w:val="00215E8E"/>
    <w:rsid w:val="00215FD9"/>
    <w:rsid w:val="00216985"/>
    <w:rsid w:val="00216D7D"/>
    <w:rsid w:val="00220B73"/>
    <w:rsid w:val="002213BA"/>
    <w:rsid w:val="0022192A"/>
    <w:rsid w:val="00222499"/>
    <w:rsid w:val="002227F3"/>
    <w:rsid w:val="0022284A"/>
    <w:rsid w:val="002233FF"/>
    <w:rsid w:val="00223641"/>
    <w:rsid w:val="00223B49"/>
    <w:rsid w:val="00224DD4"/>
    <w:rsid w:val="0022523E"/>
    <w:rsid w:val="00225D92"/>
    <w:rsid w:val="00225F5C"/>
    <w:rsid w:val="0022605F"/>
    <w:rsid w:val="00226633"/>
    <w:rsid w:val="00226999"/>
    <w:rsid w:val="002305F4"/>
    <w:rsid w:val="002309CC"/>
    <w:rsid w:val="00230BA2"/>
    <w:rsid w:val="002311F7"/>
    <w:rsid w:val="002312C2"/>
    <w:rsid w:val="00231F63"/>
    <w:rsid w:val="0023209F"/>
    <w:rsid w:val="0023629D"/>
    <w:rsid w:val="00236337"/>
    <w:rsid w:val="00237255"/>
    <w:rsid w:val="002402B2"/>
    <w:rsid w:val="0024138C"/>
    <w:rsid w:val="002414C4"/>
    <w:rsid w:val="00241E58"/>
    <w:rsid w:val="002421A1"/>
    <w:rsid w:val="0024240D"/>
    <w:rsid w:val="002424AF"/>
    <w:rsid w:val="0024294E"/>
    <w:rsid w:val="002439DC"/>
    <w:rsid w:val="002442CE"/>
    <w:rsid w:val="0024460D"/>
    <w:rsid w:val="0024483D"/>
    <w:rsid w:val="0024488C"/>
    <w:rsid w:val="00244A5D"/>
    <w:rsid w:val="00244B92"/>
    <w:rsid w:val="00244DC8"/>
    <w:rsid w:val="0024504B"/>
    <w:rsid w:val="00245242"/>
    <w:rsid w:val="002458BA"/>
    <w:rsid w:val="0024636C"/>
    <w:rsid w:val="0024676D"/>
    <w:rsid w:val="00247925"/>
    <w:rsid w:val="0025016D"/>
    <w:rsid w:val="00250BDE"/>
    <w:rsid w:val="0025208C"/>
    <w:rsid w:val="00252D82"/>
    <w:rsid w:val="00252E28"/>
    <w:rsid w:val="00252FBE"/>
    <w:rsid w:val="00254B17"/>
    <w:rsid w:val="00254DCF"/>
    <w:rsid w:val="00255059"/>
    <w:rsid w:val="0025534B"/>
    <w:rsid w:val="0025552D"/>
    <w:rsid w:val="00255AEF"/>
    <w:rsid w:val="00255BB7"/>
    <w:rsid w:val="00257541"/>
    <w:rsid w:val="00260238"/>
    <w:rsid w:val="00262A1A"/>
    <w:rsid w:val="00262A87"/>
    <w:rsid w:val="00264D26"/>
    <w:rsid w:val="00265078"/>
    <w:rsid w:val="00265EEE"/>
    <w:rsid w:val="00266773"/>
    <w:rsid w:val="00266ED0"/>
    <w:rsid w:val="002671A9"/>
    <w:rsid w:val="00267642"/>
    <w:rsid w:val="00267AEA"/>
    <w:rsid w:val="002700E6"/>
    <w:rsid w:val="00270AE2"/>
    <w:rsid w:val="00271239"/>
    <w:rsid w:val="002716AD"/>
    <w:rsid w:val="0027294B"/>
    <w:rsid w:val="00273BC2"/>
    <w:rsid w:val="00274561"/>
    <w:rsid w:val="00275C5A"/>
    <w:rsid w:val="002761BF"/>
    <w:rsid w:val="00276A34"/>
    <w:rsid w:val="00276F07"/>
    <w:rsid w:val="00276F11"/>
    <w:rsid w:val="002773FC"/>
    <w:rsid w:val="00281014"/>
    <w:rsid w:val="002820E1"/>
    <w:rsid w:val="00282EE3"/>
    <w:rsid w:val="00286A2C"/>
    <w:rsid w:val="002902F0"/>
    <w:rsid w:val="00290C8F"/>
    <w:rsid w:val="00293399"/>
    <w:rsid w:val="00293B60"/>
    <w:rsid w:val="002946B1"/>
    <w:rsid w:val="00294834"/>
    <w:rsid w:val="0029553B"/>
    <w:rsid w:val="002976A3"/>
    <w:rsid w:val="002A000C"/>
    <w:rsid w:val="002A0984"/>
    <w:rsid w:val="002A14AB"/>
    <w:rsid w:val="002A1F8C"/>
    <w:rsid w:val="002A2F50"/>
    <w:rsid w:val="002A3077"/>
    <w:rsid w:val="002A3B93"/>
    <w:rsid w:val="002A4F5D"/>
    <w:rsid w:val="002A6114"/>
    <w:rsid w:val="002A69F3"/>
    <w:rsid w:val="002A7D6E"/>
    <w:rsid w:val="002B09A4"/>
    <w:rsid w:val="002B10EF"/>
    <w:rsid w:val="002B12A4"/>
    <w:rsid w:val="002B1C1F"/>
    <w:rsid w:val="002B1D75"/>
    <w:rsid w:val="002B432F"/>
    <w:rsid w:val="002B45D2"/>
    <w:rsid w:val="002B460F"/>
    <w:rsid w:val="002B5510"/>
    <w:rsid w:val="002B577D"/>
    <w:rsid w:val="002B60C6"/>
    <w:rsid w:val="002B62B3"/>
    <w:rsid w:val="002B6754"/>
    <w:rsid w:val="002B6CCE"/>
    <w:rsid w:val="002C0882"/>
    <w:rsid w:val="002C1F44"/>
    <w:rsid w:val="002C2233"/>
    <w:rsid w:val="002C2510"/>
    <w:rsid w:val="002C2775"/>
    <w:rsid w:val="002C27C1"/>
    <w:rsid w:val="002C2921"/>
    <w:rsid w:val="002C3044"/>
    <w:rsid w:val="002C308F"/>
    <w:rsid w:val="002C4223"/>
    <w:rsid w:val="002C432A"/>
    <w:rsid w:val="002C4427"/>
    <w:rsid w:val="002C4818"/>
    <w:rsid w:val="002C4D8C"/>
    <w:rsid w:val="002C5099"/>
    <w:rsid w:val="002C5889"/>
    <w:rsid w:val="002C5F00"/>
    <w:rsid w:val="002C71CE"/>
    <w:rsid w:val="002C74E0"/>
    <w:rsid w:val="002C7717"/>
    <w:rsid w:val="002D0357"/>
    <w:rsid w:val="002D1B41"/>
    <w:rsid w:val="002D1BB0"/>
    <w:rsid w:val="002D2E50"/>
    <w:rsid w:val="002D322B"/>
    <w:rsid w:val="002D43EB"/>
    <w:rsid w:val="002D467D"/>
    <w:rsid w:val="002D4FA3"/>
    <w:rsid w:val="002D577C"/>
    <w:rsid w:val="002D7415"/>
    <w:rsid w:val="002D77AB"/>
    <w:rsid w:val="002E15B9"/>
    <w:rsid w:val="002E1C8E"/>
    <w:rsid w:val="002E2158"/>
    <w:rsid w:val="002E2452"/>
    <w:rsid w:val="002E2495"/>
    <w:rsid w:val="002E2A75"/>
    <w:rsid w:val="002E471D"/>
    <w:rsid w:val="002E6103"/>
    <w:rsid w:val="002E7722"/>
    <w:rsid w:val="002E7B03"/>
    <w:rsid w:val="002F07BA"/>
    <w:rsid w:val="002F0DA9"/>
    <w:rsid w:val="002F0DCB"/>
    <w:rsid w:val="002F13A2"/>
    <w:rsid w:val="002F142A"/>
    <w:rsid w:val="002F254C"/>
    <w:rsid w:val="002F2994"/>
    <w:rsid w:val="002F2ED0"/>
    <w:rsid w:val="002F403D"/>
    <w:rsid w:val="002F4BA7"/>
    <w:rsid w:val="002F53CA"/>
    <w:rsid w:val="002F643C"/>
    <w:rsid w:val="002F71C0"/>
    <w:rsid w:val="002F7BE0"/>
    <w:rsid w:val="0030084E"/>
    <w:rsid w:val="00300871"/>
    <w:rsid w:val="00301017"/>
    <w:rsid w:val="00301192"/>
    <w:rsid w:val="0030155F"/>
    <w:rsid w:val="00301661"/>
    <w:rsid w:val="00303CA4"/>
    <w:rsid w:val="00304968"/>
    <w:rsid w:val="00304D16"/>
    <w:rsid w:val="00304FD3"/>
    <w:rsid w:val="003050C1"/>
    <w:rsid w:val="0030587B"/>
    <w:rsid w:val="00306423"/>
    <w:rsid w:val="00306D98"/>
    <w:rsid w:val="0030786C"/>
    <w:rsid w:val="00307F77"/>
    <w:rsid w:val="0031031A"/>
    <w:rsid w:val="00310981"/>
    <w:rsid w:val="00314680"/>
    <w:rsid w:val="00314FBB"/>
    <w:rsid w:val="00314FFE"/>
    <w:rsid w:val="00315006"/>
    <w:rsid w:val="003150D0"/>
    <w:rsid w:val="00315498"/>
    <w:rsid w:val="00316ADA"/>
    <w:rsid w:val="00316B37"/>
    <w:rsid w:val="003172E6"/>
    <w:rsid w:val="00320325"/>
    <w:rsid w:val="00321165"/>
    <w:rsid w:val="00321E9D"/>
    <w:rsid w:val="00322107"/>
    <w:rsid w:val="00322846"/>
    <w:rsid w:val="003233D1"/>
    <w:rsid w:val="00324148"/>
    <w:rsid w:val="00324E1E"/>
    <w:rsid w:val="00325A4E"/>
    <w:rsid w:val="003265BC"/>
    <w:rsid w:val="00326DA7"/>
    <w:rsid w:val="003270E4"/>
    <w:rsid w:val="003274F0"/>
    <w:rsid w:val="00330743"/>
    <w:rsid w:val="00330F5C"/>
    <w:rsid w:val="00331280"/>
    <w:rsid w:val="00333219"/>
    <w:rsid w:val="0033367E"/>
    <w:rsid w:val="00333F5F"/>
    <w:rsid w:val="00335CCE"/>
    <w:rsid w:val="003364ED"/>
    <w:rsid w:val="003366C9"/>
    <w:rsid w:val="0033673E"/>
    <w:rsid w:val="003371B0"/>
    <w:rsid w:val="00337A31"/>
    <w:rsid w:val="00337B52"/>
    <w:rsid w:val="003404E7"/>
    <w:rsid w:val="00340893"/>
    <w:rsid w:val="00340AFB"/>
    <w:rsid w:val="00340DF1"/>
    <w:rsid w:val="00342F00"/>
    <w:rsid w:val="00344F9F"/>
    <w:rsid w:val="0034532E"/>
    <w:rsid w:val="0034595D"/>
    <w:rsid w:val="00346BFC"/>
    <w:rsid w:val="00347D73"/>
    <w:rsid w:val="00347DDA"/>
    <w:rsid w:val="00350507"/>
    <w:rsid w:val="00350E3F"/>
    <w:rsid w:val="00351225"/>
    <w:rsid w:val="003517F9"/>
    <w:rsid w:val="00351849"/>
    <w:rsid w:val="003519B1"/>
    <w:rsid w:val="00353435"/>
    <w:rsid w:val="0035353A"/>
    <w:rsid w:val="00353674"/>
    <w:rsid w:val="00354168"/>
    <w:rsid w:val="00355056"/>
    <w:rsid w:val="0035620E"/>
    <w:rsid w:val="00356D98"/>
    <w:rsid w:val="0035762B"/>
    <w:rsid w:val="00361339"/>
    <w:rsid w:val="003624C4"/>
    <w:rsid w:val="00362AD7"/>
    <w:rsid w:val="00363D9E"/>
    <w:rsid w:val="00363E70"/>
    <w:rsid w:val="003642C5"/>
    <w:rsid w:val="003652F7"/>
    <w:rsid w:val="003654AC"/>
    <w:rsid w:val="00365E38"/>
    <w:rsid w:val="0036638B"/>
    <w:rsid w:val="003667F1"/>
    <w:rsid w:val="00366A59"/>
    <w:rsid w:val="00367126"/>
    <w:rsid w:val="00367B6E"/>
    <w:rsid w:val="00370055"/>
    <w:rsid w:val="00370982"/>
    <w:rsid w:val="00370D99"/>
    <w:rsid w:val="003710CF"/>
    <w:rsid w:val="003725AF"/>
    <w:rsid w:val="0037358A"/>
    <w:rsid w:val="0037384E"/>
    <w:rsid w:val="00373D2C"/>
    <w:rsid w:val="00374EA5"/>
    <w:rsid w:val="003750F6"/>
    <w:rsid w:val="00376014"/>
    <w:rsid w:val="003760FC"/>
    <w:rsid w:val="003803EA"/>
    <w:rsid w:val="00380E08"/>
    <w:rsid w:val="00381AEE"/>
    <w:rsid w:val="00382075"/>
    <w:rsid w:val="00382574"/>
    <w:rsid w:val="00382E44"/>
    <w:rsid w:val="00383064"/>
    <w:rsid w:val="0038365C"/>
    <w:rsid w:val="0038369B"/>
    <w:rsid w:val="003838D9"/>
    <w:rsid w:val="00383B78"/>
    <w:rsid w:val="00384309"/>
    <w:rsid w:val="003845AE"/>
    <w:rsid w:val="0038550B"/>
    <w:rsid w:val="00385A9D"/>
    <w:rsid w:val="003866DE"/>
    <w:rsid w:val="00386A61"/>
    <w:rsid w:val="003870F9"/>
    <w:rsid w:val="00387394"/>
    <w:rsid w:val="00387545"/>
    <w:rsid w:val="003902B1"/>
    <w:rsid w:val="0039187B"/>
    <w:rsid w:val="003919AD"/>
    <w:rsid w:val="00391EEC"/>
    <w:rsid w:val="00392431"/>
    <w:rsid w:val="003946EA"/>
    <w:rsid w:val="00395CFF"/>
    <w:rsid w:val="00396896"/>
    <w:rsid w:val="00396FD0"/>
    <w:rsid w:val="003971F3"/>
    <w:rsid w:val="0039751D"/>
    <w:rsid w:val="003A179C"/>
    <w:rsid w:val="003A1A7A"/>
    <w:rsid w:val="003A2392"/>
    <w:rsid w:val="003A240E"/>
    <w:rsid w:val="003A2831"/>
    <w:rsid w:val="003A306E"/>
    <w:rsid w:val="003A30A0"/>
    <w:rsid w:val="003A376A"/>
    <w:rsid w:val="003A3ED1"/>
    <w:rsid w:val="003A44A0"/>
    <w:rsid w:val="003A505B"/>
    <w:rsid w:val="003A5282"/>
    <w:rsid w:val="003A597C"/>
    <w:rsid w:val="003A6889"/>
    <w:rsid w:val="003A7637"/>
    <w:rsid w:val="003B010B"/>
    <w:rsid w:val="003B0163"/>
    <w:rsid w:val="003B1168"/>
    <w:rsid w:val="003B1212"/>
    <w:rsid w:val="003B1A4C"/>
    <w:rsid w:val="003B1A55"/>
    <w:rsid w:val="003B1BC9"/>
    <w:rsid w:val="003B31A4"/>
    <w:rsid w:val="003B3457"/>
    <w:rsid w:val="003B45A8"/>
    <w:rsid w:val="003B5B61"/>
    <w:rsid w:val="003B60CE"/>
    <w:rsid w:val="003B6EE6"/>
    <w:rsid w:val="003C1116"/>
    <w:rsid w:val="003C1654"/>
    <w:rsid w:val="003C1FBD"/>
    <w:rsid w:val="003C3016"/>
    <w:rsid w:val="003C3DC0"/>
    <w:rsid w:val="003C57DE"/>
    <w:rsid w:val="003C7086"/>
    <w:rsid w:val="003C7D19"/>
    <w:rsid w:val="003D101A"/>
    <w:rsid w:val="003D1828"/>
    <w:rsid w:val="003D19D4"/>
    <w:rsid w:val="003D1DE4"/>
    <w:rsid w:val="003D23B7"/>
    <w:rsid w:val="003D2422"/>
    <w:rsid w:val="003D39A1"/>
    <w:rsid w:val="003D3FBF"/>
    <w:rsid w:val="003D4420"/>
    <w:rsid w:val="003D46C9"/>
    <w:rsid w:val="003D4A30"/>
    <w:rsid w:val="003D51B2"/>
    <w:rsid w:val="003D7824"/>
    <w:rsid w:val="003D79BB"/>
    <w:rsid w:val="003D7C98"/>
    <w:rsid w:val="003E0015"/>
    <w:rsid w:val="003E0157"/>
    <w:rsid w:val="003E0543"/>
    <w:rsid w:val="003E06BA"/>
    <w:rsid w:val="003E10E2"/>
    <w:rsid w:val="003E2702"/>
    <w:rsid w:val="003E5451"/>
    <w:rsid w:val="003E600B"/>
    <w:rsid w:val="003E606F"/>
    <w:rsid w:val="003E6C0B"/>
    <w:rsid w:val="003E7B66"/>
    <w:rsid w:val="003F0DDA"/>
    <w:rsid w:val="003F15F8"/>
    <w:rsid w:val="003F200D"/>
    <w:rsid w:val="003F2A50"/>
    <w:rsid w:val="003F2A90"/>
    <w:rsid w:val="003F3878"/>
    <w:rsid w:val="003F4156"/>
    <w:rsid w:val="003F4FED"/>
    <w:rsid w:val="003F53F7"/>
    <w:rsid w:val="003F7297"/>
    <w:rsid w:val="0040011C"/>
    <w:rsid w:val="00400B29"/>
    <w:rsid w:val="00403A61"/>
    <w:rsid w:val="00404126"/>
    <w:rsid w:val="0040504B"/>
    <w:rsid w:val="00405A77"/>
    <w:rsid w:val="00406296"/>
    <w:rsid w:val="004064AE"/>
    <w:rsid w:val="004106BB"/>
    <w:rsid w:val="00410708"/>
    <w:rsid w:val="00410EC7"/>
    <w:rsid w:val="0041105D"/>
    <w:rsid w:val="00411B39"/>
    <w:rsid w:val="00412644"/>
    <w:rsid w:val="004129CF"/>
    <w:rsid w:val="00412EF5"/>
    <w:rsid w:val="004139AB"/>
    <w:rsid w:val="00413A1E"/>
    <w:rsid w:val="00414476"/>
    <w:rsid w:val="00414858"/>
    <w:rsid w:val="00414C2E"/>
    <w:rsid w:val="004151CF"/>
    <w:rsid w:val="00415301"/>
    <w:rsid w:val="00415F53"/>
    <w:rsid w:val="00416364"/>
    <w:rsid w:val="00417058"/>
    <w:rsid w:val="0041730E"/>
    <w:rsid w:val="00420AA6"/>
    <w:rsid w:val="00420B9F"/>
    <w:rsid w:val="00420D45"/>
    <w:rsid w:val="00420F03"/>
    <w:rsid w:val="00421F55"/>
    <w:rsid w:val="00422260"/>
    <w:rsid w:val="00422F34"/>
    <w:rsid w:val="00423FE0"/>
    <w:rsid w:val="0042413F"/>
    <w:rsid w:val="00426393"/>
    <w:rsid w:val="00427D09"/>
    <w:rsid w:val="00427D3F"/>
    <w:rsid w:val="004300B1"/>
    <w:rsid w:val="00430419"/>
    <w:rsid w:val="004304D2"/>
    <w:rsid w:val="00430C6E"/>
    <w:rsid w:val="00431013"/>
    <w:rsid w:val="004318EB"/>
    <w:rsid w:val="004319F8"/>
    <w:rsid w:val="00431E55"/>
    <w:rsid w:val="004321F6"/>
    <w:rsid w:val="00432D91"/>
    <w:rsid w:val="00433044"/>
    <w:rsid w:val="00435C9B"/>
    <w:rsid w:val="00436C29"/>
    <w:rsid w:val="004375B9"/>
    <w:rsid w:val="00440130"/>
    <w:rsid w:val="00441868"/>
    <w:rsid w:val="004428D0"/>
    <w:rsid w:val="0044391A"/>
    <w:rsid w:val="004443A7"/>
    <w:rsid w:val="0044442C"/>
    <w:rsid w:val="00444544"/>
    <w:rsid w:val="004452DA"/>
    <w:rsid w:val="00445941"/>
    <w:rsid w:val="004464EB"/>
    <w:rsid w:val="0044699C"/>
    <w:rsid w:val="00447069"/>
    <w:rsid w:val="00447D26"/>
    <w:rsid w:val="00450907"/>
    <w:rsid w:val="00451D30"/>
    <w:rsid w:val="004525F0"/>
    <w:rsid w:val="00453C3F"/>
    <w:rsid w:val="00454934"/>
    <w:rsid w:val="004550BB"/>
    <w:rsid w:val="00455104"/>
    <w:rsid w:val="00455971"/>
    <w:rsid w:val="00455D45"/>
    <w:rsid w:val="00455E9B"/>
    <w:rsid w:val="0045714A"/>
    <w:rsid w:val="004574C7"/>
    <w:rsid w:val="0046025A"/>
    <w:rsid w:val="00460A3C"/>
    <w:rsid w:val="00462ABB"/>
    <w:rsid w:val="004638E9"/>
    <w:rsid w:val="00464595"/>
    <w:rsid w:val="00465156"/>
    <w:rsid w:val="0046526F"/>
    <w:rsid w:val="00465F35"/>
    <w:rsid w:val="0047017E"/>
    <w:rsid w:val="004709AA"/>
    <w:rsid w:val="00470AB9"/>
    <w:rsid w:val="00470F06"/>
    <w:rsid w:val="00471A8B"/>
    <w:rsid w:val="00472928"/>
    <w:rsid w:val="00472A79"/>
    <w:rsid w:val="00473B10"/>
    <w:rsid w:val="00473B76"/>
    <w:rsid w:val="00473F19"/>
    <w:rsid w:val="004742A3"/>
    <w:rsid w:val="004745AA"/>
    <w:rsid w:val="00474BC3"/>
    <w:rsid w:val="0047541A"/>
    <w:rsid w:val="00475772"/>
    <w:rsid w:val="00475E22"/>
    <w:rsid w:val="0047626D"/>
    <w:rsid w:val="0047667C"/>
    <w:rsid w:val="00476CB6"/>
    <w:rsid w:val="00480486"/>
    <w:rsid w:val="0048088E"/>
    <w:rsid w:val="00482720"/>
    <w:rsid w:val="004835E7"/>
    <w:rsid w:val="0048393F"/>
    <w:rsid w:val="00483F28"/>
    <w:rsid w:val="0048420C"/>
    <w:rsid w:val="00484989"/>
    <w:rsid w:val="00484EE0"/>
    <w:rsid w:val="00485B30"/>
    <w:rsid w:val="00485DD5"/>
    <w:rsid w:val="0048658B"/>
    <w:rsid w:val="004867E2"/>
    <w:rsid w:val="00486E01"/>
    <w:rsid w:val="00490038"/>
    <w:rsid w:val="004909A9"/>
    <w:rsid w:val="00491B3A"/>
    <w:rsid w:val="00491FCB"/>
    <w:rsid w:val="004921F3"/>
    <w:rsid w:val="00492814"/>
    <w:rsid w:val="00492BAD"/>
    <w:rsid w:val="00492CFD"/>
    <w:rsid w:val="004935FC"/>
    <w:rsid w:val="00494DD5"/>
    <w:rsid w:val="00495798"/>
    <w:rsid w:val="0049626A"/>
    <w:rsid w:val="004962D2"/>
    <w:rsid w:val="0049633B"/>
    <w:rsid w:val="00496A37"/>
    <w:rsid w:val="004974B5"/>
    <w:rsid w:val="004A04DA"/>
    <w:rsid w:val="004A0DA1"/>
    <w:rsid w:val="004A33D6"/>
    <w:rsid w:val="004A33DB"/>
    <w:rsid w:val="004A39F2"/>
    <w:rsid w:val="004A4137"/>
    <w:rsid w:val="004A449B"/>
    <w:rsid w:val="004A4AD8"/>
    <w:rsid w:val="004A4C05"/>
    <w:rsid w:val="004A52E9"/>
    <w:rsid w:val="004A630E"/>
    <w:rsid w:val="004A6597"/>
    <w:rsid w:val="004A7848"/>
    <w:rsid w:val="004A79DF"/>
    <w:rsid w:val="004B08FB"/>
    <w:rsid w:val="004B0DFA"/>
    <w:rsid w:val="004B190D"/>
    <w:rsid w:val="004B1CB4"/>
    <w:rsid w:val="004B291E"/>
    <w:rsid w:val="004B2F18"/>
    <w:rsid w:val="004B3A33"/>
    <w:rsid w:val="004B3C16"/>
    <w:rsid w:val="004B3DDB"/>
    <w:rsid w:val="004B44FD"/>
    <w:rsid w:val="004B5CFC"/>
    <w:rsid w:val="004B655E"/>
    <w:rsid w:val="004B6648"/>
    <w:rsid w:val="004B68D5"/>
    <w:rsid w:val="004B6A69"/>
    <w:rsid w:val="004B6B01"/>
    <w:rsid w:val="004B6E68"/>
    <w:rsid w:val="004B6F26"/>
    <w:rsid w:val="004B774D"/>
    <w:rsid w:val="004B7F9B"/>
    <w:rsid w:val="004C06B5"/>
    <w:rsid w:val="004C1072"/>
    <w:rsid w:val="004C1937"/>
    <w:rsid w:val="004C2ECE"/>
    <w:rsid w:val="004C3205"/>
    <w:rsid w:val="004C46B6"/>
    <w:rsid w:val="004C4AED"/>
    <w:rsid w:val="004C5667"/>
    <w:rsid w:val="004C59D2"/>
    <w:rsid w:val="004C705D"/>
    <w:rsid w:val="004C7ACF"/>
    <w:rsid w:val="004D2208"/>
    <w:rsid w:val="004D2272"/>
    <w:rsid w:val="004D2C2D"/>
    <w:rsid w:val="004D2EAE"/>
    <w:rsid w:val="004D3FA6"/>
    <w:rsid w:val="004D43AC"/>
    <w:rsid w:val="004D4AB4"/>
    <w:rsid w:val="004D4FD9"/>
    <w:rsid w:val="004D5F14"/>
    <w:rsid w:val="004D5F4F"/>
    <w:rsid w:val="004D7227"/>
    <w:rsid w:val="004D7268"/>
    <w:rsid w:val="004D7A24"/>
    <w:rsid w:val="004D7A9C"/>
    <w:rsid w:val="004E0E7F"/>
    <w:rsid w:val="004E0EB8"/>
    <w:rsid w:val="004E10FD"/>
    <w:rsid w:val="004E1874"/>
    <w:rsid w:val="004E18A0"/>
    <w:rsid w:val="004E2ADC"/>
    <w:rsid w:val="004E36CF"/>
    <w:rsid w:val="004E371F"/>
    <w:rsid w:val="004E3C00"/>
    <w:rsid w:val="004E3CB1"/>
    <w:rsid w:val="004E43B2"/>
    <w:rsid w:val="004E64F3"/>
    <w:rsid w:val="004E762D"/>
    <w:rsid w:val="004E7DD5"/>
    <w:rsid w:val="004F1D02"/>
    <w:rsid w:val="004F1FD5"/>
    <w:rsid w:val="004F2679"/>
    <w:rsid w:val="004F2F21"/>
    <w:rsid w:val="004F38AF"/>
    <w:rsid w:val="004F466F"/>
    <w:rsid w:val="004F561A"/>
    <w:rsid w:val="004F63E3"/>
    <w:rsid w:val="004F6913"/>
    <w:rsid w:val="004F6964"/>
    <w:rsid w:val="004F7211"/>
    <w:rsid w:val="004F7865"/>
    <w:rsid w:val="005000FA"/>
    <w:rsid w:val="00500B1C"/>
    <w:rsid w:val="00501E95"/>
    <w:rsid w:val="0050219B"/>
    <w:rsid w:val="005024E1"/>
    <w:rsid w:val="00503383"/>
    <w:rsid w:val="00503440"/>
    <w:rsid w:val="00503703"/>
    <w:rsid w:val="00503875"/>
    <w:rsid w:val="00503B43"/>
    <w:rsid w:val="00503F17"/>
    <w:rsid w:val="00503F92"/>
    <w:rsid w:val="0050483B"/>
    <w:rsid w:val="005052AA"/>
    <w:rsid w:val="00505582"/>
    <w:rsid w:val="00505DED"/>
    <w:rsid w:val="00506928"/>
    <w:rsid w:val="00506C37"/>
    <w:rsid w:val="005128B1"/>
    <w:rsid w:val="00512958"/>
    <w:rsid w:val="00513431"/>
    <w:rsid w:val="005144F7"/>
    <w:rsid w:val="00515036"/>
    <w:rsid w:val="005152B5"/>
    <w:rsid w:val="00516805"/>
    <w:rsid w:val="00520ED6"/>
    <w:rsid w:val="00521319"/>
    <w:rsid w:val="00522BC8"/>
    <w:rsid w:val="005234FF"/>
    <w:rsid w:val="00523C28"/>
    <w:rsid w:val="00523DC4"/>
    <w:rsid w:val="00523F5B"/>
    <w:rsid w:val="005245E9"/>
    <w:rsid w:val="00524BE8"/>
    <w:rsid w:val="00525875"/>
    <w:rsid w:val="00525884"/>
    <w:rsid w:val="00525BAE"/>
    <w:rsid w:val="0052699C"/>
    <w:rsid w:val="00526CC1"/>
    <w:rsid w:val="0052706F"/>
    <w:rsid w:val="00527A39"/>
    <w:rsid w:val="00531644"/>
    <w:rsid w:val="00533196"/>
    <w:rsid w:val="00533DF6"/>
    <w:rsid w:val="005350AD"/>
    <w:rsid w:val="005352D6"/>
    <w:rsid w:val="005361DC"/>
    <w:rsid w:val="00536D82"/>
    <w:rsid w:val="00536F42"/>
    <w:rsid w:val="00537182"/>
    <w:rsid w:val="0053730A"/>
    <w:rsid w:val="00537782"/>
    <w:rsid w:val="00537783"/>
    <w:rsid w:val="005408FD"/>
    <w:rsid w:val="00540962"/>
    <w:rsid w:val="00541F71"/>
    <w:rsid w:val="005424EA"/>
    <w:rsid w:val="00542743"/>
    <w:rsid w:val="005427D6"/>
    <w:rsid w:val="00542C2D"/>
    <w:rsid w:val="005437F9"/>
    <w:rsid w:val="0054433A"/>
    <w:rsid w:val="00544866"/>
    <w:rsid w:val="005451C2"/>
    <w:rsid w:val="00545FFC"/>
    <w:rsid w:val="00546907"/>
    <w:rsid w:val="0055059C"/>
    <w:rsid w:val="00550E87"/>
    <w:rsid w:val="00551985"/>
    <w:rsid w:val="00552BD3"/>
    <w:rsid w:val="005534C0"/>
    <w:rsid w:val="0055472F"/>
    <w:rsid w:val="00555109"/>
    <w:rsid w:val="00555170"/>
    <w:rsid w:val="005558CC"/>
    <w:rsid w:val="005569C6"/>
    <w:rsid w:val="00556CF8"/>
    <w:rsid w:val="005570D2"/>
    <w:rsid w:val="0055740F"/>
    <w:rsid w:val="0056040B"/>
    <w:rsid w:val="00560EE0"/>
    <w:rsid w:val="00561542"/>
    <w:rsid w:val="00561F03"/>
    <w:rsid w:val="00562378"/>
    <w:rsid w:val="00562757"/>
    <w:rsid w:val="00562C71"/>
    <w:rsid w:val="00563727"/>
    <w:rsid w:val="00563CD5"/>
    <w:rsid w:val="00564660"/>
    <w:rsid w:val="005654AF"/>
    <w:rsid w:val="00565A8D"/>
    <w:rsid w:val="0056696F"/>
    <w:rsid w:val="005675CD"/>
    <w:rsid w:val="00570646"/>
    <w:rsid w:val="00572269"/>
    <w:rsid w:val="0057244A"/>
    <w:rsid w:val="00573C94"/>
    <w:rsid w:val="00573EA9"/>
    <w:rsid w:val="0057473B"/>
    <w:rsid w:val="005751A5"/>
    <w:rsid w:val="00575BAE"/>
    <w:rsid w:val="00575D44"/>
    <w:rsid w:val="00575D8D"/>
    <w:rsid w:val="00576972"/>
    <w:rsid w:val="00576A3F"/>
    <w:rsid w:val="00577B41"/>
    <w:rsid w:val="00581296"/>
    <w:rsid w:val="00581C9B"/>
    <w:rsid w:val="005833A6"/>
    <w:rsid w:val="005833E7"/>
    <w:rsid w:val="00583699"/>
    <w:rsid w:val="00583FBF"/>
    <w:rsid w:val="005843D9"/>
    <w:rsid w:val="00585CDD"/>
    <w:rsid w:val="00586652"/>
    <w:rsid w:val="00587058"/>
    <w:rsid w:val="0058792C"/>
    <w:rsid w:val="00590A6A"/>
    <w:rsid w:val="00591957"/>
    <w:rsid w:val="00591A35"/>
    <w:rsid w:val="00592E74"/>
    <w:rsid w:val="00593222"/>
    <w:rsid w:val="005935EE"/>
    <w:rsid w:val="00595285"/>
    <w:rsid w:val="00596357"/>
    <w:rsid w:val="005963A7"/>
    <w:rsid w:val="00596696"/>
    <w:rsid w:val="00596EA2"/>
    <w:rsid w:val="0059768C"/>
    <w:rsid w:val="00597BF9"/>
    <w:rsid w:val="005A0105"/>
    <w:rsid w:val="005A018F"/>
    <w:rsid w:val="005A01FB"/>
    <w:rsid w:val="005A07F1"/>
    <w:rsid w:val="005A08C3"/>
    <w:rsid w:val="005A18A8"/>
    <w:rsid w:val="005A2603"/>
    <w:rsid w:val="005A2FF5"/>
    <w:rsid w:val="005A373D"/>
    <w:rsid w:val="005A3A6F"/>
    <w:rsid w:val="005A4626"/>
    <w:rsid w:val="005A487A"/>
    <w:rsid w:val="005A5B92"/>
    <w:rsid w:val="005B1DD4"/>
    <w:rsid w:val="005B2D53"/>
    <w:rsid w:val="005B5857"/>
    <w:rsid w:val="005B5B1B"/>
    <w:rsid w:val="005C0218"/>
    <w:rsid w:val="005C1AF4"/>
    <w:rsid w:val="005C1B83"/>
    <w:rsid w:val="005C2027"/>
    <w:rsid w:val="005C2D55"/>
    <w:rsid w:val="005C346B"/>
    <w:rsid w:val="005C389F"/>
    <w:rsid w:val="005C460C"/>
    <w:rsid w:val="005C4D11"/>
    <w:rsid w:val="005C4E5F"/>
    <w:rsid w:val="005C4F59"/>
    <w:rsid w:val="005C5251"/>
    <w:rsid w:val="005C52AF"/>
    <w:rsid w:val="005C5C11"/>
    <w:rsid w:val="005C5CB7"/>
    <w:rsid w:val="005C67D5"/>
    <w:rsid w:val="005C6A20"/>
    <w:rsid w:val="005C6EA6"/>
    <w:rsid w:val="005D0307"/>
    <w:rsid w:val="005D043E"/>
    <w:rsid w:val="005D044D"/>
    <w:rsid w:val="005D0ABD"/>
    <w:rsid w:val="005D12ED"/>
    <w:rsid w:val="005D18AD"/>
    <w:rsid w:val="005D1D64"/>
    <w:rsid w:val="005D26B4"/>
    <w:rsid w:val="005D2979"/>
    <w:rsid w:val="005D3105"/>
    <w:rsid w:val="005D518A"/>
    <w:rsid w:val="005D5ABE"/>
    <w:rsid w:val="005D6ECB"/>
    <w:rsid w:val="005E0162"/>
    <w:rsid w:val="005E06B8"/>
    <w:rsid w:val="005E10C4"/>
    <w:rsid w:val="005E14DB"/>
    <w:rsid w:val="005E1A43"/>
    <w:rsid w:val="005E1F4D"/>
    <w:rsid w:val="005E1F79"/>
    <w:rsid w:val="005E2152"/>
    <w:rsid w:val="005E35D0"/>
    <w:rsid w:val="005E54F0"/>
    <w:rsid w:val="005E6CBC"/>
    <w:rsid w:val="005E73C0"/>
    <w:rsid w:val="005E7D19"/>
    <w:rsid w:val="005F068F"/>
    <w:rsid w:val="005F1420"/>
    <w:rsid w:val="005F1685"/>
    <w:rsid w:val="005F173B"/>
    <w:rsid w:val="005F2706"/>
    <w:rsid w:val="005F28C9"/>
    <w:rsid w:val="005F3D22"/>
    <w:rsid w:val="005F435F"/>
    <w:rsid w:val="005F4A09"/>
    <w:rsid w:val="005F6A8F"/>
    <w:rsid w:val="005F7BB6"/>
    <w:rsid w:val="0060084F"/>
    <w:rsid w:val="006017A0"/>
    <w:rsid w:val="0060299F"/>
    <w:rsid w:val="00603DB9"/>
    <w:rsid w:val="0060426E"/>
    <w:rsid w:val="00604A8E"/>
    <w:rsid w:val="006054C1"/>
    <w:rsid w:val="00605736"/>
    <w:rsid w:val="00607631"/>
    <w:rsid w:val="00607669"/>
    <w:rsid w:val="00607AFD"/>
    <w:rsid w:val="006108D5"/>
    <w:rsid w:val="00610CD6"/>
    <w:rsid w:val="006126D6"/>
    <w:rsid w:val="00612713"/>
    <w:rsid w:val="006129E6"/>
    <w:rsid w:val="00612B0F"/>
    <w:rsid w:val="00612F97"/>
    <w:rsid w:val="0061345D"/>
    <w:rsid w:val="006162DA"/>
    <w:rsid w:val="00616802"/>
    <w:rsid w:val="00617E12"/>
    <w:rsid w:val="00621477"/>
    <w:rsid w:val="006222D1"/>
    <w:rsid w:val="006249F1"/>
    <w:rsid w:val="00624C85"/>
    <w:rsid w:val="00625B2B"/>
    <w:rsid w:val="006278DE"/>
    <w:rsid w:val="00630064"/>
    <w:rsid w:val="00631108"/>
    <w:rsid w:val="0063158F"/>
    <w:rsid w:val="00631D6B"/>
    <w:rsid w:val="00632453"/>
    <w:rsid w:val="006330A1"/>
    <w:rsid w:val="0063332E"/>
    <w:rsid w:val="00633D51"/>
    <w:rsid w:val="0063479F"/>
    <w:rsid w:val="00634CA0"/>
    <w:rsid w:val="006353F0"/>
    <w:rsid w:val="00635440"/>
    <w:rsid w:val="00635A1A"/>
    <w:rsid w:val="006364A1"/>
    <w:rsid w:val="00636687"/>
    <w:rsid w:val="00637BFD"/>
    <w:rsid w:val="00637C1A"/>
    <w:rsid w:val="00640291"/>
    <w:rsid w:val="006409FA"/>
    <w:rsid w:val="00641639"/>
    <w:rsid w:val="00641C4E"/>
    <w:rsid w:val="0064377A"/>
    <w:rsid w:val="00643EAB"/>
    <w:rsid w:val="006442A4"/>
    <w:rsid w:val="0064469B"/>
    <w:rsid w:val="00646D89"/>
    <w:rsid w:val="00646E4E"/>
    <w:rsid w:val="006470E4"/>
    <w:rsid w:val="006471CC"/>
    <w:rsid w:val="00647D3E"/>
    <w:rsid w:val="006505F6"/>
    <w:rsid w:val="0065079F"/>
    <w:rsid w:val="00650CA5"/>
    <w:rsid w:val="006512FD"/>
    <w:rsid w:val="00651E15"/>
    <w:rsid w:val="006523B1"/>
    <w:rsid w:val="00652FAE"/>
    <w:rsid w:val="0065379F"/>
    <w:rsid w:val="0065393D"/>
    <w:rsid w:val="0065530C"/>
    <w:rsid w:val="006572E7"/>
    <w:rsid w:val="00657498"/>
    <w:rsid w:val="00661873"/>
    <w:rsid w:val="006618D5"/>
    <w:rsid w:val="006618EC"/>
    <w:rsid w:val="00661C6B"/>
    <w:rsid w:val="00661CE4"/>
    <w:rsid w:val="00663108"/>
    <w:rsid w:val="00664974"/>
    <w:rsid w:val="0066592B"/>
    <w:rsid w:val="00665C61"/>
    <w:rsid w:val="0066664D"/>
    <w:rsid w:val="0066693A"/>
    <w:rsid w:val="00666EFA"/>
    <w:rsid w:val="006671D0"/>
    <w:rsid w:val="00667AD7"/>
    <w:rsid w:val="00667DC9"/>
    <w:rsid w:val="00670E2F"/>
    <w:rsid w:val="00672146"/>
    <w:rsid w:val="00672EF7"/>
    <w:rsid w:val="00673CCE"/>
    <w:rsid w:val="00673D24"/>
    <w:rsid w:val="00674E42"/>
    <w:rsid w:val="00675A32"/>
    <w:rsid w:val="00675D48"/>
    <w:rsid w:val="00675D65"/>
    <w:rsid w:val="006774EE"/>
    <w:rsid w:val="006776BC"/>
    <w:rsid w:val="006801F0"/>
    <w:rsid w:val="00681111"/>
    <w:rsid w:val="00681ED3"/>
    <w:rsid w:val="00682112"/>
    <w:rsid w:val="00682826"/>
    <w:rsid w:val="00683489"/>
    <w:rsid w:val="00683770"/>
    <w:rsid w:val="00683B91"/>
    <w:rsid w:val="0068462B"/>
    <w:rsid w:val="00684E2A"/>
    <w:rsid w:val="006857F2"/>
    <w:rsid w:val="00686026"/>
    <w:rsid w:val="006864C7"/>
    <w:rsid w:val="006864CD"/>
    <w:rsid w:val="00686957"/>
    <w:rsid w:val="006872BA"/>
    <w:rsid w:val="00691648"/>
    <w:rsid w:val="006917D7"/>
    <w:rsid w:val="00693419"/>
    <w:rsid w:val="00694F44"/>
    <w:rsid w:val="00695540"/>
    <w:rsid w:val="00695B03"/>
    <w:rsid w:val="00696001"/>
    <w:rsid w:val="00696013"/>
    <w:rsid w:val="00696588"/>
    <w:rsid w:val="00696679"/>
    <w:rsid w:val="00696A8A"/>
    <w:rsid w:val="006A05D2"/>
    <w:rsid w:val="006A16DD"/>
    <w:rsid w:val="006A2FEF"/>
    <w:rsid w:val="006A40EA"/>
    <w:rsid w:val="006A4980"/>
    <w:rsid w:val="006A4BA5"/>
    <w:rsid w:val="006A5259"/>
    <w:rsid w:val="006A625D"/>
    <w:rsid w:val="006A7977"/>
    <w:rsid w:val="006A7E5F"/>
    <w:rsid w:val="006B01FA"/>
    <w:rsid w:val="006B14F5"/>
    <w:rsid w:val="006B235F"/>
    <w:rsid w:val="006B261B"/>
    <w:rsid w:val="006B2775"/>
    <w:rsid w:val="006B2C90"/>
    <w:rsid w:val="006B2E96"/>
    <w:rsid w:val="006B36D1"/>
    <w:rsid w:val="006B4654"/>
    <w:rsid w:val="006B4E31"/>
    <w:rsid w:val="006B6BD9"/>
    <w:rsid w:val="006B6D3A"/>
    <w:rsid w:val="006B6DD0"/>
    <w:rsid w:val="006C0585"/>
    <w:rsid w:val="006C1E11"/>
    <w:rsid w:val="006C1E5C"/>
    <w:rsid w:val="006C2A8E"/>
    <w:rsid w:val="006C3084"/>
    <w:rsid w:val="006C354C"/>
    <w:rsid w:val="006C5145"/>
    <w:rsid w:val="006C5C63"/>
    <w:rsid w:val="006C5CF2"/>
    <w:rsid w:val="006C5D32"/>
    <w:rsid w:val="006C7591"/>
    <w:rsid w:val="006C7F6D"/>
    <w:rsid w:val="006D2046"/>
    <w:rsid w:val="006D316C"/>
    <w:rsid w:val="006D3C7D"/>
    <w:rsid w:val="006D51CF"/>
    <w:rsid w:val="006D5D5F"/>
    <w:rsid w:val="006D5F41"/>
    <w:rsid w:val="006D6311"/>
    <w:rsid w:val="006D68F7"/>
    <w:rsid w:val="006E0652"/>
    <w:rsid w:val="006E1380"/>
    <w:rsid w:val="006E227F"/>
    <w:rsid w:val="006E369E"/>
    <w:rsid w:val="006E49F8"/>
    <w:rsid w:val="006E61D2"/>
    <w:rsid w:val="006F0416"/>
    <w:rsid w:val="006F062D"/>
    <w:rsid w:val="006F13B8"/>
    <w:rsid w:val="006F1629"/>
    <w:rsid w:val="006F29BB"/>
    <w:rsid w:val="006F306C"/>
    <w:rsid w:val="006F43CD"/>
    <w:rsid w:val="006F4CFA"/>
    <w:rsid w:val="006F630D"/>
    <w:rsid w:val="006F63A5"/>
    <w:rsid w:val="006F6ED1"/>
    <w:rsid w:val="006F7617"/>
    <w:rsid w:val="006F7694"/>
    <w:rsid w:val="006F7A6F"/>
    <w:rsid w:val="006F7B73"/>
    <w:rsid w:val="00700A4C"/>
    <w:rsid w:val="0070111D"/>
    <w:rsid w:val="0070142B"/>
    <w:rsid w:val="007021F0"/>
    <w:rsid w:val="0070276E"/>
    <w:rsid w:val="00702F8F"/>
    <w:rsid w:val="0070380F"/>
    <w:rsid w:val="00703F5F"/>
    <w:rsid w:val="00704A6E"/>
    <w:rsid w:val="0070528A"/>
    <w:rsid w:val="00706908"/>
    <w:rsid w:val="00710642"/>
    <w:rsid w:val="00710837"/>
    <w:rsid w:val="00711900"/>
    <w:rsid w:val="00711A36"/>
    <w:rsid w:val="00711C01"/>
    <w:rsid w:val="00711D01"/>
    <w:rsid w:val="00712456"/>
    <w:rsid w:val="00713334"/>
    <w:rsid w:val="00713C39"/>
    <w:rsid w:val="0071529C"/>
    <w:rsid w:val="00715C00"/>
    <w:rsid w:val="00716848"/>
    <w:rsid w:val="00716A58"/>
    <w:rsid w:val="00716CC9"/>
    <w:rsid w:val="00716CF6"/>
    <w:rsid w:val="007172AD"/>
    <w:rsid w:val="0071749C"/>
    <w:rsid w:val="00717CD5"/>
    <w:rsid w:val="00720D44"/>
    <w:rsid w:val="0072123A"/>
    <w:rsid w:val="007225A9"/>
    <w:rsid w:val="00722B1B"/>
    <w:rsid w:val="00723371"/>
    <w:rsid w:val="0072416F"/>
    <w:rsid w:val="00724EFA"/>
    <w:rsid w:val="00725016"/>
    <w:rsid w:val="00727991"/>
    <w:rsid w:val="00727AA3"/>
    <w:rsid w:val="00727C94"/>
    <w:rsid w:val="00727CE5"/>
    <w:rsid w:val="00730A68"/>
    <w:rsid w:val="00731496"/>
    <w:rsid w:val="007314D0"/>
    <w:rsid w:val="00731B2C"/>
    <w:rsid w:val="00731CE9"/>
    <w:rsid w:val="00731EAE"/>
    <w:rsid w:val="00731F3B"/>
    <w:rsid w:val="00732516"/>
    <w:rsid w:val="00733307"/>
    <w:rsid w:val="00733313"/>
    <w:rsid w:val="00733FD5"/>
    <w:rsid w:val="00735033"/>
    <w:rsid w:val="00735328"/>
    <w:rsid w:val="00735739"/>
    <w:rsid w:val="00735FDF"/>
    <w:rsid w:val="0073685B"/>
    <w:rsid w:val="00737077"/>
    <w:rsid w:val="00737437"/>
    <w:rsid w:val="00737A66"/>
    <w:rsid w:val="00737B09"/>
    <w:rsid w:val="00740062"/>
    <w:rsid w:val="007407C2"/>
    <w:rsid w:val="00740F80"/>
    <w:rsid w:val="00741DB7"/>
    <w:rsid w:val="00743CF6"/>
    <w:rsid w:val="0074407E"/>
    <w:rsid w:val="00744C6F"/>
    <w:rsid w:val="007450D9"/>
    <w:rsid w:val="00746965"/>
    <w:rsid w:val="007474E1"/>
    <w:rsid w:val="0074768B"/>
    <w:rsid w:val="00750769"/>
    <w:rsid w:val="007507CD"/>
    <w:rsid w:val="00751DDF"/>
    <w:rsid w:val="00752142"/>
    <w:rsid w:val="007523F9"/>
    <w:rsid w:val="007529AB"/>
    <w:rsid w:val="0075368E"/>
    <w:rsid w:val="00753A81"/>
    <w:rsid w:val="0075588D"/>
    <w:rsid w:val="00755973"/>
    <w:rsid w:val="00755A36"/>
    <w:rsid w:val="00756B06"/>
    <w:rsid w:val="00756FBB"/>
    <w:rsid w:val="007573E8"/>
    <w:rsid w:val="00760A4B"/>
    <w:rsid w:val="00760B88"/>
    <w:rsid w:val="00760C4E"/>
    <w:rsid w:val="00763849"/>
    <w:rsid w:val="007652F2"/>
    <w:rsid w:val="00765B1A"/>
    <w:rsid w:val="00767BFD"/>
    <w:rsid w:val="00767CD8"/>
    <w:rsid w:val="00771653"/>
    <w:rsid w:val="00771870"/>
    <w:rsid w:val="00773511"/>
    <w:rsid w:val="007738B2"/>
    <w:rsid w:val="00773B32"/>
    <w:rsid w:val="00773DA0"/>
    <w:rsid w:val="0077654A"/>
    <w:rsid w:val="0077660A"/>
    <w:rsid w:val="00776EFF"/>
    <w:rsid w:val="007772D1"/>
    <w:rsid w:val="00777BCF"/>
    <w:rsid w:val="00777EB2"/>
    <w:rsid w:val="00781C3D"/>
    <w:rsid w:val="00781FBA"/>
    <w:rsid w:val="0078224F"/>
    <w:rsid w:val="0078297E"/>
    <w:rsid w:val="00782F6D"/>
    <w:rsid w:val="0078381E"/>
    <w:rsid w:val="0078389A"/>
    <w:rsid w:val="00783987"/>
    <w:rsid w:val="00783BE0"/>
    <w:rsid w:val="007843F2"/>
    <w:rsid w:val="00784D39"/>
    <w:rsid w:val="00784D41"/>
    <w:rsid w:val="00785965"/>
    <w:rsid w:val="00785DDA"/>
    <w:rsid w:val="00787831"/>
    <w:rsid w:val="00787BF4"/>
    <w:rsid w:val="00787E45"/>
    <w:rsid w:val="00790A02"/>
    <w:rsid w:val="00790B1E"/>
    <w:rsid w:val="007912DE"/>
    <w:rsid w:val="00791C97"/>
    <w:rsid w:val="00791FBA"/>
    <w:rsid w:val="00792166"/>
    <w:rsid w:val="0079425D"/>
    <w:rsid w:val="00794830"/>
    <w:rsid w:val="0079583B"/>
    <w:rsid w:val="00795858"/>
    <w:rsid w:val="0079617C"/>
    <w:rsid w:val="00796534"/>
    <w:rsid w:val="00796D28"/>
    <w:rsid w:val="00797453"/>
    <w:rsid w:val="00797919"/>
    <w:rsid w:val="00797AE5"/>
    <w:rsid w:val="007A0A12"/>
    <w:rsid w:val="007A132D"/>
    <w:rsid w:val="007A2063"/>
    <w:rsid w:val="007A21C8"/>
    <w:rsid w:val="007A2657"/>
    <w:rsid w:val="007A2B92"/>
    <w:rsid w:val="007A31A5"/>
    <w:rsid w:val="007A393F"/>
    <w:rsid w:val="007A39EE"/>
    <w:rsid w:val="007A3C95"/>
    <w:rsid w:val="007A3E8F"/>
    <w:rsid w:val="007A4834"/>
    <w:rsid w:val="007A48A8"/>
    <w:rsid w:val="007A499E"/>
    <w:rsid w:val="007A5F11"/>
    <w:rsid w:val="007A6BD3"/>
    <w:rsid w:val="007A715A"/>
    <w:rsid w:val="007A77C6"/>
    <w:rsid w:val="007B0D68"/>
    <w:rsid w:val="007B10C0"/>
    <w:rsid w:val="007B2062"/>
    <w:rsid w:val="007B251D"/>
    <w:rsid w:val="007B3060"/>
    <w:rsid w:val="007B33D4"/>
    <w:rsid w:val="007B340C"/>
    <w:rsid w:val="007B38A2"/>
    <w:rsid w:val="007B39ED"/>
    <w:rsid w:val="007B3F39"/>
    <w:rsid w:val="007B4F58"/>
    <w:rsid w:val="007B528D"/>
    <w:rsid w:val="007B5872"/>
    <w:rsid w:val="007B59AF"/>
    <w:rsid w:val="007B59D5"/>
    <w:rsid w:val="007B77D1"/>
    <w:rsid w:val="007B7D11"/>
    <w:rsid w:val="007C1CD9"/>
    <w:rsid w:val="007C2F8C"/>
    <w:rsid w:val="007C361D"/>
    <w:rsid w:val="007C3972"/>
    <w:rsid w:val="007C4B84"/>
    <w:rsid w:val="007C5887"/>
    <w:rsid w:val="007C5B1A"/>
    <w:rsid w:val="007C7C2D"/>
    <w:rsid w:val="007C7E28"/>
    <w:rsid w:val="007D004F"/>
    <w:rsid w:val="007D076C"/>
    <w:rsid w:val="007D0B38"/>
    <w:rsid w:val="007D1768"/>
    <w:rsid w:val="007D19DE"/>
    <w:rsid w:val="007D2286"/>
    <w:rsid w:val="007D38E9"/>
    <w:rsid w:val="007D3B2A"/>
    <w:rsid w:val="007D3F1C"/>
    <w:rsid w:val="007D4ABF"/>
    <w:rsid w:val="007D4DEB"/>
    <w:rsid w:val="007D5440"/>
    <w:rsid w:val="007D5462"/>
    <w:rsid w:val="007D5760"/>
    <w:rsid w:val="007D5AB4"/>
    <w:rsid w:val="007D7491"/>
    <w:rsid w:val="007E051A"/>
    <w:rsid w:val="007E0CAE"/>
    <w:rsid w:val="007E181A"/>
    <w:rsid w:val="007E1C1F"/>
    <w:rsid w:val="007E23A5"/>
    <w:rsid w:val="007E2545"/>
    <w:rsid w:val="007E2F58"/>
    <w:rsid w:val="007E3B0B"/>
    <w:rsid w:val="007E422F"/>
    <w:rsid w:val="007E6D76"/>
    <w:rsid w:val="007E79F3"/>
    <w:rsid w:val="007F0010"/>
    <w:rsid w:val="007F03F2"/>
    <w:rsid w:val="007F054C"/>
    <w:rsid w:val="007F085B"/>
    <w:rsid w:val="007F1017"/>
    <w:rsid w:val="007F278D"/>
    <w:rsid w:val="007F4223"/>
    <w:rsid w:val="007F4A3F"/>
    <w:rsid w:val="007F4A61"/>
    <w:rsid w:val="007F529C"/>
    <w:rsid w:val="007F58D1"/>
    <w:rsid w:val="007F5AE4"/>
    <w:rsid w:val="007F5C14"/>
    <w:rsid w:val="007F5D14"/>
    <w:rsid w:val="007F61C2"/>
    <w:rsid w:val="007F6321"/>
    <w:rsid w:val="007F6588"/>
    <w:rsid w:val="007F69D7"/>
    <w:rsid w:val="007F732A"/>
    <w:rsid w:val="007F7EE2"/>
    <w:rsid w:val="00802706"/>
    <w:rsid w:val="0080324B"/>
    <w:rsid w:val="00805142"/>
    <w:rsid w:val="0080574F"/>
    <w:rsid w:val="00805BBC"/>
    <w:rsid w:val="00805DE5"/>
    <w:rsid w:val="0080785C"/>
    <w:rsid w:val="00807A8B"/>
    <w:rsid w:val="00810A46"/>
    <w:rsid w:val="00811383"/>
    <w:rsid w:val="0081170C"/>
    <w:rsid w:val="00812022"/>
    <w:rsid w:val="00812149"/>
    <w:rsid w:val="00812CAC"/>
    <w:rsid w:val="00814891"/>
    <w:rsid w:val="00815609"/>
    <w:rsid w:val="0081560B"/>
    <w:rsid w:val="00815D86"/>
    <w:rsid w:val="008166EF"/>
    <w:rsid w:val="0082094E"/>
    <w:rsid w:val="00820DCF"/>
    <w:rsid w:val="008210AE"/>
    <w:rsid w:val="00821471"/>
    <w:rsid w:val="00821855"/>
    <w:rsid w:val="00821DE2"/>
    <w:rsid w:val="00821EE5"/>
    <w:rsid w:val="0082297E"/>
    <w:rsid w:val="00823513"/>
    <w:rsid w:val="00823AF7"/>
    <w:rsid w:val="00825751"/>
    <w:rsid w:val="00825D25"/>
    <w:rsid w:val="0082606E"/>
    <w:rsid w:val="0082632D"/>
    <w:rsid w:val="008264EB"/>
    <w:rsid w:val="00826DA9"/>
    <w:rsid w:val="00826DD0"/>
    <w:rsid w:val="008272EE"/>
    <w:rsid w:val="00827343"/>
    <w:rsid w:val="00830536"/>
    <w:rsid w:val="0083189F"/>
    <w:rsid w:val="00832597"/>
    <w:rsid w:val="00832623"/>
    <w:rsid w:val="0083370D"/>
    <w:rsid w:val="00833B05"/>
    <w:rsid w:val="008346E8"/>
    <w:rsid w:val="008348F2"/>
    <w:rsid w:val="008362B4"/>
    <w:rsid w:val="008368EF"/>
    <w:rsid w:val="00836F95"/>
    <w:rsid w:val="0083721F"/>
    <w:rsid w:val="00837961"/>
    <w:rsid w:val="008400ED"/>
    <w:rsid w:val="00840CA2"/>
    <w:rsid w:val="00841DDA"/>
    <w:rsid w:val="008423BB"/>
    <w:rsid w:val="0084293A"/>
    <w:rsid w:val="0084374F"/>
    <w:rsid w:val="00843A16"/>
    <w:rsid w:val="00843F7B"/>
    <w:rsid w:val="008456DF"/>
    <w:rsid w:val="00847DF5"/>
    <w:rsid w:val="00847FE7"/>
    <w:rsid w:val="00850301"/>
    <w:rsid w:val="008510A6"/>
    <w:rsid w:val="0085243A"/>
    <w:rsid w:val="0085309D"/>
    <w:rsid w:val="00853B3E"/>
    <w:rsid w:val="00854F3B"/>
    <w:rsid w:val="008561C0"/>
    <w:rsid w:val="00856273"/>
    <w:rsid w:val="008566E4"/>
    <w:rsid w:val="00856897"/>
    <w:rsid w:val="00856E9A"/>
    <w:rsid w:val="00857E9B"/>
    <w:rsid w:val="00857FC0"/>
    <w:rsid w:val="008600AF"/>
    <w:rsid w:val="0086075D"/>
    <w:rsid w:val="008617F1"/>
    <w:rsid w:val="008621CC"/>
    <w:rsid w:val="00862502"/>
    <w:rsid w:val="008637C2"/>
    <w:rsid w:val="00863F19"/>
    <w:rsid w:val="008653FF"/>
    <w:rsid w:val="008660D4"/>
    <w:rsid w:val="00871201"/>
    <w:rsid w:val="00871FA9"/>
    <w:rsid w:val="00872241"/>
    <w:rsid w:val="0087264A"/>
    <w:rsid w:val="008728E9"/>
    <w:rsid w:val="00876163"/>
    <w:rsid w:val="00880FED"/>
    <w:rsid w:val="00881C12"/>
    <w:rsid w:val="00882874"/>
    <w:rsid w:val="0088301C"/>
    <w:rsid w:val="00883356"/>
    <w:rsid w:val="00883787"/>
    <w:rsid w:val="008843AF"/>
    <w:rsid w:val="00886080"/>
    <w:rsid w:val="008863CE"/>
    <w:rsid w:val="00886CD2"/>
    <w:rsid w:val="00890FE2"/>
    <w:rsid w:val="00891584"/>
    <w:rsid w:val="00892A36"/>
    <w:rsid w:val="00893239"/>
    <w:rsid w:val="00893AA9"/>
    <w:rsid w:val="00893CE3"/>
    <w:rsid w:val="00894489"/>
    <w:rsid w:val="008963A5"/>
    <w:rsid w:val="008970A7"/>
    <w:rsid w:val="008971E5"/>
    <w:rsid w:val="00897FE5"/>
    <w:rsid w:val="008A09A6"/>
    <w:rsid w:val="008A3363"/>
    <w:rsid w:val="008A3371"/>
    <w:rsid w:val="008A3707"/>
    <w:rsid w:val="008A379F"/>
    <w:rsid w:val="008A3C3E"/>
    <w:rsid w:val="008A5A53"/>
    <w:rsid w:val="008A5E91"/>
    <w:rsid w:val="008A62D8"/>
    <w:rsid w:val="008A6B8B"/>
    <w:rsid w:val="008A6BED"/>
    <w:rsid w:val="008A79DE"/>
    <w:rsid w:val="008B0E5F"/>
    <w:rsid w:val="008B1757"/>
    <w:rsid w:val="008B3A2D"/>
    <w:rsid w:val="008B58A7"/>
    <w:rsid w:val="008B5C68"/>
    <w:rsid w:val="008B5EEF"/>
    <w:rsid w:val="008B7D7E"/>
    <w:rsid w:val="008C1597"/>
    <w:rsid w:val="008C4E16"/>
    <w:rsid w:val="008C65E0"/>
    <w:rsid w:val="008C7ECB"/>
    <w:rsid w:val="008D0A38"/>
    <w:rsid w:val="008D14AD"/>
    <w:rsid w:val="008D23E2"/>
    <w:rsid w:val="008D3325"/>
    <w:rsid w:val="008D33E3"/>
    <w:rsid w:val="008D4755"/>
    <w:rsid w:val="008D4C3D"/>
    <w:rsid w:val="008D52AA"/>
    <w:rsid w:val="008D744F"/>
    <w:rsid w:val="008D7BDF"/>
    <w:rsid w:val="008E0D3C"/>
    <w:rsid w:val="008E0DC0"/>
    <w:rsid w:val="008E1395"/>
    <w:rsid w:val="008E1896"/>
    <w:rsid w:val="008E1B9E"/>
    <w:rsid w:val="008E3AA7"/>
    <w:rsid w:val="008E48BD"/>
    <w:rsid w:val="008E48C9"/>
    <w:rsid w:val="008E4907"/>
    <w:rsid w:val="008E55AB"/>
    <w:rsid w:val="008E6418"/>
    <w:rsid w:val="008E67E7"/>
    <w:rsid w:val="008E73E5"/>
    <w:rsid w:val="008E78F6"/>
    <w:rsid w:val="008E7EE7"/>
    <w:rsid w:val="008F120A"/>
    <w:rsid w:val="008F27E0"/>
    <w:rsid w:val="008F33B2"/>
    <w:rsid w:val="008F3E52"/>
    <w:rsid w:val="008F3FDB"/>
    <w:rsid w:val="008F4328"/>
    <w:rsid w:val="008F48EB"/>
    <w:rsid w:val="008F49A4"/>
    <w:rsid w:val="008F4F0B"/>
    <w:rsid w:val="008F65B7"/>
    <w:rsid w:val="008F7C58"/>
    <w:rsid w:val="00901089"/>
    <w:rsid w:val="00901FCE"/>
    <w:rsid w:val="00902D06"/>
    <w:rsid w:val="009046C4"/>
    <w:rsid w:val="00905C42"/>
    <w:rsid w:val="00905D60"/>
    <w:rsid w:val="00905E17"/>
    <w:rsid w:val="009062A5"/>
    <w:rsid w:val="00907779"/>
    <w:rsid w:val="00911272"/>
    <w:rsid w:val="00911C07"/>
    <w:rsid w:val="00912644"/>
    <w:rsid w:val="00912FCC"/>
    <w:rsid w:val="009135D6"/>
    <w:rsid w:val="00913CDA"/>
    <w:rsid w:val="00914C77"/>
    <w:rsid w:val="009155A3"/>
    <w:rsid w:val="00915A52"/>
    <w:rsid w:val="00915A92"/>
    <w:rsid w:val="0091603D"/>
    <w:rsid w:val="00917E8E"/>
    <w:rsid w:val="009204F5"/>
    <w:rsid w:val="00920E3E"/>
    <w:rsid w:val="0092369B"/>
    <w:rsid w:val="00926B5A"/>
    <w:rsid w:val="00927985"/>
    <w:rsid w:val="009314C2"/>
    <w:rsid w:val="00931AE9"/>
    <w:rsid w:val="009344A1"/>
    <w:rsid w:val="009344D8"/>
    <w:rsid w:val="0093491D"/>
    <w:rsid w:val="0093578B"/>
    <w:rsid w:val="00936778"/>
    <w:rsid w:val="00936C60"/>
    <w:rsid w:val="00940575"/>
    <w:rsid w:val="00942148"/>
    <w:rsid w:val="00942DBA"/>
    <w:rsid w:val="00942DFE"/>
    <w:rsid w:val="00943039"/>
    <w:rsid w:val="009437B1"/>
    <w:rsid w:val="00943869"/>
    <w:rsid w:val="00943D0B"/>
    <w:rsid w:val="00947A62"/>
    <w:rsid w:val="009510A2"/>
    <w:rsid w:val="0095113A"/>
    <w:rsid w:val="00951806"/>
    <w:rsid w:val="00953257"/>
    <w:rsid w:val="00953682"/>
    <w:rsid w:val="00954D30"/>
    <w:rsid w:val="00954F30"/>
    <w:rsid w:val="0095501D"/>
    <w:rsid w:val="00955B8B"/>
    <w:rsid w:val="00955D47"/>
    <w:rsid w:val="00956281"/>
    <w:rsid w:val="00956519"/>
    <w:rsid w:val="00956936"/>
    <w:rsid w:val="00956C84"/>
    <w:rsid w:val="00957826"/>
    <w:rsid w:val="00957A64"/>
    <w:rsid w:val="0096013A"/>
    <w:rsid w:val="009606A7"/>
    <w:rsid w:val="00960724"/>
    <w:rsid w:val="00961CF5"/>
    <w:rsid w:val="009623BD"/>
    <w:rsid w:val="00962CB9"/>
    <w:rsid w:val="00963A78"/>
    <w:rsid w:val="00964312"/>
    <w:rsid w:val="00964BA2"/>
    <w:rsid w:val="00964D63"/>
    <w:rsid w:val="00964E87"/>
    <w:rsid w:val="00964E9E"/>
    <w:rsid w:val="00965532"/>
    <w:rsid w:val="009656A9"/>
    <w:rsid w:val="00965B74"/>
    <w:rsid w:val="00965B8A"/>
    <w:rsid w:val="00966D52"/>
    <w:rsid w:val="00970518"/>
    <w:rsid w:val="009715BB"/>
    <w:rsid w:val="00971614"/>
    <w:rsid w:val="009717AC"/>
    <w:rsid w:val="00971890"/>
    <w:rsid w:val="0097206A"/>
    <w:rsid w:val="009724EF"/>
    <w:rsid w:val="009725A3"/>
    <w:rsid w:val="00972DE6"/>
    <w:rsid w:val="00973874"/>
    <w:rsid w:val="00973B78"/>
    <w:rsid w:val="00975B02"/>
    <w:rsid w:val="00976287"/>
    <w:rsid w:val="00976687"/>
    <w:rsid w:val="00977093"/>
    <w:rsid w:val="00977E12"/>
    <w:rsid w:val="00981F14"/>
    <w:rsid w:val="00983A1F"/>
    <w:rsid w:val="00983E57"/>
    <w:rsid w:val="00983EEA"/>
    <w:rsid w:val="00984631"/>
    <w:rsid w:val="0098482D"/>
    <w:rsid w:val="0098675D"/>
    <w:rsid w:val="00986BEA"/>
    <w:rsid w:val="00987E48"/>
    <w:rsid w:val="0099029D"/>
    <w:rsid w:val="009908F5"/>
    <w:rsid w:val="00990B37"/>
    <w:rsid w:val="00991666"/>
    <w:rsid w:val="00991AA9"/>
    <w:rsid w:val="00993C31"/>
    <w:rsid w:val="00993E18"/>
    <w:rsid w:val="009948F3"/>
    <w:rsid w:val="00994B91"/>
    <w:rsid w:val="00995867"/>
    <w:rsid w:val="00995B03"/>
    <w:rsid w:val="00996056"/>
    <w:rsid w:val="00996861"/>
    <w:rsid w:val="00996B1A"/>
    <w:rsid w:val="0099725D"/>
    <w:rsid w:val="009A1208"/>
    <w:rsid w:val="009A1E24"/>
    <w:rsid w:val="009A2892"/>
    <w:rsid w:val="009A315E"/>
    <w:rsid w:val="009A3B75"/>
    <w:rsid w:val="009A40A8"/>
    <w:rsid w:val="009A6726"/>
    <w:rsid w:val="009A6805"/>
    <w:rsid w:val="009A7A12"/>
    <w:rsid w:val="009A7F10"/>
    <w:rsid w:val="009B020D"/>
    <w:rsid w:val="009B06E7"/>
    <w:rsid w:val="009B0A9F"/>
    <w:rsid w:val="009B0C93"/>
    <w:rsid w:val="009B1426"/>
    <w:rsid w:val="009B1E63"/>
    <w:rsid w:val="009B2AB4"/>
    <w:rsid w:val="009B2BCF"/>
    <w:rsid w:val="009B3E26"/>
    <w:rsid w:val="009B5FFB"/>
    <w:rsid w:val="009B7320"/>
    <w:rsid w:val="009C050D"/>
    <w:rsid w:val="009C0B27"/>
    <w:rsid w:val="009C1068"/>
    <w:rsid w:val="009C15A3"/>
    <w:rsid w:val="009C240B"/>
    <w:rsid w:val="009C2C73"/>
    <w:rsid w:val="009C485D"/>
    <w:rsid w:val="009C4C40"/>
    <w:rsid w:val="009C51F5"/>
    <w:rsid w:val="009C6CEA"/>
    <w:rsid w:val="009C7383"/>
    <w:rsid w:val="009C7B85"/>
    <w:rsid w:val="009D0879"/>
    <w:rsid w:val="009D088C"/>
    <w:rsid w:val="009D1F58"/>
    <w:rsid w:val="009D34D8"/>
    <w:rsid w:val="009D38F8"/>
    <w:rsid w:val="009D4F56"/>
    <w:rsid w:val="009D5B91"/>
    <w:rsid w:val="009D6101"/>
    <w:rsid w:val="009D6331"/>
    <w:rsid w:val="009D69C1"/>
    <w:rsid w:val="009D792E"/>
    <w:rsid w:val="009E059E"/>
    <w:rsid w:val="009E05C3"/>
    <w:rsid w:val="009E085A"/>
    <w:rsid w:val="009E0DFE"/>
    <w:rsid w:val="009E274A"/>
    <w:rsid w:val="009E4C07"/>
    <w:rsid w:val="009E5CD5"/>
    <w:rsid w:val="009E749D"/>
    <w:rsid w:val="009E7909"/>
    <w:rsid w:val="009E7A06"/>
    <w:rsid w:val="009E7E40"/>
    <w:rsid w:val="009F0661"/>
    <w:rsid w:val="009F2FBA"/>
    <w:rsid w:val="009F4093"/>
    <w:rsid w:val="009F4566"/>
    <w:rsid w:val="009F6559"/>
    <w:rsid w:val="009F67A3"/>
    <w:rsid w:val="009F6FBE"/>
    <w:rsid w:val="009F7413"/>
    <w:rsid w:val="009F7A28"/>
    <w:rsid w:val="00A00B49"/>
    <w:rsid w:val="00A00D8C"/>
    <w:rsid w:val="00A01142"/>
    <w:rsid w:val="00A01184"/>
    <w:rsid w:val="00A01A6E"/>
    <w:rsid w:val="00A02706"/>
    <w:rsid w:val="00A02ACE"/>
    <w:rsid w:val="00A03052"/>
    <w:rsid w:val="00A030E3"/>
    <w:rsid w:val="00A038E6"/>
    <w:rsid w:val="00A03D43"/>
    <w:rsid w:val="00A03DAA"/>
    <w:rsid w:val="00A04380"/>
    <w:rsid w:val="00A0438B"/>
    <w:rsid w:val="00A051E5"/>
    <w:rsid w:val="00A06D56"/>
    <w:rsid w:val="00A07B23"/>
    <w:rsid w:val="00A104E5"/>
    <w:rsid w:val="00A1113B"/>
    <w:rsid w:val="00A113FE"/>
    <w:rsid w:val="00A11CD0"/>
    <w:rsid w:val="00A1274B"/>
    <w:rsid w:val="00A12BBC"/>
    <w:rsid w:val="00A12FDA"/>
    <w:rsid w:val="00A13948"/>
    <w:rsid w:val="00A13D11"/>
    <w:rsid w:val="00A1555B"/>
    <w:rsid w:val="00A155C5"/>
    <w:rsid w:val="00A15772"/>
    <w:rsid w:val="00A16709"/>
    <w:rsid w:val="00A16749"/>
    <w:rsid w:val="00A168F1"/>
    <w:rsid w:val="00A16AD8"/>
    <w:rsid w:val="00A16CA5"/>
    <w:rsid w:val="00A16CC0"/>
    <w:rsid w:val="00A17ACC"/>
    <w:rsid w:val="00A2096D"/>
    <w:rsid w:val="00A21C84"/>
    <w:rsid w:val="00A21CF3"/>
    <w:rsid w:val="00A220BC"/>
    <w:rsid w:val="00A222CF"/>
    <w:rsid w:val="00A22738"/>
    <w:rsid w:val="00A23768"/>
    <w:rsid w:val="00A240F5"/>
    <w:rsid w:val="00A247DD"/>
    <w:rsid w:val="00A252B0"/>
    <w:rsid w:val="00A26F4B"/>
    <w:rsid w:val="00A2709C"/>
    <w:rsid w:val="00A270C0"/>
    <w:rsid w:val="00A27AEC"/>
    <w:rsid w:val="00A27BBE"/>
    <w:rsid w:val="00A320DB"/>
    <w:rsid w:val="00A321D3"/>
    <w:rsid w:val="00A32578"/>
    <w:rsid w:val="00A32A4B"/>
    <w:rsid w:val="00A32B4D"/>
    <w:rsid w:val="00A33039"/>
    <w:rsid w:val="00A33E0C"/>
    <w:rsid w:val="00A34EC5"/>
    <w:rsid w:val="00A35735"/>
    <w:rsid w:val="00A3599B"/>
    <w:rsid w:val="00A35D16"/>
    <w:rsid w:val="00A35D20"/>
    <w:rsid w:val="00A35D61"/>
    <w:rsid w:val="00A373A6"/>
    <w:rsid w:val="00A378D9"/>
    <w:rsid w:val="00A37BCD"/>
    <w:rsid w:val="00A37D43"/>
    <w:rsid w:val="00A40932"/>
    <w:rsid w:val="00A4135A"/>
    <w:rsid w:val="00A4162D"/>
    <w:rsid w:val="00A4173C"/>
    <w:rsid w:val="00A41AE9"/>
    <w:rsid w:val="00A41E3A"/>
    <w:rsid w:val="00A42AAC"/>
    <w:rsid w:val="00A43912"/>
    <w:rsid w:val="00A43C59"/>
    <w:rsid w:val="00A44D9B"/>
    <w:rsid w:val="00A44E24"/>
    <w:rsid w:val="00A45B0F"/>
    <w:rsid w:val="00A4645F"/>
    <w:rsid w:val="00A4702F"/>
    <w:rsid w:val="00A47A13"/>
    <w:rsid w:val="00A50ECD"/>
    <w:rsid w:val="00A518F3"/>
    <w:rsid w:val="00A52729"/>
    <w:rsid w:val="00A5290A"/>
    <w:rsid w:val="00A53675"/>
    <w:rsid w:val="00A5491C"/>
    <w:rsid w:val="00A54FC7"/>
    <w:rsid w:val="00A564D7"/>
    <w:rsid w:val="00A56B6A"/>
    <w:rsid w:val="00A578DC"/>
    <w:rsid w:val="00A60D62"/>
    <w:rsid w:val="00A612B1"/>
    <w:rsid w:val="00A6255C"/>
    <w:rsid w:val="00A6319C"/>
    <w:rsid w:val="00A63B23"/>
    <w:rsid w:val="00A6576A"/>
    <w:rsid w:val="00A66826"/>
    <w:rsid w:val="00A66C9F"/>
    <w:rsid w:val="00A6725B"/>
    <w:rsid w:val="00A67C6D"/>
    <w:rsid w:val="00A67F5F"/>
    <w:rsid w:val="00A70605"/>
    <w:rsid w:val="00A706B7"/>
    <w:rsid w:val="00A71687"/>
    <w:rsid w:val="00A7184E"/>
    <w:rsid w:val="00A72103"/>
    <w:rsid w:val="00A72365"/>
    <w:rsid w:val="00A72989"/>
    <w:rsid w:val="00A73134"/>
    <w:rsid w:val="00A73B2B"/>
    <w:rsid w:val="00A74EC1"/>
    <w:rsid w:val="00A7521E"/>
    <w:rsid w:val="00A75DA5"/>
    <w:rsid w:val="00A75E96"/>
    <w:rsid w:val="00A777B2"/>
    <w:rsid w:val="00A77AD3"/>
    <w:rsid w:val="00A77E25"/>
    <w:rsid w:val="00A77E82"/>
    <w:rsid w:val="00A8052F"/>
    <w:rsid w:val="00A81767"/>
    <w:rsid w:val="00A818E6"/>
    <w:rsid w:val="00A81DF5"/>
    <w:rsid w:val="00A8336F"/>
    <w:rsid w:val="00A83802"/>
    <w:rsid w:val="00A8447F"/>
    <w:rsid w:val="00A86922"/>
    <w:rsid w:val="00A86CE9"/>
    <w:rsid w:val="00A86E8B"/>
    <w:rsid w:val="00A87164"/>
    <w:rsid w:val="00A90B44"/>
    <w:rsid w:val="00A923B7"/>
    <w:rsid w:val="00A92436"/>
    <w:rsid w:val="00A92797"/>
    <w:rsid w:val="00A93072"/>
    <w:rsid w:val="00A93953"/>
    <w:rsid w:val="00A93B34"/>
    <w:rsid w:val="00A93BA5"/>
    <w:rsid w:val="00A941F5"/>
    <w:rsid w:val="00A95824"/>
    <w:rsid w:val="00A959D8"/>
    <w:rsid w:val="00A97946"/>
    <w:rsid w:val="00AA113D"/>
    <w:rsid w:val="00AA1C14"/>
    <w:rsid w:val="00AA2132"/>
    <w:rsid w:val="00AA57E5"/>
    <w:rsid w:val="00AA6C7D"/>
    <w:rsid w:val="00AA7DF9"/>
    <w:rsid w:val="00AA7FD6"/>
    <w:rsid w:val="00AB01BA"/>
    <w:rsid w:val="00AB042A"/>
    <w:rsid w:val="00AB0476"/>
    <w:rsid w:val="00AB05A7"/>
    <w:rsid w:val="00AB0726"/>
    <w:rsid w:val="00AB0EAA"/>
    <w:rsid w:val="00AB1DB1"/>
    <w:rsid w:val="00AB2221"/>
    <w:rsid w:val="00AB2766"/>
    <w:rsid w:val="00AB2D34"/>
    <w:rsid w:val="00AB3185"/>
    <w:rsid w:val="00AB3430"/>
    <w:rsid w:val="00AB4AD1"/>
    <w:rsid w:val="00AB4D1B"/>
    <w:rsid w:val="00AB4E2E"/>
    <w:rsid w:val="00AB4EA8"/>
    <w:rsid w:val="00AB5354"/>
    <w:rsid w:val="00AB5BD2"/>
    <w:rsid w:val="00AB6021"/>
    <w:rsid w:val="00AB6175"/>
    <w:rsid w:val="00AB7976"/>
    <w:rsid w:val="00AB7CFA"/>
    <w:rsid w:val="00AC0478"/>
    <w:rsid w:val="00AC06A9"/>
    <w:rsid w:val="00AC0A01"/>
    <w:rsid w:val="00AC123E"/>
    <w:rsid w:val="00AC277C"/>
    <w:rsid w:val="00AC2A24"/>
    <w:rsid w:val="00AC3908"/>
    <w:rsid w:val="00AC3E66"/>
    <w:rsid w:val="00AC4836"/>
    <w:rsid w:val="00AC562B"/>
    <w:rsid w:val="00AC5B48"/>
    <w:rsid w:val="00AC69BA"/>
    <w:rsid w:val="00AC7A16"/>
    <w:rsid w:val="00AC7D94"/>
    <w:rsid w:val="00AD0B88"/>
    <w:rsid w:val="00AD13C7"/>
    <w:rsid w:val="00AD18E4"/>
    <w:rsid w:val="00AD2184"/>
    <w:rsid w:val="00AD27CC"/>
    <w:rsid w:val="00AD298C"/>
    <w:rsid w:val="00AD3089"/>
    <w:rsid w:val="00AD4763"/>
    <w:rsid w:val="00AD6502"/>
    <w:rsid w:val="00AD6F31"/>
    <w:rsid w:val="00AD792F"/>
    <w:rsid w:val="00AE0302"/>
    <w:rsid w:val="00AE0C8D"/>
    <w:rsid w:val="00AE15CB"/>
    <w:rsid w:val="00AE3131"/>
    <w:rsid w:val="00AE3162"/>
    <w:rsid w:val="00AE45C3"/>
    <w:rsid w:val="00AE5685"/>
    <w:rsid w:val="00AE69EB"/>
    <w:rsid w:val="00AE778F"/>
    <w:rsid w:val="00AE7AA7"/>
    <w:rsid w:val="00AF0115"/>
    <w:rsid w:val="00AF1315"/>
    <w:rsid w:val="00AF19BF"/>
    <w:rsid w:val="00AF2610"/>
    <w:rsid w:val="00AF2DC3"/>
    <w:rsid w:val="00AF2FA3"/>
    <w:rsid w:val="00AF3343"/>
    <w:rsid w:val="00AF3ADF"/>
    <w:rsid w:val="00AF4460"/>
    <w:rsid w:val="00AF46AC"/>
    <w:rsid w:val="00AF50E9"/>
    <w:rsid w:val="00AF5A79"/>
    <w:rsid w:val="00AF5BEC"/>
    <w:rsid w:val="00AF6572"/>
    <w:rsid w:val="00AF7A2A"/>
    <w:rsid w:val="00B00D2F"/>
    <w:rsid w:val="00B011BE"/>
    <w:rsid w:val="00B018B7"/>
    <w:rsid w:val="00B01920"/>
    <w:rsid w:val="00B02282"/>
    <w:rsid w:val="00B033E5"/>
    <w:rsid w:val="00B03A63"/>
    <w:rsid w:val="00B05793"/>
    <w:rsid w:val="00B06255"/>
    <w:rsid w:val="00B11434"/>
    <w:rsid w:val="00B11A95"/>
    <w:rsid w:val="00B144FA"/>
    <w:rsid w:val="00B177B4"/>
    <w:rsid w:val="00B201A4"/>
    <w:rsid w:val="00B2085A"/>
    <w:rsid w:val="00B213A6"/>
    <w:rsid w:val="00B226BC"/>
    <w:rsid w:val="00B22C17"/>
    <w:rsid w:val="00B2328B"/>
    <w:rsid w:val="00B23B5A"/>
    <w:rsid w:val="00B23F0F"/>
    <w:rsid w:val="00B245A2"/>
    <w:rsid w:val="00B24636"/>
    <w:rsid w:val="00B24DF6"/>
    <w:rsid w:val="00B2514E"/>
    <w:rsid w:val="00B25B49"/>
    <w:rsid w:val="00B25FB2"/>
    <w:rsid w:val="00B25FC6"/>
    <w:rsid w:val="00B30963"/>
    <w:rsid w:val="00B3194E"/>
    <w:rsid w:val="00B320E6"/>
    <w:rsid w:val="00B323FD"/>
    <w:rsid w:val="00B32AEC"/>
    <w:rsid w:val="00B34D47"/>
    <w:rsid w:val="00B34FE2"/>
    <w:rsid w:val="00B357D8"/>
    <w:rsid w:val="00B359E6"/>
    <w:rsid w:val="00B37BFC"/>
    <w:rsid w:val="00B37FC1"/>
    <w:rsid w:val="00B40358"/>
    <w:rsid w:val="00B41072"/>
    <w:rsid w:val="00B41305"/>
    <w:rsid w:val="00B4139A"/>
    <w:rsid w:val="00B41614"/>
    <w:rsid w:val="00B42116"/>
    <w:rsid w:val="00B42668"/>
    <w:rsid w:val="00B42851"/>
    <w:rsid w:val="00B42DC9"/>
    <w:rsid w:val="00B42F80"/>
    <w:rsid w:val="00B431EF"/>
    <w:rsid w:val="00B435CB"/>
    <w:rsid w:val="00B44906"/>
    <w:rsid w:val="00B44E38"/>
    <w:rsid w:val="00B45CBF"/>
    <w:rsid w:val="00B45EA5"/>
    <w:rsid w:val="00B46F51"/>
    <w:rsid w:val="00B47871"/>
    <w:rsid w:val="00B47D7D"/>
    <w:rsid w:val="00B47EE0"/>
    <w:rsid w:val="00B50DB8"/>
    <w:rsid w:val="00B513A4"/>
    <w:rsid w:val="00B52611"/>
    <w:rsid w:val="00B52934"/>
    <w:rsid w:val="00B53347"/>
    <w:rsid w:val="00B534F6"/>
    <w:rsid w:val="00B53654"/>
    <w:rsid w:val="00B53905"/>
    <w:rsid w:val="00B53D12"/>
    <w:rsid w:val="00B53E50"/>
    <w:rsid w:val="00B54B5B"/>
    <w:rsid w:val="00B5562E"/>
    <w:rsid w:val="00B56559"/>
    <w:rsid w:val="00B56693"/>
    <w:rsid w:val="00B57000"/>
    <w:rsid w:val="00B60149"/>
    <w:rsid w:val="00B60292"/>
    <w:rsid w:val="00B60939"/>
    <w:rsid w:val="00B60A9E"/>
    <w:rsid w:val="00B60AFD"/>
    <w:rsid w:val="00B60EFD"/>
    <w:rsid w:val="00B61791"/>
    <w:rsid w:val="00B61921"/>
    <w:rsid w:val="00B62715"/>
    <w:rsid w:val="00B630DF"/>
    <w:rsid w:val="00B6345D"/>
    <w:rsid w:val="00B63694"/>
    <w:rsid w:val="00B63EE7"/>
    <w:rsid w:val="00B640DD"/>
    <w:rsid w:val="00B64496"/>
    <w:rsid w:val="00B660F5"/>
    <w:rsid w:val="00B6680E"/>
    <w:rsid w:val="00B71B58"/>
    <w:rsid w:val="00B74651"/>
    <w:rsid w:val="00B75EFD"/>
    <w:rsid w:val="00B76174"/>
    <w:rsid w:val="00B773A9"/>
    <w:rsid w:val="00B802F0"/>
    <w:rsid w:val="00B802F8"/>
    <w:rsid w:val="00B80301"/>
    <w:rsid w:val="00B803EE"/>
    <w:rsid w:val="00B818A4"/>
    <w:rsid w:val="00B81F7D"/>
    <w:rsid w:val="00B82A1F"/>
    <w:rsid w:val="00B83D7E"/>
    <w:rsid w:val="00B84117"/>
    <w:rsid w:val="00B84F2B"/>
    <w:rsid w:val="00B85AA2"/>
    <w:rsid w:val="00B85CB1"/>
    <w:rsid w:val="00B85DE8"/>
    <w:rsid w:val="00B85EA9"/>
    <w:rsid w:val="00B8649C"/>
    <w:rsid w:val="00B867DA"/>
    <w:rsid w:val="00B87F0A"/>
    <w:rsid w:val="00B905E9"/>
    <w:rsid w:val="00B90EE5"/>
    <w:rsid w:val="00B91515"/>
    <w:rsid w:val="00B92A65"/>
    <w:rsid w:val="00B92D0B"/>
    <w:rsid w:val="00B92ECC"/>
    <w:rsid w:val="00B92FAE"/>
    <w:rsid w:val="00B93434"/>
    <w:rsid w:val="00B94852"/>
    <w:rsid w:val="00B94936"/>
    <w:rsid w:val="00B94945"/>
    <w:rsid w:val="00B94B0D"/>
    <w:rsid w:val="00B9565C"/>
    <w:rsid w:val="00B96040"/>
    <w:rsid w:val="00B9613A"/>
    <w:rsid w:val="00B971E3"/>
    <w:rsid w:val="00B9733F"/>
    <w:rsid w:val="00B977CF"/>
    <w:rsid w:val="00BA0159"/>
    <w:rsid w:val="00BA0429"/>
    <w:rsid w:val="00BA0F50"/>
    <w:rsid w:val="00BA2816"/>
    <w:rsid w:val="00BA322D"/>
    <w:rsid w:val="00BA32A7"/>
    <w:rsid w:val="00BA33BA"/>
    <w:rsid w:val="00BA3AA9"/>
    <w:rsid w:val="00BA48FE"/>
    <w:rsid w:val="00BA64FF"/>
    <w:rsid w:val="00BA70D8"/>
    <w:rsid w:val="00BA7908"/>
    <w:rsid w:val="00BB0655"/>
    <w:rsid w:val="00BB0BDD"/>
    <w:rsid w:val="00BB1247"/>
    <w:rsid w:val="00BB14DD"/>
    <w:rsid w:val="00BB1E3F"/>
    <w:rsid w:val="00BB2221"/>
    <w:rsid w:val="00BB2349"/>
    <w:rsid w:val="00BB2A73"/>
    <w:rsid w:val="00BB3409"/>
    <w:rsid w:val="00BB3F34"/>
    <w:rsid w:val="00BB4ACC"/>
    <w:rsid w:val="00BB4F10"/>
    <w:rsid w:val="00BB51C0"/>
    <w:rsid w:val="00BB6BD2"/>
    <w:rsid w:val="00BB703E"/>
    <w:rsid w:val="00BB7405"/>
    <w:rsid w:val="00BB7788"/>
    <w:rsid w:val="00BB7AE5"/>
    <w:rsid w:val="00BC0303"/>
    <w:rsid w:val="00BC2103"/>
    <w:rsid w:val="00BC2C6B"/>
    <w:rsid w:val="00BC2CD5"/>
    <w:rsid w:val="00BC2F56"/>
    <w:rsid w:val="00BC3631"/>
    <w:rsid w:val="00BC3DDF"/>
    <w:rsid w:val="00BC4302"/>
    <w:rsid w:val="00BC4AF8"/>
    <w:rsid w:val="00BC4B05"/>
    <w:rsid w:val="00BC52A0"/>
    <w:rsid w:val="00BC694A"/>
    <w:rsid w:val="00BC759F"/>
    <w:rsid w:val="00BC771C"/>
    <w:rsid w:val="00BC7E99"/>
    <w:rsid w:val="00BD4E60"/>
    <w:rsid w:val="00BD4ED6"/>
    <w:rsid w:val="00BD51FB"/>
    <w:rsid w:val="00BD66C1"/>
    <w:rsid w:val="00BD66E1"/>
    <w:rsid w:val="00BD68A3"/>
    <w:rsid w:val="00BD6938"/>
    <w:rsid w:val="00BD6CF3"/>
    <w:rsid w:val="00BD7019"/>
    <w:rsid w:val="00BD7AB8"/>
    <w:rsid w:val="00BE00BE"/>
    <w:rsid w:val="00BE0CD7"/>
    <w:rsid w:val="00BE1A1D"/>
    <w:rsid w:val="00BE2180"/>
    <w:rsid w:val="00BE21F2"/>
    <w:rsid w:val="00BE3F21"/>
    <w:rsid w:val="00BE4275"/>
    <w:rsid w:val="00BE4311"/>
    <w:rsid w:val="00BE4349"/>
    <w:rsid w:val="00BE634D"/>
    <w:rsid w:val="00BE79BE"/>
    <w:rsid w:val="00BF08A7"/>
    <w:rsid w:val="00BF0F52"/>
    <w:rsid w:val="00BF0F95"/>
    <w:rsid w:val="00BF1A55"/>
    <w:rsid w:val="00BF2433"/>
    <w:rsid w:val="00BF34C8"/>
    <w:rsid w:val="00BF3FA0"/>
    <w:rsid w:val="00BF4D23"/>
    <w:rsid w:val="00BF61C9"/>
    <w:rsid w:val="00BF6C94"/>
    <w:rsid w:val="00C00424"/>
    <w:rsid w:val="00C00577"/>
    <w:rsid w:val="00C01803"/>
    <w:rsid w:val="00C023F4"/>
    <w:rsid w:val="00C03B85"/>
    <w:rsid w:val="00C04742"/>
    <w:rsid w:val="00C04ED6"/>
    <w:rsid w:val="00C06D14"/>
    <w:rsid w:val="00C06D17"/>
    <w:rsid w:val="00C06D8E"/>
    <w:rsid w:val="00C070CB"/>
    <w:rsid w:val="00C10088"/>
    <w:rsid w:val="00C10A1C"/>
    <w:rsid w:val="00C10C3F"/>
    <w:rsid w:val="00C10CDC"/>
    <w:rsid w:val="00C119A1"/>
    <w:rsid w:val="00C12640"/>
    <w:rsid w:val="00C12650"/>
    <w:rsid w:val="00C12C14"/>
    <w:rsid w:val="00C15C9B"/>
    <w:rsid w:val="00C15CDD"/>
    <w:rsid w:val="00C16529"/>
    <w:rsid w:val="00C17638"/>
    <w:rsid w:val="00C17ED9"/>
    <w:rsid w:val="00C200AA"/>
    <w:rsid w:val="00C20A6B"/>
    <w:rsid w:val="00C20AD2"/>
    <w:rsid w:val="00C210FD"/>
    <w:rsid w:val="00C21555"/>
    <w:rsid w:val="00C22715"/>
    <w:rsid w:val="00C237ED"/>
    <w:rsid w:val="00C23E81"/>
    <w:rsid w:val="00C24632"/>
    <w:rsid w:val="00C24D3C"/>
    <w:rsid w:val="00C25418"/>
    <w:rsid w:val="00C256B9"/>
    <w:rsid w:val="00C25A34"/>
    <w:rsid w:val="00C25D9C"/>
    <w:rsid w:val="00C262E0"/>
    <w:rsid w:val="00C26536"/>
    <w:rsid w:val="00C26A82"/>
    <w:rsid w:val="00C2778B"/>
    <w:rsid w:val="00C2784B"/>
    <w:rsid w:val="00C3128B"/>
    <w:rsid w:val="00C31649"/>
    <w:rsid w:val="00C31DD1"/>
    <w:rsid w:val="00C32B60"/>
    <w:rsid w:val="00C3343B"/>
    <w:rsid w:val="00C34200"/>
    <w:rsid w:val="00C342E7"/>
    <w:rsid w:val="00C35B51"/>
    <w:rsid w:val="00C35C02"/>
    <w:rsid w:val="00C35F45"/>
    <w:rsid w:val="00C40385"/>
    <w:rsid w:val="00C40704"/>
    <w:rsid w:val="00C419F1"/>
    <w:rsid w:val="00C42B44"/>
    <w:rsid w:val="00C446CB"/>
    <w:rsid w:val="00C44C09"/>
    <w:rsid w:val="00C44C8F"/>
    <w:rsid w:val="00C45034"/>
    <w:rsid w:val="00C475AA"/>
    <w:rsid w:val="00C500FF"/>
    <w:rsid w:val="00C50814"/>
    <w:rsid w:val="00C51737"/>
    <w:rsid w:val="00C51818"/>
    <w:rsid w:val="00C52233"/>
    <w:rsid w:val="00C527B3"/>
    <w:rsid w:val="00C52D9A"/>
    <w:rsid w:val="00C5314E"/>
    <w:rsid w:val="00C54565"/>
    <w:rsid w:val="00C54878"/>
    <w:rsid w:val="00C5698E"/>
    <w:rsid w:val="00C604E7"/>
    <w:rsid w:val="00C62640"/>
    <w:rsid w:val="00C6341E"/>
    <w:rsid w:val="00C64E86"/>
    <w:rsid w:val="00C65576"/>
    <w:rsid w:val="00C6570E"/>
    <w:rsid w:val="00C66165"/>
    <w:rsid w:val="00C66A85"/>
    <w:rsid w:val="00C66C52"/>
    <w:rsid w:val="00C67D00"/>
    <w:rsid w:val="00C7151A"/>
    <w:rsid w:val="00C71B1F"/>
    <w:rsid w:val="00C71F60"/>
    <w:rsid w:val="00C7216F"/>
    <w:rsid w:val="00C72241"/>
    <w:rsid w:val="00C7448F"/>
    <w:rsid w:val="00C750C8"/>
    <w:rsid w:val="00C7560F"/>
    <w:rsid w:val="00C75790"/>
    <w:rsid w:val="00C75902"/>
    <w:rsid w:val="00C76C3A"/>
    <w:rsid w:val="00C76DA2"/>
    <w:rsid w:val="00C8038F"/>
    <w:rsid w:val="00C80A0E"/>
    <w:rsid w:val="00C80B49"/>
    <w:rsid w:val="00C81EB8"/>
    <w:rsid w:val="00C8213F"/>
    <w:rsid w:val="00C8230B"/>
    <w:rsid w:val="00C82A13"/>
    <w:rsid w:val="00C84211"/>
    <w:rsid w:val="00C858C2"/>
    <w:rsid w:val="00C85AD6"/>
    <w:rsid w:val="00C86629"/>
    <w:rsid w:val="00C869CD"/>
    <w:rsid w:val="00C8797A"/>
    <w:rsid w:val="00C87B92"/>
    <w:rsid w:val="00C900B8"/>
    <w:rsid w:val="00C90C71"/>
    <w:rsid w:val="00C914A1"/>
    <w:rsid w:val="00C91850"/>
    <w:rsid w:val="00C931CF"/>
    <w:rsid w:val="00C938CF"/>
    <w:rsid w:val="00C952DF"/>
    <w:rsid w:val="00C9552A"/>
    <w:rsid w:val="00C95757"/>
    <w:rsid w:val="00C9622E"/>
    <w:rsid w:val="00C9624D"/>
    <w:rsid w:val="00C96343"/>
    <w:rsid w:val="00C969DA"/>
    <w:rsid w:val="00C97663"/>
    <w:rsid w:val="00CA07E3"/>
    <w:rsid w:val="00CA2160"/>
    <w:rsid w:val="00CA2C77"/>
    <w:rsid w:val="00CA368A"/>
    <w:rsid w:val="00CA395E"/>
    <w:rsid w:val="00CA3E1F"/>
    <w:rsid w:val="00CA444F"/>
    <w:rsid w:val="00CA5245"/>
    <w:rsid w:val="00CA595A"/>
    <w:rsid w:val="00CA6509"/>
    <w:rsid w:val="00CA6810"/>
    <w:rsid w:val="00CA71F4"/>
    <w:rsid w:val="00CA7A88"/>
    <w:rsid w:val="00CA7B09"/>
    <w:rsid w:val="00CB0141"/>
    <w:rsid w:val="00CB0451"/>
    <w:rsid w:val="00CB16AE"/>
    <w:rsid w:val="00CB2F2A"/>
    <w:rsid w:val="00CB3C3C"/>
    <w:rsid w:val="00CB53A4"/>
    <w:rsid w:val="00CB57FE"/>
    <w:rsid w:val="00CB5B1A"/>
    <w:rsid w:val="00CB6B22"/>
    <w:rsid w:val="00CB7F5F"/>
    <w:rsid w:val="00CC0237"/>
    <w:rsid w:val="00CC02C3"/>
    <w:rsid w:val="00CC1392"/>
    <w:rsid w:val="00CC1B39"/>
    <w:rsid w:val="00CC22E4"/>
    <w:rsid w:val="00CC3051"/>
    <w:rsid w:val="00CC335F"/>
    <w:rsid w:val="00CC35D0"/>
    <w:rsid w:val="00CC65F1"/>
    <w:rsid w:val="00CD05AA"/>
    <w:rsid w:val="00CD0DBC"/>
    <w:rsid w:val="00CD2282"/>
    <w:rsid w:val="00CD2389"/>
    <w:rsid w:val="00CD27B2"/>
    <w:rsid w:val="00CD2CCF"/>
    <w:rsid w:val="00CD2E21"/>
    <w:rsid w:val="00CD49F3"/>
    <w:rsid w:val="00CD4B9F"/>
    <w:rsid w:val="00CD5A9A"/>
    <w:rsid w:val="00CD6ADC"/>
    <w:rsid w:val="00CD6EB9"/>
    <w:rsid w:val="00CD7149"/>
    <w:rsid w:val="00CD73CB"/>
    <w:rsid w:val="00CD772E"/>
    <w:rsid w:val="00CD77AA"/>
    <w:rsid w:val="00CD794C"/>
    <w:rsid w:val="00CE00D6"/>
    <w:rsid w:val="00CE04A5"/>
    <w:rsid w:val="00CE084F"/>
    <w:rsid w:val="00CE0A3C"/>
    <w:rsid w:val="00CE1317"/>
    <w:rsid w:val="00CE1710"/>
    <w:rsid w:val="00CE18AB"/>
    <w:rsid w:val="00CE3CB1"/>
    <w:rsid w:val="00CE57C5"/>
    <w:rsid w:val="00CE6274"/>
    <w:rsid w:val="00CE7A0D"/>
    <w:rsid w:val="00CF0F96"/>
    <w:rsid w:val="00CF18AE"/>
    <w:rsid w:val="00CF2849"/>
    <w:rsid w:val="00CF2ADB"/>
    <w:rsid w:val="00CF2B8D"/>
    <w:rsid w:val="00CF3B2B"/>
    <w:rsid w:val="00CF3ED9"/>
    <w:rsid w:val="00CF456B"/>
    <w:rsid w:val="00CF4AA1"/>
    <w:rsid w:val="00CF5A22"/>
    <w:rsid w:val="00CF5B74"/>
    <w:rsid w:val="00CF5C06"/>
    <w:rsid w:val="00CF6BA2"/>
    <w:rsid w:val="00CF6D62"/>
    <w:rsid w:val="00CF7624"/>
    <w:rsid w:val="00D00370"/>
    <w:rsid w:val="00D00F5F"/>
    <w:rsid w:val="00D02126"/>
    <w:rsid w:val="00D0221E"/>
    <w:rsid w:val="00D0262E"/>
    <w:rsid w:val="00D028CE"/>
    <w:rsid w:val="00D03156"/>
    <w:rsid w:val="00D04858"/>
    <w:rsid w:val="00D050D5"/>
    <w:rsid w:val="00D07171"/>
    <w:rsid w:val="00D07A38"/>
    <w:rsid w:val="00D07BB9"/>
    <w:rsid w:val="00D100CD"/>
    <w:rsid w:val="00D102E5"/>
    <w:rsid w:val="00D103FF"/>
    <w:rsid w:val="00D110BD"/>
    <w:rsid w:val="00D117EE"/>
    <w:rsid w:val="00D11B30"/>
    <w:rsid w:val="00D13675"/>
    <w:rsid w:val="00D141E1"/>
    <w:rsid w:val="00D142E3"/>
    <w:rsid w:val="00D143C0"/>
    <w:rsid w:val="00D14C65"/>
    <w:rsid w:val="00D15FD1"/>
    <w:rsid w:val="00D164C4"/>
    <w:rsid w:val="00D17231"/>
    <w:rsid w:val="00D17A7D"/>
    <w:rsid w:val="00D17C39"/>
    <w:rsid w:val="00D17D6C"/>
    <w:rsid w:val="00D20DFC"/>
    <w:rsid w:val="00D21224"/>
    <w:rsid w:val="00D2164E"/>
    <w:rsid w:val="00D21C46"/>
    <w:rsid w:val="00D22431"/>
    <w:rsid w:val="00D2259F"/>
    <w:rsid w:val="00D22CA4"/>
    <w:rsid w:val="00D231CF"/>
    <w:rsid w:val="00D2480F"/>
    <w:rsid w:val="00D253E5"/>
    <w:rsid w:val="00D27124"/>
    <w:rsid w:val="00D2754D"/>
    <w:rsid w:val="00D27B27"/>
    <w:rsid w:val="00D33030"/>
    <w:rsid w:val="00D3330F"/>
    <w:rsid w:val="00D33BE9"/>
    <w:rsid w:val="00D33F9F"/>
    <w:rsid w:val="00D34A76"/>
    <w:rsid w:val="00D357FF"/>
    <w:rsid w:val="00D35D7C"/>
    <w:rsid w:val="00D36885"/>
    <w:rsid w:val="00D36E82"/>
    <w:rsid w:val="00D37045"/>
    <w:rsid w:val="00D406CE"/>
    <w:rsid w:val="00D41510"/>
    <w:rsid w:val="00D41B39"/>
    <w:rsid w:val="00D424C7"/>
    <w:rsid w:val="00D42A7F"/>
    <w:rsid w:val="00D43414"/>
    <w:rsid w:val="00D43665"/>
    <w:rsid w:val="00D43B2A"/>
    <w:rsid w:val="00D446EF"/>
    <w:rsid w:val="00D44EA7"/>
    <w:rsid w:val="00D45DDA"/>
    <w:rsid w:val="00D4656A"/>
    <w:rsid w:val="00D47575"/>
    <w:rsid w:val="00D513C5"/>
    <w:rsid w:val="00D51559"/>
    <w:rsid w:val="00D517E2"/>
    <w:rsid w:val="00D565E0"/>
    <w:rsid w:val="00D56C5C"/>
    <w:rsid w:val="00D56E36"/>
    <w:rsid w:val="00D57A65"/>
    <w:rsid w:val="00D57DE6"/>
    <w:rsid w:val="00D60283"/>
    <w:rsid w:val="00D60895"/>
    <w:rsid w:val="00D60A3D"/>
    <w:rsid w:val="00D61538"/>
    <w:rsid w:val="00D623F9"/>
    <w:rsid w:val="00D64212"/>
    <w:rsid w:val="00D64C49"/>
    <w:rsid w:val="00D660D5"/>
    <w:rsid w:val="00D664AC"/>
    <w:rsid w:val="00D67813"/>
    <w:rsid w:val="00D70EEF"/>
    <w:rsid w:val="00D70F16"/>
    <w:rsid w:val="00D7191A"/>
    <w:rsid w:val="00D745B8"/>
    <w:rsid w:val="00D7466F"/>
    <w:rsid w:val="00D74F30"/>
    <w:rsid w:val="00D751A3"/>
    <w:rsid w:val="00D76A44"/>
    <w:rsid w:val="00D77763"/>
    <w:rsid w:val="00D77893"/>
    <w:rsid w:val="00D77A65"/>
    <w:rsid w:val="00D8084A"/>
    <w:rsid w:val="00D81131"/>
    <w:rsid w:val="00D81436"/>
    <w:rsid w:val="00D8144B"/>
    <w:rsid w:val="00D815EF"/>
    <w:rsid w:val="00D81815"/>
    <w:rsid w:val="00D819D5"/>
    <w:rsid w:val="00D825FF"/>
    <w:rsid w:val="00D8273D"/>
    <w:rsid w:val="00D82C65"/>
    <w:rsid w:val="00D8308D"/>
    <w:rsid w:val="00D84613"/>
    <w:rsid w:val="00D84CA7"/>
    <w:rsid w:val="00D86A2D"/>
    <w:rsid w:val="00D86D38"/>
    <w:rsid w:val="00D87A9A"/>
    <w:rsid w:val="00D87CEB"/>
    <w:rsid w:val="00D9045C"/>
    <w:rsid w:val="00D90FCA"/>
    <w:rsid w:val="00D91923"/>
    <w:rsid w:val="00D91B3A"/>
    <w:rsid w:val="00D91B8B"/>
    <w:rsid w:val="00D92179"/>
    <w:rsid w:val="00D92F7F"/>
    <w:rsid w:val="00D93753"/>
    <w:rsid w:val="00D9447A"/>
    <w:rsid w:val="00D956E9"/>
    <w:rsid w:val="00D96A5D"/>
    <w:rsid w:val="00D973DE"/>
    <w:rsid w:val="00D9789C"/>
    <w:rsid w:val="00D9797A"/>
    <w:rsid w:val="00D97FC6"/>
    <w:rsid w:val="00DA3167"/>
    <w:rsid w:val="00DA382B"/>
    <w:rsid w:val="00DA4140"/>
    <w:rsid w:val="00DA41E2"/>
    <w:rsid w:val="00DA4755"/>
    <w:rsid w:val="00DA4853"/>
    <w:rsid w:val="00DA48A5"/>
    <w:rsid w:val="00DA4DC3"/>
    <w:rsid w:val="00DA4F7E"/>
    <w:rsid w:val="00DA5CCE"/>
    <w:rsid w:val="00DA623E"/>
    <w:rsid w:val="00DA6F75"/>
    <w:rsid w:val="00DA715F"/>
    <w:rsid w:val="00DA77A5"/>
    <w:rsid w:val="00DA7BF6"/>
    <w:rsid w:val="00DB043B"/>
    <w:rsid w:val="00DB057F"/>
    <w:rsid w:val="00DB0D5A"/>
    <w:rsid w:val="00DB1310"/>
    <w:rsid w:val="00DB193E"/>
    <w:rsid w:val="00DB1FF0"/>
    <w:rsid w:val="00DB41DD"/>
    <w:rsid w:val="00DB42E8"/>
    <w:rsid w:val="00DB484F"/>
    <w:rsid w:val="00DB6377"/>
    <w:rsid w:val="00DB6B10"/>
    <w:rsid w:val="00DB6C87"/>
    <w:rsid w:val="00DB71B8"/>
    <w:rsid w:val="00DB7A07"/>
    <w:rsid w:val="00DB7E8C"/>
    <w:rsid w:val="00DC03FF"/>
    <w:rsid w:val="00DC04F6"/>
    <w:rsid w:val="00DC1168"/>
    <w:rsid w:val="00DC1FCD"/>
    <w:rsid w:val="00DC370F"/>
    <w:rsid w:val="00DC3C57"/>
    <w:rsid w:val="00DC49F0"/>
    <w:rsid w:val="00DC5501"/>
    <w:rsid w:val="00DC6016"/>
    <w:rsid w:val="00DC7348"/>
    <w:rsid w:val="00DD081D"/>
    <w:rsid w:val="00DD2237"/>
    <w:rsid w:val="00DD273C"/>
    <w:rsid w:val="00DD27D5"/>
    <w:rsid w:val="00DD2844"/>
    <w:rsid w:val="00DD344A"/>
    <w:rsid w:val="00DD382F"/>
    <w:rsid w:val="00DD3F28"/>
    <w:rsid w:val="00DD4537"/>
    <w:rsid w:val="00DD48A0"/>
    <w:rsid w:val="00DD4E15"/>
    <w:rsid w:val="00DE00A0"/>
    <w:rsid w:val="00DE0A07"/>
    <w:rsid w:val="00DE0C1E"/>
    <w:rsid w:val="00DE1395"/>
    <w:rsid w:val="00DE221E"/>
    <w:rsid w:val="00DE26CA"/>
    <w:rsid w:val="00DE3138"/>
    <w:rsid w:val="00DE3774"/>
    <w:rsid w:val="00DE37F8"/>
    <w:rsid w:val="00DE3A1A"/>
    <w:rsid w:val="00DE49D2"/>
    <w:rsid w:val="00DE4FCB"/>
    <w:rsid w:val="00DE691A"/>
    <w:rsid w:val="00DE7832"/>
    <w:rsid w:val="00DE7AAC"/>
    <w:rsid w:val="00DE7DD6"/>
    <w:rsid w:val="00DF02ED"/>
    <w:rsid w:val="00DF06E6"/>
    <w:rsid w:val="00DF096B"/>
    <w:rsid w:val="00DF101D"/>
    <w:rsid w:val="00DF18FC"/>
    <w:rsid w:val="00DF2B92"/>
    <w:rsid w:val="00DF334C"/>
    <w:rsid w:val="00DF3B1A"/>
    <w:rsid w:val="00DF4361"/>
    <w:rsid w:val="00DF4F45"/>
    <w:rsid w:val="00DF5669"/>
    <w:rsid w:val="00DF5D2B"/>
    <w:rsid w:val="00DF68B8"/>
    <w:rsid w:val="00DF6BCD"/>
    <w:rsid w:val="00E004BD"/>
    <w:rsid w:val="00E00E8E"/>
    <w:rsid w:val="00E01629"/>
    <w:rsid w:val="00E017BE"/>
    <w:rsid w:val="00E02E89"/>
    <w:rsid w:val="00E03DDC"/>
    <w:rsid w:val="00E05630"/>
    <w:rsid w:val="00E05C70"/>
    <w:rsid w:val="00E05D5E"/>
    <w:rsid w:val="00E068C5"/>
    <w:rsid w:val="00E06DBB"/>
    <w:rsid w:val="00E06EC2"/>
    <w:rsid w:val="00E07D0F"/>
    <w:rsid w:val="00E10149"/>
    <w:rsid w:val="00E11BA0"/>
    <w:rsid w:val="00E1229C"/>
    <w:rsid w:val="00E14343"/>
    <w:rsid w:val="00E14551"/>
    <w:rsid w:val="00E14B0A"/>
    <w:rsid w:val="00E16372"/>
    <w:rsid w:val="00E17372"/>
    <w:rsid w:val="00E17476"/>
    <w:rsid w:val="00E178C1"/>
    <w:rsid w:val="00E20E4D"/>
    <w:rsid w:val="00E20ED6"/>
    <w:rsid w:val="00E21358"/>
    <w:rsid w:val="00E221DF"/>
    <w:rsid w:val="00E2249B"/>
    <w:rsid w:val="00E22A0D"/>
    <w:rsid w:val="00E22EC4"/>
    <w:rsid w:val="00E2366B"/>
    <w:rsid w:val="00E23B85"/>
    <w:rsid w:val="00E23D00"/>
    <w:rsid w:val="00E26122"/>
    <w:rsid w:val="00E264AA"/>
    <w:rsid w:val="00E2771E"/>
    <w:rsid w:val="00E2789F"/>
    <w:rsid w:val="00E30F18"/>
    <w:rsid w:val="00E3109A"/>
    <w:rsid w:val="00E3181B"/>
    <w:rsid w:val="00E320C9"/>
    <w:rsid w:val="00E33725"/>
    <w:rsid w:val="00E33AF5"/>
    <w:rsid w:val="00E34948"/>
    <w:rsid w:val="00E35E21"/>
    <w:rsid w:val="00E36E1C"/>
    <w:rsid w:val="00E37569"/>
    <w:rsid w:val="00E37E2F"/>
    <w:rsid w:val="00E40AB0"/>
    <w:rsid w:val="00E4142D"/>
    <w:rsid w:val="00E41B74"/>
    <w:rsid w:val="00E41E30"/>
    <w:rsid w:val="00E43D70"/>
    <w:rsid w:val="00E44371"/>
    <w:rsid w:val="00E454E9"/>
    <w:rsid w:val="00E46172"/>
    <w:rsid w:val="00E464DD"/>
    <w:rsid w:val="00E466F3"/>
    <w:rsid w:val="00E479BB"/>
    <w:rsid w:val="00E47A5D"/>
    <w:rsid w:val="00E47B2C"/>
    <w:rsid w:val="00E47C31"/>
    <w:rsid w:val="00E5099A"/>
    <w:rsid w:val="00E51560"/>
    <w:rsid w:val="00E5256F"/>
    <w:rsid w:val="00E52CE7"/>
    <w:rsid w:val="00E532EA"/>
    <w:rsid w:val="00E5360B"/>
    <w:rsid w:val="00E54347"/>
    <w:rsid w:val="00E55424"/>
    <w:rsid w:val="00E55BB5"/>
    <w:rsid w:val="00E55F50"/>
    <w:rsid w:val="00E55F8A"/>
    <w:rsid w:val="00E56BE6"/>
    <w:rsid w:val="00E57395"/>
    <w:rsid w:val="00E6077A"/>
    <w:rsid w:val="00E6090F"/>
    <w:rsid w:val="00E61008"/>
    <w:rsid w:val="00E61DF7"/>
    <w:rsid w:val="00E634D1"/>
    <w:rsid w:val="00E63FAE"/>
    <w:rsid w:val="00E647C1"/>
    <w:rsid w:val="00E64C2F"/>
    <w:rsid w:val="00E65E79"/>
    <w:rsid w:val="00E66124"/>
    <w:rsid w:val="00E66BA2"/>
    <w:rsid w:val="00E66F33"/>
    <w:rsid w:val="00E67084"/>
    <w:rsid w:val="00E67416"/>
    <w:rsid w:val="00E67A76"/>
    <w:rsid w:val="00E67A7B"/>
    <w:rsid w:val="00E718B6"/>
    <w:rsid w:val="00E723BA"/>
    <w:rsid w:val="00E72B99"/>
    <w:rsid w:val="00E73581"/>
    <w:rsid w:val="00E73FA1"/>
    <w:rsid w:val="00E74FE3"/>
    <w:rsid w:val="00E75340"/>
    <w:rsid w:val="00E7547B"/>
    <w:rsid w:val="00E769BF"/>
    <w:rsid w:val="00E76DF2"/>
    <w:rsid w:val="00E77FEE"/>
    <w:rsid w:val="00E800AD"/>
    <w:rsid w:val="00E80782"/>
    <w:rsid w:val="00E80CC7"/>
    <w:rsid w:val="00E81587"/>
    <w:rsid w:val="00E82560"/>
    <w:rsid w:val="00E833F7"/>
    <w:rsid w:val="00E83BD0"/>
    <w:rsid w:val="00E83BDF"/>
    <w:rsid w:val="00E83DE6"/>
    <w:rsid w:val="00E844F7"/>
    <w:rsid w:val="00E84C8A"/>
    <w:rsid w:val="00E85409"/>
    <w:rsid w:val="00E85503"/>
    <w:rsid w:val="00E878F2"/>
    <w:rsid w:val="00E87A1D"/>
    <w:rsid w:val="00E906CA"/>
    <w:rsid w:val="00E90B09"/>
    <w:rsid w:val="00E90FB0"/>
    <w:rsid w:val="00E9167B"/>
    <w:rsid w:val="00E92575"/>
    <w:rsid w:val="00E926A5"/>
    <w:rsid w:val="00E9399F"/>
    <w:rsid w:val="00E943A3"/>
    <w:rsid w:val="00E94498"/>
    <w:rsid w:val="00E95359"/>
    <w:rsid w:val="00E953E2"/>
    <w:rsid w:val="00E95AC9"/>
    <w:rsid w:val="00E96F3D"/>
    <w:rsid w:val="00E97A9E"/>
    <w:rsid w:val="00EA10F0"/>
    <w:rsid w:val="00EA17C3"/>
    <w:rsid w:val="00EA1EF0"/>
    <w:rsid w:val="00EA2599"/>
    <w:rsid w:val="00EA2CAA"/>
    <w:rsid w:val="00EA3864"/>
    <w:rsid w:val="00EA4249"/>
    <w:rsid w:val="00EA66C8"/>
    <w:rsid w:val="00EA6D37"/>
    <w:rsid w:val="00EA6EA5"/>
    <w:rsid w:val="00EA7B97"/>
    <w:rsid w:val="00EB03B5"/>
    <w:rsid w:val="00EB0CE8"/>
    <w:rsid w:val="00EB1073"/>
    <w:rsid w:val="00EB15B6"/>
    <w:rsid w:val="00EB1B45"/>
    <w:rsid w:val="00EB2C29"/>
    <w:rsid w:val="00EB453F"/>
    <w:rsid w:val="00EB4916"/>
    <w:rsid w:val="00EB5680"/>
    <w:rsid w:val="00EB68BF"/>
    <w:rsid w:val="00EC00C9"/>
    <w:rsid w:val="00EC0144"/>
    <w:rsid w:val="00EC0F96"/>
    <w:rsid w:val="00EC1864"/>
    <w:rsid w:val="00EC2649"/>
    <w:rsid w:val="00EC4765"/>
    <w:rsid w:val="00EC4DDD"/>
    <w:rsid w:val="00EC5A77"/>
    <w:rsid w:val="00EC5AE0"/>
    <w:rsid w:val="00EC6C4B"/>
    <w:rsid w:val="00EC7570"/>
    <w:rsid w:val="00EC7EC0"/>
    <w:rsid w:val="00ED26B7"/>
    <w:rsid w:val="00ED46AC"/>
    <w:rsid w:val="00ED4D0A"/>
    <w:rsid w:val="00ED57EA"/>
    <w:rsid w:val="00ED7945"/>
    <w:rsid w:val="00EE0753"/>
    <w:rsid w:val="00EE07D3"/>
    <w:rsid w:val="00EE1360"/>
    <w:rsid w:val="00EE22AF"/>
    <w:rsid w:val="00EE3B20"/>
    <w:rsid w:val="00EE4186"/>
    <w:rsid w:val="00EE43AE"/>
    <w:rsid w:val="00EE4E43"/>
    <w:rsid w:val="00EF0171"/>
    <w:rsid w:val="00EF0FDE"/>
    <w:rsid w:val="00EF1B25"/>
    <w:rsid w:val="00EF221F"/>
    <w:rsid w:val="00EF27A5"/>
    <w:rsid w:val="00EF4747"/>
    <w:rsid w:val="00EF4BF8"/>
    <w:rsid w:val="00EF4C5C"/>
    <w:rsid w:val="00EF568E"/>
    <w:rsid w:val="00EF5C39"/>
    <w:rsid w:val="00EF6011"/>
    <w:rsid w:val="00EF6137"/>
    <w:rsid w:val="00EF6319"/>
    <w:rsid w:val="00EF683B"/>
    <w:rsid w:val="00EF7A94"/>
    <w:rsid w:val="00F014DD"/>
    <w:rsid w:val="00F01B4E"/>
    <w:rsid w:val="00F02253"/>
    <w:rsid w:val="00F0243C"/>
    <w:rsid w:val="00F02A8C"/>
    <w:rsid w:val="00F03C2E"/>
    <w:rsid w:val="00F0485D"/>
    <w:rsid w:val="00F049D1"/>
    <w:rsid w:val="00F04A66"/>
    <w:rsid w:val="00F0516C"/>
    <w:rsid w:val="00F067A2"/>
    <w:rsid w:val="00F06C93"/>
    <w:rsid w:val="00F07CF9"/>
    <w:rsid w:val="00F1029C"/>
    <w:rsid w:val="00F1059A"/>
    <w:rsid w:val="00F10BC5"/>
    <w:rsid w:val="00F10C9C"/>
    <w:rsid w:val="00F10F37"/>
    <w:rsid w:val="00F110CE"/>
    <w:rsid w:val="00F1263A"/>
    <w:rsid w:val="00F14F2F"/>
    <w:rsid w:val="00F165EE"/>
    <w:rsid w:val="00F16677"/>
    <w:rsid w:val="00F16930"/>
    <w:rsid w:val="00F16F1E"/>
    <w:rsid w:val="00F17334"/>
    <w:rsid w:val="00F174CE"/>
    <w:rsid w:val="00F17C1E"/>
    <w:rsid w:val="00F20310"/>
    <w:rsid w:val="00F2062A"/>
    <w:rsid w:val="00F20BD1"/>
    <w:rsid w:val="00F21620"/>
    <w:rsid w:val="00F2272E"/>
    <w:rsid w:val="00F22E65"/>
    <w:rsid w:val="00F239A9"/>
    <w:rsid w:val="00F24837"/>
    <w:rsid w:val="00F24BD5"/>
    <w:rsid w:val="00F24DFF"/>
    <w:rsid w:val="00F24F6D"/>
    <w:rsid w:val="00F2575F"/>
    <w:rsid w:val="00F26DEF"/>
    <w:rsid w:val="00F26E8D"/>
    <w:rsid w:val="00F27565"/>
    <w:rsid w:val="00F27907"/>
    <w:rsid w:val="00F27EEE"/>
    <w:rsid w:val="00F27F7E"/>
    <w:rsid w:val="00F310D4"/>
    <w:rsid w:val="00F31CAF"/>
    <w:rsid w:val="00F31D5A"/>
    <w:rsid w:val="00F339CB"/>
    <w:rsid w:val="00F33A2A"/>
    <w:rsid w:val="00F33DE9"/>
    <w:rsid w:val="00F343ED"/>
    <w:rsid w:val="00F346CA"/>
    <w:rsid w:val="00F3619A"/>
    <w:rsid w:val="00F36314"/>
    <w:rsid w:val="00F368B5"/>
    <w:rsid w:val="00F40AAA"/>
    <w:rsid w:val="00F40B4C"/>
    <w:rsid w:val="00F40BA7"/>
    <w:rsid w:val="00F40D22"/>
    <w:rsid w:val="00F4214D"/>
    <w:rsid w:val="00F4272B"/>
    <w:rsid w:val="00F4380A"/>
    <w:rsid w:val="00F43C89"/>
    <w:rsid w:val="00F43CE9"/>
    <w:rsid w:val="00F4552D"/>
    <w:rsid w:val="00F467CF"/>
    <w:rsid w:val="00F46CB6"/>
    <w:rsid w:val="00F46FC6"/>
    <w:rsid w:val="00F4729E"/>
    <w:rsid w:val="00F47DE8"/>
    <w:rsid w:val="00F52DDB"/>
    <w:rsid w:val="00F542C1"/>
    <w:rsid w:val="00F54EC1"/>
    <w:rsid w:val="00F55E73"/>
    <w:rsid w:val="00F55EDA"/>
    <w:rsid w:val="00F5617C"/>
    <w:rsid w:val="00F56A68"/>
    <w:rsid w:val="00F57CE1"/>
    <w:rsid w:val="00F60092"/>
    <w:rsid w:val="00F60B7A"/>
    <w:rsid w:val="00F61925"/>
    <w:rsid w:val="00F61EE9"/>
    <w:rsid w:val="00F62712"/>
    <w:rsid w:val="00F637E8"/>
    <w:rsid w:val="00F64A10"/>
    <w:rsid w:val="00F6510D"/>
    <w:rsid w:val="00F654AE"/>
    <w:rsid w:val="00F65F4B"/>
    <w:rsid w:val="00F66227"/>
    <w:rsid w:val="00F66680"/>
    <w:rsid w:val="00F66B24"/>
    <w:rsid w:val="00F66E0A"/>
    <w:rsid w:val="00F70C9D"/>
    <w:rsid w:val="00F71B19"/>
    <w:rsid w:val="00F71E4C"/>
    <w:rsid w:val="00F72194"/>
    <w:rsid w:val="00F724E8"/>
    <w:rsid w:val="00F72F8B"/>
    <w:rsid w:val="00F738DD"/>
    <w:rsid w:val="00F74AF1"/>
    <w:rsid w:val="00F74CD9"/>
    <w:rsid w:val="00F771E5"/>
    <w:rsid w:val="00F80297"/>
    <w:rsid w:val="00F803BE"/>
    <w:rsid w:val="00F808DF"/>
    <w:rsid w:val="00F80A7B"/>
    <w:rsid w:val="00F80E5D"/>
    <w:rsid w:val="00F81342"/>
    <w:rsid w:val="00F82516"/>
    <w:rsid w:val="00F82935"/>
    <w:rsid w:val="00F82EDB"/>
    <w:rsid w:val="00F834B6"/>
    <w:rsid w:val="00F8458E"/>
    <w:rsid w:val="00F851CE"/>
    <w:rsid w:val="00F861A6"/>
    <w:rsid w:val="00F8710B"/>
    <w:rsid w:val="00F90581"/>
    <w:rsid w:val="00F91219"/>
    <w:rsid w:val="00F928DD"/>
    <w:rsid w:val="00F931FF"/>
    <w:rsid w:val="00F9547E"/>
    <w:rsid w:val="00F959C2"/>
    <w:rsid w:val="00F95A7E"/>
    <w:rsid w:val="00F96537"/>
    <w:rsid w:val="00F968E4"/>
    <w:rsid w:val="00F97508"/>
    <w:rsid w:val="00F97A78"/>
    <w:rsid w:val="00F97E36"/>
    <w:rsid w:val="00FA0B20"/>
    <w:rsid w:val="00FA152A"/>
    <w:rsid w:val="00FA15CA"/>
    <w:rsid w:val="00FA1630"/>
    <w:rsid w:val="00FA1DE2"/>
    <w:rsid w:val="00FA24E7"/>
    <w:rsid w:val="00FA26CB"/>
    <w:rsid w:val="00FA3E8E"/>
    <w:rsid w:val="00FA4D7F"/>
    <w:rsid w:val="00FA537C"/>
    <w:rsid w:val="00FA77D3"/>
    <w:rsid w:val="00FB0A94"/>
    <w:rsid w:val="00FB0B6D"/>
    <w:rsid w:val="00FB0F11"/>
    <w:rsid w:val="00FB2FCB"/>
    <w:rsid w:val="00FB385B"/>
    <w:rsid w:val="00FB4C67"/>
    <w:rsid w:val="00FB5BB2"/>
    <w:rsid w:val="00FB722D"/>
    <w:rsid w:val="00FB780B"/>
    <w:rsid w:val="00FB792A"/>
    <w:rsid w:val="00FC0E26"/>
    <w:rsid w:val="00FC1074"/>
    <w:rsid w:val="00FC1192"/>
    <w:rsid w:val="00FC1411"/>
    <w:rsid w:val="00FC1884"/>
    <w:rsid w:val="00FC2100"/>
    <w:rsid w:val="00FC2D70"/>
    <w:rsid w:val="00FC35CE"/>
    <w:rsid w:val="00FC371D"/>
    <w:rsid w:val="00FC3DE5"/>
    <w:rsid w:val="00FC430B"/>
    <w:rsid w:val="00FC50A3"/>
    <w:rsid w:val="00FC5F0B"/>
    <w:rsid w:val="00FC784A"/>
    <w:rsid w:val="00FC7B39"/>
    <w:rsid w:val="00FC7BB4"/>
    <w:rsid w:val="00FD1544"/>
    <w:rsid w:val="00FD1AFF"/>
    <w:rsid w:val="00FD2100"/>
    <w:rsid w:val="00FD3024"/>
    <w:rsid w:val="00FD3484"/>
    <w:rsid w:val="00FD3DAF"/>
    <w:rsid w:val="00FD436C"/>
    <w:rsid w:val="00FD446D"/>
    <w:rsid w:val="00FD4832"/>
    <w:rsid w:val="00FD5848"/>
    <w:rsid w:val="00FD5C69"/>
    <w:rsid w:val="00FD5DB5"/>
    <w:rsid w:val="00FD6394"/>
    <w:rsid w:val="00FD6C61"/>
    <w:rsid w:val="00FD7CE7"/>
    <w:rsid w:val="00FE053A"/>
    <w:rsid w:val="00FE0E6C"/>
    <w:rsid w:val="00FE1A4D"/>
    <w:rsid w:val="00FE1B69"/>
    <w:rsid w:val="00FE1BE3"/>
    <w:rsid w:val="00FE2365"/>
    <w:rsid w:val="00FE3358"/>
    <w:rsid w:val="00FE3AFF"/>
    <w:rsid w:val="00FE4337"/>
    <w:rsid w:val="00FE5B93"/>
    <w:rsid w:val="00FE5CD8"/>
    <w:rsid w:val="00FE70C3"/>
    <w:rsid w:val="00FE7461"/>
    <w:rsid w:val="00FE782D"/>
    <w:rsid w:val="00FE7AF4"/>
    <w:rsid w:val="00FF09E3"/>
    <w:rsid w:val="00FF1A45"/>
    <w:rsid w:val="00FF3DCF"/>
    <w:rsid w:val="00FF492C"/>
    <w:rsid w:val="00FF4A21"/>
    <w:rsid w:val="00FF5AA3"/>
    <w:rsid w:val="00FF5AD8"/>
    <w:rsid w:val="00FF5D0B"/>
    <w:rsid w:val="00FF65A4"/>
    <w:rsid w:val="00FF67C1"/>
    <w:rsid w:val="00FF6861"/>
    <w:rsid w:val="00FF7366"/>
    <w:rsid w:val="00FF77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0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936C60"/>
    <w:pPr>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36C60"/>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7"/>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36C60"/>
    <w:pPr>
      <w:numPr>
        <w:numId w:val="3"/>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character" w:styleId="PlaceholderText">
    <w:name w:val="Placeholder Text"/>
    <w:basedOn w:val="DefaultParagraphFont"/>
    <w:uiPriority w:val="99"/>
    <w:semiHidden/>
    <w:rsid w:val="00E64C2F"/>
    <w:rPr>
      <w:color w:val="808080"/>
    </w:rPr>
  </w:style>
  <w:style w:type="paragraph" w:styleId="FootnoteText">
    <w:name w:val="footnote text"/>
    <w:basedOn w:val="Normal"/>
    <w:link w:val="FootnoteTextChar"/>
    <w:semiHidden/>
    <w:unhideWhenUsed/>
    <w:rsid w:val="000E3B94"/>
    <w:rPr>
      <w:sz w:val="20"/>
      <w:szCs w:val="20"/>
    </w:rPr>
  </w:style>
  <w:style w:type="character" w:customStyle="1" w:styleId="FootnoteTextChar">
    <w:name w:val="Footnote Text Char"/>
    <w:basedOn w:val="DefaultParagraphFont"/>
    <w:link w:val="FootnoteText"/>
    <w:semiHidden/>
    <w:rsid w:val="000E3B94"/>
    <w:rPr>
      <w:rFonts w:ascii="Calibri" w:hAnsi="Calibri" w:cs="Arial"/>
      <w:snapToGrid w:val="0"/>
      <w:lang w:eastAsia="en-US"/>
    </w:rPr>
  </w:style>
  <w:style w:type="character" w:styleId="FootnoteReference">
    <w:name w:val="footnote reference"/>
    <w:basedOn w:val="DefaultParagraphFont"/>
    <w:semiHidden/>
    <w:unhideWhenUsed/>
    <w:rsid w:val="000E3B94"/>
    <w:rPr>
      <w:vertAlign w:val="superscript"/>
    </w:rPr>
  </w:style>
  <w:style w:type="character" w:styleId="IntenseEmphasis">
    <w:name w:val="Intense Emphasis"/>
    <w:uiPriority w:val="21"/>
    <w:qFormat/>
    <w:rsid w:val="00B011BE"/>
    <w:rPr>
      <w:b/>
      <w:bCs/>
      <w:i/>
      <w:iCs/>
    </w:rPr>
  </w:style>
  <w:style w:type="paragraph" w:customStyle="1" w:styleId="TableText0">
    <w:name w:val="Table Text"/>
    <w:basedOn w:val="Normal"/>
    <w:link w:val="TableTextChar0"/>
    <w:qFormat/>
    <w:rsid w:val="00333F5F"/>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333F5F"/>
    <w:rPr>
      <w:rFonts w:ascii="Arial Narrow" w:eastAsiaTheme="minorHAnsi" w:hAnsi="Arial Narrow" w:cstheme="minorBidi"/>
      <w:szCs w:val="22"/>
      <w:lang w:eastAsia="en-US"/>
    </w:rPr>
  </w:style>
  <w:style w:type="character" w:styleId="Emphasis">
    <w:name w:val="Emphasis"/>
    <w:basedOn w:val="DefaultParagraphFont"/>
    <w:uiPriority w:val="20"/>
    <w:qFormat/>
    <w:rsid w:val="00A77E82"/>
    <w:rPr>
      <w:i/>
      <w:iCs/>
    </w:rPr>
  </w:style>
  <w:style w:type="character" w:customStyle="1" w:styleId="Heading1Char">
    <w:name w:val="Heading 1 Char"/>
    <w:basedOn w:val="DefaultParagraphFont"/>
    <w:link w:val="Heading1"/>
    <w:uiPriority w:val="1"/>
    <w:rsid w:val="00836F95"/>
    <w:rPr>
      <w:rFonts w:ascii="Calibri" w:hAnsi="Calibri" w:cs="Arial"/>
      <w:b/>
      <w:caps/>
      <w:snapToGrid w:val="0"/>
      <w:sz w:val="32"/>
      <w:szCs w:val="22"/>
      <w:lang w:eastAsia="en-US"/>
    </w:rPr>
  </w:style>
  <w:style w:type="paragraph" w:customStyle="1" w:styleId="NormalBullets">
    <w:name w:val="Normal Bullets"/>
    <w:basedOn w:val="Normal"/>
    <w:uiPriority w:val="3"/>
    <w:qFormat/>
    <w:rsid w:val="00836F95"/>
    <w:pPr>
      <w:widowControl/>
      <w:numPr>
        <w:numId w:val="36"/>
      </w:numPr>
      <w:spacing w:after="240" w:line="276" w:lineRule="auto"/>
      <w:ind w:left="357" w:hanging="357"/>
      <w:contextualSpacing/>
      <w:jc w:val="left"/>
    </w:pPr>
    <w:rPr>
      <w:rFonts w:eastAsiaTheme="majorEastAsia" w:cstheme="majorBidi"/>
      <w:snapToGrid/>
      <w:sz w:val="22"/>
      <w:lang w:bidi="en-US"/>
    </w:rPr>
  </w:style>
  <w:style w:type="paragraph" w:customStyle="1" w:styleId="TableLeft">
    <w:name w:val="Table Left"/>
    <w:basedOn w:val="Normal"/>
    <w:link w:val="TableLeftChar"/>
    <w:uiPriority w:val="99"/>
    <w:qFormat/>
    <w:rsid w:val="00836F95"/>
    <w:pPr>
      <w:widowControl/>
      <w:jc w:val="left"/>
    </w:pPr>
    <w:rPr>
      <w:rFonts w:eastAsiaTheme="majorEastAsia" w:cstheme="majorBidi"/>
      <w:snapToGrid/>
      <w:sz w:val="18"/>
      <w:lang w:bidi="en-US"/>
    </w:rPr>
  </w:style>
  <w:style w:type="character" w:customStyle="1" w:styleId="TableLeftChar">
    <w:name w:val="Table Left Char"/>
    <w:basedOn w:val="DefaultParagraphFont"/>
    <w:link w:val="TableLeft"/>
    <w:uiPriority w:val="99"/>
    <w:locked/>
    <w:rsid w:val="00836F95"/>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836F95"/>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042FEF"/>
    <w:pPr>
      <w:widowControl/>
      <w:ind w:left="720"/>
      <w:jc w:val="left"/>
    </w:pPr>
    <w:rPr>
      <w:rFonts w:eastAsiaTheme="minorHAnsi" w:cs="Calibri"/>
      <w:snapToGrid/>
      <w:sz w:val="22"/>
      <w:lang w:eastAsia="en-AU"/>
    </w:rPr>
  </w:style>
  <w:style w:type="paragraph" w:customStyle="1" w:styleId="V50Heading2nonumbers">
    <w:name w:val="V5.0 Heading 2 no numbers"/>
    <w:basedOn w:val="Heading2"/>
    <w:qFormat/>
    <w:rsid w:val="00C45034"/>
    <w:pPr>
      <w:keepNext/>
      <w:keepLines/>
      <w:widowControl/>
      <w:spacing w:before="240"/>
      <w:ind w:left="578" w:hanging="578"/>
      <w:jc w:val="left"/>
    </w:pPr>
    <w:rPr>
      <w:rFonts w:cs="Times New Roman"/>
      <w:snapToGrid/>
      <w:szCs w:val="28"/>
    </w:rPr>
  </w:style>
  <w:style w:type="paragraph" w:customStyle="1" w:styleId="2Sections">
    <w:name w:val="2. Sections"/>
    <w:qFormat/>
    <w:rsid w:val="00AB4EA8"/>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AB4EA8"/>
    <w:pPr>
      <w:widowControl/>
      <w:spacing w:after="120"/>
      <w:ind w:left="1146" w:hanging="720"/>
    </w:pPr>
    <w:rPr>
      <w:rFonts w:asciiTheme="minorHAnsi" w:eastAsiaTheme="minorHAnsi" w:hAnsiTheme="minorHAnsi" w:cstheme="minorBidi"/>
      <w:i/>
      <w:snapToGrid/>
      <w:lang w:eastAsia="en-AU"/>
    </w:rPr>
  </w:style>
  <w:style w:type="paragraph" w:customStyle="1" w:styleId="3Bodytext">
    <w:name w:val="3. Body text"/>
    <w:basedOn w:val="ListParagraph"/>
    <w:link w:val="3BodytextChar"/>
    <w:qFormat/>
    <w:rsid w:val="00A818E6"/>
    <w:pPr>
      <w:widowControl/>
      <w:spacing w:after="120"/>
      <w:ind w:hanging="720"/>
    </w:pPr>
    <w:rPr>
      <w:rFonts w:asciiTheme="minorHAnsi" w:eastAsiaTheme="minorHAnsi" w:hAnsiTheme="minorHAnsi" w:cstheme="minorBidi"/>
      <w:snapToGrid/>
    </w:rPr>
  </w:style>
  <w:style w:type="character" w:styleId="Strong">
    <w:name w:val="Strong"/>
    <w:basedOn w:val="DefaultParagraphFont"/>
    <w:uiPriority w:val="22"/>
    <w:qFormat/>
    <w:rsid w:val="00631108"/>
    <w:rPr>
      <w:b/>
      <w:bCs/>
    </w:rPr>
  </w:style>
  <w:style w:type="character" w:customStyle="1" w:styleId="3BodytextChar">
    <w:name w:val="3. Body text Char"/>
    <w:basedOn w:val="DefaultParagraphFont"/>
    <w:link w:val="3Bodytext"/>
    <w:rsid w:val="00F16677"/>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6464">
      <w:bodyDiv w:val="1"/>
      <w:marLeft w:val="0"/>
      <w:marRight w:val="0"/>
      <w:marTop w:val="0"/>
      <w:marBottom w:val="0"/>
      <w:divBdr>
        <w:top w:val="none" w:sz="0" w:space="0" w:color="auto"/>
        <w:left w:val="none" w:sz="0" w:space="0" w:color="auto"/>
        <w:bottom w:val="none" w:sz="0" w:space="0" w:color="auto"/>
        <w:right w:val="none" w:sz="0" w:space="0" w:color="auto"/>
      </w:divBdr>
    </w:div>
    <w:div w:id="592788759">
      <w:bodyDiv w:val="1"/>
      <w:marLeft w:val="0"/>
      <w:marRight w:val="0"/>
      <w:marTop w:val="0"/>
      <w:marBottom w:val="0"/>
      <w:divBdr>
        <w:top w:val="none" w:sz="0" w:space="0" w:color="auto"/>
        <w:left w:val="none" w:sz="0" w:space="0" w:color="auto"/>
        <w:bottom w:val="none" w:sz="0" w:space="0" w:color="auto"/>
        <w:right w:val="none" w:sz="0" w:space="0" w:color="auto"/>
      </w:divBdr>
    </w:div>
    <w:div w:id="608006340">
      <w:bodyDiv w:val="1"/>
      <w:marLeft w:val="0"/>
      <w:marRight w:val="0"/>
      <w:marTop w:val="0"/>
      <w:marBottom w:val="0"/>
      <w:divBdr>
        <w:top w:val="none" w:sz="0" w:space="0" w:color="auto"/>
        <w:left w:val="none" w:sz="0" w:space="0" w:color="auto"/>
        <w:bottom w:val="none" w:sz="0" w:space="0" w:color="auto"/>
        <w:right w:val="none" w:sz="0" w:space="0" w:color="auto"/>
      </w:divBdr>
    </w:div>
    <w:div w:id="608320740">
      <w:bodyDiv w:val="1"/>
      <w:marLeft w:val="0"/>
      <w:marRight w:val="0"/>
      <w:marTop w:val="0"/>
      <w:marBottom w:val="0"/>
      <w:divBdr>
        <w:top w:val="none" w:sz="0" w:space="0" w:color="auto"/>
        <w:left w:val="none" w:sz="0" w:space="0" w:color="auto"/>
        <w:bottom w:val="none" w:sz="0" w:space="0" w:color="auto"/>
        <w:right w:val="none" w:sz="0" w:space="0" w:color="auto"/>
      </w:divBdr>
    </w:div>
    <w:div w:id="717314598">
      <w:marLeft w:val="0"/>
      <w:marRight w:val="0"/>
      <w:marTop w:val="0"/>
      <w:marBottom w:val="0"/>
      <w:divBdr>
        <w:top w:val="none" w:sz="0" w:space="0" w:color="auto"/>
        <w:left w:val="none" w:sz="0" w:space="0" w:color="auto"/>
        <w:bottom w:val="none" w:sz="0" w:space="0" w:color="auto"/>
        <w:right w:val="none" w:sz="0" w:space="0" w:color="auto"/>
      </w:divBdr>
      <w:divsChild>
        <w:div w:id="1280260258">
          <w:marLeft w:val="2070"/>
          <w:marRight w:val="3960"/>
          <w:marTop w:val="0"/>
          <w:marBottom w:val="0"/>
          <w:divBdr>
            <w:top w:val="none" w:sz="0" w:space="0" w:color="auto"/>
            <w:left w:val="none" w:sz="0" w:space="0" w:color="auto"/>
            <w:bottom w:val="none" w:sz="0" w:space="0" w:color="auto"/>
            <w:right w:val="none" w:sz="0" w:space="0" w:color="auto"/>
          </w:divBdr>
          <w:divsChild>
            <w:div w:id="770978493">
              <w:marLeft w:val="0"/>
              <w:marRight w:val="0"/>
              <w:marTop w:val="0"/>
              <w:marBottom w:val="0"/>
              <w:divBdr>
                <w:top w:val="none" w:sz="0" w:space="0" w:color="auto"/>
                <w:left w:val="none" w:sz="0" w:space="0" w:color="auto"/>
                <w:bottom w:val="none" w:sz="0" w:space="0" w:color="auto"/>
                <w:right w:val="none" w:sz="0" w:space="0" w:color="auto"/>
              </w:divBdr>
              <w:divsChild>
                <w:div w:id="1260405192">
                  <w:marLeft w:val="0"/>
                  <w:marRight w:val="0"/>
                  <w:marTop w:val="0"/>
                  <w:marBottom w:val="0"/>
                  <w:divBdr>
                    <w:top w:val="none" w:sz="0" w:space="0" w:color="auto"/>
                    <w:left w:val="none" w:sz="0" w:space="0" w:color="auto"/>
                    <w:bottom w:val="none" w:sz="0" w:space="0" w:color="auto"/>
                    <w:right w:val="none" w:sz="0" w:space="0" w:color="auto"/>
                  </w:divBdr>
                  <w:divsChild>
                    <w:div w:id="2147384677">
                      <w:marLeft w:val="0"/>
                      <w:marRight w:val="0"/>
                      <w:marTop w:val="0"/>
                      <w:marBottom w:val="0"/>
                      <w:divBdr>
                        <w:top w:val="none" w:sz="0" w:space="0" w:color="auto"/>
                        <w:left w:val="none" w:sz="0" w:space="0" w:color="auto"/>
                        <w:bottom w:val="none" w:sz="0" w:space="0" w:color="auto"/>
                        <w:right w:val="none" w:sz="0" w:space="0" w:color="auto"/>
                      </w:divBdr>
                      <w:divsChild>
                        <w:div w:id="1453745883">
                          <w:marLeft w:val="0"/>
                          <w:marRight w:val="0"/>
                          <w:marTop w:val="90"/>
                          <w:marBottom w:val="0"/>
                          <w:divBdr>
                            <w:top w:val="none" w:sz="0" w:space="0" w:color="auto"/>
                            <w:left w:val="none" w:sz="0" w:space="0" w:color="auto"/>
                            <w:bottom w:val="none" w:sz="0" w:space="0" w:color="auto"/>
                            <w:right w:val="none" w:sz="0" w:space="0" w:color="auto"/>
                          </w:divBdr>
                          <w:divsChild>
                            <w:div w:id="745996577">
                              <w:marLeft w:val="0"/>
                              <w:marRight w:val="0"/>
                              <w:marTop w:val="0"/>
                              <w:marBottom w:val="0"/>
                              <w:divBdr>
                                <w:top w:val="none" w:sz="0" w:space="0" w:color="auto"/>
                                <w:left w:val="none" w:sz="0" w:space="0" w:color="auto"/>
                                <w:bottom w:val="none" w:sz="0" w:space="0" w:color="auto"/>
                                <w:right w:val="none" w:sz="0" w:space="0" w:color="auto"/>
                              </w:divBdr>
                              <w:divsChild>
                                <w:div w:id="2065713185">
                                  <w:marLeft w:val="0"/>
                                  <w:marRight w:val="0"/>
                                  <w:marTop w:val="0"/>
                                  <w:marBottom w:val="405"/>
                                  <w:divBdr>
                                    <w:top w:val="none" w:sz="0" w:space="0" w:color="auto"/>
                                    <w:left w:val="none" w:sz="0" w:space="0" w:color="auto"/>
                                    <w:bottom w:val="none" w:sz="0" w:space="0" w:color="auto"/>
                                    <w:right w:val="none" w:sz="0" w:space="0" w:color="auto"/>
                                  </w:divBdr>
                                  <w:divsChild>
                                    <w:div w:id="1480537223">
                                      <w:marLeft w:val="0"/>
                                      <w:marRight w:val="0"/>
                                      <w:marTop w:val="0"/>
                                      <w:marBottom w:val="0"/>
                                      <w:divBdr>
                                        <w:top w:val="none" w:sz="0" w:space="0" w:color="auto"/>
                                        <w:left w:val="none" w:sz="0" w:space="0" w:color="auto"/>
                                        <w:bottom w:val="none" w:sz="0" w:space="0" w:color="auto"/>
                                        <w:right w:val="none" w:sz="0" w:space="0" w:color="auto"/>
                                      </w:divBdr>
                                      <w:divsChild>
                                        <w:div w:id="2121292258">
                                          <w:marLeft w:val="0"/>
                                          <w:marRight w:val="0"/>
                                          <w:marTop w:val="0"/>
                                          <w:marBottom w:val="0"/>
                                          <w:divBdr>
                                            <w:top w:val="none" w:sz="0" w:space="0" w:color="auto"/>
                                            <w:left w:val="none" w:sz="0" w:space="0" w:color="auto"/>
                                            <w:bottom w:val="none" w:sz="0" w:space="0" w:color="auto"/>
                                            <w:right w:val="none" w:sz="0" w:space="0" w:color="auto"/>
                                          </w:divBdr>
                                          <w:divsChild>
                                            <w:div w:id="598292430">
                                              <w:marLeft w:val="0"/>
                                              <w:marRight w:val="0"/>
                                              <w:marTop w:val="0"/>
                                              <w:marBottom w:val="0"/>
                                              <w:divBdr>
                                                <w:top w:val="none" w:sz="0" w:space="0" w:color="auto"/>
                                                <w:left w:val="none" w:sz="0" w:space="0" w:color="auto"/>
                                                <w:bottom w:val="none" w:sz="0" w:space="0" w:color="auto"/>
                                                <w:right w:val="none" w:sz="0" w:space="0" w:color="auto"/>
                                              </w:divBdr>
                                              <w:divsChild>
                                                <w:div w:id="301466788">
                                                  <w:marLeft w:val="0"/>
                                                  <w:marRight w:val="0"/>
                                                  <w:marTop w:val="0"/>
                                                  <w:marBottom w:val="0"/>
                                                  <w:divBdr>
                                                    <w:top w:val="none" w:sz="0" w:space="0" w:color="auto"/>
                                                    <w:left w:val="none" w:sz="0" w:space="0" w:color="auto"/>
                                                    <w:bottom w:val="none" w:sz="0" w:space="0" w:color="auto"/>
                                                    <w:right w:val="none" w:sz="0" w:space="0" w:color="auto"/>
                                                  </w:divBdr>
                                                  <w:divsChild>
                                                    <w:div w:id="1634404286">
                                                      <w:marLeft w:val="0"/>
                                                      <w:marRight w:val="0"/>
                                                      <w:marTop w:val="0"/>
                                                      <w:marBottom w:val="0"/>
                                                      <w:divBdr>
                                                        <w:top w:val="none" w:sz="0" w:space="0" w:color="auto"/>
                                                        <w:left w:val="none" w:sz="0" w:space="0" w:color="auto"/>
                                                        <w:bottom w:val="none" w:sz="0" w:space="0" w:color="auto"/>
                                                        <w:right w:val="none" w:sz="0" w:space="0" w:color="auto"/>
                                                      </w:divBdr>
                                                      <w:divsChild>
                                                        <w:div w:id="1194079065">
                                                          <w:marLeft w:val="0"/>
                                                          <w:marRight w:val="0"/>
                                                          <w:marTop w:val="0"/>
                                                          <w:marBottom w:val="0"/>
                                                          <w:divBdr>
                                                            <w:top w:val="none" w:sz="0" w:space="0" w:color="auto"/>
                                                            <w:left w:val="none" w:sz="0" w:space="0" w:color="auto"/>
                                                            <w:bottom w:val="none" w:sz="0" w:space="0" w:color="auto"/>
                                                            <w:right w:val="none" w:sz="0" w:space="0" w:color="auto"/>
                                                          </w:divBdr>
                                                        </w:div>
                                                      </w:divsChild>
                                                    </w:div>
                                                    <w:div w:id="1343972299">
                                                      <w:marLeft w:val="0"/>
                                                      <w:marRight w:val="0"/>
                                                      <w:marTop w:val="0"/>
                                                      <w:marBottom w:val="0"/>
                                                      <w:divBdr>
                                                        <w:top w:val="none" w:sz="0" w:space="0" w:color="auto"/>
                                                        <w:left w:val="none" w:sz="0" w:space="0" w:color="auto"/>
                                                        <w:bottom w:val="none" w:sz="0" w:space="0" w:color="auto"/>
                                                        <w:right w:val="none" w:sz="0" w:space="0" w:color="auto"/>
                                                      </w:divBdr>
                                                      <w:divsChild>
                                                        <w:div w:id="935165072">
                                                          <w:marLeft w:val="0"/>
                                                          <w:marRight w:val="0"/>
                                                          <w:marTop w:val="0"/>
                                                          <w:marBottom w:val="0"/>
                                                          <w:divBdr>
                                                            <w:top w:val="none" w:sz="0" w:space="0" w:color="auto"/>
                                                            <w:left w:val="none" w:sz="0" w:space="0" w:color="auto"/>
                                                            <w:bottom w:val="none" w:sz="0" w:space="0" w:color="auto"/>
                                                            <w:right w:val="none" w:sz="0" w:space="0" w:color="auto"/>
                                                          </w:divBdr>
                                                          <w:divsChild>
                                                            <w:div w:id="1145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1226">
                                                      <w:marLeft w:val="0"/>
                                                      <w:marRight w:val="0"/>
                                                      <w:marTop w:val="0"/>
                                                      <w:marBottom w:val="405"/>
                                                      <w:divBdr>
                                                        <w:top w:val="none" w:sz="0" w:space="0" w:color="auto"/>
                                                        <w:left w:val="none" w:sz="0" w:space="0" w:color="auto"/>
                                                        <w:bottom w:val="none" w:sz="0" w:space="0" w:color="auto"/>
                                                        <w:right w:val="none" w:sz="0" w:space="0" w:color="auto"/>
                                                      </w:divBdr>
                                                      <w:divsChild>
                                                        <w:div w:id="984622176">
                                                          <w:marLeft w:val="0"/>
                                                          <w:marRight w:val="0"/>
                                                          <w:marTop w:val="0"/>
                                                          <w:marBottom w:val="0"/>
                                                          <w:divBdr>
                                                            <w:top w:val="none" w:sz="0" w:space="0" w:color="auto"/>
                                                            <w:left w:val="none" w:sz="0" w:space="0" w:color="auto"/>
                                                            <w:bottom w:val="none" w:sz="0" w:space="0" w:color="auto"/>
                                                            <w:right w:val="none" w:sz="0" w:space="0" w:color="auto"/>
                                                          </w:divBdr>
                                                          <w:divsChild>
                                                            <w:div w:id="906650262">
                                                              <w:marLeft w:val="0"/>
                                                              <w:marRight w:val="0"/>
                                                              <w:marTop w:val="0"/>
                                                              <w:marBottom w:val="0"/>
                                                              <w:divBdr>
                                                                <w:top w:val="none" w:sz="0" w:space="0" w:color="auto"/>
                                                                <w:left w:val="none" w:sz="0" w:space="0" w:color="auto"/>
                                                                <w:bottom w:val="none" w:sz="0" w:space="0" w:color="auto"/>
                                                                <w:right w:val="none" w:sz="0" w:space="0" w:color="auto"/>
                                                              </w:divBdr>
                                                              <w:divsChild>
                                                                <w:div w:id="1003161635">
                                                                  <w:marLeft w:val="0"/>
                                                                  <w:marRight w:val="0"/>
                                                                  <w:marTop w:val="0"/>
                                                                  <w:marBottom w:val="0"/>
                                                                  <w:divBdr>
                                                                    <w:top w:val="none" w:sz="0" w:space="0" w:color="auto"/>
                                                                    <w:left w:val="none" w:sz="0" w:space="0" w:color="auto"/>
                                                                    <w:bottom w:val="none" w:sz="0" w:space="0" w:color="auto"/>
                                                                    <w:right w:val="none" w:sz="0" w:space="0" w:color="auto"/>
                                                                  </w:divBdr>
                                                                  <w:divsChild>
                                                                    <w:div w:id="13073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552034">
                                      <w:marLeft w:val="0"/>
                                      <w:marRight w:val="0"/>
                                      <w:marTop w:val="0"/>
                                      <w:marBottom w:val="0"/>
                                      <w:divBdr>
                                        <w:top w:val="none" w:sz="0" w:space="0" w:color="auto"/>
                                        <w:left w:val="none" w:sz="0" w:space="0" w:color="auto"/>
                                        <w:bottom w:val="none" w:sz="0" w:space="0" w:color="auto"/>
                                        <w:right w:val="none" w:sz="0" w:space="0" w:color="auto"/>
                                      </w:divBdr>
                                      <w:divsChild>
                                        <w:div w:id="994601780">
                                          <w:marLeft w:val="0"/>
                                          <w:marRight w:val="0"/>
                                          <w:marTop w:val="0"/>
                                          <w:marBottom w:val="0"/>
                                          <w:divBdr>
                                            <w:top w:val="none" w:sz="0" w:space="0" w:color="auto"/>
                                            <w:left w:val="none" w:sz="0" w:space="0" w:color="auto"/>
                                            <w:bottom w:val="none" w:sz="0" w:space="0" w:color="auto"/>
                                            <w:right w:val="none" w:sz="0" w:space="0" w:color="auto"/>
                                          </w:divBdr>
                                          <w:divsChild>
                                            <w:div w:id="945580281">
                                              <w:marLeft w:val="0"/>
                                              <w:marRight w:val="0"/>
                                              <w:marTop w:val="0"/>
                                              <w:marBottom w:val="0"/>
                                              <w:divBdr>
                                                <w:top w:val="none" w:sz="0" w:space="0" w:color="auto"/>
                                                <w:left w:val="none" w:sz="0" w:space="0" w:color="auto"/>
                                                <w:bottom w:val="none" w:sz="0" w:space="0" w:color="auto"/>
                                                <w:right w:val="none" w:sz="0" w:space="0" w:color="auto"/>
                                              </w:divBdr>
                                            </w:div>
                                          </w:divsChild>
                                        </w:div>
                                        <w:div w:id="1295865623">
                                          <w:marLeft w:val="0"/>
                                          <w:marRight w:val="0"/>
                                          <w:marTop w:val="0"/>
                                          <w:marBottom w:val="0"/>
                                          <w:divBdr>
                                            <w:top w:val="none" w:sz="0" w:space="0" w:color="auto"/>
                                            <w:left w:val="none" w:sz="0" w:space="0" w:color="auto"/>
                                            <w:bottom w:val="none" w:sz="0" w:space="0" w:color="auto"/>
                                            <w:right w:val="none" w:sz="0" w:space="0" w:color="auto"/>
                                          </w:divBdr>
                                          <w:divsChild>
                                            <w:div w:id="10585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05730">
                              <w:marLeft w:val="0"/>
                              <w:marRight w:val="0"/>
                              <w:marTop w:val="0"/>
                              <w:marBottom w:val="0"/>
                              <w:divBdr>
                                <w:top w:val="none" w:sz="0" w:space="0" w:color="auto"/>
                                <w:left w:val="none" w:sz="0" w:space="0" w:color="auto"/>
                                <w:bottom w:val="none" w:sz="0" w:space="0" w:color="auto"/>
                                <w:right w:val="none" w:sz="0" w:space="0" w:color="auto"/>
                              </w:divBdr>
                              <w:divsChild>
                                <w:div w:id="1478959249">
                                  <w:marLeft w:val="0"/>
                                  <w:marRight w:val="0"/>
                                  <w:marTop w:val="0"/>
                                  <w:marBottom w:val="405"/>
                                  <w:divBdr>
                                    <w:top w:val="none" w:sz="0" w:space="0" w:color="auto"/>
                                    <w:left w:val="none" w:sz="0" w:space="0" w:color="auto"/>
                                    <w:bottom w:val="none" w:sz="0" w:space="0" w:color="auto"/>
                                    <w:right w:val="none" w:sz="0" w:space="0" w:color="auto"/>
                                  </w:divBdr>
                                  <w:divsChild>
                                    <w:div w:id="762412143">
                                      <w:marLeft w:val="0"/>
                                      <w:marRight w:val="0"/>
                                      <w:marTop w:val="0"/>
                                      <w:marBottom w:val="0"/>
                                      <w:divBdr>
                                        <w:top w:val="none" w:sz="0" w:space="0" w:color="auto"/>
                                        <w:left w:val="none" w:sz="0" w:space="0" w:color="auto"/>
                                        <w:bottom w:val="none" w:sz="0" w:space="0" w:color="auto"/>
                                        <w:right w:val="none" w:sz="0" w:space="0" w:color="auto"/>
                                      </w:divBdr>
                                      <w:divsChild>
                                        <w:div w:id="645010865">
                                          <w:marLeft w:val="0"/>
                                          <w:marRight w:val="0"/>
                                          <w:marTop w:val="0"/>
                                          <w:marBottom w:val="0"/>
                                          <w:divBdr>
                                            <w:top w:val="none" w:sz="0" w:space="0" w:color="auto"/>
                                            <w:left w:val="none" w:sz="0" w:space="0" w:color="auto"/>
                                            <w:bottom w:val="none" w:sz="0" w:space="0" w:color="auto"/>
                                            <w:right w:val="none" w:sz="0" w:space="0" w:color="auto"/>
                                          </w:divBdr>
                                          <w:divsChild>
                                            <w:div w:id="1879976367">
                                              <w:marLeft w:val="0"/>
                                              <w:marRight w:val="0"/>
                                              <w:marTop w:val="0"/>
                                              <w:marBottom w:val="0"/>
                                              <w:divBdr>
                                                <w:top w:val="none" w:sz="0" w:space="0" w:color="auto"/>
                                                <w:left w:val="none" w:sz="0" w:space="0" w:color="auto"/>
                                                <w:bottom w:val="none" w:sz="0" w:space="0" w:color="auto"/>
                                                <w:right w:val="none" w:sz="0" w:space="0" w:color="auto"/>
                                              </w:divBdr>
                                              <w:divsChild>
                                                <w:div w:id="1859418840">
                                                  <w:marLeft w:val="0"/>
                                                  <w:marRight w:val="0"/>
                                                  <w:marTop w:val="0"/>
                                                  <w:marBottom w:val="0"/>
                                                  <w:divBdr>
                                                    <w:top w:val="none" w:sz="0" w:space="0" w:color="auto"/>
                                                    <w:left w:val="none" w:sz="0" w:space="0" w:color="auto"/>
                                                    <w:bottom w:val="none" w:sz="0" w:space="0" w:color="auto"/>
                                                    <w:right w:val="none" w:sz="0" w:space="0" w:color="auto"/>
                                                  </w:divBdr>
                                                  <w:divsChild>
                                                    <w:div w:id="1825392296">
                                                      <w:marLeft w:val="0"/>
                                                      <w:marRight w:val="0"/>
                                                      <w:marTop w:val="0"/>
                                                      <w:marBottom w:val="0"/>
                                                      <w:divBdr>
                                                        <w:top w:val="none" w:sz="0" w:space="0" w:color="auto"/>
                                                        <w:left w:val="none" w:sz="0" w:space="0" w:color="auto"/>
                                                        <w:bottom w:val="none" w:sz="0" w:space="0" w:color="auto"/>
                                                        <w:right w:val="none" w:sz="0" w:space="0" w:color="auto"/>
                                                      </w:divBdr>
                                                      <w:divsChild>
                                                        <w:div w:id="1862011862">
                                                          <w:marLeft w:val="0"/>
                                                          <w:marRight w:val="0"/>
                                                          <w:marTop w:val="0"/>
                                                          <w:marBottom w:val="0"/>
                                                          <w:divBdr>
                                                            <w:top w:val="none" w:sz="0" w:space="0" w:color="auto"/>
                                                            <w:left w:val="none" w:sz="0" w:space="0" w:color="auto"/>
                                                            <w:bottom w:val="none" w:sz="0" w:space="0" w:color="auto"/>
                                                            <w:right w:val="none" w:sz="0" w:space="0" w:color="auto"/>
                                                          </w:divBdr>
                                                          <w:divsChild>
                                                            <w:div w:id="1286499742">
                                                              <w:marLeft w:val="0"/>
                                                              <w:marRight w:val="0"/>
                                                              <w:marTop w:val="0"/>
                                                              <w:marBottom w:val="0"/>
                                                              <w:divBdr>
                                                                <w:top w:val="none" w:sz="0" w:space="0" w:color="auto"/>
                                                                <w:left w:val="none" w:sz="0" w:space="0" w:color="auto"/>
                                                                <w:bottom w:val="none" w:sz="0" w:space="0" w:color="auto"/>
                                                                <w:right w:val="none" w:sz="0" w:space="0" w:color="auto"/>
                                                              </w:divBdr>
                                                            </w:div>
                                                          </w:divsChild>
                                                        </w:div>
                                                        <w:div w:id="1688435496">
                                                          <w:marLeft w:val="0"/>
                                                          <w:marRight w:val="0"/>
                                                          <w:marTop w:val="0"/>
                                                          <w:marBottom w:val="0"/>
                                                          <w:divBdr>
                                                            <w:top w:val="none" w:sz="0" w:space="0" w:color="auto"/>
                                                            <w:left w:val="none" w:sz="0" w:space="0" w:color="auto"/>
                                                            <w:bottom w:val="none" w:sz="0" w:space="0" w:color="auto"/>
                                                            <w:right w:val="none" w:sz="0" w:space="0" w:color="auto"/>
                                                          </w:divBdr>
                                                          <w:divsChild>
                                                            <w:div w:id="324284856">
                                                              <w:marLeft w:val="0"/>
                                                              <w:marRight w:val="0"/>
                                                              <w:marTop w:val="0"/>
                                                              <w:marBottom w:val="0"/>
                                                              <w:divBdr>
                                                                <w:top w:val="none" w:sz="0" w:space="0" w:color="auto"/>
                                                                <w:left w:val="none" w:sz="0" w:space="0" w:color="auto"/>
                                                                <w:bottom w:val="none" w:sz="0" w:space="0" w:color="auto"/>
                                                                <w:right w:val="none" w:sz="0" w:space="0" w:color="auto"/>
                                                              </w:divBdr>
                                                              <w:divsChild>
                                                                <w:div w:id="2061783380">
                                                                  <w:marLeft w:val="0"/>
                                                                  <w:marRight w:val="0"/>
                                                                  <w:marTop w:val="0"/>
                                                                  <w:marBottom w:val="0"/>
                                                                  <w:divBdr>
                                                                    <w:top w:val="none" w:sz="0" w:space="0" w:color="auto"/>
                                                                    <w:left w:val="none" w:sz="0" w:space="0" w:color="auto"/>
                                                                    <w:bottom w:val="none" w:sz="0" w:space="0" w:color="auto"/>
                                                                    <w:right w:val="none" w:sz="0" w:space="0" w:color="auto"/>
                                                                  </w:divBdr>
                                                                  <w:divsChild>
                                                                    <w:div w:id="502160421">
                                                                      <w:marLeft w:val="0"/>
                                                                      <w:marRight w:val="0"/>
                                                                      <w:marTop w:val="0"/>
                                                                      <w:marBottom w:val="0"/>
                                                                      <w:divBdr>
                                                                        <w:top w:val="none" w:sz="0" w:space="0" w:color="auto"/>
                                                                        <w:left w:val="none" w:sz="0" w:space="0" w:color="auto"/>
                                                                        <w:bottom w:val="none" w:sz="0" w:space="0" w:color="auto"/>
                                                                        <w:right w:val="none" w:sz="0" w:space="0" w:color="auto"/>
                                                                      </w:divBdr>
                                                                      <w:divsChild>
                                                                        <w:div w:id="688916935">
                                                                          <w:marLeft w:val="0"/>
                                                                          <w:marRight w:val="0"/>
                                                                          <w:marTop w:val="0"/>
                                                                          <w:marBottom w:val="0"/>
                                                                          <w:divBdr>
                                                                            <w:top w:val="none" w:sz="0" w:space="0" w:color="auto"/>
                                                                            <w:left w:val="none" w:sz="0" w:space="0" w:color="auto"/>
                                                                            <w:bottom w:val="none" w:sz="0" w:space="0" w:color="auto"/>
                                                                            <w:right w:val="none" w:sz="0" w:space="0" w:color="auto"/>
                                                                          </w:divBdr>
                                                                        </w:div>
                                                                      </w:divsChild>
                                                                    </w:div>
                                                                    <w:div w:id="1036810315">
                                                                      <w:marLeft w:val="0"/>
                                                                      <w:marRight w:val="0"/>
                                                                      <w:marTop w:val="0"/>
                                                                      <w:marBottom w:val="405"/>
                                                                      <w:divBdr>
                                                                        <w:top w:val="none" w:sz="0" w:space="0" w:color="auto"/>
                                                                        <w:left w:val="none" w:sz="0" w:space="0" w:color="auto"/>
                                                                        <w:bottom w:val="none" w:sz="0" w:space="0" w:color="auto"/>
                                                                        <w:right w:val="none" w:sz="0" w:space="0" w:color="auto"/>
                                                                      </w:divBdr>
                                                                      <w:divsChild>
                                                                        <w:div w:id="277638533">
                                                                          <w:marLeft w:val="0"/>
                                                                          <w:marRight w:val="0"/>
                                                                          <w:marTop w:val="0"/>
                                                                          <w:marBottom w:val="0"/>
                                                                          <w:divBdr>
                                                                            <w:top w:val="none" w:sz="0" w:space="0" w:color="auto"/>
                                                                            <w:left w:val="none" w:sz="0" w:space="0" w:color="auto"/>
                                                                            <w:bottom w:val="none" w:sz="0" w:space="0" w:color="auto"/>
                                                                            <w:right w:val="none" w:sz="0" w:space="0" w:color="auto"/>
                                                                          </w:divBdr>
                                                                          <w:divsChild>
                                                                            <w:div w:id="1004744774">
                                                                              <w:marLeft w:val="0"/>
                                                                              <w:marRight w:val="0"/>
                                                                              <w:marTop w:val="0"/>
                                                                              <w:marBottom w:val="0"/>
                                                                              <w:divBdr>
                                                                                <w:top w:val="none" w:sz="0" w:space="0" w:color="auto"/>
                                                                                <w:left w:val="none" w:sz="0" w:space="0" w:color="auto"/>
                                                                                <w:bottom w:val="none" w:sz="0" w:space="0" w:color="auto"/>
                                                                                <w:right w:val="none" w:sz="0" w:space="0" w:color="auto"/>
                                                                              </w:divBdr>
                                                                              <w:divsChild>
                                                                                <w:div w:id="360936411">
                                                                                  <w:marLeft w:val="0"/>
                                                                                  <w:marRight w:val="0"/>
                                                                                  <w:marTop w:val="0"/>
                                                                                  <w:marBottom w:val="0"/>
                                                                                  <w:divBdr>
                                                                                    <w:top w:val="none" w:sz="0" w:space="0" w:color="auto"/>
                                                                                    <w:left w:val="none" w:sz="0" w:space="0" w:color="auto"/>
                                                                                    <w:bottom w:val="none" w:sz="0" w:space="0" w:color="auto"/>
                                                                                    <w:right w:val="none" w:sz="0" w:space="0" w:color="auto"/>
                                                                                  </w:divBdr>
                                                                                  <w:divsChild>
                                                                                    <w:div w:id="15405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5659">
                                                      <w:marLeft w:val="0"/>
                                                      <w:marRight w:val="0"/>
                                                      <w:marTop w:val="0"/>
                                                      <w:marBottom w:val="0"/>
                                                      <w:divBdr>
                                                        <w:top w:val="none" w:sz="0" w:space="0" w:color="auto"/>
                                                        <w:left w:val="none" w:sz="0" w:space="0" w:color="auto"/>
                                                        <w:bottom w:val="none" w:sz="0" w:space="0" w:color="auto"/>
                                                        <w:right w:val="none" w:sz="0" w:space="0" w:color="auto"/>
                                                      </w:divBdr>
                                                      <w:divsChild>
                                                        <w:div w:id="374624160">
                                                          <w:marLeft w:val="0"/>
                                                          <w:marRight w:val="0"/>
                                                          <w:marTop w:val="0"/>
                                                          <w:marBottom w:val="0"/>
                                                          <w:divBdr>
                                                            <w:top w:val="none" w:sz="0" w:space="0" w:color="auto"/>
                                                            <w:left w:val="none" w:sz="0" w:space="0" w:color="auto"/>
                                                            <w:bottom w:val="none" w:sz="0" w:space="0" w:color="auto"/>
                                                            <w:right w:val="none" w:sz="0" w:space="0" w:color="auto"/>
                                                          </w:divBdr>
                                                          <w:divsChild>
                                                            <w:div w:id="1199514417">
                                                              <w:marLeft w:val="0"/>
                                                              <w:marRight w:val="0"/>
                                                              <w:marTop w:val="0"/>
                                                              <w:marBottom w:val="0"/>
                                                              <w:divBdr>
                                                                <w:top w:val="none" w:sz="0" w:space="0" w:color="auto"/>
                                                                <w:left w:val="none" w:sz="0" w:space="0" w:color="auto"/>
                                                                <w:bottom w:val="none" w:sz="0" w:space="0" w:color="auto"/>
                                                                <w:right w:val="none" w:sz="0" w:space="0" w:color="auto"/>
                                                              </w:divBdr>
                                                            </w:div>
                                                          </w:divsChild>
                                                        </w:div>
                                                        <w:div w:id="625281685">
                                                          <w:marLeft w:val="0"/>
                                                          <w:marRight w:val="0"/>
                                                          <w:marTop w:val="0"/>
                                                          <w:marBottom w:val="0"/>
                                                          <w:divBdr>
                                                            <w:top w:val="none" w:sz="0" w:space="0" w:color="auto"/>
                                                            <w:left w:val="none" w:sz="0" w:space="0" w:color="auto"/>
                                                            <w:bottom w:val="none" w:sz="0" w:space="0" w:color="auto"/>
                                                            <w:right w:val="none" w:sz="0" w:space="0" w:color="auto"/>
                                                          </w:divBdr>
                                                          <w:divsChild>
                                                            <w:div w:id="1264455875">
                                                              <w:marLeft w:val="0"/>
                                                              <w:marRight w:val="0"/>
                                                              <w:marTop w:val="0"/>
                                                              <w:marBottom w:val="0"/>
                                                              <w:divBdr>
                                                                <w:top w:val="none" w:sz="0" w:space="0" w:color="auto"/>
                                                                <w:left w:val="none" w:sz="0" w:space="0" w:color="auto"/>
                                                                <w:bottom w:val="none" w:sz="0" w:space="0" w:color="auto"/>
                                                                <w:right w:val="none" w:sz="0" w:space="0" w:color="auto"/>
                                                              </w:divBdr>
                                                              <w:divsChild>
                                                                <w:div w:id="1345982604">
                                                                  <w:marLeft w:val="0"/>
                                                                  <w:marRight w:val="0"/>
                                                                  <w:marTop w:val="0"/>
                                                                  <w:marBottom w:val="0"/>
                                                                  <w:divBdr>
                                                                    <w:top w:val="none" w:sz="0" w:space="0" w:color="auto"/>
                                                                    <w:left w:val="none" w:sz="0" w:space="0" w:color="auto"/>
                                                                    <w:bottom w:val="none" w:sz="0" w:space="0" w:color="auto"/>
                                                                    <w:right w:val="none" w:sz="0" w:space="0" w:color="auto"/>
                                                                  </w:divBdr>
                                                                  <w:divsChild>
                                                                    <w:div w:id="400325629">
                                                                      <w:marLeft w:val="0"/>
                                                                      <w:marRight w:val="0"/>
                                                                      <w:marTop w:val="0"/>
                                                                      <w:marBottom w:val="0"/>
                                                                      <w:divBdr>
                                                                        <w:top w:val="none" w:sz="0" w:space="0" w:color="auto"/>
                                                                        <w:left w:val="none" w:sz="0" w:space="0" w:color="auto"/>
                                                                        <w:bottom w:val="none" w:sz="0" w:space="0" w:color="auto"/>
                                                                        <w:right w:val="none" w:sz="0" w:space="0" w:color="auto"/>
                                                                      </w:divBdr>
                                                                      <w:divsChild>
                                                                        <w:div w:id="1336420222">
                                                                          <w:marLeft w:val="0"/>
                                                                          <w:marRight w:val="0"/>
                                                                          <w:marTop w:val="0"/>
                                                                          <w:marBottom w:val="0"/>
                                                                          <w:divBdr>
                                                                            <w:top w:val="none" w:sz="0" w:space="0" w:color="auto"/>
                                                                            <w:left w:val="none" w:sz="0" w:space="0" w:color="auto"/>
                                                                            <w:bottom w:val="none" w:sz="0" w:space="0" w:color="auto"/>
                                                                            <w:right w:val="none" w:sz="0" w:space="0" w:color="auto"/>
                                                                          </w:divBdr>
                                                                        </w:div>
                                                                      </w:divsChild>
                                                                    </w:div>
                                                                    <w:div w:id="1563175932">
                                                                      <w:marLeft w:val="0"/>
                                                                      <w:marRight w:val="0"/>
                                                                      <w:marTop w:val="0"/>
                                                                      <w:marBottom w:val="405"/>
                                                                      <w:divBdr>
                                                                        <w:top w:val="none" w:sz="0" w:space="0" w:color="auto"/>
                                                                        <w:left w:val="none" w:sz="0" w:space="0" w:color="auto"/>
                                                                        <w:bottom w:val="none" w:sz="0" w:space="0" w:color="auto"/>
                                                                        <w:right w:val="none" w:sz="0" w:space="0" w:color="auto"/>
                                                                      </w:divBdr>
                                                                      <w:divsChild>
                                                                        <w:div w:id="685519090">
                                                                          <w:marLeft w:val="0"/>
                                                                          <w:marRight w:val="0"/>
                                                                          <w:marTop w:val="0"/>
                                                                          <w:marBottom w:val="0"/>
                                                                          <w:divBdr>
                                                                            <w:top w:val="none" w:sz="0" w:space="0" w:color="auto"/>
                                                                            <w:left w:val="none" w:sz="0" w:space="0" w:color="auto"/>
                                                                            <w:bottom w:val="none" w:sz="0" w:space="0" w:color="auto"/>
                                                                            <w:right w:val="none" w:sz="0" w:space="0" w:color="auto"/>
                                                                          </w:divBdr>
                                                                          <w:divsChild>
                                                                            <w:div w:id="448551073">
                                                                              <w:marLeft w:val="0"/>
                                                                              <w:marRight w:val="0"/>
                                                                              <w:marTop w:val="0"/>
                                                                              <w:marBottom w:val="0"/>
                                                                              <w:divBdr>
                                                                                <w:top w:val="none" w:sz="0" w:space="0" w:color="auto"/>
                                                                                <w:left w:val="none" w:sz="0" w:space="0" w:color="auto"/>
                                                                                <w:bottom w:val="none" w:sz="0" w:space="0" w:color="auto"/>
                                                                                <w:right w:val="none" w:sz="0" w:space="0" w:color="auto"/>
                                                                              </w:divBdr>
                                                                              <w:divsChild>
                                                                                <w:div w:id="1620985948">
                                                                                  <w:marLeft w:val="0"/>
                                                                                  <w:marRight w:val="0"/>
                                                                                  <w:marTop w:val="0"/>
                                                                                  <w:marBottom w:val="0"/>
                                                                                  <w:divBdr>
                                                                                    <w:top w:val="none" w:sz="0" w:space="0" w:color="auto"/>
                                                                                    <w:left w:val="none" w:sz="0" w:space="0" w:color="auto"/>
                                                                                    <w:bottom w:val="none" w:sz="0" w:space="0" w:color="auto"/>
                                                                                    <w:right w:val="none" w:sz="0" w:space="0" w:color="auto"/>
                                                                                  </w:divBdr>
                                                                                  <w:divsChild>
                                                                                    <w:div w:id="11916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5702">
                                                      <w:marLeft w:val="0"/>
                                                      <w:marRight w:val="0"/>
                                                      <w:marTop w:val="0"/>
                                                      <w:marBottom w:val="0"/>
                                                      <w:divBdr>
                                                        <w:top w:val="none" w:sz="0" w:space="0" w:color="auto"/>
                                                        <w:left w:val="none" w:sz="0" w:space="0" w:color="auto"/>
                                                        <w:bottom w:val="none" w:sz="0" w:space="0" w:color="auto"/>
                                                        <w:right w:val="none" w:sz="0" w:space="0" w:color="auto"/>
                                                      </w:divBdr>
                                                      <w:divsChild>
                                                        <w:div w:id="10232042">
                                                          <w:marLeft w:val="0"/>
                                                          <w:marRight w:val="0"/>
                                                          <w:marTop w:val="0"/>
                                                          <w:marBottom w:val="0"/>
                                                          <w:divBdr>
                                                            <w:top w:val="none" w:sz="0" w:space="0" w:color="auto"/>
                                                            <w:left w:val="none" w:sz="0" w:space="0" w:color="auto"/>
                                                            <w:bottom w:val="none" w:sz="0" w:space="0" w:color="auto"/>
                                                            <w:right w:val="none" w:sz="0" w:space="0" w:color="auto"/>
                                                          </w:divBdr>
                                                          <w:divsChild>
                                                            <w:div w:id="394814628">
                                                              <w:marLeft w:val="0"/>
                                                              <w:marRight w:val="0"/>
                                                              <w:marTop w:val="0"/>
                                                              <w:marBottom w:val="0"/>
                                                              <w:divBdr>
                                                                <w:top w:val="none" w:sz="0" w:space="0" w:color="auto"/>
                                                                <w:left w:val="none" w:sz="0" w:space="0" w:color="auto"/>
                                                                <w:bottom w:val="none" w:sz="0" w:space="0" w:color="auto"/>
                                                                <w:right w:val="none" w:sz="0" w:space="0" w:color="auto"/>
                                                              </w:divBdr>
                                                            </w:div>
                                                          </w:divsChild>
                                                        </w:div>
                                                        <w:div w:id="1697924625">
                                                          <w:marLeft w:val="0"/>
                                                          <w:marRight w:val="0"/>
                                                          <w:marTop w:val="0"/>
                                                          <w:marBottom w:val="0"/>
                                                          <w:divBdr>
                                                            <w:top w:val="none" w:sz="0" w:space="0" w:color="auto"/>
                                                            <w:left w:val="none" w:sz="0" w:space="0" w:color="auto"/>
                                                            <w:bottom w:val="none" w:sz="0" w:space="0" w:color="auto"/>
                                                            <w:right w:val="none" w:sz="0" w:space="0" w:color="auto"/>
                                                          </w:divBdr>
                                                          <w:divsChild>
                                                            <w:div w:id="573660820">
                                                              <w:marLeft w:val="0"/>
                                                              <w:marRight w:val="0"/>
                                                              <w:marTop w:val="0"/>
                                                              <w:marBottom w:val="0"/>
                                                              <w:divBdr>
                                                                <w:top w:val="none" w:sz="0" w:space="0" w:color="auto"/>
                                                                <w:left w:val="none" w:sz="0" w:space="0" w:color="auto"/>
                                                                <w:bottom w:val="none" w:sz="0" w:space="0" w:color="auto"/>
                                                                <w:right w:val="none" w:sz="0" w:space="0" w:color="auto"/>
                                                              </w:divBdr>
                                                              <w:divsChild>
                                                                <w:div w:id="29382219">
                                                                  <w:marLeft w:val="0"/>
                                                                  <w:marRight w:val="0"/>
                                                                  <w:marTop w:val="0"/>
                                                                  <w:marBottom w:val="0"/>
                                                                  <w:divBdr>
                                                                    <w:top w:val="none" w:sz="0" w:space="0" w:color="auto"/>
                                                                    <w:left w:val="none" w:sz="0" w:space="0" w:color="auto"/>
                                                                    <w:bottom w:val="none" w:sz="0" w:space="0" w:color="auto"/>
                                                                    <w:right w:val="none" w:sz="0" w:space="0" w:color="auto"/>
                                                                  </w:divBdr>
                                                                  <w:divsChild>
                                                                    <w:div w:id="109323465">
                                                                      <w:marLeft w:val="0"/>
                                                                      <w:marRight w:val="0"/>
                                                                      <w:marTop w:val="0"/>
                                                                      <w:marBottom w:val="0"/>
                                                                      <w:divBdr>
                                                                        <w:top w:val="none" w:sz="0" w:space="0" w:color="auto"/>
                                                                        <w:left w:val="none" w:sz="0" w:space="0" w:color="auto"/>
                                                                        <w:bottom w:val="none" w:sz="0" w:space="0" w:color="auto"/>
                                                                        <w:right w:val="none" w:sz="0" w:space="0" w:color="auto"/>
                                                                      </w:divBdr>
                                                                      <w:divsChild>
                                                                        <w:div w:id="892617062">
                                                                          <w:marLeft w:val="0"/>
                                                                          <w:marRight w:val="0"/>
                                                                          <w:marTop w:val="0"/>
                                                                          <w:marBottom w:val="0"/>
                                                                          <w:divBdr>
                                                                            <w:top w:val="none" w:sz="0" w:space="0" w:color="auto"/>
                                                                            <w:left w:val="none" w:sz="0" w:space="0" w:color="auto"/>
                                                                            <w:bottom w:val="none" w:sz="0" w:space="0" w:color="auto"/>
                                                                            <w:right w:val="none" w:sz="0" w:space="0" w:color="auto"/>
                                                                          </w:divBdr>
                                                                        </w:div>
                                                                      </w:divsChild>
                                                                    </w:div>
                                                                    <w:div w:id="47848869">
                                                                      <w:marLeft w:val="0"/>
                                                                      <w:marRight w:val="0"/>
                                                                      <w:marTop w:val="0"/>
                                                                      <w:marBottom w:val="405"/>
                                                                      <w:divBdr>
                                                                        <w:top w:val="none" w:sz="0" w:space="0" w:color="auto"/>
                                                                        <w:left w:val="none" w:sz="0" w:space="0" w:color="auto"/>
                                                                        <w:bottom w:val="none" w:sz="0" w:space="0" w:color="auto"/>
                                                                        <w:right w:val="none" w:sz="0" w:space="0" w:color="auto"/>
                                                                      </w:divBdr>
                                                                      <w:divsChild>
                                                                        <w:div w:id="323053205">
                                                                          <w:marLeft w:val="0"/>
                                                                          <w:marRight w:val="0"/>
                                                                          <w:marTop w:val="0"/>
                                                                          <w:marBottom w:val="0"/>
                                                                          <w:divBdr>
                                                                            <w:top w:val="none" w:sz="0" w:space="0" w:color="auto"/>
                                                                            <w:left w:val="none" w:sz="0" w:space="0" w:color="auto"/>
                                                                            <w:bottom w:val="none" w:sz="0" w:space="0" w:color="auto"/>
                                                                            <w:right w:val="none" w:sz="0" w:space="0" w:color="auto"/>
                                                                          </w:divBdr>
                                                                          <w:divsChild>
                                                                            <w:div w:id="1772237191">
                                                                              <w:marLeft w:val="0"/>
                                                                              <w:marRight w:val="0"/>
                                                                              <w:marTop w:val="0"/>
                                                                              <w:marBottom w:val="0"/>
                                                                              <w:divBdr>
                                                                                <w:top w:val="none" w:sz="0" w:space="0" w:color="auto"/>
                                                                                <w:left w:val="none" w:sz="0" w:space="0" w:color="auto"/>
                                                                                <w:bottom w:val="none" w:sz="0" w:space="0" w:color="auto"/>
                                                                                <w:right w:val="none" w:sz="0" w:space="0" w:color="auto"/>
                                                                              </w:divBdr>
                                                                              <w:divsChild>
                                                                                <w:div w:id="506987713">
                                                                                  <w:marLeft w:val="0"/>
                                                                                  <w:marRight w:val="0"/>
                                                                                  <w:marTop w:val="0"/>
                                                                                  <w:marBottom w:val="0"/>
                                                                                  <w:divBdr>
                                                                                    <w:top w:val="none" w:sz="0" w:space="0" w:color="auto"/>
                                                                                    <w:left w:val="none" w:sz="0" w:space="0" w:color="auto"/>
                                                                                    <w:bottom w:val="none" w:sz="0" w:space="0" w:color="auto"/>
                                                                                    <w:right w:val="none" w:sz="0" w:space="0" w:color="auto"/>
                                                                                  </w:divBdr>
                                                                                  <w:divsChild>
                                                                                    <w:div w:id="6337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87147">
                                                      <w:marLeft w:val="0"/>
                                                      <w:marRight w:val="0"/>
                                                      <w:marTop w:val="0"/>
                                                      <w:marBottom w:val="0"/>
                                                      <w:divBdr>
                                                        <w:top w:val="none" w:sz="0" w:space="0" w:color="auto"/>
                                                        <w:left w:val="none" w:sz="0" w:space="0" w:color="auto"/>
                                                        <w:bottom w:val="none" w:sz="0" w:space="0" w:color="auto"/>
                                                        <w:right w:val="none" w:sz="0" w:space="0" w:color="auto"/>
                                                      </w:divBdr>
                                                      <w:divsChild>
                                                        <w:div w:id="674958566">
                                                          <w:marLeft w:val="0"/>
                                                          <w:marRight w:val="0"/>
                                                          <w:marTop w:val="0"/>
                                                          <w:marBottom w:val="0"/>
                                                          <w:divBdr>
                                                            <w:top w:val="none" w:sz="0" w:space="0" w:color="auto"/>
                                                            <w:left w:val="none" w:sz="0" w:space="0" w:color="auto"/>
                                                            <w:bottom w:val="none" w:sz="0" w:space="0" w:color="auto"/>
                                                            <w:right w:val="none" w:sz="0" w:space="0" w:color="auto"/>
                                                          </w:divBdr>
                                                          <w:divsChild>
                                                            <w:div w:id="1940332617">
                                                              <w:marLeft w:val="0"/>
                                                              <w:marRight w:val="0"/>
                                                              <w:marTop w:val="0"/>
                                                              <w:marBottom w:val="0"/>
                                                              <w:divBdr>
                                                                <w:top w:val="none" w:sz="0" w:space="0" w:color="auto"/>
                                                                <w:left w:val="none" w:sz="0" w:space="0" w:color="auto"/>
                                                                <w:bottom w:val="none" w:sz="0" w:space="0" w:color="auto"/>
                                                                <w:right w:val="none" w:sz="0" w:space="0" w:color="auto"/>
                                                              </w:divBdr>
                                                            </w:div>
                                                          </w:divsChild>
                                                        </w:div>
                                                        <w:div w:id="1946578125">
                                                          <w:marLeft w:val="0"/>
                                                          <w:marRight w:val="0"/>
                                                          <w:marTop w:val="0"/>
                                                          <w:marBottom w:val="0"/>
                                                          <w:divBdr>
                                                            <w:top w:val="none" w:sz="0" w:space="0" w:color="auto"/>
                                                            <w:left w:val="none" w:sz="0" w:space="0" w:color="auto"/>
                                                            <w:bottom w:val="none" w:sz="0" w:space="0" w:color="auto"/>
                                                            <w:right w:val="none" w:sz="0" w:space="0" w:color="auto"/>
                                                          </w:divBdr>
                                                          <w:divsChild>
                                                            <w:div w:id="1240406941">
                                                              <w:marLeft w:val="0"/>
                                                              <w:marRight w:val="0"/>
                                                              <w:marTop w:val="0"/>
                                                              <w:marBottom w:val="0"/>
                                                              <w:divBdr>
                                                                <w:top w:val="none" w:sz="0" w:space="0" w:color="auto"/>
                                                                <w:left w:val="none" w:sz="0" w:space="0" w:color="auto"/>
                                                                <w:bottom w:val="none" w:sz="0" w:space="0" w:color="auto"/>
                                                                <w:right w:val="none" w:sz="0" w:space="0" w:color="auto"/>
                                                              </w:divBdr>
                                                              <w:divsChild>
                                                                <w:div w:id="2094429457">
                                                                  <w:marLeft w:val="0"/>
                                                                  <w:marRight w:val="0"/>
                                                                  <w:marTop w:val="0"/>
                                                                  <w:marBottom w:val="0"/>
                                                                  <w:divBdr>
                                                                    <w:top w:val="none" w:sz="0" w:space="0" w:color="auto"/>
                                                                    <w:left w:val="none" w:sz="0" w:space="0" w:color="auto"/>
                                                                    <w:bottom w:val="none" w:sz="0" w:space="0" w:color="auto"/>
                                                                    <w:right w:val="none" w:sz="0" w:space="0" w:color="auto"/>
                                                                  </w:divBdr>
                                                                  <w:divsChild>
                                                                    <w:div w:id="203948497">
                                                                      <w:marLeft w:val="0"/>
                                                                      <w:marRight w:val="0"/>
                                                                      <w:marTop w:val="0"/>
                                                                      <w:marBottom w:val="0"/>
                                                                      <w:divBdr>
                                                                        <w:top w:val="none" w:sz="0" w:space="0" w:color="auto"/>
                                                                        <w:left w:val="none" w:sz="0" w:space="0" w:color="auto"/>
                                                                        <w:bottom w:val="none" w:sz="0" w:space="0" w:color="auto"/>
                                                                        <w:right w:val="none" w:sz="0" w:space="0" w:color="auto"/>
                                                                      </w:divBdr>
                                                                      <w:divsChild>
                                                                        <w:div w:id="1862279914">
                                                                          <w:marLeft w:val="0"/>
                                                                          <w:marRight w:val="0"/>
                                                                          <w:marTop w:val="0"/>
                                                                          <w:marBottom w:val="0"/>
                                                                          <w:divBdr>
                                                                            <w:top w:val="none" w:sz="0" w:space="0" w:color="auto"/>
                                                                            <w:left w:val="none" w:sz="0" w:space="0" w:color="auto"/>
                                                                            <w:bottom w:val="none" w:sz="0" w:space="0" w:color="auto"/>
                                                                            <w:right w:val="none" w:sz="0" w:space="0" w:color="auto"/>
                                                                          </w:divBdr>
                                                                        </w:div>
                                                                      </w:divsChild>
                                                                    </w:div>
                                                                    <w:div w:id="695346527">
                                                                      <w:marLeft w:val="0"/>
                                                                      <w:marRight w:val="0"/>
                                                                      <w:marTop w:val="0"/>
                                                                      <w:marBottom w:val="405"/>
                                                                      <w:divBdr>
                                                                        <w:top w:val="none" w:sz="0" w:space="0" w:color="auto"/>
                                                                        <w:left w:val="none" w:sz="0" w:space="0" w:color="auto"/>
                                                                        <w:bottom w:val="none" w:sz="0" w:space="0" w:color="auto"/>
                                                                        <w:right w:val="none" w:sz="0" w:space="0" w:color="auto"/>
                                                                      </w:divBdr>
                                                                      <w:divsChild>
                                                                        <w:div w:id="1944459924">
                                                                          <w:marLeft w:val="0"/>
                                                                          <w:marRight w:val="0"/>
                                                                          <w:marTop w:val="0"/>
                                                                          <w:marBottom w:val="0"/>
                                                                          <w:divBdr>
                                                                            <w:top w:val="none" w:sz="0" w:space="0" w:color="auto"/>
                                                                            <w:left w:val="none" w:sz="0" w:space="0" w:color="auto"/>
                                                                            <w:bottom w:val="none" w:sz="0" w:space="0" w:color="auto"/>
                                                                            <w:right w:val="none" w:sz="0" w:space="0" w:color="auto"/>
                                                                          </w:divBdr>
                                                                          <w:divsChild>
                                                                            <w:div w:id="475243">
                                                                              <w:marLeft w:val="0"/>
                                                                              <w:marRight w:val="0"/>
                                                                              <w:marTop w:val="0"/>
                                                                              <w:marBottom w:val="0"/>
                                                                              <w:divBdr>
                                                                                <w:top w:val="none" w:sz="0" w:space="0" w:color="auto"/>
                                                                                <w:left w:val="none" w:sz="0" w:space="0" w:color="auto"/>
                                                                                <w:bottom w:val="none" w:sz="0" w:space="0" w:color="auto"/>
                                                                                <w:right w:val="none" w:sz="0" w:space="0" w:color="auto"/>
                                                                              </w:divBdr>
                                                                              <w:divsChild>
                                                                                <w:div w:id="1096250243">
                                                                                  <w:marLeft w:val="0"/>
                                                                                  <w:marRight w:val="0"/>
                                                                                  <w:marTop w:val="0"/>
                                                                                  <w:marBottom w:val="0"/>
                                                                                  <w:divBdr>
                                                                                    <w:top w:val="none" w:sz="0" w:space="0" w:color="auto"/>
                                                                                    <w:left w:val="none" w:sz="0" w:space="0" w:color="auto"/>
                                                                                    <w:bottom w:val="none" w:sz="0" w:space="0" w:color="auto"/>
                                                                                    <w:right w:val="none" w:sz="0" w:space="0" w:color="auto"/>
                                                                                  </w:divBdr>
                                                                                  <w:divsChild>
                                                                                    <w:div w:id="11342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461654">
                                      <w:marLeft w:val="0"/>
                                      <w:marRight w:val="0"/>
                                      <w:marTop w:val="0"/>
                                      <w:marBottom w:val="0"/>
                                      <w:divBdr>
                                        <w:top w:val="none" w:sz="0" w:space="0" w:color="auto"/>
                                        <w:left w:val="none" w:sz="0" w:space="0" w:color="auto"/>
                                        <w:bottom w:val="none" w:sz="0" w:space="0" w:color="auto"/>
                                        <w:right w:val="none" w:sz="0" w:space="0" w:color="auto"/>
                                      </w:divBdr>
                                      <w:divsChild>
                                        <w:div w:id="738358573">
                                          <w:marLeft w:val="0"/>
                                          <w:marRight w:val="0"/>
                                          <w:marTop w:val="0"/>
                                          <w:marBottom w:val="0"/>
                                          <w:divBdr>
                                            <w:top w:val="none" w:sz="0" w:space="0" w:color="auto"/>
                                            <w:left w:val="none" w:sz="0" w:space="0" w:color="auto"/>
                                            <w:bottom w:val="none" w:sz="0" w:space="0" w:color="auto"/>
                                            <w:right w:val="none" w:sz="0" w:space="0" w:color="auto"/>
                                          </w:divBdr>
                                          <w:divsChild>
                                            <w:div w:id="16982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26361">
                              <w:marLeft w:val="0"/>
                              <w:marRight w:val="0"/>
                              <w:marTop w:val="0"/>
                              <w:marBottom w:val="0"/>
                              <w:divBdr>
                                <w:top w:val="none" w:sz="0" w:space="0" w:color="auto"/>
                                <w:left w:val="none" w:sz="0" w:space="0" w:color="auto"/>
                                <w:bottom w:val="none" w:sz="0" w:space="0" w:color="auto"/>
                                <w:right w:val="none" w:sz="0" w:space="0" w:color="auto"/>
                              </w:divBdr>
                              <w:divsChild>
                                <w:div w:id="734545442">
                                  <w:marLeft w:val="0"/>
                                  <w:marRight w:val="0"/>
                                  <w:marTop w:val="0"/>
                                  <w:marBottom w:val="0"/>
                                  <w:divBdr>
                                    <w:top w:val="none" w:sz="0" w:space="0" w:color="auto"/>
                                    <w:left w:val="none" w:sz="0" w:space="0" w:color="auto"/>
                                    <w:bottom w:val="none" w:sz="0" w:space="0" w:color="auto"/>
                                    <w:right w:val="none" w:sz="0" w:space="0" w:color="auto"/>
                                  </w:divBdr>
                                  <w:divsChild>
                                    <w:div w:id="1275475841">
                                      <w:marLeft w:val="0"/>
                                      <w:marRight w:val="0"/>
                                      <w:marTop w:val="0"/>
                                      <w:marBottom w:val="405"/>
                                      <w:divBdr>
                                        <w:top w:val="none" w:sz="0" w:space="0" w:color="auto"/>
                                        <w:left w:val="none" w:sz="0" w:space="0" w:color="auto"/>
                                        <w:bottom w:val="none" w:sz="0" w:space="0" w:color="auto"/>
                                        <w:right w:val="none" w:sz="0" w:space="0" w:color="auto"/>
                                      </w:divBdr>
                                      <w:divsChild>
                                        <w:div w:id="1976373605">
                                          <w:marLeft w:val="0"/>
                                          <w:marRight w:val="0"/>
                                          <w:marTop w:val="0"/>
                                          <w:marBottom w:val="0"/>
                                          <w:divBdr>
                                            <w:top w:val="none" w:sz="0" w:space="0" w:color="auto"/>
                                            <w:left w:val="none" w:sz="0" w:space="0" w:color="auto"/>
                                            <w:bottom w:val="none" w:sz="0" w:space="0" w:color="auto"/>
                                            <w:right w:val="none" w:sz="0" w:space="0" w:color="auto"/>
                                          </w:divBdr>
                                          <w:divsChild>
                                            <w:div w:id="1553031044">
                                              <w:marLeft w:val="0"/>
                                              <w:marRight w:val="0"/>
                                              <w:marTop w:val="0"/>
                                              <w:marBottom w:val="0"/>
                                              <w:divBdr>
                                                <w:top w:val="none" w:sz="0" w:space="0" w:color="auto"/>
                                                <w:left w:val="none" w:sz="0" w:space="0" w:color="auto"/>
                                                <w:bottom w:val="none" w:sz="0" w:space="0" w:color="auto"/>
                                                <w:right w:val="none" w:sz="0" w:space="0" w:color="auto"/>
                                              </w:divBdr>
                                              <w:divsChild>
                                                <w:div w:id="17433108">
                                                  <w:marLeft w:val="0"/>
                                                  <w:marRight w:val="0"/>
                                                  <w:marTop w:val="0"/>
                                                  <w:marBottom w:val="0"/>
                                                  <w:divBdr>
                                                    <w:top w:val="none" w:sz="0" w:space="0" w:color="auto"/>
                                                    <w:left w:val="none" w:sz="0" w:space="0" w:color="auto"/>
                                                    <w:bottom w:val="none" w:sz="0" w:space="0" w:color="auto"/>
                                                    <w:right w:val="none" w:sz="0" w:space="0" w:color="auto"/>
                                                  </w:divBdr>
                                                  <w:divsChild>
                                                    <w:div w:id="700864317">
                                                      <w:marLeft w:val="0"/>
                                                      <w:marRight w:val="0"/>
                                                      <w:marTop w:val="0"/>
                                                      <w:marBottom w:val="0"/>
                                                      <w:divBdr>
                                                        <w:top w:val="none" w:sz="0" w:space="0" w:color="auto"/>
                                                        <w:left w:val="none" w:sz="0" w:space="0" w:color="auto"/>
                                                        <w:bottom w:val="none" w:sz="0" w:space="0" w:color="auto"/>
                                                        <w:right w:val="none" w:sz="0" w:space="0" w:color="auto"/>
                                                      </w:divBdr>
                                                    </w:div>
                                                    <w:div w:id="1805612947">
                                                      <w:marLeft w:val="0"/>
                                                      <w:marRight w:val="0"/>
                                                      <w:marTop w:val="0"/>
                                                      <w:marBottom w:val="0"/>
                                                      <w:divBdr>
                                                        <w:top w:val="none" w:sz="0" w:space="0" w:color="auto"/>
                                                        <w:left w:val="none" w:sz="0" w:space="0" w:color="auto"/>
                                                        <w:bottom w:val="none" w:sz="0" w:space="0" w:color="auto"/>
                                                        <w:right w:val="none" w:sz="0" w:space="0" w:color="auto"/>
                                                      </w:divBdr>
                                                      <w:divsChild>
                                                        <w:div w:id="1789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441">
                                                  <w:marLeft w:val="0"/>
                                                  <w:marRight w:val="0"/>
                                                  <w:marTop w:val="0"/>
                                                  <w:marBottom w:val="0"/>
                                                  <w:divBdr>
                                                    <w:top w:val="none" w:sz="0" w:space="0" w:color="auto"/>
                                                    <w:left w:val="none" w:sz="0" w:space="0" w:color="auto"/>
                                                    <w:bottom w:val="none" w:sz="0" w:space="0" w:color="auto"/>
                                                    <w:right w:val="none" w:sz="0" w:space="0" w:color="auto"/>
                                                  </w:divBdr>
                                                  <w:divsChild>
                                                    <w:div w:id="9822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03121">
                                      <w:marLeft w:val="0"/>
                                      <w:marRight w:val="0"/>
                                      <w:marTop w:val="0"/>
                                      <w:marBottom w:val="405"/>
                                      <w:divBdr>
                                        <w:top w:val="none" w:sz="0" w:space="0" w:color="auto"/>
                                        <w:left w:val="none" w:sz="0" w:space="0" w:color="auto"/>
                                        <w:bottom w:val="none" w:sz="0" w:space="0" w:color="auto"/>
                                        <w:right w:val="none" w:sz="0" w:space="0" w:color="auto"/>
                                      </w:divBdr>
                                      <w:divsChild>
                                        <w:div w:id="205794955">
                                          <w:marLeft w:val="0"/>
                                          <w:marRight w:val="0"/>
                                          <w:marTop w:val="0"/>
                                          <w:marBottom w:val="0"/>
                                          <w:divBdr>
                                            <w:top w:val="none" w:sz="0" w:space="0" w:color="auto"/>
                                            <w:left w:val="none" w:sz="0" w:space="0" w:color="auto"/>
                                            <w:bottom w:val="none" w:sz="0" w:space="0" w:color="auto"/>
                                            <w:right w:val="none" w:sz="0" w:space="0" w:color="auto"/>
                                          </w:divBdr>
                                          <w:divsChild>
                                            <w:div w:id="777455964">
                                              <w:marLeft w:val="0"/>
                                              <w:marRight w:val="0"/>
                                              <w:marTop w:val="0"/>
                                              <w:marBottom w:val="0"/>
                                              <w:divBdr>
                                                <w:top w:val="none" w:sz="0" w:space="0" w:color="auto"/>
                                                <w:left w:val="none" w:sz="0" w:space="0" w:color="auto"/>
                                                <w:bottom w:val="none" w:sz="0" w:space="0" w:color="auto"/>
                                                <w:right w:val="none" w:sz="0" w:space="0" w:color="auto"/>
                                              </w:divBdr>
                                              <w:divsChild>
                                                <w:div w:id="1469930767">
                                                  <w:marLeft w:val="0"/>
                                                  <w:marRight w:val="0"/>
                                                  <w:marTop w:val="0"/>
                                                  <w:marBottom w:val="0"/>
                                                  <w:divBdr>
                                                    <w:top w:val="none" w:sz="0" w:space="0" w:color="auto"/>
                                                    <w:left w:val="none" w:sz="0" w:space="0" w:color="auto"/>
                                                    <w:bottom w:val="none" w:sz="0" w:space="0" w:color="auto"/>
                                                    <w:right w:val="none" w:sz="0" w:space="0" w:color="auto"/>
                                                  </w:divBdr>
                                                  <w:divsChild>
                                                    <w:div w:id="1419012449">
                                                      <w:marLeft w:val="0"/>
                                                      <w:marRight w:val="0"/>
                                                      <w:marTop w:val="0"/>
                                                      <w:marBottom w:val="0"/>
                                                      <w:divBdr>
                                                        <w:top w:val="none" w:sz="0" w:space="0" w:color="auto"/>
                                                        <w:left w:val="none" w:sz="0" w:space="0" w:color="auto"/>
                                                        <w:bottom w:val="none" w:sz="0" w:space="0" w:color="auto"/>
                                                        <w:right w:val="none" w:sz="0" w:space="0" w:color="auto"/>
                                                      </w:divBdr>
                                                    </w:div>
                                                    <w:div w:id="1713647138">
                                                      <w:marLeft w:val="0"/>
                                                      <w:marRight w:val="0"/>
                                                      <w:marTop w:val="0"/>
                                                      <w:marBottom w:val="0"/>
                                                      <w:divBdr>
                                                        <w:top w:val="none" w:sz="0" w:space="0" w:color="auto"/>
                                                        <w:left w:val="none" w:sz="0" w:space="0" w:color="auto"/>
                                                        <w:bottom w:val="none" w:sz="0" w:space="0" w:color="auto"/>
                                                        <w:right w:val="none" w:sz="0" w:space="0" w:color="auto"/>
                                                      </w:divBdr>
                                                      <w:divsChild>
                                                        <w:div w:id="16889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8690">
                                                  <w:marLeft w:val="0"/>
                                                  <w:marRight w:val="0"/>
                                                  <w:marTop w:val="0"/>
                                                  <w:marBottom w:val="0"/>
                                                  <w:divBdr>
                                                    <w:top w:val="none" w:sz="0" w:space="0" w:color="auto"/>
                                                    <w:left w:val="none" w:sz="0" w:space="0" w:color="auto"/>
                                                    <w:bottom w:val="none" w:sz="0" w:space="0" w:color="auto"/>
                                                    <w:right w:val="none" w:sz="0" w:space="0" w:color="auto"/>
                                                  </w:divBdr>
                                                  <w:divsChild>
                                                    <w:div w:id="100614439">
                                                      <w:marLeft w:val="0"/>
                                                      <w:marRight w:val="0"/>
                                                      <w:marTop w:val="0"/>
                                                      <w:marBottom w:val="0"/>
                                                      <w:divBdr>
                                                        <w:top w:val="none" w:sz="0" w:space="0" w:color="auto"/>
                                                        <w:left w:val="none" w:sz="0" w:space="0" w:color="auto"/>
                                                        <w:bottom w:val="none" w:sz="0" w:space="0" w:color="auto"/>
                                                        <w:right w:val="none" w:sz="0" w:space="0" w:color="auto"/>
                                                      </w:divBdr>
                                                      <w:divsChild>
                                                        <w:div w:id="9057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52475">
                                      <w:marLeft w:val="0"/>
                                      <w:marRight w:val="0"/>
                                      <w:marTop w:val="0"/>
                                      <w:marBottom w:val="405"/>
                                      <w:divBdr>
                                        <w:top w:val="none" w:sz="0" w:space="0" w:color="auto"/>
                                        <w:left w:val="none" w:sz="0" w:space="0" w:color="auto"/>
                                        <w:bottom w:val="none" w:sz="0" w:space="0" w:color="auto"/>
                                        <w:right w:val="none" w:sz="0" w:space="0" w:color="auto"/>
                                      </w:divBdr>
                                      <w:divsChild>
                                        <w:div w:id="1675182137">
                                          <w:marLeft w:val="0"/>
                                          <w:marRight w:val="0"/>
                                          <w:marTop w:val="0"/>
                                          <w:marBottom w:val="0"/>
                                          <w:divBdr>
                                            <w:top w:val="none" w:sz="0" w:space="0" w:color="auto"/>
                                            <w:left w:val="none" w:sz="0" w:space="0" w:color="auto"/>
                                            <w:bottom w:val="none" w:sz="0" w:space="0" w:color="auto"/>
                                            <w:right w:val="none" w:sz="0" w:space="0" w:color="auto"/>
                                          </w:divBdr>
                                          <w:divsChild>
                                            <w:div w:id="2038003980">
                                              <w:marLeft w:val="0"/>
                                              <w:marRight w:val="0"/>
                                              <w:marTop w:val="0"/>
                                              <w:marBottom w:val="0"/>
                                              <w:divBdr>
                                                <w:top w:val="none" w:sz="0" w:space="0" w:color="auto"/>
                                                <w:left w:val="none" w:sz="0" w:space="0" w:color="auto"/>
                                                <w:bottom w:val="none" w:sz="0" w:space="0" w:color="auto"/>
                                                <w:right w:val="none" w:sz="0" w:space="0" w:color="auto"/>
                                              </w:divBdr>
                                              <w:divsChild>
                                                <w:div w:id="1116750075">
                                                  <w:marLeft w:val="0"/>
                                                  <w:marRight w:val="0"/>
                                                  <w:marTop w:val="0"/>
                                                  <w:marBottom w:val="0"/>
                                                  <w:divBdr>
                                                    <w:top w:val="none" w:sz="0" w:space="0" w:color="auto"/>
                                                    <w:left w:val="none" w:sz="0" w:space="0" w:color="auto"/>
                                                    <w:bottom w:val="none" w:sz="0" w:space="0" w:color="auto"/>
                                                    <w:right w:val="none" w:sz="0" w:space="0" w:color="auto"/>
                                                  </w:divBdr>
                                                  <w:divsChild>
                                                    <w:div w:id="794447460">
                                                      <w:marLeft w:val="0"/>
                                                      <w:marRight w:val="0"/>
                                                      <w:marTop w:val="0"/>
                                                      <w:marBottom w:val="0"/>
                                                      <w:divBdr>
                                                        <w:top w:val="none" w:sz="0" w:space="0" w:color="auto"/>
                                                        <w:left w:val="none" w:sz="0" w:space="0" w:color="auto"/>
                                                        <w:bottom w:val="none" w:sz="0" w:space="0" w:color="auto"/>
                                                        <w:right w:val="none" w:sz="0" w:space="0" w:color="auto"/>
                                                      </w:divBdr>
                                                    </w:div>
                                                    <w:div w:id="1240825086">
                                                      <w:marLeft w:val="0"/>
                                                      <w:marRight w:val="0"/>
                                                      <w:marTop w:val="0"/>
                                                      <w:marBottom w:val="0"/>
                                                      <w:divBdr>
                                                        <w:top w:val="none" w:sz="0" w:space="0" w:color="auto"/>
                                                        <w:left w:val="none" w:sz="0" w:space="0" w:color="auto"/>
                                                        <w:bottom w:val="none" w:sz="0" w:space="0" w:color="auto"/>
                                                        <w:right w:val="none" w:sz="0" w:space="0" w:color="auto"/>
                                                      </w:divBdr>
                                                      <w:divsChild>
                                                        <w:div w:id="15647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482">
                                                  <w:marLeft w:val="0"/>
                                                  <w:marRight w:val="0"/>
                                                  <w:marTop w:val="0"/>
                                                  <w:marBottom w:val="0"/>
                                                  <w:divBdr>
                                                    <w:top w:val="none" w:sz="0" w:space="0" w:color="auto"/>
                                                    <w:left w:val="none" w:sz="0" w:space="0" w:color="auto"/>
                                                    <w:bottom w:val="none" w:sz="0" w:space="0" w:color="auto"/>
                                                    <w:right w:val="none" w:sz="0" w:space="0" w:color="auto"/>
                                                  </w:divBdr>
                                                  <w:divsChild>
                                                    <w:div w:id="83260058">
                                                      <w:marLeft w:val="0"/>
                                                      <w:marRight w:val="0"/>
                                                      <w:marTop w:val="0"/>
                                                      <w:marBottom w:val="0"/>
                                                      <w:divBdr>
                                                        <w:top w:val="none" w:sz="0" w:space="0" w:color="auto"/>
                                                        <w:left w:val="none" w:sz="0" w:space="0" w:color="auto"/>
                                                        <w:bottom w:val="none" w:sz="0" w:space="0" w:color="auto"/>
                                                        <w:right w:val="none" w:sz="0" w:space="0" w:color="auto"/>
                                                      </w:divBdr>
                                                      <w:divsChild>
                                                        <w:div w:id="1026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8273">
                                      <w:marLeft w:val="0"/>
                                      <w:marRight w:val="0"/>
                                      <w:marTop w:val="0"/>
                                      <w:marBottom w:val="405"/>
                                      <w:divBdr>
                                        <w:top w:val="none" w:sz="0" w:space="0" w:color="auto"/>
                                        <w:left w:val="none" w:sz="0" w:space="0" w:color="auto"/>
                                        <w:bottom w:val="none" w:sz="0" w:space="0" w:color="auto"/>
                                        <w:right w:val="none" w:sz="0" w:space="0" w:color="auto"/>
                                      </w:divBdr>
                                      <w:divsChild>
                                        <w:div w:id="1255362887">
                                          <w:marLeft w:val="0"/>
                                          <w:marRight w:val="0"/>
                                          <w:marTop w:val="0"/>
                                          <w:marBottom w:val="0"/>
                                          <w:divBdr>
                                            <w:top w:val="none" w:sz="0" w:space="0" w:color="auto"/>
                                            <w:left w:val="none" w:sz="0" w:space="0" w:color="auto"/>
                                            <w:bottom w:val="none" w:sz="0" w:space="0" w:color="auto"/>
                                            <w:right w:val="none" w:sz="0" w:space="0" w:color="auto"/>
                                          </w:divBdr>
                                          <w:divsChild>
                                            <w:div w:id="740642984">
                                              <w:marLeft w:val="0"/>
                                              <w:marRight w:val="0"/>
                                              <w:marTop w:val="0"/>
                                              <w:marBottom w:val="0"/>
                                              <w:divBdr>
                                                <w:top w:val="none" w:sz="0" w:space="0" w:color="auto"/>
                                                <w:left w:val="none" w:sz="0" w:space="0" w:color="auto"/>
                                                <w:bottom w:val="none" w:sz="0" w:space="0" w:color="auto"/>
                                                <w:right w:val="none" w:sz="0" w:space="0" w:color="auto"/>
                                              </w:divBdr>
                                              <w:divsChild>
                                                <w:div w:id="139468169">
                                                  <w:marLeft w:val="0"/>
                                                  <w:marRight w:val="0"/>
                                                  <w:marTop w:val="0"/>
                                                  <w:marBottom w:val="0"/>
                                                  <w:divBdr>
                                                    <w:top w:val="none" w:sz="0" w:space="0" w:color="auto"/>
                                                    <w:left w:val="none" w:sz="0" w:space="0" w:color="auto"/>
                                                    <w:bottom w:val="none" w:sz="0" w:space="0" w:color="auto"/>
                                                    <w:right w:val="none" w:sz="0" w:space="0" w:color="auto"/>
                                                  </w:divBdr>
                                                  <w:divsChild>
                                                    <w:div w:id="1172836228">
                                                      <w:marLeft w:val="0"/>
                                                      <w:marRight w:val="0"/>
                                                      <w:marTop w:val="0"/>
                                                      <w:marBottom w:val="0"/>
                                                      <w:divBdr>
                                                        <w:top w:val="none" w:sz="0" w:space="0" w:color="auto"/>
                                                        <w:left w:val="none" w:sz="0" w:space="0" w:color="auto"/>
                                                        <w:bottom w:val="none" w:sz="0" w:space="0" w:color="auto"/>
                                                        <w:right w:val="none" w:sz="0" w:space="0" w:color="auto"/>
                                                      </w:divBdr>
                                                    </w:div>
                                                    <w:div w:id="1731537006">
                                                      <w:marLeft w:val="0"/>
                                                      <w:marRight w:val="0"/>
                                                      <w:marTop w:val="0"/>
                                                      <w:marBottom w:val="0"/>
                                                      <w:divBdr>
                                                        <w:top w:val="none" w:sz="0" w:space="0" w:color="auto"/>
                                                        <w:left w:val="none" w:sz="0" w:space="0" w:color="auto"/>
                                                        <w:bottom w:val="none" w:sz="0" w:space="0" w:color="auto"/>
                                                        <w:right w:val="none" w:sz="0" w:space="0" w:color="auto"/>
                                                      </w:divBdr>
                                                      <w:divsChild>
                                                        <w:div w:id="355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0013">
                                                  <w:marLeft w:val="0"/>
                                                  <w:marRight w:val="0"/>
                                                  <w:marTop w:val="0"/>
                                                  <w:marBottom w:val="0"/>
                                                  <w:divBdr>
                                                    <w:top w:val="none" w:sz="0" w:space="0" w:color="auto"/>
                                                    <w:left w:val="none" w:sz="0" w:space="0" w:color="auto"/>
                                                    <w:bottom w:val="none" w:sz="0" w:space="0" w:color="auto"/>
                                                    <w:right w:val="none" w:sz="0" w:space="0" w:color="auto"/>
                                                  </w:divBdr>
                                                  <w:divsChild>
                                                    <w:div w:id="1131172619">
                                                      <w:marLeft w:val="0"/>
                                                      <w:marRight w:val="0"/>
                                                      <w:marTop w:val="0"/>
                                                      <w:marBottom w:val="0"/>
                                                      <w:divBdr>
                                                        <w:top w:val="none" w:sz="0" w:space="0" w:color="auto"/>
                                                        <w:left w:val="none" w:sz="0" w:space="0" w:color="auto"/>
                                                        <w:bottom w:val="none" w:sz="0" w:space="0" w:color="auto"/>
                                                        <w:right w:val="none" w:sz="0" w:space="0" w:color="auto"/>
                                                      </w:divBdr>
                                                      <w:divsChild>
                                                        <w:div w:id="6855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5609">
                                      <w:marLeft w:val="0"/>
                                      <w:marRight w:val="0"/>
                                      <w:marTop w:val="0"/>
                                      <w:marBottom w:val="405"/>
                                      <w:divBdr>
                                        <w:top w:val="none" w:sz="0" w:space="0" w:color="auto"/>
                                        <w:left w:val="none" w:sz="0" w:space="0" w:color="auto"/>
                                        <w:bottom w:val="none" w:sz="0" w:space="0" w:color="auto"/>
                                        <w:right w:val="none" w:sz="0" w:space="0" w:color="auto"/>
                                      </w:divBdr>
                                      <w:divsChild>
                                        <w:div w:id="1923680370">
                                          <w:marLeft w:val="0"/>
                                          <w:marRight w:val="0"/>
                                          <w:marTop w:val="0"/>
                                          <w:marBottom w:val="0"/>
                                          <w:divBdr>
                                            <w:top w:val="none" w:sz="0" w:space="0" w:color="auto"/>
                                            <w:left w:val="none" w:sz="0" w:space="0" w:color="auto"/>
                                            <w:bottom w:val="none" w:sz="0" w:space="0" w:color="auto"/>
                                            <w:right w:val="none" w:sz="0" w:space="0" w:color="auto"/>
                                          </w:divBdr>
                                          <w:divsChild>
                                            <w:div w:id="1817449156">
                                              <w:marLeft w:val="0"/>
                                              <w:marRight w:val="0"/>
                                              <w:marTop w:val="0"/>
                                              <w:marBottom w:val="0"/>
                                              <w:divBdr>
                                                <w:top w:val="none" w:sz="0" w:space="0" w:color="auto"/>
                                                <w:left w:val="none" w:sz="0" w:space="0" w:color="auto"/>
                                                <w:bottom w:val="none" w:sz="0" w:space="0" w:color="auto"/>
                                                <w:right w:val="none" w:sz="0" w:space="0" w:color="auto"/>
                                              </w:divBdr>
                                              <w:divsChild>
                                                <w:div w:id="221600019">
                                                  <w:marLeft w:val="0"/>
                                                  <w:marRight w:val="0"/>
                                                  <w:marTop w:val="0"/>
                                                  <w:marBottom w:val="0"/>
                                                  <w:divBdr>
                                                    <w:top w:val="none" w:sz="0" w:space="0" w:color="auto"/>
                                                    <w:left w:val="none" w:sz="0" w:space="0" w:color="auto"/>
                                                    <w:bottom w:val="none" w:sz="0" w:space="0" w:color="auto"/>
                                                    <w:right w:val="none" w:sz="0" w:space="0" w:color="auto"/>
                                                  </w:divBdr>
                                                  <w:divsChild>
                                                    <w:div w:id="1677460338">
                                                      <w:marLeft w:val="0"/>
                                                      <w:marRight w:val="0"/>
                                                      <w:marTop w:val="0"/>
                                                      <w:marBottom w:val="0"/>
                                                      <w:divBdr>
                                                        <w:top w:val="none" w:sz="0" w:space="0" w:color="auto"/>
                                                        <w:left w:val="none" w:sz="0" w:space="0" w:color="auto"/>
                                                        <w:bottom w:val="none" w:sz="0" w:space="0" w:color="auto"/>
                                                        <w:right w:val="none" w:sz="0" w:space="0" w:color="auto"/>
                                                      </w:divBdr>
                                                    </w:div>
                                                    <w:div w:id="360515028">
                                                      <w:marLeft w:val="0"/>
                                                      <w:marRight w:val="0"/>
                                                      <w:marTop w:val="0"/>
                                                      <w:marBottom w:val="0"/>
                                                      <w:divBdr>
                                                        <w:top w:val="none" w:sz="0" w:space="0" w:color="auto"/>
                                                        <w:left w:val="none" w:sz="0" w:space="0" w:color="auto"/>
                                                        <w:bottom w:val="none" w:sz="0" w:space="0" w:color="auto"/>
                                                        <w:right w:val="none" w:sz="0" w:space="0" w:color="auto"/>
                                                      </w:divBdr>
                                                      <w:divsChild>
                                                        <w:div w:id="13097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8490">
                                                  <w:marLeft w:val="0"/>
                                                  <w:marRight w:val="0"/>
                                                  <w:marTop w:val="0"/>
                                                  <w:marBottom w:val="0"/>
                                                  <w:divBdr>
                                                    <w:top w:val="none" w:sz="0" w:space="0" w:color="auto"/>
                                                    <w:left w:val="none" w:sz="0" w:space="0" w:color="auto"/>
                                                    <w:bottom w:val="none" w:sz="0" w:space="0" w:color="auto"/>
                                                    <w:right w:val="none" w:sz="0" w:space="0" w:color="auto"/>
                                                  </w:divBdr>
                                                  <w:divsChild>
                                                    <w:div w:id="15363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81147">
                                      <w:marLeft w:val="0"/>
                                      <w:marRight w:val="0"/>
                                      <w:marTop w:val="0"/>
                                      <w:marBottom w:val="405"/>
                                      <w:divBdr>
                                        <w:top w:val="none" w:sz="0" w:space="0" w:color="auto"/>
                                        <w:left w:val="none" w:sz="0" w:space="0" w:color="auto"/>
                                        <w:bottom w:val="none" w:sz="0" w:space="0" w:color="auto"/>
                                        <w:right w:val="none" w:sz="0" w:space="0" w:color="auto"/>
                                      </w:divBdr>
                                      <w:divsChild>
                                        <w:div w:id="1245341464">
                                          <w:marLeft w:val="0"/>
                                          <w:marRight w:val="0"/>
                                          <w:marTop w:val="0"/>
                                          <w:marBottom w:val="0"/>
                                          <w:divBdr>
                                            <w:top w:val="none" w:sz="0" w:space="0" w:color="auto"/>
                                            <w:left w:val="none" w:sz="0" w:space="0" w:color="auto"/>
                                            <w:bottom w:val="none" w:sz="0" w:space="0" w:color="auto"/>
                                            <w:right w:val="none" w:sz="0" w:space="0" w:color="auto"/>
                                          </w:divBdr>
                                          <w:divsChild>
                                            <w:div w:id="775563979">
                                              <w:marLeft w:val="0"/>
                                              <w:marRight w:val="0"/>
                                              <w:marTop w:val="0"/>
                                              <w:marBottom w:val="0"/>
                                              <w:divBdr>
                                                <w:top w:val="none" w:sz="0" w:space="0" w:color="auto"/>
                                                <w:left w:val="none" w:sz="0" w:space="0" w:color="auto"/>
                                                <w:bottom w:val="none" w:sz="0" w:space="0" w:color="auto"/>
                                                <w:right w:val="none" w:sz="0" w:space="0" w:color="auto"/>
                                              </w:divBdr>
                                              <w:divsChild>
                                                <w:div w:id="236211356">
                                                  <w:marLeft w:val="0"/>
                                                  <w:marRight w:val="0"/>
                                                  <w:marTop w:val="0"/>
                                                  <w:marBottom w:val="0"/>
                                                  <w:divBdr>
                                                    <w:top w:val="none" w:sz="0" w:space="0" w:color="auto"/>
                                                    <w:left w:val="none" w:sz="0" w:space="0" w:color="auto"/>
                                                    <w:bottom w:val="none" w:sz="0" w:space="0" w:color="auto"/>
                                                    <w:right w:val="none" w:sz="0" w:space="0" w:color="auto"/>
                                                  </w:divBdr>
                                                  <w:divsChild>
                                                    <w:div w:id="1292320843">
                                                      <w:marLeft w:val="0"/>
                                                      <w:marRight w:val="0"/>
                                                      <w:marTop w:val="0"/>
                                                      <w:marBottom w:val="0"/>
                                                      <w:divBdr>
                                                        <w:top w:val="none" w:sz="0" w:space="0" w:color="auto"/>
                                                        <w:left w:val="none" w:sz="0" w:space="0" w:color="auto"/>
                                                        <w:bottom w:val="none" w:sz="0" w:space="0" w:color="auto"/>
                                                        <w:right w:val="none" w:sz="0" w:space="0" w:color="auto"/>
                                                      </w:divBdr>
                                                    </w:div>
                                                    <w:div w:id="497230464">
                                                      <w:marLeft w:val="0"/>
                                                      <w:marRight w:val="0"/>
                                                      <w:marTop w:val="0"/>
                                                      <w:marBottom w:val="0"/>
                                                      <w:divBdr>
                                                        <w:top w:val="none" w:sz="0" w:space="0" w:color="auto"/>
                                                        <w:left w:val="none" w:sz="0" w:space="0" w:color="auto"/>
                                                        <w:bottom w:val="none" w:sz="0" w:space="0" w:color="auto"/>
                                                        <w:right w:val="none" w:sz="0" w:space="0" w:color="auto"/>
                                                      </w:divBdr>
                                                      <w:divsChild>
                                                        <w:div w:id="1141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0449">
                                                  <w:marLeft w:val="0"/>
                                                  <w:marRight w:val="0"/>
                                                  <w:marTop w:val="0"/>
                                                  <w:marBottom w:val="0"/>
                                                  <w:divBdr>
                                                    <w:top w:val="none" w:sz="0" w:space="0" w:color="auto"/>
                                                    <w:left w:val="none" w:sz="0" w:space="0" w:color="auto"/>
                                                    <w:bottom w:val="none" w:sz="0" w:space="0" w:color="auto"/>
                                                    <w:right w:val="none" w:sz="0" w:space="0" w:color="auto"/>
                                                  </w:divBdr>
                                                  <w:divsChild>
                                                    <w:div w:id="4052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761563">
                                      <w:marLeft w:val="0"/>
                                      <w:marRight w:val="0"/>
                                      <w:marTop w:val="0"/>
                                      <w:marBottom w:val="405"/>
                                      <w:divBdr>
                                        <w:top w:val="none" w:sz="0" w:space="0" w:color="auto"/>
                                        <w:left w:val="none" w:sz="0" w:space="0" w:color="auto"/>
                                        <w:bottom w:val="none" w:sz="0" w:space="0" w:color="auto"/>
                                        <w:right w:val="none" w:sz="0" w:space="0" w:color="auto"/>
                                      </w:divBdr>
                                      <w:divsChild>
                                        <w:div w:id="309940733">
                                          <w:marLeft w:val="0"/>
                                          <w:marRight w:val="0"/>
                                          <w:marTop w:val="0"/>
                                          <w:marBottom w:val="0"/>
                                          <w:divBdr>
                                            <w:top w:val="none" w:sz="0" w:space="0" w:color="auto"/>
                                            <w:left w:val="none" w:sz="0" w:space="0" w:color="auto"/>
                                            <w:bottom w:val="none" w:sz="0" w:space="0" w:color="auto"/>
                                            <w:right w:val="none" w:sz="0" w:space="0" w:color="auto"/>
                                          </w:divBdr>
                                          <w:divsChild>
                                            <w:div w:id="1780954777">
                                              <w:marLeft w:val="0"/>
                                              <w:marRight w:val="0"/>
                                              <w:marTop w:val="0"/>
                                              <w:marBottom w:val="0"/>
                                              <w:divBdr>
                                                <w:top w:val="none" w:sz="0" w:space="0" w:color="auto"/>
                                                <w:left w:val="none" w:sz="0" w:space="0" w:color="auto"/>
                                                <w:bottom w:val="none" w:sz="0" w:space="0" w:color="auto"/>
                                                <w:right w:val="none" w:sz="0" w:space="0" w:color="auto"/>
                                              </w:divBdr>
                                              <w:divsChild>
                                                <w:div w:id="711732873">
                                                  <w:marLeft w:val="0"/>
                                                  <w:marRight w:val="0"/>
                                                  <w:marTop w:val="0"/>
                                                  <w:marBottom w:val="0"/>
                                                  <w:divBdr>
                                                    <w:top w:val="none" w:sz="0" w:space="0" w:color="auto"/>
                                                    <w:left w:val="none" w:sz="0" w:space="0" w:color="auto"/>
                                                    <w:bottom w:val="none" w:sz="0" w:space="0" w:color="auto"/>
                                                    <w:right w:val="none" w:sz="0" w:space="0" w:color="auto"/>
                                                  </w:divBdr>
                                                  <w:divsChild>
                                                    <w:div w:id="1771002360">
                                                      <w:marLeft w:val="0"/>
                                                      <w:marRight w:val="0"/>
                                                      <w:marTop w:val="0"/>
                                                      <w:marBottom w:val="0"/>
                                                      <w:divBdr>
                                                        <w:top w:val="none" w:sz="0" w:space="0" w:color="auto"/>
                                                        <w:left w:val="none" w:sz="0" w:space="0" w:color="auto"/>
                                                        <w:bottom w:val="none" w:sz="0" w:space="0" w:color="auto"/>
                                                        <w:right w:val="none" w:sz="0" w:space="0" w:color="auto"/>
                                                      </w:divBdr>
                                                    </w:div>
                                                    <w:div w:id="2018268644">
                                                      <w:marLeft w:val="0"/>
                                                      <w:marRight w:val="0"/>
                                                      <w:marTop w:val="0"/>
                                                      <w:marBottom w:val="0"/>
                                                      <w:divBdr>
                                                        <w:top w:val="none" w:sz="0" w:space="0" w:color="auto"/>
                                                        <w:left w:val="none" w:sz="0" w:space="0" w:color="auto"/>
                                                        <w:bottom w:val="none" w:sz="0" w:space="0" w:color="auto"/>
                                                        <w:right w:val="none" w:sz="0" w:space="0" w:color="auto"/>
                                                      </w:divBdr>
                                                      <w:divsChild>
                                                        <w:div w:id="3141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51948">
                                                  <w:marLeft w:val="0"/>
                                                  <w:marRight w:val="0"/>
                                                  <w:marTop w:val="0"/>
                                                  <w:marBottom w:val="0"/>
                                                  <w:divBdr>
                                                    <w:top w:val="none" w:sz="0" w:space="0" w:color="auto"/>
                                                    <w:left w:val="none" w:sz="0" w:space="0" w:color="auto"/>
                                                    <w:bottom w:val="none" w:sz="0" w:space="0" w:color="auto"/>
                                                    <w:right w:val="none" w:sz="0" w:space="0" w:color="auto"/>
                                                  </w:divBdr>
                                                  <w:divsChild>
                                                    <w:div w:id="12289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2947">
                                      <w:marLeft w:val="0"/>
                                      <w:marRight w:val="0"/>
                                      <w:marTop w:val="0"/>
                                      <w:marBottom w:val="405"/>
                                      <w:divBdr>
                                        <w:top w:val="none" w:sz="0" w:space="0" w:color="auto"/>
                                        <w:left w:val="none" w:sz="0" w:space="0" w:color="auto"/>
                                        <w:bottom w:val="none" w:sz="0" w:space="0" w:color="auto"/>
                                        <w:right w:val="none" w:sz="0" w:space="0" w:color="auto"/>
                                      </w:divBdr>
                                      <w:divsChild>
                                        <w:div w:id="1141652396">
                                          <w:marLeft w:val="0"/>
                                          <w:marRight w:val="0"/>
                                          <w:marTop w:val="0"/>
                                          <w:marBottom w:val="0"/>
                                          <w:divBdr>
                                            <w:top w:val="none" w:sz="0" w:space="0" w:color="auto"/>
                                            <w:left w:val="none" w:sz="0" w:space="0" w:color="auto"/>
                                            <w:bottom w:val="none" w:sz="0" w:space="0" w:color="auto"/>
                                            <w:right w:val="none" w:sz="0" w:space="0" w:color="auto"/>
                                          </w:divBdr>
                                          <w:divsChild>
                                            <w:div w:id="211160971">
                                              <w:marLeft w:val="0"/>
                                              <w:marRight w:val="0"/>
                                              <w:marTop w:val="0"/>
                                              <w:marBottom w:val="0"/>
                                              <w:divBdr>
                                                <w:top w:val="none" w:sz="0" w:space="0" w:color="auto"/>
                                                <w:left w:val="none" w:sz="0" w:space="0" w:color="auto"/>
                                                <w:bottom w:val="none" w:sz="0" w:space="0" w:color="auto"/>
                                                <w:right w:val="none" w:sz="0" w:space="0" w:color="auto"/>
                                              </w:divBdr>
                                              <w:divsChild>
                                                <w:div w:id="1354841539">
                                                  <w:marLeft w:val="0"/>
                                                  <w:marRight w:val="0"/>
                                                  <w:marTop w:val="0"/>
                                                  <w:marBottom w:val="0"/>
                                                  <w:divBdr>
                                                    <w:top w:val="none" w:sz="0" w:space="0" w:color="auto"/>
                                                    <w:left w:val="none" w:sz="0" w:space="0" w:color="auto"/>
                                                    <w:bottom w:val="none" w:sz="0" w:space="0" w:color="auto"/>
                                                    <w:right w:val="none" w:sz="0" w:space="0" w:color="auto"/>
                                                  </w:divBdr>
                                                  <w:divsChild>
                                                    <w:div w:id="1890458607">
                                                      <w:marLeft w:val="0"/>
                                                      <w:marRight w:val="0"/>
                                                      <w:marTop w:val="0"/>
                                                      <w:marBottom w:val="0"/>
                                                      <w:divBdr>
                                                        <w:top w:val="none" w:sz="0" w:space="0" w:color="auto"/>
                                                        <w:left w:val="none" w:sz="0" w:space="0" w:color="auto"/>
                                                        <w:bottom w:val="none" w:sz="0" w:space="0" w:color="auto"/>
                                                        <w:right w:val="none" w:sz="0" w:space="0" w:color="auto"/>
                                                      </w:divBdr>
                                                    </w:div>
                                                    <w:div w:id="1768890729">
                                                      <w:marLeft w:val="0"/>
                                                      <w:marRight w:val="0"/>
                                                      <w:marTop w:val="0"/>
                                                      <w:marBottom w:val="0"/>
                                                      <w:divBdr>
                                                        <w:top w:val="none" w:sz="0" w:space="0" w:color="auto"/>
                                                        <w:left w:val="none" w:sz="0" w:space="0" w:color="auto"/>
                                                        <w:bottom w:val="none" w:sz="0" w:space="0" w:color="auto"/>
                                                        <w:right w:val="none" w:sz="0" w:space="0" w:color="auto"/>
                                                      </w:divBdr>
                                                      <w:divsChild>
                                                        <w:div w:id="20158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8762">
                                                  <w:marLeft w:val="0"/>
                                                  <w:marRight w:val="0"/>
                                                  <w:marTop w:val="0"/>
                                                  <w:marBottom w:val="0"/>
                                                  <w:divBdr>
                                                    <w:top w:val="none" w:sz="0" w:space="0" w:color="auto"/>
                                                    <w:left w:val="none" w:sz="0" w:space="0" w:color="auto"/>
                                                    <w:bottom w:val="none" w:sz="0" w:space="0" w:color="auto"/>
                                                    <w:right w:val="none" w:sz="0" w:space="0" w:color="auto"/>
                                                  </w:divBdr>
                                                  <w:divsChild>
                                                    <w:div w:id="946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50066">
                                      <w:marLeft w:val="0"/>
                                      <w:marRight w:val="0"/>
                                      <w:marTop w:val="0"/>
                                      <w:marBottom w:val="405"/>
                                      <w:divBdr>
                                        <w:top w:val="none" w:sz="0" w:space="0" w:color="auto"/>
                                        <w:left w:val="none" w:sz="0" w:space="0" w:color="auto"/>
                                        <w:bottom w:val="none" w:sz="0" w:space="0" w:color="auto"/>
                                        <w:right w:val="none" w:sz="0" w:space="0" w:color="auto"/>
                                      </w:divBdr>
                                      <w:divsChild>
                                        <w:div w:id="1264609306">
                                          <w:marLeft w:val="0"/>
                                          <w:marRight w:val="0"/>
                                          <w:marTop w:val="0"/>
                                          <w:marBottom w:val="0"/>
                                          <w:divBdr>
                                            <w:top w:val="none" w:sz="0" w:space="0" w:color="auto"/>
                                            <w:left w:val="none" w:sz="0" w:space="0" w:color="auto"/>
                                            <w:bottom w:val="none" w:sz="0" w:space="0" w:color="auto"/>
                                            <w:right w:val="none" w:sz="0" w:space="0" w:color="auto"/>
                                          </w:divBdr>
                                          <w:divsChild>
                                            <w:div w:id="463234397">
                                              <w:marLeft w:val="0"/>
                                              <w:marRight w:val="0"/>
                                              <w:marTop w:val="0"/>
                                              <w:marBottom w:val="0"/>
                                              <w:divBdr>
                                                <w:top w:val="none" w:sz="0" w:space="0" w:color="auto"/>
                                                <w:left w:val="none" w:sz="0" w:space="0" w:color="auto"/>
                                                <w:bottom w:val="none" w:sz="0" w:space="0" w:color="auto"/>
                                                <w:right w:val="none" w:sz="0" w:space="0" w:color="auto"/>
                                              </w:divBdr>
                                              <w:divsChild>
                                                <w:div w:id="1151094664">
                                                  <w:marLeft w:val="0"/>
                                                  <w:marRight w:val="0"/>
                                                  <w:marTop w:val="0"/>
                                                  <w:marBottom w:val="0"/>
                                                  <w:divBdr>
                                                    <w:top w:val="none" w:sz="0" w:space="0" w:color="auto"/>
                                                    <w:left w:val="none" w:sz="0" w:space="0" w:color="auto"/>
                                                    <w:bottom w:val="none" w:sz="0" w:space="0" w:color="auto"/>
                                                    <w:right w:val="none" w:sz="0" w:space="0" w:color="auto"/>
                                                  </w:divBdr>
                                                  <w:divsChild>
                                                    <w:div w:id="86049736">
                                                      <w:marLeft w:val="0"/>
                                                      <w:marRight w:val="0"/>
                                                      <w:marTop w:val="0"/>
                                                      <w:marBottom w:val="0"/>
                                                      <w:divBdr>
                                                        <w:top w:val="none" w:sz="0" w:space="0" w:color="auto"/>
                                                        <w:left w:val="none" w:sz="0" w:space="0" w:color="auto"/>
                                                        <w:bottom w:val="none" w:sz="0" w:space="0" w:color="auto"/>
                                                        <w:right w:val="none" w:sz="0" w:space="0" w:color="auto"/>
                                                      </w:divBdr>
                                                    </w:div>
                                                    <w:div w:id="453134733">
                                                      <w:marLeft w:val="0"/>
                                                      <w:marRight w:val="0"/>
                                                      <w:marTop w:val="0"/>
                                                      <w:marBottom w:val="0"/>
                                                      <w:divBdr>
                                                        <w:top w:val="none" w:sz="0" w:space="0" w:color="auto"/>
                                                        <w:left w:val="none" w:sz="0" w:space="0" w:color="auto"/>
                                                        <w:bottom w:val="none" w:sz="0" w:space="0" w:color="auto"/>
                                                        <w:right w:val="none" w:sz="0" w:space="0" w:color="auto"/>
                                                      </w:divBdr>
                                                      <w:divsChild>
                                                        <w:div w:id="16675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4433">
                                                  <w:marLeft w:val="0"/>
                                                  <w:marRight w:val="0"/>
                                                  <w:marTop w:val="0"/>
                                                  <w:marBottom w:val="0"/>
                                                  <w:divBdr>
                                                    <w:top w:val="none" w:sz="0" w:space="0" w:color="auto"/>
                                                    <w:left w:val="none" w:sz="0" w:space="0" w:color="auto"/>
                                                    <w:bottom w:val="none" w:sz="0" w:space="0" w:color="auto"/>
                                                    <w:right w:val="none" w:sz="0" w:space="0" w:color="auto"/>
                                                  </w:divBdr>
                                                  <w:divsChild>
                                                    <w:div w:id="993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4996">
                                      <w:marLeft w:val="0"/>
                                      <w:marRight w:val="0"/>
                                      <w:marTop w:val="0"/>
                                      <w:marBottom w:val="405"/>
                                      <w:divBdr>
                                        <w:top w:val="none" w:sz="0" w:space="0" w:color="auto"/>
                                        <w:left w:val="none" w:sz="0" w:space="0" w:color="auto"/>
                                        <w:bottom w:val="none" w:sz="0" w:space="0" w:color="auto"/>
                                        <w:right w:val="none" w:sz="0" w:space="0" w:color="auto"/>
                                      </w:divBdr>
                                      <w:divsChild>
                                        <w:div w:id="1970552938">
                                          <w:marLeft w:val="0"/>
                                          <w:marRight w:val="0"/>
                                          <w:marTop w:val="0"/>
                                          <w:marBottom w:val="0"/>
                                          <w:divBdr>
                                            <w:top w:val="none" w:sz="0" w:space="0" w:color="auto"/>
                                            <w:left w:val="none" w:sz="0" w:space="0" w:color="auto"/>
                                            <w:bottom w:val="none" w:sz="0" w:space="0" w:color="auto"/>
                                            <w:right w:val="none" w:sz="0" w:space="0" w:color="auto"/>
                                          </w:divBdr>
                                          <w:divsChild>
                                            <w:div w:id="2081367713">
                                              <w:marLeft w:val="0"/>
                                              <w:marRight w:val="0"/>
                                              <w:marTop w:val="0"/>
                                              <w:marBottom w:val="0"/>
                                              <w:divBdr>
                                                <w:top w:val="none" w:sz="0" w:space="0" w:color="auto"/>
                                                <w:left w:val="none" w:sz="0" w:space="0" w:color="auto"/>
                                                <w:bottom w:val="none" w:sz="0" w:space="0" w:color="auto"/>
                                                <w:right w:val="none" w:sz="0" w:space="0" w:color="auto"/>
                                              </w:divBdr>
                                              <w:divsChild>
                                                <w:div w:id="1330668603">
                                                  <w:marLeft w:val="0"/>
                                                  <w:marRight w:val="0"/>
                                                  <w:marTop w:val="0"/>
                                                  <w:marBottom w:val="0"/>
                                                  <w:divBdr>
                                                    <w:top w:val="none" w:sz="0" w:space="0" w:color="auto"/>
                                                    <w:left w:val="none" w:sz="0" w:space="0" w:color="auto"/>
                                                    <w:bottom w:val="none" w:sz="0" w:space="0" w:color="auto"/>
                                                    <w:right w:val="none" w:sz="0" w:space="0" w:color="auto"/>
                                                  </w:divBdr>
                                                  <w:divsChild>
                                                    <w:div w:id="1068265086">
                                                      <w:marLeft w:val="0"/>
                                                      <w:marRight w:val="0"/>
                                                      <w:marTop w:val="0"/>
                                                      <w:marBottom w:val="0"/>
                                                      <w:divBdr>
                                                        <w:top w:val="none" w:sz="0" w:space="0" w:color="auto"/>
                                                        <w:left w:val="none" w:sz="0" w:space="0" w:color="auto"/>
                                                        <w:bottom w:val="none" w:sz="0" w:space="0" w:color="auto"/>
                                                        <w:right w:val="none" w:sz="0" w:space="0" w:color="auto"/>
                                                      </w:divBdr>
                                                    </w:div>
                                                    <w:div w:id="498279779">
                                                      <w:marLeft w:val="0"/>
                                                      <w:marRight w:val="0"/>
                                                      <w:marTop w:val="0"/>
                                                      <w:marBottom w:val="0"/>
                                                      <w:divBdr>
                                                        <w:top w:val="none" w:sz="0" w:space="0" w:color="auto"/>
                                                        <w:left w:val="none" w:sz="0" w:space="0" w:color="auto"/>
                                                        <w:bottom w:val="none" w:sz="0" w:space="0" w:color="auto"/>
                                                        <w:right w:val="none" w:sz="0" w:space="0" w:color="auto"/>
                                                      </w:divBdr>
                                                      <w:divsChild>
                                                        <w:div w:id="2406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89683">
                                                  <w:marLeft w:val="0"/>
                                                  <w:marRight w:val="0"/>
                                                  <w:marTop w:val="0"/>
                                                  <w:marBottom w:val="0"/>
                                                  <w:divBdr>
                                                    <w:top w:val="none" w:sz="0" w:space="0" w:color="auto"/>
                                                    <w:left w:val="none" w:sz="0" w:space="0" w:color="auto"/>
                                                    <w:bottom w:val="none" w:sz="0" w:space="0" w:color="auto"/>
                                                    <w:right w:val="none" w:sz="0" w:space="0" w:color="auto"/>
                                                  </w:divBdr>
                                                  <w:divsChild>
                                                    <w:div w:id="15353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947924">
              <w:marLeft w:val="0"/>
              <w:marRight w:val="0"/>
              <w:marTop w:val="0"/>
              <w:marBottom w:val="0"/>
              <w:divBdr>
                <w:top w:val="none" w:sz="0" w:space="0" w:color="auto"/>
                <w:left w:val="none" w:sz="0" w:space="0" w:color="auto"/>
                <w:bottom w:val="none" w:sz="0" w:space="0" w:color="auto"/>
                <w:right w:val="none" w:sz="0" w:space="0" w:color="auto"/>
              </w:divBdr>
              <w:divsChild>
                <w:div w:id="1606619509">
                  <w:marLeft w:val="0"/>
                  <w:marRight w:val="0"/>
                  <w:marTop w:val="0"/>
                  <w:marBottom w:val="0"/>
                  <w:divBdr>
                    <w:top w:val="none" w:sz="0" w:space="0" w:color="auto"/>
                    <w:left w:val="none" w:sz="0" w:space="0" w:color="auto"/>
                    <w:bottom w:val="none" w:sz="0" w:space="0" w:color="auto"/>
                    <w:right w:val="none" w:sz="0" w:space="0" w:color="auto"/>
                  </w:divBdr>
                  <w:divsChild>
                    <w:div w:id="504321689">
                      <w:marLeft w:val="0"/>
                      <w:marRight w:val="0"/>
                      <w:marTop w:val="0"/>
                      <w:marBottom w:val="0"/>
                      <w:divBdr>
                        <w:top w:val="none" w:sz="0" w:space="0" w:color="auto"/>
                        <w:left w:val="none" w:sz="0" w:space="0" w:color="auto"/>
                        <w:bottom w:val="none" w:sz="0" w:space="0" w:color="auto"/>
                        <w:right w:val="none" w:sz="0" w:space="0" w:color="auto"/>
                      </w:divBdr>
                      <w:divsChild>
                        <w:div w:id="1640528512">
                          <w:marLeft w:val="0"/>
                          <w:marRight w:val="0"/>
                          <w:marTop w:val="0"/>
                          <w:marBottom w:val="0"/>
                          <w:divBdr>
                            <w:top w:val="none" w:sz="0" w:space="0" w:color="auto"/>
                            <w:left w:val="none" w:sz="0" w:space="0" w:color="auto"/>
                            <w:bottom w:val="none" w:sz="0" w:space="0" w:color="auto"/>
                            <w:right w:val="none" w:sz="0" w:space="0" w:color="auto"/>
                          </w:divBdr>
                          <w:divsChild>
                            <w:div w:id="393235423">
                              <w:marLeft w:val="0"/>
                              <w:marRight w:val="0"/>
                              <w:marTop w:val="0"/>
                              <w:marBottom w:val="0"/>
                              <w:divBdr>
                                <w:top w:val="none" w:sz="0" w:space="0" w:color="auto"/>
                                <w:left w:val="none" w:sz="0" w:space="0" w:color="auto"/>
                                <w:bottom w:val="none" w:sz="0" w:space="0" w:color="auto"/>
                                <w:right w:val="none" w:sz="0" w:space="0" w:color="auto"/>
                              </w:divBdr>
                            </w:div>
                            <w:div w:id="1671060976">
                              <w:marLeft w:val="0"/>
                              <w:marRight w:val="0"/>
                              <w:marTop w:val="0"/>
                              <w:marBottom w:val="0"/>
                              <w:divBdr>
                                <w:top w:val="none" w:sz="0" w:space="0" w:color="auto"/>
                                <w:left w:val="none" w:sz="0" w:space="0" w:color="auto"/>
                                <w:bottom w:val="none" w:sz="0" w:space="0" w:color="auto"/>
                                <w:right w:val="none" w:sz="0" w:space="0" w:color="auto"/>
                              </w:divBdr>
                              <w:divsChild>
                                <w:div w:id="1298101434">
                                  <w:marLeft w:val="0"/>
                                  <w:marRight w:val="0"/>
                                  <w:marTop w:val="0"/>
                                  <w:marBottom w:val="0"/>
                                  <w:divBdr>
                                    <w:top w:val="none" w:sz="0" w:space="0" w:color="auto"/>
                                    <w:left w:val="none" w:sz="0" w:space="0" w:color="auto"/>
                                    <w:bottom w:val="none" w:sz="0" w:space="0" w:color="auto"/>
                                    <w:right w:val="none" w:sz="0" w:space="0" w:color="auto"/>
                                  </w:divBdr>
                                </w:div>
                                <w:div w:id="4614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68841">
              <w:marLeft w:val="0"/>
              <w:marRight w:val="0"/>
              <w:marTop w:val="0"/>
              <w:marBottom w:val="0"/>
              <w:divBdr>
                <w:top w:val="none" w:sz="0" w:space="0" w:color="auto"/>
                <w:left w:val="none" w:sz="0" w:space="0" w:color="auto"/>
                <w:bottom w:val="none" w:sz="0" w:space="0" w:color="auto"/>
                <w:right w:val="none" w:sz="0" w:space="0" w:color="auto"/>
              </w:divBdr>
              <w:divsChild>
                <w:div w:id="1789078360">
                  <w:marLeft w:val="0"/>
                  <w:marRight w:val="0"/>
                  <w:marTop w:val="0"/>
                  <w:marBottom w:val="0"/>
                  <w:divBdr>
                    <w:top w:val="none" w:sz="0" w:space="0" w:color="auto"/>
                    <w:left w:val="none" w:sz="0" w:space="0" w:color="auto"/>
                    <w:bottom w:val="none" w:sz="0" w:space="0" w:color="auto"/>
                    <w:right w:val="none" w:sz="0" w:space="0" w:color="auto"/>
                  </w:divBdr>
                  <w:divsChild>
                    <w:div w:id="20070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205785">
      <w:bodyDiv w:val="1"/>
      <w:marLeft w:val="0"/>
      <w:marRight w:val="0"/>
      <w:marTop w:val="0"/>
      <w:marBottom w:val="0"/>
      <w:divBdr>
        <w:top w:val="none" w:sz="0" w:space="0" w:color="auto"/>
        <w:left w:val="none" w:sz="0" w:space="0" w:color="auto"/>
        <w:bottom w:val="none" w:sz="0" w:space="0" w:color="auto"/>
        <w:right w:val="none" w:sz="0" w:space="0" w:color="auto"/>
      </w:divBdr>
    </w:div>
    <w:div w:id="809976061">
      <w:bodyDiv w:val="1"/>
      <w:marLeft w:val="0"/>
      <w:marRight w:val="0"/>
      <w:marTop w:val="0"/>
      <w:marBottom w:val="0"/>
      <w:divBdr>
        <w:top w:val="none" w:sz="0" w:space="0" w:color="auto"/>
        <w:left w:val="none" w:sz="0" w:space="0" w:color="auto"/>
        <w:bottom w:val="none" w:sz="0" w:space="0" w:color="auto"/>
        <w:right w:val="none" w:sz="0" w:space="0" w:color="auto"/>
      </w:divBdr>
    </w:div>
    <w:div w:id="928150075">
      <w:bodyDiv w:val="1"/>
      <w:marLeft w:val="0"/>
      <w:marRight w:val="0"/>
      <w:marTop w:val="0"/>
      <w:marBottom w:val="0"/>
      <w:divBdr>
        <w:top w:val="none" w:sz="0" w:space="0" w:color="auto"/>
        <w:left w:val="none" w:sz="0" w:space="0" w:color="auto"/>
        <w:bottom w:val="none" w:sz="0" w:space="0" w:color="auto"/>
        <w:right w:val="none" w:sz="0" w:space="0" w:color="auto"/>
      </w:divBdr>
    </w:div>
    <w:div w:id="1275477372">
      <w:bodyDiv w:val="1"/>
      <w:marLeft w:val="0"/>
      <w:marRight w:val="0"/>
      <w:marTop w:val="0"/>
      <w:marBottom w:val="0"/>
      <w:divBdr>
        <w:top w:val="none" w:sz="0" w:space="0" w:color="auto"/>
        <w:left w:val="none" w:sz="0" w:space="0" w:color="auto"/>
        <w:bottom w:val="none" w:sz="0" w:space="0" w:color="auto"/>
        <w:right w:val="none" w:sz="0" w:space="0" w:color="auto"/>
      </w:divBdr>
    </w:div>
    <w:div w:id="1290160645">
      <w:bodyDiv w:val="1"/>
      <w:marLeft w:val="0"/>
      <w:marRight w:val="0"/>
      <w:marTop w:val="0"/>
      <w:marBottom w:val="0"/>
      <w:divBdr>
        <w:top w:val="none" w:sz="0" w:space="0" w:color="auto"/>
        <w:left w:val="none" w:sz="0" w:space="0" w:color="auto"/>
        <w:bottom w:val="none" w:sz="0" w:space="0" w:color="auto"/>
        <w:right w:val="none" w:sz="0" w:space="0" w:color="auto"/>
      </w:divBdr>
    </w:div>
    <w:div w:id="1388383209">
      <w:bodyDiv w:val="1"/>
      <w:marLeft w:val="0"/>
      <w:marRight w:val="0"/>
      <w:marTop w:val="0"/>
      <w:marBottom w:val="0"/>
      <w:divBdr>
        <w:top w:val="none" w:sz="0" w:space="0" w:color="auto"/>
        <w:left w:val="none" w:sz="0" w:space="0" w:color="auto"/>
        <w:bottom w:val="none" w:sz="0" w:space="0" w:color="auto"/>
        <w:right w:val="none" w:sz="0" w:space="0" w:color="auto"/>
      </w:divBdr>
      <w:divsChild>
        <w:div w:id="1630936578">
          <w:marLeft w:val="720"/>
          <w:marRight w:val="0"/>
          <w:marTop w:val="91"/>
          <w:marBottom w:val="0"/>
          <w:divBdr>
            <w:top w:val="none" w:sz="0" w:space="0" w:color="auto"/>
            <w:left w:val="none" w:sz="0" w:space="0" w:color="auto"/>
            <w:bottom w:val="none" w:sz="0" w:space="0" w:color="auto"/>
            <w:right w:val="none" w:sz="0" w:space="0" w:color="auto"/>
          </w:divBdr>
        </w:div>
      </w:divsChild>
    </w:div>
    <w:div w:id="1402872091">
      <w:bodyDiv w:val="1"/>
      <w:marLeft w:val="0"/>
      <w:marRight w:val="0"/>
      <w:marTop w:val="0"/>
      <w:marBottom w:val="0"/>
      <w:divBdr>
        <w:top w:val="none" w:sz="0" w:space="0" w:color="auto"/>
        <w:left w:val="none" w:sz="0" w:space="0" w:color="auto"/>
        <w:bottom w:val="none" w:sz="0" w:space="0" w:color="auto"/>
        <w:right w:val="none" w:sz="0" w:space="0" w:color="auto"/>
      </w:divBdr>
    </w:div>
    <w:div w:id="1438718916">
      <w:bodyDiv w:val="1"/>
      <w:marLeft w:val="0"/>
      <w:marRight w:val="0"/>
      <w:marTop w:val="0"/>
      <w:marBottom w:val="0"/>
      <w:divBdr>
        <w:top w:val="none" w:sz="0" w:space="0" w:color="auto"/>
        <w:left w:val="none" w:sz="0" w:space="0" w:color="auto"/>
        <w:bottom w:val="none" w:sz="0" w:space="0" w:color="auto"/>
        <w:right w:val="none" w:sz="0" w:space="0" w:color="auto"/>
      </w:divBdr>
    </w:div>
    <w:div w:id="1512644770">
      <w:bodyDiv w:val="1"/>
      <w:marLeft w:val="0"/>
      <w:marRight w:val="0"/>
      <w:marTop w:val="0"/>
      <w:marBottom w:val="0"/>
      <w:divBdr>
        <w:top w:val="none" w:sz="0" w:space="0" w:color="auto"/>
        <w:left w:val="none" w:sz="0" w:space="0" w:color="auto"/>
        <w:bottom w:val="none" w:sz="0" w:space="0" w:color="auto"/>
        <w:right w:val="none" w:sz="0" w:space="0" w:color="auto"/>
      </w:divBdr>
      <w:divsChild>
        <w:div w:id="1816292145">
          <w:marLeft w:val="0"/>
          <w:marRight w:val="0"/>
          <w:marTop w:val="0"/>
          <w:marBottom w:val="0"/>
          <w:divBdr>
            <w:top w:val="none" w:sz="0" w:space="0" w:color="auto"/>
            <w:left w:val="none" w:sz="0" w:space="0" w:color="auto"/>
            <w:bottom w:val="none" w:sz="0" w:space="0" w:color="auto"/>
            <w:right w:val="none" w:sz="0" w:space="0" w:color="auto"/>
          </w:divBdr>
          <w:divsChild>
            <w:div w:id="1216314920">
              <w:marLeft w:val="0"/>
              <w:marRight w:val="0"/>
              <w:marTop w:val="0"/>
              <w:marBottom w:val="0"/>
              <w:divBdr>
                <w:top w:val="none" w:sz="0" w:space="0" w:color="auto"/>
                <w:left w:val="none" w:sz="0" w:space="0" w:color="auto"/>
                <w:bottom w:val="none" w:sz="0" w:space="0" w:color="auto"/>
                <w:right w:val="none" w:sz="0" w:space="0" w:color="auto"/>
              </w:divBdr>
              <w:divsChild>
                <w:div w:id="799304823">
                  <w:marLeft w:val="0"/>
                  <w:marRight w:val="0"/>
                  <w:marTop w:val="0"/>
                  <w:marBottom w:val="0"/>
                  <w:divBdr>
                    <w:top w:val="none" w:sz="0" w:space="0" w:color="auto"/>
                    <w:left w:val="none" w:sz="0" w:space="0" w:color="auto"/>
                    <w:bottom w:val="none" w:sz="0" w:space="0" w:color="auto"/>
                    <w:right w:val="none" w:sz="0" w:space="0" w:color="auto"/>
                  </w:divBdr>
                  <w:divsChild>
                    <w:div w:id="627859457">
                      <w:marLeft w:val="0"/>
                      <w:marRight w:val="0"/>
                      <w:marTop w:val="0"/>
                      <w:marBottom w:val="240"/>
                      <w:divBdr>
                        <w:top w:val="single" w:sz="6" w:space="0" w:color="DDDDDD"/>
                        <w:left w:val="none" w:sz="0" w:space="0" w:color="auto"/>
                        <w:bottom w:val="none" w:sz="0" w:space="0" w:color="auto"/>
                        <w:right w:val="none" w:sz="0" w:space="0" w:color="auto"/>
                      </w:divBdr>
                      <w:divsChild>
                        <w:div w:id="1356729593">
                          <w:marLeft w:val="0"/>
                          <w:marRight w:val="0"/>
                          <w:marTop w:val="0"/>
                          <w:marBottom w:val="0"/>
                          <w:divBdr>
                            <w:top w:val="none" w:sz="0" w:space="0" w:color="auto"/>
                            <w:left w:val="none" w:sz="0" w:space="0" w:color="auto"/>
                            <w:bottom w:val="none" w:sz="0" w:space="0" w:color="auto"/>
                            <w:right w:val="none" w:sz="0" w:space="0" w:color="auto"/>
                          </w:divBdr>
                          <w:divsChild>
                            <w:div w:id="604504226">
                              <w:marLeft w:val="0"/>
                              <w:marRight w:val="0"/>
                              <w:marTop w:val="0"/>
                              <w:marBottom w:val="0"/>
                              <w:divBdr>
                                <w:top w:val="none" w:sz="0" w:space="0" w:color="auto"/>
                                <w:left w:val="none" w:sz="0" w:space="0" w:color="auto"/>
                                <w:bottom w:val="none" w:sz="0" w:space="0" w:color="auto"/>
                                <w:right w:val="none" w:sz="0" w:space="0" w:color="auto"/>
                              </w:divBdr>
                              <w:divsChild>
                                <w:div w:id="2122650379">
                                  <w:marLeft w:val="0"/>
                                  <w:marRight w:val="0"/>
                                  <w:marTop w:val="0"/>
                                  <w:marBottom w:val="240"/>
                                  <w:divBdr>
                                    <w:top w:val="single" w:sz="6" w:space="0" w:color="DDDDDD"/>
                                    <w:left w:val="none" w:sz="0" w:space="0" w:color="auto"/>
                                    <w:bottom w:val="none" w:sz="0" w:space="0" w:color="auto"/>
                                    <w:right w:val="none" w:sz="0" w:space="0" w:color="auto"/>
                                  </w:divBdr>
                                  <w:divsChild>
                                    <w:div w:id="8091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elements/pbac-meetings/pbac-outcomes/2017-08/positive-recommendations-201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2B86-C5C3-4508-946D-6178586C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13078</Words>
  <Characters>76096</Characters>
  <Application>Microsoft Office Word</Application>
  <DocSecurity>0</DocSecurity>
  <Lines>634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2020-02-17T02:02:00Z</dcterms:created>
  <dcterms:modified xsi:type="dcterms:W3CDTF">2020-02-26T02:55:00Z</dcterms:modified>
</cp:coreProperties>
</file>