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54" w:rsidRDefault="003F4E54" w:rsidP="00825F2D">
      <w:pPr>
        <w:rPr>
          <w:rFonts w:eastAsia="Calibri"/>
          <w:lang w:eastAsia="en-US"/>
        </w:rPr>
      </w:pPr>
    </w:p>
    <w:p w:rsidR="00BF27A0" w:rsidRPr="00BF27A0" w:rsidRDefault="00CC1958" w:rsidP="002B7D74">
      <w:pPr>
        <w:ind w:left="709" w:hanging="709"/>
        <w:outlineLvl w:val="0"/>
        <w:rPr>
          <w:rFonts w:ascii="Calibri" w:eastAsia="Calibri" w:hAnsi="Calibri"/>
          <w:b/>
          <w:sz w:val="36"/>
          <w:szCs w:val="36"/>
          <w:lang w:eastAsia="en-US"/>
        </w:rPr>
      </w:pPr>
      <w:r>
        <w:rPr>
          <w:rFonts w:ascii="Calibri" w:eastAsia="Calibri" w:hAnsi="Calibri"/>
          <w:b/>
          <w:sz w:val="36"/>
          <w:szCs w:val="36"/>
          <w:lang w:eastAsia="en-US"/>
        </w:rPr>
        <w:t>7.10</w:t>
      </w:r>
      <w:r w:rsidR="00BF27A0" w:rsidRPr="00BF27A0">
        <w:rPr>
          <w:rFonts w:ascii="Calibri" w:eastAsia="Calibri" w:hAnsi="Calibri"/>
          <w:b/>
          <w:sz w:val="36"/>
          <w:szCs w:val="36"/>
          <w:lang w:eastAsia="en-US"/>
        </w:rPr>
        <w:tab/>
      </w:r>
      <w:r>
        <w:rPr>
          <w:rFonts w:ascii="Calibri" w:eastAsia="Calibri" w:hAnsi="Calibri"/>
          <w:b/>
          <w:sz w:val="36"/>
          <w:szCs w:val="36"/>
          <w:lang w:eastAsia="en-US"/>
        </w:rPr>
        <w:t>CERTOLIZUMAB PEGOL</w:t>
      </w:r>
      <w:r w:rsidR="00BF27A0" w:rsidRPr="00BF27A0">
        <w:rPr>
          <w:rFonts w:ascii="Calibri" w:eastAsia="Calibri" w:hAnsi="Calibri"/>
          <w:b/>
          <w:sz w:val="36"/>
          <w:szCs w:val="36"/>
          <w:lang w:eastAsia="en-US"/>
        </w:rPr>
        <w:t>,</w:t>
      </w:r>
      <w:r w:rsidR="002B7D74">
        <w:rPr>
          <w:rFonts w:ascii="Calibri" w:eastAsia="Calibri" w:hAnsi="Calibri"/>
          <w:b/>
          <w:sz w:val="36"/>
          <w:szCs w:val="36"/>
          <w:lang w:eastAsia="en-US"/>
        </w:rPr>
        <w:t xml:space="preserve"> </w:t>
      </w:r>
      <w:r w:rsidR="002B7D74">
        <w:rPr>
          <w:rFonts w:ascii="Calibri" w:eastAsia="Calibri" w:hAnsi="Calibri"/>
          <w:b/>
          <w:sz w:val="36"/>
          <w:szCs w:val="36"/>
          <w:lang w:eastAsia="en-US"/>
        </w:rPr>
        <w:br/>
      </w:r>
      <w:r>
        <w:rPr>
          <w:rFonts w:ascii="Calibri" w:eastAsia="Calibri" w:hAnsi="Calibri"/>
          <w:b/>
          <w:sz w:val="36"/>
          <w:szCs w:val="36"/>
          <w:lang w:eastAsia="en-US"/>
        </w:rPr>
        <w:t>Injection 200 mg in 1 mL pre-filled syringe/</w:t>
      </w:r>
      <w:r w:rsidR="00E50073">
        <w:rPr>
          <w:rFonts w:ascii="Calibri" w:eastAsia="Calibri" w:hAnsi="Calibri"/>
          <w:b/>
          <w:sz w:val="36"/>
          <w:szCs w:val="36"/>
          <w:lang w:eastAsia="en-US"/>
        </w:rPr>
        <w:t>pen</w:t>
      </w:r>
      <w:r w:rsidR="002B7D74">
        <w:rPr>
          <w:rFonts w:ascii="Calibri" w:eastAsia="Calibri" w:hAnsi="Calibri"/>
          <w:b/>
          <w:sz w:val="36"/>
          <w:szCs w:val="36"/>
          <w:lang w:eastAsia="en-US"/>
        </w:rPr>
        <w:t xml:space="preserve">, </w:t>
      </w:r>
      <w:r w:rsidR="002B7D74">
        <w:rPr>
          <w:rFonts w:ascii="Calibri" w:eastAsia="Calibri" w:hAnsi="Calibri"/>
          <w:b/>
          <w:sz w:val="36"/>
          <w:szCs w:val="36"/>
          <w:lang w:eastAsia="en-US"/>
        </w:rPr>
        <w:br/>
      </w:r>
      <w:proofErr w:type="spellStart"/>
      <w:r w:rsidR="00E50073">
        <w:rPr>
          <w:rFonts w:ascii="Calibri" w:eastAsia="Calibri" w:hAnsi="Calibri"/>
          <w:b/>
          <w:sz w:val="36"/>
          <w:szCs w:val="36"/>
          <w:lang w:eastAsia="en-US"/>
        </w:rPr>
        <w:t>Cimzia</w:t>
      </w:r>
      <w:proofErr w:type="spellEnd"/>
      <w:r w:rsidR="00E50073">
        <w:rPr>
          <w:rFonts w:ascii="Calibri" w:eastAsia="Calibri" w:hAnsi="Calibri" w:cs="Calibri"/>
          <w:b/>
          <w:sz w:val="36"/>
          <w:szCs w:val="36"/>
          <w:vertAlign w:val="superscript"/>
          <w:lang w:eastAsia="en-US"/>
        </w:rPr>
        <w:t>®</w:t>
      </w:r>
      <w:r w:rsidR="00BF27A0" w:rsidRPr="00BF27A0">
        <w:rPr>
          <w:rFonts w:ascii="Calibri" w:eastAsia="Calibri" w:hAnsi="Calibri"/>
          <w:b/>
          <w:sz w:val="36"/>
          <w:szCs w:val="36"/>
          <w:lang w:eastAsia="en-US"/>
        </w:rPr>
        <w:t>,</w:t>
      </w:r>
      <w:r w:rsidR="002B7D74">
        <w:rPr>
          <w:rFonts w:ascii="Calibri" w:eastAsia="Calibri" w:hAnsi="Calibri"/>
          <w:b/>
          <w:sz w:val="36"/>
          <w:szCs w:val="36"/>
          <w:lang w:eastAsia="en-US"/>
        </w:rPr>
        <w:t xml:space="preserve"> </w:t>
      </w:r>
      <w:r w:rsidR="002B7D74">
        <w:rPr>
          <w:rFonts w:ascii="Calibri" w:eastAsia="Calibri" w:hAnsi="Calibri"/>
          <w:b/>
          <w:sz w:val="36"/>
          <w:szCs w:val="36"/>
          <w:lang w:eastAsia="en-US"/>
        </w:rPr>
        <w:br/>
      </w:r>
      <w:r w:rsidR="00E50073">
        <w:rPr>
          <w:rFonts w:ascii="Calibri" w:eastAsia="Calibri" w:hAnsi="Calibri"/>
          <w:b/>
          <w:sz w:val="36"/>
          <w:szCs w:val="36"/>
          <w:lang w:eastAsia="en-US"/>
        </w:rPr>
        <w:t xml:space="preserve">UCB Australia </w:t>
      </w:r>
      <w:r w:rsidR="00D5581F">
        <w:rPr>
          <w:rFonts w:ascii="Calibri" w:eastAsia="Calibri" w:hAnsi="Calibri"/>
          <w:b/>
          <w:sz w:val="36"/>
          <w:szCs w:val="36"/>
          <w:lang w:eastAsia="en-US"/>
        </w:rPr>
        <w:t>Proprietary</w:t>
      </w:r>
      <w:r w:rsidR="00E50073">
        <w:rPr>
          <w:rFonts w:ascii="Calibri" w:eastAsia="Calibri" w:hAnsi="Calibri"/>
          <w:b/>
          <w:sz w:val="36"/>
          <w:szCs w:val="36"/>
          <w:lang w:eastAsia="en-US"/>
        </w:rPr>
        <w:t xml:space="preserve"> Limited</w:t>
      </w:r>
      <w:r w:rsidR="00BF27A0" w:rsidRPr="00BF27A0">
        <w:rPr>
          <w:rFonts w:ascii="Calibri" w:eastAsia="Calibri" w:hAnsi="Calibri"/>
          <w:b/>
          <w:sz w:val="36"/>
          <w:szCs w:val="36"/>
          <w:lang w:eastAsia="en-US"/>
        </w:rPr>
        <w:t xml:space="preserve"> </w:t>
      </w:r>
    </w:p>
    <w:p w:rsidR="006552E6" w:rsidRPr="00E0207E" w:rsidRDefault="006552E6" w:rsidP="00477A9B">
      <w:pPr>
        <w:rPr>
          <w:color w:val="000000" w:themeColor="text1"/>
        </w:rPr>
      </w:pPr>
    </w:p>
    <w:p w:rsidR="008A50F1" w:rsidRPr="00D4572C" w:rsidRDefault="00CE10C4" w:rsidP="008807C0">
      <w:pPr>
        <w:pStyle w:val="2Sections"/>
        <w:numPr>
          <w:ilvl w:val="0"/>
          <w:numId w:val="19"/>
        </w:numPr>
      </w:pPr>
      <w:r w:rsidRPr="0033263D">
        <w:t xml:space="preserve">Purpose of </w:t>
      </w:r>
      <w:r w:rsidR="0004240E" w:rsidRPr="0033263D">
        <w:t>Application</w:t>
      </w:r>
      <w:r w:rsidR="00034905">
        <w:t xml:space="preserve"> </w:t>
      </w:r>
    </w:p>
    <w:p w:rsidR="006A12A5" w:rsidRPr="001B2BBC" w:rsidRDefault="00EF44A0" w:rsidP="008807C0">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E50073">
        <w:rPr>
          <w:rFonts w:asciiTheme="minorHAnsi" w:eastAsiaTheme="minorHAnsi" w:hAnsiTheme="minorHAnsi" w:cstheme="minorBidi"/>
          <w:snapToGrid/>
          <w:sz w:val="24"/>
          <w:szCs w:val="22"/>
        </w:rPr>
        <w:t xml:space="preserve">nor </w:t>
      </w:r>
      <w:r w:rsidR="00E957C1">
        <w:rPr>
          <w:rFonts w:asciiTheme="minorHAnsi" w:eastAsiaTheme="minorHAnsi" w:hAnsiTheme="minorHAnsi" w:cstheme="minorBidi"/>
          <w:snapToGrid/>
          <w:sz w:val="24"/>
          <w:szCs w:val="22"/>
        </w:rPr>
        <w:t>re</w:t>
      </w:r>
      <w:r w:rsidR="00E50073">
        <w:rPr>
          <w:rFonts w:asciiTheme="minorHAnsi" w:eastAsiaTheme="minorHAnsi" w:hAnsiTheme="minorHAnsi" w:cstheme="minorBidi"/>
          <w:snapToGrid/>
          <w:sz w:val="24"/>
          <w:szCs w:val="22"/>
        </w:rPr>
        <w:t>submission requested the PBAC reconsider</w:t>
      </w:r>
      <w:r w:rsidR="005B12C1">
        <w:rPr>
          <w:rFonts w:asciiTheme="minorHAnsi" w:eastAsiaTheme="minorHAnsi" w:hAnsiTheme="minorHAnsi" w:cstheme="minorBidi"/>
          <w:snapToGrid/>
          <w:sz w:val="24"/>
          <w:szCs w:val="22"/>
        </w:rPr>
        <w:t xml:space="preserve"> the basis of</w:t>
      </w:r>
      <w:r w:rsidR="00E50073">
        <w:rPr>
          <w:rFonts w:asciiTheme="minorHAnsi" w:eastAsiaTheme="minorHAnsi" w:hAnsiTheme="minorHAnsi" w:cstheme="minorBidi"/>
          <w:snapToGrid/>
          <w:sz w:val="24"/>
          <w:szCs w:val="22"/>
        </w:rPr>
        <w:t xml:space="preserve"> its March 2019 recommendation of certolizumab pegol</w:t>
      </w:r>
      <w:r w:rsidR="003E5465">
        <w:rPr>
          <w:rFonts w:asciiTheme="minorHAnsi" w:eastAsiaTheme="minorHAnsi" w:hAnsiTheme="minorHAnsi" w:cstheme="minorBidi"/>
          <w:snapToGrid/>
          <w:sz w:val="24"/>
          <w:szCs w:val="22"/>
        </w:rPr>
        <w:t xml:space="preserve"> (CZP)</w:t>
      </w:r>
      <w:r w:rsidR="00E50073">
        <w:rPr>
          <w:rFonts w:asciiTheme="minorHAnsi" w:eastAsiaTheme="minorHAnsi" w:hAnsiTheme="minorHAnsi" w:cstheme="minorBidi"/>
          <w:snapToGrid/>
          <w:sz w:val="24"/>
          <w:szCs w:val="22"/>
        </w:rPr>
        <w:t xml:space="preserve"> for the treatment of patients with chronic plaque psoriasis</w:t>
      </w:r>
      <w:r w:rsidR="006816AD">
        <w:rPr>
          <w:rFonts w:asciiTheme="minorHAnsi" w:eastAsiaTheme="minorHAnsi" w:hAnsiTheme="minorHAnsi" w:cstheme="minorBidi"/>
          <w:snapToGrid/>
          <w:sz w:val="24"/>
          <w:szCs w:val="22"/>
        </w:rPr>
        <w:t xml:space="preserve"> (CPP</w:t>
      </w:r>
      <w:r w:rsidR="00A96C15">
        <w:rPr>
          <w:rFonts w:asciiTheme="minorHAnsi" w:eastAsiaTheme="minorHAnsi" w:hAnsiTheme="minorHAnsi" w:cstheme="minorBidi"/>
          <w:snapToGrid/>
          <w:sz w:val="24"/>
          <w:szCs w:val="22"/>
        </w:rPr>
        <w:t xml:space="preserve">). Specifically, the </w:t>
      </w:r>
      <w:r w:rsidR="00E957C1">
        <w:rPr>
          <w:rFonts w:asciiTheme="minorHAnsi" w:eastAsiaTheme="minorHAnsi" w:hAnsiTheme="minorHAnsi" w:cstheme="minorBidi"/>
          <w:snapToGrid/>
          <w:sz w:val="24"/>
          <w:szCs w:val="22"/>
        </w:rPr>
        <w:t>re</w:t>
      </w:r>
      <w:r w:rsidR="00A96C15">
        <w:rPr>
          <w:rFonts w:asciiTheme="minorHAnsi" w:eastAsiaTheme="minorHAnsi" w:hAnsiTheme="minorHAnsi" w:cstheme="minorBidi"/>
          <w:snapToGrid/>
          <w:sz w:val="24"/>
          <w:szCs w:val="22"/>
        </w:rPr>
        <w:t xml:space="preserve">submission </w:t>
      </w:r>
      <w:r w:rsidR="00E957C1">
        <w:rPr>
          <w:rFonts w:asciiTheme="minorHAnsi" w:eastAsiaTheme="minorHAnsi" w:hAnsiTheme="minorHAnsi" w:cstheme="minorBidi"/>
          <w:snapToGrid/>
          <w:sz w:val="24"/>
          <w:szCs w:val="22"/>
        </w:rPr>
        <w:t xml:space="preserve">requested </w:t>
      </w:r>
      <w:r w:rsidR="00A96C15">
        <w:rPr>
          <w:rFonts w:asciiTheme="minorHAnsi" w:eastAsiaTheme="minorHAnsi" w:hAnsiTheme="minorHAnsi" w:cstheme="minorBidi"/>
          <w:snapToGrid/>
          <w:sz w:val="24"/>
          <w:szCs w:val="22"/>
        </w:rPr>
        <w:t xml:space="preserve">a change in the </w:t>
      </w:r>
      <w:proofErr w:type="spellStart"/>
      <w:r w:rsidR="00A96C15">
        <w:rPr>
          <w:rFonts w:asciiTheme="minorHAnsi" w:eastAsiaTheme="minorHAnsi" w:hAnsiTheme="minorHAnsi" w:cstheme="minorBidi"/>
          <w:snapToGrid/>
          <w:sz w:val="24"/>
          <w:szCs w:val="22"/>
        </w:rPr>
        <w:t>equi</w:t>
      </w:r>
      <w:proofErr w:type="spellEnd"/>
      <w:r w:rsidR="00A96C15">
        <w:rPr>
          <w:rFonts w:asciiTheme="minorHAnsi" w:eastAsiaTheme="minorHAnsi" w:hAnsiTheme="minorHAnsi" w:cstheme="minorBidi"/>
          <w:snapToGrid/>
          <w:sz w:val="24"/>
          <w:szCs w:val="22"/>
        </w:rPr>
        <w:t>-effective dose for CZP from the previously recommended 400 mg once every two weeks</w:t>
      </w:r>
      <w:r w:rsidR="00E957C1" w:rsidRPr="00E957C1">
        <w:t xml:space="preserve"> </w:t>
      </w:r>
      <w:r w:rsidR="00A96C15">
        <w:rPr>
          <w:rFonts w:asciiTheme="minorHAnsi" w:eastAsiaTheme="minorHAnsi" w:hAnsiTheme="minorHAnsi" w:cstheme="minorBidi"/>
          <w:snapToGrid/>
          <w:sz w:val="24"/>
          <w:szCs w:val="22"/>
        </w:rPr>
        <w:t xml:space="preserve">to a dose of 200 mg </w:t>
      </w:r>
      <w:r w:rsidR="00FE65B1">
        <w:rPr>
          <w:rFonts w:asciiTheme="minorHAnsi" w:eastAsiaTheme="minorHAnsi" w:hAnsiTheme="minorHAnsi" w:cstheme="minorBidi"/>
          <w:snapToGrid/>
          <w:sz w:val="24"/>
          <w:szCs w:val="22"/>
        </w:rPr>
        <w:t xml:space="preserve">or </w:t>
      </w:r>
      <w:r w:rsidR="00A96C15">
        <w:rPr>
          <w:rFonts w:asciiTheme="minorHAnsi" w:eastAsiaTheme="minorHAnsi" w:hAnsiTheme="minorHAnsi" w:cstheme="minorBidi"/>
          <w:snapToGrid/>
          <w:sz w:val="24"/>
          <w:szCs w:val="22"/>
        </w:rPr>
        <w:t xml:space="preserve">400 mg </w:t>
      </w:r>
      <w:r w:rsidR="00613560" w:rsidRPr="00613560">
        <w:rPr>
          <w:rFonts w:asciiTheme="minorHAnsi" w:eastAsiaTheme="minorHAnsi" w:hAnsiTheme="minorHAnsi" w:cstheme="minorBidi"/>
          <w:snapToGrid/>
          <w:sz w:val="24"/>
          <w:szCs w:val="22"/>
        </w:rPr>
        <w:t>every two weeks</w:t>
      </w:r>
      <w:r w:rsidR="00A96C15">
        <w:rPr>
          <w:rFonts w:asciiTheme="minorHAnsi" w:eastAsiaTheme="minorHAnsi" w:hAnsiTheme="minorHAnsi" w:cstheme="minorBidi"/>
          <w:snapToGrid/>
          <w:sz w:val="24"/>
          <w:szCs w:val="22"/>
        </w:rPr>
        <w:t xml:space="preserve">. </w:t>
      </w:r>
    </w:p>
    <w:p w:rsidR="006A12A5" w:rsidRPr="00577C4D" w:rsidRDefault="006A12A5" w:rsidP="0033263D">
      <w:pPr>
        <w:pStyle w:val="2Sections"/>
      </w:pPr>
      <w:r w:rsidRPr="002B5596">
        <w:t>Requested listing</w:t>
      </w:r>
    </w:p>
    <w:p w:rsidR="000313B1" w:rsidRDefault="00E957C1" w:rsidP="005B24AE">
      <w:pPr>
        <w:pStyle w:val="3Bodytext"/>
      </w:pPr>
      <w:r>
        <w:t xml:space="preserve">The </w:t>
      </w:r>
      <w:r w:rsidR="00FF2801" w:rsidRPr="00E0207E">
        <w:t>requested</w:t>
      </w:r>
      <w:r w:rsidR="00EF44A0" w:rsidRPr="00E0207E">
        <w:t xml:space="preserve"> </w:t>
      </w:r>
      <w:r>
        <w:rPr>
          <w:color w:val="000000" w:themeColor="text1"/>
        </w:rPr>
        <w:t xml:space="preserve"> listings for </w:t>
      </w:r>
      <w:r w:rsidR="00DE5738">
        <w:rPr>
          <w:color w:val="000000" w:themeColor="text1"/>
        </w:rPr>
        <w:t>CZP</w:t>
      </w:r>
      <w:r w:rsidR="00C21A8D">
        <w:rPr>
          <w:color w:val="000000" w:themeColor="text1"/>
        </w:rPr>
        <w:t xml:space="preserve"> </w:t>
      </w:r>
      <w:r>
        <w:rPr>
          <w:color w:val="000000" w:themeColor="text1"/>
        </w:rPr>
        <w:t xml:space="preserve"> were</w:t>
      </w:r>
      <w:r w:rsidR="00C21A8D">
        <w:rPr>
          <w:color w:val="000000" w:themeColor="text1"/>
        </w:rPr>
        <w:t xml:space="preserve"> </w:t>
      </w:r>
      <w:r w:rsidR="00182AEB" w:rsidRPr="00182AEB">
        <w:rPr>
          <w:color w:val="000000" w:themeColor="text1"/>
        </w:rPr>
        <w:t xml:space="preserve">broadly consistent with other listings for biologics for the treatment of CPP, with separate listings proposed for </w:t>
      </w:r>
      <w:r w:rsidR="00375D40">
        <w:rPr>
          <w:color w:val="000000" w:themeColor="text1"/>
        </w:rPr>
        <w:t xml:space="preserve">the </w:t>
      </w:r>
      <w:r w:rsidR="00182AEB" w:rsidRPr="00182AEB">
        <w:rPr>
          <w:color w:val="000000" w:themeColor="text1"/>
        </w:rPr>
        <w:t xml:space="preserve">200 mg </w:t>
      </w:r>
      <w:r w:rsidR="00613560">
        <w:rPr>
          <w:color w:val="000000" w:themeColor="text1"/>
        </w:rPr>
        <w:t>every two weeks dose regimen (</w:t>
      </w:r>
      <w:r w:rsidR="00613560">
        <w:t>herein referred to as CZP 2</w:t>
      </w:r>
      <w:r w:rsidR="00613560" w:rsidRPr="00792550">
        <w:t>00</w:t>
      </w:r>
      <w:r w:rsidR="007B2F31">
        <w:t xml:space="preserve"> </w:t>
      </w:r>
      <w:r w:rsidR="00613560" w:rsidRPr="00792550">
        <w:t>mg</w:t>
      </w:r>
      <w:r w:rsidR="00613560">
        <w:t>)</w:t>
      </w:r>
      <w:r w:rsidR="00613560" w:rsidRPr="00182AEB">
        <w:rPr>
          <w:color w:val="000000" w:themeColor="text1"/>
        </w:rPr>
        <w:t xml:space="preserve"> </w:t>
      </w:r>
      <w:r w:rsidR="00182AEB" w:rsidRPr="00182AEB">
        <w:rPr>
          <w:color w:val="000000" w:themeColor="text1"/>
        </w:rPr>
        <w:t xml:space="preserve">and 400 mg </w:t>
      </w:r>
      <w:r w:rsidR="00613560">
        <w:rPr>
          <w:color w:val="000000" w:themeColor="text1"/>
        </w:rPr>
        <w:t>every two weeks dose regimen (</w:t>
      </w:r>
      <w:r w:rsidR="00613560">
        <w:t>herein referred to as CZP 4</w:t>
      </w:r>
      <w:r w:rsidR="00613560" w:rsidRPr="00792550">
        <w:t>00</w:t>
      </w:r>
      <w:r w:rsidR="007B2F31">
        <w:t xml:space="preserve"> </w:t>
      </w:r>
      <w:r w:rsidR="00613560" w:rsidRPr="00792550">
        <w:t>mg</w:t>
      </w:r>
      <w:r w:rsidR="00613560">
        <w:t>)</w:t>
      </w:r>
      <w:r w:rsidR="00182AEB" w:rsidRPr="00182AEB">
        <w:rPr>
          <w:color w:val="000000" w:themeColor="text1"/>
        </w:rPr>
        <w:t>.</w:t>
      </w:r>
      <w:r w:rsidR="00EF44A0" w:rsidRPr="00182AEB">
        <w:rPr>
          <w:color w:val="000000" w:themeColor="text1"/>
        </w:rPr>
        <w:t xml:space="preserve"> </w:t>
      </w:r>
      <w:r w:rsidR="00C21A8D">
        <w:rPr>
          <w:color w:val="000000" w:themeColor="text1"/>
        </w:rPr>
        <w:t xml:space="preserve">The </w:t>
      </w:r>
      <w:r w:rsidR="00D002CF">
        <w:rPr>
          <w:color w:val="000000" w:themeColor="text1"/>
        </w:rPr>
        <w:t>re</w:t>
      </w:r>
      <w:r w:rsidR="00C21A8D">
        <w:rPr>
          <w:color w:val="000000" w:themeColor="text1"/>
        </w:rPr>
        <w:t xml:space="preserve">submission proposed </w:t>
      </w:r>
      <w:r w:rsidR="00C21A8D">
        <w:t xml:space="preserve">specific restrictions for use of </w:t>
      </w:r>
      <w:r w:rsidR="00613560">
        <w:t>CZP 400 mg</w:t>
      </w:r>
      <w:r w:rsidR="00C21A8D">
        <w:t xml:space="preserve"> in patients who either previously had an inadequate response to </w:t>
      </w:r>
      <w:r w:rsidR="00613560">
        <w:t>CZP 200 mg</w:t>
      </w:r>
      <w:r w:rsidR="00045214">
        <w:t xml:space="preserve"> </w:t>
      </w:r>
      <w:r w:rsidR="00C21A8D">
        <w:t xml:space="preserve">or who weigh </w:t>
      </w:r>
      <w:r w:rsidR="005A479B">
        <w:rPr>
          <w:rFonts w:cstheme="minorHAnsi"/>
        </w:rPr>
        <w:t xml:space="preserve">≥ </w:t>
      </w:r>
      <w:r w:rsidR="00C21A8D">
        <w:t>90 kg (</w:t>
      </w:r>
      <w:r w:rsidR="00D45EFC" w:rsidRPr="00D45EFC">
        <w:t xml:space="preserve">Table </w:t>
      </w:r>
      <w:r w:rsidR="00D45EFC" w:rsidRPr="00D45EFC">
        <w:rPr>
          <w:noProof/>
        </w:rPr>
        <w:t>1</w:t>
      </w:r>
      <w:r w:rsidR="00C21A8D">
        <w:t>).</w:t>
      </w:r>
    </w:p>
    <w:p w:rsidR="000313B1" w:rsidRDefault="000313B1">
      <w:pPr>
        <w:rPr>
          <w:rFonts w:asciiTheme="minorHAnsi" w:eastAsiaTheme="minorHAnsi" w:hAnsiTheme="minorHAnsi" w:cstheme="minorBidi"/>
          <w:szCs w:val="22"/>
        </w:rPr>
      </w:pPr>
      <w:r>
        <w:br w:type="page"/>
      </w:r>
    </w:p>
    <w:p w:rsidR="005909BC" w:rsidRPr="005B24AE" w:rsidRDefault="00613560" w:rsidP="005B24AE">
      <w:pPr>
        <w:pStyle w:val="Caption"/>
        <w:keepNext/>
        <w:spacing w:after="0"/>
        <w:rPr>
          <w:rFonts w:ascii="Arial Narrow" w:hAnsi="Arial Narrow"/>
          <w:b/>
          <w:i w:val="0"/>
          <w:sz w:val="20"/>
          <w:szCs w:val="20"/>
        </w:rPr>
      </w:pPr>
      <w:bookmarkStart w:id="0" w:name="_Ref22309263"/>
      <w:r w:rsidRPr="005B24AE">
        <w:rPr>
          <w:rFonts w:ascii="Arial Narrow" w:hAnsi="Arial Narrow"/>
          <w:b/>
          <w:i w:val="0"/>
          <w:sz w:val="20"/>
          <w:szCs w:val="20"/>
        </w:rPr>
        <w:lastRenderedPageBreak/>
        <w:t xml:space="preserve">Table </w:t>
      </w:r>
      <w:r w:rsidR="00D45EFC">
        <w:rPr>
          <w:rFonts w:ascii="Arial Narrow" w:hAnsi="Arial Narrow"/>
          <w:b/>
          <w:i w:val="0"/>
          <w:noProof/>
          <w:sz w:val="20"/>
          <w:szCs w:val="20"/>
        </w:rPr>
        <w:t>1</w:t>
      </w:r>
      <w:bookmarkEnd w:id="0"/>
      <w:r w:rsidRPr="005B24AE">
        <w:rPr>
          <w:rFonts w:ascii="Arial Narrow" w:hAnsi="Arial Narrow"/>
          <w:b/>
          <w:i w:val="0"/>
          <w:sz w:val="20"/>
          <w:szCs w:val="20"/>
        </w:rPr>
        <w:t xml:space="preserve">: </w:t>
      </w:r>
      <w:r w:rsidR="00DE501B" w:rsidRPr="005B24AE">
        <w:rPr>
          <w:rFonts w:ascii="Arial Narrow" w:hAnsi="Arial Narrow"/>
          <w:b/>
          <w:i w:val="0"/>
          <w:sz w:val="20"/>
          <w:szCs w:val="20"/>
        </w:rPr>
        <w:t>Summary of e</w:t>
      </w:r>
      <w:r w:rsidR="005909BC" w:rsidRPr="005B24AE">
        <w:rPr>
          <w:rFonts w:ascii="Arial Narrow" w:hAnsi="Arial Narrow"/>
          <w:b/>
          <w:i w:val="0"/>
          <w:sz w:val="20"/>
          <w:szCs w:val="20"/>
        </w:rPr>
        <w:t>ssential elements of the requested listing</w:t>
      </w:r>
    </w:p>
    <w:tbl>
      <w:tblPr>
        <w:tblStyle w:val="TableGrid1"/>
        <w:tblW w:w="0" w:type="auto"/>
        <w:tblLook w:val="04A0" w:firstRow="1" w:lastRow="0" w:firstColumn="1" w:lastColumn="0" w:noHBand="0" w:noVBand="1"/>
        <w:tblCaption w:val="Table 1: Summary of essential elements of the requested listing"/>
      </w:tblPr>
      <w:tblGrid>
        <w:gridCol w:w="4940"/>
        <w:gridCol w:w="1133"/>
        <w:gridCol w:w="1016"/>
        <w:gridCol w:w="800"/>
        <w:gridCol w:w="1127"/>
      </w:tblGrid>
      <w:tr w:rsidR="005909BC" w:rsidRPr="00160776" w:rsidTr="00645D2B">
        <w:trPr>
          <w:tblHeader/>
        </w:trPr>
        <w:tc>
          <w:tcPr>
            <w:tcW w:w="4957" w:type="dxa"/>
            <w:shd w:val="clear" w:color="auto" w:fill="A6A6A6" w:themeFill="background1" w:themeFillShade="A6"/>
          </w:tcPr>
          <w:p w:rsidR="005909BC" w:rsidRPr="005B46A6" w:rsidRDefault="005909BC" w:rsidP="00375D40">
            <w:pPr>
              <w:rPr>
                <w:rFonts w:ascii="Arial Narrow" w:hAnsi="Arial Narrow"/>
                <w:b/>
                <w:color w:val="000000" w:themeColor="text1"/>
                <w:sz w:val="20"/>
                <w:szCs w:val="20"/>
              </w:rPr>
            </w:pPr>
          </w:p>
        </w:tc>
        <w:tc>
          <w:tcPr>
            <w:tcW w:w="1134" w:type="dxa"/>
            <w:shd w:val="clear" w:color="auto" w:fill="A6A6A6" w:themeFill="background1" w:themeFillShade="A6"/>
          </w:tcPr>
          <w:p w:rsidR="005909BC" w:rsidRPr="005B46A6" w:rsidRDefault="005909BC" w:rsidP="00314988">
            <w:pPr>
              <w:jc w:val="center"/>
              <w:rPr>
                <w:rFonts w:ascii="Arial Narrow" w:hAnsi="Arial Narrow"/>
                <w:b/>
                <w:color w:val="000000" w:themeColor="text1"/>
                <w:sz w:val="20"/>
                <w:szCs w:val="20"/>
              </w:rPr>
            </w:pPr>
            <w:r w:rsidRPr="005B46A6">
              <w:rPr>
                <w:rFonts w:ascii="Arial Narrow" w:hAnsi="Arial Narrow"/>
                <w:b/>
                <w:color w:val="000000" w:themeColor="text1"/>
                <w:sz w:val="20"/>
                <w:szCs w:val="20"/>
              </w:rPr>
              <w:t>Maximum quantity (packs)</w:t>
            </w:r>
          </w:p>
        </w:tc>
        <w:tc>
          <w:tcPr>
            <w:tcW w:w="1016" w:type="dxa"/>
            <w:shd w:val="clear" w:color="auto" w:fill="A6A6A6" w:themeFill="background1" w:themeFillShade="A6"/>
          </w:tcPr>
          <w:p w:rsidR="005909BC" w:rsidRPr="005B46A6" w:rsidRDefault="005909BC" w:rsidP="00314988">
            <w:pPr>
              <w:jc w:val="center"/>
              <w:rPr>
                <w:rFonts w:ascii="Arial Narrow" w:hAnsi="Arial Narrow"/>
                <w:b/>
                <w:color w:val="000000" w:themeColor="text1"/>
                <w:sz w:val="20"/>
                <w:szCs w:val="20"/>
              </w:rPr>
            </w:pPr>
            <w:r w:rsidRPr="005B46A6">
              <w:rPr>
                <w:rFonts w:ascii="Arial Narrow" w:hAnsi="Arial Narrow"/>
                <w:b/>
                <w:color w:val="000000" w:themeColor="text1"/>
                <w:sz w:val="20"/>
                <w:szCs w:val="20"/>
              </w:rPr>
              <w:t>Maximum quantity (units)</w:t>
            </w:r>
          </w:p>
        </w:tc>
        <w:tc>
          <w:tcPr>
            <w:tcW w:w="781" w:type="dxa"/>
            <w:shd w:val="clear" w:color="auto" w:fill="A6A6A6" w:themeFill="background1" w:themeFillShade="A6"/>
          </w:tcPr>
          <w:p w:rsidR="005909BC" w:rsidRPr="005B46A6" w:rsidRDefault="005909BC" w:rsidP="00314988">
            <w:pPr>
              <w:jc w:val="center"/>
              <w:rPr>
                <w:rFonts w:ascii="Arial Narrow" w:hAnsi="Arial Narrow"/>
                <w:b/>
                <w:color w:val="000000" w:themeColor="text1"/>
                <w:sz w:val="20"/>
                <w:szCs w:val="20"/>
              </w:rPr>
            </w:pPr>
            <w:r w:rsidRPr="005B46A6">
              <w:rPr>
                <w:rFonts w:ascii="Arial Narrow" w:hAnsi="Arial Narrow"/>
                <w:b/>
                <w:color w:val="000000" w:themeColor="text1"/>
                <w:sz w:val="20"/>
                <w:szCs w:val="20"/>
              </w:rPr>
              <w:t>No. of repeats</w:t>
            </w:r>
          </w:p>
        </w:tc>
        <w:tc>
          <w:tcPr>
            <w:tcW w:w="1128" w:type="dxa"/>
            <w:shd w:val="clear" w:color="auto" w:fill="A6A6A6" w:themeFill="background1" w:themeFillShade="A6"/>
          </w:tcPr>
          <w:p w:rsidR="005909BC" w:rsidRPr="005B46A6" w:rsidRDefault="005909BC" w:rsidP="00375D40">
            <w:pPr>
              <w:rPr>
                <w:rFonts w:ascii="Arial Narrow" w:hAnsi="Arial Narrow"/>
                <w:b/>
                <w:color w:val="000000" w:themeColor="text1"/>
                <w:sz w:val="20"/>
                <w:szCs w:val="20"/>
              </w:rPr>
            </w:pPr>
            <w:r w:rsidRPr="005B46A6">
              <w:rPr>
                <w:rFonts w:ascii="Arial Narrow" w:hAnsi="Arial Narrow"/>
                <w:b/>
                <w:color w:val="000000" w:themeColor="text1"/>
                <w:sz w:val="20"/>
                <w:szCs w:val="20"/>
              </w:rPr>
              <w:t>DPMQ</w:t>
            </w:r>
          </w:p>
        </w:tc>
      </w:tr>
      <w:tr w:rsidR="005909BC" w:rsidRPr="00160776" w:rsidTr="00375D40">
        <w:tc>
          <w:tcPr>
            <w:tcW w:w="9016" w:type="dxa"/>
            <w:gridSpan w:val="5"/>
            <w:shd w:val="clear" w:color="auto" w:fill="D9D9D9" w:themeFill="background1" w:themeFillShade="D9"/>
          </w:tcPr>
          <w:p w:rsidR="005909BC" w:rsidRPr="005B46A6" w:rsidRDefault="00DE501B" w:rsidP="00314988">
            <w:pPr>
              <w:rPr>
                <w:rFonts w:ascii="Arial Narrow" w:hAnsi="Arial Narrow"/>
                <w:color w:val="000000" w:themeColor="text1"/>
                <w:sz w:val="20"/>
                <w:szCs w:val="20"/>
              </w:rPr>
            </w:pPr>
            <w:bookmarkStart w:id="1" w:name="_Hlk16767094"/>
            <w:proofErr w:type="spellStart"/>
            <w:r w:rsidRPr="005B46A6">
              <w:rPr>
                <w:rFonts w:ascii="Arial Narrow" w:hAnsi="Arial Narrow"/>
                <w:color w:val="000000" w:themeColor="text1"/>
                <w:sz w:val="20"/>
                <w:szCs w:val="20"/>
              </w:rPr>
              <w:t>C</w:t>
            </w:r>
            <w:r w:rsidR="005909BC" w:rsidRPr="005B46A6">
              <w:rPr>
                <w:rFonts w:ascii="Arial Narrow" w:hAnsi="Arial Narrow"/>
                <w:color w:val="000000" w:themeColor="text1"/>
                <w:sz w:val="20"/>
                <w:szCs w:val="20"/>
              </w:rPr>
              <w:t>ertolizumab</w:t>
            </w:r>
            <w:proofErr w:type="spellEnd"/>
            <w:r w:rsidR="005909BC" w:rsidRPr="005B46A6">
              <w:rPr>
                <w:rFonts w:ascii="Arial Narrow" w:hAnsi="Arial Narrow"/>
                <w:color w:val="000000" w:themeColor="text1"/>
                <w:sz w:val="20"/>
                <w:szCs w:val="20"/>
              </w:rPr>
              <w:t xml:space="preserve"> </w:t>
            </w:r>
            <w:proofErr w:type="spellStart"/>
            <w:r w:rsidR="005909BC" w:rsidRPr="005B46A6">
              <w:rPr>
                <w:rFonts w:ascii="Arial Narrow" w:hAnsi="Arial Narrow"/>
                <w:color w:val="000000" w:themeColor="text1"/>
                <w:sz w:val="20"/>
                <w:szCs w:val="20"/>
              </w:rPr>
              <w:t>pegol</w:t>
            </w:r>
            <w:proofErr w:type="spellEnd"/>
            <w:r w:rsidR="005909BC" w:rsidRPr="005B46A6">
              <w:rPr>
                <w:rFonts w:ascii="Arial Narrow" w:hAnsi="Arial Narrow"/>
                <w:color w:val="000000" w:themeColor="text1"/>
                <w:sz w:val="20"/>
                <w:szCs w:val="20"/>
              </w:rPr>
              <w:t xml:space="preserve"> 200 mg/mL injection, 2 x 1 mL (pen devices and syringes)</w:t>
            </w:r>
          </w:p>
        </w:tc>
      </w:tr>
      <w:tr w:rsidR="005909BC" w:rsidRPr="00160776" w:rsidTr="005909BC">
        <w:tc>
          <w:tcPr>
            <w:tcW w:w="4957" w:type="dxa"/>
          </w:tcPr>
          <w:p w:rsidR="005909BC" w:rsidRPr="005B46A6" w:rsidRDefault="005909BC" w:rsidP="005909BC">
            <w:pPr>
              <w:rPr>
                <w:rFonts w:ascii="Arial Narrow" w:hAnsi="Arial Narrow"/>
                <w:color w:val="000000" w:themeColor="text1"/>
                <w:sz w:val="20"/>
                <w:szCs w:val="20"/>
              </w:rPr>
            </w:pPr>
            <w:r w:rsidRPr="005B46A6">
              <w:rPr>
                <w:rFonts w:ascii="Arial Narrow" w:hAnsi="Arial Narrow"/>
                <w:color w:val="000000" w:themeColor="text1"/>
                <w:sz w:val="20"/>
                <w:szCs w:val="20"/>
              </w:rPr>
              <w:t>INITIAL (LOADING DOSE)</w:t>
            </w:r>
          </w:p>
        </w:tc>
        <w:tc>
          <w:tcPr>
            <w:tcW w:w="1134" w:type="dxa"/>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3</w:t>
            </w:r>
          </w:p>
        </w:tc>
        <w:tc>
          <w:tcPr>
            <w:tcW w:w="1016" w:type="dxa"/>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6</w:t>
            </w:r>
          </w:p>
        </w:tc>
        <w:tc>
          <w:tcPr>
            <w:tcW w:w="781" w:type="dxa"/>
            <w:shd w:val="clear" w:color="auto" w:fill="auto"/>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0</w:t>
            </w:r>
          </w:p>
        </w:tc>
        <w:tc>
          <w:tcPr>
            <w:tcW w:w="1128" w:type="dxa"/>
            <w:shd w:val="clear" w:color="auto" w:fill="auto"/>
          </w:tcPr>
          <w:p w:rsidR="005909BC" w:rsidRPr="005B46A6" w:rsidRDefault="005909BC" w:rsidP="00375D40">
            <w:pPr>
              <w:rPr>
                <w:rFonts w:ascii="Arial Narrow" w:hAnsi="Arial Narrow" w:cs="Segoe UI"/>
                <w:iCs/>
                <w:color w:val="000000" w:themeColor="text1"/>
                <w:sz w:val="20"/>
                <w:szCs w:val="20"/>
              </w:rPr>
            </w:pPr>
            <w:r w:rsidRPr="005B46A6">
              <w:rPr>
                <w:rFonts w:ascii="Arial Narrow" w:hAnsi="Arial Narrow" w:cs="Segoe UI"/>
                <w:iCs/>
                <w:color w:val="000000" w:themeColor="text1"/>
                <w:sz w:val="20"/>
                <w:szCs w:val="20"/>
              </w:rPr>
              <w:t>$3,008.50</w:t>
            </w:r>
          </w:p>
        </w:tc>
      </w:tr>
      <w:tr w:rsidR="005909BC" w:rsidRPr="00160776" w:rsidTr="005909BC">
        <w:tc>
          <w:tcPr>
            <w:tcW w:w="4957" w:type="dxa"/>
            <w:shd w:val="clear" w:color="auto" w:fill="F2F2F2" w:themeFill="background1" w:themeFillShade="F2"/>
          </w:tcPr>
          <w:p w:rsidR="005909BC" w:rsidRPr="005B46A6" w:rsidRDefault="005909BC" w:rsidP="00FD7BC1">
            <w:pPr>
              <w:rPr>
                <w:rFonts w:ascii="Arial Narrow" w:hAnsi="Arial Narrow"/>
                <w:color w:val="000000" w:themeColor="text1"/>
                <w:sz w:val="20"/>
                <w:szCs w:val="20"/>
              </w:rPr>
            </w:pPr>
            <w:r w:rsidRPr="005B46A6">
              <w:rPr>
                <w:rFonts w:ascii="Arial Narrow" w:hAnsi="Arial Narrow"/>
                <w:color w:val="000000" w:themeColor="text1"/>
                <w:sz w:val="20"/>
                <w:szCs w:val="20"/>
              </w:rPr>
              <w:t>INITIAL</w:t>
            </w:r>
            <w:r w:rsidR="00CE1309" w:rsidRPr="005B46A6">
              <w:rPr>
                <w:rFonts w:ascii="Arial Narrow" w:hAnsi="Arial Narrow"/>
                <w:color w:val="000000" w:themeColor="text1"/>
                <w:sz w:val="20"/>
                <w:szCs w:val="20"/>
              </w:rPr>
              <w:t xml:space="preserve"> (CZP 200 mg)</w:t>
            </w:r>
          </w:p>
        </w:tc>
        <w:tc>
          <w:tcPr>
            <w:tcW w:w="1134"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1</w:t>
            </w:r>
          </w:p>
        </w:tc>
        <w:tc>
          <w:tcPr>
            <w:tcW w:w="1016"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2</w:t>
            </w:r>
          </w:p>
        </w:tc>
        <w:tc>
          <w:tcPr>
            <w:tcW w:w="781"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3</w:t>
            </w:r>
          </w:p>
        </w:tc>
        <w:tc>
          <w:tcPr>
            <w:tcW w:w="1128" w:type="dxa"/>
            <w:shd w:val="clear" w:color="auto" w:fill="F2F2F2" w:themeFill="background1" w:themeFillShade="F2"/>
          </w:tcPr>
          <w:p w:rsidR="005909BC" w:rsidRPr="005B46A6" w:rsidRDefault="005909BC" w:rsidP="005909BC">
            <w:pPr>
              <w:rPr>
                <w:rFonts w:ascii="Arial Narrow" w:hAnsi="Arial Narrow" w:cs="Segoe UI"/>
                <w:color w:val="000000" w:themeColor="text1"/>
                <w:sz w:val="20"/>
                <w:szCs w:val="20"/>
              </w:rPr>
            </w:pPr>
            <w:r w:rsidRPr="005B46A6">
              <w:rPr>
                <w:rFonts w:ascii="Arial Narrow" w:hAnsi="Arial Narrow" w:cs="Segoe UI"/>
                <w:iCs/>
                <w:color w:val="000000" w:themeColor="text1"/>
                <w:sz w:val="20"/>
                <w:szCs w:val="20"/>
              </w:rPr>
              <w:t>$1,014.76</w:t>
            </w:r>
          </w:p>
        </w:tc>
      </w:tr>
      <w:tr w:rsidR="005909BC" w:rsidRPr="00160776" w:rsidTr="005909BC">
        <w:tc>
          <w:tcPr>
            <w:tcW w:w="4957" w:type="dxa"/>
            <w:shd w:val="clear" w:color="auto" w:fill="F2F2F2" w:themeFill="background1" w:themeFillShade="F2"/>
          </w:tcPr>
          <w:p w:rsidR="005909BC" w:rsidRPr="005B46A6" w:rsidRDefault="005909BC" w:rsidP="00FE65B1">
            <w:pPr>
              <w:rPr>
                <w:rFonts w:ascii="Arial Narrow" w:hAnsi="Arial Narrow"/>
                <w:color w:val="000000" w:themeColor="text1"/>
                <w:sz w:val="20"/>
                <w:szCs w:val="20"/>
              </w:rPr>
            </w:pPr>
            <w:r w:rsidRPr="005B46A6">
              <w:rPr>
                <w:rFonts w:ascii="Arial Narrow" w:hAnsi="Arial Narrow"/>
                <w:color w:val="000000" w:themeColor="text1"/>
                <w:sz w:val="20"/>
                <w:szCs w:val="20"/>
              </w:rPr>
              <w:t xml:space="preserve">INITIAL </w:t>
            </w:r>
            <w:r w:rsidRPr="005B46A6">
              <w:rPr>
                <w:rFonts w:ascii="Arial Narrow" w:hAnsi="Arial Narrow"/>
                <w:bCs/>
                <w:color w:val="000000" w:themeColor="text1"/>
                <w:sz w:val="20"/>
                <w:szCs w:val="20"/>
              </w:rPr>
              <w:t>(</w:t>
            </w:r>
            <w:r w:rsidR="00FE65B1" w:rsidRPr="005B46A6">
              <w:rPr>
                <w:rFonts w:ascii="Arial Narrow" w:hAnsi="Arial Narrow"/>
                <w:color w:val="000000" w:themeColor="text1"/>
                <w:sz w:val="20"/>
                <w:szCs w:val="20"/>
              </w:rPr>
              <w:t>CZP 400 mg</w:t>
            </w:r>
            <w:r w:rsidR="00FE65B1" w:rsidRPr="005B46A6">
              <w:rPr>
                <w:rFonts w:ascii="Arial Narrow" w:hAnsi="Arial Narrow"/>
                <w:bCs/>
                <w:color w:val="000000" w:themeColor="text1"/>
                <w:sz w:val="20"/>
                <w:szCs w:val="20"/>
              </w:rPr>
              <w:t xml:space="preserve">, for </w:t>
            </w:r>
            <w:r w:rsidRPr="005B46A6">
              <w:rPr>
                <w:rFonts w:ascii="Arial Narrow" w:hAnsi="Arial Narrow"/>
                <w:bCs/>
                <w:color w:val="000000" w:themeColor="text1"/>
                <w:sz w:val="20"/>
                <w:szCs w:val="20"/>
              </w:rPr>
              <w:t>patient</w:t>
            </w:r>
            <w:r w:rsidR="00FE65B1" w:rsidRPr="005B46A6">
              <w:rPr>
                <w:rFonts w:ascii="Arial Narrow" w:hAnsi="Arial Narrow"/>
                <w:bCs/>
                <w:color w:val="000000" w:themeColor="text1"/>
                <w:sz w:val="20"/>
                <w:szCs w:val="20"/>
              </w:rPr>
              <w:t>s</w:t>
            </w:r>
            <w:r w:rsidRPr="005B46A6">
              <w:rPr>
                <w:rFonts w:ascii="Arial Narrow" w:hAnsi="Arial Narrow"/>
                <w:bCs/>
                <w:color w:val="000000" w:themeColor="text1"/>
                <w:sz w:val="20"/>
                <w:szCs w:val="20"/>
              </w:rPr>
              <w:t xml:space="preserve"> </w:t>
            </w:r>
            <w:r w:rsidR="00FE65B1" w:rsidRPr="005B46A6">
              <w:rPr>
                <w:rFonts w:ascii="Arial Narrow" w:hAnsi="Arial Narrow"/>
                <w:bCs/>
                <w:color w:val="000000" w:themeColor="text1"/>
                <w:sz w:val="20"/>
                <w:szCs w:val="20"/>
              </w:rPr>
              <w:t xml:space="preserve">that </w:t>
            </w:r>
            <w:r w:rsidRPr="005B46A6">
              <w:rPr>
                <w:rFonts w:ascii="Arial Narrow" w:hAnsi="Arial Narrow"/>
                <w:bCs/>
                <w:color w:val="000000" w:themeColor="text1"/>
                <w:sz w:val="20"/>
                <w:szCs w:val="20"/>
              </w:rPr>
              <w:t>weigh</w:t>
            </w:r>
            <w:r w:rsidR="00FE65B1" w:rsidRPr="005B46A6">
              <w:rPr>
                <w:rFonts w:ascii="Arial Narrow" w:hAnsi="Arial Narrow"/>
                <w:bCs/>
                <w:color w:val="000000" w:themeColor="text1"/>
                <w:sz w:val="20"/>
                <w:szCs w:val="20"/>
              </w:rPr>
              <w:t xml:space="preserve"> </w:t>
            </w:r>
            <w:r w:rsidRPr="005B46A6">
              <w:rPr>
                <w:rFonts w:ascii="Arial Narrow" w:hAnsi="Arial Narrow" w:cs="Calibri"/>
                <w:bCs/>
                <w:color w:val="000000" w:themeColor="text1"/>
                <w:sz w:val="20"/>
                <w:szCs w:val="20"/>
              </w:rPr>
              <w:t>≥</w:t>
            </w:r>
            <w:r w:rsidR="00FA018E">
              <w:rPr>
                <w:rFonts w:ascii="Arial Narrow" w:hAnsi="Arial Narrow" w:cs="Calibri"/>
                <w:bCs/>
                <w:color w:val="000000" w:themeColor="text1"/>
                <w:sz w:val="20"/>
                <w:szCs w:val="20"/>
              </w:rPr>
              <w:t xml:space="preserve"> </w:t>
            </w:r>
            <w:r w:rsidRPr="005B46A6">
              <w:rPr>
                <w:rFonts w:ascii="Arial Narrow" w:hAnsi="Arial Narrow"/>
                <w:bCs/>
                <w:color w:val="000000" w:themeColor="text1"/>
                <w:sz w:val="20"/>
                <w:szCs w:val="20"/>
              </w:rPr>
              <w:t>90</w:t>
            </w:r>
            <w:r w:rsidR="00FA018E">
              <w:rPr>
                <w:rFonts w:ascii="Arial Narrow" w:hAnsi="Arial Narrow"/>
                <w:bCs/>
                <w:color w:val="000000" w:themeColor="text1"/>
                <w:sz w:val="20"/>
                <w:szCs w:val="20"/>
              </w:rPr>
              <w:t xml:space="preserve"> </w:t>
            </w:r>
            <w:r w:rsidRPr="005B46A6">
              <w:rPr>
                <w:rFonts w:ascii="Arial Narrow" w:hAnsi="Arial Narrow"/>
                <w:bCs/>
                <w:color w:val="000000" w:themeColor="text1"/>
                <w:sz w:val="20"/>
                <w:szCs w:val="20"/>
              </w:rPr>
              <w:t>kg)</w:t>
            </w:r>
          </w:p>
        </w:tc>
        <w:tc>
          <w:tcPr>
            <w:tcW w:w="1134"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bCs/>
                <w:color w:val="000000" w:themeColor="text1"/>
                <w:sz w:val="20"/>
                <w:szCs w:val="20"/>
              </w:rPr>
              <w:t>2</w:t>
            </w:r>
          </w:p>
        </w:tc>
        <w:tc>
          <w:tcPr>
            <w:tcW w:w="1016" w:type="dxa"/>
            <w:shd w:val="clear" w:color="auto" w:fill="F2F2F2" w:themeFill="background1" w:themeFillShade="F2"/>
          </w:tcPr>
          <w:p w:rsidR="005909BC" w:rsidRPr="005B46A6" w:rsidRDefault="00045214"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4</w:t>
            </w:r>
            <w:r w:rsidRPr="005B46A6">
              <w:rPr>
                <w:rFonts w:ascii="Arial Narrow" w:hAnsi="Arial Narrow"/>
                <w:color w:val="000000" w:themeColor="text1"/>
                <w:sz w:val="20"/>
                <w:szCs w:val="20"/>
                <w:vertAlign w:val="superscript"/>
              </w:rPr>
              <w:t>2</w:t>
            </w:r>
          </w:p>
        </w:tc>
        <w:tc>
          <w:tcPr>
            <w:tcW w:w="781"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3</w:t>
            </w:r>
          </w:p>
        </w:tc>
        <w:tc>
          <w:tcPr>
            <w:tcW w:w="1128" w:type="dxa"/>
            <w:shd w:val="clear" w:color="auto" w:fill="F2F2F2" w:themeFill="background1" w:themeFillShade="F2"/>
          </w:tcPr>
          <w:p w:rsidR="005909BC" w:rsidRPr="005B46A6" w:rsidRDefault="005909BC" w:rsidP="00045214">
            <w:pPr>
              <w:rPr>
                <w:rFonts w:ascii="Arial Narrow" w:hAnsi="Arial Narrow"/>
                <w:color w:val="000000" w:themeColor="text1"/>
                <w:sz w:val="20"/>
                <w:szCs w:val="20"/>
              </w:rPr>
            </w:pPr>
            <w:r w:rsidRPr="005B46A6">
              <w:rPr>
                <w:rFonts w:ascii="Arial Narrow" w:hAnsi="Arial Narrow"/>
                <w:color w:val="000000" w:themeColor="text1"/>
                <w:sz w:val="20"/>
                <w:szCs w:val="20"/>
              </w:rPr>
              <w:t>$2,02</w:t>
            </w:r>
            <w:r w:rsidR="00045214" w:rsidRPr="005B46A6">
              <w:rPr>
                <w:rFonts w:ascii="Arial Narrow" w:hAnsi="Arial Narrow"/>
                <w:color w:val="000000" w:themeColor="text1"/>
                <w:sz w:val="20"/>
                <w:szCs w:val="20"/>
              </w:rPr>
              <w:t>4.35</w:t>
            </w:r>
            <w:r w:rsidR="00045214" w:rsidRPr="005B46A6">
              <w:rPr>
                <w:rFonts w:ascii="Arial Narrow" w:hAnsi="Arial Narrow"/>
                <w:color w:val="000000" w:themeColor="text1"/>
                <w:sz w:val="20"/>
                <w:szCs w:val="20"/>
                <w:vertAlign w:val="superscript"/>
              </w:rPr>
              <w:t>1</w:t>
            </w:r>
          </w:p>
        </w:tc>
      </w:tr>
      <w:tr w:rsidR="005909BC" w:rsidRPr="00160776" w:rsidTr="005909BC">
        <w:tc>
          <w:tcPr>
            <w:tcW w:w="4957" w:type="dxa"/>
            <w:shd w:val="clear" w:color="auto" w:fill="F2F2F2" w:themeFill="background1" w:themeFillShade="F2"/>
          </w:tcPr>
          <w:p w:rsidR="005909BC" w:rsidRPr="005B46A6" w:rsidRDefault="005909BC" w:rsidP="005909BC">
            <w:pPr>
              <w:rPr>
                <w:rFonts w:ascii="Arial Narrow" w:hAnsi="Arial Narrow"/>
                <w:color w:val="000000" w:themeColor="text1"/>
                <w:sz w:val="20"/>
                <w:szCs w:val="20"/>
              </w:rPr>
            </w:pPr>
            <w:r w:rsidRPr="005B46A6">
              <w:rPr>
                <w:rFonts w:ascii="Arial Narrow" w:hAnsi="Arial Narrow"/>
                <w:color w:val="000000" w:themeColor="text1"/>
                <w:sz w:val="20"/>
                <w:szCs w:val="20"/>
              </w:rPr>
              <w:t>CONTINUING</w:t>
            </w:r>
            <w:r w:rsidR="00CE1309" w:rsidRPr="005B46A6">
              <w:rPr>
                <w:rFonts w:ascii="Arial Narrow" w:hAnsi="Arial Narrow"/>
                <w:color w:val="000000" w:themeColor="text1"/>
                <w:sz w:val="20"/>
                <w:szCs w:val="20"/>
              </w:rPr>
              <w:t xml:space="preserve"> (CZP 200 mg)</w:t>
            </w:r>
          </w:p>
        </w:tc>
        <w:tc>
          <w:tcPr>
            <w:tcW w:w="1134"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1</w:t>
            </w:r>
          </w:p>
        </w:tc>
        <w:tc>
          <w:tcPr>
            <w:tcW w:w="1016"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2</w:t>
            </w:r>
          </w:p>
        </w:tc>
        <w:tc>
          <w:tcPr>
            <w:tcW w:w="781"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5</w:t>
            </w:r>
          </w:p>
        </w:tc>
        <w:tc>
          <w:tcPr>
            <w:tcW w:w="1128" w:type="dxa"/>
            <w:shd w:val="clear" w:color="auto" w:fill="F2F2F2" w:themeFill="background1" w:themeFillShade="F2"/>
          </w:tcPr>
          <w:p w:rsidR="005909BC" w:rsidRPr="005B46A6" w:rsidRDefault="005909BC" w:rsidP="005909BC">
            <w:pPr>
              <w:rPr>
                <w:rFonts w:ascii="Arial Narrow" w:hAnsi="Arial Narrow"/>
                <w:color w:val="000000" w:themeColor="text1"/>
                <w:sz w:val="20"/>
                <w:szCs w:val="20"/>
              </w:rPr>
            </w:pPr>
            <w:r w:rsidRPr="005B46A6">
              <w:rPr>
                <w:rFonts w:ascii="Arial Narrow" w:hAnsi="Arial Narrow" w:cs="Segoe UI"/>
                <w:iCs/>
                <w:color w:val="000000" w:themeColor="text1"/>
                <w:sz w:val="20"/>
                <w:szCs w:val="20"/>
              </w:rPr>
              <w:t>$1,014.76</w:t>
            </w:r>
          </w:p>
        </w:tc>
      </w:tr>
      <w:tr w:rsidR="005909BC" w:rsidRPr="00160776" w:rsidTr="005909BC">
        <w:tc>
          <w:tcPr>
            <w:tcW w:w="4957" w:type="dxa"/>
            <w:shd w:val="clear" w:color="auto" w:fill="F2F2F2" w:themeFill="background1" w:themeFillShade="F2"/>
          </w:tcPr>
          <w:p w:rsidR="005909BC" w:rsidRPr="005B46A6" w:rsidRDefault="005909BC" w:rsidP="00FD7BC1">
            <w:pPr>
              <w:rPr>
                <w:rFonts w:ascii="Arial Narrow" w:hAnsi="Arial Narrow"/>
                <w:color w:val="000000" w:themeColor="text1"/>
                <w:sz w:val="20"/>
                <w:szCs w:val="20"/>
              </w:rPr>
            </w:pPr>
            <w:r w:rsidRPr="005B46A6">
              <w:rPr>
                <w:rFonts w:ascii="Arial Narrow" w:hAnsi="Arial Narrow"/>
                <w:color w:val="000000" w:themeColor="text1"/>
                <w:sz w:val="20"/>
                <w:szCs w:val="20"/>
              </w:rPr>
              <w:t xml:space="preserve">CONTINUING </w:t>
            </w:r>
            <w:r w:rsidRPr="005B46A6">
              <w:rPr>
                <w:rFonts w:ascii="Arial Narrow" w:hAnsi="Arial Narrow"/>
                <w:bCs/>
                <w:color w:val="000000" w:themeColor="text1"/>
                <w:sz w:val="20"/>
                <w:szCs w:val="20"/>
              </w:rPr>
              <w:t>(</w:t>
            </w:r>
            <w:r w:rsidR="00CE1309" w:rsidRPr="005B46A6">
              <w:rPr>
                <w:rFonts w:ascii="Arial Narrow" w:hAnsi="Arial Narrow"/>
                <w:bCs/>
                <w:color w:val="000000" w:themeColor="text1"/>
                <w:sz w:val="20"/>
                <w:szCs w:val="20"/>
              </w:rPr>
              <w:t>CZP</w:t>
            </w:r>
            <w:r w:rsidRPr="005B46A6">
              <w:rPr>
                <w:rFonts w:ascii="Arial Narrow" w:hAnsi="Arial Narrow"/>
                <w:bCs/>
                <w:color w:val="000000" w:themeColor="text1"/>
                <w:sz w:val="20"/>
                <w:szCs w:val="20"/>
              </w:rPr>
              <w:t xml:space="preserve"> 400</w:t>
            </w:r>
            <w:r w:rsidR="006F32EF" w:rsidRPr="005B46A6">
              <w:rPr>
                <w:rFonts w:ascii="Arial Narrow" w:hAnsi="Arial Narrow"/>
                <w:bCs/>
                <w:color w:val="000000" w:themeColor="text1"/>
                <w:sz w:val="20"/>
                <w:szCs w:val="20"/>
              </w:rPr>
              <w:t xml:space="preserve"> </w:t>
            </w:r>
            <w:r w:rsidRPr="005B46A6">
              <w:rPr>
                <w:rFonts w:ascii="Arial Narrow" w:hAnsi="Arial Narrow"/>
                <w:bCs/>
                <w:color w:val="000000" w:themeColor="text1"/>
                <w:sz w:val="20"/>
                <w:szCs w:val="20"/>
              </w:rPr>
              <w:t>mg</w:t>
            </w:r>
            <w:r w:rsidR="00FE65B1" w:rsidRPr="005B46A6">
              <w:rPr>
                <w:rFonts w:ascii="Arial Narrow" w:hAnsi="Arial Narrow"/>
                <w:bCs/>
                <w:color w:val="000000" w:themeColor="text1"/>
                <w:sz w:val="20"/>
                <w:szCs w:val="20"/>
              </w:rPr>
              <w:t>)</w:t>
            </w:r>
          </w:p>
        </w:tc>
        <w:tc>
          <w:tcPr>
            <w:tcW w:w="1134"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bCs/>
                <w:color w:val="000000" w:themeColor="text1"/>
                <w:sz w:val="20"/>
                <w:szCs w:val="20"/>
              </w:rPr>
              <w:t>2</w:t>
            </w:r>
          </w:p>
        </w:tc>
        <w:tc>
          <w:tcPr>
            <w:tcW w:w="1016" w:type="dxa"/>
            <w:shd w:val="clear" w:color="auto" w:fill="F2F2F2" w:themeFill="background1" w:themeFillShade="F2"/>
          </w:tcPr>
          <w:p w:rsidR="005909BC" w:rsidRPr="005B46A6" w:rsidRDefault="00045214"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4</w:t>
            </w:r>
            <w:r w:rsidRPr="005B46A6">
              <w:rPr>
                <w:rFonts w:ascii="Arial Narrow" w:hAnsi="Arial Narrow"/>
                <w:color w:val="000000" w:themeColor="text1"/>
                <w:sz w:val="20"/>
                <w:szCs w:val="20"/>
                <w:vertAlign w:val="superscript"/>
              </w:rPr>
              <w:t>2</w:t>
            </w:r>
          </w:p>
        </w:tc>
        <w:tc>
          <w:tcPr>
            <w:tcW w:w="781" w:type="dxa"/>
            <w:shd w:val="clear" w:color="auto" w:fill="F2F2F2" w:themeFill="background1" w:themeFillShade="F2"/>
          </w:tcPr>
          <w:p w:rsidR="005909BC" w:rsidRPr="005B46A6" w:rsidRDefault="005909BC" w:rsidP="00314988">
            <w:pPr>
              <w:jc w:val="center"/>
              <w:rPr>
                <w:rFonts w:ascii="Arial Narrow" w:hAnsi="Arial Narrow"/>
                <w:color w:val="000000" w:themeColor="text1"/>
                <w:sz w:val="20"/>
                <w:szCs w:val="20"/>
              </w:rPr>
            </w:pPr>
            <w:r w:rsidRPr="005B46A6">
              <w:rPr>
                <w:rFonts w:ascii="Arial Narrow" w:hAnsi="Arial Narrow"/>
                <w:color w:val="000000" w:themeColor="text1"/>
                <w:sz w:val="20"/>
                <w:szCs w:val="20"/>
              </w:rPr>
              <w:t>5</w:t>
            </w:r>
          </w:p>
        </w:tc>
        <w:tc>
          <w:tcPr>
            <w:tcW w:w="1128" w:type="dxa"/>
            <w:shd w:val="clear" w:color="auto" w:fill="F2F2F2" w:themeFill="background1" w:themeFillShade="F2"/>
          </w:tcPr>
          <w:p w:rsidR="005909BC" w:rsidRPr="005B46A6" w:rsidRDefault="005909BC" w:rsidP="00045214">
            <w:pPr>
              <w:rPr>
                <w:rFonts w:ascii="Arial Narrow" w:hAnsi="Arial Narrow"/>
                <w:color w:val="000000" w:themeColor="text1"/>
                <w:sz w:val="20"/>
                <w:szCs w:val="20"/>
              </w:rPr>
            </w:pPr>
            <w:r w:rsidRPr="005B46A6">
              <w:rPr>
                <w:rFonts w:ascii="Arial Narrow" w:hAnsi="Arial Narrow"/>
                <w:color w:val="000000" w:themeColor="text1"/>
                <w:sz w:val="20"/>
                <w:szCs w:val="20"/>
              </w:rPr>
              <w:t>$2,02</w:t>
            </w:r>
            <w:r w:rsidR="00045214" w:rsidRPr="005B46A6">
              <w:rPr>
                <w:rFonts w:ascii="Arial Narrow" w:hAnsi="Arial Narrow"/>
                <w:color w:val="000000" w:themeColor="text1"/>
                <w:sz w:val="20"/>
                <w:szCs w:val="20"/>
              </w:rPr>
              <w:t>4.35</w:t>
            </w:r>
            <w:r w:rsidR="00045214" w:rsidRPr="005B46A6">
              <w:rPr>
                <w:rFonts w:ascii="Arial Narrow" w:hAnsi="Arial Narrow"/>
                <w:color w:val="000000" w:themeColor="text1"/>
                <w:sz w:val="20"/>
                <w:szCs w:val="20"/>
                <w:vertAlign w:val="superscript"/>
              </w:rPr>
              <w:t>1</w:t>
            </w:r>
          </w:p>
        </w:tc>
      </w:tr>
    </w:tbl>
    <w:bookmarkEnd w:id="1"/>
    <w:p w:rsidR="00045214" w:rsidRPr="005B46A6" w:rsidRDefault="00FA018E" w:rsidP="00045214">
      <w:pPr>
        <w:pStyle w:val="3Bodytext"/>
        <w:numPr>
          <w:ilvl w:val="0"/>
          <w:numId w:val="0"/>
        </w:numPr>
        <w:spacing w:after="0"/>
        <w:rPr>
          <w:rFonts w:ascii="Arial Narrow" w:hAnsi="Arial Narrow"/>
          <w:sz w:val="18"/>
          <w:szCs w:val="18"/>
        </w:rPr>
      </w:pPr>
      <w:r>
        <w:rPr>
          <w:rFonts w:ascii="Arial Narrow" w:hAnsi="Arial Narrow"/>
          <w:sz w:val="18"/>
          <w:szCs w:val="18"/>
        </w:rPr>
        <w:t xml:space="preserve">CZP certolizumab pegol; </w:t>
      </w:r>
      <w:r w:rsidR="005909BC" w:rsidRPr="005B46A6">
        <w:rPr>
          <w:rFonts w:ascii="Arial Narrow" w:hAnsi="Arial Narrow"/>
          <w:sz w:val="18"/>
          <w:szCs w:val="18"/>
        </w:rPr>
        <w:t>DPMQ dispensed price for maximum quantity</w:t>
      </w:r>
    </w:p>
    <w:p w:rsidR="00276486" w:rsidRPr="005B46A6" w:rsidRDefault="00045214" w:rsidP="00045214">
      <w:pPr>
        <w:pStyle w:val="3Bodytext"/>
        <w:numPr>
          <w:ilvl w:val="0"/>
          <w:numId w:val="0"/>
        </w:numPr>
        <w:spacing w:after="0"/>
        <w:rPr>
          <w:rFonts w:ascii="Arial Narrow" w:hAnsi="Arial Narrow"/>
          <w:sz w:val="18"/>
          <w:szCs w:val="18"/>
        </w:rPr>
      </w:pPr>
      <w:r w:rsidRPr="005B46A6">
        <w:rPr>
          <w:rFonts w:ascii="Arial Narrow" w:hAnsi="Arial Narrow"/>
          <w:sz w:val="18"/>
          <w:szCs w:val="18"/>
        </w:rPr>
        <w:t xml:space="preserve">1. </w:t>
      </w:r>
      <w:r w:rsidR="00276486" w:rsidRPr="005B46A6">
        <w:rPr>
          <w:rFonts w:ascii="Arial Narrow" w:hAnsi="Arial Narrow"/>
          <w:sz w:val="18"/>
          <w:szCs w:val="18"/>
        </w:rPr>
        <w:t xml:space="preserve">DPMQ </w:t>
      </w:r>
      <w:r w:rsidRPr="005B46A6">
        <w:rPr>
          <w:rFonts w:ascii="Arial Narrow" w:hAnsi="Arial Narrow"/>
          <w:sz w:val="18"/>
          <w:szCs w:val="18"/>
        </w:rPr>
        <w:t xml:space="preserve">in resubmission was incorrectly reported as </w:t>
      </w:r>
      <w:r w:rsidR="00276486" w:rsidRPr="005B46A6">
        <w:rPr>
          <w:rFonts w:ascii="Arial Narrow" w:hAnsi="Arial Narrow"/>
          <w:sz w:val="18"/>
          <w:szCs w:val="18"/>
        </w:rPr>
        <w:t>$2,02</w:t>
      </w:r>
      <w:r w:rsidRPr="005B46A6">
        <w:rPr>
          <w:rFonts w:ascii="Arial Narrow" w:hAnsi="Arial Narrow"/>
          <w:sz w:val="18"/>
          <w:szCs w:val="18"/>
        </w:rPr>
        <w:t>9.52</w:t>
      </w:r>
      <w:r w:rsidR="00276486" w:rsidRPr="005B46A6">
        <w:rPr>
          <w:rFonts w:ascii="Arial Narrow" w:hAnsi="Arial Narrow"/>
          <w:sz w:val="18"/>
          <w:szCs w:val="18"/>
        </w:rPr>
        <w:t xml:space="preserve">. </w:t>
      </w:r>
    </w:p>
    <w:p w:rsidR="00045214" w:rsidRPr="005B46A6" w:rsidRDefault="00045214" w:rsidP="00045214">
      <w:pPr>
        <w:pStyle w:val="3Bodytext"/>
        <w:numPr>
          <w:ilvl w:val="0"/>
          <w:numId w:val="0"/>
        </w:numPr>
        <w:spacing w:after="0"/>
        <w:rPr>
          <w:rFonts w:ascii="Arial Narrow" w:hAnsi="Arial Narrow"/>
          <w:sz w:val="18"/>
          <w:szCs w:val="18"/>
        </w:rPr>
      </w:pPr>
      <w:r w:rsidRPr="005B46A6">
        <w:rPr>
          <w:rFonts w:ascii="Arial Narrow" w:hAnsi="Arial Narrow"/>
          <w:sz w:val="18"/>
          <w:szCs w:val="18"/>
        </w:rPr>
        <w:t>2. Maximum quantity (units) in resubmission was incorrectly reported as 2.</w:t>
      </w:r>
    </w:p>
    <w:p w:rsidR="00045214" w:rsidRDefault="00045214" w:rsidP="00045214">
      <w:pPr>
        <w:pStyle w:val="Bodytextitalics"/>
        <w:numPr>
          <w:ilvl w:val="0"/>
          <w:numId w:val="0"/>
        </w:numPr>
        <w:ind w:left="720"/>
      </w:pPr>
    </w:p>
    <w:p w:rsidR="00825F2D" w:rsidRPr="00FA018E" w:rsidRDefault="00825F2D" w:rsidP="00825F2D">
      <w:pPr>
        <w:pStyle w:val="ListParagraph"/>
        <w:ind w:left="709"/>
        <w:rPr>
          <w:rFonts w:asciiTheme="minorHAnsi" w:hAnsiTheme="minorHAnsi"/>
          <w:i/>
          <w:sz w:val="24"/>
          <w:szCs w:val="24"/>
        </w:rPr>
      </w:pPr>
      <w:r w:rsidRPr="00FA018E">
        <w:rPr>
          <w:rFonts w:asciiTheme="minorHAnsi" w:hAnsiTheme="minorHAnsi"/>
          <w:i/>
          <w:sz w:val="24"/>
          <w:szCs w:val="24"/>
        </w:rPr>
        <w:t>For more deta</w:t>
      </w:r>
      <w:r w:rsidR="00B45750" w:rsidRPr="00FA018E">
        <w:rPr>
          <w:rFonts w:asciiTheme="minorHAnsi" w:hAnsiTheme="minorHAnsi"/>
          <w:i/>
          <w:sz w:val="24"/>
          <w:szCs w:val="24"/>
        </w:rPr>
        <w:t>il on PBAC’s view, see section 6</w:t>
      </w:r>
      <w:r w:rsidRPr="00FA018E">
        <w:rPr>
          <w:rFonts w:asciiTheme="minorHAnsi" w:hAnsiTheme="minorHAnsi"/>
          <w:i/>
          <w:sz w:val="24"/>
          <w:szCs w:val="24"/>
        </w:rPr>
        <w:t xml:space="preserve"> PBAC outcome.</w:t>
      </w:r>
    </w:p>
    <w:p w:rsidR="00C603D4" w:rsidRPr="00FD6D8E" w:rsidRDefault="00CE10C4" w:rsidP="0033263D">
      <w:pPr>
        <w:pStyle w:val="2Sections"/>
      </w:pPr>
      <w:r w:rsidRPr="002B5596">
        <w:t>Background</w:t>
      </w:r>
      <w:r w:rsidR="00771D07">
        <w:t xml:space="preserve"> </w:t>
      </w:r>
    </w:p>
    <w:p w:rsidR="009855A8" w:rsidRPr="005B24AE" w:rsidRDefault="009855A8" w:rsidP="005B24AE">
      <w:pPr>
        <w:pStyle w:val="Heading2"/>
        <w:keepLines/>
        <w:spacing w:before="240" w:after="120"/>
        <w:rPr>
          <w:rFonts w:asciiTheme="minorHAnsi" w:eastAsiaTheme="majorEastAsia" w:hAnsiTheme="minorHAnsi" w:cstheme="majorBidi"/>
          <w:sz w:val="28"/>
          <w:szCs w:val="28"/>
          <w:lang w:eastAsia="en-US"/>
        </w:rPr>
      </w:pPr>
      <w:r w:rsidRPr="005B24AE">
        <w:rPr>
          <w:rFonts w:asciiTheme="minorHAnsi" w:eastAsiaTheme="majorEastAsia" w:hAnsiTheme="minorHAnsi" w:cstheme="majorBidi"/>
          <w:sz w:val="28"/>
          <w:szCs w:val="28"/>
          <w:lang w:eastAsia="en-US"/>
        </w:rPr>
        <w:t>Registration</w:t>
      </w:r>
      <w:r w:rsidR="005E15B0" w:rsidRPr="005B24AE">
        <w:rPr>
          <w:rFonts w:asciiTheme="minorHAnsi" w:eastAsiaTheme="majorEastAsia" w:hAnsiTheme="minorHAnsi" w:cstheme="majorBidi"/>
          <w:sz w:val="28"/>
          <w:szCs w:val="28"/>
          <w:lang w:eastAsia="en-US"/>
        </w:rPr>
        <w:t xml:space="preserve"> and PBS listing</w:t>
      </w:r>
      <w:r w:rsidRPr="005B24AE">
        <w:rPr>
          <w:rFonts w:asciiTheme="minorHAnsi" w:eastAsiaTheme="majorEastAsia" w:hAnsiTheme="minorHAnsi" w:cstheme="majorBidi"/>
          <w:sz w:val="28"/>
          <w:szCs w:val="28"/>
          <w:lang w:eastAsia="en-US"/>
        </w:rPr>
        <w:t xml:space="preserve"> status</w:t>
      </w:r>
    </w:p>
    <w:p w:rsidR="009855A8" w:rsidRDefault="003E5465" w:rsidP="005B24AE">
      <w:pPr>
        <w:pStyle w:val="Bodytextitalics"/>
        <w:rPr>
          <w:i w:val="0"/>
        </w:rPr>
      </w:pPr>
      <w:r w:rsidRPr="00DF5615">
        <w:rPr>
          <w:i w:val="0"/>
        </w:rPr>
        <w:t>CZP</w:t>
      </w:r>
      <w:r w:rsidR="009855A8" w:rsidRPr="00DF5615">
        <w:rPr>
          <w:i w:val="0"/>
        </w:rPr>
        <w:t xml:space="preserve"> </w:t>
      </w:r>
      <w:r w:rsidR="005B12C1" w:rsidRPr="00DF5615">
        <w:rPr>
          <w:i w:val="0"/>
        </w:rPr>
        <w:t xml:space="preserve">was </w:t>
      </w:r>
      <w:r w:rsidR="00C95D32" w:rsidRPr="00DF5615">
        <w:rPr>
          <w:i w:val="0"/>
        </w:rPr>
        <w:t xml:space="preserve">registered </w:t>
      </w:r>
      <w:r w:rsidR="00C95D32">
        <w:rPr>
          <w:i w:val="0"/>
        </w:rPr>
        <w:t xml:space="preserve">by the </w:t>
      </w:r>
      <w:r w:rsidR="005B12C1" w:rsidRPr="00DF5615">
        <w:rPr>
          <w:i w:val="0"/>
        </w:rPr>
        <w:t>TGA on 29 May 2019 for the</w:t>
      </w:r>
      <w:r w:rsidR="00922C78">
        <w:rPr>
          <w:i w:val="0"/>
        </w:rPr>
        <w:t xml:space="preserve"> treatment of adult patients with moderate to severe</w:t>
      </w:r>
      <w:r w:rsidR="0053776A">
        <w:rPr>
          <w:i w:val="0"/>
        </w:rPr>
        <w:t xml:space="preserve"> CPP</w:t>
      </w:r>
      <w:r w:rsidR="00922C78">
        <w:rPr>
          <w:i w:val="0"/>
        </w:rPr>
        <w:t xml:space="preserve"> who are candidates for systemic therapy or phototherapy. </w:t>
      </w:r>
    </w:p>
    <w:p w:rsidR="00922C78" w:rsidRPr="003951A4" w:rsidRDefault="00922C78" w:rsidP="005B24AE">
      <w:pPr>
        <w:pStyle w:val="Bodytextitalics"/>
        <w:rPr>
          <w:i w:val="0"/>
        </w:rPr>
      </w:pPr>
      <w:r w:rsidRPr="003951A4">
        <w:rPr>
          <w:i w:val="0"/>
        </w:rPr>
        <w:t>The recommended dose</w:t>
      </w:r>
      <w:r w:rsidR="004951B2">
        <w:rPr>
          <w:i w:val="0"/>
        </w:rPr>
        <w:t xml:space="preserve"> of CZP</w:t>
      </w:r>
      <w:r w:rsidRPr="003951A4">
        <w:rPr>
          <w:i w:val="0"/>
        </w:rPr>
        <w:t xml:space="preserve"> for </w:t>
      </w:r>
      <w:r w:rsidR="003951A4" w:rsidRPr="003951A4">
        <w:rPr>
          <w:i w:val="0"/>
        </w:rPr>
        <w:t>CPP is 400 mg (given as 2 subcutaneous injections of 200 mg each) initially (week 0) and at weeks 2 a</w:t>
      </w:r>
      <w:r w:rsidR="005B24AE">
        <w:rPr>
          <w:i w:val="0"/>
        </w:rPr>
        <w:t xml:space="preserve">nd 4 followed by 200 mg </w:t>
      </w:r>
      <w:r w:rsidR="003951A4" w:rsidRPr="003951A4">
        <w:rPr>
          <w:i w:val="0"/>
        </w:rPr>
        <w:t>or 400 mg every 2 weeks</w:t>
      </w:r>
      <w:r w:rsidR="003951A4">
        <w:t xml:space="preserve">.  </w:t>
      </w:r>
      <w:r w:rsidR="003951A4" w:rsidRPr="003951A4">
        <w:rPr>
          <w:i w:val="0"/>
        </w:rPr>
        <w:t>A dose of 400 mg every 2 weeks may be specifically</w:t>
      </w:r>
      <w:r w:rsidR="003951A4">
        <w:rPr>
          <w:i w:val="0"/>
        </w:rPr>
        <w:t xml:space="preserve"> </w:t>
      </w:r>
      <w:r w:rsidR="003951A4" w:rsidRPr="003951A4">
        <w:rPr>
          <w:i w:val="0"/>
        </w:rPr>
        <w:t>considered in patients with an insufficient response to 200 mg every 2 weeks or in patients with a</w:t>
      </w:r>
      <w:r w:rsidR="003951A4">
        <w:rPr>
          <w:i w:val="0"/>
        </w:rPr>
        <w:t xml:space="preserve"> </w:t>
      </w:r>
      <w:r w:rsidR="003951A4" w:rsidRPr="003951A4">
        <w:rPr>
          <w:i w:val="0"/>
        </w:rPr>
        <w:t xml:space="preserve">body weight </w:t>
      </w:r>
      <w:r w:rsidR="005A479B">
        <w:rPr>
          <w:rFonts w:cstheme="minorHAnsi"/>
          <w:i w:val="0"/>
        </w:rPr>
        <w:t>≥</w:t>
      </w:r>
      <w:r w:rsidR="005A479B">
        <w:rPr>
          <w:i w:val="0"/>
        </w:rPr>
        <w:t xml:space="preserve"> </w:t>
      </w:r>
      <w:r w:rsidR="003951A4" w:rsidRPr="003951A4">
        <w:rPr>
          <w:i w:val="0"/>
        </w:rPr>
        <w:t>90 kg</w:t>
      </w:r>
      <w:r w:rsidR="003951A4" w:rsidRPr="005719D9">
        <w:rPr>
          <w:i w:val="0"/>
        </w:rPr>
        <w:t>.</w:t>
      </w:r>
      <w:r w:rsidR="00A62CB9" w:rsidRPr="005719D9">
        <w:rPr>
          <w:i w:val="0"/>
        </w:rPr>
        <w:t xml:space="preserve"> At the time of PBAC consideration in March 2019, the TGA Delegate’s Overview supported a dose of CZP of 400 mg every two weeks in the maintenance phase, with 200 mg every two weeks as an alternative dose and the Advisory Committee on Medicines supported a dose of 200 – 400mg every two weeks</w:t>
      </w:r>
      <w:r w:rsidR="005719D9">
        <w:rPr>
          <w:i w:val="0"/>
        </w:rPr>
        <w:t>.</w:t>
      </w:r>
    </w:p>
    <w:p w:rsidR="009855A8" w:rsidRPr="006816AD" w:rsidRDefault="00547F63" w:rsidP="005B24AE">
      <w:pPr>
        <w:pStyle w:val="Bodytextitalics"/>
        <w:rPr>
          <w:color w:val="000000" w:themeColor="text1"/>
        </w:rPr>
      </w:pPr>
      <w:r>
        <w:rPr>
          <w:i w:val="0"/>
          <w:color w:val="000000" w:themeColor="text1"/>
        </w:rPr>
        <w:t>CZP</w:t>
      </w:r>
      <w:r w:rsidR="009855A8" w:rsidRPr="006816AD">
        <w:rPr>
          <w:i w:val="0"/>
          <w:color w:val="000000" w:themeColor="text1"/>
        </w:rPr>
        <w:t xml:space="preserve"> is currently listed on the PB</w:t>
      </w:r>
      <w:r w:rsidR="005B12C1" w:rsidRPr="006816AD">
        <w:rPr>
          <w:i w:val="0"/>
          <w:color w:val="000000" w:themeColor="text1"/>
        </w:rPr>
        <w:t>S as a</w:t>
      </w:r>
      <w:r w:rsidR="005E15B0">
        <w:rPr>
          <w:i w:val="0"/>
          <w:color w:val="000000" w:themeColor="text1"/>
        </w:rPr>
        <w:t xml:space="preserve"> General Schedule,</w:t>
      </w:r>
      <w:r w:rsidR="005B12C1" w:rsidRPr="006816AD">
        <w:rPr>
          <w:i w:val="0"/>
          <w:color w:val="000000" w:themeColor="text1"/>
        </w:rPr>
        <w:t xml:space="preserve"> written Authority </w:t>
      </w:r>
      <w:proofErr w:type="gramStart"/>
      <w:r w:rsidR="005B12C1" w:rsidRPr="006816AD">
        <w:rPr>
          <w:i w:val="0"/>
          <w:color w:val="000000" w:themeColor="text1"/>
        </w:rPr>
        <w:t>Required</w:t>
      </w:r>
      <w:proofErr w:type="gramEnd"/>
      <w:r w:rsidR="009855A8" w:rsidRPr="006816AD">
        <w:rPr>
          <w:i w:val="0"/>
          <w:color w:val="000000" w:themeColor="text1"/>
        </w:rPr>
        <w:t xml:space="preserve"> listing for </w:t>
      </w:r>
      <w:r w:rsidR="005B12C1" w:rsidRPr="006816AD">
        <w:rPr>
          <w:i w:val="0"/>
          <w:color w:val="000000" w:themeColor="text1"/>
        </w:rPr>
        <w:t xml:space="preserve">rheumatoid arthritis, psoriatic arthritis </w:t>
      </w:r>
      <w:r w:rsidR="006816AD" w:rsidRPr="006816AD">
        <w:rPr>
          <w:i w:val="0"/>
          <w:color w:val="000000" w:themeColor="text1"/>
        </w:rPr>
        <w:t>and ankylosing spondylitis</w:t>
      </w:r>
      <w:r w:rsidR="009855A8" w:rsidRPr="006816AD">
        <w:rPr>
          <w:i w:val="0"/>
          <w:color w:val="000000" w:themeColor="text1"/>
        </w:rPr>
        <w:t xml:space="preserve">. </w:t>
      </w:r>
      <w:r w:rsidR="0053776A">
        <w:rPr>
          <w:i w:val="0"/>
          <w:color w:val="000000" w:themeColor="text1"/>
        </w:rPr>
        <w:t xml:space="preserve">The dose for the currently listed indications is 400 mg at weeks 0, 2 and 4 followed by a maintenance dose of 200 mg every two weeks or 400 mg every four weeks. </w:t>
      </w:r>
    </w:p>
    <w:p w:rsidR="003951A4" w:rsidRPr="005B24AE" w:rsidRDefault="0012749D" w:rsidP="005B24AE">
      <w:pPr>
        <w:pStyle w:val="Heading2"/>
        <w:keepLines/>
        <w:spacing w:before="240" w:after="120"/>
        <w:rPr>
          <w:rFonts w:asciiTheme="minorHAnsi" w:eastAsiaTheme="majorEastAsia" w:hAnsiTheme="minorHAnsi" w:cstheme="majorBidi"/>
          <w:sz w:val="28"/>
          <w:szCs w:val="28"/>
          <w:lang w:eastAsia="en-US"/>
        </w:rPr>
      </w:pPr>
      <w:r w:rsidRPr="005B24AE">
        <w:rPr>
          <w:rFonts w:asciiTheme="minorHAnsi" w:eastAsiaTheme="majorEastAsia" w:hAnsiTheme="minorHAnsi" w:cstheme="majorBidi"/>
          <w:sz w:val="28"/>
          <w:szCs w:val="28"/>
          <w:lang w:eastAsia="en-US"/>
        </w:rPr>
        <w:t xml:space="preserve">Previous PBAC consideration </w:t>
      </w:r>
    </w:p>
    <w:p w:rsidR="00A8485D" w:rsidRPr="00106935" w:rsidRDefault="00A8485D" w:rsidP="005B24AE">
      <w:pPr>
        <w:pStyle w:val="3Bodytext"/>
      </w:pPr>
      <w:r>
        <w:t>At its March 2019 meeting, t</w:t>
      </w:r>
      <w:r w:rsidRPr="00A8485D">
        <w:t xml:space="preserve">he PBAC recommended the Authority </w:t>
      </w:r>
      <w:proofErr w:type="gramStart"/>
      <w:r w:rsidRPr="00A8485D">
        <w:t>Required</w:t>
      </w:r>
      <w:proofErr w:type="gramEnd"/>
      <w:r w:rsidRPr="00A8485D">
        <w:t xml:space="preserve"> listing of CZP on a cost</w:t>
      </w:r>
      <w:r w:rsidR="00926FDD">
        <w:t>-</w:t>
      </w:r>
      <w:r w:rsidRPr="00A8485D">
        <w:t xml:space="preserve"> minimisation basis with the least costly </w:t>
      </w:r>
      <w:r w:rsidR="00A62CB9">
        <w:t xml:space="preserve">biologic </w:t>
      </w:r>
      <w:r w:rsidRPr="00A8485D">
        <w:t>for CPP. In making this recommendation, the PBAC accepted any of the current PBS listed</w:t>
      </w:r>
      <w:r w:rsidR="00A62CB9">
        <w:t xml:space="preserve"> biologics</w:t>
      </w:r>
      <w:r w:rsidRPr="00A8485D">
        <w:t xml:space="preserve"> for CPP could be</w:t>
      </w:r>
      <w:r>
        <w:t xml:space="preserve"> an alternative therapy to CZP</w:t>
      </w:r>
      <w:r w:rsidR="00A3379F">
        <w:t>.</w:t>
      </w:r>
      <w:r w:rsidRPr="00A8485D">
        <w:t xml:space="preserve"> The PBAC considered the </w:t>
      </w:r>
      <w:proofErr w:type="spellStart"/>
      <w:r w:rsidRPr="00A8485D">
        <w:t>equi</w:t>
      </w:r>
      <w:proofErr w:type="spellEnd"/>
      <w:r w:rsidRPr="00A8485D">
        <w:t>-effective doses of CZP at a dose of 400 mg every 2 week</w:t>
      </w:r>
      <w:r w:rsidR="00A3379F">
        <w:t>s</w:t>
      </w:r>
      <w:r w:rsidRPr="00A8485D">
        <w:t xml:space="preserve"> and alternative</w:t>
      </w:r>
      <w:r w:rsidR="00A62CB9">
        <w:t xml:space="preserve"> biologics</w:t>
      </w:r>
      <w:r w:rsidRPr="00A8485D">
        <w:t xml:space="preserve"> could be derived from the previously recommended </w:t>
      </w:r>
      <w:proofErr w:type="spellStart"/>
      <w:r w:rsidRPr="00A8485D">
        <w:t>equi</w:t>
      </w:r>
      <w:proofErr w:type="spellEnd"/>
      <w:r w:rsidRPr="00A8485D">
        <w:t>-effective doses collated in the PBS Therapeutic Relativity Sheets</w:t>
      </w:r>
      <w:r w:rsidR="00A62CB9">
        <w:t>.</w:t>
      </w:r>
      <w:r w:rsidR="00347E18">
        <w:t xml:space="preserve"> </w:t>
      </w:r>
      <w:r w:rsidR="002D1E39">
        <w:t xml:space="preserve">The PBAC </w:t>
      </w:r>
      <w:r w:rsidR="002D1E39" w:rsidRPr="00241DE3">
        <w:t xml:space="preserve">previously considered CZP 200 mg should be </w:t>
      </w:r>
      <w:r w:rsidR="002D1E39" w:rsidRPr="00241DE3">
        <w:lastRenderedPageBreak/>
        <w:t>priced on the same per mg basis as CZP 400 mg</w:t>
      </w:r>
      <w:r w:rsidR="00A62CB9">
        <w:rPr>
          <w:i/>
        </w:rPr>
        <w:t xml:space="preserve"> </w:t>
      </w:r>
      <w:r w:rsidR="00A62CB9" w:rsidRPr="00A62CB9">
        <w:t>(paragraphs 7.1, 7.2, 7.8, CZP Public Summary Document (PSD), March 2019</w:t>
      </w:r>
      <w:r w:rsidR="00B52B72">
        <w:t xml:space="preserve"> PBAC meeting</w:t>
      </w:r>
      <w:r w:rsidR="00A62CB9" w:rsidRPr="00A62CB9">
        <w:t>).</w:t>
      </w:r>
    </w:p>
    <w:p w:rsidR="0012749D" w:rsidRPr="005719D9" w:rsidRDefault="0012749D" w:rsidP="005B24AE">
      <w:pPr>
        <w:pStyle w:val="Bodytextitalics"/>
        <w:rPr>
          <w:i w:val="0"/>
          <w:lang w:eastAsia="en-US"/>
        </w:rPr>
      </w:pPr>
      <w:r w:rsidRPr="005719D9">
        <w:rPr>
          <w:i w:val="0"/>
          <w:lang w:eastAsia="en-US"/>
        </w:rPr>
        <w:t xml:space="preserve">A summary of the previous </w:t>
      </w:r>
      <w:r w:rsidR="00656100" w:rsidRPr="005719D9">
        <w:rPr>
          <w:i w:val="0"/>
          <w:lang w:eastAsia="en-US"/>
        </w:rPr>
        <w:t xml:space="preserve">major </w:t>
      </w:r>
      <w:r w:rsidRPr="005719D9">
        <w:rPr>
          <w:i w:val="0"/>
          <w:lang w:eastAsia="en-US"/>
        </w:rPr>
        <w:t xml:space="preserve">submission and </w:t>
      </w:r>
      <w:r w:rsidR="00347E18" w:rsidRPr="005719D9">
        <w:rPr>
          <w:i w:val="0"/>
          <w:lang w:eastAsia="en-US"/>
        </w:rPr>
        <w:t xml:space="preserve">the </w:t>
      </w:r>
      <w:r w:rsidRPr="005719D9">
        <w:rPr>
          <w:i w:val="0"/>
          <w:lang w:eastAsia="en-US"/>
        </w:rPr>
        <w:t xml:space="preserve">current </w:t>
      </w:r>
      <w:r w:rsidR="00656100" w:rsidRPr="005719D9">
        <w:rPr>
          <w:i w:val="0"/>
          <w:lang w:eastAsia="en-US"/>
        </w:rPr>
        <w:t xml:space="preserve">minor </w:t>
      </w:r>
      <w:r w:rsidR="00AE5777" w:rsidRPr="005719D9">
        <w:rPr>
          <w:i w:val="0"/>
          <w:lang w:eastAsia="en-US"/>
        </w:rPr>
        <w:t>re</w:t>
      </w:r>
      <w:r w:rsidRPr="005719D9">
        <w:rPr>
          <w:i w:val="0"/>
          <w:lang w:eastAsia="en-US"/>
        </w:rPr>
        <w:t>submission is provided in</w:t>
      </w:r>
      <w:r w:rsidR="000C3FA0" w:rsidRPr="005719D9">
        <w:rPr>
          <w:i w:val="0"/>
          <w:lang w:eastAsia="en-US"/>
        </w:rPr>
        <w:t xml:space="preserve"> </w:t>
      </w:r>
      <w:r w:rsidR="00D45EFC" w:rsidRPr="00D45EFC">
        <w:rPr>
          <w:i w:val="0"/>
          <w:lang w:eastAsia="en-US"/>
        </w:rPr>
        <w:t>Table 2</w:t>
      </w:r>
      <w:r w:rsidR="000C3FA0" w:rsidRPr="005719D9">
        <w:rPr>
          <w:i w:val="0"/>
          <w:lang w:eastAsia="en-US"/>
        </w:rPr>
        <w:t>.</w:t>
      </w:r>
    </w:p>
    <w:p w:rsidR="0012749D" w:rsidRPr="0012749D" w:rsidRDefault="0012749D" w:rsidP="0012749D">
      <w:pPr>
        <w:keepNext/>
        <w:snapToGrid w:val="0"/>
        <w:jc w:val="both"/>
        <w:rPr>
          <w:rFonts w:ascii="Arial Narrow" w:hAnsi="Arial Narrow" w:cs="Arial"/>
          <w:b/>
          <w:bCs/>
          <w:color w:val="000000" w:themeColor="text1"/>
          <w:sz w:val="20"/>
          <w:szCs w:val="18"/>
          <w:lang w:eastAsia="en-US"/>
        </w:rPr>
      </w:pPr>
      <w:bookmarkStart w:id="2" w:name="_Ref22310030"/>
      <w:r w:rsidRPr="0012749D">
        <w:rPr>
          <w:rFonts w:ascii="Arial Narrow" w:hAnsi="Arial Narrow" w:cs="Arial"/>
          <w:b/>
          <w:bCs/>
          <w:color w:val="000000" w:themeColor="text1"/>
          <w:sz w:val="20"/>
          <w:szCs w:val="18"/>
          <w:lang w:eastAsia="en-US"/>
        </w:rPr>
        <w:t xml:space="preserve">Table </w:t>
      </w:r>
      <w:r w:rsidR="00D45EFC">
        <w:rPr>
          <w:rFonts w:ascii="Arial Narrow" w:hAnsi="Arial Narrow" w:cs="Arial"/>
          <w:b/>
          <w:bCs/>
          <w:noProof/>
          <w:color w:val="000000" w:themeColor="text1"/>
          <w:sz w:val="20"/>
          <w:szCs w:val="18"/>
          <w:lang w:eastAsia="en-US"/>
        </w:rPr>
        <w:t>2</w:t>
      </w:r>
      <w:bookmarkEnd w:id="2"/>
      <w:r w:rsidRPr="0012749D">
        <w:rPr>
          <w:rFonts w:ascii="Arial Narrow" w:hAnsi="Arial Narrow" w:cs="Arial"/>
          <w:b/>
          <w:bCs/>
          <w:color w:val="000000" w:themeColor="text1"/>
          <w:sz w:val="20"/>
          <w:szCs w:val="18"/>
          <w:lang w:eastAsia="en-US"/>
        </w:rPr>
        <w:t xml:space="preserve">: Summary of the previous submission and </w:t>
      </w:r>
      <w:r w:rsidR="00347E18">
        <w:rPr>
          <w:rFonts w:ascii="Arial Narrow" w:hAnsi="Arial Narrow" w:cs="Arial"/>
          <w:b/>
          <w:bCs/>
          <w:color w:val="000000" w:themeColor="text1"/>
          <w:sz w:val="20"/>
          <w:szCs w:val="18"/>
          <w:lang w:eastAsia="en-US"/>
        </w:rPr>
        <w:t xml:space="preserve">the </w:t>
      </w:r>
      <w:r w:rsidRPr="0012749D">
        <w:rPr>
          <w:rFonts w:ascii="Arial Narrow" w:hAnsi="Arial Narrow" w:cs="Arial"/>
          <w:b/>
          <w:bCs/>
          <w:color w:val="000000" w:themeColor="text1"/>
          <w:sz w:val="20"/>
          <w:szCs w:val="18"/>
          <w:lang w:eastAsia="en-US"/>
        </w:rPr>
        <w:t>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1"/>
        <w:gridCol w:w="3785"/>
        <w:gridCol w:w="3790"/>
      </w:tblGrid>
      <w:tr w:rsidR="006816AD" w:rsidRPr="0012749D" w:rsidTr="006816AD">
        <w:trPr>
          <w:cantSplit/>
          <w:trHeight w:val="220"/>
          <w:tblHeader/>
        </w:trPr>
        <w:tc>
          <w:tcPr>
            <w:tcW w:w="799" w:type="pct"/>
            <w:tcBorders>
              <w:top w:val="single" w:sz="4" w:space="0" w:color="auto"/>
              <w:left w:val="single" w:sz="4" w:space="0" w:color="auto"/>
              <w:bottom w:val="single" w:sz="4" w:space="0" w:color="auto"/>
              <w:right w:val="single" w:sz="4" w:space="0" w:color="auto"/>
            </w:tcBorders>
          </w:tcPr>
          <w:p w:rsidR="006816AD" w:rsidRPr="0012749D" w:rsidRDefault="006816AD" w:rsidP="0040216B">
            <w:pPr>
              <w:pStyle w:val="TableText0"/>
            </w:pPr>
          </w:p>
        </w:tc>
        <w:tc>
          <w:tcPr>
            <w:tcW w:w="2099" w:type="pct"/>
            <w:tcBorders>
              <w:top w:val="single" w:sz="4" w:space="0" w:color="auto"/>
              <w:left w:val="single" w:sz="4" w:space="0" w:color="auto"/>
              <w:bottom w:val="single" w:sz="4" w:space="0" w:color="auto"/>
              <w:right w:val="single" w:sz="4" w:space="0" w:color="auto"/>
            </w:tcBorders>
            <w:vAlign w:val="center"/>
            <w:hideMark/>
          </w:tcPr>
          <w:p w:rsidR="006816AD" w:rsidRPr="0012749D" w:rsidRDefault="006816AD" w:rsidP="0040216B">
            <w:pPr>
              <w:pStyle w:val="TableText0"/>
              <w:rPr>
                <w:b/>
              </w:rPr>
            </w:pPr>
            <w:r w:rsidRPr="006816AD">
              <w:rPr>
                <w:b/>
                <w:color w:val="000000" w:themeColor="text1"/>
              </w:rPr>
              <w:t xml:space="preserve">March 2019 </w:t>
            </w:r>
            <w:r w:rsidRPr="0012749D">
              <w:rPr>
                <w:b/>
              </w:rPr>
              <w:t>submission</w:t>
            </w:r>
          </w:p>
        </w:tc>
        <w:tc>
          <w:tcPr>
            <w:tcW w:w="2102"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rPr>
                <w:b/>
              </w:rPr>
            </w:pPr>
            <w:r w:rsidRPr="0012749D">
              <w:rPr>
                <w:b/>
              </w:rPr>
              <w:t>Current resubmission</w:t>
            </w:r>
          </w:p>
        </w:tc>
      </w:tr>
      <w:tr w:rsidR="006816AD" w:rsidRPr="0012749D" w:rsidTr="006816AD">
        <w:trPr>
          <w:cantSplit/>
          <w:trHeight w:val="525"/>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pPr>
            <w:r w:rsidRPr="0012749D">
              <w:t>Requested PBS listing</w:t>
            </w:r>
          </w:p>
        </w:tc>
        <w:tc>
          <w:tcPr>
            <w:tcW w:w="2099" w:type="pct"/>
            <w:tcBorders>
              <w:top w:val="single" w:sz="4" w:space="0" w:color="auto"/>
              <w:left w:val="single" w:sz="4" w:space="0" w:color="auto"/>
              <w:bottom w:val="single" w:sz="4" w:space="0" w:color="auto"/>
              <w:right w:val="single" w:sz="4" w:space="0" w:color="auto"/>
            </w:tcBorders>
          </w:tcPr>
          <w:p w:rsidR="006816AD" w:rsidRPr="0012749D" w:rsidRDefault="006816AD" w:rsidP="00FE65B1">
            <w:pPr>
              <w:pStyle w:val="TableText0"/>
            </w:pPr>
            <w:r>
              <w:t>Written authority required listing for</w:t>
            </w:r>
            <w:r w:rsidR="00347E18">
              <w:t xml:space="preserve"> CPP</w:t>
            </w:r>
            <w:r>
              <w:t>, consistent with other biologic listings for CPP</w:t>
            </w:r>
            <w:r w:rsidR="00656100">
              <w:t>. The submission requested listing for</w:t>
            </w:r>
            <w:r w:rsidR="000C3FA0">
              <w:t xml:space="preserve"> CZP 200 mg only</w:t>
            </w:r>
            <w:r w:rsidR="00FE65B1">
              <w:t xml:space="preserve"> (</w:t>
            </w:r>
            <w:r w:rsidR="005B46A6">
              <w:t>i.e.</w:t>
            </w:r>
            <w:r w:rsidR="00FE65B1">
              <w:t xml:space="preserve"> 400 mg, given as 2 x 200 mg injections, at week 0, 2 and 4 followed by 200 mg every 2 weeks).</w:t>
            </w:r>
          </w:p>
        </w:tc>
        <w:tc>
          <w:tcPr>
            <w:tcW w:w="2102" w:type="pct"/>
            <w:tcBorders>
              <w:top w:val="single" w:sz="4" w:space="0" w:color="auto"/>
              <w:left w:val="single" w:sz="4" w:space="0" w:color="auto"/>
              <w:bottom w:val="single" w:sz="4" w:space="0" w:color="auto"/>
              <w:right w:val="single" w:sz="4" w:space="0" w:color="auto"/>
            </w:tcBorders>
          </w:tcPr>
          <w:p w:rsidR="00656100" w:rsidRDefault="006816AD" w:rsidP="006816AD">
            <w:pPr>
              <w:pStyle w:val="TableText0"/>
            </w:pPr>
            <w:r>
              <w:t xml:space="preserve">The </w:t>
            </w:r>
            <w:r w:rsidR="00A62CB9">
              <w:t>re</w:t>
            </w:r>
            <w:r>
              <w:t xml:space="preserve">submission requested </w:t>
            </w:r>
            <w:r w:rsidR="00A3379F">
              <w:t>listing</w:t>
            </w:r>
            <w:r>
              <w:t xml:space="preserve"> for </w:t>
            </w:r>
            <w:r w:rsidR="000C3FA0">
              <w:t>CZP 200 mg and CZP 400 mg</w:t>
            </w:r>
            <w:r w:rsidR="00FE65B1">
              <w:t xml:space="preserve"> (</w:t>
            </w:r>
            <w:r w:rsidR="005B46A6">
              <w:t>i.e.</w:t>
            </w:r>
            <w:r w:rsidR="00FE65B1">
              <w:t xml:space="preserve"> 400 mg, given as 2 x 200 mg injections, at week 0, 2 and 4 followed by 200 mg or 400 mg every 2 weeks).</w:t>
            </w:r>
          </w:p>
          <w:p w:rsidR="00656100" w:rsidRDefault="00656100" w:rsidP="006816AD">
            <w:pPr>
              <w:pStyle w:val="TableText0"/>
            </w:pPr>
          </w:p>
          <w:p w:rsidR="006816AD" w:rsidRDefault="009932BF" w:rsidP="006816AD">
            <w:pPr>
              <w:pStyle w:val="TableText0"/>
            </w:pPr>
            <w:r>
              <w:t xml:space="preserve">Initial treatment </w:t>
            </w:r>
            <w:r w:rsidR="00656100">
              <w:t xml:space="preserve">with </w:t>
            </w:r>
            <w:r w:rsidR="000C3FA0">
              <w:t>CZP 400 mg</w:t>
            </w:r>
            <w:r w:rsidR="00656100">
              <w:t xml:space="preserve"> </w:t>
            </w:r>
            <w:r>
              <w:t>(after the loading dose)</w:t>
            </w:r>
            <w:r w:rsidR="00656100">
              <w:t xml:space="preserve"> is </w:t>
            </w:r>
            <w:r>
              <w:t xml:space="preserve">restricted to patients weighing </w:t>
            </w:r>
            <w:r w:rsidR="00FE65B1">
              <w:t xml:space="preserve">≥ </w:t>
            </w:r>
            <w:r>
              <w:t>90</w:t>
            </w:r>
            <w:r w:rsidR="00FA018E">
              <w:t xml:space="preserve"> </w:t>
            </w:r>
            <w:r>
              <w:t>kg.</w:t>
            </w:r>
          </w:p>
          <w:p w:rsidR="009932BF" w:rsidRDefault="009932BF" w:rsidP="006816AD">
            <w:pPr>
              <w:pStyle w:val="TableText0"/>
            </w:pPr>
          </w:p>
          <w:p w:rsidR="009932BF" w:rsidRPr="009932BF" w:rsidRDefault="009932BF" w:rsidP="004761AF">
            <w:pPr>
              <w:pStyle w:val="TableText0"/>
              <w:rPr>
                <w:i/>
              </w:rPr>
            </w:pPr>
            <w:r>
              <w:t xml:space="preserve">The </w:t>
            </w:r>
            <w:r w:rsidR="00A62CB9">
              <w:t>re</w:t>
            </w:r>
            <w:r>
              <w:t>submission request</w:t>
            </w:r>
            <w:r w:rsidR="00A3379F">
              <w:t>ed</w:t>
            </w:r>
            <w:r>
              <w:t xml:space="preserve"> consideration for patients to be able to up-titrate from </w:t>
            </w:r>
            <w:r w:rsidR="000C3FA0">
              <w:t>CZP 200 mg to CZP 400 mg</w:t>
            </w:r>
            <w:r w:rsidR="00656100">
              <w:t xml:space="preserve"> for non-response</w:t>
            </w:r>
            <w:r w:rsidR="004761AF">
              <w:t>.</w:t>
            </w:r>
          </w:p>
        </w:tc>
      </w:tr>
      <w:tr w:rsidR="006816AD" w:rsidRPr="0012749D" w:rsidTr="006816AD">
        <w:trPr>
          <w:cantSplit/>
          <w:trHeight w:val="422"/>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pPr>
            <w:r w:rsidRPr="0012749D">
              <w:t>Requested effective DPMQs</w:t>
            </w:r>
          </w:p>
        </w:tc>
        <w:tc>
          <w:tcPr>
            <w:tcW w:w="2099" w:type="pct"/>
            <w:tcBorders>
              <w:top w:val="single" w:sz="4" w:space="0" w:color="auto"/>
              <w:left w:val="single" w:sz="4" w:space="0" w:color="auto"/>
              <w:bottom w:val="single" w:sz="4" w:space="0" w:color="auto"/>
              <w:right w:val="single" w:sz="4" w:space="0" w:color="auto"/>
            </w:tcBorders>
          </w:tcPr>
          <w:p w:rsidR="003E5465" w:rsidRDefault="00112D79" w:rsidP="00112D79">
            <w:pPr>
              <w:pStyle w:val="TableText0"/>
              <w:rPr>
                <w:snapToGrid w:val="0"/>
                <w:lang w:eastAsia="en-US"/>
              </w:rPr>
            </w:pPr>
            <w:r>
              <w:rPr>
                <w:snapToGrid w:val="0"/>
                <w:lang w:eastAsia="en-US"/>
              </w:rPr>
              <w:t>Requested the current DPMQ of certolizumab pegol</w:t>
            </w:r>
            <w:r w:rsidR="00CE1309">
              <w:rPr>
                <w:snapToGrid w:val="0"/>
                <w:lang w:eastAsia="en-US"/>
              </w:rPr>
              <w:t>:</w:t>
            </w:r>
            <w:r>
              <w:rPr>
                <w:snapToGrid w:val="0"/>
                <w:lang w:eastAsia="en-US"/>
              </w:rPr>
              <w:t xml:space="preserve"> </w:t>
            </w:r>
          </w:p>
          <w:p w:rsidR="003E5465" w:rsidRDefault="003E5465" w:rsidP="008807C0">
            <w:pPr>
              <w:pStyle w:val="TableText0"/>
              <w:numPr>
                <w:ilvl w:val="0"/>
                <w:numId w:val="21"/>
              </w:numPr>
              <w:rPr>
                <w:snapToGrid w:val="0"/>
                <w:lang w:eastAsia="en-US"/>
              </w:rPr>
            </w:pPr>
            <w:r>
              <w:rPr>
                <w:snapToGrid w:val="0"/>
                <w:lang w:eastAsia="en-US"/>
              </w:rPr>
              <w:t>AEMP [200 mg/2 pack] $</w:t>
            </w:r>
            <w:r w:rsidR="004D1501">
              <w:rPr>
                <w:noProof/>
                <w:snapToGrid w:val="0"/>
                <w:color w:val="000000"/>
                <w:highlight w:val="black"/>
                <w:lang w:eastAsia="en-US"/>
              </w:rPr>
              <w:t>'''''''''''''''</w:t>
            </w:r>
            <w:r>
              <w:rPr>
                <w:snapToGrid w:val="0"/>
                <w:lang w:eastAsia="en-US"/>
              </w:rPr>
              <w:t xml:space="preserve"> </w:t>
            </w:r>
          </w:p>
          <w:p w:rsidR="00A62CB9" w:rsidRDefault="00A62CB9" w:rsidP="008807C0">
            <w:pPr>
              <w:pStyle w:val="TableText0"/>
              <w:numPr>
                <w:ilvl w:val="0"/>
                <w:numId w:val="21"/>
              </w:numPr>
              <w:rPr>
                <w:snapToGrid w:val="0"/>
                <w:lang w:eastAsia="en-US"/>
              </w:rPr>
            </w:pPr>
            <w:r>
              <w:rPr>
                <w:snapToGrid w:val="0"/>
                <w:lang w:eastAsia="en-US"/>
              </w:rPr>
              <w:t>DPMQ [loading dose] $</w:t>
            </w:r>
            <w:r w:rsidR="004D1501">
              <w:rPr>
                <w:noProof/>
                <w:snapToGrid w:val="0"/>
                <w:color w:val="000000"/>
                <w:highlight w:val="black"/>
                <w:lang w:eastAsia="en-US"/>
              </w:rPr>
              <w:t>'''''''''''''''''''''''</w:t>
            </w:r>
          </w:p>
          <w:p w:rsidR="003E5465" w:rsidRDefault="003E5465" w:rsidP="008807C0">
            <w:pPr>
              <w:pStyle w:val="TableText0"/>
              <w:numPr>
                <w:ilvl w:val="0"/>
                <w:numId w:val="21"/>
              </w:numPr>
              <w:rPr>
                <w:snapToGrid w:val="0"/>
                <w:lang w:eastAsia="en-US"/>
              </w:rPr>
            </w:pPr>
            <w:r>
              <w:rPr>
                <w:snapToGrid w:val="0"/>
                <w:lang w:eastAsia="en-US"/>
              </w:rPr>
              <w:t>DPMQ [</w:t>
            </w:r>
            <w:r w:rsidR="00A62CB9">
              <w:rPr>
                <w:snapToGrid w:val="0"/>
                <w:lang w:eastAsia="en-US"/>
              </w:rPr>
              <w:t>CZP 200 mg</w:t>
            </w:r>
            <w:r>
              <w:rPr>
                <w:snapToGrid w:val="0"/>
                <w:lang w:eastAsia="en-US"/>
              </w:rPr>
              <w:t>] $</w:t>
            </w:r>
            <w:r w:rsidR="004D1501">
              <w:rPr>
                <w:noProof/>
                <w:snapToGrid w:val="0"/>
                <w:color w:val="000000"/>
                <w:highlight w:val="black"/>
                <w:lang w:eastAsia="en-US"/>
              </w:rPr>
              <w:t>''''''''''''''''''''''</w:t>
            </w:r>
          </w:p>
          <w:p w:rsidR="003E5465" w:rsidRPr="003E5465" w:rsidRDefault="003E5465" w:rsidP="00A62CB9">
            <w:pPr>
              <w:pStyle w:val="TableText0"/>
              <w:ind w:left="720"/>
              <w:rPr>
                <w:snapToGrid w:val="0"/>
                <w:lang w:eastAsia="en-US"/>
              </w:rPr>
            </w:pPr>
          </w:p>
        </w:tc>
        <w:tc>
          <w:tcPr>
            <w:tcW w:w="2102" w:type="pct"/>
            <w:tcBorders>
              <w:top w:val="single" w:sz="4" w:space="0" w:color="auto"/>
              <w:left w:val="single" w:sz="4" w:space="0" w:color="auto"/>
              <w:bottom w:val="single" w:sz="4" w:space="0" w:color="auto"/>
              <w:right w:val="single" w:sz="4" w:space="0" w:color="auto"/>
            </w:tcBorders>
          </w:tcPr>
          <w:p w:rsidR="006816AD" w:rsidRDefault="003E5465" w:rsidP="0040216B">
            <w:pPr>
              <w:pStyle w:val="TableText0"/>
              <w:rPr>
                <w:i/>
                <w:snapToGrid w:val="0"/>
                <w:lang w:eastAsia="en-US"/>
              </w:rPr>
            </w:pPr>
            <w:r w:rsidRPr="005719D9">
              <w:rPr>
                <w:snapToGrid w:val="0"/>
                <w:lang w:eastAsia="en-US"/>
              </w:rPr>
              <w:t>Unchanged, but</w:t>
            </w:r>
            <w:r w:rsidRPr="003E5465">
              <w:rPr>
                <w:snapToGrid w:val="0"/>
                <w:lang w:eastAsia="en-US"/>
              </w:rPr>
              <w:t xml:space="preserve"> added new proposed DPMQs for </w:t>
            </w:r>
            <w:r w:rsidR="004761AF">
              <w:rPr>
                <w:snapToGrid w:val="0"/>
                <w:lang w:eastAsia="en-US"/>
              </w:rPr>
              <w:t>CZP 400 mg</w:t>
            </w:r>
            <w:r w:rsidRPr="003E5465">
              <w:rPr>
                <w:snapToGrid w:val="0"/>
                <w:lang w:eastAsia="en-US"/>
              </w:rPr>
              <w:t>:</w:t>
            </w:r>
            <w:r>
              <w:rPr>
                <w:i/>
                <w:snapToGrid w:val="0"/>
                <w:lang w:eastAsia="en-US"/>
              </w:rPr>
              <w:t xml:space="preserve"> </w:t>
            </w:r>
          </w:p>
          <w:p w:rsidR="003E5465" w:rsidRDefault="003E5465" w:rsidP="008807C0">
            <w:pPr>
              <w:pStyle w:val="TableText0"/>
              <w:numPr>
                <w:ilvl w:val="0"/>
                <w:numId w:val="22"/>
              </w:numPr>
              <w:rPr>
                <w:snapToGrid w:val="0"/>
                <w:lang w:eastAsia="en-US"/>
              </w:rPr>
            </w:pPr>
            <w:r>
              <w:rPr>
                <w:snapToGrid w:val="0"/>
                <w:lang w:eastAsia="en-US"/>
              </w:rPr>
              <w:t>AEMP [200 mg</w:t>
            </w:r>
            <w:r w:rsidR="00656100">
              <w:rPr>
                <w:snapToGrid w:val="0"/>
                <w:lang w:eastAsia="en-US"/>
              </w:rPr>
              <w:t>/ 2 pack</w:t>
            </w:r>
            <w:r>
              <w:rPr>
                <w:snapToGrid w:val="0"/>
                <w:lang w:eastAsia="en-US"/>
              </w:rPr>
              <w:t>] $</w:t>
            </w:r>
            <w:r w:rsidR="004D1501">
              <w:rPr>
                <w:noProof/>
                <w:snapToGrid w:val="0"/>
                <w:color w:val="000000"/>
                <w:highlight w:val="black"/>
                <w:lang w:eastAsia="en-US"/>
              </w:rPr>
              <w:t>'''''''''''''''''</w:t>
            </w:r>
            <w:r>
              <w:rPr>
                <w:snapToGrid w:val="0"/>
                <w:lang w:eastAsia="en-US"/>
              </w:rPr>
              <w:t xml:space="preserve"> </w:t>
            </w:r>
          </w:p>
          <w:p w:rsidR="00A96C15" w:rsidRPr="004951B2" w:rsidRDefault="00A96C15" w:rsidP="00A96C15">
            <w:pPr>
              <w:pStyle w:val="TableText0"/>
              <w:numPr>
                <w:ilvl w:val="0"/>
                <w:numId w:val="22"/>
              </w:numPr>
              <w:rPr>
                <w:snapToGrid w:val="0"/>
                <w:lang w:eastAsia="en-US"/>
              </w:rPr>
            </w:pPr>
            <w:r w:rsidRPr="004951B2">
              <w:rPr>
                <w:snapToGrid w:val="0"/>
                <w:lang w:eastAsia="en-US"/>
              </w:rPr>
              <w:t>DPMQ [loading dose] $</w:t>
            </w:r>
            <w:r w:rsidR="004D1501">
              <w:rPr>
                <w:noProof/>
                <w:snapToGrid w:val="0"/>
                <w:color w:val="000000"/>
                <w:highlight w:val="black"/>
                <w:lang w:eastAsia="en-US"/>
              </w:rPr>
              <w:t>''''''''''''''''''''</w:t>
            </w:r>
          </w:p>
          <w:p w:rsidR="003E5465" w:rsidRPr="004951B2" w:rsidRDefault="003E5465" w:rsidP="008807C0">
            <w:pPr>
              <w:pStyle w:val="TableText0"/>
              <w:numPr>
                <w:ilvl w:val="0"/>
                <w:numId w:val="22"/>
              </w:numPr>
              <w:rPr>
                <w:snapToGrid w:val="0"/>
                <w:lang w:eastAsia="en-US"/>
              </w:rPr>
            </w:pPr>
            <w:r w:rsidRPr="004951B2">
              <w:rPr>
                <w:snapToGrid w:val="0"/>
                <w:lang w:eastAsia="en-US"/>
              </w:rPr>
              <w:t>DPMQ [</w:t>
            </w:r>
            <w:r w:rsidR="000C3FA0">
              <w:rPr>
                <w:snapToGrid w:val="0"/>
                <w:lang w:eastAsia="en-US"/>
              </w:rPr>
              <w:t>CZP 200 mg</w:t>
            </w:r>
            <w:r w:rsidRPr="004951B2">
              <w:rPr>
                <w:snapToGrid w:val="0"/>
                <w:lang w:eastAsia="en-US"/>
              </w:rPr>
              <w:t>] $</w:t>
            </w:r>
            <w:r w:rsidR="004D1501">
              <w:rPr>
                <w:noProof/>
                <w:snapToGrid w:val="0"/>
                <w:color w:val="000000"/>
                <w:highlight w:val="black"/>
                <w:lang w:eastAsia="en-US"/>
              </w:rPr>
              <w:t>'''''''''''''''''''''</w:t>
            </w:r>
          </w:p>
          <w:p w:rsidR="000D183A" w:rsidRPr="005B46A6" w:rsidRDefault="003E5465" w:rsidP="000D183A">
            <w:pPr>
              <w:pStyle w:val="TableText0"/>
              <w:numPr>
                <w:ilvl w:val="0"/>
                <w:numId w:val="22"/>
              </w:numPr>
              <w:rPr>
                <w:snapToGrid w:val="0"/>
                <w:lang w:eastAsia="en-US"/>
              </w:rPr>
            </w:pPr>
            <w:r w:rsidRPr="004951B2">
              <w:rPr>
                <w:snapToGrid w:val="0"/>
                <w:lang w:eastAsia="en-US"/>
              </w:rPr>
              <w:t>DPMQ [</w:t>
            </w:r>
            <w:r w:rsidR="00076ACC">
              <w:rPr>
                <w:snapToGrid w:val="0"/>
                <w:lang w:eastAsia="en-US"/>
              </w:rPr>
              <w:t>CZP 400 mg</w:t>
            </w:r>
            <w:r w:rsidRPr="004951B2">
              <w:rPr>
                <w:snapToGrid w:val="0"/>
                <w:lang w:eastAsia="en-US"/>
              </w:rPr>
              <w:t xml:space="preserve">] </w:t>
            </w:r>
            <w:r w:rsidRPr="00B52B72">
              <w:rPr>
                <w:snapToGrid w:val="0"/>
                <w:lang w:eastAsia="en-US"/>
              </w:rPr>
              <w:t>$</w:t>
            </w:r>
            <w:r w:rsidR="004D1501">
              <w:rPr>
                <w:noProof/>
                <w:snapToGrid w:val="0"/>
                <w:color w:val="000000"/>
                <w:highlight w:val="black"/>
                <w:lang w:eastAsia="en-US"/>
              </w:rPr>
              <w:t>'''''''''''''''''''''''</w:t>
            </w:r>
          </w:p>
        </w:tc>
      </w:tr>
      <w:tr w:rsidR="006816AD" w:rsidRPr="0012749D" w:rsidTr="006816AD">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pPr>
            <w:r w:rsidRPr="0012749D">
              <w:t>Comparator</w:t>
            </w:r>
          </w:p>
        </w:tc>
        <w:tc>
          <w:tcPr>
            <w:tcW w:w="2099" w:type="pct"/>
            <w:tcBorders>
              <w:top w:val="single" w:sz="4" w:space="0" w:color="auto"/>
              <w:left w:val="single" w:sz="4" w:space="0" w:color="auto"/>
              <w:bottom w:val="single" w:sz="4" w:space="0" w:color="auto"/>
              <w:right w:val="single" w:sz="4" w:space="0" w:color="auto"/>
            </w:tcBorders>
          </w:tcPr>
          <w:p w:rsidR="006816AD" w:rsidRDefault="003E5465" w:rsidP="0040216B">
            <w:pPr>
              <w:pStyle w:val="TableText0"/>
            </w:pPr>
            <w:r>
              <w:t xml:space="preserve">The submission nominated </w:t>
            </w:r>
            <w:r w:rsidR="00913987">
              <w:t>ADA</w:t>
            </w:r>
            <w:r>
              <w:t xml:space="preserve"> and </w:t>
            </w:r>
            <w:r w:rsidR="00913987">
              <w:t>UST</w:t>
            </w:r>
            <w:r>
              <w:t xml:space="preserve"> as the main comparators.</w:t>
            </w:r>
          </w:p>
          <w:p w:rsidR="003E5465" w:rsidRDefault="003E5465" w:rsidP="0040216B">
            <w:pPr>
              <w:pStyle w:val="TableText0"/>
            </w:pPr>
          </w:p>
          <w:p w:rsidR="003E5465" w:rsidRPr="0012749D" w:rsidRDefault="003E5465" w:rsidP="0040216B">
            <w:pPr>
              <w:pStyle w:val="TableText0"/>
            </w:pPr>
            <w:r>
              <w:t>PBAC considered all PBS listed biologic therapies for CPP are alternative therapies and could be substituted by CZP [paragraph 7.4].</w:t>
            </w:r>
          </w:p>
        </w:tc>
        <w:tc>
          <w:tcPr>
            <w:tcW w:w="2102" w:type="pct"/>
            <w:tcBorders>
              <w:top w:val="single" w:sz="4" w:space="0" w:color="auto"/>
              <w:left w:val="single" w:sz="4" w:space="0" w:color="auto"/>
              <w:bottom w:val="single" w:sz="4" w:space="0" w:color="auto"/>
              <w:right w:val="single" w:sz="4" w:space="0" w:color="auto"/>
            </w:tcBorders>
          </w:tcPr>
          <w:p w:rsidR="006816AD" w:rsidRPr="005719D9" w:rsidRDefault="003E5465" w:rsidP="0040216B">
            <w:pPr>
              <w:pStyle w:val="TableText0"/>
              <w:rPr>
                <w:snapToGrid w:val="0"/>
                <w:lang w:eastAsia="en-US"/>
              </w:rPr>
            </w:pPr>
            <w:r w:rsidRPr="005719D9">
              <w:rPr>
                <w:snapToGrid w:val="0"/>
                <w:lang w:eastAsia="en-US"/>
              </w:rPr>
              <w:t>Unchanged</w:t>
            </w:r>
            <w:r w:rsidR="00347E18" w:rsidRPr="005719D9">
              <w:rPr>
                <w:snapToGrid w:val="0"/>
                <w:lang w:eastAsia="en-US"/>
              </w:rPr>
              <w:t>.</w:t>
            </w:r>
          </w:p>
        </w:tc>
      </w:tr>
      <w:tr w:rsidR="00825084" w:rsidRPr="0012749D" w:rsidTr="006816AD">
        <w:trPr>
          <w:cantSplit/>
          <w:trHeight w:val="860"/>
        </w:trPr>
        <w:tc>
          <w:tcPr>
            <w:tcW w:w="799" w:type="pct"/>
            <w:tcBorders>
              <w:top w:val="single" w:sz="4" w:space="0" w:color="auto"/>
              <w:left w:val="single" w:sz="4" w:space="0" w:color="auto"/>
              <w:bottom w:val="single" w:sz="4" w:space="0" w:color="auto"/>
              <w:right w:val="single" w:sz="4" w:space="0" w:color="auto"/>
            </w:tcBorders>
          </w:tcPr>
          <w:p w:rsidR="00825084" w:rsidRPr="0012749D" w:rsidRDefault="00825084" w:rsidP="00825084">
            <w:pPr>
              <w:pStyle w:val="TableText0"/>
            </w:pPr>
            <w:r>
              <w:t xml:space="preserve">Dosage recommendation in Product Information </w:t>
            </w:r>
          </w:p>
        </w:tc>
        <w:tc>
          <w:tcPr>
            <w:tcW w:w="2099" w:type="pct"/>
            <w:tcBorders>
              <w:top w:val="single" w:sz="4" w:space="0" w:color="auto"/>
              <w:left w:val="single" w:sz="4" w:space="0" w:color="auto"/>
              <w:bottom w:val="single" w:sz="4" w:space="0" w:color="auto"/>
              <w:right w:val="single" w:sz="4" w:space="0" w:color="auto"/>
            </w:tcBorders>
          </w:tcPr>
          <w:p w:rsidR="00825084" w:rsidRPr="005719D9" w:rsidRDefault="00825084" w:rsidP="00913987">
            <w:pPr>
              <w:pStyle w:val="TableText0"/>
            </w:pPr>
            <w:r w:rsidRPr="005719D9">
              <w:t>Recommended by TGA Delegate</w:t>
            </w:r>
            <w:r w:rsidR="00FE4D1E" w:rsidRPr="005719D9">
              <w:t>:</w:t>
            </w:r>
            <w:r w:rsidRPr="005719D9">
              <w:t xml:space="preserve"> 400 mg every two weeks in the maintenance phase, with 200 mg every two weeks as an alternative dose</w:t>
            </w:r>
            <w:r w:rsidR="00FE4D1E" w:rsidRPr="005719D9">
              <w:t>.</w:t>
            </w:r>
          </w:p>
          <w:p w:rsidR="00FE4D1E" w:rsidRDefault="00FE4D1E" w:rsidP="00913987">
            <w:pPr>
              <w:pStyle w:val="TableText0"/>
            </w:pPr>
            <w:r w:rsidRPr="005719D9">
              <w:t>Recommended by ACM: 200-400 mg every two weeks</w:t>
            </w:r>
          </w:p>
        </w:tc>
        <w:tc>
          <w:tcPr>
            <w:tcW w:w="2102" w:type="pct"/>
            <w:tcBorders>
              <w:top w:val="single" w:sz="4" w:space="0" w:color="auto"/>
              <w:left w:val="single" w:sz="4" w:space="0" w:color="auto"/>
              <w:bottom w:val="single" w:sz="4" w:space="0" w:color="auto"/>
              <w:right w:val="single" w:sz="4" w:space="0" w:color="auto"/>
            </w:tcBorders>
          </w:tcPr>
          <w:p w:rsidR="00825084" w:rsidRPr="00825084" w:rsidRDefault="00825084" w:rsidP="00821146">
            <w:pPr>
              <w:pStyle w:val="TableText0"/>
            </w:pPr>
            <w:r w:rsidRPr="005719D9">
              <w:t>Approved:</w:t>
            </w:r>
            <w:r w:rsidR="00821146">
              <w:t xml:space="preserve"> the maintenance dose is CZP 200 mg or CZP 400 mg. A dose of CZP 400 mg may be specifically considered in patients with an insufficient response to CZP 200 mg or in patients with a body weight of 90 kg and above</w:t>
            </w:r>
            <w:r w:rsidR="008C158C">
              <w:t>.</w:t>
            </w:r>
          </w:p>
        </w:tc>
      </w:tr>
      <w:tr w:rsidR="006816AD" w:rsidRPr="0012749D" w:rsidTr="006816AD">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rPr>
                <w:highlight w:val="yellow"/>
              </w:rPr>
            </w:pPr>
            <w:r w:rsidRPr="0012749D">
              <w:t>Clinical evidence</w:t>
            </w:r>
          </w:p>
        </w:tc>
        <w:tc>
          <w:tcPr>
            <w:tcW w:w="2099" w:type="pct"/>
            <w:tcBorders>
              <w:top w:val="single" w:sz="4" w:space="0" w:color="auto"/>
              <w:left w:val="single" w:sz="4" w:space="0" w:color="auto"/>
              <w:bottom w:val="single" w:sz="4" w:space="0" w:color="auto"/>
              <w:right w:val="single" w:sz="4" w:space="0" w:color="auto"/>
            </w:tcBorders>
          </w:tcPr>
          <w:p w:rsidR="006816AD" w:rsidRDefault="00913987" w:rsidP="00913987">
            <w:pPr>
              <w:pStyle w:val="TableText0"/>
            </w:pPr>
            <w:r>
              <w:t>Indirect comparison of CZP 200 mg versus UST or ADA with placebo as common reference.</w:t>
            </w:r>
          </w:p>
          <w:p w:rsidR="00913987" w:rsidRDefault="00913987" w:rsidP="00913987">
            <w:pPr>
              <w:pStyle w:val="TableText0"/>
            </w:pPr>
          </w:p>
          <w:p w:rsidR="00913987" w:rsidRDefault="00913987" w:rsidP="00913987">
            <w:pPr>
              <w:pStyle w:val="TableText0"/>
            </w:pPr>
            <w:r>
              <w:t xml:space="preserve">Comparisons with </w:t>
            </w:r>
            <w:r w:rsidR="00076ACC">
              <w:t>CZP 400 mg</w:t>
            </w:r>
            <w:r>
              <w:t xml:space="preserve"> undertaken during the evaluation.</w:t>
            </w:r>
          </w:p>
          <w:p w:rsidR="00557DBF" w:rsidRDefault="00557DBF" w:rsidP="00913987">
            <w:pPr>
              <w:pStyle w:val="TableText0"/>
            </w:pPr>
          </w:p>
          <w:p w:rsidR="00557DBF" w:rsidRPr="0012749D" w:rsidRDefault="00557DBF" w:rsidP="00825084">
            <w:pPr>
              <w:pStyle w:val="TableText0"/>
            </w:pPr>
            <w:r>
              <w:t>Dir</w:t>
            </w:r>
            <w:r w:rsidR="000D183A">
              <w:t>ect comparison with ETN</w:t>
            </w:r>
            <w:r>
              <w:t xml:space="preserve"> not included in submission but undertaken during evaluation.</w:t>
            </w:r>
          </w:p>
        </w:tc>
        <w:tc>
          <w:tcPr>
            <w:tcW w:w="2102" w:type="pct"/>
            <w:tcBorders>
              <w:top w:val="single" w:sz="4" w:space="0" w:color="auto"/>
              <w:left w:val="single" w:sz="4" w:space="0" w:color="auto"/>
              <w:bottom w:val="single" w:sz="4" w:space="0" w:color="auto"/>
              <w:right w:val="single" w:sz="4" w:space="0" w:color="auto"/>
            </w:tcBorders>
          </w:tcPr>
          <w:p w:rsidR="006816AD" w:rsidRPr="005719D9" w:rsidRDefault="00913987" w:rsidP="0040216B">
            <w:pPr>
              <w:pStyle w:val="TableText0"/>
            </w:pPr>
            <w:r w:rsidRPr="005719D9">
              <w:t>Unchanged, no new clinical evidence presented</w:t>
            </w:r>
            <w:r w:rsidR="00A3379F" w:rsidRPr="005719D9">
              <w:t>.</w:t>
            </w:r>
          </w:p>
        </w:tc>
      </w:tr>
      <w:tr w:rsidR="006816AD" w:rsidRPr="0012749D" w:rsidTr="005B46A6">
        <w:trPr>
          <w:cantSplit/>
          <w:trHeight w:val="375"/>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rPr>
                <w:highlight w:val="yellow"/>
              </w:rPr>
            </w:pPr>
            <w:r w:rsidRPr="0012749D">
              <w:t>Key effectiveness data</w:t>
            </w:r>
          </w:p>
        </w:tc>
        <w:tc>
          <w:tcPr>
            <w:tcW w:w="2099" w:type="pct"/>
            <w:tcBorders>
              <w:top w:val="single" w:sz="4" w:space="0" w:color="auto"/>
              <w:left w:val="single" w:sz="4" w:space="0" w:color="auto"/>
              <w:bottom w:val="single" w:sz="4" w:space="0" w:color="auto"/>
              <w:right w:val="single" w:sz="4" w:space="0" w:color="auto"/>
            </w:tcBorders>
          </w:tcPr>
          <w:p w:rsidR="009E6385" w:rsidRPr="009E6385" w:rsidRDefault="00913987" w:rsidP="00076ACC">
            <w:pPr>
              <w:pStyle w:val="TableText0"/>
            </w:pPr>
            <w:r>
              <w:t xml:space="preserve">Comparison of PASI 75 response </w:t>
            </w:r>
            <w:r w:rsidR="00557DBF">
              <w:t>at 12 or 16 weeks</w:t>
            </w:r>
            <w:r w:rsidR="009E6385">
              <w:t xml:space="preserve">. </w:t>
            </w:r>
          </w:p>
        </w:tc>
        <w:tc>
          <w:tcPr>
            <w:tcW w:w="2102" w:type="pct"/>
            <w:tcBorders>
              <w:top w:val="single" w:sz="4" w:space="0" w:color="auto"/>
              <w:left w:val="single" w:sz="4" w:space="0" w:color="auto"/>
              <w:bottom w:val="single" w:sz="4" w:space="0" w:color="auto"/>
              <w:right w:val="single" w:sz="4" w:space="0" w:color="auto"/>
            </w:tcBorders>
          </w:tcPr>
          <w:p w:rsidR="006816AD" w:rsidRPr="004C549C" w:rsidRDefault="009E6385" w:rsidP="0040216B">
            <w:pPr>
              <w:pStyle w:val="TableText0"/>
            </w:pPr>
            <w:r w:rsidRPr="004C549C">
              <w:t>Unchanged</w:t>
            </w:r>
          </w:p>
        </w:tc>
      </w:tr>
      <w:tr w:rsidR="006816AD" w:rsidRPr="0012749D" w:rsidTr="006816AD">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pPr>
            <w:r w:rsidRPr="0012749D">
              <w:t>Clinical claim</w:t>
            </w:r>
          </w:p>
        </w:tc>
        <w:tc>
          <w:tcPr>
            <w:tcW w:w="2099" w:type="pct"/>
            <w:tcBorders>
              <w:top w:val="single" w:sz="4" w:space="0" w:color="auto"/>
              <w:left w:val="single" w:sz="4" w:space="0" w:color="auto"/>
              <w:bottom w:val="single" w:sz="4" w:space="0" w:color="auto"/>
              <w:right w:val="single" w:sz="4" w:space="0" w:color="auto"/>
            </w:tcBorders>
          </w:tcPr>
          <w:p w:rsidR="006816AD" w:rsidRPr="009E6385" w:rsidRDefault="009E6385" w:rsidP="00076ACC">
            <w:pPr>
              <w:pStyle w:val="TableText0"/>
            </w:pPr>
            <w:r>
              <w:t xml:space="preserve">Claim of non-inferiority in terms of both effectiveness and safety compared to UST and ADA. </w:t>
            </w:r>
            <w:r w:rsidR="00076ACC">
              <w:t>PBAC was satisfied non-inferiority to UST and ADA demonstrated for CZP 200 mg and CZP 400 mg [paragraph 7.6].</w:t>
            </w:r>
          </w:p>
        </w:tc>
        <w:tc>
          <w:tcPr>
            <w:tcW w:w="2102" w:type="pct"/>
            <w:tcBorders>
              <w:top w:val="single" w:sz="4" w:space="0" w:color="auto"/>
              <w:left w:val="single" w:sz="4" w:space="0" w:color="auto"/>
              <w:bottom w:val="single" w:sz="4" w:space="0" w:color="auto"/>
              <w:right w:val="single" w:sz="4" w:space="0" w:color="auto"/>
            </w:tcBorders>
          </w:tcPr>
          <w:p w:rsidR="006816AD" w:rsidRPr="004C549C" w:rsidRDefault="009E6385" w:rsidP="0040216B">
            <w:pPr>
              <w:pStyle w:val="TableText0"/>
            </w:pPr>
            <w:r w:rsidRPr="004C549C">
              <w:t>Unchanged</w:t>
            </w:r>
          </w:p>
        </w:tc>
      </w:tr>
      <w:tr w:rsidR="006816AD" w:rsidRPr="0012749D" w:rsidTr="006816AD">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rPr>
                <w:highlight w:val="yellow"/>
              </w:rPr>
            </w:pPr>
            <w:r w:rsidRPr="0012749D">
              <w:lastRenderedPageBreak/>
              <w:t>Economic evaluation</w:t>
            </w:r>
          </w:p>
        </w:tc>
        <w:tc>
          <w:tcPr>
            <w:tcW w:w="2099" w:type="pct"/>
            <w:tcBorders>
              <w:top w:val="single" w:sz="4" w:space="0" w:color="auto"/>
              <w:left w:val="single" w:sz="4" w:space="0" w:color="auto"/>
              <w:bottom w:val="single" w:sz="4" w:space="0" w:color="auto"/>
              <w:right w:val="single" w:sz="4" w:space="0" w:color="auto"/>
            </w:tcBorders>
          </w:tcPr>
          <w:p w:rsidR="006816AD" w:rsidRDefault="009E6385" w:rsidP="0040216B">
            <w:pPr>
              <w:pStyle w:val="TableText0"/>
            </w:pPr>
            <w:r>
              <w:t>Requested same price as current CZP listings</w:t>
            </w:r>
            <w:r w:rsidR="000D183A">
              <w:t xml:space="preserve"> for 200 mg strength</w:t>
            </w:r>
            <w:r>
              <w:t>.</w:t>
            </w:r>
            <w:r w:rsidR="00076ACC">
              <w:t xml:space="preserve"> </w:t>
            </w:r>
          </w:p>
          <w:p w:rsidR="009E6385" w:rsidRDefault="009E6385" w:rsidP="0040216B">
            <w:pPr>
              <w:pStyle w:val="TableText0"/>
            </w:pPr>
          </w:p>
          <w:p w:rsidR="009E6385" w:rsidRPr="0012749D" w:rsidRDefault="009E6385" w:rsidP="0032543B">
            <w:pPr>
              <w:pStyle w:val="TableText0"/>
            </w:pPr>
            <w:r>
              <w:t xml:space="preserve">PBAC considered cost minimisation to least costly biologic for CPP was appropriate and </w:t>
            </w:r>
            <w:r w:rsidR="0032543B">
              <w:t>CZP 200 mg should be priced on the same per mg basis as CZP 400 mg</w:t>
            </w:r>
            <w:r w:rsidR="0032543B" w:rsidDel="0032543B">
              <w:t xml:space="preserve"> </w:t>
            </w:r>
            <w:r>
              <w:t>[paragraphs 7.7/7.8]</w:t>
            </w:r>
          </w:p>
        </w:tc>
        <w:tc>
          <w:tcPr>
            <w:tcW w:w="2102" w:type="pct"/>
            <w:tcBorders>
              <w:top w:val="single" w:sz="4" w:space="0" w:color="auto"/>
              <w:left w:val="single" w:sz="4" w:space="0" w:color="auto"/>
              <w:bottom w:val="single" w:sz="4" w:space="0" w:color="auto"/>
              <w:right w:val="single" w:sz="4" w:space="0" w:color="auto"/>
            </w:tcBorders>
          </w:tcPr>
          <w:p w:rsidR="00953860" w:rsidRDefault="00347A42" w:rsidP="0040216B">
            <w:pPr>
              <w:pStyle w:val="TableText0"/>
              <w:rPr>
                <w:i/>
              </w:rPr>
            </w:pPr>
            <w:r w:rsidRPr="004761AF">
              <w:t xml:space="preserve">The resubmission presented a cost minimisation analysis </w:t>
            </w:r>
            <w:r w:rsidR="00106935">
              <w:t xml:space="preserve">of CZP 200 mg </w:t>
            </w:r>
            <w:r w:rsidRPr="004761AF">
              <w:t>vs UST and ADA over 2 years incorporating induction and maintenance doses</w:t>
            </w:r>
            <w:r>
              <w:rPr>
                <w:i/>
              </w:rPr>
              <w:t>.</w:t>
            </w:r>
          </w:p>
          <w:p w:rsidR="00106935" w:rsidRPr="00347A42" w:rsidRDefault="00106935" w:rsidP="0040216B">
            <w:pPr>
              <w:pStyle w:val="TableText0"/>
              <w:rPr>
                <w:i/>
              </w:rPr>
            </w:pPr>
            <w:r w:rsidRPr="005719D9">
              <w:t>The resubmission propose</w:t>
            </w:r>
            <w:r w:rsidR="00C45A61" w:rsidRPr="005719D9">
              <w:t>d</w:t>
            </w:r>
            <w:r w:rsidRPr="005719D9">
              <w:t xml:space="preserve"> a RSA to ensure the cost of CZP 400 mg is no higher than CZP 200mg</w:t>
            </w:r>
            <w:r>
              <w:rPr>
                <w:i/>
              </w:rPr>
              <w:t xml:space="preserve">. </w:t>
            </w:r>
          </w:p>
          <w:p w:rsidR="00953860" w:rsidRPr="000D183A" w:rsidRDefault="00953860" w:rsidP="00347A42">
            <w:pPr>
              <w:pStyle w:val="TableText0"/>
              <w:rPr>
                <w:i/>
              </w:rPr>
            </w:pPr>
          </w:p>
        </w:tc>
      </w:tr>
      <w:tr w:rsidR="006816AD" w:rsidRPr="0012749D" w:rsidTr="006816AD">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953860">
            <w:pPr>
              <w:pStyle w:val="TableText0"/>
              <w:rPr>
                <w:highlight w:val="yellow"/>
              </w:rPr>
            </w:pPr>
            <w:r w:rsidRPr="0012749D">
              <w:t xml:space="preserve">Number of </w:t>
            </w:r>
            <w:r w:rsidR="00953860">
              <w:t>prescriptions</w:t>
            </w:r>
          </w:p>
        </w:tc>
        <w:tc>
          <w:tcPr>
            <w:tcW w:w="2099" w:type="pct"/>
            <w:tcBorders>
              <w:top w:val="single" w:sz="4" w:space="0" w:color="auto"/>
              <w:left w:val="single" w:sz="4" w:space="0" w:color="auto"/>
              <w:bottom w:val="single" w:sz="4" w:space="0" w:color="auto"/>
              <w:right w:val="single" w:sz="4" w:space="0" w:color="auto"/>
            </w:tcBorders>
          </w:tcPr>
          <w:p w:rsidR="006816AD" w:rsidRDefault="00953860" w:rsidP="0040216B">
            <w:pPr>
              <w:pStyle w:val="TableText0"/>
            </w:pPr>
            <w:r>
              <w:t xml:space="preserve">Submission assumed </w:t>
            </w:r>
            <w:r w:rsidR="00076ACC">
              <w:t xml:space="preserve">CZP 200 mg would </w:t>
            </w:r>
            <w:r>
              <w:t>substitute for other biologics</w:t>
            </w:r>
            <w:r w:rsidR="00076ACC">
              <w:t xml:space="preserve"> and would not grow the market</w:t>
            </w:r>
          </w:p>
          <w:p w:rsidR="00953860" w:rsidRDefault="00953860" w:rsidP="0040216B">
            <w:pPr>
              <w:pStyle w:val="TableText0"/>
            </w:pPr>
          </w:p>
          <w:p w:rsidR="00953860" w:rsidRPr="0012749D" w:rsidRDefault="00953860" w:rsidP="0040216B">
            <w:pPr>
              <w:pStyle w:val="TableText0"/>
            </w:pPr>
            <w:r>
              <w:t xml:space="preserve">Estimated 882 scripts in year 1, increasing to 3,991 in year 6. </w:t>
            </w:r>
          </w:p>
        </w:tc>
        <w:tc>
          <w:tcPr>
            <w:tcW w:w="2102" w:type="pct"/>
            <w:tcBorders>
              <w:top w:val="single" w:sz="4" w:space="0" w:color="auto"/>
              <w:left w:val="single" w:sz="4" w:space="0" w:color="auto"/>
              <w:bottom w:val="single" w:sz="4" w:space="0" w:color="auto"/>
              <w:right w:val="single" w:sz="4" w:space="0" w:color="auto"/>
            </w:tcBorders>
          </w:tcPr>
          <w:p w:rsidR="006816AD" w:rsidRDefault="003606D1" w:rsidP="0040216B">
            <w:pPr>
              <w:pStyle w:val="TableText0"/>
            </w:pPr>
            <w:r>
              <w:t>Amended estimates</w:t>
            </w:r>
            <w:r w:rsidR="00DF5615">
              <w:t xml:space="preserve"> </w:t>
            </w:r>
            <w:r w:rsidR="00076ACC">
              <w:t>provided incorporating CZP 200 mg and CZP 400 mg.</w:t>
            </w:r>
          </w:p>
          <w:p w:rsidR="008807C0" w:rsidRDefault="008807C0" w:rsidP="0040216B">
            <w:pPr>
              <w:pStyle w:val="TableText0"/>
            </w:pPr>
          </w:p>
          <w:p w:rsidR="00FA018E" w:rsidRDefault="00FA018E" w:rsidP="0040216B">
            <w:pPr>
              <w:pStyle w:val="TableText0"/>
            </w:pPr>
          </w:p>
          <w:p w:rsidR="008807C0" w:rsidRPr="0012749D" w:rsidRDefault="008807C0" w:rsidP="0040216B">
            <w:pPr>
              <w:pStyle w:val="TableText0"/>
            </w:pPr>
            <w:r>
              <w:t>Estimated 585 scripts in year 1, increasing to 3,251 in year 6.</w:t>
            </w:r>
          </w:p>
        </w:tc>
      </w:tr>
      <w:tr w:rsidR="006816AD" w:rsidRPr="0012749D" w:rsidTr="006816AD">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rPr>
                <w:highlight w:val="yellow"/>
              </w:rPr>
            </w:pPr>
            <w:r w:rsidRPr="0012749D">
              <w:t>Estimated net cost to PBS</w:t>
            </w:r>
          </w:p>
        </w:tc>
        <w:tc>
          <w:tcPr>
            <w:tcW w:w="2099" w:type="pct"/>
            <w:tcBorders>
              <w:top w:val="single" w:sz="4" w:space="0" w:color="auto"/>
              <w:left w:val="single" w:sz="4" w:space="0" w:color="auto"/>
              <w:bottom w:val="single" w:sz="4" w:space="0" w:color="auto"/>
              <w:right w:val="single" w:sz="4" w:space="0" w:color="auto"/>
            </w:tcBorders>
          </w:tcPr>
          <w:p w:rsidR="006816AD" w:rsidRPr="0012749D" w:rsidRDefault="009A2D0C" w:rsidP="0040216B">
            <w:pPr>
              <w:pStyle w:val="TableText0"/>
            </w:pPr>
            <w:r>
              <w:t>$447,011 saving in year 1 increasing to a saving of $2,181,499 in year 6.</w:t>
            </w:r>
          </w:p>
        </w:tc>
        <w:tc>
          <w:tcPr>
            <w:tcW w:w="2102" w:type="pct"/>
            <w:tcBorders>
              <w:top w:val="single" w:sz="4" w:space="0" w:color="auto"/>
              <w:left w:val="single" w:sz="4" w:space="0" w:color="auto"/>
              <w:bottom w:val="single" w:sz="4" w:space="0" w:color="auto"/>
              <w:right w:val="single" w:sz="4" w:space="0" w:color="auto"/>
            </w:tcBorders>
          </w:tcPr>
          <w:p w:rsidR="006816AD" w:rsidRDefault="009A2D0C" w:rsidP="0040216B">
            <w:pPr>
              <w:pStyle w:val="TableText0"/>
            </w:pPr>
            <w:r>
              <w:t xml:space="preserve">$296,029 saving in year 1, increasing to a saving of $1,967,636 in year 6. </w:t>
            </w:r>
          </w:p>
          <w:p w:rsidR="00CF090E" w:rsidRDefault="00CF090E" w:rsidP="0040216B">
            <w:pPr>
              <w:pStyle w:val="TableText0"/>
            </w:pPr>
          </w:p>
          <w:p w:rsidR="00CF090E" w:rsidRPr="0012749D" w:rsidRDefault="00CF090E" w:rsidP="005A479B">
            <w:pPr>
              <w:pStyle w:val="TableText0"/>
            </w:pPr>
            <w:r>
              <w:t xml:space="preserve">The </w:t>
            </w:r>
            <w:r w:rsidR="0031548F">
              <w:t>re</w:t>
            </w:r>
            <w:r>
              <w:t>submission assume</w:t>
            </w:r>
            <w:r w:rsidR="00076ACC">
              <w:t>d</w:t>
            </w:r>
            <w:r>
              <w:t xml:space="preserve"> 13.2% of initial scripts will be for </w:t>
            </w:r>
            <w:r w:rsidR="00076ACC">
              <w:t xml:space="preserve">CZP 400 mg </w:t>
            </w:r>
            <w:r w:rsidR="005A479B">
              <w:t>d</w:t>
            </w:r>
            <w:r w:rsidR="005B46A6">
              <w:t>ue to patients weighing ≥ 90 kg</w:t>
            </w:r>
            <w:r>
              <w:t xml:space="preserve">. The </w:t>
            </w:r>
            <w:r w:rsidR="0031548F">
              <w:t>re</w:t>
            </w:r>
            <w:r>
              <w:t xml:space="preserve">submission further assumes 7.3% of patients will up-titrate to </w:t>
            </w:r>
            <w:r w:rsidR="00076ACC">
              <w:t xml:space="preserve">CZP 400 mg </w:t>
            </w:r>
            <w:r>
              <w:t xml:space="preserve">due to insufficient response. </w:t>
            </w:r>
          </w:p>
        </w:tc>
      </w:tr>
      <w:tr w:rsidR="006816AD" w:rsidRPr="0012749D" w:rsidTr="006816AD">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6816AD" w:rsidRPr="0012749D" w:rsidRDefault="006816AD" w:rsidP="0040216B">
            <w:pPr>
              <w:pStyle w:val="TableText0"/>
            </w:pPr>
            <w:r w:rsidRPr="0012749D">
              <w:t>Risk sharing arrangement</w:t>
            </w:r>
          </w:p>
        </w:tc>
        <w:tc>
          <w:tcPr>
            <w:tcW w:w="2099" w:type="pct"/>
            <w:tcBorders>
              <w:top w:val="single" w:sz="4" w:space="0" w:color="auto"/>
              <w:left w:val="single" w:sz="4" w:space="0" w:color="auto"/>
              <w:bottom w:val="single" w:sz="4" w:space="0" w:color="auto"/>
              <w:right w:val="single" w:sz="4" w:space="0" w:color="auto"/>
            </w:tcBorders>
          </w:tcPr>
          <w:p w:rsidR="006816AD" w:rsidRPr="0012749D" w:rsidRDefault="009A2D0C" w:rsidP="0040216B">
            <w:pPr>
              <w:pStyle w:val="TableText0"/>
            </w:pPr>
            <w:r>
              <w:t>None</w:t>
            </w:r>
          </w:p>
        </w:tc>
        <w:tc>
          <w:tcPr>
            <w:tcW w:w="2102" w:type="pct"/>
            <w:tcBorders>
              <w:top w:val="single" w:sz="4" w:space="0" w:color="auto"/>
              <w:left w:val="single" w:sz="4" w:space="0" w:color="auto"/>
              <w:bottom w:val="single" w:sz="4" w:space="0" w:color="auto"/>
              <w:right w:val="single" w:sz="4" w:space="0" w:color="auto"/>
            </w:tcBorders>
          </w:tcPr>
          <w:p w:rsidR="003606D1" w:rsidRPr="003606D1" w:rsidRDefault="009A2D0C" w:rsidP="00246623">
            <w:pPr>
              <w:pStyle w:val="TableText0"/>
              <w:rPr>
                <w:i/>
              </w:rPr>
            </w:pPr>
            <w:r>
              <w:t xml:space="preserve">The Sponsor proposed a </w:t>
            </w:r>
            <w:r w:rsidR="00076ACC">
              <w:t xml:space="preserve">RSA </w:t>
            </w:r>
            <w:r>
              <w:t>to rebate the Commonwealth the cost of additional doses for patients who use</w:t>
            </w:r>
            <w:r w:rsidR="00076ACC">
              <w:t>d CZP 400 mg.</w:t>
            </w:r>
            <w:r w:rsidR="00C45A61">
              <w:t xml:space="preserve"> </w:t>
            </w:r>
          </w:p>
        </w:tc>
      </w:tr>
    </w:tbl>
    <w:p w:rsidR="00825084" w:rsidRDefault="00106935" w:rsidP="0012749D">
      <w:pPr>
        <w:snapToGrid w:val="0"/>
        <w:jc w:val="both"/>
        <w:rPr>
          <w:rFonts w:ascii="Arial Narrow" w:hAnsi="Arial Narrow" w:cs="Arial"/>
          <w:sz w:val="18"/>
          <w:szCs w:val="20"/>
          <w:lang w:eastAsia="en-US"/>
        </w:rPr>
      </w:pPr>
      <w:r>
        <w:rPr>
          <w:rFonts w:ascii="Arial Narrow" w:hAnsi="Arial Narrow" w:cs="Arial"/>
          <w:sz w:val="18"/>
          <w:szCs w:val="20"/>
          <w:lang w:eastAsia="en-US"/>
        </w:rPr>
        <w:t xml:space="preserve">ACM Advisory Committee on Medicines; </w:t>
      </w:r>
      <w:r w:rsidR="00825084">
        <w:rPr>
          <w:rFonts w:ascii="Arial Narrow" w:hAnsi="Arial Narrow" w:cs="Arial"/>
          <w:sz w:val="18"/>
          <w:szCs w:val="20"/>
          <w:lang w:eastAsia="en-US"/>
        </w:rPr>
        <w:t>ADA</w:t>
      </w:r>
      <w:r w:rsidR="00821146">
        <w:rPr>
          <w:rFonts w:ascii="Arial Narrow" w:hAnsi="Arial Narrow" w:cs="Arial"/>
          <w:sz w:val="18"/>
          <w:szCs w:val="20"/>
          <w:lang w:eastAsia="en-US"/>
        </w:rPr>
        <w:t xml:space="preserve"> </w:t>
      </w:r>
      <w:proofErr w:type="spellStart"/>
      <w:r w:rsidR="00C45A61">
        <w:rPr>
          <w:rFonts w:ascii="Arial Narrow" w:hAnsi="Arial Narrow" w:cs="Arial"/>
          <w:sz w:val="18"/>
          <w:szCs w:val="20"/>
          <w:lang w:eastAsia="en-US"/>
        </w:rPr>
        <w:t>adalimumab</w:t>
      </w:r>
      <w:proofErr w:type="spellEnd"/>
      <w:r w:rsidR="00821146">
        <w:rPr>
          <w:rFonts w:ascii="Arial Narrow" w:hAnsi="Arial Narrow" w:cs="Arial"/>
          <w:sz w:val="18"/>
          <w:szCs w:val="20"/>
          <w:lang w:eastAsia="en-US"/>
        </w:rPr>
        <w:t xml:space="preserve">; </w:t>
      </w:r>
      <w:r w:rsidR="00FA018E">
        <w:rPr>
          <w:rFonts w:ascii="Arial Narrow" w:hAnsi="Arial Narrow" w:cs="Arial"/>
          <w:sz w:val="18"/>
          <w:szCs w:val="20"/>
          <w:lang w:eastAsia="en-US"/>
        </w:rPr>
        <w:t xml:space="preserve">AEMP approved ex-manufacturer price; </w:t>
      </w:r>
      <w:r w:rsidR="00347E18">
        <w:rPr>
          <w:rFonts w:ascii="Arial Narrow" w:hAnsi="Arial Narrow" w:cs="Arial"/>
          <w:sz w:val="18"/>
          <w:szCs w:val="20"/>
          <w:lang w:eastAsia="en-US"/>
        </w:rPr>
        <w:t xml:space="preserve">CPP chronic plaque psoriasis; </w:t>
      </w:r>
      <w:r w:rsidR="00825084">
        <w:rPr>
          <w:rFonts w:ascii="Arial Narrow" w:hAnsi="Arial Narrow" w:cs="Arial"/>
          <w:sz w:val="18"/>
          <w:szCs w:val="20"/>
          <w:lang w:eastAsia="en-US"/>
        </w:rPr>
        <w:t xml:space="preserve">CZP </w:t>
      </w:r>
      <w:r w:rsidR="00821146">
        <w:rPr>
          <w:rFonts w:ascii="Arial Narrow" w:hAnsi="Arial Narrow" w:cs="Arial"/>
          <w:sz w:val="18"/>
          <w:szCs w:val="20"/>
          <w:lang w:eastAsia="en-US"/>
        </w:rPr>
        <w:t>certolizumab</w:t>
      </w:r>
      <w:r w:rsidR="00FA018E">
        <w:rPr>
          <w:rFonts w:ascii="Arial Narrow" w:hAnsi="Arial Narrow" w:cs="Arial"/>
          <w:sz w:val="18"/>
          <w:szCs w:val="20"/>
          <w:lang w:eastAsia="en-US"/>
        </w:rPr>
        <w:t xml:space="preserve"> pegol</w:t>
      </w:r>
      <w:r w:rsidR="00821146">
        <w:rPr>
          <w:rFonts w:ascii="Arial Narrow" w:hAnsi="Arial Narrow" w:cs="Arial"/>
          <w:sz w:val="18"/>
          <w:szCs w:val="20"/>
          <w:lang w:eastAsia="en-US"/>
        </w:rPr>
        <w:t xml:space="preserve">; </w:t>
      </w:r>
      <w:r w:rsidR="00FA018E">
        <w:rPr>
          <w:rFonts w:ascii="Arial Narrow" w:hAnsi="Arial Narrow" w:cs="Arial"/>
          <w:sz w:val="18"/>
          <w:szCs w:val="20"/>
          <w:lang w:eastAsia="en-US"/>
        </w:rPr>
        <w:t xml:space="preserve">DPMQ dispensed price for maximum quantity; </w:t>
      </w:r>
      <w:r w:rsidR="00825084">
        <w:rPr>
          <w:rFonts w:ascii="Arial Narrow" w:hAnsi="Arial Narrow" w:cs="Arial"/>
          <w:sz w:val="18"/>
          <w:szCs w:val="20"/>
          <w:lang w:eastAsia="en-US"/>
        </w:rPr>
        <w:t xml:space="preserve">ETN </w:t>
      </w:r>
      <w:proofErr w:type="spellStart"/>
      <w:r w:rsidR="00821146">
        <w:rPr>
          <w:rFonts w:ascii="Arial Narrow" w:hAnsi="Arial Narrow" w:cs="Arial"/>
          <w:sz w:val="18"/>
          <w:szCs w:val="20"/>
          <w:lang w:eastAsia="en-US"/>
        </w:rPr>
        <w:t>etanercept</w:t>
      </w:r>
      <w:proofErr w:type="spellEnd"/>
      <w:r w:rsidR="00821146">
        <w:rPr>
          <w:rFonts w:ascii="Arial Narrow" w:hAnsi="Arial Narrow" w:cs="Arial"/>
          <w:sz w:val="18"/>
          <w:szCs w:val="20"/>
          <w:lang w:eastAsia="en-US"/>
        </w:rPr>
        <w:t xml:space="preserve">; </w:t>
      </w:r>
      <w:r w:rsidR="00FA018E">
        <w:rPr>
          <w:rFonts w:ascii="Arial Narrow" w:hAnsi="Arial Narrow" w:cs="Arial"/>
          <w:sz w:val="18"/>
          <w:szCs w:val="20"/>
          <w:lang w:eastAsia="en-US"/>
        </w:rPr>
        <w:t xml:space="preserve">PASI Psoriasis Area Severity Index; PBAC Pharmaceutical Benefits Advisory Committee; PBS Pharmaceutical Benefits Scheme; </w:t>
      </w:r>
      <w:r w:rsidR="00825084">
        <w:rPr>
          <w:rFonts w:ascii="Arial Narrow" w:hAnsi="Arial Narrow" w:cs="Arial"/>
          <w:sz w:val="18"/>
          <w:szCs w:val="20"/>
          <w:lang w:eastAsia="en-US"/>
        </w:rPr>
        <w:t xml:space="preserve">RSA </w:t>
      </w:r>
      <w:r w:rsidR="00821146">
        <w:rPr>
          <w:rFonts w:ascii="Arial Narrow" w:hAnsi="Arial Narrow" w:cs="Arial"/>
          <w:sz w:val="18"/>
          <w:szCs w:val="20"/>
          <w:lang w:eastAsia="en-US"/>
        </w:rPr>
        <w:t xml:space="preserve">risk sharing arrangement; </w:t>
      </w:r>
      <w:r w:rsidR="00FA018E">
        <w:rPr>
          <w:rFonts w:ascii="Arial Narrow" w:hAnsi="Arial Narrow" w:cs="Arial"/>
          <w:sz w:val="18"/>
          <w:szCs w:val="20"/>
          <w:lang w:eastAsia="en-US"/>
        </w:rPr>
        <w:t xml:space="preserve">TGA Therapeutic Goods Administration; </w:t>
      </w:r>
      <w:r w:rsidR="00825084">
        <w:rPr>
          <w:rFonts w:ascii="Arial Narrow" w:hAnsi="Arial Narrow" w:cs="Arial"/>
          <w:sz w:val="18"/>
          <w:szCs w:val="20"/>
          <w:lang w:eastAsia="en-US"/>
        </w:rPr>
        <w:t>UST</w:t>
      </w:r>
      <w:r w:rsidR="00821146">
        <w:rPr>
          <w:rFonts w:ascii="Arial Narrow" w:hAnsi="Arial Narrow" w:cs="Arial"/>
          <w:sz w:val="18"/>
          <w:szCs w:val="20"/>
          <w:lang w:eastAsia="en-US"/>
        </w:rPr>
        <w:t xml:space="preserve"> </w:t>
      </w:r>
      <w:proofErr w:type="spellStart"/>
      <w:r w:rsidR="00821146">
        <w:rPr>
          <w:rFonts w:ascii="Arial Narrow" w:hAnsi="Arial Narrow" w:cs="Arial"/>
          <w:sz w:val="18"/>
          <w:szCs w:val="20"/>
          <w:lang w:eastAsia="en-US"/>
        </w:rPr>
        <w:t>ustekinumab</w:t>
      </w:r>
      <w:proofErr w:type="spellEnd"/>
    </w:p>
    <w:p w:rsidR="0012749D" w:rsidRDefault="0012749D" w:rsidP="0012749D">
      <w:pPr>
        <w:snapToGrid w:val="0"/>
        <w:jc w:val="both"/>
        <w:rPr>
          <w:rFonts w:ascii="Arial Narrow" w:hAnsi="Arial Narrow" w:cs="Arial"/>
          <w:sz w:val="18"/>
          <w:szCs w:val="20"/>
          <w:lang w:eastAsia="en-US"/>
        </w:rPr>
      </w:pPr>
      <w:r w:rsidRPr="0012749D">
        <w:rPr>
          <w:rFonts w:ascii="Arial Narrow" w:hAnsi="Arial Narrow" w:cs="Arial"/>
          <w:sz w:val="18"/>
          <w:szCs w:val="20"/>
          <w:lang w:eastAsia="en-US"/>
        </w:rPr>
        <w:t>Source: Compiled during the evaluation. Paragraph refe</w:t>
      </w:r>
      <w:r w:rsidRPr="00C501A1">
        <w:rPr>
          <w:rFonts w:ascii="Arial Narrow" w:hAnsi="Arial Narrow" w:cs="Arial"/>
          <w:color w:val="000000" w:themeColor="text1"/>
          <w:sz w:val="18"/>
          <w:szCs w:val="20"/>
          <w:lang w:eastAsia="en-US"/>
        </w:rPr>
        <w:t xml:space="preserve">rences for </w:t>
      </w:r>
      <w:r w:rsidR="00A24302" w:rsidRPr="00C501A1">
        <w:rPr>
          <w:rFonts w:ascii="Arial Narrow" w:hAnsi="Arial Narrow" w:cs="Arial"/>
          <w:color w:val="000000" w:themeColor="text1"/>
          <w:sz w:val="18"/>
          <w:szCs w:val="20"/>
          <w:lang w:eastAsia="en-US"/>
        </w:rPr>
        <w:t>March 2019</w:t>
      </w:r>
      <w:r w:rsidRPr="00C501A1">
        <w:rPr>
          <w:rFonts w:ascii="Arial Narrow" w:hAnsi="Arial Narrow" w:cs="Arial"/>
          <w:color w:val="000000" w:themeColor="text1"/>
          <w:sz w:val="18"/>
          <w:szCs w:val="20"/>
          <w:lang w:eastAsia="en-US"/>
        </w:rPr>
        <w:t xml:space="preserve"> refer to the </w:t>
      </w:r>
      <w:r w:rsidR="00106935">
        <w:rPr>
          <w:rFonts w:ascii="Arial Narrow" w:hAnsi="Arial Narrow" w:cs="Arial"/>
          <w:color w:val="000000" w:themeColor="text1"/>
          <w:sz w:val="18"/>
          <w:szCs w:val="20"/>
          <w:lang w:eastAsia="en-US"/>
        </w:rPr>
        <w:t xml:space="preserve">CZP </w:t>
      </w:r>
      <w:r w:rsidRPr="00C501A1">
        <w:rPr>
          <w:rFonts w:ascii="Arial Narrow" w:hAnsi="Arial Narrow" w:cs="Arial"/>
          <w:color w:val="000000" w:themeColor="text1"/>
          <w:sz w:val="18"/>
          <w:szCs w:val="20"/>
          <w:lang w:eastAsia="en-US"/>
        </w:rPr>
        <w:t xml:space="preserve">public summary </w:t>
      </w:r>
      <w:r w:rsidRPr="0012749D">
        <w:rPr>
          <w:rFonts w:ascii="Arial Narrow" w:hAnsi="Arial Narrow" w:cs="Arial"/>
          <w:sz w:val="18"/>
          <w:szCs w:val="20"/>
          <w:lang w:eastAsia="en-US"/>
        </w:rPr>
        <w:t>document.</w:t>
      </w:r>
    </w:p>
    <w:p w:rsidR="00FA018E" w:rsidRDefault="00FA018E" w:rsidP="0012749D">
      <w:pPr>
        <w:snapToGrid w:val="0"/>
        <w:jc w:val="both"/>
        <w:rPr>
          <w:rFonts w:ascii="Arial Narrow" w:hAnsi="Arial Narrow" w:cs="Arial"/>
          <w:sz w:val="18"/>
          <w:szCs w:val="20"/>
          <w:lang w:eastAsia="en-US"/>
        </w:rPr>
      </w:pPr>
    </w:p>
    <w:p w:rsidR="00FA018E" w:rsidRPr="00FA018E" w:rsidRDefault="00FA018E" w:rsidP="00FA018E">
      <w:pPr>
        <w:rPr>
          <w:rFonts w:asciiTheme="minorHAnsi" w:hAnsiTheme="minorHAnsi" w:cstheme="minorHAnsi"/>
          <w:i/>
          <w:lang w:eastAsia="en-US"/>
        </w:rPr>
      </w:pPr>
      <w:r w:rsidRPr="00FA018E">
        <w:rPr>
          <w:i/>
          <w:lang w:eastAsia="en-US"/>
        </w:rPr>
        <w:tab/>
      </w:r>
      <w:r w:rsidRPr="00FA018E">
        <w:rPr>
          <w:rFonts w:asciiTheme="minorHAnsi" w:hAnsiTheme="minorHAnsi" w:cstheme="minorHAnsi"/>
          <w:i/>
          <w:lang w:eastAsia="en-US"/>
        </w:rPr>
        <w:t>For more detail on PBAC’s view, see section 6 PBAC outcome.</w:t>
      </w:r>
    </w:p>
    <w:p w:rsidR="005A3173" w:rsidRPr="00980B0E" w:rsidRDefault="005A3173" w:rsidP="0033263D">
      <w:pPr>
        <w:pStyle w:val="2Sections"/>
        <w:rPr>
          <w:color w:val="FF0000"/>
        </w:rPr>
      </w:pPr>
      <w:r w:rsidRPr="003C2FB5">
        <w:t>Comparator</w:t>
      </w:r>
      <w:r w:rsidR="0099465B">
        <w:t xml:space="preserve"> </w:t>
      </w:r>
    </w:p>
    <w:p w:rsidR="000B44C3" w:rsidRPr="00115864" w:rsidRDefault="00180713" w:rsidP="005B24AE">
      <w:pPr>
        <w:pStyle w:val="Bodytextitalics"/>
        <w:rPr>
          <w:i w:val="0"/>
        </w:rPr>
      </w:pPr>
      <w:r w:rsidRPr="000B44C3">
        <w:rPr>
          <w:i w:val="0"/>
        </w:rPr>
        <w:t xml:space="preserve">The previous major submission considered by the PBAC in </w:t>
      </w:r>
      <w:r w:rsidR="00115864">
        <w:rPr>
          <w:i w:val="0"/>
        </w:rPr>
        <w:t>March 2019</w:t>
      </w:r>
      <w:r w:rsidR="00095ADA" w:rsidRPr="000B44C3">
        <w:rPr>
          <w:i w:val="0"/>
        </w:rPr>
        <w:t xml:space="preserve"> </w:t>
      </w:r>
      <w:r w:rsidRPr="000B44C3">
        <w:rPr>
          <w:i w:val="0"/>
        </w:rPr>
        <w:t xml:space="preserve">nominated </w:t>
      </w:r>
      <w:proofErr w:type="spellStart"/>
      <w:r w:rsidR="00095433">
        <w:rPr>
          <w:i w:val="0"/>
        </w:rPr>
        <w:t>ustekinumab</w:t>
      </w:r>
      <w:proofErr w:type="spellEnd"/>
      <w:r w:rsidR="00095433">
        <w:rPr>
          <w:i w:val="0"/>
        </w:rPr>
        <w:t xml:space="preserve"> (</w:t>
      </w:r>
      <w:r w:rsidR="00115864">
        <w:rPr>
          <w:i w:val="0"/>
        </w:rPr>
        <w:t>UST</w:t>
      </w:r>
      <w:r w:rsidR="00095433">
        <w:rPr>
          <w:i w:val="0"/>
        </w:rPr>
        <w:t>)</w:t>
      </w:r>
      <w:r w:rsidR="00115864">
        <w:rPr>
          <w:i w:val="0"/>
        </w:rPr>
        <w:t xml:space="preserve"> and </w:t>
      </w:r>
      <w:proofErr w:type="spellStart"/>
      <w:r w:rsidR="0031548F">
        <w:rPr>
          <w:i w:val="0"/>
        </w:rPr>
        <w:t>adalimumab</w:t>
      </w:r>
      <w:proofErr w:type="spellEnd"/>
      <w:r w:rsidR="0031548F">
        <w:rPr>
          <w:i w:val="0"/>
        </w:rPr>
        <w:t xml:space="preserve"> (</w:t>
      </w:r>
      <w:r w:rsidR="00115864">
        <w:rPr>
          <w:i w:val="0"/>
        </w:rPr>
        <w:t>ADA</w:t>
      </w:r>
      <w:r w:rsidR="0031548F">
        <w:rPr>
          <w:i w:val="0"/>
        </w:rPr>
        <w:t>)</w:t>
      </w:r>
      <w:r w:rsidR="00115864">
        <w:rPr>
          <w:i w:val="0"/>
        </w:rPr>
        <w:t xml:space="preserve"> as the primary comparators, and the PBAC considered all </w:t>
      </w:r>
      <w:r w:rsidR="003606D1">
        <w:rPr>
          <w:i w:val="0"/>
        </w:rPr>
        <w:t>PBS-</w:t>
      </w:r>
      <w:r w:rsidR="00115864">
        <w:rPr>
          <w:i w:val="0"/>
        </w:rPr>
        <w:t>listed</w:t>
      </w:r>
      <w:r w:rsidR="003606D1">
        <w:rPr>
          <w:i w:val="0"/>
        </w:rPr>
        <w:t xml:space="preserve"> biologics</w:t>
      </w:r>
      <w:r w:rsidR="00115864">
        <w:rPr>
          <w:i w:val="0"/>
        </w:rPr>
        <w:t xml:space="preserve"> for CPP</w:t>
      </w:r>
      <w:r w:rsidR="0080413B">
        <w:rPr>
          <w:i w:val="0"/>
        </w:rPr>
        <w:t xml:space="preserve"> could be considered alternative therapies</w:t>
      </w:r>
      <w:r w:rsidR="005B24AE">
        <w:rPr>
          <w:i w:val="0"/>
        </w:rPr>
        <w:t>.</w:t>
      </w:r>
      <w:r w:rsidR="00115864">
        <w:rPr>
          <w:i w:val="0"/>
        </w:rPr>
        <w:t xml:space="preserve"> </w:t>
      </w:r>
    </w:p>
    <w:p w:rsidR="001E3B37" w:rsidRPr="00825F2D" w:rsidRDefault="001E3B37" w:rsidP="005B24AE">
      <w:pPr>
        <w:pStyle w:val="Bodytextitalics"/>
        <w:rPr>
          <w:i w:val="0"/>
          <w:color w:val="000000" w:themeColor="text1"/>
        </w:rPr>
      </w:pPr>
      <w:r w:rsidRPr="0079385E">
        <w:rPr>
          <w:i w:val="0"/>
          <w:color w:val="000000" w:themeColor="text1"/>
        </w:rPr>
        <w:t>The</w:t>
      </w:r>
      <w:r w:rsidRPr="00347E18">
        <w:rPr>
          <w:color w:val="000000" w:themeColor="text1"/>
        </w:rPr>
        <w:t xml:space="preserve"> National Health Act 1953, </w:t>
      </w:r>
      <w:r w:rsidRPr="0079385E">
        <w:rPr>
          <w:i w:val="0"/>
          <w:color w:val="000000" w:themeColor="text1"/>
        </w:rPr>
        <w:t xml:space="preserve">Section 101(3B) stipulates that if the requested treatment is substantially more costly than alternative therapies, then the PBAC could only recommend listing at a higher price, if it is satisfied that the treatment provides, for some patients, a significant improvement in efficacy or reduction of toxicity over the existing therapies. </w:t>
      </w:r>
      <w:r w:rsidRPr="0079385E">
        <w:rPr>
          <w:i w:val="0"/>
        </w:rPr>
        <w:t xml:space="preserve">The PBAC previously advised </w:t>
      </w:r>
      <w:r w:rsidR="00FE4D1E" w:rsidRPr="0079385E">
        <w:rPr>
          <w:i w:val="0"/>
        </w:rPr>
        <w:t xml:space="preserve">there was </w:t>
      </w:r>
      <w:r w:rsidR="00FE4D1E" w:rsidRPr="0079385E">
        <w:rPr>
          <w:bCs/>
          <w:i w:val="0"/>
        </w:rPr>
        <w:t xml:space="preserve">no evidence to support a claim that CZP provided a significant improvement in efficacy or reduction in toxicity compared to any of the currently PBS listed </w:t>
      </w:r>
      <w:r w:rsidR="001644B8" w:rsidRPr="0079385E">
        <w:rPr>
          <w:bCs/>
          <w:i w:val="0"/>
        </w:rPr>
        <w:t>biologic</w:t>
      </w:r>
      <w:r w:rsidR="00FE4D1E" w:rsidRPr="0079385E">
        <w:rPr>
          <w:bCs/>
          <w:i w:val="0"/>
        </w:rPr>
        <w:t>s for severe CPP (paragraph 7.6, CZP PSD, March 2019).</w:t>
      </w:r>
    </w:p>
    <w:p w:rsidR="00825F2D" w:rsidRPr="00FA018E" w:rsidRDefault="00825F2D" w:rsidP="00825F2D">
      <w:pPr>
        <w:pStyle w:val="ListParagraph"/>
        <w:ind w:left="709"/>
        <w:rPr>
          <w:rFonts w:asciiTheme="minorHAnsi" w:hAnsiTheme="minorHAnsi"/>
          <w:i/>
          <w:sz w:val="24"/>
          <w:szCs w:val="24"/>
        </w:rPr>
      </w:pPr>
      <w:r w:rsidRPr="00FA018E">
        <w:rPr>
          <w:rFonts w:asciiTheme="minorHAnsi" w:hAnsiTheme="minorHAnsi"/>
          <w:i/>
          <w:sz w:val="24"/>
          <w:szCs w:val="24"/>
        </w:rPr>
        <w:t>For more deta</w:t>
      </w:r>
      <w:r w:rsidR="00B45750" w:rsidRPr="00FA018E">
        <w:rPr>
          <w:rFonts w:asciiTheme="minorHAnsi" w:hAnsiTheme="minorHAnsi"/>
          <w:i/>
          <w:sz w:val="24"/>
          <w:szCs w:val="24"/>
        </w:rPr>
        <w:t>il on PBAC’s view, see section 6</w:t>
      </w:r>
      <w:r w:rsidRPr="00FA018E">
        <w:rPr>
          <w:rFonts w:asciiTheme="minorHAnsi" w:hAnsiTheme="minorHAnsi"/>
          <w:i/>
          <w:sz w:val="24"/>
          <w:szCs w:val="24"/>
        </w:rPr>
        <w:t xml:space="preserve"> PBAC outcome.</w:t>
      </w:r>
    </w:p>
    <w:p w:rsidR="00825F2D" w:rsidRPr="001E3B37" w:rsidRDefault="00825F2D" w:rsidP="00825F2D">
      <w:pPr>
        <w:pStyle w:val="Bodytextitalics"/>
        <w:numPr>
          <w:ilvl w:val="0"/>
          <w:numId w:val="0"/>
        </w:numPr>
        <w:ind w:left="720"/>
        <w:rPr>
          <w:i w:val="0"/>
          <w:color w:val="000000" w:themeColor="text1"/>
        </w:rPr>
      </w:pPr>
    </w:p>
    <w:p w:rsidR="000B558D" w:rsidRPr="003C2FB5" w:rsidRDefault="008D7A41" w:rsidP="008807C0">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lastRenderedPageBreak/>
        <w:t>C</w:t>
      </w:r>
      <w:r w:rsidR="00D84934" w:rsidRPr="003C2FB5">
        <w:rPr>
          <w:rFonts w:asciiTheme="minorHAnsi" w:hAnsiTheme="minorHAnsi"/>
          <w:sz w:val="32"/>
          <w:szCs w:val="32"/>
        </w:rPr>
        <w:t>onsideration of the evidence</w:t>
      </w:r>
    </w:p>
    <w:p w:rsidR="00825F2D" w:rsidRPr="00825F2D" w:rsidRDefault="00825F2D" w:rsidP="00825F2D">
      <w:pPr>
        <w:pStyle w:val="Heading2"/>
        <w:keepLines/>
        <w:spacing w:before="240" w:after="120"/>
        <w:rPr>
          <w:rFonts w:asciiTheme="minorHAnsi" w:eastAsiaTheme="majorEastAsia" w:hAnsiTheme="minorHAnsi" w:cstheme="majorBidi"/>
          <w:sz w:val="28"/>
          <w:szCs w:val="28"/>
          <w:lang w:eastAsia="en-US"/>
        </w:rPr>
      </w:pPr>
      <w:r w:rsidRPr="00825F2D">
        <w:rPr>
          <w:rFonts w:asciiTheme="minorHAnsi" w:eastAsiaTheme="majorEastAsia" w:hAnsiTheme="minorHAnsi" w:cstheme="majorBidi"/>
          <w:sz w:val="28"/>
          <w:szCs w:val="28"/>
          <w:lang w:eastAsia="en-US"/>
        </w:rPr>
        <w:t>Sponsor hearing</w:t>
      </w:r>
    </w:p>
    <w:p w:rsidR="00825F2D" w:rsidRPr="00836F75" w:rsidRDefault="00825F2D" w:rsidP="00825F2D">
      <w:pPr>
        <w:widowControl w:val="0"/>
        <w:numPr>
          <w:ilvl w:val="1"/>
          <w:numId w:val="1"/>
        </w:numPr>
        <w:spacing w:after="120"/>
        <w:jc w:val="both"/>
        <w:rPr>
          <w:rFonts w:asciiTheme="minorHAnsi" w:hAnsiTheme="minorHAnsi" w:cs="Arial"/>
          <w:bCs/>
          <w:snapToGrid w:val="0"/>
        </w:rPr>
      </w:pPr>
      <w:r w:rsidRPr="00836F75">
        <w:rPr>
          <w:rFonts w:asciiTheme="minorHAnsi" w:hAnsiTheme="minorHAnsi" w:cs="Arial"/>
          <w:bCs/>
          <w:snapToGrid w:val="0"/>
        </w:rPr>
        <w:t>There was no hearing for this ite</w:t>
      </w:r>
      <w:r w:rsidR="002E2987">
        <w:rPr>
          <w:rFonts w:asciiTheme="minorHAnsi" w:hAnsiTheme="minorHAnsi" w:cs="Arial"/>
          <w:bCs/>
          <w:snapToGrid w:val="0"/>
        </w:rPr>
        <w:t>m as it was a minor submission.</w:t>
      </w:r>
    </w:p>
    <w:p w:rsidR="00825F2D" w:rsidRPr="00825F2D" w:rsidRDefault="00825F2D" w:rsidP="00825F2D">
      <w:pPr>
        <w:pStyle w:val="Heading2"/>
        <w:keepLines/>
        <w:spacing w:before="240" w:after="120"/>
        <w:rPr>
          <w:rFonts w:asciiTheme="minorHAnsi" w:eastAsiaTheme="majorEastAsia" w:hAnsiTheme="minorHAnsi" w:cstheme="majorBidi"/>
          <w:sz w:val="28"/>
          <w:szCs w:val="28"/>
          <w:lang w:eastAsia="en-US"/>
        </w:rPr>
      </w:pPr>
      <w:r w:rsidRPr="00825F2D">
        <w:rPr>
          <w:rFonts w:asciiTheme="minorHAnsi" w:eastAsiaTheme="majorEastAsia" w:hAnsiTheme="minorHAnsi" w:cstheme="majorBidi"/>
          <w:sz w:val="28"/>
          <w:szCs w:val="28"/>
          <w:lang w:eastAsia="en-US"/>
        </w:rPr>
        <w:t>Consumer comments</w:t>
      </w:r>
    </w:p>
    <w:p w:rsidR="00825F2D" w:rsidRPr="00825F2D" w:rsidRDefault="00825F2D" w:rsidP="00825F2D">
      <w:pPr>
        <w:widowControl w:val="0"/>
        <w:numPr>
          <w:ilvl w:val="1"/>
          <w:numId w:val="1"/>
        </w:numPr>
        <w:spacing w:after="120"/>
        <w:jc w:val="both"/>
        <w:rPr>
          <w:rFonts w:asciiTheme="minorHAnsi" w:hAnsiTheme="minorHAnsi" w:cs="Arial"/>
          <w:bCs/>
          <w:snapToGrid w:val="0"/>
        </w:rPr>
      </w:pPr>
      <w:r w:rsidRPr="00836F75">
        <w:rPr>
          <w:rFonts w:asciiTheme="minorHAnsi" w:hAnsiTheme="minorHAnsi" w:cs="Arial"/>
          <w:bCs/>
          <w:snapToGrid w:val="0"/>
        </w:rPr>
        <w:t>The PBAC noted that no consumer comments were received for</w:t>
      </w:r>
      <w:r w:rsidR="002E2987">
        <w:rPr>
          <w:rFonts w:asciiTheme="minorHAnsi" w:hAnsiTheme="minorHAnsi" w:cs="Arial"/>
          <w:bCs/>
          <w:snapToGrid w:val="0"/>
        </w:rPr>
        <w:t xml:space="preserve"> this item</w:t>
      </w:r>
      <w:r w:rsidRPr="00836F75">
        <w:rPr>
          <w:rFonts w:asciiTheme="minorHAnsi" w:hAnsiTheme="minorHAnsi" w:cs="Arial"/>
          <w:bCs/>
          <w:snapToGrid w:val="0"/>
        </w:rPr>
        <w:t>.</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r w:rsidR="0099465B">
        <w:rPr>
          <w:rFonts w:asciiTheme="minorHAnsi" w:eastAsiaTheme="majorEastAsia" w:hAnsiTheme="minorHAnsi" w:cstheme="majorBidi"/>
          <w:sz w:val="28"/>
          <w:szCs w:val="28"/>
          <w:lang w:eastAsia="en-US"/>
        </w:rPr>
        <w:t xml:space="preserve"> </w:t>
      </w:r>
    </w:p>
    <w:p w:rsidR="0076420C" w:rsidRPr="00980FBD" w:rsidRDefault="00980B0E" w:rsidP="005B24AE">
      <w:pPr>
        <w:pStyle w:val="Bodytextitalics"/>
      </w:pPr>
      <w:r w:rsidRPr="009722B3">
        <w:rPr>
          <w:i w:val="0"/>
        </w:rPr>
        <w:t xml:space="preserve">The </w:t>
      </w:r>
      <w:r w:rsidR="00FC5662">
        <w:rPr>
          <w:i w:val="0"/>
        </w:rPr>
        <w:t xml:space="preserve">resubmission </w:t>
      </w:r>
      <w:r w:rsidR="00980FBD">
        <w:rPr>
          <w:i w:val="0"/>
        </w:rPr>
        <w:t xml:space="preserve">summarised evidence previously considered by the PBAC and </w:t>
      </w:r>
      <w:r w:rsidR="00FC5662">
        <w:rPr>
          <w:i w:val="0"/>
        </w:rPr>
        <w:t>did not present</w:t>
      </w:r>
      <w:r w:rsidR="00547F63">
        <w:rPr>
          <w:i w:val="0"/>
        </w:rPr>
        <w:t xml:space="preserve"> any</w:t>
      </w:r>
      <w:r w:rsidR="00FC5662">
        <w:rPr>
          <w:i w:val="0"/>
        </w:rPr>
        <w:t xml:space="preserve"> new clinical evidence</w:t>
      </w:r>
      <w:r w:rsidR="00980FBD">
        <w:rPr>
          <w:i w:val="0"/>
        </w:rPr>
        <w:t xml:space="preserve">.  </w:t>
      </w:r>
    </w:p>
    <w:p w:rsidR="00E5002A" w:rsidRPr="00980B0E" w:rsidRDefault="00980FBD" w:rsidP="005B24AE">
      <w:pPr>
        <w:pStyle w:val="Bodytextitalics"/>
      </w:pPr>
      <w:r w:rsidRPr="00B13262">
        <w:rPr>
          <w:i w:val="0"/>
        </w:rPr>
        <w:t xml:space="preserve">The resubmission presented information on the proportion of patients in the clinical studies that underwent a protocol-driven dose escalation from </w:t>
      </w:r>
      <w:r w:rsidR="00583932">
        <w:rPr>
          <w:i w:val="0"/>
        </w:rPr>
        <w:t xml:space="preserve">CZP </w:t>
      </w:r>
      <w:r w:rsidRPr="00B13262">
        <w:rPr>
          <w:i w:val="0"/>
        </w:rPr>
        <w:t xml:space="preserve">200 mg to </w:t>
      </w:r>
      <w:r w:rsidR="00583932">
        <w:rPr>
          <w:i w:val="0"/>
        </w:rPr>
        <w:t xml:space="preserve">CZP </w:t>
      </w:r>
      <w:r w:rsidRPr="00B13262">
        <w:rPr>
          <w:i w:val="0"/>
        </w:rPr>
        <w:t>400</w:t>
      </w:r>
      <w:r w:rsidR="00354B8A">
        <w:rPr>
          <w:i w:val="0"/>
        </w:rPr>
        <w:t> </w:t>
      </w:r>
      <w:r w:rsidRPr="00B13262">
        <w:rPr>
          <w:i w:val="0"/>
        </w:rPr>
        <w:t>mg. Across three studies, 18</w:t>
      </w:r>
      <w:r w:rsidR="00CA2629">
        <w:rPr>
          <w:i w:val="0"/>
        </w:rPr>
        <w:t>%</w:t>
      </w:r>
      <w:r w:rsidRPr="00B13262">
        <w:rPr>
          <w:i w:val="0"/>
        </w:rPr>
        <w:t xml:space="preserve"> to 34% of patients treated with CZP 200 mg did not achieve a </w:t>
      </w:r>
      <w:r w:rsidR="00FA018E">
        <w:rPr>
          <w:i w:val="0"/>
        </w:rPr>
        <w:t>Psoriasis Area Severity Index (</w:t>
      </w:r>
      <w:r w:rsidRPr="00B13262">
        <w:rPr>
          <w:i w:val="0"/>
        </w:rPr>
        <w:t>PASI</w:t>
      </w:r>
      <w:r w:rsidR="00FA018E">
        <w:rPr>
          <w:i w:val="0"/>
        </w:rPr>
        <w:t>)</w:t>
      </w:r>
      <w:r w:rsidRPr="00B13262">
        <w:rPr>
          <w:i w:val="0"/>
        </w:rPr>
        <w:t xml:space="preserve"> 75 response at 16 weeks</w:t>
      </w:r>
      <w:r w:rsidR="00645D2A">
        <w:rPr>
          <w:i w:val="0"/>
        </w:rPr>
        <w:t xml:space="preserve"> and 10% to 20% </w:t>
      </w:r>
      <w:r w:rsidR="00106935">
        <w:rPr>
          <w:i w:val="0"/>
        </w:rPr>
        <w:t xml:space="preserve">increased </w:t>
      </w:r>
      <w:r w:rsidR="00645D2A">
        <w:rPr>
          <w:i w:val="0"/>
        </w:rPr>
        <w:t>to CZP 400 mg using a less stringent PASI 50 definition</w:t>
      </w:r>
      <w:r>
        <w:t xml:space="preserve">. </w:t>
      </w:r>
      <w:r w:rsidRPr="002E2987">
        <w:rPr>
          <w:i w:val="0"/>
        </w:rPr>
        <w:t xml:space="preserve">No evidence was presented to demonstrate that patients who do not respond to CZP 200 mg </w:t>
      </w:r>
      <w:r w:rsidR="00583932" w:rsidRPr="002E2987">
        <w:rPr>
          <w:i w:val="0"/>
        </w:rPr>
        <w:t xml:space="preserve">subsequently </w:t>
      </w:r>
      <w:r w:rsidRPr="002E2987">
        <w:rPr>
          <w:i w:val="0"/>
        </w:rPr>
        <w:t>respond</w:t>
      </w:r>
      <w:r w:rsidR="00B13262" w:rsidRPr="002E2987">
        <w:rPr>
          <w:i w:val="0"/>
        </w:rPr>
        <w:t xml:space="preserve"> to treatment with </w:t>
      </w:r>
      <w:r w:rsidRPr="002E2987">
        <w:rPr>
          <w:i w:val="0"/>
        </w:rPr>
        <w:t xml:space="preserve">CZP 400 mg.  </w:t>
      </w:r>
    </w:p>
    <w:p w:rsidR="005A3173" w:rsidRDefault="00FC3C00" w:rsidP="005B24AE">
      <w:pPr>
        <w:pStyle w:val="Heading2"/>
        <w:keepLines/>
        <w:spacing w:before="240" w:after="120"/>
        <w:jc w:val="both"/>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FC3C00" w:rsidRPr="002E2987" w:rsidRDefault="00FC3C00" w:rsidP="005B24AE">
      <w:pPr>
        <w:pStyle w:val="Bodytextitalics"/>
        <w:rPr>
          <w:i w:val="0"/>
          <w:lang w:eastAsia="en-US"/>
        </w:rPr>
      </w:pPr>
      <w:r w:rsidRPr="002E2987">
        <w:rPr>
          <w:i w:val="0"/>
          <w:lang w:eastAsia="en-US"/>
        </w:rPr>
        <w:t>The PBAC previously considered the claim</w:t>
      </w:r>
      <w:r w:rsidR="00DF5615" w:rsidRPr="002E2987">
        <w:rPr>
          <w:i w:val="0"/>
          <w:lang w:eastAsia="en-US"/>
        </w:rPr>
        <w:t xml:space="preserve"> of</w:t>
      </w:r>
      <w:r w:rsidRPr="002E2987">
        <w:rPr>
          <w:i w:val="0"/>
          <w:lang w:eastAsia="en-US"/>
        </w:rPr>
        <w:t xml:space="preserve"> non-inferior effectiveness and safety of both </w:t>
      </w:r>
      <w:r w:rsidR="00554910" w:rsidRPr="002E2987">
        <w:rPr>
          <w:i w:val="0"/>
          <w:lang w:eastAsia="en-US"/>
        </w:rPr>
        <w:t xml:space="preserve">CZP </w:t>
      </w:r>
      <w:r w:rsidRPr="002E2987">
        <w:rPr>
          <w:i w:val="0"/>
          <w:lang w:eastAsia="en-US"/>
        </w:rPr>
        <w:t xml:space="preserve">200 mg and </w:t>
      </w:r>
      <w:r w:rsidR="00554910" w:rsidRPr="002E2987">
        <w:rPr>
          <w:i w:val="0"/>
          <w:lang w:eastAsia="en-US"/>
        </w:rPr>
        <w:t xml:space="preserve">CZP </w:t>
      </w:r>
      <w:r w:rsidRPr="002E2987">
        <w:rPr>
          <w:i w:val="0"/>
          <w:lang w:eastAsia="en-US"/>
        </w:rPr>
        <w:t xml:space="preserve">400 </w:t>
      </w:r>
      <w:r w:rsidR="00554910" w:rsidRPr="002E2987">
        <w:rPr>
          <w:i w:val="0"/>
          <w:lang w:eastAsia="en-US"/>
        </w:rPr>
        <w:t xml:space="preserve">mg </w:t>
      </w:r>
      <w:r w:rsidRPr="002E2987">
        <w:rPr>
          <w:i w:val="0"/>
          <w:lang w:eastAsia="en-US"/>
        </w:rPr>
        <w:t>was supported versus UST and ADA</w:t>
      </w:r>
      <w:r w:rsidR="00BA2309" w:rsidRPr="002E2987">
        <w:rPr>
          <w:i w:val="0"/>
          <w:lang w:eastAsia="en-US"/>
        </w:rPr>
        <w:t xml:space="preserve"> (paragraph 7.6, CZP PSD, March 2019)</w:t>
      </w:r>
      <w:r w:rsidRPr="002E2987">
        <w:rPr>
          <w:i w:val="0"/>
          <w:lang w:eastAsia="en-US"/>
        </w:rPr>
        <w:t xml:space="preserve">. </w:t>
      </w:r>
      <w:r w:rsidR="00BA2309" w:rsidRPr="002E2987">
        <w:rPr>
          <w:rFonts w:eastAsiaTheme="majorEastAsia"/>
          <w:i w:val="0"/>
          <w:lang w:eastAsia="en-US"/>
        </w:rPr>
        <w:t xml:space="preserve">The PBAC considered that while the clinical need for an additional treatment with a mechanism of action the same as several other listed </w:t>
      </w:r>
      <w:r w:rsidR="001644B8" w:rsidRPr="002E2987">
        <w:rPr>
          <w:rFonts w:eastAsiaTheme="majorEastAsia"/>
          <w:i w:val="0"/>
          <w:lang w:eastAsia="en-US"/>
        </w:rPr>
        <w:t>biologic</w:t>
      </w:r>
      <w:r w:rsidR="00BA2309" w:rsidRPr="002E2987">
        <w:rPr>
          <w:rFonts w:eastAsiaTheme="majorEastAsia"/>
          <w:i w:val="0"/>
          <w:lang w:eastAsia="en-US"/>
        </w:rPr>
        <w:t>s (tumour necrosis factor-</w:t>
      </w:r>
      <w:proofErr w:type="spellStart"/>
      <w:r w:rsidR="00BA2309" w:rsidRPr="002E2987">
        <w:rPr>
          <w:rFonts w:eastAsiaTheme="majorEastAsia"/>
          <w:i w:val="0"/>
          <w:lang w:eastAsia="en-US"/>
        </w:rPr>
        <w:t>alfa</w:t>
      </w:r>
      <w:proofErr w:type="spellEnd"/>
      <w:r w:rsidR="00BA2309" w:rsidRPr="002E2987">
        <w:rPr>
          <w:rFonts w:eastAsiaTheme="majorEastAsia"/>
          <w:i w:val="0"/>
          <w:lang w:eastAsia="en-US"/>
        </w:rPr>
        <w:t xml:space="preserve"> inhibitor) was low, the PBAC noted there may be advantages for patients who are either pregnant or intending to become pregnant as it is unlikely to cross the placenta </w:t>
      </w:r>
      <w:r w:rsidR="00BA2309" w:rsidRPr="002E2987">
        <w:rPr>
          <w:i w:val="0"/>
          <w:lang w:eastAsia="en-US"/>
        </w:rPr>
        <w:t>(paragraph 7.3, CZP PSD, March 2019)</w:t>
      </w:r>
      <w:r w:rsidR="00BA2309" w:rsidRPr="002E2987">
        <w:rPr>
          <w:rFonts w:eastAsiaTheme="majorEastAsia"/>
          <w:i w:val="0"/>
          <w:lang w:eastAsia="en-US"/>
        </w:rPr>
        <w:t xml:space="preserve">. </w:t>
      </w:r>
    </w:p>
    <w:p w:rsidR="00247DB8" w:rsidRDefault="00247DB8" w:rsidP="005B24AE">
      <w:pPr>
        <w:pStyle w:val="Heading2"/>
        <w:keepLines/>
        <w:spacing w:before="240" w:after="120"/>
        <w:jc w:val="both"/>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Other clinical issues</w:t>
      </w:r>
    </w:p>
    <w:p w:rsidR="00862182" w:rsidRDefault="004C1133" w:rsidP="005B24AE">
      <w:pPr>
        <w:pStyle w:val="Bodytextitalics"/>
      </w:pPr>
      <w:r w:rsidRPr="009722B3">
        <w:rPr>
          <w:i w:val="0"/>
        </w:rPr>
        <w:t xml:space="preserve">The </w:t>
      </w:r>
      <w:r w:rsidR="005A479B">
        <w:rPr>
          <w:i w:val="0"/>
        </w:rPr>
        <w:t>re</w:t>
      </w:r>
      <w:r>
        <w:rPr>
          <w:i w:val="0"/>
        </w:rPr>
        <w:t xml:space="preserve">submission argued the </w:t>
      </w:r>
      <w:proofErr w:type="spellStart"/>
      <w:r>
        <w:rPr>
          <w:i w:val="0"/>
        </w:rPr>
        <w:t>equi</w:t>
      </w:r>
      <w:proofErr w:type="spellEnd"/>
      <w:r>
        <w:rPr>
          <w:i w:val="0"/>
        </w:rPr>
        <w:t>-effective doses</w:t>
      </w:r>
      <w:r w:rsidR="00BF5A6C">
        <w:rPr>
          <w:i w:val="0"/>
        </w:rPr>
        <w:t xml:space="preserve"> should be 200 mg </w:t>
      </w:r>
      <w:r w:rsidR="00C2734F">
        <w:rPr>
          <w:i w:val="0"/>
        </w:rPr>
        <w:t>or</w:t>
      </w:r>
      <w:r>
        <w:rPr>
          <w:i w:val="0"/>
        </w:rPr>
        <w:t xml:space="preserve"> 400 mg</w:t>
      </w:r>
      <w:r w:rsidR="00BF5A6C">
        <w:rPr>
          <w:i w:val="0"/>
        </w:rPr>
        <w:t xml:space="preserve"> </w:t>
      </w:r>
      <w:r w:rsidR="00357469">
        <w:rPr>
          <w:i w:val="0"/>
        </w:rPr>
        <w:t xml:space="preserve">every two weeks </w:t>
      </w:r>
      <w:r w:rsidR="00BF5A6C">
        <w:rPr>
          <w:i w:val="0"/>
        </w:rPr>
        <w:t xml:space="preserve">as this reflects the dose regimen for CPP in the </w:t>
      </w:r>
      <w:r w:rsidR="00D03CA0">
        <w:rPr>
          <w:i w:val="0"/>
        </w:rPr>
        <w:t xml:space="preserve">TGA </w:t>
      </w:r>
      <w:r w:rsidR="004951B2">
        <w:rPr>
          <w:i w:val="0"/>
        </w:rPr>
        <w:t xml:space="preserve">approved </w:t>
      </w:r>
      <w:r w:rsidR="00BF5A6C">
        <w:rPr>
          <w:i w:val="0"/>
        </w:rPr>
        <w:t>Product Information</w:t>
      </w:r>
      <w:r w:rsidR="00862182">
        <w:rPr>
          <w:i w:val="0"/>
        </w:rPr>
        <w:t xml:space="preserve"> (PI)</w:t>
      </w:r>
      <w:r w:rsidR="00BF5A6C">
        <w:rPr>
          <w:i w:val="0"/>
        </w:rPr>
        <w:t xml:space="preserve">. </w:t>
      </w:r>
    </w:p>
    <w:p w:rsidR="00862182" w:rsidRDefault="00723ED5" w:rsidP="005B24AE">
      <w:pPr>
        <w:pStyle w:val="Bodytextitalics"/>
      </w:pPr>
      <w:r>
        <w:rPr>
          <w:i w:val="0"/>
        </w:rPr>
        <w:t xml:space="preserve">The </w:t>
      </w:r>
      <w:r w:rsidR="00357469">
        <w:rPr>
          <w:i w:val="0"/>
        </w:rPr>
        <w:t>re</w:t>
      </w:r>
      <w:r>
        <w:rPr>
          <w:i w:val="0"/>
        </w:rPr>
        <w:t>submission argued</w:t>
      </w:r>
      <w:r w:rsidR="00DF5615">
        <w:rPr>
          <w:i w:val="0"/>
        </w:rPr>
        <w:t xml:space="preserve"> that</w:t>
      </w:r>
      <w:r w:rsidR="00862182">
        <w:rPr>
          <w:i w:val="0"/>
        </w:rPr>
        <w:t xml:space="preserve"> consistent with th</w:t>
      </w:r>
      <w:r w:rsidR="004951B2">
        <w:rPr>
          <w:i w:val="0"/>
        </w:rPr>
        <w:t>e approved</w:t>
      </w:r>
      <w:r w:rsidR="0014630F">
        <w:rPr>
          <w:i w:val="0"/>
        </w:rPr>
        <w:t xml:space="preserve"> </w:t>
      </w:r>
      <w:r w:rsidR="00862182">
        <w:rPr>
          <w:i w:val="0"/>
        </w:rPr>
        <w:t xml:space="preserve">PI, the </w:t>
      </w:r>
      <w:r w:rsidR="00802891">
        <w:rPr>
          <w:i w:val="0"/>
        </w:rPr>
        <w:t>maintenance</w:t>
      </w:r>
      <w:r w:rsidR="00862182">
        <w:rPr>
          <w:i w:val="0"/>
        </w:rPr>
        <w:t xml:space="preserve"> dose of</w:t>
      </w:r>
      <w:r w:rsidR="004951B2">
        <w:rPr>
          <w:i w:val="0"/>
        </w:rPr>
        <w:t xml:space="preserve"> CZP</w:t>
      </w:r>
      <w:r w:rsidR="00862182">
        <w:rPr>
          <w:i w:val="0"/>
        </w:rPr>
        <w:t xml:space="preserve"> for adult patients with plaque psoriasis is </w:t>
      </w:r>
      <w:r w:rsidR="00C2734F">
        <w:rPr>
          <w:i w:val="0"/>
        </w:rPr>
        <w:t xml:space="preserve">CZP </w:t>
      </w:r>
      <w:r w:rsidR="00862182">
        <w:rPr>
          <w:i w:val="0"/>
        </w:rPr>
        <w:t xml:space="preserve">200 mg or </w:t>
      </w:r>
      <w:r w:rsidR="00C2734F">
        <w:rPr>
          <w:i w:val="0"/>
        </w:rPr>
        <w:t xml:space="preserve">CZP </w:t>
      </w:r>
      <w:r w:rsidR="00862182">
        <w:rPr>
          <w:i w:val="0"/>
        </w:rPr>
        <w:t xml:space="preserve">400 mg, </w:t>
      </w:r>
      <w:r w:rsidR="00357469">
        <w:rPr>
          <w:i w:val="0"/>
        </w:rPr>
        <w:t xml:space="preserve">with </w:t>
      </w:r>
      <w:r w:rsidR="004951B2">
        <w:rPr>
          <w:i w:val="0"/>
        </w:rPr>
        <w:t>the higher</w:t>
      </w:r>
      <w:r w:rsidR="00862182">
        <w:rPr>
          <w:i w:val="0"/>
        </w:rPr>
        <w:t xml:space="preserve"> dose specifically considered</w:t>
      </w:r>
      <w:r w:rsidR="00D96ECD">
        <w:rPr>
          <w:i w:val="0"/>
        </w:rPr>
        <w:t xml:space="preserve"> in patients weighing</w:t>
      </w:r>
      <w:r w:rsidR="005A479B">
        <w:rPr>
          <w:i w:val="0"/>
        </w:rPr>
        <w:t xml:space="preserve"> </w:t>
      </w:r>
      <w:r w:rsidR="005A479B">
        <w:rPr>
          <w:rFonts w:cstheme="minorHAnsi"/>
          <w:i w:val="0"/>
        </w:rPr>
        <w:t>≥</w:t>
      </w:r>
      <w:r w:rsidR="00D96ECD">
        <w:rPr>
          <w:i w:val="0"/>
        </w:rPr>
        <w:t xml:space="preserve"> 90 kg </w:t>
      </w:r>
      <w:r w:rsidR="007C7982">
        <w:rPr>
          <w:i w:val="0"/>
        </w:rPr>
        <w:t xml:space="preserve">or patients with insufficient response to </w:t>
      </w:r>
      <w:r w:rsidR="00C2734F">
        <w:rPr>
          <w:i w:val="0"/>
        </w:rPr>
        <w:t xml:space="preserve">CZP </w:t>
      </w:r>
      <w:r w:rsidR="007C7982">
        <w:rPr>
          <w:i w:val="0"/>
        </w:rPr>
        <w:t>200 mg</w:t>
      </w:r>
      <w:r w:rsidR="00862182">
        <w:rPr>
          <w:i w:val="0"/>
        </w:rPr>
        <w:t>.</w:t>
      </w:r>
      <w:r w:rsidR="00DF5615">
        <w:t xml:space="preserve"> </w:t>
      </w:r>
    </w:p>
    <w:p w:rsidR="004C1133" w:rsidRPr="00F27F22" w:rsidRDefault="00862182" w:rsidP="00C57677">
      <w:pPr>
        <w:pStyle w:val="Bodytextitalics"/>
        <w:rPr>
          <w:i w:val="0"/>
        </w:rPr>
      </w:pPr>
      <w:r w:rsidRPr="00F27F22">
        <w:rPr>
          <w:i w:val="0"/>
        </w:rPr>
        <w:t xml:space="preserve">The </w:t>
      </w:r>
      <w:r w:rsidR="00D03CA0" w:rsidRPr="00F27F22">
        <w:rPr>
          <w:i w:val="0"/>
        </w:rPr>
        <w:t>re</w:t>
      </w:r>
      <w:r w:rsidRPr="00F27F22">
        <w:rPr>
          <w:i w:val="0"/>
        </w:rPr>
        <w:t>submission argue</w:t>
      </w:r>
      <w:r w:rsidR="00D03CA0" w:rsidRPr="00F27F22">
        <w:rPr>
          <w:i w:val="0"/>
        </w:rPr>
        <w:t>d</w:t>
      </w:r>
      <w:r w:rsidRPr="00F27F22">
        <w:rPr>
          <w:i w:val="0"/>
        </w:rPr>
        <w:t xml:space="preserve"> patients should have the capacity to</w:t>
      </w:r>
      <w:r w:rsidR="000F7024" w:rsidRPr="00F27F22">
        <w:rPr>
          <w:i w:val="0"/>
        </w:rPr>
        <w:t xml:space="preserve"> up-titrate to </w:t>
      </w:r>
      <w:r w:rsidR="00357469" w:rsidRPr="00F27F22">
        <w:rPr>
          <w:i w:val="0"/>
        </w:rPr>
        <w:t>CZP 400</w:t>
      </w:r>
      <w:r w:rsidR="00D03CA0" w:rsidRPr="00F27F22">
        <w:rPr>
          <w:i w:val="0"/>
        </w:rPr>
        <w:t> </w:t>
      </w:r>
      <w:r w:rsidR="00357469" w:rsidRPr="00F27F22">
        <w:rPr>
          <w:i w:val="0"/>
        </w:rPr>
        <w:t xml:space="preserve">mg </w:t>
      </w:r>
      <w:r w:rsidR="000F7024" w:rsidRPr="00F27F22">
        <w:rPr>
          <w:i w:val="0"/>
        </w:rPr>
        <w:t xml:space="preserve">if </w:t>
      </w:r>
      <w:r w:rsidR="00CA2629" w:rsidRPr="00F27F22">
        <w:rPr>
          <w:i w:val="0"/>
        </w:rPr>
        <w:t xml:space="preserve">they </w:t>
      </w:r>
      <w:r w:rsidR="004C340C" w:rsidRPr="00F27F22">
        <w:rPr>
          <w:i w:val="0"/>
        </w:rPr>
        <w:t>have an inadequate response</w:t>
      </w:r>
      <w:r w:rsidR="00357469" w:rsidRPr="00F27F22">
        <w:rPr>
          <w:i w:val="0"/>
        </w:rPr>
        <w:t xml:space="preserve"> to CZP 200 mg</w:t>
      </w:r>
      <w:r w:rsidR="004C340C" w:rsidRPr="00F27F22">
        <w:rPr>
          <w:i w:val="0"/>
        </w:rPr>
        <w:t>. In March 2019 the</w:t>
      </w:r>
      <w:r w:rsidR="00BF5A6C" w:rsidRPr="00F27F22">
        <w:rPr>
          <w:i w:val="0"/>
        </w:rPr>
        <w:t xml:space="preserve"> PBAC </w:t>
      </w:r>
      <w:r w:rsidR="004C340C" w:rsidRPr="00F27F22">
        <w:rPr>
          <w:i w:val="0"/>
        </w:rPr>
        <w:t>considered</w:t>
      </w:r>
      <w:r w:rsidR="00BF5A6C" w:rsidRPr="00F27F22">
        <w:rPr>
          <w:i w:val="0"/>
        </w:rPr>
        <w:t xml:space="preserve"> that </w:t>
      </w:r>
      <w:r w:rsidR="00357469" w:rsidRPr="00F27F22">
        <w:rPr>
          <w:i w:val="0"/>
        </w:rPr>
        <w:t>CZP</w:t>
      </w:r>
      <w:r w:rsidR="00BF5A6C" w:rsidRPr="00F27F22">
        <w:rPr>
          <w:i w:val="0"/>
        </w:rPr>
        <w:t xml:space="preserve"> 400 mg </w:t>
      </w:r>
      <w:r w:rsidRPr="00F27F22">
        <w:rPr>
          <w:i w:val="0"/>
        </w:rPr>
        <w:t>was mos</w:t>
      </w:r>
      <w:r w:rsidR="004C340C" w:rsidRPr="00F27F22">
        <w:rPr>
          <w:i w:val="0"/>
        </w:rPr>
        <w:t xml:space="preserve">t likely to be used in practice as patients could only fail a maximum of 3 biologic agents in a five year period, therefore clinicians and </w:t>
      </w:r>
      <w:r w:rsidR="004C340C" w:rsidRPr="00F27F22">
        <w:rPr>
          <w:i w:val="0"/>
        </w:rPr>
        <w:lastRenderedPageBreak/>
        <w:t>patients were likely to use a higher dose to ensure the best opportunity of a response to treatment. The resubmission specifically requests</w:t>
      </w:r>
      <w:r w:rsidR="00C2734F" w:rsidRPr="00F27F22">
        <w:rPr>
          <w:i w:val="0"/>
        </w:rPr>
        <w:t xml:space="preserve"> the ability for patients to up</w:t>
      </w:r>
      <w:r w:rsidR="00C2734F" w:rsidRPr="00F27F22">
        <w:rPr>
          <w:i w:val="0"/>
        </w:rPr>
        <w:noBreakHyphen/>
      </w:r>
      <w:r w:rsidR="004C340C" w:rsidRPr="00F27F22">
        <w:rPr>
          <w:i w:val="0"/>
        </w:rPr>
        <w:t>titrate from</w:t>
      </w:r>
      <w:r w:rsidR="00357469" w:rsidRPr="00F27F22">
        <w:rPr>
          <w:i w:val="0"/>
        </w:rPr>
        <w:t xml:space="preserve"> CZP 200 mg</w:t>
      </w:r>
      <w:r w:rsidR="004C340C" w:rsidRPr="00F27F22">
        <w:rPr>
          <w:i w:val="0"/>
        </w:rPr>
        <w:t xml:space="preserve"> to </w:t>
      </w:r>
      <w:r w:rsidR="00357469" w:rsidRPr="00F27F22">
        <w:rPr>
          <w:i w:val="0"/>
        </w:rPr>
        <w:t xml:space="preserve">CZP </w:t>
      </w:r>
      <w:r w:rsidR="004C340C" w:rsidRPr="00F27F22">
        <w:rPr>
          <w:i w:val="0"/>
        </w:rPr>
        <w:t xml:space="preserve">400 mg. However, under current restrictions, inadequate response on </w:t>
      </w:r>
      <w:r w:rsidR="0014630F" w:rsidRPr="00F27F22">
        <w:rPr>
          <w:i w:val="0"/>
        </w:rPr>
        <w:t>CZP 200 mg</w:t>
      </w:r>
      <w:r w:rsidR="00D5581F" w:rsidRPr="00F27F22">
        <w:rPr>
          <w:i w:val="0"/>
        </w:rPr>
        <w:t xml:space="preserve"> </w:t>
      </w:r>
      <w:r w:rsidR="0014630F" w:rsidRPr="00F27F22">
        <w:rPr>
          <w:i w:val="0"/>
        </w:rPr>
        <w:t>w</w:t>
      </w:r>
      <w:r w:rsidR="004C340C" w:rsidRPr="00F27F22">
        <w:rPr>
          <w:i w:val="0"/>
        </w:rPr>
        <w:t xml:space="preserve">ould be considered a treatment failure and patients </w:t>
      </w:r>
      <w:r w:rsidR="00E1082E" w:rsidRPr="00F27F22">
        <w:rPr>
          <w:i w:val="0"/>
        </w:rPr>
        <w:t>would be required to cease therapy</w:t>
      </w:r>
      <w:r w:rsidR="00802891" w:rsidRPr="00F27F22">
        <w:rPr>
          <w:i w:val="0"/>
        </w:rPr>
        <w:t xml:space="preserve"> </w:t>
      </w:r>
      <w:r w:rsidR="00106935" w:rsidRPr="00F27F22">
        <w:rPr>
          <w:i w:val="0"/>
        </w:rPr>
        <w:t xml:space="preserve">and this would </w:t>
      </w:r>
      <w:r w:rsidR="00802891" w:rsidRPr="00F27F22">
        <w:rPr>
          <w:i w:val="0"/>
        </w:rPr>
        <w:t>count</w:t>
      </w:r>
      <w:r w:rsidR="00106935" w:rsidRPr="00F27F22">
        <w:rPr>
          <w:i w:val="0"/>
        </w:rPr>
        <w:t xml:space="preserve"> </w:t>
      </w:r>
      <w:r w:rsidR="00802891" w:rsidRPr="00F27F22">
        <w:rPr>
          <w:i w:val="0"/>
        </w:rPr>
        <w:t xml:space="preserve">as one of three allowable treatment failures in the treatment cycle. </w:t>
      </w:r>
      <w:r w:rsidR="00E1082E" w:rsidRPr="00F27F22">
        <w:rPr>
          <w:i w:val="0"/>
        </w:rPr>
        <w:t>There is no provision in current CPP restrictions</w:t>
      </w:r>
      <w:r w:rsidR="00D5581F" w:rsidRPr="00F27F22">
        <w:rPr>
          <w:i w:val="0"/>
        </w:rPr>
        <w:t xml:space="preserve"> for other biologics</w:t>
      </w:r>
      <w:r w:rsidR="00E1082E" w:rsidRPr="00F27F22">
        <w:rPr>
          <w:i w:val="0"/>
        </w:rPr>
        <w:t xml:space="preserve"> for patients to up-titrate </w:t>
      </w:r>
      <w:r w:rsidR="007F1237" w:rsidRPr="00F27F22">
        <w:rPr>
          <w:i w:val="0"/>
        </w:rPr>
        <w:t xml:space="preserve">due to lack of response. </w:t>
      </w:r>
      <w:r w:rsidR="006962B8" w:rsidRPr="00F27F22">
        <w:rPr>
          <w:i w:val="0"/>
        </w:rPr>
        <w:t xml:space="preserve"> The pre-PBAC response indicated the sponsor was willing to list CZP</w:t>
      </w:r>
      <w:r w:rsidR="00FF739A">
        <w:rPr>
          <w:i w:val="0"/>
        </w:rPr>
        <w:t xml:space="preserve"> </w:t>
      </w:r>
      <w:bookmarkStart w:id="3" w:name="_GoBack"/>
      <w:bookmarkEnd w:id="3"/>
      <w:r w:rsidR="006962B8" w:rsidRPr="00F27F22">
        <w:rPr>
          <w:i w:val="0"/>
        </w:rPr>
        <w:t>200 mg with weight based dosing for those over 90 kg.  As per the PI, all patients commence on 200 mg and dose escalation can occur where needed for those patients&gt;90kg.</w:t>
      </w:r>
      <w:r w:rsidR="00C57677" w:rsidRPr="00F27F22">
        <w:rPr>
          <w:i w:val="0"/>
        </w:rPr>
        <w:t xml:space="preserve"> </w:t>
      </w:r>
      <w:r w:rsidR="006962B8" w:rsidRPr="00F27F22">
        <w:rPr>
          <w:i w:val="0"/>
        </w:rPr>
        <w:t>The PI also allows for dose escalation:  a dose of 400 mg every 2 weeks may be specifically considered in patients with an insufficient response to 200 mg every 2 weeks.</w:t>
      </w:r>
    </w:p>
    <w:p w:rsidR="005A3173" w:rsidRDefault="005A3173" w:rsidP="005B24AE">
      <w:pPr>
        <w:pStyle w:val="Heading2"/>
        <w:keepLines/>
        <w:spacing w:before="240"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r w:rsidR="009803E4">
        <w:rPr>
          <w:rFonts w:asciiTheme="minorHAnsi" w:eastAsiaTheme="majorEastAsia" w:hAnsiTheme="minorHAnsi" w:cstheme="majorBidi"/>
          <w:sz w:val="28"/>
          <w:szCs w:val="28"/>
          <w:lang w:eastAsia="en-US"/>
        </w:rPr>
        <w:t xml:space="preserve"> </w:t>
      </w:r>
    </w:p>
    <w:p w:rsidR="00BC7246" w:rsidRPr="0079385E" w:rsidRDefault="00BC7246" w:rsidP="005B24AE">
      <w:pPr>
        <w:pStyle w:val="Bodytextitalics"/>
        <w:rPr>
          <w:rFonts w:cstheme="minorHAnsi"/>
          <w:i w:val="0"/>
          <w:color w:val="000000" w:themeColor="text1"/>
          <w:szCs w:val="24"/>
        </w:rPr>
      </w:pPr>
      <w:r w:rsidRPr="0079385E">
        <w:rPr>
          <w:rFonts w:eastAsia="Times New Roman" w:cstheme="minorHAnsi"/>
          <w:i w:val="0"/>
          <w:snapToGrid w:val="0"/>
          <w:color w:val="000000" w:themeColor="text1"/>
          <w:szCs w:val="24"/>
          <w:lang w:eastAsia="en-US"/>
        </w:rPr>
        <w:t xml:space="preserve">The resubmission requested the same price as the March 2019 submission, i.e. the listed price of </w:t>
      </w:r>
      <w:r w:rsidR="004951B2" w:rsidRPr="0079385E">
        <w:rPr>
          <w:rFonts w:eastAsia="Times New Roman" w:cstheme="minorHAnsi"/>
          <w:i w:val="0"/>
          <w:snapToGrid w:val="0"/>
          <w:color w:val="000000" w:themeColor="text1"/>
          <w:szCs w:val="24"/>
          <w:lang w:eastAsia="en-US"/>
        </w:rPr>
        <w:t xml:space="preserve">CZP </w:t>
      </w:r>
      <w:r w:rsidRPr="0079385E">
        <w:rPr>
          <w:rFonts w:eastAsia="Times New Roman" w:cstheme="minorHAnsi"/>
          <w:i w:val="0"/>
          <w:snapToGrid w:val="0"/>
          <w:color w:val="000000" w:themeColor="text1"/>
          <w:szCs w:val="24"/>
          <w:lang w:eastAsia="en-US"/>
        </w:rPr>
        <w:t>for other listed indications.</w:t>
      </w:r>
      <w:r w:rsidR="002603DB">
        <w:rPr>
          <w:rFonts w:eastAsia="Times New Roman" w:cstheme="minorHAnsi"/>
          <w:i w:val="0"/>
          <w:snapToGrid w:val="0"/>
          <w:color w:val="000000" w:themeColor="text1"/>
          <w:szCs w:val="24"/>
          <w:lang w:eastAsia="en-US"/>
        </w:rPr>
        <w:t xml:space="preserve"> A comparison of the cost of CZP 200 mg, ADA and UST</w:t>
      </w:r>
      <w:r w:rsidR="00B75A0B">
        <w:rPr>
          <w:rFonts w:eastAsia="Times New Roman" w:cstheme="minorHAnsi"/>
          <w:i w:val="0"/>
          <w:snapToGrid w:val="0"/>
          <w:color w:val="000000" w:themeColor="text1"/>
          <w:szCs w:val="24"/>
          <w:lang w:eastAsia="en-US"/>
        </w:rPr>
        <w:t xml:space="preserve"> (both using the published price)</w:t>
      </w:r>
      <w:r w:rsidR="002603DB">
        <w:rPr>
          <w:rFonts w:eastAsia="Times New Roman" w:cstheme="minorHAnsi"/>
          <w:i w:val="0"/>
          <w:snapToGrid w:val="0"/>
          <w:color w:val="000000" w:themeColor="text1"/>
          <w:szCs w:val="24"/>
          <w:lang w:eastAsia="en-US"/>
        </w:rPr>
        <w:t xml:space="preserve"> over 2 years was presented</w:t>
      </w:r>
      <w:r w:rsidR="00B75A0B">
        <w:rPr>
          <w:rFonts w:eastAsia="Times New Roman" w:cstheme="minorHAnsi"/>
          <w:i w:val="0"/>
          <w:snapToGrid w:val="0"/>
          <w:color w:val="000000" w:themeColor="text1"/>
          <w:szCs w:val="24"/>
          <w:lang w:eastAsia="en-US"/>
        </w:rPr>
        <w:t xml:space="preserve">, with the resubmission noting that based on this analysis it could claim a higher price than requested. </w:t>
      </w:r>
      <w:r w:rsidR="004951B2" w:rsidRPr="0079385E">
        <w:rPr>
          <w:rFonts w:eastAsia="Times New Roman" w:cstheme="minorHAnsi"/>
          <w:i w:val="0"/>
          <w:snapToGrid w:val="0"/>
          <w:color w:val="000000" w:themeColor="text1"/>
          <w:szCs w:val="24"/>
          <w:lang w:eastAsia="en-US"/>
        </w:rPr>
        <w:t>T</w:t>
      </w:r>
      <w:r w:rsidRPr="0079385E">
        <w:rPr>
          <w:rFonts w:eastAsia="Times New Roman" w:cstheme="minorHAnsi"/>
          <w:i w:val="0"/>
          <w:snapToGrid w:val="0"/>
          <w:color w:val="000000" w:themeColor="text1"/>
          <w:szCs w:val="24"/>
          <w:lang w:eastAsia="en-US"/>
        </w:rPr>
        <w:t xml:space="preserve">he </w:t>
      </w:r>
      <w:r w:rsidR="004951B2" w:rsidRPr="0079385E">
        <w:rPr>
          <w:rFonts w:eastAsia="Times New Roman" w:cstheme="minorHAnsi"/>
          <w:i w:val="0"/>
          <w:snapToGrid w:val="0"/>
          <w:color w:val="000000" w:themeColor="text1"/>
          <w:szCs w:val="24"/>
          <w:lang w:eastAsia="en-US"/>
        </w:rPr>
        <w:t xml:space="preserve">PBAC has </w:t>
      </w:r>
      <w:r w:rsidRPr="0079385E">
        <w:rPr>
          <w:rFonts w:eastAsia="Times New Roman" w:cstheme="minorHAnsi"/>
          <w:i w:val="0"/>
          <w:snapToGrid w:val="0"/>
          <w:color w:val="000000" w:themeColor="text1"/>
          <w:szCs w:val="24"/>
          <w:lang w:eastAsia="en-US"/>
        </w:rPr>
        <w:t>previous</w:t>
      </w:r>
      <w:r w:rsidR="004951B2" w:rsidRPr="0079385E">
        <w:rPr>
          <w:rFonts w:eastAsia="Times New Roman" w:cstheme="minorHAnsi"/>
          <w:i w:val="0"/>
          <w:snapToGrid w:val="0"/>
          <w:color w:val="000000" w:themeColor="text1"/>
          <w:szCs w:val="24"/>
          <w:lang w:eastAsia="en-US"/>
        </w:rPr>
        <w:t>ly</w:t>
      </w:r>
      <w:r w:rsidR="00346B85" w:rsidRPr="0079385E">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recommend</w:t>
      </w:r>
      <w:r w:rsidR="004951B2" w:rsidRPr="0079385E">
        <w:rPr>
          <w:rFonts w:eastAsia="Times New Roman" w:cstheme="minorHAnsi"/>
          <w:i w:val="0"/>
          <w:snapToGrid w:val="0"/>
          <w:color w:val="000000" w:themeColor="text1"/>
          <w:szCs w:val="24"/>
          <w:lang w:eastAsia="en-US"/>
        </w:rPr>
        <w:t>ed</w:t>
      </w:r>
      <w:r w:rsidR="00346B85" w:rsidRPr="0079385E">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CZP should be cost</w:t>
      </w:r>
      <w:r w:rsidR="00926FDD">
        <w:rPr>
          <w:rFonts w:eastAsia="Times New Roman" w:cstheme="minorHAnsi"/>
          <w:i w:val="0"/>
          <w:snapToGrid w:val="0"/>
          <w:color w:val="000000" w:themeColor="text1"/>
          <w:szCs w:val="24"/>
          <w:lang w:eastAsia="en-US"/>
        </w:rPr>
        <w:t>-</w:t>
      </w:r>
      <w:r w:rsidRPr="0079385E">
        <w:rPr>
          <w:rFonts w:eastAsia="Times New Roman" w:cstheme="minorHAnsi"/>
          <w:i w:val="0"/>
          <w:snapToGrid w:val="0"/>
          <w:color w:val="000000" w:themeColor="text1"/>
          <w:szCs w:val="24"/>
          <w:lang w:eastAsia="en-US"/>
        </w:rPr>
        <w:t xml:space="preserve">minimised to the lowest cost alternative </w:t>
      </w:r>
      <w:r w:rsidR="001644B8" w:rsidRPr="0079385E">
        <w:rPr>
          <w:rFonts w:eastAsia="Times New Roman" w:cstheme="minorHAnsi"/>
          <w:i w:val="0"/>
          <w:snapToGrid w:val="0"/>
          <w:color w:val="000000" w:themeColor="text1"/>
          <w:szCs w:val="24"/>
          <w:lang w:eastAsia="en-US"/>
        </w:rPr>
        <w:t xml:space="preserve">biologics </w:t>
      </w:r>
      <w:r w:rsidRPr="0079385E">
        <w:rPr>
          <w:rFonts w:eastAsia="Times New Roman" w:cstheme="minorHAnsi"/>
          <w:i w:val="0"/>
          <w:snapToGrid w:val="0"/>
          <w:color w:val="000000" w:themeColor="text1"/>
          <w:szCs w:val="24"/>
          <w:lang w:eastAsia="en-US"/>
        </w:rPr>
        <w:t>(</w:t>
      </w:r>
      <w:r w:rsidR="00106935" w:rsidRPr="0079385E">
        <w:rPr>
          <w:rFonts w:eastAsia="Times New Roman" w:cstheme="minorHAnsi"/>
          <w:i w:val="0"/>
          <w:snapToGrid w:val="0"/>
          <w:color w:val="000000" w:themeColor="text1"/>
          <w:szCs w:val="24"/>
          <w:lang w:eastAsia="en-US"/>
        </w:rPr>
        <w:t>paragraph 7.7, CZP PSD</w:t>
      </w:r>
      <w:r w:rsidR="007C7982">
        <w:rPr>
          <w:rFonts w:eastAsia="Times New Roman" w:cstheme="minorHAnsi"/>
          <w:i w:val="0"/>
          <w:snapToGrid w:val="0"/>
          <w:color w:val="000000" w:themeColor="text1"/>
          <w:szCs w:val="24"/>
          <w:lang w:eastAsia="en-US"/>
        </w:rPr>
        <w:t>,</w:t>
      </w:r>
      <w:r w:rsidR="00106935" w:rsidRPr="0079385E">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March 201</w:t>
      </w:r>
      <w:r w:rsidR="00106935" w:rsidRPr="0079385E">
        <w:rPr>
          <w:rFonts w:eastAsia="Times New Roman" w:cstheme="minorHAnsi"/>
          <w:i w:val="0"/>
          <w:snapToGrid w:val="0"/>
          <w:color w:val="000000" w:themeColor="text1"/>
          <w:szCs w:val="24"/>
          <w:lang w:eastAsia="en-US"/>
        </w:rPr>
        <w:t>9</w:t>
      </w:r>
      <w:r w:rsidRPr="0079385E">
        <w:rPr>
          <w:rFonts w:eastAsia="Times New Roman" w:cstheme="minorHAnsi"/>
          <w:i w:val="0"/>
          <w:snapToGrid w:val="0"/>
          <w:color w:val="000000" w:themeColor="text1"/>
          <w:szCs w:val="24"/>
          <w:lang w:eastAsia="en-US"/>
        </w:rPr>
        <w:t>).</w:t>
      </w:r>
      <w:r w:rsidR="002603DB">
        <w:rPr>
          <w:rFonts w:eastAsia="Times New Roman" w:cstheme="minorHAnsi"/>
          <w:i w:val="0"/>
          <w:snapToGrid w:val="0"/>
          <w:color w:val="000000" w:themeColor="text1"/>
          <w:szCs w:val="24"/>
          <w:lang w:eastAsia="en-US"/>
        </w:rPr>
        <w:t xml:space="preserve"> </w:t>
      </w:r>
    </w:p>
    <w:p w:rsidR="00977BF3" w:rsidRPr="0079385E" w:rsidRDefault="00BC7246" w:rsidP="005B24AE">
      <w:pPr>
        <w:pStyle w:val="Bodytextitalics"/>
        <w:rPr>
          <w:rFonts w:cstheme="minorHAnsi"/>
          <w:i w:val="0"/>
          <w:color w:val="000000" w:themeColor="text1"/>
          <w:szCs w:val="24"/>
        </w:rPr>
      </w:pPr>
      <w:r w:rsidRPr="0079385E">
        <w:rPr>
          <w:rFonts w:eastAsia="Times New Roman" w:cstheme="minorHAnsi"/>
          <w:i w:val="0"/>
          <w:snapToGrid w:val="0"/>
          <w:color w:val="000000" w:themeColor="text1"/>
          <w:szCs w:val="24"/>
          <w:lang w:eastAsia="en-US"/>
        </w:rPr>
        <w:t>The</w:t>
      </w:r>
      <w:r w:rsidR="002603DB">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 xml:space="preserve">resubmission argued the </w:t>
      </w:r>
      <w:proofErr w:type="spellStart"/>
      <w:r w:rsidRPr="0079385E">
        <w:rPr>
          <w:rFonts w:eastAsia="Times New Roman" w:cstheme="minorHAnsi"/>
          <w:i w:val="0"/>
          <w:snapToGrid w:val="0"/>
          <w:color w:val="000000" w:themeColor="text1"/>
          <w:szCs w:val="24"/>
          <w:lang w:eastAsia="en-US"/>
        </w:rPr>
        <w:t>equi</w:t>
      </w:r>
      <w:proofErr w:type="spellEnd"/>
      <w:r w:rsidRPr="0079385E">
        <w:rPr>
          <w:rFonts w:eastAsia="Times New Roman" w:cstheme="minorHAnsi"/>
          <w:i w:val="0"/>
          <w:snapToGrid w:val="0"/>
          <w:color w:val="000000" w:themeColor="text1"/>
          <w:szCs w:val="24"/>
          <w:lang w:eastAsia="en-US"/>
        </w:rPr>
        <w:t xml:space="preserve">-effective doses should be 200 mg </w:t>
      </w:r>
      <w:r w:rsidR="00C2734F">
        <w:rPr>
          <w:rFonts w:eastAsia="Times New Roman" w:cstheme="minorHAnsi"/>
          <w:i w:val="0"/>
          <w:snapToGrid w:val="0"/>
          <w:color w:val="000000" w:themeColor="text1"/>
          <w:szCs w:val="24"/>
          <w:lang w:eastAsia="en-US"/>
        </w:rPr>
        <w:t>or</w:t>
      </w:r>
      <w:r w:rsidR="0014630F" w:rsidRPr="0079385E">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 xml:space="preserve">400 mg </w:t>
      </w:r>
      <w:r w:rsidR="0014630F" w:rsidRPr="0079385E">
        <w:rPr>
          <w:rFonts w:eastAsia="Times New Roman" w:cstheme="minorHAnsi"/>
          <w:i w:val="0"/>
          <w:snapToGrid w:val="0"/>
          <w:color w:val="000000" w:themeColor="text1"/>
          <w:szCs w:val="24"/>
          <w:lang w:eastAsia="en-US"/>
        </w:rPr>
        <w:t xml:space="preserve">every two weeks </w:t>
      </w:r>
      <w:r w:rsidRPr="0079385E">
        <w:rPr>
          <w:rFonts w:eastAsia="Times New Roman" w:cstheme="minorHAnsi"/>
          <w:i w:val="0"/>
          <w:snapToGrid w:val="0"/>
          <w:color w:val="000000" w:themeColor="text1"/>
          <w:szCs w:val="24"/>
          <w:lang w:eastAsia="en-US"/>
        </w:rPr>
        <w:t xml:space="preserve">compared </w:t>
      </w:r>
      <w:r w:rsidR="00C2734F">
        <w:rPr>
          <w:rFonts w:eastAsia="Times New Roman" w:cstheme="minorHAnsi"/>
          <w:i w:val="0"/>
          <w:snapToGrid w:val="0"/>
          <w:color w:val="000000" w:themeColor="text1"/>
          <w:szCs w:val="24"/>
          <w:lang w:eastAsia="en-US"/>
        </w:rPr>
        <w:t>with</w:t>
      </w:r>
      <w:r w:rsidR="00C2734F" w:rsidRPr="0079385E">
        <w:rPr>
          <w:rFonts w:eastAsia="Times New Roman" w:cstheme="minorHAnsi"/>
          <w:i w:val="0"/>
          <w:snapToGrid w:val="0"/>
          <w:color w:val="000000" w:themeColor="text1"/>
          <w:szCs w:val="24"/>
          <w:lang w:eastAsia="en-US"/>
        </w:rPr>
        <w:t xml:space="preserve"> </w:t>
      </w:r>
      <w:r w:rsidRPr="0079385E">
        <w:rPr>
          <w:rFonts w:eastAsia="Times New Roman" w:cstheme="minorHAnsi"/>
          <w:i w:val="0"/>
          <w:snapToGrid w:val="0"/>
          <w:color w:val="000000" w:themeColor="text1"/>
          <w:szCs w:val="24"/>
          <w:lang w:eastAsia="en-US"/>
        </w:rPr>
        <w:t>alternative therapies, with pricing based on a 200 mg</w:t>
      </w:r>
      <w:r w:rsidR="0014630F" w:rsidRPr="0079385E">
        <w:rPr>
          <w:rFonts w:eastAsia="Times New Roman" w:cstheme="minorHAnsi"/>
          <w:i w:val="0"/>
          <w:snapToGrid w:val="0"/>
          <w:color w:val="000000" w:themeColor="text1"/>
          <w:szCs w:val="24"/>
          <w:lang w:eastAsia="en-US"/>
        </w:rPr>
        <w:t xml:space="preserve"> every two weeks</w:t>
      </w:r>
      <w:r w:rsidRPr="0079385E">
        <w:rPr>
          <w:rFonts w:eastAsia="Times New Roman" w:cstheme="minorHAnsi"/>
          <w:i w:val="0"/>
          <w:snapToGrid w:val="0"/>
          <w:color w:val="000000" w:themeColor="text1"/>
          <w:szCs w:val="24"/>
          <w:lang w:eastAsia="en-US"/>
        </w:rPr>
        <w:t xml:space="preserve"> dosage regimen. </w:t>
      </w:r>
    </w:p>
    <w:p w:rsidR="0014630F" w:rsidRPr="0079385E" w:rsidRDefault="0014630F" w:rsidP="005B24AE">
      <w:pPr>
        <w:pStyle w:val="Bodytextitalics"/>
        <w:rPr>
          <w:rFonts w:cstheme="minorHAnsi"/>
          <w:i w:val="0"/>
          <w:color w:val="000000" w:themeColor="text1"/>
          <w:szCs w:val="24"/>
        </w:rPr>
      </w:pPr>
      <w:r w:rsidRPr="0079385E">
        <w:rPr>
          <w:rFonts w:eastAsia="Times New Roman" w:cstheme="minorHAnsi"/>
          <w:i w:val="0"/>
          <w:snapToGrid w:val="0"/>
          <w:color w:val="000000" w:themeColor="text1"/>
          <w:szCs w:val="24"/>
          <w:lang w:eastAsia="en-US"/>
        </w:rPr>
        <w:t>The resubmission proposed a risk</w:t>
      </w:r>
      <w:r w:rsidR="00D03CA0" w:rsidRPr="0079385E">
        <w:rPr>
          <w:rFonts w:eastAsia="Times New Roman" w:cstheme="minorHAnsi"/>
          <w:i w:val="0"/>
          <w:snapToGrid w:val="0"/>
          <w:color w:val="000000" w:themeColor="text1"/>
          <w:szCs w:val="24"/>
          <w:lang w:eastAsia="en-US"/>
        </w:rPr>
        <w:t xml:space="preserve"> </w:t>
      </w:r>
      <w:r w:rsidRPr="0079385E">
        <w:rPr>
          <w:rFonts w:cstheme="minorHAnsi"/>
          <w:i w:val="0"/>
          <w:color w:val="000000" w:themeColor="text1"/>
          <w:szCs w:val="24"/>
        </w:rPr>
        <w:t>sharing agreement</w:t>
      </w:r>
      <w:r w:rsidR="00D03CA0" w:rsidRPr="0079385E">
        <w:rPr>
          <w:rFonts w:cstheme="minorHAnsi"/>
          <w:i w:val="0"/>
          <w:color w:val="000000" w:themeColor="text1"/>
          <w:szCs w:val="24"/>
        </w:rPr>
        <w:t xml:space="preserve"> (RSA)</w:t>
      </w:r>
      <w:r w:rsidRPr="0079385E">
        <w:rPr>
          <w:rFonts w:cstheme="minorHAnsi"/>
          <w:i w:val="0"/>
          <w:color w:val="000000" w:themeColor="text1"/>
          <w:szCs w:val="24"/>
        </w:rPr>
        <w:t xml:space="preserve"> (also referred to </w:t>
      </w:r>
      <w:r w:rsidR="00825084" w:rsidRPr="0079385E">
        <w:rPr>
          <w:rFonts w:cstheme="minorHAnsi"/>
          <w:i w:val="0"/>
          <w:color w:val="000000" w:themeColor="text1"/>
          <w:szCs w:val="24"/>
        </w:rPr>
        <w:t xml:space="preserve">in the resubmission </w:t>
      </w:r>
      <w:r w:rsidRPr="0079385E">
        <w:rPr>
          <w:rFonts w:cstheme="minorHAnsi"/>
          <w:i w:val="0"/>
          <w:color w:val="000000" w:themeColor="text1"/>
          <w:szCs w:val="24"/>
        </w:rPr>
        <w:t xml:space="preserve">as a special pricing agreement) to rebate back the cost of the additional </w:t>
      </w:r>
      <w:r w:rsidR="00825084" w:rsidRPr="0079385E">
        <w:rPr>
          <w:rFonts w:cstheme="minorHAnsi"/>
          <w:i w:val="0"/>
          <w:color w:val="000000" w:themeColor="text1"/>
          <w:szCs w:val="24"/>
        </w:rPr>
        <w:t>2</w:t>
      </w:r>
      <w:r w:rsidRPr="0079385E">
        <w:rPr>
          <w:rFonts w:cstheme="minorHAnsi"/>
          <w:i w:val="0"/>
          <w:color w:val="000000" w:themeColor="text1"/>
          <w:szCs w:val="24"/>
        </w:rPr>
        <w:t xml:space="preserve">00 mg dose </w:t>
      </w:r>
      <w:r w:rsidR="00825084" w:rsidRPr="0079385E">
        <w:rPr>
          <w:rFonts w:cstheme="minorHAnsi"/>
          <w:i w:val="0"/>
          <w:color w:val="000000" w:themeColor="text1"/>
          <w:szCs w:val="24"/>
        </w:rPr>
        <w:t xml:space="preserve">required for CZP 400 mg </w:t>
      </w:r>
      <w:r w:rsidRPr="0079385E">
        <w:rPr>
          <w:rFonts w:cstheme="minorHAnsi"/>
          <w:i w:val="0"/>
          <w:color w:val="000000" w:themeColor="text1"/>
          <w:szCs w:val="24"/>
        </w:rPr>
        <w:t xml:space="preserve">in anyone that uses it beyond the loading dose.  </w:t>
      </w:r>
    </w:p>
    <w:p w:rsidR="003C2FB5" w:rsidRPr="00320CD3" w:rsidRDefault="00AE7176" w:rsidP="005B24AE">
      <w:pPr>
        <w:pStyle w:val="Heading2"/>
        <w:keepLines/>
        <w:spacing w:before="240" w:after="120"/>
        <w:jc w:val="both"/>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cost/patient/year</w:t>
      </w:r>
      <w:r w:rsidRPr="008323C1">
        <w:rPr>
          <w:rFonts w:asciiTheme="minorHAnsi" w:eastAsiaTheme="majorEastAsia" w:hAnsiTheme="minorHAnsi" w:cstheme="majorBidi"/>
          <w:sz w:val="28"/>
          <w:szCs w:val="28"/>
          <w:lang w:eastAsia="en-US"/>
        </w:rPr>
        <w:t>:</w:t>
      </w:r>
      <w:r>
        <w:rPr>
          <w:rFonts w:asciiTheme="minorHAnsi" w:eastAsiaTheme="majorEastAsia" w:hAnsiTheme="minorHAnsi" w:cstheme="majorBidi"/>
          <w:sz w:val="28"/>
          <w:szCs w:val="28"/>
          <w:lang w:eastAsia="en-US"/>
        </w:rPr>
        <w:t xml:space="preserve"> $</w:t>
      </w:r>
      <w:r w:rsidR="004D1501">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 xml:space="preserve"> (</w:t>
      </w:r>
      <w:r w:rsidR="00E9407E">
        <w:rPr>
          <w:rFonts w:asciiTheme="minorHAnsi" w:eastAsiaTheme="majorEastAsia" w:hAnsiTheme="minorHAnsi" w:cstheme="majorBidi"/>
          <w:sz w:val="28"/>
          <w:szCs w:val="28"/>
          <w:lang w:eastAsia="en-US"/>
        </w:rPr>
        <w:t xml:space="preserve">CZP </w:t>
      </w:r>
      <w:r>
        <w:rPr>
          <w:rFonts w:asciiTheme="minorHAnsi" w:eastAsiaTheme="majorEastAsia" w:hAnsiTheme="minorHAnsi" w:cstheme="majorBidi"/>
          <w:sz w:val="28"/>
          <w:szCs w:val="28"/>
          <w:lang w:eastAsia="en-US"/>
        </w:rPr>
        <w:t>200 m</w:t>
      </w:r>
      <w:r w:rsidR="00E9407E">
        <w:rPr>
          <w:rFonts w:asciiTheme="minorHAnsi" w:eastAsiaTheme="majorEastAsia" w:hAnsiTheme="minorHAnsi" w:cstheme="majorBidi"/>
          <w:sz w:val="28"/>
          <w:szCs w:val="28"/>
          <w:lang w:eastAsia="en-US"/>
        </w:rPr>
        <w:t>g</w:t>
      </w:r>
      <w:r>
        <w:rPr>
          <w:rFonts w:asciiTheme="minorHAnsi" w:eastAsiaTheme="majorEastAsia" w:hAnsiTheme="minorHAnsi" w:cstheme="majorBidi"/>
          <w:sz w:val="28"/>
          <w:szCs w:val="28"/>
          <w:lang w:eastAsia="en-US"/>
        </w:rPr>
        <w:t>)</w:t>
      </w:r>
      <w:r w:rsidR="00A55FEE" w:rsidRPr="009855A8">
        <w:rPr>
          <w:rFonts w:asciiTheme="minorHAnsi" w:eastAsiaTheme="majorEastAsia" w:hAnsiTheme="minorHAnsi" w:cstheme="majorBidi"/>
          <w:sz w:val="28"/>
          <w:szCs w:val="28"/>
          <w:lang w:eastAsia="en-US"/>
        </w:rPr>
        <w:t>.</w:t>
      </w:r>
    </w:p>
    <w:p w:rsidR="00C54DA1" w:rsidRPr="0079385E" w:rsidRDefault="00C54DA1" w:rsidP="005B24AE">
      <w:pPr>
        <w:pStyle w:val="Bodytextitalics"/>
        <w:rPr>
          <w:i w:val="0"/>
        </w:rPr>
      </w:pPr>
      <w:r w:rsidRPr="0079385E">
        <w:rPr>
          <w:i w:val="0"/>
        </w:rPr>
        <w:t xml:space="preserve">The estimated drug cost </w:t>
      </w:r>
      <w:r w:rsidR="00F04118" w:rsidRPr="0079385E">
        <w:rPr>
          <w:i w:val="0"/>
        </w:rPr>
        <w:t>(</w:t>
      </w:r>
      <w:r w:rsidR="00997A9F" w:rsidRPr="0079385E">
        <w:rPr>
          <w:i w:val="0"/>
        </w:rPr>
        <w:t>dispensed)</w:t>
      </w:r>
      <w:r w:rsidR="00F04118" w:rsidRPr="0079385E">
        <w:rPr>
          <w:i w:val="0"/>
        </w:rPr>
        <w:t xml:space="preserve"> </w:t>
      </w:r>
      <w:r w:rsidRPr="0079385E">
        <w:rPr>
          <w:i w:val="0"/>
        </w:rPr>
        <w:t xml:space="preserve">per patient </w:t>
      </w:r>
      <w:r w:rsidR="00E9407E" w:rsidRPr="0079385E">
        <w:rPr>
          <w:i w:val="0"/>
        </w:rPr>
        <w:t xml:space="preserve">per </w:t>
      </w:r>
      <w:r w:rsidRPr="0079385E">
        <w:rPr>
          <w:i w:val="0"/>
        </w:rPr>
        <w:t xml:space="preserve">year </w:t>
      </w:r>
      <w:r w:rsidR="00851AEC" w:rsidRPr="0079385E">
        <w:rPr>
          <w:i w:val="0"/>
        </w:rPr>
        <w:t xml:space="preserve">for </w:t>
      </w:r>
      <w:r w:rsidRPr="0079385E">
        <w:rPr>
          <w:i w:val="0"/>
        </w:rPr>
        <w:t>CZP 200</w:t>
      </w:r>
      <w:r w:rsidR="00851AEC" w:rsidRPr="0079385E">
        <w:rPr>
          <w:i w:val="0"/>
        </w:rPr>
        <w:t xml:space="preserve"> mg </w:t>
      </w:r>
      <w:r w:rsidRPr="0079385E">
        <w:rPr>
          <w:i w:val="0"/>
        </w:rPr>
        <w:t>including the loading dose is $</w:t>
      </w:r>
      <w:r w:rsidR="004D1501">
        <w:rPr>
          <w:i w:val="0"/>
          <w:noProof/>
          <w:color w:val="000000"/>
          <w:highlight w:val="black"/>
        </w:rPr>
        <w:t>''''''''''''</w:t>
      </w:r>
      <w:r w:rsidR="00A25DC3" w:rsidRPr="0079385E">
        <w:rPr>
          <w:i w:val="0"/>
        </w:rPr>
        <w:t xml:space="preserve">. </w:t>
      </w:r>
      <w:r w:rsidR="00851AEC" w:rsidRPr="0079385E">
        <w:rPr>
          <w:i w:val="0"/>
        </w:rPr>
        <w:t xml:space="preserve">The resubmission noted this is </w:t>
      </w:r>
      <w:r w:rsidR="00E9407E" w:rsidRPr="0079385E">
        <w:rPr>
          <w:i w:val="0"/>
        </w:rPr>
        <w:t xml:space="preserve">a </w:t>
      </w:r>
      <w:r w:rsidR="00851AEC" w:rsidRPr="0079385E">
        <w:rPr>
          <w:i w:val="0"/>
        </w:rPr>
        <w:t xml:space="preserve">lower cost per patient per year </w:t>
      </w:r>
      <w:r w:rsidR="00E9407E" w:rsidRPr="0079385E">
        <w:rPr>
          <w:i w:val="0"/>
        </w:rPr>
        <w:t xml:space="preserve">than </w:t>
      </w:r>
      <w:r w:rsidR="00851AEC" w:rsidRPr="0079385E">
        <w:rPr>
          <w:i w:val="0"/>
        </w:rPr>
        <w:t xml:space="preserve">for UST and ADA but acknowledged </w:t>
      </w:r>
      <w:r w:rsidR="000655BA" w:rsidRPr="0079385E">
        <w:rPr>
          <w:i w:val="0"/>
        </w:rPr>
        <w:t xml:space="preserve">the prices for UST and ADA were </w:t>
      </w:r>
      <w:r w:rsidR="00851AEC" w:rsidRPr="0079385E">
        <w:rPr>
          <w:i w:val="0"/>
        </w:rPr>
        <w:t xml:space="preserve">based on published prices. </w:t>
      </w:r>
    </w:p>
    <w:p w:rsidR="00106935" w:rsidRPr="0079385E" w:rsidRDefault="00106935" w:rsidP="005B24AE">
      <w:pPr>
        <w:pStyle w:val="Bodytextitalics"/>
        <w:rPr>
          <w:i w:val="0"/>
        </w:rPr>
      </w:pPr>
      <w:r w:rsidRPr="0079385E">
        <w:rPr>
          <w:i w:val="0"/>
        </w:rPr>
        <w:t>The estimated drug cost (</w:t>
      </w:r>
      <w:r w:rsidR="00997A9F" w:rsidRPr="0079385E">
        <w:rPr>
          <w:i w:val="0"/>
        </w:rPr>
        <w:t>dispensed</w:t>
      </w:r>
      <w:r w:rsidRPr="0079385E">
        <w:rPr>
          <w:i w:val="0"/>
        </w:rPr>
        <w:t>) per patient per year for CZP 400 mg including the loading dose is $</w:t>
      </w:r>
      <w:r w:rsidR="004D1501">
        <w:rPr>
          <w:i w:val="0"/>
          <w:noProof/>
          <w:color w:val="000000"/>
          <w:highlight w:val="black"/>
        </w:rPr>
        <w:t>''''''''''''</w:t>
      </w:r>
      <w:r w:rsidR="00653493" w:rsidRPr="0079385E">
        <w:rPr>
          <w:i w:val="0"/>
        </w:rPr>
        <w:t xml:space="preserve"> (</w:t>
      </w:r>
      <w:r w:rsidR="006B78F6" w:rsidRPr="0079385E">
        <w:rPr>
          <w:i w:val="0"/>
        </w:rPr>
        <w:t xml:space="preserve">before </w:t>
      </w:r>
      <w:r w:rsidR="00653493" w:rsidRPr="0079385E">
        <w:rPr>
          <w:i w:val="0"/>
        </w:rPr>
        <w:t>rebate)</w:t>
      </w:r>
      <w:r w:rsidRPr="0079385E">
        <w:rPr>
          <w:i w:val="0"/>
        </w:rPr>
        <w:t>, noting the resubmission has proposed a</w:t>
      </w:r>
      <w:r w:rsidR="00AF1A7D">
        <w:rPr>
          <w:i w:val="0"/>
        </w:rPr>
        <w:t>n</w:t>
      </w:r>
      <w:r w:rsidR="00627B19" w:rsidRPr="0079385E">
        <w:rPr>
          <w:i w:val="0"/>
        </w:rPr>
        <w:t xml:space="preserve"> </w:t>
      </w:r>
      <w:r w:rsidRPr="0079385E">
        <w:rPr>
          <w:i w:val="0"/>
        </w:rPr>
        <w:t xml:space="preserve">RSA </w:t>
      </w:r>
      <w:r w:rsidR="009E3E34" w:rsidRPr="0079385E">
        <w:rPr>
          <w:i w:val="0"/>
        </w:rPr>
        <w:t xml:space="preserve">with the intention </w:t>
      </w:r>
      <w:r w:rsidR="00A2054E" w:rsidRPr="0079385E">
        <w:rPr>
          <w:i w:val="0"/>
        </w:rPr>
        <w:t xml:space="preserve">to rebate the cost of the additional 200 mg vial required for patients </w:t>
      </w:r>
      <w:r w:rsidR="00AF1A7D">
        <w:rPr>
          <w:i w:val="0"/>
        </w:rPr>
        <w:t>who</w:t>
      </w:r>
      <w:r w:rsidR="00AF1A7D" w:rsidRPr="0079385E">
        <w:rPr>
          <w:i w:val="0"/>
        </w:rPr>
        <w:t xml:space="preserve"> </w:t>
      </w:r>
      <w:r w:rsidR="00A2054E" w:rsidRPr="0079385E">
        <w:rPr>
          <w:i w:val="0"/>
        </w:rPr>
        <w:t xml:space="preserve">require this dose. </w:t>
      </w:r>
    </w:p>
    <w:p w:rsidR="005A3173" w:rsidRPr="008306F3" w:rsidRDefault="005A3173" w:rsidP="005B24AE">
      <w:pPr>
        <w:pStyle w:val="Heading2"/>
        <w:keepLines/>
        <w:spacing w:before="240"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18382F" w:rsidRPr="0079385E" w:rsidRDefault="00FF2801" w:rsidP="005B24AE">
      <w:pPr>
        <w:pStyle w:val="Bodytextitalics"/>
        <w:rPr>
          <w:i w:val="0"/>
        </w:rPr>
      </w:pPr>
      <w:r w:rsidRPr="0079385E">
        <w:rPr>
          <w:i w:val="0"/>
          <w:color w:val="000000" w:themeColor="text1"/>
        </w:rPr>
        <w:t xml:space="preserve">The </w:t>
      </w:r>
      <w:r w:rsidRPr="0079385E">
        <w:rPr>
          <w:i w:val="0"/>
          <w:color w:val="000000" w:themeColor="text1"/>
          <w:szCs w:val="24"/>
        </w:rPr>
        <w:t xml:space="preserve">minor </w:t>
      </w:r>
      <w:r w:rsidR="002D28D3" w:rsidRPr="0079385E">
        <w:rPr>
          <w:i w:val="0"/>
          <w:color w:val="000000" w:themeColor="text1"/>
          <w:szCs w:val="24"/>
        </w:rPr>
        <w:t>re</w:t>
      </w:r>
      <w:r w:rsidRPr="0079385E">
        <w:rPr>
          <w:i w:val="0"/>
          <w:color w:val="000000" w:themeColor="text1"/>
          <w:szCs w:val="24"/>
        </w:rPr>
        <w:t>submission estimated</w:t>
      </w:r>
      <w:r w:rsidR="00C00DA7" w:rsidRPr="0079385E">
        <w:rPr>
          <w:i w:val="0"/>
          <w:color w:val="000000" w:themeColor="text1"/>
          <w:szCs w:val="24"/>
        </w:rPr>
        <w:t xml:space="preserve"> a net save to the PBS of</w:t>
      </w:r>
      <w:r w:rsidR="00957BFE">
        <w:rPr>
          <w:i w:val="0"/>
          <w:color w:val="000000" w:themeColor="text1"/>
          <w:szCs w:val="24"/>
        </w:rPr>
        <w:t xml:space="preserve"> less than </w:t>
      </w:r>
      <w:r w:rsidR="00E31E9A" w:rsidRPr="0079385E">
        <w:rPr>
          <w:i w:val="0"/>
          <w:color w:val="000000" w:themeColor="text1"/>
          <w:szCs w:val="24"/>
        </w:rPr>
        <w:t>$</w:t>
      </w:r>
      <w:r w:rsidR="00957BFE">
        <w:rPr>
          <w:i w:val="0"/>
          <w:color w:val="000000" w:themeColor="text1"/>
          <w:szCs w:val="24"/>
        </w:rPr>
        <w:t>10 million</w:t>
      </w:r>
      <w:r w:rsidR="00C00DA7" w:rsidRPr="0079385E">
        <w:rPr>
          <w:i w:val="0"/>
          <w:color w:val="000000" w:themeColor="text1"/>
          <w:szCs w:val="24"/>
        </w:rPr>
        <w:t xml:space="preserve"> in Year </w:t>
      </w:r>
      <w:r w:rsidR="00977BF3" w:rsidRPr="0079385E">
        <w:rPr>
          <w:i w:val="0"/>
          <w:color w:val="000000" w:themeColor="text1"/>
          <w:szCs w:val="24"/>
        </w:rPr>
        <w:t>6</w:t>
      </w:r>
      <w:r w:rsidR="00C00DA7" w:rsidRPr="0079385E">
        <w:rPr>
          <w:i w:val="0"/>
          <w:color w:val="000000" w:themeColor="text1"/>
          <w:szCs w:val="24"/>
        </w:rPr>
        <w:t xml:space="preserve"> of listing, with a total net save to the PBS of </w:t>
      </w:r>
      <w:r w:rsidR="00957BFE">
        <w:rPr>
          <w:i w:val="0"/>
          <w:color w:val="000000" w:themeColor="text1"/>
          <w:szCs w:val="24"/>
        </w:rPr>
        <w:t>less than</w:t>
      </w:r>
      <w:r w:rsidR="00E31E9A" w:rsidRPr="0079385E">
        <w:rPr>
          <w:i w:val="0"/>
          <w:color w:val="000000" w:themeColor="text1"/>
          <w:szCs w:val="24"/>
        </w:rPr>
        <w:t>$</w:t>
      </w:r>
      <w:r w:rsidR="00957BFE">
        <w:rPr>
          <w:i w:val="0"/>
          <w:color w:val="000000" w:themeColor="text1"/>
          <w:szCs w:val="24"/>
        </w:rPr>
        <w:t>10 million</w:t>
      </w:r>
      <w:r w:rsidR="00C7409E" w:rsidRPr="0079385E">
        <w:rPr>
          <w:i w:val="0"/>
          <w:color w:val="000000" w:themeColor="text1"/>
          <w:szCs w:val="24"/>
        </w:rPr>
        <w:t xml:space="preserve"> </w:t>
      </w:r>
      <w:r w:rsidR="00C00DA7" w:rsidRPr="0079385E">
        <w:rPr>
          <w:i w:val="0"/>
          <w:color w:val="000000" w:themeColor="text1"/>
          <w:szCs w:val="24"/>
        </w:rPr>
        <w:t>ove</w:t>
      </w:r>
      <w:r w:rsidR="00C7409E" w:rsidRPr="0079385E">
        <w:rPr>
          <w:i w:val="0"/>
          <w:color w:val="000000" w:themeColor="text1"/>
          <w:szCs w:val="24"/>
        </w:rPr>
        <w:t xml:space="preserve">r the first </w:t>
      </w:r>
      <w:r w:rsidR="00977BF3" w:rsidRPr="0079385E">
        <w:rPr>
          <w:i w:val="0"/>
          <w:color w:val="000000" w:themeColor="text1"/>
          <w:szCs w:val="24"/>
        </w:rPr>
        <w:t>6</w:t>
      </w:r>
      <w:r w:rsidR="00C7409E" w:rsidRPr="0079385E">
        <w:rPr>
          <w:i w:val="0"/>
          <w:color w:val="000000" w:themeColor="text1"/>
          <w:szCs w:val="24"/>
        </w:rPr>
        <w:t xml:space="preserve"> years of listing. </w:t>
      </w:r>
      <w:r w:rsidR="00B7517D" w:rsidRPr="0079385E">
        <w:rPr>
          <w:i w:val="0"/>
          <w:color w:val="000000" w:themeColor="text1"/>
          <w:szCs w:val="24"/>
        </w:rPr>
        <w:t>The predicted saving is driven by substitution of mo</w:t>
      </w:r>
      <w:r w:rsidR="00A25DC3" w:rsidRPr="0079385E">
        <w:rPr>
          <w:i w:val="0"/>
          <w:color w:val="000000" w:themeColor="text1"/>
          <w:szCs w:val="24"/>
        </w:rPr>
        <w:t>re</w:t>
      </w:r>
      <w:r w:rsidR="00B7517D" w:rsidRPr="0079385E">
        <w:rPr>
          <w:i w:val="0"/>
          <w:color w:val="000000" w:themeColor="text1"/>
          <w:szCs w:val="24"/>
        </w:rPr>
        <w:t xml:space="preserve"> costly </w:t>
      </w:r>
      <w:r w:rsidR="00B7517D" w:rsidRPr="0079385E">
        <w:rPr>
          <w:i w:val="0"/>
          <w:color w:val="000000" w:themeColor="text1"/>
          <w:szCs w:val="24"/>
        </w:rPr>
        <w:lastRenderedPageBreak/>
        <w:t>alternative biologics</w:t>
      </w:r>
      <w:r w:rsidR="00E9407E" w:rsidRPr="0079385E">
        <w:rPr>
          <w:i w:val="0"/>
          <w:color w:val="000000" w:themeColor="text1"/>
          <w:szCs w:val="24"/>
        </w:rPr>
        <w:t xml:space="preserve"> and is based on </w:t>
      </w:r>
      <w:r w:rsidR="002D28D3" w:rsidRPr="0079385E">
        <w:rPr>
          <w:i w:val="0"/>
          <w:color w:val="000000" w:themeColor="text1"/>
          <w:szCs w:val="24"/>
        </w:rPr>
        <w:t>published prices</w:t>
      </w:r>
      <w:r w:rsidR="0018382F" w:rsidRPr="0079385E">
        <w:rPr>
          <w:i w:val="0"/>
          <w:color w:val="000000" w:themeColor="text1"/>
          <w:szCs w:val="24"/>
        </w:rPr>
        <w:t xml:space="preserve">. </w:t>
      </w:r>
      <w:r w:rsidR="0018382F" w:rsidRPr="0079385E">
        <w:rPr>
          <w:i w:val="0"/>
        </w:rPr>
        <w:t>It is likely that listing CZP for CPP based on a cost</w:t>
      </w:r>
      <w:r w:rsidR="00957BFE">
        <w:rPr>
          <w:i w:val="0"/>
        </w:rPr>
        <w:t>-</w:t>
      </w:r>
      <w:r w:rsidR="0018382F" w:rsidRPr="0079385E">
        <w:rPr>
          <w:i w:val="0"/>
        </w:rPr>
        <w:t xml:space="preserve">minimisation basis with the least costly biologic using effective prices would be cost-neutral to the PBS. </w:t>
      </w:r>
    </w:p>
    <w:p w:rsidR="001428BF" w:rsidRPr="0079385E" w:rsidRDefault="00D36E54" w:rsidP="005B24AE">
      <w:pPr>
        <w:pStyle w:val="3Bodytext"/>
        <w:rPr>
          <w:b/>
          <w:color w:val="FF00FF"/>
        </w:rPr>
      </w:pPr>
      <w:r w:rsidRPr="0079385E">
        <w:rPr>
          <w:szCs w:val="24"/>
        </w:rPr>
        <w:t>The u</w:t>
      </w:r>
      <w:r w:rsidR="00E31E9A" w:rsidRPr="0079385E">
        <w:rPr>
          <w:szCs w:val="24"/>
        </w:rPr>
        <w:t>pdated utilisation estimates in the minor resubmission</w:t>
      </w:r>
      <w:r w:rsidRPr="0079385E">
        <w:rPr>
          <w:szCs w:val="24"/>
        </w:rPr>
        <w:t xml:space="preserve"> assumed CZP would substitute for </w:t>
      </w:r>
      <w:proofErr w:type="spellStart"/>
      <w:r w:rsidRPr="0079385E">
        <w:rPr>
          <w:szCs w:val="24"/>
        </w:rPr>
        <w:t>adalimumab</w:t>
      </w:r>
      <w:proofErr w:type="spellEnd"/>
      <w:r w:rsidRPr="0079385E">
        <w:rPr>
          <w:szCs w:val="24"/>
        </w:rPr>
        <w:t xml:space="preserve">, </w:t>
      </w:r>
      <w:proofErr w:type="spellStart"/>
      <w:r w:rsidRPr="0079385E">
        <w:rPr>
          <w:szCs w:val="24"/>
        </w:rPr>
        <w:t>ustekinumab</w:t>
      </w:r>
      <w:proofErr w:type="spellEnd"/>
      <w:r w:rsidRPr="0079385E">
        <w:rPr>
          <w:szCs w:val="24"/>
        </w:rPr>
        <w:t xml:space="preserve">, </w:t>
      </w:r>
      <w:proofErr w:type="spellStart"/>
      <w:r w:rsidRPr="0079385E">
        <w:rPr>
          <w:szCs w:val="24"/>
        </w:rPr>
        <w:t>secukinumab</w:t>
      </w:r>
      <w:proofErr w:type="spellEnd"/>
      <w:r w:rsidRPr="0079385E">
        <w:rPr>
          <w:szCs w:val="24"/>
        </w:rPr>
        <w:t xml:space="preserve">, </w:t>
      </w:r>
      <w:proofErr w:type="spellStart"/>
      <w:r w:rsidRPr="0079385E">
        <w:rPr>
          <w:szCs w:val="24"/>
        </w:rPr>
        <w:t>ixekizumab</w:t>
      </w:r>
      <w:proofErr w:type="spellEnd"/>
      <w:r w:rsidRPr="0079385E">
        <w:rPr>
          <w:szCs w:val="24"/>
        </w:rPr>
        <w:t xml:space="preserve"> and </w:t>
      </w:r>
      <w:proofErr w:type="spellStart"/>
      <w:r w:rsidRPr="0079385E">
        <w:rPr>
          <w:szCs w:val="24"/>
        </w:rPr>
        <w:t>etanercept</w:t>
      </w:r>
      <w:proofErr w:type="spellEnd"/>
      <w:r w:rsidRPr="0079385E">
        <w:rPr>
          <w:szCs w:val="24"/>
        </w:rPr>
        <w:t>.</w:t>
      </w:r>
    </w:p>
    <w:p w:rsidR="00E31E9A" w:rsidRPr="0079385E" w:rsidRDefault="001428BF" w:rsidP="005B24AE">
      <w:pPr>
        <w:pStyle w:val="3Bodytext"/>
        <w:rPr>
          <w:b/>
          <w:color w:val="FF00FF"/>
        </w:rPr>
      </w:pPr>
      <w:r w:rsidRPr="0079385E">
        <w:t>The</w:t>
      </w:r>
      <w:r w:rsidR="00E31E9A" w:rsidRPr="0079385E">
        <w:t xml:space="preserve"> minor re-submission estimated 13.2% of patients would weigh 90 kg or more and that 100% of these would initiate </w:t>
      </w:r>
      <w:r w:rsidR="00F3074F" w:rsidRPr="0079385E">
        <w:t xml:space="preserve">and continue </w:t>
      </w:r>
      <w:r w:rsidR="00E31E9A" w:rsidRPr="0079385E">
        <w:t xml:space="preserve">on </w:t>
      </w:r>
      <w:r w:rsidR="00D36E54" w:rsidRPr="0079385E">
        <w:t>CZP 400 mg</w:t>
      </w:r>
      <w:r w:rsidR="00F3074F" w:rsidRPr="0079385E">
        <w:t xml:space="preserve">, </w:t>
      </w:r>
      <w:r w:rsidR="00E31E9A" w:rsidRPr="0079385E">
        <w:t>based on the following assumptions:</w:t>
      </w:r>
    </w:p>
    <w:p w:rsidR="00E31E9A" w:rsidRPr="0079385E" w:rsidRDefault="00E31E9A" w:rsidP="00FA018E">
      <w:pPr>
        <w:pStyle w:val="3Bodytext"/>
        <w:numPr>
          <w:ilvl w:val="0"/>
          <w:numId w:val="25"/>
        </w:numPr>
        <w:ind w:left="1077" w:hanging="357"/>
        <w:rPr>
          <w:b/>
          <w:color w:val="FF00FF"/>
        </w:rPr>
      </w:pPr>
      <w:r w:rsidRPr="0079385E">
        <w:t>70% of use of CZP will be in females (based on utilisation in rheumatoid arthritis) and most of these patients will be women of child-bearing age. The submission assumed no female patients will weigh 90 kg or more an</w:t>
      </w:r>
      <w:r w:rsidR="00993C6F" w:rsidRPr="0079385E">
        <w:t xml:space="preserve">d will not be prescribed </w:t>
      </w:r>
      <w:r w:rsidR="00F3074F" w:rsidRPr="0079385E">
        <w:t>CZP 400 mg</w:t>
      </w:r>
      <w:r w:rsidRPr="0079385E">
        <w:t xml:space="preserve">. </w:t>
      </w:r>
    </w:p>
    <w:p w:rsidR="00E31E9A" w:rsidRPr="0079385E" w:rsidRDefault="00E31E9A" w:rsidP="00FA018E">
      <w:pPr>
        <w:pStyle w:val="3Bodytext"/>
        <w:numPr>
          <w:ilvl w:val="0"/>
          <w:numId w:val="25"/>
        </w:numPr>
        <w:ind w:left="1077" w:hanging="357"/>
        <w:rPr>
          <w:b/>
          <w:color w:val="FF00FF"/>
        </w:rPr>
      </w:pPr>
      <w:r w:rsidRPr="0079385E">
        <w:t>Of the 30% of use in males,</w:t>
      </w:r>
      <w:r w:rsidR="00904109" w:rsidRPr="0079385E">
        <w:t xml:space="preserve"> t</w:t>
      </w:r>
      <w:r w:rsidRPr="0079385E">
        <w:t xml:space="preserve">he </w:t>
      </w:r>
      <w:r w:rsidR="00904109" w:rsidRPr="0079385E">
        <w:t xml:space="preserve">resubmission estimated 13.2% of the population weigh 90 kg or more, using the average </w:t>
      </w:r>
      <w:r w:rsidRPr="0079385E">
        <w:t>of estimates</w:t>
      </w:r>
      <w:r w:rsidR="00904109" w:rsidRPr="0079385E">
        <w:t xml:space="preserve"> from </w:t>
      </w:r>
      <w:r w:rsidRPr="0079385E">
        <w:t xml:space="preserve">Australian </w:t>
      </w:r>
      <w:r w:rsidR="002E2987">
        <w:t>Bureau of Statistics data (9.8%</w:t>
      </w:r>
      <w:r w:rsidRPr="0079385E">
        <w:t>) and Australian psoriasis registry data (16.53%</w:t>
      </w:r>
      <w:r w:rsidR="00904109" w:rsidRPr="0079385E">
        <w:t>)</w:t>
      </w:r>
      <w:r w:rsidRPr="0079385E">
        <w:t xml:space="preserve">. </w:t>
      </w:r>
    </w:p>
    <w:p w:rsidR="00D10510" w:rsidRDefault="00D10510" w:rsidP="00D10510">
      <w:pPr>
        <w:pStyle w:val="3Bodytext"/>
      </w:pPr>
      <w:r w:rsidRPr="00C804FC">
        <w:t xml:space="preserve">The </w:t>
      </w:r>
      <w:r>
        <w:t xml:space="preserve">PBAC noted that according to data provided in the minor resubmission, 55% of males and 32% of females treated with biologics in the Australian Psoriasis Registry weighed </w:t>
      </w:r>
      <w:r w:rsidR="00B75A0B">
        <w:rPr>
          <w:rFonts w:cstheme="minorHAnsi"/>
        </w:rPr>
        <w:t>≥</w:t>
      </w:r>
      <w:r>
        <w:t xml:space="preserve"> 90 kg and considered the assumption that </w:t>
      </w:r>
      <w:r w:rsidRPr="00C804FC">
        <w:t xml:space="preserve">13.2% of patients would weigh </w:t>
      </w:r>
      <w:r w:rsidR="00B75A0B">
        <w:rPr>
          <w:rFonts w:cstheme="minorHAnsi"/>
        </w:rPr>
        <w:t>≥</w:t>
      </w:r>
      <w:r>
        <w:t xml:space="preserve"> </w:t>
      </w:r>
      <w:r w:rsidRPr="00C804FC">
        <w:t xml:space="preserve">90 kg </w:t>
      </w:r>
      <w:r>
        <w:t>was likely a</w:t>
      </w:r>
      <w:r w:rsidRPr="00C804FC">
        <w:t>n underestimate</w:t>
      </w:r>
      <w:r>
        <w:t xml:space="preserve">. </w:t>
      </w:r>
      <w:r w:rsidR="00B83E49">
        <w:t>T</w:t>
      </w:r>
      <w:r>
        <w:t>he PBAC</w:t>
      </w:r>
      <w:r w:rsidR="00B83E49">
        <w:t xml:space="preserve"> </w:t>
      </w:r>
      <w:r>
        <w:t xml:space="preserve">noted the average </w:t>
      </w:r>
      <w:r w:rsidRPr="00C804FC">
        <w:t xml:space="preserve">weight of patients in the pivotal clinical trials for CZP was </w:t>
      </w:r>
      <w:r>
        <w:t>91 kg</w:t>
      </w:r>
      <w:r w:rsidR="00B75A0B">
        <w:t xml:space="preserve"> which also supported 13.2% being an underestimate</w:t>
      </w:r>
      <w:r>
        <w:t>.</w:t>
      </w:r>
    </w:p>
    <w:p w:rsidR="00667D1C" w:rsidRPr="0079385E" w:rsidRDefault="00F3074F" w:rsidP="005B24AE">
      <w:pPr>
        <w:pStyle w:val="3Bodytext"/>
      </w:pPr>
      <w:r w:rsidRPr="0079385E">
        <w:t>The resubmission estimated 7.3% of patients would require up-titration to CZP 400</w:t>
      </w:r>
      <w:r w:rsidR="00B03B42" w:rsidRPr="0079385E">
        <w:t> </w:t>
      </w:r>
      <w:r w:rsidRPr="0079385E">
        <w:t xml:space="preserve">mg due to inadequate response, </w:t>
      </w:r>
      <w:r w:rsidR="00E31E9A" w:rsidRPr="0079385E">
        <w:t>based on Australasian psoriasis registry data, which indicated 7.3% of patients required dose escalation amongst currently-listed biologics for CPP.</w:t>
      </w:r>
      <w:r w:rsidR="001E3BE0" w:rsidRPr="0079385E">
        <w:t xml:space="preserve"> In the pivotal clinical trials, 18</w:t>
      </w:r>
      <w:r w:rsidR="00793CFA">
        <w:t>%</w:t>
      </w:r>
      <w:r w:rsidR="001E3BE0" w:rsidRPr="0079385E">
        <w:t xml:space="preserve"> to 34% of patients </w:t>
      </w:r>
      <w:r w:rsidR="00627B19" w:rsidRPr="0079385E">
        <w:t xml:space="preserve">treated with CZP 200 mg </w:t>
      </w:r>
      <w:r w:rsidR="001E3BE0" w:rsidRPr="0079385E">
        <w:t xml:space="preserve">did not achieve a PASI75 response at 16 weeks therefore, 7.3% may be an underestimate.  </w:t>
      </w:r>
    </w:p>
    <w:p w:rsidR="00667D1C" w:rsidRPr="00667D1C" w:rsidRDefault="00667D1C" w:rsidP="005B24AE">
      <w:pPr>
        <w:pStyle w:val="Bodytextitalics"/>
      </w:pPr>
      <w:r w:rsidRPr="0079385E">
        <w:rPr>
          <w:i w:val="0"/>
        </w:rPr>
        <w:t xml:space="preserve">As a minor submission, the financial estimates </w:t>
      </w:r>
      <w:r w:rsidR="002F39FD">
        <w:rPr>
          <w:i w:val="0"/>
        </w:rPr>
        <w:t xml:space="preserve">were </w:t>
      </w:r>
      <w:r w:rsidRPr="0079385E">
        <w:rPr>
          <w:i w:val="0"/>
        </w:rPr>
        <w:t xml:space="preserve">not </w:t>
      </w:r>
      <w:r w:rsidRPr="0079385E">
        <w:rPr>
          <w:i w:val="0"/>
          <w:szCs w:val="24"/>
        </w:rPr>
        <w:t>independently evaluated</w:t>
      </w:r>
      <w:r w:rsidRPr="00667D1C">
        <w:rPr>
          <w:szCs w:val="24"/>
        </w:rPr>
        <w:t>.</w:t>
      </w:r>
    </w:p>
    <w:p w:rsidR="00DB1B7A" w:rsidRDefault="00DB1B7A" w:rsidP="005B24AE">
      <w:pPr>
        <w:pStyle w:val="Heading2"/>
        <w:keepLines/>
        <w:spacing w:before="240" w:after="120"/>
        <w:jc w:val="both"/>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Financial Management – Risk Sharing Arrangements</w:t>
      </w:r>
    </w:p>
    <w:p w:rsidR="00DB1B7A" w:rsidRPr="0079385E" w:rsidRDefault="00DB1B7A" w:rsidP="005B24AE">
      <w:pPr>
        <w:pStyle w:val="Bodytextitalics"/>
        <w:rPr>
          <w:i w:val="0"/>
          <w:szCs w:val="24"/>
        </w:rPr>
      </w:pPr>
      <w:r w:rsidRPr="0079385E">
        <w:rPr>
          <w:i w:val="0"/>
          <w:szCs w:val="24"/>
        </w:rPr>
        <w:t xml:space="preserve">The </w:t>
      </w:r>
      <w:r w:rsidR="00FD7BC1">
        <w:rPr>
          <w:i w:val="0"/>
          <w:szCs w:val="24"/>
        </w:rPr>
        <w:t>re</w:t>
      </w:r>
      <w:r w:rsidRPr="0079385E">
        <w:rPr>
          <w:i w:val="0"/>
          <w:szCs w:val="24"/>
        </w:rPr>
        <w:t xml:space="preserve">submission proposed a RSA to rebate the Commonwealth the cost of the additional 200 mg dose for all patients who use </w:t>
      </w:r>
      <w:r w:rsidR="002D28D3" w:rsidRPr="0079385E">
        <w:rPr>
          <w:i w:val="0"/>
          <w:szCs w:val="24"/>
        </w:rPr>
        <w:t>CZP 400 mg</w:t>
      </w:r>
      <w:r w:rsidR="00164FAB" w:rsidRPr="0079385E">
        <w:rPr>
          <w:i w:val="0"/>
          <w:szCs w:val="24"/>
        </w:rPr>
        <w:t xml:space="preserve"> after the loading dose</w:t>
      </w:r>
      <w:r w:rsidR="00E52757" w:rsidRPr="0079385E">
        <w:rPr>
          <w:i w:val="0"/>
          <w:szCs w:val="24"/>
        </w:rPr>
        <w:t xml:space="preserve">, </w:t>
      </w:r>
      <w:r w:rsidR="00AF1A7D">
        <w:rPr>
          <w:i w:val="0"/>
          <w:szCs w:val="24"/>
        </w:rPr>
        <w:t>with the intention of</w:t>
      </w:r>
      <w:r w:rsidR="00AF1A7D" w:rsidRPr="0079385E">
        <w:rPr>
          <w:i w:val="0"/>
          <w:szCs w:val="24"/>
        </w:rPr>
        <w:t xml:space="preserve"> </w:t>
      </w:r>
      <w:r w:rsidR="00EB0767">
        <w:rPr>
          <w:i w:val="0"/>
          <w:szCs w:val="24"/>
        </w:rPr>
        <w:t xml:space="preserve">there being </w:t>
      </w:r>
      <w:r w:rsidR="00E52757" w:rsidRPr="0079385E">
        <w:rPr>
          <w:i w:val="0"/>
          <w:szCs w:val="24"/>
        </w:rPr>
        <w:t xml:space="preserve">no additional cost to the PBS for any patients who use the higher dose regimen compared to </w:t>
      </w:r>
      <w:r w:rsidR="002D28D3" w:rsidRPr="0079385E">
        <w:rPr>
          <w:i w:val="0"/>
          <w:szCs w:val="24"/>
        </w:rPr>
        <w:t>CZP 200 mg</w:t>
      </w:r>
      <w:r w:rsidR="00E52757" w:rsidRPr="0079385E">
        <w:rPr>
          <w:i w:val="0"/>
          <w:szCs w:val="24"/>
        </w:rPr>
        <w:t>.</w:t>
      </w:r>
      <w:r w:rsidR="00AF1A7D">
        <w:rPr>
          <w:i w:val="0"/>
          <w:szCs w:val="24"/>
        </w:rPr>
        <w:t xml:space="preserve"> </w:t>
      </w:r>
    </w:p>
    <w:p w:rsidR="0041724F" w:rsidRDefault="00653493" w:rsidP="005B24AE">
      <w:pPr>
        <w:pStyle w:val="Bodytextitalics"/>
        <w:rPr>
          <w:i w:val="0"/>
          <w:szCs w:val="24"/>
        </w:rPr>
      </w:pPr>
      <w:r w:rsidRPr="0079385E">
        <w:rPr>
          <w:i w:val="0"/>
          <w:szCs w:val="24"/>
        </w:rPr>
        <w:t xml:space="preserve">The resubmission proposed separate listings for CZP 400 mg to facilitate </w:t>
      </w:r>
      <w:r w:rsidR="0041724F" w:rsidRPr="0079385E">
        <w:rPr>
          <w:i w:val="0"/>
          <w:szCs w:val="24"/>
        </w:rPr>
        <w:t xml:space="preserve">management of the proposed RSA. </w:t>
      </w:r>
    </w:p>
    <w:p w:rsidR="00825F2D" w:rsidRPr="002E2987" w:rsidRDefault="00825F2D" w:rsidP="00825F2D">
      <w:pPr>
        <w:pStyle w:val="ListParagraph"/>
        <w:ind w:left="709"/>
        <w:rPr>
          <w:rFonts w:asciiTheme="minorHAnsi" w:hAnsiTheme="minorHAnsi"/>
          <w:i/>
          <w:sz w:val="24"/>
          <w:szCs w:val="24"/>
        </w:rPr>
      </w:pPr>
      <w:r w:rsidRPr="002E2987">
        <w:rPr>
          <w:rFonts w:asciiTheme="minorHAnsi" w:hAnsiTheme="minorHAnsi"/>
          <w:i/>
          <w:sz w:val="24"/>
          <w:szCs w:val="24"/>
        </w:rPr>
        <w:t>For more deta</w:t>
      </w:r>
      <w:r w:rsidR="00B45750" w:rsidRPr="002E2987">
        <w:rPr>
          <w:rFonts w:asciiTheme="minorHAnsi" w:hAnsiTheme="minorHAnsi"/>
          <w:i/>
          <w:sz w:val="24"/>
          <w:szCs w:val="24"/>
        </w:rPr>
        <w:t>il on PBAC’s view, see section 6</w:t>
      </w:r>
      <w:r w:rsidRPr="002E2987">
        <w:rPr>
          <w:rFonts w:asciiTheme="minorHAnsi" w:hAnsiTheme="minorHAnsi"/>
          <w:i/>
          <w:sz w:val="24"/>
          <w:szCs w:val="24"/>
        </w:rPr>
        <w:t xml:space="preserve"> PBAC outcome.</w:t>
      </w:r>
    </w:p>
    <w:p w:rsidR="007A6DCA" w:rsidRPr="004131AA" w:rsidRDefault="007A6DCA" w:rsidP="004131AA">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4131AA">
        <w:rPr>
          <w:rFonts w:asciiTheme="minorHAnsi" w:hAnsiTheme="minorHAnsi"/>
          <w:sz w:val="32"/>
          <w:szCs w:val="32"/>
        </w:rPr>
        <w:lastRenderedPageBreak/>
        <w:t>PBAC Outcome</w:t>
      </w:r>
    </w:p>
    <w:p w:rsidR="007A6DCA" w:rsidRDefault="007A6DCA" w:rsidP="007A6DCA">
      <w:pPr>
        <w:widowControl w:val="0"/>
        <w:numPr>
          <w:ilvl w:val="1"/>
          <w:numId w:val="1"/>
        </w:numPr>
        <w:spacing w:after="120"/>
        <w:jc w:val="both"/>
        <w:rPr>
          <w:rFonts w:asciiTheme="minorHAnsi" w:hAnsiTheme="minorHAnsi" w:cs="Arial"/>
          <w:bCs/>
          <w:snapToGrid w:val="0"/>
          <w:lang w:val="en-GB"/>
        </w:rPr>
      </w:pPr>
      <w:r w:rsidRPr="0044401F">
        <w:rPr>
          <w:rFonts w:asciiTheme="minorHAnsi" w:hAnsiTheme="minorHAnsi" w:cs="Arial"/>
          <w:bCs/>
          <w:snapToGrid w:val="0"/>
          <w:lang w:val="en-GB"/>
        </w:rPr>
        <w:t xml:space="preserve">The </w:t>
      </w:r>
      <w:r w:rsidR="00C420C1">
        <w:rPr>
          <w:rFonts w:asciiTheme="minorHAnsi" w:hAnsiTheme="minorHAnsi" w:cs="Arial"/>
          <w:bCs/>
          <w:snapToGrid w:val="0"/>
          <w:lang w:val="en-GB"/>
        </w:rPr>
        <w:t xml:space="preserve">PBAC did not </w:t>
      </w:r>
      <w:r w:rsidR="00A17B66">
        <w:rPr>
          <w:rFonts w:asciiTheme="minorHAnsi" w:hAnsiTheme="minorHAnsi" w:cs="Arial"/>
          <w:bCs/>
          <w:snapToGrid w:val="0"/>
          <w:lang w:val="en-GB"/>
        </w:rPr>
        <w:t xml:space="preserve">advise that </w:t>
      </w:r>
      <w:r w:rsidR="006D4655">
        <w:rPr>
          <w:rFonts w:asciiTheme="minorHAnsi" w:hAnsiTheme="minorHAnsi" w:cs="Arial"/>
          <w:bCs/>
          <w:snapToGrid w:val="0"/>
          <w:lang w:val="en-GB"/>
        </w:rPr>
        <w:t>a change</w:t>
      </w:r>
      <w:r w:rsidR="00A17B66">
        <w:rPr>
          <w:rFonts w:asciiTheme="minorHAnsi" w:hAnsiTheme="minorHAnsi" w:cs="Arial"/>
          <w:bCs/>
          <w:snapToGrid w:val="0"/>
          <w:lang w:val="en-GB"/>
        </w:rPr>
        <w:t xml:space="preserve"> should be made</w:t>
      </w:r>
      <w:r w:rsidR="006D4655">
        <w:rPr>
          <w:rFonts w:asciiTheme="minorHAnsi" w:hAnsiTheme="minorHAnsi" w:cs="Arial"/>
          <w:bCs/>
          <w:snapToGrid w:val="0"/>
          <w:lang w:val="en-GB"/>
        </w:rPr>
        <w:t xml:space="preserve"> to </w:t>
      </w:r>
      <w:r w:rsidR="00C420C1">
        <w:rPr>
          <w:rFonts w:asciiTheme="minorHAnsi" w:hAnsiTheme="minorHAnsi" w:cs="Arial"/>
          <w:bCs/>
          <w:snapToGrid w:val="0"/>
          <w:lang w:val="en-GB"/>
        </w:rPr>
        <w:t xml:space="preserve">its previous recommendation for </w:t>
      </w:r>
      <w:proofErr w:type="spellStart"/>
      <w:r w:rsidR="00C420C1">
        <w:rPr>
          <w:rFonts w:asciiTheme="minorHAnsi" w:hAnsiTheme="minorHAnsi" w:cs="Arial"/>
          <w:bCs/>
          <w:snapToGrid w:val="0"/>
          <w:lang w:val="en-GB"/>
        </w:rPr>
        <w:t>certolizumab</w:t>
      </w:r>
      <w:proofErr w:type="spellEnd"/>
      <w:r w:rsidR="00C420C1">
        <w:rPr>
          <w:rFonts w:asciiTheme="minorHAnsi" w:hAnsiTheme="minorHAnsi" w:cs="Arial"/>
          <w:bCs/>
          <w:snapToGrid w:val="0"/>
          <w:lang w:val="en-GB"/>
        </w:rPr>
        <w:t xml:space="preserve"> </w:t>
      </w:r>
      <w:proofErr w:type="spellStart"/>
      <w:r w:rsidR="00C420C1">
        <w:rPr>
          <w:rFonts w:asciiTheme="minorHAnsi" w:hAnsiTheme="minorHAnsi" w:cs="Arial"/>
          <w:bCs/>
          <w:snapToGrid w:val="0"/>
          <w:lang w:val="en-GB"/>
        </w:rPr>
        <w:t>pegol</w:t>
      </w:r>
      <w:proofErr w:type="spellEnd"/>
      <w:r w:rsidR="00C420C1">
        <w:rPr>
          <w:rFonts w:asciiTheme="minorHAnsi" w:hAnsiTheme="minorHAnsi" w:cs="Arial"/>
          <w:bCs/>
          <w:snapToGrid w:val="0"/>
          <w:lang w:val="en-GB"/>
        </w:rPr>
        <w:t xml:space="preserve"> (CZP) for the treatment of chronic plaque psoriasis</w:t>
      </w:r>
      <w:r w:rsidR="00CF199C">
        <w:rPr>
          <w:rFonts w:asciiTheme="minorHAnsi" w:hAnsiTheme="minorHAnsi" w:cs="Arial"/>
          <w:bCs/>
          <w:snapToGrid w:val="0"/>
          <w:lang w:val="en-GB"/>
        </w:rPr>
        <w:t xml:space="preserve"> (CPP)</w:t>
      </w:r>
      <w:r w:rsidR="00C420C1">
        <w:rPr>
          <w:rFonts w:asciiTheme="minorHAnsi" w:hAnsiTheme="minorHAnsi" w:cs="Arial"/>
          <w:bCs/>
          <w:snapToGrid w:val="0"/>
          <w:lang w:val="en-GB"/>
        </w:rPr>
        <w:t>.</w:t>
      </w:r>
      <w:r w:rsidR="00B75A0B">
        <w:rPr>
          <w:rFonts w:asciiTheme="minorHAnsi" w:hAnsiTheme="minorHAnsi" w:cs="Arial"/>
          <w:bCs/>
          <w:snapToGrid w:val="0"/>
          <w:lang w:val="en-GB"/>
        </w:rPr>
        <w:t xml:space="preserve"> </w:t>
      </w:r>
      <w:r w:rsidR="00D82110">
        <w:rPr>
          <w:rFonts w:asciiTheme="minorHAnsi" w:hAnsiTheme="minorHAnsi" w:cs="Arial"/>
          <w:bCs/>
          <w:snapToGrid w:val="0"/>
          <w:lang w:val="en-GB"/>
        </w:rPr>
        <w:t>T</w:t>
      </w:r>
      <w:r w:rsidR="00CF199C">
        <w:rPr>
          <w:rFonts w:asciiTheme="minorHAnsi" w:hAnsiTheme="minorHAnsi" w:cs="Arial"/>
          <w:bCs/>
          <w:snapToGrid w:val="0"/>
          <w:lang w:val="en-GB"/>
        </w:rPr>
        <w:t xml:space="preserve">he PBAC reaffirmed </w:t>
      </w:r>
      <w:r w:rsidR="00D10510">
        <w:rPr>
          <w:rFonts w:asciiTheme="minorHAnsi" w:hAnsiTheme="minorHAnsi" w:cs="Arial"/>
          <w:bCs/>
          <w:snapToGrid w:val="0"/>
          <w:lang w:val="en-GB"/>
        </w:rPr>
        <w:t xml:space="preserve">its </w:t>
      </w:r>
      <w:r w:rsidR="005719D9">
        <w:rPr>
          <w:rFonts w:asciiTheme="minorHAnsi" w:hAnsiTheme="minorHAnsi" w:cs="Arial"/>
          <w:bCs/>
          <w:snapToGrid w:val="0"/>
          <w:lang w:val="en-GB"/>
        </w:rPr>
        <w:t>March 2019</w:t>
      </w:r>
      <w:r w:rsidR="00CF199C">
        <w:rPr>
          <w:rFonts w:asciiTheme="minorHAnsi" w:hAnsiTheme="minorHAnsi" w:cs="Arial"/>
          <w:bCs/>
          <w:snapToGrid w:val="0"/>
          <w:lang w:val="en-GB"/>
        </w:rPr>
        <w:t xml:space="preserve"> recommendation</w:t>
      </w:r>
      <w:r w:rsidR="00D10510">
        <w:rPr>
          <w:rFonts w:asciiTheme="minorHAnsi" w:hAnsiTheme="minorHAnsi" w:cs="Arial"/>
          <w:bCs/>
          <w:snapToGrid w:val="0"/>
          <w:lang w:val="en-GB"/>
        </w:rPr>
        <w:t xml:space="preserve"> that </w:t>
      </w:r>
      <w:r w:rsidR="00CF199C" w:rsidRPr="00D10510">
        <w:rPr>
          <w:rFonts w:asciiTheme="minorHAnsi" w:hAnsiTheme="minorHAnsi" w:cstheme="minorHAnsi"/>
          <w:bCs/>
          <w:snapToGrid w:val="0"/>
          <w:lang w:val="en-GB"/>
        </w:rPr>
        <w:t>CZP</w:t>
      </w:r>
      <w:r w:rsidR="006D4655">
        <w:rPr>
          <w:rFonts w:asciiTheme="minorHAnsi" w:hAnsiTheme="minorHAnsi" w:cstheme="minorHAnsi"/>
          <w:bCs/>
          <w:snapToGrid w:val="0"/>
          <w:lang w:val="en-GB"/>
        </w:rPr>
        <w:t xml:space="preserve"> 400 mg</w:t>
      </w:r>
      <w:r w:rsidR="00A73A7E" w:rsidRPr="00D10510">
        <w:rPr>
          <w:rFonts w:asciiTheme="minorHAnsi" w:hAnsiTheme="minorHAnsi" w:cstheme="minorHAnsi"/>
          <w:bCs/>
          <w:snapToGrid w:val="0"/>
          <w:lang w:val="en-GB"/>
        </w:rPr>
        <w:t xml:space="preserve"> </w:t>
      </w:r>
      <w:r w:rsidR="00D10510" w:rsidRPr="00D10510">
        <w:rPr>
          <w:rFonts w:asciiTheme="minorHAnsi" w:hAnsiTheme="minorHAnsi" w:cstheme="minorHAnsi"/>
          <w:bCs/>
          <w:snapToGrid w:val="0"/>
          <w:lang w:val="en-GB"/>
        </w:rPr>
        <w:t xml:space="preserve">should be listed </w:t>
      </w:r>
      <w:r w:rsidR="00A73A7E" w:rsidRPr="00D10510">
        <w:rPr>
          <w:rFonts w:asciiTheme="minorHAnsi" w:hAnsiTheme="minorHAnsi" w:cstheme="minorHAnsi"/>
          <w:bCs/>
          <w:snapToGrid w:val="0"/>
          <w:lang w:val="en-GB"/>
        </w:rPr>
        <w:t xml:space="preserve">on a cost minimisation basis with </w:t>
      </w:r>
      <w:r w:rsidR="00023CDF" w:rsidRPr="00D10510">
        <w:rPr>
          <w:rFonts w:asciiTheme="minorHAnsi" w:hAnsiTheme="minorHAnsi" w:cstheme="minorHAnsi"/>
          <w:bCs/>
          <w:snapToGrid w:val="0"/>
          <w:lang w:val="en-GB"/>
        </w:rPr>
        <w:t>the least costly alternative biologic</w:t>
      </w:r>
      <w:r w:rsidR="00023CDF">
        <w:rPr>
          <w:rFonts w:asciiTheme="minorHAnsi" w:hAnsiTheme="minorHAnsi" w:cs="Arial"/>
          <w:bCs/>
          <w:snapToGrid w:val="0"/>
          <w:lang w:val="en-GB"/>
        </w:rPr>
        <w:t xml:space="preserve"> </w:t>
      </w:r>
      <w:r w:rsidR="005719D9">
        <w:rPr>
          <w:rFonts w:asciiTheme="minorHAnsi" w:hAnsiTheme="minorHAnsi" w:cs="Arial"/>
          <w:bCs/>
          <w:snapToGrid w:val="0"/>
          <w:lang w:val="en-GB"/>
        </w:rPr>
        <w:t>for this</w:t>
      </w:r>
      <w:r w:rsidR="00D10510">
        <w:rPr>
          <w:rFonts w:asciiTheme="minorHAnsi" w:hAnsiTheme="minorHAnsi" w:cs="Arial"/>
          <w:bCs/>
          <w:snapToGrid w:val="0"/>
          <w:lang w:val="en-GB"/>
        </w:rPr>
        <w:t xml:space="preserve"> indication</w:t>
      </w:r>
      <w:r w:rsidR="00D82110">
        <w:rPr>
          <w:rFonts w:asciiTheme="minorHAnsi" w:hAnsiTheme="minorHAnsi" w:cs="Arial"/>
          <w:bCs/>
          <w:snapToGrid w:val="0"/>
          <w:lang w:val="en-GB"/>
        </w:rPr>
        <w:t xml:space="preserve"> and </w:t>
      </w:r>
      <w:r w:rsidR="00E317EB">
        <w:rPr>
          <w:rFonts w:asciiTheme="minorHAnsi" w:hAnsiTheme="minorHAnsi" w:cstheme="minorHAnsi"/>
          <w:bCs/>
          <w:snapToGrid w:val="0"/>
          <w:lang w:val="en-GB"/>
        </w:rPr>
        <w:t>that</w:t>
      </w:r>
      <w:r w:rsidR="00E317EB" w:rsidRPr="006F73F7">
        <w:rPr>
          <w:rFonts w:asciiTheme="minorHAnsi" w:hAnsiTheme="minorHAnsi" w:cstheme="minorHAnsi"/>
          <w:bCs/>
          <w:snapToGrid w:val="0"/>
          <w:lang w:val="en-GB"/>
        </w:rPr>
        <w:t xml:space="preserve"> it would be appropriate to price CZP 200 mg on the same per mg basis as CZP 400 mg.</w:t>
      </w:r>
    </w:p>
    <w:p w:rsidR="00CE27AF" w:rsidRPr="0022261B" w:rsidRDefault="00023CDF" w:rsidP="000E75C2">
      <w:pPr>
        <w:pStyle w:val="Bodytextitalics"/>
        <w:rPr>
          <w:snapToGrid w:val="0"/>
          <w:lang w:val="en-GB"/>
        </w:rPr>
      </w:pPr>
      <w:r w:rsidRPr="008B670E">
        <w:rPr>
          <w:rFonts w:eastAsia="Times New Roman" w:cs="Arial"/>
          <w:bCs/>
          <w:i w:val="0"/>
          <w:snapToGrid w:val="0"/>
          <w:szCs w:val="24"/>
          <w:lang w:val="en-GB"/>
        </w:rPr>
        <w:t xml:space="preserve">The PBAC noted the submission argued that most patients would </w:t>
      </w:r>
      <w:r w:rsidR="00CE27AF" w:rsidRPr="008B670E">
        <w:rPr>
          <w:rFonts w:eastAsia="Times New Roman" w:cs="Arial"/>
          <w:bCs/>
          <w:i w:val="0"/>
          <w:snapToGrid w:val="0"/>
          <w:szCs w:val="24"/>
          <w:lang w:val="en-GB"/>
        </w:rPr>
        <w:t xml:space="preserve">be treated with </w:t>
      </w:r>
      <w:r w:rsidR="00EB0767">
        <w:rPr>
          <w:rFonts w:eastAsia="Times New Roman" w:cs="Arial"/>
          <w:bCs/>
          <w:i w:val="0"/>
          <w:snapToGrid w:val="0"/>
          <w:szCs w:val="24"/>
          <w:lang w:val="en-GB"/>
        </w:rPr>
        <w:t xml:space="preserve">CZP </w:t>
      </w:r>
      <w:r w:rsidR="00CE27AF" w:rsidRPr="008B670E">
        <w:rPr>
          <w:rFonts w:eastAsia="Times New Roman" w:cs="Arial"/>
          <w:bCs/>
          <w:i w:val="0"/>
          <w:snapToGrid w:val="0"/>
          <w:szCs w:val="24"/>
          <w:lang w:val="en-GB"/>
        </w:rPr>
        <w:t>200 mg</w:t>
      </w:r>
      <w:r w:rsidR="006A2022">
        <w:rPr>
          <w:rFonts w:eastAsia="Times New Roman" w:cs="Arial"/>
          <w:bCs/>
          <w:i w:val="0"/>
          <w:snapToGrid w:val="0"/>
          <w:szCs w:val="24"/>
          <w:lang w:val="en-GB"/>
        </w:rPr>
        <w:t>,</w:t>
      </w:r>
      <w:r w:rsidRPr="008B670E">
        <w:rPr>
          <w:rFonts w:eastAsia="Times New Roman" w:cs="Arial"/>
          <w:bCs/>
          <w:i w:val="0"/>
          <w:snapToGrid w:val="0"/>
          <w:szCs w:val="24"/>
          <w:lang w:val="en-GB"/>
        </w:rPr>
        <w:t xml:space="preserve"> and </w:t>
      </w:r>
      <w:r w:rsidR="00CE27AF" w:rsidRPr="008B670E">
        <w:rPr>
          <w:rFonts w:eastAsia="Times New Roman" w:cs="Arial"/>
          <w:bCs/>
          <w:i w:val="0"/>
          <w:snapToGrid w:val="0"/>
          <w:szCs w:val="24"/>
          <w:lang w:val="en-GB"/>
        </w:rPr>
        <w:t xml:space="preserve">CZP 400 mg </w:t>
      </w:r>
      <w:r w:rsidRPr="008B670E">
        <w:rPr>
          <w:rFonts w:eastAsia="Times New Roman" w:cs="Arial"/>
          <w:bCs/>
          <w:i w:val="0"/>
          <w:snapToGrid w:val="0"/>
          <w:szCs w:val="24"/>
          <w:lang w:val="en-GB"/>
        </w:rPr>
        <w:t xml:space="preserve">would only be </w:t>
      </w:r>
      <w:r w:rsidR="00187F59" w:rsidRPr="008B670E">
        <w:rPr>
          <w:rFonts w:eastAsia="Times New Roman" w:cs="Arial"/>
          <w:bCs/>
          <w:i w:val="0"/>
          <w:snapToGrid w:val="0"/>
          <w:szCs w:val="24"/>
          <w:lang w:val="en-GB"/>
        </w:rPr>
        <w:t>used by patients who</w:t>
      </w:r>
      <w:r w:rsidR="006A2022">
        <w:rPr>
          <w:rFonts w:eastAsia="Times New Roman" w:cs="Arial"/>
          <w:bCs/>
          <w:i w:val="0"/>
          <w:snapToGrid w:val="0"/>
          <w:szCs w:val="24"/>
          <w:lang w:val="en-GB"/>
        </w:rPr>
        <w:t>:</w:t>
      </w:r>
      <w:r w:rsidR="00187F59" w:rsidRPr="008B670E">
        <w:rPr>
          <w:rFonts w:eastAsia="Times New Roman" w:cs="Arial"/>
          <w:bCs/>
          <w:i w:val="0"/>
          <w:snapToGrid w:val="0"/>
          <w:szCs w:val="24"/>
          <w:lang w:val="en-GB"/>
        </w:rPr>
        <w:t xml:space="preserve"> (1) weigh </w:t>
      </w:r>
      <w:r w:rsidR="00B75A0B">
        <w:rPr>
          <w:rFonts w:eastAsia="Times New Roman" w:cstheme="minorHAnsi"/>
          <w:bCs/>
          <w:i w:val="0"/>
          <w:snapToGrid w:val="0"/>
          <w:szCs w:val="24"/>
          <w:lang w:val="en-GB"/>
        </w:rPr>
        <w:t>≥</w:t>
      </w:r>
      <w:r w:rsidR="00B75A0B">
        <w:rPr>
          <w:rFonts w:eastAsia="Times New Roman" w:cs="Arial"/>
          <w:bCs/>
          <w:i w:val="0"/>
          <w:snapToGrid w:val="0"/>
          <w:szCs w:val="24"/>
          <w:lang w:val="en-GB"/>
        </w:rPr>
        <w:t xml:space="preserve"> </w:t>
      </w:r>
      <w:r w:rsidR="00D96ECD" w:rsidRPr="008B670E">
        <w:rPr>
          <w:rFonts w:eastAsia="Times New Roman" w:cs="Arial"/>
          <w:bCs/>
          <w:i w:val="0"/>
          <w:snapToGrid w:val="0"/>
          <w:szCs w:val="24"/>
          <w:lang w:val="en-GB"/>
        </w:rPr>
        <w:t>90 kg</w:t>
      </w:r>
      <w:r w:rsidR="004366BD" w:rsidRPr="008B670E">
        <w:rPr>
          <w:rFonts w:eastAsia="Times New Roman" w:cs="Arial"/>
          <w:bCs/>
          <w:i w:val="0"/>
          <w:snapToGrid w:val="0"/>
          <w:szCs w:val="24"/>
          <w:lang w:val="en-GB"/>
        </w:rPr>
        <w:t>,</w:t>
      </w:r>
      <w:r w:rsidR="00D96ECD" w:rsidRPr="008B670E">
        <w:rPr>
          <w:rFonts w:eastAsia="Times New Roman" w:cs="Arial"/>
          <w:bCs/>
          <w:i w:val="0"/>
          <w:snapToGrid w:val="0"/>
          <w:szCs w:val="24"/>
          <w:lang w:val="en-GB"/>
        </w:rPr>
        <w:t xml:space="preserve"> and (2) do not achieve an adequate</w:t>
      </w:r>
      <w:r w:rsidR="00187F59" w:rsidRPr="008B670E">
        <w:rPr>
          <w:rFonts w:eastAsia="Times New Roman" w:cs="Arial"/>
          <w:bCs/>
          <w:i w:val="0"/>
          <w:snapToGrid w:val="0"/>
          <w:szCs w:val="24"/>
          <w:lang w:val="en-GB"/>
        </w:rPr>
        <w:t xml:space="preserve"> response to treatment with </w:t>
      </w:r>
      <w:r w:rsidR="005B5F56" w:rsidRPr="008B670E">
        <w:rPr>
          <w:rFonts w:eastAsia="Times New Roman" w:cs="Arial"/>
          <w:bCs/>
          <w:i w:val="0"/>
          <w:snapToGrid w:val="0"/>
          <w:szCs w:val="24"/>
          <w:lang w:val="en-GB"/>
        </w:rPr>
        <w:t>CZP 200 mg</w:t>
      </w:r>
      <w:r w:rsidR="00187F59" w:rsidRPr="008B670E">
        <w:rPr>
          <w:rFonts w:eastAsia="Times New Roman" w:cs="Arial"/>
          <w:bCs/>
          <w:i w:val="0"/>
          <w:snapToGrid w:val="0"/>
          <w:szCs w:val="24"/>
          <w:lang w:val="en-GB"/>
        </w:rPr>
        <w:t>.</w:t>
      </w:r>
      <w:r w:rsidR="00187F59">
        <w:rPr>
          <w:snapToGrid w:val="0"/>
          <w:lang w:val="en-GB"/>
        </w:rPr>
        <w:t xml:space="preserve"> </w:t>
      </w:r>
      <w:r w:rsidR="000E75C2" w:rsidRPr="000E75C2">
        <w:rPr>
          <w:rFonts w:eastAsia="Times New Roman" w:cs="Arial"/>
          <w:bCs/>
          <w:i w:val="0"/>
          <w:snapToGrid w:val="0"/>
          <w:szCs w:val="24"/>
          <w:lang w:val="en-GB"/>
        </w:rPr>
        <w:t xml:space="preserve">The PBAC noted the </w:t>
      </w:r>
      <w:r w:rsidR="00EB0767">
        <w:rPr>
          <w:rFonts w:eastAsia="Times New Roman" w:cs="Arial"/>
          <w:bCs/>
          <w:i w:val="0"/>
          <w:snapToGrid w:val="0"/>
          <w:szCs w:val="24"/>
          <w:lang w:val="en-GB"/>
        </w:rPr>
        <w:t>re</w:t>
      </w:r>
      <w:r w:rsidR="000E75C2" w:rsidRPr="000E75C2">
        <w:rPr>
          <w:rFonts w:eastAsia="Times New Roman" w:cs="Arial"/>
          <w:bCs/>
          <w:i w:val="0"/>
          <w:snapToGrid w:val="0"/>
          <w:szCs w:val="24"/>
          <w:lang w:val="en-GB"/>
        </w:rPr>
        <w:t xml:space="preserve">submission estimated approximately 13.2% of the treated population would use </w:t>
      </w:r>
      <w:r w:rsidR="000E75C2">
        <w:rPr>
          <w:rFonts w:eastAsia="Times New Roman" w:cs="Arial"/>
          <w:bCs/>
          <w:i w:val="0"/>
          <w:snapToGrid w:val="0"/>
          <w:szCs w:val="24"/>
          <w:lang w:val="en-GB"/>
        </w:rPr>
        <w:t>CZP 400 mg</w:t>
      </w:r>
      <w:r w:rsidR="000E75C2" w:rsidRPr="000E75C2">
        <w:rPr>
          <w:rFonts w:eastAsia="Times New Roman" w:cs="Arial"/>
          <w:bCs/>
          <w:i w:val="0"/>
          <w:snapToGrid w:val="0"/>
          <w:szCs w:val="24"/>
          <w:lang w:val="en-GB"/>
        </w:rPr>
        <w:t xml:space="preserve"> for patients weighing </w:t>
      </w:r>
      <w:r w:rsidR="00B75A0B">
        <w:rPr>
          <w:rFonts w:eastAsia="Times New Roman" w:cstheme="minorHAnsi"/>
          <w:bCs/>
          <w:i w:val="0"/>
          <w:snapToGrid w:val="0"/>
          <w:szCs w:val="24"/>
          <w:lang w:val="en-GB"/>
        </w:rPr>
        <w:t xml:space="preserve">≥ </w:t>
      </w:r>
      <w:r w:rsidR="000E75C2" w:rsidRPr="000E75C2">
        <w:rPr>
          <w:rFonts w:eastAsia="Times New Roman" w:cs="Arial"/>
          <w:bCs/>
          <w:i w:val="0"/>
          <w:snapToGrid w:val="0"/>
          <w:szCs w:val="24"/>
          <w:lang w:val="en-GB"/>
        </w:rPr>
        <w:t xml:space="preserve">90 kg, and a further 7.3% of patients would move to </w:t>
      </w:r>
      <w:r w:rsidR="000E75C2">
        <w:rPr>
          <w:rFonts w:eastAsia="Times New Roman" w:cs="Arial"/>
          <w:bCs/>
          <w:i w:val="0"/>
          <w:snapToGrid w:val="0"/>
          <w:szCs w:val="24"/>
          <w:lang w:val="en-GB"/>
        </w:rPr>
        <w:t xml:space="preserve">CZP 400 mg </w:t>
      </w:r>
      <w:r w:rsidR="000E75C2" w:rsidRPr="000E75C2">
        <w:rPr>
          <w:rFonts w:eastAsia="Times New Roman" w:cs="Arial"/>
          <w:bCs/>
          <w:i w:val="0"/>
          <w:snapToGrid w:val="0"/>
          <w:szCs w:val="24"/>
          <w:lang w:val="en-GB"/>
        </w:rPr>
        <w:t>following inadequate response to</w:t>
      </w:r>
      <w:r w:rsidR="000E75C2">
        <w:rPr>
          <w:rFonts w:eastAsia="Times New Roman" w:cs="Arial"/>
          <w:bCs/>
          <w:i w:val="0"/>
          <w:snapToGrid w:val="0"/>
          <w:szCs w:val="24"/>
          <w:lang w:val="en-GB"/>
        </w:rPr>
        <w:t xml:space="preserve"> CZP 200</w:t>
      </w:r>
      <w:r w:rsidR="006A2022">
        <w:rPr>
          <w:rFonts w:eastAsia="Times New Roman" w:cs="Arial"/>
          <w:bCs/>
          <w:i w:val="0"/>
          <w:snapToGrid w:val="0"/>
          <w:szCs w:val="24"/>
          <w:lang w:val="en-GB"/>
        </w:rPr>
        <w:t> </w:t>
      </w:r>
      <w:r w:rsidR="000E75C2">
        <w:rPr>
          <w:rFonts w:eastAsia="Times New Roman" w:cs="Arial"/>
          <w:bCs/>
          <w:i w:val="0"/>
          <w:snapToGrid w:val="0"/>
          <w:szCs w:val="24"/>
          <w:lang w:val="en-GB"/>
        </w:rPr>
        <w:t>mg</w:t>
      </w:r>
      <w:r w:rsidR="000E75C2" w:rsidRPr="000E75C2">
        <w:rPr>
          <w:rFonts w:eastAsia="Times New Roman" w:cs="Arial"/>
          <w:bCs/>
          <w:i w:val="0"/>
          <w:snapToGrid w:val="0"/>
          <w:szCs w:val="24"/>
          <w:lang w:val="en-GB"/>
        </w:rPr>
        <w:t>.</w:t>
      </w:r>
      <w:r w:rsidR="00793CFA">
        <w:rPr>
          <w:rFonts w:eastAsia="Times New Roman" w:cs="Arial"/>
          <w:bCs/>
          <w:i w:val="0"/>
          <w:snapToGrid w:val="0"/>
          <w:szCs w:val="24"/>
          <w:lang w:val="en-GB"/>
        </w:rPr>
        <w:t xml:space="preserve"> Th</w:t>
      </w:r>
      <w:r w:rsidR="00371EB0">
        <w:rPr>
          <w:rFonts w:eastAsia="Times New Roman" w:cs="Arial"/>
          <w:bCs/>
          <w:i w:val="0"/>
          <w:snapToGrid w:val="0"/>
          <w:szCs w:val="24"/>
          <w:lang w:val="en-GB"/>
        </w:rPr>
        <w:t>e</w:t>
      </w:r>
      <w:r w:rsidR="00793CFA">
        <w:rPr>
          <w:rFonts w:eastAsia="Times New Roman" w:cs="Arial"/>
          <w:bCs/>
          <w:i w:val="0"/>
          <w:snapToGrid w:val="0"/>
          <w:szCs w:val="24"/>
          <w:lang w:val="en-GB"/>
        </w:rPr>
        <w:t xml:space="preserve"> PBAC considered the</w:t>
      </w:r>
      <w:r w:rsidR="006F73F7">
        <w:rPr>
          <w:rFonts w:eastAsia="Times New Roman" w:cs="Arial"/>
          <w:bCs/>
          <w:i w:val="0"/>
          <w:snapToGrid w:val="0"/>
          <w:szCs w:val="24"/>
          <w:lang w:val="en-GB"/>
        </w:rPr>
        <w:t xml:space="preserve"> assumptions regarding the proportion of use of CZP 400 mg</w:t>
      </w:r>
      <w:r w:rsidR="00371EB0">
        <w:rPr>
          <w:rFonts w:eastAsia="Times New Roman" w:cs="Arial"/>
          <w:bCs/>
          <w:i w:val="0"/>
          <w:snapToGrid w:val="0"/>
          <w:szCs w:val="24"/>
          <w:lang w:val="en-GB"/>
        </w:rPr>
        <w:t xml:space="preserve"> </w:t>
      </w:r>
      <w:r w:rsidR="00793CFA">
        <w:rPr>
          <w:rFonts w:eastAsia="Times New Roman" w:cs="Arial"/>
          <w:bCs/>
          <w:i w:val="0"/>
          <w:snapToGrid w:val="0"/>
          <w:szCs w:val="24"/>
          <w:lang w:val="en-GB"/>
        </w:rPr>
        <w:t>to be underestimated</w:t>
      </w:r>
      <w:r w:rsidR="006F73F7">
        <w:rPr>
          <w:rFonts w:eastAsia="Times New Roman" w:cs="Arial"/>
          <w:bCs/>
          <w:i w:val="0"/>
          <w:snapToGrid w:val="0"/>
          <w:szCs w:val="24"/>
          <w:lang w:val="en-GB"/>
        </w:rPr>
        <w:t xml:space="preserve"> </w:t>
      </w:r>
      <w:r w:rsidR="004F197D">
        <w:rPr>
          <w:rFonts w:eastAsia="Times New Roman" w:cs="Arial"/>
          <w:bCs/>
          <w:i w:val="0"/>
          <w:snapToGrid w:val="0"/>
          <w:szCs w:val="24"/>
          <w:lang w:val="en-GB"/>
        </w:rPr>
        <w:t xml:space="preserve">for the reasons outlined in </w:t>
      </w:r>
      <w:r w:rsidR="006F73F7">
        <w:rPr>
          <w:rFonts w:eastAsia="Times New Roman" w:cs="Arial"/>
          <w:bCs/>
          <w:i w:val="0"/>
          <w:snapToGrid w:val="0"/>
          <w:szCs w:val="24"/>
          <w:lang w:val="en-GB"/>
        </w:rPr>
        <w:t>paragraph</w:t>
      </w:r>
      <w:r w:rsidR="004F197D">
        <w:rPr>
          <w:rFonts w:eastAsia="Times New Roman" w:cs="Arial"/>
          <w:bCs/>
          <w:i w:val="0"/>
          <w:snapToGrid w:val="0"/>
          <w:szCs w:val="24"/>
          <w:lang w:val="en-GB"/>
        </w:rPr>
        <w:t>s</w:t>
      </w:r>
      <w:r w:rsidR="006F73F7">
        <w:rPr>
          <w:rFonts w:eastAsia="Times New Roman" w:cs="Arial"/>
          <w:bCs/>
          <w:i w:val="0"/>
          <w:snapToGrid w:val="0"/>
          <w:szCs w:val="24"/>
          <w:lang w:val="en-GB"/>
        </w:rPr>
        <w:t xml:space="preserve"> 5.17</w:t>
      </w:r>
      <w:r w:rsidR="004F197D">
        <w:rPr>
          <w:rFonts w:eastAsia="Times New Roman" w:cs="Arial"/>
          <w:bCs/>
          <w:i w:val="0"/>
          <w:snapToGrid w:val="0"/>
          <w:szCs w:val="24"/>
          <w:lang w:val="en-GB"/>
        </w:rPr>
        <w:t xml:space="preserve"> and</w:t>
      </w:r>
      <w:r w:rsidR="006F73F7">
        <w:rPr>
          <w:rFonts w:eastAsia="Times New Roman" w:cs="Arial"/>
          <w:bCs/>
          <w:i w:val="0"/>
          <w:snapToGrid w:val="0"/>
          <w:szCs w:val="24"/>
          <w:lang w:val="en-GB"/>
        </w:rPr>
        <w:t xml:space="preserve"> 5.18</w:t>
      </w:r>
      <w:r w:rsidR="00793CFA">
        <w:rPr>
          <w:rFonts w:eastAsia="Times New Roman" w:cs="Arial"/>
          <w:bCs/>
          <w:i w:val="0"/>
          <w:snapToGrid w:val="0"/>
          <w:szCs w:val="24"/>
          <w:lang w:val="en-GB"/>
        </w:rPr>
        <w:t xml:space="preserve">. </w:t>
      </w:r>
    </w:p>
    <w:p w:rsidR="002F39FD" w:rsidRPr="002F39FD" w:rsidRDefault="00B75A0B" w:rsidP="002F39FD">
      <w:pPr>
        <w:pStyle w:val="Bodytextitalics"/>
        <w:rPr>
          <w:rFonts w:eastAsia="Times New Roman" w:cs="Arial"/>
          <w:bCs/>
          <w:i w:val="0"/>
          <w:snapToGrid w:val="0"/>
          <w:szCs w:val="24"/>
          <w:lang w:val="en-GB"/>
        </w:rPr>
      </w:pPr>
      <w:r w:rsidRPr="00793CFA">
        <w:rPr>
          <w:i w:val="0"/>
          <w:snapToGrid w:val="0"/>
          <w:lang w:val="en-GB"/>
        </w:rPr>
        <w:t>The PBAC noted</w:t>
      </w:r>
      <w:r>
        <w:rPr>
          <w:i w:val="0"/>
          <w:snapToGrid w:val="0"/>
          <w:lang w:val="en-GB"/>
        </w:rPr>
        <w:t xml:space="preserve"> </w:t>
      </w:r>
      <w:r w:rsidRPr="00793CFA">
        <w:rPr>
          <w:i w:val="0"/>
          <w:snapToGrid w:val="0"/>
          <w:lang w:val="en-GB"/>
        </w:rPr>
        <w:t xml:space="preserve">that </w:t>
      </w:r>
      <w:r w:rsidR="002F39FD">
        <w:rPr>
          <w:i w:val="0"/>
          <w:snapToGrid w:val="0"/>
          <w:lang w:val="en-GB"/>
        </w:rPr>
        <w:t xml:space="preserve">documenting </w:t>
      </w:r>
      <w:r>
        <w:rPr>
          <w:i w:val="0"/>
          <w:snapToGrid w:val="0"/>
          <w:lang w:val="en-GB"/>
        </w:rPr>
        <w:t>i</w:t>
      </w:r>
      <w:r w:rsidRPr="00793CFA">
        <w:rPr>
          <w:rFonts w:eastAsia="Times New Roman" w:cs="Arial"/>
          <w:bCs/>
          <w:i w:val="0"/>
          <w:snapToGrid w:val="0"/>
          <w:szCs w:val="24"/>
          <w:lang w:val="en-GB"/>
        </w:rPr>
        <w:t xml:space="preserve">nadequate response on CZP 200 </w:t>
      </w:r>
      <w:r w:rsidR="002F39FD">
        <w:rPr>
          <w:rFonts w:eastAsia="Times New Roman" w:cs="Arial"/>
          <w:bCs/>
          <w:i w:val="0"/>
          <w:snapToGrid w:val="0"/>
          <w:szCs w:val="24"/>
          <w:lang w:val="en-GB"/>
        </w:rPr>
        <w:t xml:space="preserve">mg in order to be prescribed CZP 400 </w:t>
      </w:r>
      <w:r w:rsidRPr="00793CFA">
        <w:rPr>
          <w:rFonts w:eastAsia="Times New Roman" w:cs="Arial"/>
          <w:bCs/>
          <w:i w:val="0"/>
          <w:snapToGrid w:val="0"/>
          <w:szCs w:val="24"/>
          <w:lang w:val="en-GB"/>
        </w:rPr>
        <w:t>mg would be considered a treatment failure and this would count as one of three allowable treatment failures in the treatment cycle</w:t>
      </w:r>
      <w:r>
        <w:rPr>
          <w:rFonts w:eastAsia="Times New Roman" w:cs="Arial"/>
          <w:bCs/>
          <w:i w:val="0"/>
          <w:snapToGrid w:val="0"/>
          <w:szCs w:val="24"/>
          <w:lang w:val="en-GB"/>
        </w:rPr>
        <w:t xml:space="preserve">. </w:t>
      </w:r>
      <w:r w:rsidR="005E0457" w:rsidRPr="00793CFA">
        <w:rPr>
          <w:i w:val="0"/>
          <w:snapToGrid w:val="0"/>
          <w:lang w:val="en-GB"/>
        </w:rPr>
        <w:t>The PBAC</w:t>
      </w:r>
      <w:r w:rsidR="005568AB" w:rsidRPr="00793CFA">
        <w:rPr>
          <w:i w:val="0"/>
          <w:snapToGrid w:val="0"/>
          <w:lang w:val="en-GB"/>
        </w:rPr>
        <w:t xml:space="preserve"> </w:t>
      </w:r>
      <w:r w:rsidR="005E0457" w:rsidRPr="00793CFA">
        <w:rPr>
          <w:i w:val="0"/>
          <w:snapToGrid w:val="0"/>
          <w:lang w:val="en-GB"/>
        </w:rPr>
        <w:t xml:space="preserve">noted no evidence was presented in the </w:t>
      </w:r>
      <w:r w:rsidR="00CE27AF" w:rsidRPr="00793CFA">
        <w:rPr>
          <w:i w:val="0"/>
          <w:snapToGrid w:val="0"/>
          <w:lang w:val="en-GB"/>
        </w:rPr>
        <w:t>re</w:t>
      </w:r>
      <w:r w:rsidR="005E0457" w:rsidRPr="00793CFA">
        <w:rPr>
          <w:i w:val="0"/>
          <w:snapToGrid w:val="0"/>
          <w:lang w:val="en-GB"/>
        </w:rPr>
        <w:t xml:space="preserve">submission to support </w:t>
      </w:r>
      <w:r w:rsidR="00CE27AF" w:rsidRPr="00793CFA">
        <w:rPr>
          <w:i w:val="0"/>
          <w:snapToGrid w:val="0"/>
          <w:lang w:val="en-GB"/>
        </w:rPr>
        <w:t xml:space="preserve">the </w:t>
      </w:r>
      <w:r w:rsidR="005E0457" w:rsidRPr="00793CFA">
        <w:rPr>
          <w:i w:val="0"/>
          <w:snapToGrid w:val="0"/>
          <w:lang w:val="en-GB"/>
        </w:rPr>
        <w:t xml:space="preserve">claim that patients who do not respond to </w:t>
      </w:r>
      <w:r w:rsidR="00CE27AF" w:rsidRPr="00793CFA">
        <w:rPr>
          <w:i w:val="0"/>
          <w:snapToGrid w:val="0"/>
          <w:lang w:val="en-GB"/>
        </w:rPr>
        <w:t xml:space="preserve">CZP 200 mg </w:t>
      </w:r>
      <w:r w:rsidR="005E0457" w:rsidRPr="00793CFA">
        <w:rPr>
          <w:i w:val="0"/>
          <w:snapToGrid w:val="0"/>
          <w:lang w:val="en-GB"/>
        </w:rPr>
        <w:t xml:space="preserve">will respond to </w:t>
      </w:r>
      <w:r w:rsidR="00CE27AF" w:rsidRPr="00793CFA">
        <w:rPr>
          <w:i w:val="0"/>
          <w:snapToGrid w:val="0"/>
          <w:lang w:val="en-GB"/>
        </w:rPr>
        <w:t>CZP 400 mg</w:t>
      </w:r>
      <w:r w:rsidR="005E0457" w:rsidRPr="00793CFA">
        <w:rPr>
          <w:i w:val="0"/>
          <w:snapToGrid w:val="0"/>
          <w:lang w:val="en-GB"/>
        </w:rPr>
        <w:t>.</w:t>
      </w:r>
      <w:r w:rsidR="005568AB" w:rsidRPr="00793CFA">
        <w:rPr>
          <w:i w:val="0"/>
          <w:snapToGrid w:val="0"/>
          <w:lang w:val="en-GB"/>
        </w:rPr>
        <w:t xml:space="preserve"> </w:t>
      </w:r>
      <w:r w:rsidR="00246623">
        <w:rPr>
          <w:i w:val="0"/>
          <w:snapToGrid w:val="0"/>
          <w:lang w:val="en-GB"/>
        </w:rPr>
        <w:t xml:space="preserve">The PBAC considered this supported its </w:t>
      </w:r>
      <w:r w:rsidR="004F197D">
        <w:rPr>
          <w:i w:val="0"/>
          <w:snapToGrid w:val="0"/>
          <w:lang w:val="en-GB"/>
        </w:rPr>
        <w:t xml:space="preserve">previous consideration </w:t>
      </w:r>
      <w:r w:rsidR="00246623">
        <w:rPr>
          <w:i w:val="0"/>
          <w:snapToGrid w:val="0"/>
          <w:lang w:val="en-GB"/>
        </w:rPr>
        <w:t>that a majority of patients would be treated with CZP 400 mg to provide the best chance of achieving an adequate response</w:t>
      </w:r>
      <w:r w:rsidR="004F197D">
        <w:rPr>
          <w:i w:val="0"/>
          <w:snapToGrid w:val="0"/>
          <w:lang w:val="en-GB"/>
        </w:rPr>
        <w:t xml:space="preserve"> (paragraph 7.6, CZP PSD, March 2019 PBAC meeting)</w:t>
      </w:r>
      <w:r w:rsidR="00246623">
        <w:rPr>
          <w:i w:val="0"/>
          <w:snapToGrid w:val="0"/>
          <w:lang w:val="en-GB"/>
        </w:rPr>
        <w:t xml:space="preserve">. </w:t>
      </w:r>
    </w:p>
    <w:p w:rsidR="002F39FD" w:rsidRPr="00793CFA" w:rsidRDefault="002F39FD" w:rsidP="002F39FD">
      <w:pPr>
        <w:pStyle w:val="Bodytextitalics"/>
        <w:rPr>
          <w:rFonts w:eastAsia="Times New Roman" w:cs="Arial"/>
          <w:bCs/>
          <w:i w:val="0"/>
          <w:snapToGrid w:val="0"/>
          <w:szCs w:val="24"/>
          <w:lang w:val="en-GB"/>
        </w:rPr>
      </w:pPr>
      <w:r>
        <w:rPr>
          <w:i w:val="0"/>
          <w:snapToGrid w:val="0"/>
          <w:lang w:val="en-GB"/>
        </w:rPr>
        <w:t xml:space="preserve">While the submission argued only two specific populations were likely to be treated with CZP 400 mg, </w:t>
      </w:r>
      <w:r>
        <w:rPr>
          <w:rFonts w:eastAsia="Times New Roman" w:cs="Arial"/>
          <w:bCs/>
          <w:i w:val="0"/>
          <w:snapToGrid w:val="0"/>
          <w:szCs w:val="24"/>
          <w:lang w:val="en-GB"/>
        </w:rPr>
        <w:t xml:space="preserve">the PBAC considered </w:t>
      </w:r>
      <w:r w:rsidR="00EB0767">
        <w:rPr>
          <w:rFonts w:eastAsia="Times New Roman" w:cs="Arial"/>
          <w:bCs/>
          <w:i w:val="0"/>
          <w:snapToGrid w:val="0"/>
          <w:szCs w:val="24"/>
          <w:lang w:val="en-GB"/>
        </w:rPr>
        <w:t xml:space="preserve">it was likely to be used more broadly as </w:t>
      </w:r>
      <w:r w:rsidRPr="0050152E">
        <w:rPr>
          <w:rFonts w:eastAsia="Times New Roman" w:cs="Arial"/>
          <w:bCs/>
          <w:i w:val="0"/>
          <w:snapToGrid w:val="0"/>
          <w:szCs w:val="24"/>
          <w:lang w:val="en-GB"/>
        </w:rPr>
        <w:t xml:space="preserve">clinicians would choose the regimen with the </w:t>
      </w:r>
      <w:r>
        <w:rPr>
          <w:rFonts w:eastAsia="Times New Roman" w:cs="Arial"/>
          <w:bCs/>
          <w:i w:val="0"/>
          <w:snapToGrid w:val="0"/>
          <w:szCs w:val="24"/>
          <w:lang w:val="en-GB"/>
        </w:rPr>
        <w:t>best</w:t>
      </w:r>
      <w:r w:rsidRPr="0050152E">
        <w:rPr>
          <w:rFonts w:eastAsia="Times New Roman" w:cs="Arial"/>
          <w:bCs/>
          <w:i w:val="0"/>
          <w:snapToGrid w:val="0"/>
          <w:szCs w:val="24"/>
          <w:lang w:val="en-GB"/>
        </w:rPr>
        <w:t xml:space="preserve"> chance of achiev</w:t>
      </w:r>
      <w:r>
        <w:rPr>
          <w:rFonts w:eastAsia="Times New Roman" w:cs="Arial"/>
          <w:bCs/>
          <w:i w:val="0"/>
          <w:snapToGrid w:val="0"/>
          <w:szCs w:val="24"/>
          <w:lang w:val="en-GB"/>
        </w:rPr>
        <w:t>ing an adequate response</w:t>
      </w:r>
      <w:r w:rsidRPr="0050152E">
        <w:rPr>
          <w:rFonts w:eastAsia="Times New Roman" w:cs="Arial"/>
          <w:bCs/>
          <w:i w:val="0"/>
          <w:snapToGrid w:val="0"/>
          <w:szCs w:val="24"/>
          <w:lang w:val="en-GB"/>
        </w:rPr>
        <w:t xml:space="preserve"> </w:t>
      </w:r>
      <w:r>
        <w:rPr>
          <w:rFonts w:eastAsia="Times New Roman" w:cs="Arial"/>
          <w:bCs/>
          <w:i w:val="0"/>
          <w:snapToGrid w:val="0"/>
          <w:szCs w:val="24"/>
          <w:lang w:val="en-GB"/>
        </w:rPr>
        <w:t xml:space="preserve">for the majority of patients. </w:t>
      </w:r>
      <w:r w:rsidRPr="00793CFA">
        <w:rPr>
          <w:rFonts w:eastAsia="Times New Roman" w:cs="Arial"/>
          <w:bCs/>
          <w:i w:val="0"/>
          <w:snapToGrid w:val="0"/>
          <w:szCs w:val="24"/>
          <w:lang w:val="en-GB"/>
        </w:rPr>
        <w:t xml:space="preserve">The PBAC recalled CZP 400 mg </w:t>
      </w:r>
      <w:r>
        <w:rPr>
          <w:rFonts w:eastAsia="Times New Roman" w:cs="Arial"/>
          <w:bCs/>
          <w:i w:val="0"/>
          <w:snapToGrid w:val="0"/>
          <w:szCs w:val="24"/>
          <w:lang w:val="en-GB"/>
        </w:rPr>
        <w:t xml:space="preserve">consistently had better response rates compared to CZP 200 mg, UST and ADA (Table 5, CZP PSD, March 2019 PBAC meeting) and therefore considered the majority of patients were likely to receive CZP 400 mg. </w:t>
      </w:r>
    </w:p>
    <w:p w:rsidR="004366BD" w:rsidRPr="00535BDE" w:rsidRDefault="00E317EB" w:rsidP="00E317EB">
      <w:pPr>
        <w:pStyle w:val="Bodytextitalics"/>
        <w:rPr>
          <w:snapToGrid w:val="0"/>
          <w:lang w:val="en-GB"/>
        </w:rPr>
      </w:pPr>
      <w:r>
        <w:rPr>
          <w:i w:val="0"/>
          <w:snapToGrid w:val="0"/>
          <w:lang w:val="en-GB"/>
        </w:rPr>
        <w:t xml:space="preserve">The PBAC </w:t>
      </w:r>
      <w:r w:rsidR="00C702A6">
        <w:rPr>
          <w:i w:val="0"/>
          <w:snapToGrid w:val="0"/>
          <w:lang w:val="en-GB"/>
        </w:rPr>
        <w:t xml:space="preserve">noted </w:t>
      </w:r>
      <w:r>
        <w:rPr>
          <w:i w:val="0"/>
          <w:snapToGrid w:val="0"/>
          <w:lang w:val="en-GB"/>
        </w:rPr>
        <w:t xml:space="preserve">the financial estimates provided in the resubmission were </w:t>
      </w:r>
      <w:r w:rsidR="00C702A6">
        <w:rPr>
          <w:i w:val="0"/>
          <w:snapToGrid w:val="0"/>
          <w:lang w:val="en-GB"/>
        </w:rPr>
        <w:t xml:space="preserve">based on the </w:t>
      </w:r>
      <w:r>
        <w:rPr>
          <w:i w:val="0"/>
          <w:snapToGrid w:val="0"/>
          <w:lang w:val="en-GB"/>
        </w:rPr>
        <w:t xml:space="preserve">published prices </w:t>
      </w:r>
      <w:r w:rsidR="00C702A6">
        <w:rPr>
          <w:i w:val="0"/>
          <w:snapToGrid w:val="0"/>
          <w:lang w:val="en-GB"/>
        </w:rPr>
        <w:t>of the alternative biologics</w:t>
      </w:r>
      <w:r>
        <w:rPr>
          <w:i w:val="0"/>
          <w:snapToGrid w:val="0"/>
          <w:lang w:val="en-GB"/>
        </w:rPr>
        <w:t xml:space="preserve">. </w:t>
      </w:r>
      <w:r w:rsidRPr="00E317EB">
        <w:rPr>
          <w:i w:val="0"/>
          <w:snapToGrid w:val="0"/>
          <w:lang w:val="en-GB"/>
        </w:rPr>
        <w:t xml:space="preserve">The PBAC </w:t>
      </w:r>
      <w:r w:rsidR="00F548F7">
        <w:rPr>
          <w:i w:val="0"/>
          <w:snapToGrid w:val="0"/>
          <w:lang w:val="en-GB"/>
        </w:rPr>
        <w:t xml:space="preserve">considered </w:t>
      </w:r>
      <w:r w:rsidRPr="00E317EB">
        <w:rPr>
          <w:i w:val="0"/>
          <w:snapToGrid w:val="0"/>
          <w:lang w:val="en-GB"/>
        </w:rPr>
        <w:t>that if CZP (at a dose of 400 mg every 2 weeks) was listed on the PBS on the basis of cost-minimisation to the lowest cost alternative</w:t>
      </w:r>
      <w:r w:rsidR="00D82110">
        <w:rPr>
          <w:i w:val="0"/>
          <w:snapToGrid w:val="0"/>
          <w:lang w:val="en-GB"/>
        </w:rPr>
        <w:t xml:space="preserve"> </w:t>
      </w:r>
      <w:r w:rsidR="00246623">
        <w:rPr>
          <w:i w:val="0"/>
          <w:snapToGrid w:val="0"/>
          <w:lang w:val="en-GB"/>
        </w:rPr>
        <w:t xml:space="preserve">biologic </w:t>
      </w:r>
      <w:r w:rsidR="00F548F7">
        <w:rPr>
          <w:i w:val="0"/>
          <w:snapToGrid w:val="0"/>
          <w:lang w:val="en-GB"/>
        </w:rPr>
        <w:t>the listing would be cost-neutral to the PBS</w:t>
      </w:r>
      <w:r w:rsidRPr="00E317EB">
        <w:rPr>
          <w:i w:val="0"/>
          <w:snapToGrid w:val="0"/>
          <w:lang w:val="en-GB"/>
        </w:rPr>
        <w:t>.</w:t>
      </w:r>
    </w:p>
    <w:p w:rsidR="005D567A" w:rsidRPr="00C40418" w:rsidRDefault="005D567A" w:rsidP="00C40418">
      <w:pPr>
        <w:pStyle w:val="Bodytextitalics"/>
        <w:rPr>
          <w:i w:val="0"/>
          <w:snapToGrid w:val="0"/>
          <w:lang w:val="en-GB"/>
        </w:rPr>
      </w:pPr>
      <w:r w:rsidRPr="00535BDE">
        <w:rPr>
          <w:i w:val="0"/>
          <w:snapToGrid w:val="0"/>
          <w:lang w:val="en-GB"/>
        </w:rPr>
        <w:t xml:space="preserve">The PBAC noted the Sponsor proposed separate listings for CZP 200 mg and CZP </w:t>
      </w:r>
      <w:r w:rsidR="006A2022" w:rsidRPr="00535BDE">
        <w:rPr>
          <w:i w:val="0"/>
          <w:snapToGrid w:val="0"/>
          <w:lang w:val="en-GB"/>
        </w:rPr>
        <w:t>400</w:t>
      </w:r>
      <w:r w:rsidR="006A2022">
        <w:rPr>
          <w:i w:val="0"/>
          <w:snapToGrid w:val="0"/>
          <w:lang w:val="en-GB"/>
        </w:rPr>
        <w:t> </w:t>
      </w:r>
      <w:r w:rsidRPr="00535BDE">
        <w:rPr>
          <w:i w:val="0"/>
          <w:snapToGrid w:val="0"/>
          <w:lang w:val="en-GB"/>
        </w:rPr>
        <w:t xml:space="preserve">mg with the </w:t>
      </w:r>
      <w:r w:rsidR="00535BDE">
        <w:rPr>
          <w:i w:val="0"/>
          <w:snapToGrid w:val="0"/>
          <w:lang w:val="en-GB"/>
        </w:rPr>
        <w:t xml:space="preserve">requested </w:t>
      </w:r>
      <w:r w:rsidRPr="00535BDE">
        <w:rPr>
          <w:i w:val="0"/>
          <w:snapToGrid w:val="0"/>
          <w:lang w:val="en-GB"/>
        </w:rPr>
        <w:t xml:space="preserve">price </w:t>
      </w:r>
      <w:r w:rsidR="00535BDE">
        <w:rPr>
          <w:i w:val="0"/>
          <w:snapToGrid w:val="0"/>
          <w:lang w:val="en-GB"/>
        </w:rPr>
        <w:t>for</w:t>
      </w:r>
      <w:r w:rsidRPr="00535BDE">
        <w:rPr>
          <w:i w:val="0"/>
          <w:snapToGrid w:val="0"/>
          <w:lang w:val="en-GB"/>
        </w:rPr>
        <w:t xml:space="preserve"> CZP 200 mg the same as</w:t>
      </w:r>
      <w:r w:rsidR="00535BDE">
        <w:rPr>
          <w:i w:val="0"/>
          <w:snapToGrid w:val="0"/>
          <w:lang w:val="en-GB"/>
        </w:rPr>
        <w:t xml:space="preserve"> the current </w:t>
      </w:r>
      <w:r w:rsidR="006652D1">
        <w:rPr>
          <w:i w:val="0"/>
          <w:snapToGrid w:val="0"/>
          <w:lang w:val="en-GB"/>
        </w:rPr>
        <w:t xml:space="preserve">listed </w:t>
      </w:r>
      <w:r w:rsidR="00535BDE">
        <w:rPr>
          <w:i w:val="0"/>
          <w:snapToGrid w:val="0"/>
          <w:lang w:val="en-GB"/>
        </w:rPr>
        <w:t>price</w:t>
      </w:r>
      <w:r w:rsidR="006652D1">
        <w:rPr>
          <w:i w:val="0"/>
          <w:snapToGrid w:val="0"/>
          <w:lang w:val="en-GB"/>
        </w:rPr>
        <w:t xml:space="preserve"> of CZP 200 mg</w:t>
      </w:r>
      <w:r w:rsidR="00535BDE">
        <w:rPr>
          <w:i w:val="0"/>
          <w:snapToGrid w:val="0"/>
          <w:lang w:val="en-GB"/>
        </w:rPr>
        <w:t>. The</w:t>
      </w:r>
      <w:r w:rsidRPr="00535BDE">
        <w:rPr>
          <w:i w:val="0"/>
          <w:snapToGrid w:val="0"/>
          <w:lang w:val="en-GB"/>
        </w:rPr>
        <w:t xml:space="preserve"> </w:t>
      </w:r>
      <w:r w:rsidR="00535BDE">
        <w:rPr>
          <w:i w:val="0"/>
          <w:snapToGrid w:val="0"/>
          <w:lang w:val="en-GB"/>
        </w:rPr>
        <w:t xml:space="preserve">Sponsor </w:t>
      </w:r>
      <w:r w:rsidRPr="00535BDE">
        <w:rPr>
          <w:i w:val="0"/>
          <w:snapToGrid w:val="0"/>
          <w:lang w:val="en-GB"/>
        </w:rPr>
        <w:t xml:space="preserve">proposed </w:t>
      </w:r>
      <w:r w:rsidR="002F39FD">
        <w:rPr>
          <w:i w:val="0"/>
          <w:snapToGrid w:val="0"/>
          <w:lang w:val="en-GB"/>
        </w:rPr>
        <w:t xml:space="preserve">providing </w:t>
      </w:r>
      <w:r w:rsidR="00163C49">
        <w:rPr>
          <w:i w:val="0"/>
          <w:snapToGrid w:val="0"/>
          <w:lang w:val="en-GB"/>
        </w:rPr>
        <w:t xml:space="preserve">rebates via </w:t>
      </w:r>
      <w:r w:rsidRPr="00535BDE">
        <w:rPr>
          <w:i w:val="0"/>
          <w:snapToGrid w:val="0"/>
          <w:lang w:val="en-GB"/>
        </w:rPr>
        <w:t>a</w:t>
      </w:r>
      <w:r w:rsidR="00411978">
        <w:rPr>
          <w:i w:val="0"/>
          <w:snapToGrid w:val="0"/>
          <w:lang w:val="en-GB"/>
        </w:rPr>
        <w:t xml:space="preserve"> special pricing arrangement</w:t>
      </w:r>
      <w:r w:rsidRPr="00535BDE">
        <w:rPr>
          <w:i w:val="0"/>
          <w:snapToGrid w:val="0"/>
          <w:lang w:val="en-GB"/>
        </w:rPr>
        <w:t xml:space="preserve"> </w:t>
      </w:r>
      <w:r w:rsidR="005F434C">
        <w:rPr>
          <w:i w:val="0"/>
          <w:snapToGrid w:val="0"/>
          <w:lang w:val="en-GB"/>
        </w:rPr>
        <w:t xml:space="preserve">for use of the 400 mg dose, </w:t>
      </w:r>
      <w:r w:rsidR="00B755FC">
        <w:rPr>
          <w:i w:val="0"/>
          <w:snapToGrid w:val="0"/>
          <w:lang w:val="en-GB"/>
        </w:rPr>
        <w:t xml:space="preserve">with the intent </w:t>
      </w:r>
      <w:r w:rsidR="00A31BDE">
        <w:rPr>
          <w:i w:val="0"/>
          <w:snapToGrid w:val="0"/>
          <w:lang w:val="en-GB"/>
        </w:rPr>
        <w:t>that patients being treated with CZP 400 mg</w:t>
      </w:r>
      <w:r w:rsidR="00163C49">
        <w:rPr>
          <w:i w:val="0"/>
          <w:snapToGrid w:val="0"/>
          <w:lang w:val="en-GB"/>
        </w:rPr>
        <w:t xml:space="preserve"> </w:t>
      </w:r>
      <w:r w:rsidR="00A31BDE">
        <w:rPr>
          <w:i w:val="0"/>
          <w:snapToGrid w:val="0"/>
          <w:lang w:val="en-GB"/>
        </w:rPr>
        <w:t xml:space="preserve">would cost no more than patients being treated with </w:t>
      </w:r>
      <w:r w:rsidR="00163C49">
        <w:rPr>
          <w:i w:val="0"/>
          <w:snapToGrid w:val="0"/>
          <w:lang w:val="en-GB"/>
        </w:rPr>
        <w:t xml:space="preserve">CZP 200 mg. </w:t>
      </w:r>
      <w:r w:rsidR="000547F0">
        <w:rPr>
          <w:i w:val="0"/>
          <w:snapToGrid w:val="0"/>
          <w:lang w:val="en-GB"/>
        </w:rPr>
        <w:t xml:space="preserve">Given its view that the majority of patients were likely to receive CZP 400 mg, the PBAC </w:t>
      </w:r>
      <w:r w:rsidR="000547F0">
        <w:rPr>
          <w:i w:val="0"/>
          <w:snapToGrid w:val="0"/>
          <w:lang w:val="en-GB"/>
        </w:rPr>
        <w:lastRenderedPageBreak/>
        <w:t xml:space="preserve">considered </w:t>
      </w:r>
      <w:r w:rsidR="00D61CC4">
        <w:rPr>
          <w:i w:val="0"/>
          <w:snapToGrid w:val="0"/>
          <w:lang w:val="en-GB"/>
        </w:rPr>
        <w:t>the submission’s proposal for pricing</w:t>
      </w:r>
      <w:r w:rsidR="00677FB1">
        <w:rPr>
          <w:i w:val="0"/>
          <w:snapToGrid w:val="0"/>
          <w:lang w:val="en-GB"/>
        </w:rPr>
        <w:t xml:space="preserve"> of CZP</w:t>
      </w:r>
      <w:r w:rsidR="00D61CC4">
        <w:rPr>
          <w:i w:val="0"/>
          <w:snapToGrid w:val="0"/>
          <w:lang w:val="en-GB"/>
        </w:rPr>
        <w:t xml:space="preserve"> to be based on the 200 mg dosing regimen to be inappropriate.</w:t>
      </w:r>
      <w:r w:rsidR="00EB6653">
        <w:rPr>
          <w:i w:val="0"/>
          <w:snapToGrid w:val="0"/>
          <w:lang w:val="en-GB"/>
        </w:rPr>
        <w:t xml:space="preserve"> </w:t>
      </w:r>
    </w:p>
    <w:p w:rsidR="005D567A" w:rsidRPr="0022261B" w:rsidRDefault="005D567A" w:rsidP="002F39FD">
      <w:pPr>
        <w:pStyle w:val="Bodytextitalics"/>
        <w:rPr>
          <w:snapToGrid w:val="0"/>
          <w:lang w:val="en-GB"/>
        </w:rPr>
      </w:pPr>
      <w:r w:rsidRPr="002F39FD">
        <w:rPr>
          <w:i w:val="0"/>
          <w:snapToGrid w:val="0"/>
          <w:lang w:val="en-GB"/>
        </w:rPr>
        <w:t xml:space="preserve">The PBAC noted </w:t>
      </w:r>
      <w:r w:rsidR="00246623" w:rsidRPr="002F39FD">
        <w:rPr>
          <w:i w:val="0"/>
          <w:snapToGrid w:val="0"/>
          <w:lang w:val="en-GB"/>
        </w:rPr>
        <w:t xml:space="preserve">the </w:t>
      </w:r>
      <w:r w:rsidRPr="002F39FD">
        <w:rPr>
          <w:i w:val="0"/>
          <w:snapToGrid w:val="0"/>
          <w:lang w:val="en-GB"/>
        </w:rPr>
        <w:t>dos</w:t>
      </w:r>
      <w:r w:rsidR="00246623" w:rsidRPr="002F39FD">
        <w:rPr>
          <w:i w:val="0"/>
          <w:snapToGrid w:val="0"/>
          <w:lang w:val="en-GB"/>
        </w:rPr>
        <w:t xml:space="preserve">e for CZP in the approved product information was different to that proposed by the TGA Delegate and recommended by the ACM at the time of its previous consideration of CZP </w:t>
      </w:r>
      <w:r w:rsidRPr="002F39FD">
        <w:rPr>
          <w:i w:val="0"/>
          <w:snapToGrid w:val="0"/>
          <w:lang w:val="en-GB"/>
        </w:rPr>
        <w:t>(paragraph 3.2)</w:t>
      </w:r>
      <w:r w:rsidR="00246623" w:rsidRPr="002F39FD">
        <w:rPr>
          <w:i w:val="0"/>
          <w:snapToGrid w:val="0"/>
          <w:lang w:val="en-GB"/>
        </w:rPr>
        <w:t xml:space="preserve">. </w:t>
      </w:r>
      <w:r w:rsidR="002F39FD" w:rsidRPr="002F39FD">
        <w:rPr>
          <w:i w:val="0"/>
          <w:snapToGrid w:val="0"/>
          <w:lang w:val="en-GB"/>
        </w:rPr>
        <w:t xml:space="preserve">Based on the approved dose regimen and its previous </w:t>
      </w:r>
      <w:r w:rsidR="002F39FD">
        <w:rPr>
          <w:i w:val="0"/>
          <w:snapToGrid w:val="0"/>
          <w:lang w:val="en-GB"/>
        </w:rPr>
        <w:t xml:space="preserve">acceptance that </w:t>
      </w:r>
      <w:r w:rsidR="002F39FD" w:rsidRPr="002F39FD">
        <w:rPr>
          <w:i w:val="0"/>
          <w:snapToGrid w:val="0"/>
          <w:lang w:val="en-GB"/>
        </w:rPr>
        <w:t xml:space="preserve">CZP 200 mg and CZP 400 mg </w:t>
      </w:r>
      <w:r w:rsidR="002F39FD">
        <w:rPr>
          <w:i w:val="0"/>
          <w:snapToGrid w:val="0"/>
          <w:lang w:val="en-GB"/>
        </w:rPr>
        <w:t xml:space="preserve">were non-inferior to </w:t>
      </w:r>
      <w:r w:rsidR="002F39FD" w:rsidRPr="002F39FD">
        <w:rPr>
          <w:i w:val="0"/>
          <w:snapToGrid w:val="0"/>
          <w:lang w:val="en-GB"/>
        </w:rPr>
        <w:t>UST and ADA</w:t>
      </w:r>
      <w:r w:rsidR="002F39FD">
        <w:rPr>
          <w:i w:val="0"/>
          <w:snapToGrid w:val="0"/>
          <w:lang w:val="en-GB"/>
        </w:rPr>
        <w:t xml:space="preserve"> (paragraph 5.5)</w:t>
      </w:r>
      <w:r w:rsidR="002F39FD" w:rsidRPr="002F39FD">
        <w:rPr>
          <w:i w:val="0"/>
          <w:snapToGrid w:val="0"/>
          <w:lang w:val="en-GB"/>
        </w:rPr>
        <w:t xml:space="preserve">, </w:t>
      </w:r>
      <w:r w:rsidR="002F39FD">
        <w:rPr>
          <w:i w:val="0"/>
          <w:snapToGrid w:val="0"/>
          <w:lang w:val="en-GB"/>
        </w:rPr>
        <w:t>t</w:t>
      </w:r>
      <w:r w:rsidR="00246623" w:rsidRPr="002F39FD">
        <w:rPr>
          <w:i w:val="0"/>
          <w:snapToGrid w:val="0"/>
          <w:lang w:val="en-GB"/>
        </w:rPr>
        <w:t xml:space="preserve">he PBAC </w:t>
      </w:r>
      <w:r w:rsidRPr="002F39FD">
        <w:rPr>
          <w:i w:val="0"/>
          <w:snapToGrid w:val="0"/>
          <w:lang w:val="en-GB"/>
        </w:rPr>
        <w:t xml:space="preserve">considered it may </w:t>
      </w:r>
      <w:r w:rsidR="00246623" w:rsidRPr="002F39FD">
        <w:rPr>
          <w:i w:val="0"/>
          <w:snapToGrid w:val="0"/>
          <w:lang w:val="en-GB"/>
        </w:rPr>
        <w:t xml:space="preserve">be </w:t>
      </w:r>
      <w:r w:rsidRPr="002F39FD">
        <w:rPr>
          <w:i w:val="0"/>
          <w:snapToGrid w:val="0"/>
          <w:lang w:val="en-GB"/>
        </w:rPr>
        <w:t xml:space="preserve">reasonable for the </w:t>
      </w:r>
      <w:proofErr w:type="spellStart"/>
      <w:r w:rsidRPr="002F39FD">
        <w:rPr>
          <w:i w:val="0"/>
          <w:snapToGrid w:val="0"/>
          <w:lang w:val="en-GB"/>
        </w:rPr>
        <w:t>equi</w:t>
      </w:r>
      <w:proofErr w:type="spellEnd"/>
      <w:r w:rsidRPr="002F39FD">
        <w:rPr>
          <w:i w:val="0"/>
          <w:snapToGrid w:val="0"/>
          <w:lang w:val="en-GB"/>
        </w:rPr>
        <w:t>-effective dose</w:t>
      </w:r>
      <w:r w:rsidR="00246623" w:rsidRPr="002F39FD">
        <w:rPr>
          <w:i w:val="0"/>
          <w:snapToGrid w:val="0"/>
          <w:lang w:val="en-GB"/>
        </w:rPr>
        <w:t xml:space="preserve"> of CZP for the purpose of a cost minimisation analysis against the </w:t>
      </w:r>
      <w:r w:rsidR="00246623" w:rsidRPr="002F39FD">
        <w:rPr>
          <w:rFonts w:cstheme="minorHAnsi"/>
          <w:bCs/>
          <w:i w:val="0"/>
          <w:snapToGrid w:val="0"/>
          <w:lang w:val="en-GB"/>
        </w:rPr>
        <w:t>least costly alternative biologic</w:t>
      </w:r>
      <w:r w:rsidR="00246623" w:rsidRPr="002F39FD">
        <w:rPr>
          <w:rFonts w:cs="Arial"/>
          <w:bCs/>
          <w:i w:val="0"/>
          <w:snapToGrid w:val="0"/>
          <w:lang w:val="en-GB"/>
        </w:rPr>
        <w:t xml:space="preserve"> </w:t>
      </w:r>
      <w:r w:rsidRPr="002F39FD">
        <w:rPr>
          <w:i w:val="0"/>
          <w:snapToGrid w:val="0"/>
          <w:lang w:val="en-GB"/>
        </w:rPr>
        <w:t>to be</w:t>
      </w:r>
      <w:r w:rsidR="006652D1">
        <w:rPr>
          <w:i w:val="0"/>
          <w:snapToGrid w:val="0"/>
          <w:lang w:val="en-GB"/>
        </w:rPr>
        <w:t xml:space="preserve"> based on a split between</w:t>
      </w:r>
      <w:r w:rsidRPr="002F39FD">
        <w:rPr>
          <w:i w:val="0"/>
          <w:snapToGrid w:val="0"/>
          <w:lang w:val="en-GB"/>
        </w:rPr>
        <w:t xml:space="preserve"> 200 mg or 400 mg </w:t>
      </w:r>
      <w:r w:rsidR="002708E4">
        <w:rPr>
          <w:i w:val="0"/>
          <w:snapToGrid w:val="0"/>
          <w:lang w:val="en-GB"/>
        </w:rPr>
        <w:t xml:space="preserve">(with 400 mg being the majority of use) </w:t>
      </w:r>
      <w:r w:rsidRPr="002F39FD">
        <w:rPr>
          <w:i w:val="0"/>
          <w:snapToGrid w:val="0"/>
          <w:lang w:val="en-GB"/>
        </w:rPr>
        <w:t xml:space="preserve">every 2 weeks. However, </w:t>
      </w:r>
      <w:r w:rsidR="006652D1">
        <w:rPr>
          <w:i w:val="0"/>
          <w:snapToGrid w:val="0"/>
          <w:lang w:val="en-GB"/>
        </w:rPr>
        <w:t xml:space="preserve">in the absence of reliable estimates of this split (noting the submission’s </w:t>
      </w:r>
      <w:r w:rsidR="002708E4">
        <w:rPr>
          <w:i w:val="0"/>
          <w:snapToGrid w:val="0"/>
          <w:lang w:val="en-GB"/>
        </w:rPr>
        <w:t xml:space="preserve">significant </w:t>
      </w:r>
      <w:r w:rsidR="006652D1">
        <w:rPr>
          <w:i w:val="0"/>
          <w:snapToGrid w:val="0"/>
          <w:lang w:val="en-GB"/>
        </w:rPr>
        <w:t xml:space="preserve">underestimation of 400 mg use), </w:t>
      </w:r>
      <w:r w:rsidRPr="002F39FD">
        <w:rPr>
          <w:i w:val="0"/>
          <w:snapToGrid w:val="0"/>
          <w:lang w:val="en-GB"/>
        </w:rPr>
        <w:t xml:space="preserve">the PBAC </w:t>
      </w:r>
      <w:r w:rsidR="002708E4">
        <w:rPr>
          <w:i w:val="0"/>
          <w:snapToGrid w:val="0"/>
          <w:lang w:val="en-GB"/>
        </w:rPr>
        <w:t>was</w:t>
      </w:r>
      <w:r w:rsidR="006652D1">
        <w:rPr>
          <w:i w:val="0"/>
          <w:snapToGrid w:val="0"/>
          <w:lang w:val="en-GB"/>
        </w:rPr>
        <w:t xml:space="preserve"> not</w:t>
      </w:r>
      <w:r w:rsidR="002708E4">
        <w:rPr>
          <w:i w:val="0"/>
          <w:snapToGrid w:val="0"/>
          <w:lang w:val="en-GB"/>
        </w:rPr>
        <w:t xml:space="preserve"> minded to</w:t>
      </w:r>
      <w:r w:rsidR="006652D1">
        <w:rPr>
          <w:i w:val="0"/>
          <w:snapToGrid w:val="0"/>
          <w:lang w:val="en-GB"/>
        </w:rPr>
        <w:t xml:space="preserve"> change its March 2019 advice. Further,</w:t>
      </w:r>
      <w:r w:rsidR="00F548F7">
        <w:rPr>
          <w:i w:val="0"/>
          <w:snapToGrid w:val="0"/>
          <w:lang w:val="en-GB"/>
        </w:rPr>
        <w:t xml:space="preserve"> </w:t>
      </w:r>
      <w:r w:rsidR="006652D1">
        <w:rPr>
          <w:i w:val="0"/>
          <w:snapToGrid w:val="0"/>
          <w:lang w:val="en-GB"/>
        </w:rPr>
        <w:t>the PBAC noted that</w:t>
      </w:r>
      <w:r w:rsidRPr="002F39FD">
        <w:rPr>
          <w:i w:val="0"/>
          <w:snapToGrid w:val="0"/>
          <w:lang w:val="en-GB"/>
        </w:rPr>
        <w:t xml:space="preserve"> the implementation </w:t>
      </w:r>
      <w:r w:rsidR="006652D1">
        <w:rPr>
          <w:i w:val="0"/>
          <w:snapToGrid w:val="0"/>
          <w:lang w:val="en-GB"/>
        </w:rPr>
        <w:t>of a</w:t>
      </w:r>
      <w:r w:rsidR="0029054D">
        <w:rPr>
          <w:i w:val="0"/>
          <w:snapToGrid w:val="0"/>
          <w:lang w:val="en-GB"/>
        </w:rPr>
        <w:t xml:space="preserve"> special pricing arrangement</w:t>
      </w:r>
      <w:r w:rsidR="006652D1">
        <w:rPr>
          <w:i w:val="0"/>
          <w:snapToGrid w:val="0"/>
          <w:lang w:val="en-GB"/>
        </w:rPr>
        <w:t xml:space="preserve"> </w:t>
      </w:r>
      <w:r w:rsidR="00E72E70">
        <w:rPr>
          <w:i w:val="0"/>
          <w:snapToGrid w:val="0"/>
          <w:lang w:val="en-GB"/>
        </w:rPr>
        <w:t xml:space="preserve">as </w:t>
      </w:r>
      <w:r w:rsidRPr="002F39FD">
        <w:rPr>
          <w:i w:val="0"/>
          <w:snapToGrid w:val="0"/>
          <w:lang w:val="en-GB"/>
        </w:rPr>
        <w:t xml:space="preserve">proposed in the resubmission </w:t>
      </w:r>
      <w:r w:rsidR="00F548F7">
        <w:rPr>
          <w:i w:val="0"/>
          <w:snapToGrid w:val="0"/>
          <w:lang w:val="en-GB"/>
        </w:rPr>
        <w:t xml:space="preserve">was not </w:t>
      </w:r>
      <w:r w:rsidR="00A17B66">
        <w:rPr>
          <w:i w:val="0"/>
          <w:snapToGrid w:val="0"/>
          <w:lang w:val="en-GB"/>
        </w:rPr>
        <w:t xml:space="preserve">adequately </w:t>
      </w:r>
      <w:r w:rsidR="00F548F7">
        <w:rPr>
          <w:i w:val="0"/>
          <w:snapToGrid w:val="0"/>
          <w:lang w:val="en-GB"/>
        </w:rPr>
        <w:t>substantiated</w:t>
      </w:r>
      <w:r w:rsidRPr="00AE0165">
        <w:rPr>
          <w:i w:val="0"/>
          <w:snapToGrid w:val="0"/>
          <w:lang w:val="en-GB"/>
        </w:rPr>
        <w:t>.</w:t>
      </w:r>
      <w:r>
        <w:rPr>
          <w:snapToGrid w:val="0"/>
          <w:lang w:val="en-GB"/>
        </w:rPr>
        <w:t xml:space="preserve"> </w:t>
      </w:r>
    </w:p>
    <w:p w:rsidR="00CE27AF" w:rsidRPr="00112E92" w:rsidRDefault="00CE27AF" w:rsidP="00CE27AF">
      <w:pPr>
        <w:pStyle w:val="Bodytextitalics"/>
        <w:rPr>
          <w:rFonts w:eastAsia="Times New Roman" w:cs="Arial"/>
          <w:bCs/>
          <w:i w:val="0"/>
          <w:snapToGrid w:val="0"/>
          <w:szCs w:val="24"/>
          <w:lang w:val="en-GB"/>
        </w:rPr>
      </w:pPr>
      <w:r w:rsidRPr="00112E92">
        <w:rPr>
          <w:rFonts w:eastAsia="Times New Roman" w:cs="Arial"/>
          <w:bCs/>
          <w:i w:val="0"/>
          <w:snapToGrid w:val="0"/>
          <w:szCs w:val="24"/>
          <w:lang w:val="en-GB"/>
        </w:rPr>
        <w:t xml:space="preserve">The PBAC reaffirmed its view that the clinical need for an additional treatment with a mechanism of action the same as multiple other listed </w:t>
      </w:r>
      <w:r w:rsidR="00E317EB">
        <w:rPr>
          <w:rFonts w:eastAsia="Times New Roman" w:cs="Arial"/>
          <w:bCs/>
          <w:i w:val="0"/>
          <w:snapToGrid w:val="0"/>
          <w:szCs w:val="24"/>
          <w:lang w:val="en-GB"/>
        </w:rPr>
        <w:t xml:space="preserve">biologics </w:t>
      </w:r>
      <w:r w:rsidRPr="00112E92">
        <w:rPr>
          <w:rFonts w:eastAsia="Times New Roman" w:cs="Arial"/>
          <w:bCs/>
          <w:i w:val="0"/>
          <w:snapToGrid w:val="0"/>
          <w:szCs w:val="24"/>
          <w:lang w:val="en-GB"/>
        </w:rPr>
        <w:t>for CPP was low, but CZP may offer an advantage for patients who are either pregnant or intending to become pregnant</w:t>
      </w:r>
      <w:r>
        <w:rPr>
          <w:rFonts w:eastAsia="Times New Roman" w:cs="Arial"/>
          <w:bCs/>
          <w:i w:val="0"/>
          <w:snapToGrid w:val="0"/>
          <w:szCs w:val="24"/>
          <w:lang w:val="en-GB"/>
        </w:rPr>
        <w:t>.</w:t>
      </w:r>
      <w:r w:rsidR="00E317EB">
        <w:rPr>
          <w:rFonts w:eastAsia="Times New Roman" w:cs="Arial"/>
          <w:bCs/>
          <w:i w:val="0"/>
          <w:snapToGrid w:val="0"/>
          <w:szCs w:val="24"/>
          <w:lang w:val="en-GB"/>
        </w:rPr>
        <w:t xml:space="preserve"> </w:t>
      </w:r>
    </w:p>
    <w:p w:rsidR="007A6DCA" w:rsidRPr="00525B39" w:rsidRDefault="007A6DCA" w:rsidP="007A6DCA">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The PBAC re</w:t>
      </w:r>
      <w:r w:rsidR="00D05D8A">
        <w:rPr>
          <w:rFonts w:asciiTheme="minorHAnsi" w:hAnsiTheme="minorHAnsi" w:cs="Arial"/>
          <w:bCs/>
          <w:snapToGrid w:val="0"/>
          <w:lang w:val="en-GB"/>
        </w:rPr>
        <w:t xml:space="preserve">affirmed its advice from March 2019 relating to interchangeability with alternative </w:t>
      </w:r>
      <w:r w:rsidR="00E317EB">
        <w:rPr>
          <w:rFonts w:asciiTheme="minorHAnsi" w:hAnsiTheme="minorHAnsi" w:cs="Arial"/>
          <w:bCs/>
          <w:snapToGrid w:val="0"/>
          <w:lang w:val="en-GB"/>
        </w:rPr>
        <w:t>biologics</w:t>
      </w:r>
      <w:r w:rsidR="00D05D8A">
        <w:rPr>
          <w:rFonts w:asciiTheme="minorHAnsi" w:hAnsiTheme="minorHAnsi" w:cs="Arial"/>
          <w:bCs/>
          <w:snapToGrid w:val="0"/>
          <w:lang w:val="en-GB"/>
        </w:rPr>
        <w:t xml:space="preserve"> for CPP, nurse practitioner prescribing and the Early Supply Rule remained appropriate.</w:t>
      </w:r>
      <w:r w:rsidRPr="00525B39">
        <w:rPr>
          <w:rFonts w:asciiTheme="minorHAnsi" w:hAnsiTheme="minorHAnsi" w:cs="Arial"/>
          <w:bCs/>
          <w:snapToGrid w:val="0"/>
          <w:lang w:val="en-GB"/>
        </w:rPr>
        <w:t xml:space="preserve"> </w:t>
      </w:r>
      <w:r w:rsidR="00D26380">
        <w:rPr>
          <w:rFonts w:asciiTheme="minorHAnsi" w:hAnsiTheme="minorHAnsi" w:cs="Arial"/>
          <w:bCs/>
          <w:snapToGrid w:val="0"/>
          <w:lang w:val="en-GB"/>
        </w:rPr>
        <w:t xml:space="preserve">The PBAC considered it was reasonable to add </w:t>
      </w:r>
      <w:proofErr w:type="spellStart"/>
      <w:r w:rsidR="00D26380">
        <w:rPr>
          <w:rFonts w:asciiTheme="minorHAnsi" w:hAnsiTheme="minorHAnsi" w:cs="Arial"/>
          <w:bCs/>
          <w:snapToGrid w:val="0"/>
          <w:lang w:val="en-GB"/>
        </w:rPr>
        <w:t>risankizumab</w:t>
      </w:r>
      <w:proofErr w:type="spellEnd"/>
      <w:r w:rsidR="00D26380">
        <w:rPr>
          <w:rFonts w:asciiTheme="minorHAnsi" w:hAnsiTheme="minorHAnsi" w:cs="Arial"/>
          <w:bCs/>
          <w:snapToGrid w:val="0"/>
          <w:lang w:val="en-GB"/>
        </w:rPr>
        <w:t xml:space="preserve"> (recommended for CPP in July 2019) to the list of medicines considered interchangeable with CZP. </w:t>
      </w:r>
    </w:p>
    <w:p w:rsidR="007A6DCA" w:rsidRDefault="007A6DCA" w:rsidP="007A6DCA">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The PBAC noted t</w:t>
      </w:r>
      <w:r w:rsidR="004F28DC">
        <w:rPr>
          <w:rFonts w:asciiTheme="minorHAnsi" w:hAnsiTheme="minorHAnsi" w:cs="Arial"/>
          <w:bCs/>
          <w:snapToGrid w:val="0"/>
          <w:lang w:val="en-GB"/>
        </w:rPr>
        <w:t xml:space="preserve">he flow-on restriction changes identified in the March 2019 recommendation to include </w:t>
      </w:r>
      <w:proofErr w:type="spellStart"/>
      <w:r w:rsidR="004F28DC">
        <w:rPr>
          <w:rFonts w:asciiTheme="minorHAnsi" w:hAnsiTheme="minorHAnsi" w:cs="Arial"/>
          <w:bCs/>
          <w:snapToGrid w:val="0"/>
          <w:lang w:val="en-GB"/>
        </w:rPr>
        <w:t>certolizumab</w:t>
      </w:r>
      <w:proofErr w:type="spellEnd"/>
      <w:r w:rsidR="004F28DC">
        <w:rPr>
          <w:rFonts w:asciiTheme="minorHAnsi" w:hAnsiTheme="minorHAnsi" w:cs="Arial"/>
          <w:bCs/>
          <w:snapToGrid w:val="0"/>
          <w:lang w:val="en-GB"/>
        </w:rPr>
        <w:t xml:space="preserve"> </w:t>
      </w:r>
      <w:proofErr w:type="spellStart"/>
      <w:r w:rsidR="004F28DC">
        <w:rPr>
          <w:rFonts w:asciiTheme="minorHAnsi" w:hAnsiTheme="minorHAnsi" w:cs="Arial"/>
          <w:bCs/>
          <w:snapToGrid w:val="0"/>
          <w:lang w:val="en-GB"/>
        </w:rPr>
        <w:t>pegol</w:t>
      </w:r>
      <w:proofErr w:type="spellEnd"/>
      <w:r w:rsidR="004F28DC">
        <w:rPr>
          <w:rFonts w:asciiTheme="minorHAnsi" w:hAnsiTheme="minorHAnsi" w:cs="Arial"/>
          <w:bCs/>
          <w:snapToGrid w:val="0"/>
          <w:lang w:val="en-GB"/>
        </w:rPr>
        <w:t xml:space="preserve"> to the notes in other listings to include CZP in the list of therapies for CPP remained </w:t>
      </w:r>
      <w:r w:rsidR="00E5669D">
        <w:rPr>
          <w:rFonts w:asciiTheme="minorHAnsi" w:hAnsiTheme="minorHAnsi" w:cs="Arial"/>
          <w:bCs/>
          <w:snapToGrid w:val="0"/>
          <w:lang w:val="en-GB"/>
        </w:rPr>
        <w:t>appropriate</w:t>
      </w:r>
      <w:r w:rsidR="004F28DC">
        <w:rPr>
          <w:rFonts w:asciiTheme="minorHAnsi" w:hAnsiTheme="minorHAnsi" w:cs="Arial"/>
          <w:bCs/>
          <w:snapToGrid w:val="0"/>
          <w:lang w:val="en-GB"/>
        </w:rPr>
        <w:t>.</w:t>
      </w:r>
      <w:r w:rsidR="00E317EB">
        <w:rPr>
          <w:rFonts w:asciiTheme="minorHAnsi" w:hAnsiTheme="minorHAnsi" w:cs="Arial"/>
          <w:bCs/>
          <w:snapToGrid w:val="0"/>
          <w:lang w:val="en-GB"/>
        </w:rPr>
        <w:t xml:space="preserve"> </w:t>
      </w:r>
    </w:p>
    <w:p w:rsidR="00D05D8A" w:rsidRPr="00525B39" w:rsidRDefault="007A6DCA" w:rsidP="00D05D8A">
      <w:pPr>
        <w:widowControl w:val="0"/>
        <w:numPr>
          <w:ilvl w:val="1"/>
          <w:numId w:val="1"/>
        </w:numPr>
        <w:spacing w:after="120"/>
        <w:jc w:val="both"/>
        <w:rPr>
          <w:rFonts w:asciiTheme="minorHAnsi" w:hAnsiTheme="minorHAnsi" w:cs="Arial"/>
          <w:bCs/>
          <w:snapToGrid w:val="0"/>
          <w:u w:val="single"/>
          <w:lang w:val="en-GB"/>
        </w:rPr>
      </w:pPr>
      <w:r w:rsidRPr="00525B39">
        <w:rPr>
          <w:rFonts w:asciiTheme="minorHAnsi" w:hAnsiTheme="minorHAnsi" w:cs="Arial"/>
          <w:bCs/>
          <w:snapToGrid w:val="0"/>
          <w:lang w:val="en-GB"/>
        </w:rPr>
        <w:t>The PBA</w:t>
      </w:r>
      <w:r w:rsidR="004F28DC">
        <w:rPr>
          <w:rFonts w:asciiTheme="minorHAnsi" w:hAnsiTheme="minorHAnsi" w:cs="Arial"/>
          <w:bCs/>
          <w:snapToGrid w:val="0"/>
          <w:lang w:val="en-GB"/>
        </w:rPr>
        <w:t xml:space="preserve">C noted that this submission </w:t>
      </w:r>
      <w:r w:rsidRPr="00525B39">
        <w:rPr>
          <w:rFonts w:asciiTheme="minorHAnsi" w:hAnsiTheme="minorHAnsi" w:cs="Arial"/>
          <w:bCs/>
          <w:snapToGrid w:val="0"/>
          <w:lang w:val="en-GB"/>
        </w:rPr>
        <w:t>is not eligible for an Independent Review</w:t>
      </w:r>
      <w:r w:rsidR="00D05D8A">
        <w:rPr>
          <w:rFonts w:asciiTheme="minorHAnsi" w:hAnsiTheme="minorHAnsi" w:cs="Arial"/>
          <w:bCs/>
          <w:snapToGrid w:val="0"/>
          <w:lang w:val="en-GB"/>
        </w:rPr>
        <w:t xml:space="preserve"> as the resubmission is not for an entirely different disease or condition than the disease or condition for which the medicine is already subsidised/recommended, an objectively different subtype of disease, or targeting a different population or stage of disease.</w:t>
      </w:r>
    </w:p>
    <w:p w:rsidR="007A6DCA" w:rsidRPr="00525B39" w:rsidRDefault="007A6DCA" w:rsidP="007A6DCA">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7A6DCA" w:rsidRPr="00926FDD" w:rsidRDefault="00077CB2" w:rsidP="00926FDD">
      <w:pPr>
        <w:jc w:val="both"/>
        <w:rPr>
          <w:rFonts w:asciiTheme="minorHAnsi" w:hAnsiTheme="minorHAnsi" w:cs="Arial"/>
          <w:bCs/>
          <w:snapToGrid w:val="0"/>
          <w:lang w:val="en-GB"/>
        </w:rPr>
      </w:pPr>
      <w:r>
        <w:rPr>
          <w:rFonts w:asciiTheme="minorHAnsi" w:hAnsiTheme="minorHAnsi" w:cs="Arial"/>
          <w:bCs/>
          <w:snapToGrid w:val="0"/>
          <w:lang w:val="en-GB"/>
        </w:rPr>
        <w:t>Rejected</w:t>
      </w:r>
      <w:r w:rsidR="004C0A1C">
        <w:rPr>
          <w:rFonts w:asciiTheme="minorHAnsi" w:hAnsiTheme="minorHAnsi" w:cs="Arial"/>
          <w:bCs/>
          <w:snapToGrid w:val="0"/>
          <w:lang w:val="en-GB"/>
        </w:rPr>
        <w:t xml:space="preserve"> </w:t>
      </w:r>
    </w:p>
    <w:p w:rsidR="004131AA" w:rsidRPr="004131AA" w:rsidRDefault="004131AA" w:rsidP="004131AA">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4131AA">
        <w:rPr>
          <w:rFonts w:asciiTheme="minorHAnsi" w:hAnsiTheme="minorHAnsi"/>
          <w:sz w:val="32"/>
          <w:szCs w:val="32"/>
        </w:rPr>
        <w:t>Context for Decision</w:t>
      </w:r>
    </w:p>
    <w:p w:rsidR="004131AA" w:rsidRPr="004131AA" w:rsidRDefault="001B03F2" w:rsidP="004131AA">
      <w:pPr>
        <w:spacing w:line="276" w:lineRule="auto"/>
        <w:jc w:val="both"/>
        <w:rPr>
          <w:rFonts w:asciiTheme="minorHAnsi" w:eastAsiaTheme="minorHAnsi" w:hAnsiTheme="minorHAnsi" w:cs="Arial"/>
          <w:szCs w:val="22"/>
          <w:lang w:eastAsia="en-US"/>
        </w:rPr>
      </w:pPr>
      <w:r w:rsidRPr="001B03F2">
        <w:rPr>
          <w:rFonts w:asciiTheme="minorHAnsi" w:eastAsiaTheme="minorHAnsi" w:hAnsiTheme="minorHAnsi" w:cs="Arial"/>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sidRPr="001B03F2">
        <w:rPr>
          <w:rFonts w:asciiTheme="minorHAnsi" w:eastAsiaTheme="minorHAnsi" w:hAnsiTheme="minorHAnsi" w:cs="Arial"/>
          <w:szCs w:val="22"/>
          <w:lang w:eastAsia="en-US"/>
        </w:rPr>
        <w:lastRenderedPageBreak/>
        <w:t>in which it should be made available through the PBS. The PBAC welcomes applications containing new information at any time.</w:t>
      </w:r>
    </w:p>
    <w:p w:rsidR="00C12027" w:rsidRDefault="00C12027" w:rsidP="00E31E9A">
      <w:pPr>
        <w:rPr>
          <w:snapToGrid w:val="0"/>
        </w:rPr>
      </w:pPr>
    </w:p>
    <w:p w:rsidR="004131AA" w:rsidRPr="004131AA" w:rsidRDefault="004131AA" w:rsidP="004131AA">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4131AA">
        <w:rPr>
          <w:rFonts w:asciiTheme="minorHAnsi" w:hAnsiTheme="minorHAnsi"/>
          <w:sz w:val="32"/>
          <w:szCs w:val="32"/>
        </w:rPr>
        <w:t>Sponsor’s Comment</w:t>
      </w:r>
    </w:p>
    <w:p w:rsidR="004131AA" w:rsidRPr="004131AA" w:rsidRDefault="004131AA" w:rsidP="004131AA">
      <w:pPr>
        <w:spacing w:after="120" w:line="276" w:lineRule="auto"/>
        <w:jc w:val="both"/>
        <w:rPr>
          <w:rFonts w:asciiTheme="minorHAnsi" w:eastAsiaTheme="minorHAnsi" w:hAnsiTheme="minorHAnsi" w:cs="Arial"/>
          <w:bCs/>
          <w:lang w:eastAsia="en-US"/>
        </w:rPr>
      </w:pPr>
    </w:p>
    <w:p w:rsidR="004131AA" w:rsidRPr="0042192A" w:rsidRDefault="0042192A" w:rsidP="00E31E9A">
      <w:pPr>
        <w:rPr>
          <w:rFonts w:asciiTheme="minorHAnsi" w:hAnsiTheme="minorHAnsi" w:cstheme="minorHAnsi"/>
          <w:snapToGrid w:val="0"/>
        </w:rPr>
      </w:pPr>
      <w:r w:rsidRPr="0042192A">
        <w:rPr>
          <w:rFonts w:asciiTheme="minorHAnsi" w:hAnsiTheme="minorHAnsi" w:cstheme="minorHAnsi"/>
        </w:rPr>
        <w:t xml:space="preserve">UCB is disappointed with the outcome of the Nov 2019 PBAC meeting and will continue to work with the Department to make </w:t>
      </w:r>
      <w:proofErr w:type="spellStart"/>
      <w:r w:rsidRPr="0042192A">
        <w:rPr>
          <w:rFonts w:asciiTheme="minorHAnsi" w:hAnsiTheme="minorHAnsi" w:cstheme="minorHAnsi"/>
        </w:rPr>
        <w:t>Cimzia</w:t>
      </w:r>
      <w:proofErr w:type="spellEnd"/>
      <w:r w:rsidRPr="0042192A">
        <w:rPr>
          <w:rFonts w:asciiTheme="minorHAnsi" w:hAnsiTheme="minorHAnsi" w:cstheme="minorHAnsi"/>
        </w:rPr>
        <w:t xml:space="preserve"> </w:t>
      </w:r>
      <w:r w:rsidR="001B03F2" w:rsidRPr="0042192A">
        <w:rPr>
          <w:rFonts w:asciiTheme="minorHAnsi" w:hAnsiTheme="minorHAnsi" w:cstheme="minorHAnsi"/>
        </w:rPr>
        <w:t>available for</w:t>
      </w:r>
      <w:r w:rsidRPr="0042192A">
        <w:rPr>
          <w:rFonts w:asciiTheme="minorHAnsi" w:hAnsiTheme="minorHAnsi" w:cstheme="minorHAnsi"/>
        </w:rPr>
        <w:t xml:space="preserve"> the treatment of CPP.</w:t>
      </w:r>
    </w:p>
    <w:sectPr w:rsidR="004131AA" w:rsidRPr="0042192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01" w:rsidRDefault="004D1501">
      <w:r>
        <w:separator/>
      </w:r>
    </w:p>
    <w:p w:rsidR="004D1501" w:rsidRDefault="004D1501"/>
  </w:endnote>
  <w:endnote w:type="continuationSeparator" w:id="0">
    <w:p w:rsidR="004D1501" w:rsidRDefault="004D1501">
      <w:r>
        <w:continuationSeparator/>
      </w:r>
    </w:p>
    <w:p w:rsidR="004D1501" w:rsidRDefault="004D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A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52B72" w:rsidTr="005A3173">
      <w:trPr>
        <w:trHeight w:val="151"/>
      </w:trPr>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2B72" w:rsidRPr="005A3173" w:rsidRDefault="00B52B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r>
    <w:tr w:rsidR="00B52B72" w:rsidTr="005A3173">
      <w:trPr>
        <w:trHeight w:val="150"/>
      </w:trPr>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0" w:type="auto"/>
          <w:vMerge/>
          <w:vAlign w:val="center"/>
          <w:hideMark/>
        </w:tcPr>
        <w:p w:rsidR="00B52B72" w:rsidRPr="005A3173" w:rsidRDefault="00B52B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r>
  </w:tbl>
  <w:p w:rsidR="00B52B72" w:rsidRDefault="00B52B7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2B72" w:rsidRDefault="00B52B72">
    <w:pPr>
      <w:pStyle w:val="Footer"/>
    </w:pPr>
  </w:p>
  <w:p w:rsidR="00B52B72" w:rsidRDefault="00B52B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B72" w:rsidRDefault="00B52B72" w:rsidP="00E27234">
    <w:pPr>
      <w:pStyle w:val="PBACFooter"/>
      <w:rPr>
        <w:rFonts w:asciiTheme="minorHAnsi" w:hAnsiTheme="minorHAnsi" w:cstheme="minorHAnsi"/>
        <w:sz w:val="24"/>
      </w:rPr>
    </w:pPr>
  </w:p>
  <w:p w:rsidR="00B52B72" w:rsidRPr="002B7D74" w:rsidRDefault="00B52B72" w:rsidP="002B7D74">
    <w:pPr>
      <w:pStyle w:val="PBACFooter"/>
      <w:rPr>
        <w:rFonts w:asciiTheme="minorHAnsi" w:hAnsiTheme="minorHAnsi" w:cstheme="minorHAnsi"/>
        <w:sz w:val="24"/>
        <w:szCs w:val="24"/>
      </w:rPr>
    </w:pPr>
    <w:r w:rsidRPr="002B7D74">
      <w:rPr>
        <w:rFonts w:ascii="Calibri" w:hAnsi="Calibri"/>
        <w:b w:val="0"/>
        <w:sz w:val="24"/>
        <w:szCs w:val="24"/>
      </w:rPr>
      <w:fldChar w:fldCharType="begin"/>
    </w:r>
    <w:r w:rsidRPr="002B7D74">
      <w:rPr>
        <w:rFonts w:ascii="Calibri" w:hAnsi="Calibri"/>
        <w:sz w:val="24"/>
        <w:szCs w:val="24"/>
      </w:rPr>
      <w:instrText xml:space="preserve"> PAGE   \* MERGEFORMAT </w:instrText>
    </w:r>
    <w:r w:rsidRPr="002B7D74">
      <w:rPr>
        <w:rFonts w:ascii="Calibri" w:hAnsi="Calibri"/>
        <w:b w:val="0"/>
        <w:sz w:val="24"/>
        <w:szCs w:val="24"/>
      </w:rPr>
      <w:fldChar w:fldCharType="separate"/>
    </w:r>
    <w:r w:rsidR="00FF739A">
      <w:rPr>
        <w:rFonts w:ascii="Calibri" w:hAnsi="Calibri"/>
        <w:noProof/>
        <w:sz w:val="24"/>
        <w:szCs w:val="24"/>
      </w:rPr>
      <w:t>6</w:t>
    </w:r>
    <w:r w:rsidRPr="002B7D74">
      <w:rPr>
        <w:rFonts w:ascii="Calibri" w:hAnsi="Calibri"/>
        <w:b w:val="0"/>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B52B72" w:rsidTr="005A3173">
      <w:trPr>
        <w:trHeight w:val="151"/>
      </w:trPr>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2B72" w:rsidRPr="005A3173" w:rsidRDefault="00B52B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r>
    <w:tr w:rsidR="00B52B72" w:rsidTr="005A3173">
      <w:trPr>
        <w:trHeight w:val="150"/>
      </w:trPr>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0" w:type="auto"/>
          <w:vMerge/>
          <w:vAlign w:val="center"/>
          <w:hideMark/>
        </w:tcPr>
        <w:p w:rsidR="00B52B72" w:rsidRPr="005A3173" w:rsidRDefault="00B52B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52B72" w:rsidTr="005A3173">
      <w:trPr>
        <w:trHeight w:val="151"/>
      </w:trPr>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52B72" w:rsidRPr="005A3173" w:rsidRDefault="00B52B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52B72" w:rsidRPr="005A3173" w:rsidRDefault="00B52B72" w:rsidP="005A3173">
          <w:pPr>
            <w:pStyle w:val="Header"/>
            <w:spacing w:line="276" w:lineRule="auto"/>
            <w:rPr>
              <w:rFonts w:ascii="Calibri" w:eastAsia="MS Gothic" w:hAnsi="Calibri"/>
              <w:b/>
              <w:bCs/>
              <w:color w:val="4F81BD"/>
            </w:rPr>
          </w:pPr>
        </w:p>
      </w:tc>
    </w:tr>
    <w:tr w:rsidR="00B52B72" w:rsidTr="005A3173">
      <w:trPr>
        <w:trHeight w:val="150"/>
      </w:trPr>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c>
        <w:tcPr>
          <w:tcW w:w="0" w:type="auto"/>
          <w:vMerge/>
          <w:vAlign w:val="center"/>
          <w:hideMark/>
        </w:tcPr>
        <w:p w:rsidR="00B52B72" w:rsidRPr="005A3173" w:rsidRDefault="00B52B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B52B72" w:rsidRPr="005A3173" w:rsidRDefault="00B52B72" w:rsidP="005A3173">
          <w:pPr>
            <w:pStyle w:val="Header"/>
            <w:spacing w:line="276" w:lineRule="auto"/>
            <w:rPr>
              <w:rFonts w:ascii="Calibri" w:eastAsia="MS Gothic" w:hAnsi="Calibri"/>
              <w:b/>
              <w:bCs/>
              <w:color w:val="4F81BD"/>
            </w:rPr>
          </w:pPr>
        </w:p>
      </w:tc>
    </w:tr>
  </w:tbl>
  <w:p w:rsidR="00B52B72" w:rsidRPr="007C0F57" w:rsidRDefault="00B52B7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52B72" w:rsidRPr="007C0F57" w:rsidRDefault="00B52B72" w:rsidP="007C0F57">
    <w:pPr>
      <w:pStyle w:val="Footer"/>
      <w:jc w:val="center"/>
      <w:rPr>
        <w:b/>
        <w:i/>
        <w:sz w:val="20"/>
        <w:szCs w:val="20"/>
      </w:rPr>
    </w:pPr>
    <w:r w:rsidRPr="007C0F57">
      <w:rPr>
        <w:b/>
        <w:i/>
        <w:sz w:val="20"/>
        <w:szCs w:val="20"/>
      </w:rPr>
      <w:t>Commercial-in-Confidence</w:t>
    </w:r>
  </w:p>
  <w:p w:rsidR="00B52B72" w:rsidRDefault="00B52B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01" w:rsidRDefault="004D1501">
      <w:r>
        <w:separator/>
      </w:r>
    </w:p>
    <w:p w:rsidR="004D1501" w:rsidRDefault="004D1501"/>
  </w:footnote>
  <w:footnote w:type="continuationSeparator" w:id="0">
    <w:p w:rsidR="004D1501" w:rsidRDefault="004D1501">
      <w:r>
        <w:continuationSeparator/>
      </w:r>
    </w:p>
    <w:p w:rsidR="004D1501" w:rsidRDefault="004D15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52B72" w:rsidRPr="008E0D90" w:rsidTr="00A06225">
      <w:trPr>
        <w:trHeight w:val="151"/>
      </w:trPr>
      <w:tc>
        <w:tcPr>
          <w:tcW w:w="2389" w:type="pct"/>
          <w:tcBorders>
            <w:top w:val="nil"/>
            <w:left w:val="nil"/>
            <w:bottom w:val="single" w:sz="4" w:space="0" w:color="4F81BD"/>
            <w:right w:val="nil"/>
          </w:tcBorders>
        </w:tcPr>
        <w:p w:rsidR="00B52B72" w:rsidRPr="00A06225" w:rsidRDefault="00B52B72">
          <w:pPr>
            <w:pStyle w:val="Header"/>
            <w:spacing w:line="276" w:lineRule="auto"/>
            <w:rPr>
              <w:rFonts w:ascii="Cambria" w:eastAsia="MS Gothic" w:hAnsi="Cambria"/>
              <w:b/>
              <w:bCs/>
              <w:color w:val="4F81BD"/>
            </w:rPr>
          </w:pPr>
        </w:p>
      </w:tc>
      <w:tc>
        <w:tcPr>
          <w:tcW w:w="333" w:type="pct"/>
          <w:vMerge w:val="restart"/>
          <w:noWrap/>
          <w:vAlign w:val="center"/>
          <w:hideMark/>
        </w:tcPr>
        <w:p w:rsidR="00B52B72" w:rsidRPr="00A06225" w:rsidRDefault="00B52B7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52B72" w:rsidRPr="00A06225" w:rsidRDefault="00B52B72">
          <w:pPr>
            <w:pStyle w:val="Header"/>
            <w:spacing w:line="276" w:lineRule="auto"/>
            <w:rPr>
              <w:rFonts w:ascii="Cambria" w:eastAsia="MS Gothic" w:hAnsi="Cambria"/>
              <w:b/>
              <w:bCs/>
              <w:color w:val="4F81BD"/>
            </w:rPr>
          </w:pPr>
        </w:p>
      </w:tc>
    </w:tr>
    <w:tr w:rsidR="00B52B72" w:rsidRPr="008E0D90" w:rsidTr="00A06225">
      <w:trPr>
        <w:trHeight w:val="150"/>
      </w:trPr>
      <w:tc>
        <w:tcPr>
          <w:tcW w:w="2389" w:type="pct"/>
          <w:tcBorders>
            <w:top w:val="single" w:sz="4" w:space="0" w:color="4F81BD"/>
            <w:left w:val="nil"/>
            <w:bottom w:val="nil"/>
            <w:right w:val="nil"/>
          </w:tcBorders>
        </w:tcPr>
        <w:p w:rsidR="00B52B72" w:rsidRPr="00A06225" w:rsidRDefault="00B52B72">
          <w:pPr>
            <w:pStyle w:val="Header"/>
            <w:spacing w:line="276" w:lineRule="auto"/>
            <w:rPr>
              <w:rFonts w:ascii="Cambria" w:eastAsia="MS Gothic" w:hAnsi="Cambria"/>
              <w:b/>
              <w:bCs/>
              <w:color w:val="4F81BD"/>
            </w:rPr>
          </w:pPr>
        </w:p>
      </w:tc>
      <w:tc>
        <w:tcPr>
          <w:tcW w:w="0" w:type="auto"/>
          <w:vMerge/>
          <w:vAlign w:val="center"/>
          <w:hideMark/>
        </w:tcPr>
        <w:p w:rsidR="00B52B72" w:rsidRPr="00A06225" w:rsidRDefault="00B52B72">
          <w:pPr>
            <w:rPr>
              <w:rFonts w:ascii="Cambria" w:hAnsi="Cambria"/>
              <w:color w:val="4F81BD"/>
              <w:sz w:val="22"/>
              <w:szCs w:val="22"/>
            </w:rPr>
          </w:pPr>
        </w:p>
      </w:tc>
      <w:tc>
        <w:tcPr>
          <w:tcW w:w="2278" w:type="pct"/>
          <w:tcBorders>
            <w:top w:val="single" w:sz="4" w:space="0" w:color="4F81BD"/>
            <w:left w:val="nil"/>
            <w:bottom w:val="nil"/>
            <w:right w:val="nil"/>
          </w:tcBorders>
        </w:tcPr>
        <w:p w:rsidR="00B52B72" w:rsidRPr="00A06225" w:rsidRDefault="00B52B72">
          <w:pPr>
            <w:pStyle w:val="Header"/>
            <w:spacing w:line="276" w:lineRule="auto"/>
            <w:rPr>
              <w:rFonts w:ascii="Cambria" w:eastAsia="MS Gothic" w:hAnsi="Cambria"/>
              <w:b/>
              <w:bCs/>
              <w:color w:val="4F81BD"/>
            </w:rPr>
          </w:pPr>
        </w:p>
      </w:tc>
    </w:tr>
  </w:tbl>
  <w:p w:rsidR="00B52B72" w:rsidRDefault="00B52B72">
    <w:pPr>
      <w:pStyle w:val="Header"/>
    </w:pPr>
  </w:p>
  <w:p w:rsidR="00B52B72" w:rsidRDefault="00B52B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B72" w:rsidRPr="00056684" w:rsidRDefault="004131AA" w:rsidP="002B7D74">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B52B72" w:rsidRPr="00056684">
      <w:rPr>
        <w:rFonts w:asciiTheme="minorHAnsi" w:hAnsiTheme="minorHAnsi" w:cs="Arial"/>
        <w:i/>
        <w:color w:val="808080"/>
      </w:rPr>
      <w:t xml:space="preserve"> – </w:t>
    </w:r>
    <w:r w:rsidR="00B52B72">
      <w:rPr>
        <w:rFonts w:asciiTheme="minorHAnsi" w:hAnsiTheme="minorHAnsi" w:cs="Arial"/>
        <w:i/>
        <w:color w:val="808080"/>
      </w:rPr>
      <w:t>November 2019</w:t>
    </w:r>
    <w:r w:rsidR="00B52B72" w:rsidRPr="00056684">
      <w:rPr>
        <w:rFonts w:asciiTheme="minorHAnsi" w:hAnsiTheme="minorHAnsi" w:cs="Arial"/>
        <w:i/>
        <w:color w:val="808080"/>
      </w:rPr>
      <w:t xml:space="preserve"> PBAC Meeting</w:t>
    </w:r>
  </w:p>
  <w:p w:rsidR="00B52B72" w:rsidRDefault="00B52B7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D2B" w:rsidRDefault="0064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E4A41"/>
    <w:multiLevelType w:val="multilevel"/>
    <w:tmpl w:val="AAB800E2"/>
    <w:lvl w:ilvl="0">
      <w:start w:val="6"/>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833611"/>
    <w:multiLevelType w:val="hybridMultilevel"/>
    <w:tmpl w:val="F39688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3" w15:restartNumberingAfterBreak="0">
    <w:nsid w:val="48AA78C6"/>
    <w:multiLevelType w:val="hybridMultilevel"/>
    <w:tmpl w:val="A9387C5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2820C0"/>
    <w:multiLevelType w:val="hybridMultilevel"/>
    <w:tmpl w:val="3AF64A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C95C1B"/>
    <w:multiLevelType w:val="hybridMultilevel"/>
    <w:tmpl w:val="CF2453D2"/>
    <w:lvl w:ilvl="0" w:tplc="C3ECF07E">
      <w:start w:val="1"/>
      <w:numFmt w:val="bullet"/>
      <w:lvlText w:val=""/>
      <w:lvlJc w:val="left"/>
      <w:pPr>
        <w:ind w:left="1500" w:hanging="360"/>
      </w:pPr>
      <w:rPr>
        <w:rFonts w:ascii="Symbol" w:hAnsi="Symbol" w:hint="default"/>
        <w:color w:val="000000" w:themeColor="text1"/>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0" w15:restartNumberingAfterBreak="0">
    <w:nsid w:val="5DA55A37"/>
    <w:multiLevelType w:val="hybridMultilevel"/>
    <w:tmpl w:val="58540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FB5C4C"/>
    <w:multiLevelType w:val="hybridMultilevel"/>
    <w:tmpl w:val="4008E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B165E0"/>
    <w:multiLevelType w:val="hybridMultilevel"/>
    <w:tmpl w:val="1B5610D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0A52955"/>
    <w:multiLevelType w:val="hybridMultilevel"/>
    <w:tmpl w:val="93DA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F23D71"/>
    <w:multiLevelType w:val="hybridMultilevel"/>
    <w:tmpl w:val="C57468C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4D033C"/>
    <w:multiLevelType w:val="multilevel"/>
    <w:tmpl w:val="D1E00F92"/>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0"/>
  </w:num>
  <w:num w:numId="2">
    <w:abstractNumId w:val="0"/>
  </w:num>
  <w:num w:numId="3">
    <w:abstractNumId w:val="30"/>
  </w:num>
  <w:num w:numId="4">
    <w:abstractNumId w:val="21"/>
  </w:num>
  <w:num w:numId="5">
    <w:abstractNumId w:val="11"/>
  </w:num>
  <w:num w:numId="6">
    <w:abstractNumId w:val="16"/>
  </w:num>
  <w:num w:numId="7">
    <w:abstractNumId w:val="31"/>
  </w:num>
  <w:num w:numId="8">
    <w:abstractNumId w:val="24"/>
  </w:num>
  <w:num w:numId="9">
    <w:abstractNumId w:val="27"/>
  </w:num>
  <w:num w:numId="10">
    <w:abstractNumId w:val="15"/>
  </w:num>
  <w:num w:numId="11">
    <w:abstractNumId w:val="22"/>
  </w:num>
  <w:num w:numId="12">
    <w:abstractNumId w:val="25"/>
  </w:num>
  <w:num w:numId="13">
    <w:abstractNumId w:val="10"/>
    <w:lvlOverride w:ilvl="0">
      <w:startOverride w:val="1"/>
    </w:lvlOverride>
  </w:num>
  <w:num w:numId="14">
    <w:abstractNumId w:val="10"/>
  </w:num>
  <w:num w:numId="15">
    <w:abstractNumId w:val="10"/>
    <w:lvlOverride w:ilvl="0">
      <w:startOverride w:val="1"/>
    </w:lvlOverride>
  </w:num>
  <w:num w:numId="16">
    <w:abstractNumId w:val="12"/>
  </w:num>
  <w:num w:numId="17">
    <w:abstractNumId w:val="10"/>
    <w:lvlOverride w:ilvl="0">
      <w:startOverride w:val="4"/>
    </w:lvlOverride>
  </w:num>
  <w:num w:numId="18">
    <w:abstractNumId w:val="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23"/>
  </w:num>
  <w:num w:numId="23">
    <w:abstractNumId w:val="26"/>
  </w:num>
  <w:num w:numId="24">
    <w:abstractNumId w:val="29"/>
  </w:num>
  <w:num w:numId="25">
    <w:abstractNumId w:val="19"/>
  </w:num>
  <w:num w:numId="26">
    <w:abstractNumId w:val="13"/>
  </w:num>
  <w:num w:numId="27">
    <w:abstractNumId w:val="4"/>
  </w:num>
  <w:num w:numId="28">
    <w:abstractNumId w:val="14"/>
  </w:num>
  <w:num w:numId="29">
    <w:abstractNumId w:val="30"/>
  </w:num>
  <w:num w:numId="30">
    <w:abstractNumId w:val="17"/>
  </w:num>
  <w:num w:numId="31">
    <w:abstractNumId w:val="18"/>
  </w:num>
  <w:num w:numId="32">
    <w:abstractNumId w:val="3"/>
  </w:num>
  <w:num w:numId="33">
    <w:abstractNumId w:val="1"/>
  </w:num>
  <w:num w:numId="34">
    <w:abstractNumId w:val="6"/>
  </w:num>
  <w:num w:numId="35">
    <w:abstractNumId w:val="7"/>
  </w:num>
  <w:num w:numId="36">
    <w:abstractNumId w:val="5"/>
  </w:num>
  <w:num w:numId="37">
    <w:abstractNumId w:val="2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3CDF"/>
    <w:rsid w:val="0002464A"/>
    <w:rsid w:val="00026132"/>
    <w:rsid w:val="0003106B"/>
    <w:rsid w:val="000313B1"/>
    <w:rsid w:val="00031A99"/>
    <w:rsid w:val="00034905"/>
    <w:rsid w:val="000421A1"/>
    <w:rsid w:val="0004240E"/>
    <w:rsid w:val="00045214"/>
    <w:rsid w:val="00045E26"/>
    <w:rsid w:val="000470D4"/>
    <w:rsid w:val="000514B5"/>
    <w:rsid w:val="000547F0"/>
    <w:rsid w:val="00060E64"/>
    <w:rsid w:val="0006312D"/>
    <w:rsid w:val="000655BA"/>
    <w:rsid w:val="00066755"/>
    <w:rsid w:val="000763D5"/>
    <w:rsid w:val="00076ACC"/>
    <w:rsid w:val="00077143"/>
    <w:rsid w:val="00077CB2"/>
    <w:rsid w:val="0008137C"/>
    <w:rsid w:val="00082169"/>
    <w:rsid w:val="000918CB"/>
    <w:rsid w:val="00091B06"/>
    <w:rsid w:val="000951C4"/>
    <w:rsid w:val="00095433"/>
    <w:rsid w:val="0009576C"/>
    <w:rsid w:val="00095ADA"/>
    <w:rsid w:val="000969AD"/>
    <w:rsid w:val="000A071A"/>
    <w:rsid w:val="000A3AA2"/>
    <w:rsid w:val="000A44B2"/>
    <w:rsid w:val="000B44C3"/>
    <w:rsid w:val="000B558D"/>
    <w:rsid w:val="000B58BD"/>
    <w:rsid w:val="000B76E3"/>
    <w:rsid w:val="000C3FA0"/>
    <w:rsid w:val="000C5F95"/>
    <w:rsid w:val="000C6996"/>
    <w:rsid w:val="000D09E9"/>
    <w:rsid w:val="000D183A"/>
    <w:rsid w:val="000D23BA"/>
    <w:rsid w:val="000E06ED"/>
    <w:rsid w:val="000E681E"/>
    <w:rsid w:val="000E75C2"/>
    <w:rsid w:val="000F0003"/>
    <w:rsid w:val="000F3384"/>
    <w:rsid w:val="000F4E6A"/>
    <w:rsid w:val="000F7024"/>
    <w:rsid w:val="000F7354"/>
    <w:rsid w:val="00102202"/>
    <w:rsid w:val="00104227"/>
    <w:rsid w:val="00106935"/>
    <w:rsid w:val="001107BF"/>
    <w:rsid w:val="00112D79"/>
    <w:rsid w:val="00113649"/>
    <w:rsid w:val="00115864"/>
    <w:rsid w:val="00122A9D"/>
    <w:rsid w:val="0012417C"/>
    <w:rsid w:val="001264A4"/>
    <w:rsid w:val="0012749D"/>
    <w:rsid w:val="00142395"/>
    <w:rsid w:val="00142714"/>
    <w:rsid w:val="001428BF"/>
    <w:rsid w:val="001452ED"/>
    <w:rsid w:val="0014630F"/>
    <w:rsid w:val="00146D91"/>
    <w:rsid w:val="00147D84"/>
    <w:rsid w:val="001546AF"/>
    <w:rsid w:val="001549C1"/>
    <w:rsid w:val="00162D4E"/>
    <w:rsid w:val="00162F4C"/>
    <w:rsid w:val="00163329"/>
    <w:rsid w:val="00163C49"/>
    <w:rsid w:val="001644B8"/>
    <w:rsid w:val="00164623"/>
    <w:rsid w:val="00164FAB"/>
    <w:rsid w:val="001652DE"/>
    <w:rsid w:val="00165B64"/>
    <w:rsid w:val="00174030"/>
    <w:rsid w:val="00180713"/>
    <w:rsid w:val="00180DC5"/>
    <w:rsid w:val="00182AEB"/>
    <w:rsid w:val="001830CE"/>
    <w:rsid w:val="0018382F"/>
    <w:rsid w:val="001840D9"/>
    <w:rsid w:val="0018643B"/>
    <w:rsid w:val="00187F59"/>
    <w:rsid w:val="00196307"/>
    <w:rsid w:val="001A33EA"/>
    <w:rsid w:val="001A4C4F"/>
    <w:rsid w:val="001A76FB"/>
    <w:rsid w:val="001B017F"/>
    <w:rsid w:val="001B03F2"/>
    <w:rsid w:val="001B045D"/>
    <w:rsid w:val="001B2BBC"/>
    <w:rsid w:val="001B3FFE"/>
    <w:rsid w:val="001B5129"/>
    <w:rsid w:val="001B64E9"/>
    <w:rsid w:val="001B7EEB"/>
    <w:rsid w:val="001C0B4C"/>
    <w:rsid w:val="001C1195"/>
    <w:rsid w:val="001D0B5A"/>
    <w:rsid w:val="001D1F5F"/>
    <w:rsid w:val="001E06D2"/>
    <w:rsid w:val="001E3B37"/>
    <w:rsid w:val="001E3BE0"/>
    <w:rsid w:val="001E3C97"/>
    <w:rsid w:val="001F1850"/>
    <w:rsid w:val="001F3189"/>
    <w:rsid w:val="001F3909"/>
    <w:rsid w:val="00203FAC"/>
    <w:rsid w:val="00211DAC"/>
    <w:rsid w:val="00213CFB"/>
    <w:rsid w:val="0021553C"/>
    <w:rsid w:val="0021557B"/>
    <w:rsid w:val="002160F0"/>
    <w:rsid w:val="00217359"/>
    <w:rsid w:val="002174FD"/>
    <w:rsid w:val="00217BE1"/>
    <w:rsid w:val="002214AC"/>
    <w:rsid w:val="0022261B"/>
    <w:rsid w:val="00234252"/>
    <w:rsid w:val="00236C86"/>
    <w:rsid w:val="00237AC6"/>
    <w:rsid w:val="00241DE3"/>
    <w:rsid w:val="00244490"/>
    <w:rsid w:val="00246342"/>
    <w:rsid w:val="00246623"/>
    <w:rsid w:val="00247DB8"/>
    <w:rsid w:val="00253499"/>
    <w:rsid w:val="002551A4"/>
    <w:rsid w:val="00257664"/>
    <w:rsid w:val="002603DB"/>
    <w:rsid w:val="00264030"/>
    <w:rsid w:val="00265151"/>
    <w:rsid w:val="00266509"/>
    <w:rsid w:val="002708E4"/>
    <w:rsid w:val="00271BA1"/>
    <w:rsid w:val="002723CD"/>
    <w:rsid w:val="00273919"/>
    <w:rsid w:val="00275CD2"/>
    <w:rsid w:val="002762FA"/>
    <w:rsid w:val="00276486"/>
    <w:rsid w:val="00276D61"/>
    <w:rsid w:val="00277505"/>
    <w:rsid w:val="002823B6"/>
    <w:rsid w:val="0028476E"/>
    <w:rsid w:val="0029054D"/>
    <w:rsid w:val="00294274"/>
    <w:rsid w:val="0029458F"/>
    <w:rsid w:val="002A09DE"/>
    <w:rsid w:val="002A0E04"/>
    <w:rsid w:val="002A104C"/>
    <w:rsid w:val="002A38AE"/>
    <w:rsid w:val="002A494D"/>
    <w:rsid w:val="002A4960"/>
    <w:rsid w:val="002B0AE0"/>
    <w:rsid w:val="002B1AE6"/>
    <w:rsid w:val="002B1D51"/>
    <w:rsid w:val="002B250D"/>
    <w:rsid w:val="002B2DE8"/>
    <w:rsid w:val="002B30F8"/>
    <w:rsid w:val="002B388A"/>
    <w:rsid w:val="002B3B78"/>
    <w:rsid w:val="002B5596"/>
    <w:rsid w:val="002B7D74"/>
    <w:rsid w:val="002C212F"/>
    <w:rsid w:val="002C5BBC"/>
    <w:rsid w:val="002C7485"/>
    <w:rsid w:val="002D1E39"/>
    <w:rsid w:val="002D283A"/>
    <w:rsid w:val="002D28D3"/>
    <w:rsid w:val="002D4543"/>
    <w:rsid w:val="002E2987"/>
    <w:rsid w:val="002E3153"/>
    <w:rsid w:val="002E5292"/>
    <w:rsid w:val="002E72CA"/>
    <w:rsid w:val="002F39FD"/>
    <w:rsid w:val="002F600D"/>
    <w:rsid w:val="00300AD6"/>
    <w:rsid w:val="00300B1B"/>
    <w:rsid w:val="003019D0"/>
    <w:rsid w:val="003064AF"/>
    <w:rsid w:val="00314988"/>
    <w:rsid w:val="0031548F"/>
    <w:rsid w:val="00317C6C"/>
    <w:rsid w:val="00320CD3"/>
    <w:rsid w:val="0032543B"/>
    <w:rsid w:val="00326E79"/>
    <w:rsid w:val="003301B1"/>
    <w:rsid w:val="00331189"/>
    <w:rsid w:val="0033263D"/>
    <w:rsid w:val="0033518A"/>
    <w:rsid w:val="003367EF"/>
    <w:rsid w:val="00341AE4"/>
    <w:rsid w:val="00346B85"/>
    <w:rsid w:val="003476EE"/>
    <w:rsid w:val="00347A42"/>
    <w:rsid w:val="00347E18"/>
    <w:rsid w:val="00352D2D"/>
    <w:rsid w:val="00354B8A"/>
    <w:rsid w:val="00357469"/>
    <w:rsid w:val="003606D1"/>
    <w:rsid w:val="00362935"/>
    <w:rsid w:val="00371CF7"/>
    <w:rsid w:val="00371EB0"/>
    <w:rsid w:val="003736C9"/>
    <w:rsid w:val="00375D40"/>
    <w:rsid w:val="00384988"/>
    <w:rsid w:val="003872CF"/>
    <w:rsid w:val="00392E2F"/>
    <w:rsid w:val="003951A4"/>
    <w:rsid w:val="003965FE"/>
    <w:rsid w:val="0039782C"/>
    <w:rsid w:val="003A2A39"/>
    <w:rsid w:val="003A5B4A"/>
    <w:rsid w:val="003B23C5"/>
    <w:rsid w:val="003B2A75"/>
    <w:rsid w:val="003B6124"/>
    <w:rsid w:val="003C093A"/>
    <w:rsid w:val="003C1ECF"/>
    <w:rsid w:val="003C2FB5"/>
    <w:rsid w:val="003C3C94"/>
    <w:rsid w:val="003C4303"/>
    <w:rsid w:val="003C566D"/>
    <w:rsid w:val="003D24C5"/>
    <w:rsid w:val="003D4AC4"/>
    <w:rsid w:val="003D6214"/>
    <w:rsid w:val="003D63B7"/>
    <w:rsid w:val="003E468B"/>
    <w:rsid w:val="003E5465"/>
    <w:rsid w:val="003E62BD"/>
    <w:rsid w:val="003F036E"/>
    <w:rsid w:val="003F0C3A"/>
    <w:rsid w:val="003F3228"/>
    <w:rsid w:val="003F4E54"/>
    <w:rsid w:val="003F5359"/>
    <w:rsid w:val="003F5C8C"/>
    <w:rsid w:val="003F5CF9"/>
    <w:rsid w:val="003F775A"/>
    <w:rsid w:val="00400E55"/>
    <w:rsid w:val="0040128E"/>
    <w:rsid w:val="00401D8A"/>
    <w:rsid w:val="0040216B"/>
    <w:rsid w:val="00405C34"/>
    <w:rsid w:val="00411978"/>
    <w:rsid w:val="004131AA"/>
    <w:rsid w:val="0041724F"/>
    <w:rsid w:val="0042192A"/>
    <w:rsid w:val="004252EC"/>
    <w:rsid w:val="00426B8F"/>
    <w:rsid w:val="00430D39"/>
    <w:rsid w:val="004346B4"/>
    <w:rsid w:val="004366BD"/>
    <w:rsid w:val="00441F58"/>
    <w:rsid w:val="004465BD"/>
    <w:rsid w:val="00456E49"/>
    <w:rsid w:val="00460F08"/>
    <w:rsid w:val="00461A44"/>
    <w:rsid w:val="00466ADA"/>
    <w:rsid w:val="004702BB"/>
    <w:rsid w:val="0047494B"/>
    <w:rsid w:val="004761AF"/>
    <w:rsid w:val="00476245"/>
    <w:rsid w:val="00477A9B"/>
    <w:rsid w:val="00483035"/>
    <w:rsid w:val="00485940"/>
    <w:rsid w:val="004904B9"/>
    <w:rsid w:val="004951B2"/>
    <w:rsid w:val="004A2484"/>
    <w:rsid w:val="004A5A85"/>
    <w:rsid w:val="004A71D1"/>
    <w:rsid w:val="004A7C5B"/>
    <w:rsid w:val="004B2C45"/>
    <w:rsid w:val="004B2E98"/>
    <w:rsid w:val="004B5640"/>
    <w:rsid w:val="004C0A1C"/>
    <w:rsid w:val="004C1133"/>
    <w:rsid w:val="004C1BD7"/>
    <w:rsid w:val="004C31FE"/>
    <w:rsid w:val="004C340C"/>
    <w:rsid w:val="004C3BA2"/>
    <w:rsid w:val="004C524C"/>
    <w:rsid w:val="004C549C"/>
    <w:rsid w:val="004C691D"/>
    <w:rsid w:val="004C6C07"/>
    <w:rsid w:val="004D1501"/>
    <w:rsid w:val="004D4FF6"/>
    <w:rsid w:val="004E0B20"/>
    <w:rsid w:val="004E4433"/>
    <w:rsid w:val="004E4C10"/>
    <w:rsid w:val="004E692D"/>
    <w:rsid w:val="004E7D87"/>
    <w:rsid w:val="004F197D"/>
    <w:rsid w:val="004F2553"/>
    <w:rsid w:val="004F28DC"/>
    <w:rsid w:val="0050152E"/>
    <w:rsid w:val="00501554"/>
    <w:rsid w:val="00502AFE"/>
    <w:rsid w:val="00503AD7"/>
    <w:rsid w:val="00504E0C"/>
    <w:rsid w:val="005109D4"/>
    <w:rsid w:val="00514CD7"/>
    <w:rsid w:val="00520D6A"/>
    <w:rsid w:val="00522DB6"/>
    <w:rsid w:val="0052792D"/>
    <w:rsid w:val="005318EC"/>
    <w:rsid w:val="005319B2"/>
    <w:rsid w:val="00532402"/>
    <w:rsid w:val="00532C74"/>
    <w:rsid w:val="00534E2E"/>
    <w:rsid w:val="00535BDE"/>
    <w:rsid w:val="0053776A"/>
    <w:rsid w:val="00544552"/>
    <w:rsid w:val="00547F63"/>
    <w:rsid w:val="0055286A"/>
    <w:rsid w:val="005541A0"/>
    <w:rsid w:val="00554910"/>
    <w:rsid w:val="00555745"/>
    <w:rsid w:val="005568AB"/>
    <w:rsid w:val="00556D38"/>
    <w:rsid w:val="00557D4F"/>
    <w:rsid w:val="00557DBF"/>
    <w:rsid w:val="0056484E"/>
    <w:rsid w:val="005719D9"/>
    <w:rsid w:val="005764CD"/>
    <w:rsid w:val="00577C4D"/>
    <w:rsid w:val="00580532"/>
    <w:rsid w:val="00581932"/>
    <w:rsid w:val="00583932"/>
    <w:rsid w:val="005909BC"/>
    <w:rsid w:val="00591A70"/>
    <w:rsid w:val="005963BB"/>
    <w:rsid w:val="005A1FC4"/>
    <w:rsid w:val="005A3173"/>
    <w:rsid w:val="005A3223"/>
    <w:rsid w:val="005A3DA3"/>
    <w:rsid w:val="005A479B"/>
    <w:rsid w:val="005A52C4"/>
    <w:rsid w:val="005B12C1"/>
    <w:rsid w:val="005B24AE"/>
    <w:rsid w:val="005B46A6"/>
    <w:rsid w:val="005B5F56"/>
    <w:rsid w:val="005D03AB"/>
    <w:rsid w:val="005D5017"/>
    <w:rsid w:val="005D567A"/>
    <w:rsid w:val="005D63FA"/>
    <w:rsid w:val="005D737B"/>
    <w:rsid w:val="005E0457"/>
    <w:rsid w:val="005E1333"/>
    <w:rsid w:val="005E15B0"/>
    <w:rsid w:val="005E3136"/>
    <w:rsid w:val="005E507D"/>
    <w:rsid w:val="005F434C"/>
    <w:rsid w:val="0060180E"/>
    <w:rsid w:val="00601A91"/>
    <w:rsid w:val="00602BA3"/>
    <w:rsid w:val="00605B63"/>
    <w:rsid w:val="00606EED"/>
    <w:rsid w:val="00612E34"/>
    <w:rsid w:val="00613560"/>
    <w:rsid w:val="00613B92"/>
    <w:rsid w:val="00614159"/>
    <w:rsid w:val="00616C5F"/>
    <w:rsid w:val="00616DAC"/>
    <w:rsid w:val="00617C00"/>
    <w:rsid w:val="00624143"/>
    <w:rsid w:val="006263BF"/>
    <w:rsid w:val="0062748A"/>
    <w:rsid w:val="00627B19"/>
    <w:rsid w:val="00630A2C"/>
    <w:rsid w:val="0063645E"/>
    <w:rsid w:val="0063682E"/>
    <w:rsid w:val="00641A4D"/>
    <w:rsid w:val="00642DA8"/>
    <w:rsid w:val="00643398"/>
    <w:rsid w:val="006436CD"/>
    <w:rsid w:val="00644769"/>
    <w:rsid w:val="00645D2A"/>
    <w:rsid w:val="00645D2B"/>
    <w:rsid w:val="00647247"/>
    <w:rsid w:val="00651169"/>
    <w:rsid w:val="00653493"/>
    <w:rsid w:val="00653D69"/>
    <w:rsid w:val="006552E6"/>
    <w:rsid w:val="00656100"/>
    <w:rsid w:val="00657C63"/>
    <w:rsid w:val="006652D1"/>
    <w:rsid w:val="00665E09"/>
    <w:rsid w:val="006670BE"/>
    <w:rsid w:val="00667D1C"/>
    <w:rsid w:val="00670A76"/>
    <w:rsid w:val="006711AA"/>
    <w:rsid w:val="00672B57"/>
    <w:rsid w:val="00675622"/>
    <w:rsid w:val="0067747D"/>
    <w:rsid w:val="00677FB1"/>
    <w:rsid w:val="006816AD"/>
    <w:rsid w:val="00681CA4"/>
    <w:rsid w:val="0069039D"/>
    <w:rsid w:val="006906DB"/>
    <w:rsid w:val="00691E6C"/>
    <w:rsid w:val="00693DFB"/>
    <w:rsid w:val="0069501D"/>
    <w:rsid w:val="00696129"/>
    <w:rsid w:val="006962B8"/>
    <w:rsid w:val="00697CF2"/>
    <w:rsid w:val="006A12A5"/>
    <w:rsid w:val="006A191F"/>
    <w:rsid w:val="006A2022"/>
    <w:rsid w:val="006A4411"/>
    <w:rsid w:val="006A5E20"/>
    <w:rsid w:val="006B0D94"/>
    <w:rsid w:val="006B485D"/>
    <w:rsid w:val="006B78F6"/>
    <w:rsid w:val="006C284B"/>
    <w:rsid w:val="006C334C"/>
    <w:rsid w:val="006C4CFF"/>
    <w:rsid w:val="006C708E"/>
    <w:rsid w:val="006D0B8A"/>
    <w:rsid w:val="006D14E7"/>
    <w:rsid w:val="006D4444"/>
    <w:rsid w:val="006D4655"/>
    <w:rsid w:val="006D6493"/>
    <w:rsid w:val="006D6EC7"/>
    <w:rsid w:val="006E1BCD"/>
    <w:rsid w:val="006F174F"/>
    <w:rsid w:val="006F32EF"/>
    <w:rsid w:val="006F5125"/>
    <w:rsid w:val="006F69FC"/>
    <w:rsid w:val="006F733D"/>
    <w:rsid w:val="006F73F7"/>
    <w:rsid w:val="00700F4A"/>
    <w:rsid w:val="00702B6F"/>
    <w:rsid w:val="007039C6"/>
    <w:rsid w:val="00706A2F"/>
    <w:rsid w:val="0070718E"/>
    <w:rsid w:val="0071340B"/>
    <w:rsid w:val="007174BB"/>
    <w:rsid w:val="0072025D"/>
    <w:rsid w:val="00723ED5"/>
    <w:rsid w:val="00725978"/>
    <w:rsid w:val="0073137C"/>
    <w:rsid w:val="007353D3"/>
    <w:rsid w:val="0074156B"/>
    <w:rsid w:val="007427AD"/>
    <w:rsid w:val="00742E50"/>
    <w:rsid w:val="007555E8"/>
    <w:rsid w:val="00757678"/>
    <w:rsid w:val="00761536"/>
    <w:rsid w:val="0076420C"/>
    <w:rsid w:val="00771D07"/>
    <w:rsid w:val="00772B26"/>
    <w:rsid w:val="00774E2C"/>
    <w:rsid w:val="007753C2"/>
    <w:rsid w:val="007838B8"/>
    <w:rsid w:val="00790DA2"/>
    <w:rsid w:val="007915BA"/>
    <w:rsid w:val="0079385E"/>
    <w:rsid w:val="00793CFA"/>
    <w:rsid w:val="00793FF3"/>
    <w:rsid w:val="007A1741"/>
    <w:rsid w:val="007A3775"/>
    <w:rsid w:val="007A3CDB"/>
    <w:rsid w:val="007A6DCA"/>
    <w:rsid w:val="007B0CFE"/>
    <w:rsid w:val="007B1C58"/>
    <w:rsid w:val="007B2F31"/>
    <w:rsid w:val="007B3DDC"/>
    <w:rsid w:val="007B423F"/>
    <w:rsid w:val="007B72A6"/>
    <w:rsid w:val="007C0F57"/>
    <w:rsid w:val="007C40B6"/>
    <w:rsid w:val="007C729F"/>
    <w:rsid w:val="007C7982"/>
    <w:rsid w:val="007E1D28"/>
    <w:rsid w:val="007F0021"/>
    <w:rsid w:val="007F1237"/>
    <w:rsid w:val="007F2641"/>
    <w:rsid w:val="007F7C36"/>
    <w:rsid w:val="00802891"/>
    <w:rsid w:val="0080413B"/>
    <w:rsid w:val="00806796"/>
    <w:rsid w:val="00811CC0"/>
    <w:rsid w:val="00814A49"/>
    <w:rsid w:val="008151D6"/>
    <w:rsid w:val="00821146"/>
    <w:rsid w:val="00821527"/>
    <w:rsid w:val="00825084"/>
    <w:rsid w:val="00825F2D"/>
    <w:rsid w:val="008268BB"/>
    <w:rsid w:val="00826F6D"/>
    <w:rsid w:val="008306F3"/>
    <w:rsid w:val="00830E40"/>
    <w:rsid w:val="008323C1"/>
    <w:rsid w:val="00836063"/>
    <w:rsid w:val="00851AEC"/>
    <w:rsid w:val="00852F7A"/>
    <w:rsid w:val="00855FD6"/>
    <w:rsid w:val="00856DDD"/>
    <w:rsid w:val="00862182"/>
    <w:rsid w:val="00863E68"/>
    <w:rsid w:val="008647B5"/>
    <w:rsid w:val="0087216D"/>
    <w:rsid w:val="00872A7F"/>
    <w:rsid w:val="00875DCB"/>
    <w:rsid w:val="008807C0"/>
    <w:rsid w:val="00882085"/>
    <w:rsid w:val="00883188"/>
    <w:rsid w:val="0089648F"/>
    <w:rsid w:val="00897D58"/>
    <w:rsid w:val="00897F22"/>
    <w:rsid w:val="008A0B39"/>
    <w:rsid w:val="008A1956"/>
    <w:rsid w:val="008A4937"/>
    <w:rsid w:val="008A50F1"/>
    <w:rsid w:val="008A59D9"/>
    <w:rsid w:val="008A6819"/>
    <w:rsid w:val="008B2EC0"/>
    <w:rsid w:val="008B670E"/>
    <w:rsid w:val="008C158C"/>
    <w:rsid w:val="008C63A3"/>
    <w:rsid w:val="008D1793"/>
    <w:rsid w:val="008D1B5C"/>
    <w:rsid w:val="008D3C82"/>
    <w:rsid w:val="008D447E"/>
    <w:rsid w:val="008D7A41"/>
    <w:rsid w:val="008E2C72"/>
    <w:rsid w:val="008E3680"/>
    <w:rsid w:val="008E5870"/>
    <w:rsid w:val="008F1434"/>
    <w:rsid w:val="008F54C3"/>
    <w:rsid w:val="008F5E1E"/>
    <w:rsid w:val="008F7355"/>
    <w:rsid w:val="009023DC"/>
    <w:rsid w:val="00903053"/>
    <w:rsid w:val="00903C0C"/>
    <w:rsid w:val="00904109"/>
    <w:rsid w:val="009067B7"/>
    <w:rsid w:val="0091011B"/>
    <w:rsid w:val="00913987"/>
    <w:rsid w:val="00922C78"/>
    <w:rsid w:val="00926560"/>
    <w:rsid w:val="00926FDD"/>
    <w:rsid w:val="00927F33"/>
    <w:rsid w:val="00930937"/>
    <w:rsid w:val="009324A6"/>
    <w:rsid w:val="00933E6C"/>
    <w:rsid w:val="00937958"/>
    <w:rsid w:val="00941602"/>
    <w:rsid w:val="00942160"/>
    <w:rsid w:val="00946626"/>
    <w:rsid w:val="0095146F"/>
    <w:rsid w:val="00953860"/>
    <w:rsid w:val="00957944"/>
    <w:rsid w:val="00957BFE"/>
    <w:rsid w:val="009602C5"/>
    <w:rsid w:val="00962223"/>
    <w:rsid w:val="00965F43"/>
    <w:rsid w:val="00966D0D"/>
    <w:rsid w:val="0096783C"/>
    <w:rsid w:val="009722B3"/>
    <w:rsid w:val="00972B23"/>
    <w:rsid w:val="00974C21"/>
    <w:rsid w:val="00976211"/>
    <w:rsid w:val="00977BF3"/>
    <w:rsid w:val="009803E4"/>
    <w:rsid w:val="00980B0E"/>
    <w:rsid w:val="00980FBD"/>
    <w:rsid w:val="009836A3"/>
    <w:rsid w:val="009855A8"/>
    <w:rsid w:val="0098676D"/>
    <w:rsid w:val="009913F4"/>
    <w:rsid w:val="009932BF"/>
    <w:rsid w:val="00993C6F"/>
    <w:rsid w:val="0099465B"/>
    <w:rsid w:val="00997A9F"/>
    <w:rsid w:val="009A0CDD"/>
    <w:rsid w:val="009A19C4"/>
    <w:rsid w:val="009A2D0C"/>
    <w:rsid w:val="009A3168"/>
    <w:rsid w:val="009A4B4B"/>
    <w:rsid w:val="009A61CA"/>
    <w:rsid w:val="009B0C64"/>
    <w:rsid w:val="009B0F67"/>
    <w:rsid w:val="009B2B6B"/>
    <w:rsid w:val="009B467F"/>
    <w:rsid w:val="009C0E17"/>
    <w:rsid w:val="009C703C"/>
    <w:rsid w:val="009D206E"/>
    <w:rsid w:val="009D3CAA"/>
    <w:rsid w:val="009D5B5F"/>
    <w:rsid w:val="009D6532"/>
    <w:rsid w:val="009E1994"/>
    <w:rsid w:val="009E3E34"/>
    <w:rsid w:val="009E40E1"/>
    <w:rsid w:val="009E4968"/>
    <w:rsid w:val="009E580E"/>
    <w:rsid w:val="009E6385"/>
    <w:rsid w:val="009E79D2"/>
    <w:rsid w:val="009F0EFA"/>
    <w:rsid w:val="009F4E46"/>
    <w:rsid w:val="009F5B65"/>
    <w:rsid w:val="009F5F2E"/>
    <w:rsid w:val="00A06225"/>
    <w:rsid w:val="00A128E6"/>
    <w:rsid w:val="00A144D3"/>
    <w:rsid w:val="00A17B66"/>
    <w:rsid w:val="00A2054E"/>
    <w:rsid w:val="00A22AC3"/>
    <w:rsid w:val="00A24302"/>
    <w:rsid w:val="00A25DC3"/>
    <w:rsid w:val="00A2744D"/>
    <w:rsid w:val="00A31BDE"/>
    <w:rsid w:val="00A3379F"/>
    <w:rsid w:val="00A34E6C"/>
    <w:rsid w:val="00A36398"/>
    <w:rsid w:val="00A37C8D"/>
    <w:rsid w:val="00A4020E"/>
    <w:rsid w:val="00A40FB5"/>
    <w:rsid w:val="00A42826"/>
    <w:rsid w:val="00A45785"/>
    <w:rsid w:val="00A5273B"/>
    <w:rsid w:val="00A53A9D"/>
    <w:rsid w:val="00A55FEE"/>
    <w:rsid w:val="00A619F7"/>
    <w:rsid w:val="00A62017"/>
    <w:rsid w:val="00A62C1A"/>
    <w:rsid w:val="00A62CB9"/>
    <w:rsid w:val="00A63B85"/>
    <w:rsid w:val="00A6426D"/>
    <w:rsid w:val="00A665C1"/>
    <w:rsid w:val="00A70622"/>
    <w:rsid w:val="00A70977"/>
    <w:rsid w:val="00A70D58"/>
    <w:rsid w:val="00A73A7E"/>
    <w:rsid w:val="00A744F9"/>
    <w:rsid w:val="00A75E4A"/>
    <w:rsid w:val="00A77613"/>
    <w:rsid w:val="00A8390C"/>
    <w:rsid w:val="00A8485D"/>
    <w:rsid w:val="00A85368"/>
    <w:rsid w:val="00A878A3"/>
    <w:rsid w:val="00A928BD"/>
    <w:rsid w:val="00A94626"/>
    <w:rsid w:val="00A96C15"/>
    <w:rsid w:val="00A97DE9"/>
    <w:rsid w:val="00AA12CD"/>
    <w:rsid w:val="00AA4D1C"/>
    <w:rsid w:val="00AB5856"/>
    <w:rsid w:val="00AC193C"/>
    <w:rsid w:val="00AC4DE5"/>
    <w:rsid w:val="00AC4E06"/>
    <w:rsid w:val="00AC5206"/>
    <w:rsid w:val="00AD4322"/>
    <w:rsid w:val="00AE0165"/>
    <w:rsid w:val="00AE0411"/>
    <w:rsid w:val="00AE11A5"/>
    <w:rsid w:val="00AE13E2"/>
    <w:rsid w:val="00AE22D3"/>
    <w:rsid w:val="00AE5777"/>
    <w:rsid w:val="00AE5A49"/>
    <w:rsid w:val="00AE7176"/>
    <w:rsid w:val="00AF1A7D"/>
    <w:rsid w:val="00AF62DF"/>
    <w:rsid w:val="00AF68CC"/>
    <w:rsid w:val="00AF70D7"/>
    <w:rsid w:val="00AF7A38"/>
    <w:rsid w:val="00AF7C4F"/>
    <w:rsid w:val="00B03B42"/>
    <w:rsid w:val="00B03FDE"/>
    <w:rsid w:val="00B07CFB"/>
    <w:rsid w:val="00B1059E"/>
    <w:rsid w:val="00B13262"/>
    <w:rsid w:val="00B170A5"/>
    <w:rsid w:val="00B176C8"/>
    <w:rsid w:val="00B205AA"/>
    <w:rsid w:val="00B22E84"/>
    <w:rsid w:val="00B233AD"/>
    <w:rsid w:val="00B23E25"/>
    <w:rsid w:val="00B25F75"/>
    <w:rsid w:val="00B26B3F"/>
    <w:rsid w:val="00B2778F"/>
    <w:rsid w:val="00B33635"/>
    <w:rsid w:val="00B3552F"/>
    <w:rsid w:val="00B40F37"/>
    <w:rsid w:val="00B43E90"/>
    <w:rsid w:val="00B45750"/>
    <w:rsid w:val="00B459D9"/>
    <w:rsid w:val="00B467DC"/>
    <w:rsid w:val="00B52B72"/>
    <w:rsid w:val="00B56118"/>
    <w:rsid w:val="00B5734D"/>
    <w:rsid w:val="00B600B7"/>
    <w:rsid w:val="00B6773F"/>
    <w:rsid w:val="00B7517D"/>
    <w:rsid w:val="00B755FC"/>
    <w:rsid w:val="00B75A0B"/>
    <w:rsid w:val="00B760FB"/>
    <w:rsid w:val="00B767AB"/>
    <w:rsid w:val="00B801BA"/>
    <w:rsid w:val="00B83E49"/>
    <w:rsid w:val="00B846C3"/>
    <w:rsid w:val="00B84D5C"/>
    <w:rsid w:val="00B84EA0"/>
    <w:rsid w:val="00BA2309"/>
    <w:rsid w:val="00BA2DA8"/>
    <w:rsid w:val="00BA347C"/>
    <w:rsid w:val="00BB60CD"/>
    <w:rsid w:val="00BB69F5"/>
    <w:rsid w:val="00BB7EC3"/>
    <w:rsid w:val="00BC2E87"/>
    <w:rsid w:val="00BC4B9A"/>
    <w:rsid w:val="00BC7246"/>
    <w:rsid w:val="00BD02C3"/>
    <w:rsid w:val="00BD784C"/>
    <w:rsid w:val="00BE020A"/>
    <w:rsid w:val="00BF092C"/>
    <w:rsid w:val="00BF27A0"/>
    <w:rsid w:val="00BF4CB6"/>
    <w:rsid w:val="00BF5A6C"/>
    <w:rsid w:val="00C00DA7"/>
    <w:rsid w:val="00C01778"/>
    <w:rsid w:val="00C032BB"/>
    <w:rsid w:val="00C12027"/>
    <w:rsid w:val="00C12768"/>
    <w:rsid w:val="00C12D70"/>
    <w:rsid w:val="00C21A8D"/>
    <w:rsid w:val="00C21B09"/>
    <w:rsid w:val="00C2673A"/>
    <w:rsid w:val="00C2734F"/>
    <w:rsid w:val="00C27B58"/>
    <w:rsid w:val="00C356D1"/>
    <w:rsid w:val="00C35996"/>
    <w:rsid w:val="00C40418"/>
    <w:rsid w:val="00C420C1"/>
    <w:rsid w:val="00C45A61"/>
    <w:rsid w:val="00C4747E"/>
    <w:rsid w:val="00C501A1"/>
    <w:rsid w:val="00C5342C"/>
    <w:rsid w:val="00C53B2B"/>
    <w:rsid w:val="00C5463F"/>
    <w:rsid w:val="00C54DA1"/>
    <w:rsid w:val="00C569A2"/>
    <w:rsid w:val="00C57677"/>
    <w:rsid w:val="00C60272"/>
    <w:rsid w:val="00C603D4"/>
    <w:rsid w:val="00C6256A"/>
    <w:rsid w:val="00C63E19"/>
    <w:rsid w:val="00C702A6"/>
    <w:rsid w:val="00C710E2"/>
    <w:rsid w:val="00C71C3F"/>
    <w:rsid w:val="00C7409E"/>
    <w:rsid w:val="00C76E76"/>
    <w:rsid w:val="00C77891"/>
    <w:rsid w:val="00C804FC"/>
    <w:rsid w:val="00C839C4"/>
    <w:rsid w:val="00C91449"/>
    <w:rsid w:val="00C92D10"/>
    <w:rsid w:val="00C9421E"/>
    <w:rsid w:val="00C95D32"/>
    <w:rsid w:val="00CA2629"/>
    <w:rsid w:val="00CA48D9"/>
    <w:rsid w:val="00CB1193"/>
    <w:rsid w:val="00CB4767"/>
    <w:rsid w:val="00CB493D"/>
    <w:rsid w:val="00CC1958"/>
    <w:rsid w:val="00CC3B97"/>
    <w:rsid w:val="00CD2D36"/>
    <w:rsid w:val="00CE0125"/>
    <w:rsid w:val="00CE10C4"/>
    <w:rsid w:val="00CE1309"/>
    <w:rsid w:val="00CE27AF"/>
    <w:rsid w:val="00CE27B5"/>
    <w:rsid w:val="00CE42EE"/>
    <w:rsid w:val="00CE6DAF"/>
    <w:rsid w:val="00CF090E"/>
    <w:rsid w:val="00CF199C"/>
    <w:rsid w:val="00CF410A"/>
    <w:rsid w:val="00CF7FE5"/>
    <w:rsid w:val="00D002CF"/>
    <w:rsid w:val="00D0321E"/>
    <w:rsid w:val="00D03CA0"/>
    <w:rsid w:val="00D05D8A"/>
    <w:rsid w:val="00D07A8A"/>
    <w:rsid w:val="00D10510"/>
    <w:rsid w:val="00D1455A"/>
    <w:rsid w:val="00D22093"/>
    <w:rsid w:val="00D24BCA"/>
    <w:rsid w:val="00D26380"/>
    <w:rsid w:val="00D31150"/>
    <w:rsid w:val="00D3138B"/>
    <w:rsid w:val="00D3280C"/>
    <w:rsid w:val="00D3406A"/>
    <w:rsid w:val="00D36E54"/>
    <w:rsid w:val="00D441F1"/>
    <w:rsid w:val="00D44798"/>
    <w:rsid w:val="00D4572C"/>
    <w:rsid w:val="00D45EFC"/>
    <w:rsid w:val="00D4618F"/>
    <w:rsid w:val="00D469B2"/>
    <w:rsid w:val="00D5581F"/>
    <w:rsid w:val="00D61CC4"/>
    <w:rsid w:val="00D6474E"/>
    <w:rsid w:val="00D65658"/>
    <w:rsid w:val="00D67F39"/>
    <w:rsid w:val="00D72B6F"/>
    <w:rsid w:val="00D741EB"/>
    <w:rsid w:val="00D7679C"/>
    <w:rsid w:val="00D80A47"/>
    <w:rsid w:val="00D820F3"/>
    <w:rsid w:val="00D82110"/>
    <w:rsid w:val="00D83605"/>
    <w:rsid w:val="00D84934"/>
    <w:rsid w:val="00D878B6"/>
    <w:rsid w:val="00D91271"/>
    <w:rsid w:val="00D919F5"/>
    <w:rsid w:val="00D94F03"/>
    <w:rsid w:val="00D96ECD"/>
    <w:rsid w:val="00DA088A"/>
    <w:rsid w:val="00DA0D14"/>
    <w:rsid w:val="00DA1FC9"/>
    <w:rsid w:val="00DA2CB5"/>
    <w:rsid w:val="00DA4BAC"/>
    <w:rsid w:val="00DB0151"/>
    <w:rsid w:val="00DB1B7A"/>
    <w:rsid w:val="00DC2C3E"/>
    <w:rsid w:val="00DC4880"/>
    <w:rsid w:val="00DD4F92"/>
    <w:rsid w:val="00DE501B"/>
    <w:rsid w:val="00DE5738"/>
    <w:rsid w:val="00DE6D27"/>
    <w:rsid w:val="00DF217D"/>
    <w:rsid w:val="00DF26A7"/>
    <w:rsid w:val="00DF3277"/>
    <w:rsid w:val="00DF5615"/>
    <w:rsid w:val="00DF5B49"/>
    <w:rsid w:val="00DF7919"/>
    <w:rsid w:val="00E0207E"/>
    <w:rsid w:val="00E03912"/>
    <w:rsid w:val="00E1082E"/>
    <w:rsid w:val="00E14C17"/>
    <w:rsid w:val="00E15627"/>
    <w:rsid w:val="00E164B3"/>
    <w:rsid w:val="00E16910"/>
    <w:rsid w:val="00E24E09"/>
    <w:rsid w:val="00E27234"/>
    <w:rsid w:val="00E317EB"/>
    <w:rsid w:val="00E31E9A"/>
    <w:rsid w:val="00E324DC"/>
    <w:rsid w:val="00E42BDB"/>
    <w:rsid w:val="00E43A55"/>
    <w:rsid w:val="00E44E03"/>
    <w:rsid w:val="00E5002A"/>
    <w:rsid w:val="00E50073"/>
    <w:rsid w:val="00E52757"/>
    <w:rsid w:val="00E5669D"/>
    <w:rsid w:val="00E576C6"/>
    <w:rsid w:val="00E57EEB"/>
    <w:rsid w:val="00E62D94"/>
    <w:rsid w:val="00E64F37"/>
    <w:rsid w:val="00E65E54"/>
    <w:rsid w:val="00E661C7"/>
    <w:rsid w:val="00E664AC"/>
    <w:rsid w:val="00E72E70"/>
    <w:rsid w:val="00E80155"/>
    <w:rsid w:val="00E81E0D"/>
    <w:rsid w:val="00E81F28"/>
    <w:rsid w:val="00E848C0"/>
    <w:rsid w:val="00E85A16"/>
    <w:rsid w:val="00E91677"/>
    <w:rsid w:val="00E91B96"/>
    <w:rsid w:val="00E91DEE"/>
    <w:rsid w:val="00E93D1E"/>
    <w:rsid w:val="00E9407E"/>
    <w:rsid w:val="00E941A1"/>
    <w:rsid w:val="00E95264"/>
    <w:rsid w:val="00E957C1"/>
    <w:rsid w:val="00E95CE3"/>
    <w:rsid w:val="00EA0B5E"/>
    <w:rsid w:val="00EA252F"/>
    <w:rsid w:val="00EA2825"/>
    <w:rsid w:val="00EA7EDE"/>
    <w:rsid w:val="00EB0767"/>
    <w:rsid w:val="00EB0B63"/>
    <w:rsid w:val="00EB1027"/>
    <w:rsid w:val="00EB1936"/>
    <w:rsid w:val="00EB37BE"/>
    <w:rsid w:val="00EB5088"/>
    <w:rsid w:val="00EB6653"/>
    <w:rsid w:val="00EB674D"/>
    <w:rsid w:val="00EC378B"/>
    <w:rsid w:val="00EC610F"/>
    <w:rsid w:val="00ED1644"/>
    <w:rsid w:val="00ED2593"/>
    <w:rsid w:val="00ED5A33"/>
    <w:rsid w:val="00ED7D9C"/>
    <w:rsid w:val="00EE502A"/>
    <w:rsid w:val="00EE5473"/>
    <w:rsid w:val="00EF0069"/>
    <w:rsid w:val="00EF44A0"/>
    <w:rsid w:val="00EF4FED"/>
    <w:rsid w:val="00F007C6"/>
    <w:rsid w:val="00F0172E"/>
    <w:rsid w:val="00F0180A"/>
    <w:rsid w:val="00F04118"/>
    <w:rsid w:val="00F050BD"/>
    <w:rsid w:val="00F05657"/>
    <w:rsid w:val="00F209E2"/>
    <w:rsid w:val="00F221AB"/>
    <w:rsid w:val="00F25578"/>
    <w:rsid w:val="00F258E5"/>
    <w:rsid w:val="00F25B9C"/>
    <w:rsid w:val="00F26CC6"/>
    <w:rsid w:val="00F27F22"/>
    <w:rsid w:val="00F300BC"/>
    <w:rsid w:val="00F3074F"/>
    <w:rsid w:val="00F31BB2"/>
    <w:rsid w:val="00F32168"/>
    <w:rsid w:val="00F3263C"/>
    <w:rsid w:val="00F3334E"/>
    <w:rsid w:val="00F34CCA"/>
    <w:rsid w:val="00F36CCB"/>
    <w:rsid w:val="00F374E5"/>
    <w:rsid w:val="00F37B93"/>
    <w:rsid w:val="00F43AF2"/>
    <w:rsid w:val="00F5007E"/>
    <w:rsid w:val="00F50EC4"/>
    <w:rsid w:val="00F52232"/>
    <w:rsid w:val="00F548F7"/>
    <w:rsid w:val="00F550CF"/>
    <w:rsid w:val="00F57A6D"/>
    <w:rsid w:val="00F609E5"/>
    <w:rsid w:val="00F638CC"/>
    <w:rsid w:val="00F648E7"/>
    <w:rsid w:val="00F64C9E"/>
    <w:rsid w:val="00F64CC1"/>
    <w:rsid w:val="00F72317"/>
    <w:rsid w:val="00F80475"/>
    <w:rsid w:val="00F8247A"/>
    <w:rsid w:val="00F91B94"/>
    <w:rsid w:val="00F9629A"/>
    <w:rsid w:val="00F97EFC"/>
    <w:rsid w:val="00FA018E"/>
    <w:rsid w:val="00FA1BDD"/>
    <w:rsid w:val="00FA4DD5"/>
    <w:rsid w:val="00FA5883"/>
    <w:rsid w:val="00FA6055"/>
    <w:rsid w:val="00FB322F"/>
    <w:rsid w:val="00FB442F"/>
    <w:rsid w:val="00FB6871"/>
    <w:rsid w:val="00FC1929"/>
    <w:rsid w:val="00FC3C00"/>
    <w:rsid w:val="00FC5662"/>
    <w:rsid w:val="00FC5B46"/>
    <w:rsid w:val="00FD6B6A"/>
    <w:rsid w:val="00FD6D8E"/>
    <w:rsid w:val="00FD7BC1"/>
    <w:rsid w:val="00FE0E94"/>
    <w:rsid w:val="00FE3CD9"/>
    <w:rsid w:val="00FE4D1E"/>
    <w:rsid w:val="00FE65B1"/>
    <w:rsid w:val="00FF00BD"/>
    <w:rsid w:val="00FF03D0"/>
    <w:rsid w:val="00FF1ED4"/>
    <w:rsid w:val="00FF2801"/>
    <w:rsid w:val="00FF7161"/>
    <w:rsid w:val="00FF7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17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653493"/>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53493"/>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653493"/>
    <w:pPr>
      <w:numPr>
        <w:ilvl w:val="1"/>
        <w:numId w:val="3"/>
      </w:num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
    <w:basedOn w:val="Normal"/>
    <w:next w:val="Normal"/>
    <w:link w:val="CaptionChar"/>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paragraph" w:customStyle="1" w:styleId="TableLeft">
    <w:name w:val="Table Left"/>
    <w:basedOn w:val="Normal"/>
    <w:link w:val="TableLeftChar"/>
    <w:uiPriority w:val="99"/>
    <w:qFormat/>
    <w:rsid w:val="009E4968"/>
    <w:pPr>
      <w:jc w:val="both"/>
    </w:pPr>
    <w:rPr>
      <w:rFonts w:ascii="Calibri" w:eastAsiaTheme="majorEastAsia" w:hAnsi="Calibri" w:cstheme="majorBidi"/>
      <w:sz w:val="18"/>
      <w:szCs w:val="22"/>
      <w:lang w:eastAsia="en-US" w:bidi="en-US"/>
    </w:rPr>
  </w:style>
  <w:style w:type="character" w:customStyle="1" w:styleId="TableLeftChar">
    <w:name w:val="Table Left Char"/>
    <w:basedOn w:val="DefaultParagraphFont"/>
    <w:link w:val="TableLeft"/>
    <w:uiPriority w:val="99"/>
    <w:locked/>
    <w:rsid w:val="009E4968"/>
    <w:rPr>
      <w:rFonts w:ascii="Calibri" w:eastAsiaTheme="majorEastAsia" w:hAnsi="Calibri" w:cstheme="majorBidi"/>
      <w:sz w:val="18"/>
      <w:szCs w:val="22"/>
      <w:lang w:eastAsia="en-US" w:bidi="en-US"/>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basedOn w:val="DefaultParagraphFont"/>
    <w:link w:val="Caption"/>
    <w:rsid w:val="005909BC"/>
    <w:rPr>
      <w:rFonts w:ascii="Calibri" w:hAnsi="Calibri"/>
      <w:i/>
      <w:iCs/>
      <w:color w:val="000000" w:themeColor="text1"/>
      <w:sz w:val="18"/>
      <w:szCs w:val="18"/>
    </w:rPr>
  </w:style>
  <w:style w:type="table" w:customStyle="1" w:styleId="TableGrid1">
    <w:name w:val="Table Grid1"/>
    <w:basedOn w:val="TableNormal"/>
    <w:next w:val="TableGrid"/>
    <w:uiPriority w:val="59"/>
    <w:rsid w:val="005909BC"/>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002A-B7A9-4753-921B-6262AA5A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2020-02-27T01:18:00Z</dcterms:created>
  <dcterms:modified xsi:type="dcterms:W3CDTF">2020-03-03T02:28:00Z</dcterms:modified>
</cp:coreProperties>
</file>