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AB" w:rsidRPr="001F339C" w:rsidRDefault="002104AB" w:rsidP="008615AD">
      <w:pPr>
        <w:rPr>
          <w:rFonts w:asciiTheme="minorHAnsi" w:hAnsiTheme="minorHAnsi" w:cstheme="minorHAnsi"/>
        </w:rPr>
      </w:pPr>
    </w:p>
    <w:p w:rsidR="008615AD" w:rsidRPr="001F339C" w:rsidRDefault="008615AD" w:rsidP="008615AD">
      <w:pPr>
        <w:rPr>
          <w:rFonts w:asciiTheme="minorHAnsi" w:hAnsiTheme="minorHAnsi" w:cstheme="minorHAnsi"/>
          <w:b/>
          <w:sz w:val="36"/>
          <w:szCs w:val="36"/>
        </w:rPr>
      </w:pPr>
      <w:r w:rsidRPr="001F339C">
        <w:rPr>
          <w:rFonts w:ascii="Calibri" w:eastAsia="Calibri" w:hAnsi="Calibri"/>
          <w:b/>
          <w:sz w:val="36"/>
          <w:szCs w:val="36"/>
          <w:lang w:eastAsia="en-US"/>
        </w:rPr>
        <w:t>7.09</w:t>
      </w:r>
      <w:r w:rsidR="00BF27A0" w:rsidRPr="001F339C">
        <w:rPr>
          <w:rFonts w:ascii="Calibri" w:eastAsia="Calibri" w:hAnsi="Calibri"/>
          <w:b/>
          <w:sz w:val="36"/>
          <w:szCs w:val="36"/>
          <w:lang w:eastAsia="en-US"/>
        </w:rPr>
        <w:tab/>
      </w:r>
      <w:r w:rsidRPr="001F339C">
        <w:rPr>
          <w:rFonts w:asciiTheme="minorHAnsi" w:hAnsiTheme="minorHAnsi" w:cstheme="minorHAnsi"/>
          <w:b/>
          <w:sz w:val="36"/>
          <w:szCs w:val="36"/>
        </w:rPr>
        <w:t>BUDESONIDE with FORMOTEROL,</w:t>
      </w:r>
    </w:p>
    <w:p w:rsidR="008615AD" w:rsidRPr="001F339C" w:rsidRDefault="008615AD" w:rsidP="008615AD">
      <w:pPr>
        <w:ind w:left="720"/>
        <w:rPr>
          <w:rFonts w:asciiTheme="minorHAnsi" w:hAnsiTheme="minorHAnsi" w:cstheme="minorHAnsi"/>
          <w:b/>
          <w:sz w:val="36"/>
          <w:szCs w:val="36"/>
        </w:rPr>
      </w:pPr>
      <w:r w:rsidRPr="001F339C">
        <w:rPr>
          <w:rFonts w:asciiTheme="minorHAnsi" w:hAnsiTheme="minorHAnsi" w:cstheme="minorHAnsi"/>
          <w:b/>
          <w:sz w:val="36"/>
          <w:szCs w:val="36"/>
        </w:rPr>
        <w:t xml:space="preserve">Powder for oral inhalation in breath actuated device containing budesonide 200 micrograms with </w:t>
      </w:r>
      <w:proofErr w:type="spellStart"/>
      <w:r w:rsidRPr="001F339C">
        <w:rPr>
          <w:rFonts w:asciiTheme="minorHAnsi" w:hAnsiTheme="minorHAnsi" w:cstheme="minorHAnsi"/>
          <w:b/>
          <w:sz w:val="36"/>
          <w:szCs w:val="36"/>
        </w:rPr>
        <w:t>formoterol</w:t>
      </w:r>
      <w:proofErr w:type="spellEnd"/>
      <w:r w:rsidRPr="001F339C">
        <w:rPr>
          <w:rFonts w:asciiTheme="minorHAnsi" w:hAnsiTheme="minorHAnsi" w:cstheme="minorHAnsi"/>
          <w:b/>
          <w:sz w:val="36"/>
          <w:szCs w:val="36"/>
        </w:rPr>
        <w:t xml:space="preserve"> fumarate </w:t>
      </w:r>
      <w:proofErr w:type="spellStart"/>
      <w:r w:rsidRPr="001F339C">
        <w:rPr>
          <w:rFonts w:asciiTheme="minorHAnsi" w:hAnsiTheme="minorHAnsi" w:cstheme="minorHAnsi"/>
          <w:b/>
          <w:sz w:val="36"/>
          <w:szCs w:val="36"/>
        </w:rPr>
        <w:t>dihydrate</w:t>
      </w:r>
      <w:proofErr w:type="spellEnd"/>
      <w:r w:rsidRPr="001F339C">
        <w:rPr>
          <w:rFonts w:asciiTheme="minorHAnsi" w:hAnsiTheme="minorHAnsi" w:cstheme="minorHAnsi"/>
          <w:b/>
          <w:sz w:val="36"/>
          <w:szCs w:val="36"/>
        </w:rPr>
        <w:t xml:space="preserve"> 6 micrograms per dose, 120 doses</w:t>
      </w:r>
      <w:r w:rsidRPr="001F339C" w:rsidDel="00B23A5B">
        <w:rPr>
          <w:rFonts w:asciiTheme="minorHAnsi" w:hAnsiTheme="minorHAnsi" w:cstheme="minorHAnsi"/>
          <w:b/>
          <w:sz w:val="36"/>
          <w:szCs w:val="36"/>
        </w:rPr>
        <w:t xml:space="preserve"> </w:t>
      </w:r>
      <w:r w:rsidRPr="001F339C">
        <w:rPr>
          <w:rFonts w:asciiTheme="minorHAnsi" w:hAnsiTheme="minorHAnsi" w:cstheme="minorHAnsi"/>
          <w:b/>
          <w:sz w:val="36"/>
          <w:szCs w:val="36"/>
        </w:rPr>
        <w:t xml:space="preserve">(SYMBICORT </w:t>
      </w:r>
      <w:proofErr w:type="spellStart"/>
      <w:r w:rsidRPr="001F339C">
        <w:rPr>
          <w:rFonts w:asciiTheme="minorHAnsi" w:hAnsiTheme="minorHAnsi" w:cstheme="minorHAnsi"/>
          <w:b/>
          <w:sz w:val="36"/>
          <w:szCs w:val="36"/>
        </w:rPr>
        <w:t>Turbuhaler</w:t>
      </w:r>
      <w:proofErr w:type="spellEnd"/>
      <w:r w:rsidRPr="001F339C">
        <w:rPr>
          <w:rFonts w:asciiTheme="minorHAnsi" w:hAnsiTheme="minorHAnsi" w:cstheme="minorHAnsi"/>
          <w:b/>
          <w:sz w:val="36"/>
          <w:szCs w:val="36"/>
        </w:rPr>
        <w:t xml:space="preserve">® 200/6), </w:t>
      </w:r>
    </w:p>
    <w:p w:rsidR="008615AD" w:rsidRPr="001F339C" w:rsidRDefault="008615AD" w:rsidP="008615AD">
      <w:pPr>
        <w:ind w:left="720"/>
        <w:rPr>
          <w:rFonts w:asciiTheme="minorHAnsi" w:hAnsiTheme="minorHAnsi" w:cstheme="minorHAnsi"/>
          <w:b/>
          <w:sz w:val="36"/>
          <w:szCs w:val="36"/>
        </w:rPr>
      </w:pPr>
      <w:r w:rsidRPr="001F339C">
        <w:rPr>
          <w:rFonts w:asciiTheme="minorHAnsi" w:hAnsiTheme="minorHAnsi" w:cstheme="minorHAnsi"/>
          <w:b/>
          <w:sz w:val="36"/>
          <w:szCs w:val="36"/>
        </w:rPr>
        <w:t xml:space="preserve">Pressurised inhalation containing budesonide 100 micrograms with </w:t>
      </w:r>
      <w:proofErr w:type="spellStart"/>
      <w:r w:rsidRPr="001F339C">
        <w:rPr>
          <w:rFonts w:asciiTheme="minorHAnsi" w:hAnsiTheme="minorHAnsi" w:cstheme="minorHAnsi"/>
          <w:b/>
          <w:sz w:val="36"/>
          <w:szCs w:val="36"/>
        </w:rPr>
        <w:t>formoterol</w:t>
      </w:r>
      <w:proofErr w:type="spellEnd"/>
      <w:r w:rsidRPr="001F339C">
        <w:rPr>
          <w:rFonts w:asciiTheme="minorHAnsi" w:hAnsiTheme="minorHAnsi" w:cstheme="minorHAnsi"/>
          <w:b/>
          <w:sz w:val="36"/>
          <w:szCs w:val="36"/>
        </w:rPr>
        <w:t xml:space="preserve"> fumarate </w:t>
      </w:r>
      <w:proofErr w:type="spellStart"/>
      <w:r w:rsidRPr="001F339C">
        <w:rPr>
          <w:rFonts w:asciiTheme="minorHAnsi" w:hAnsiTheme="minorHAnsi" w:cstheme="minorHAnsi"/>
          <w:b/>
          <w:sz w:val="36"/>
          <w:szCs w:val="36"/>
        </w:rPr>
        <w:t>dihydrate</w:t>
      </w:r>
      <w:proofErr w:type="spellEnd"/>
      <w:r w:rsidRPr="001F339C">
        <w:rPr>
          <w:rFonts w:asciiTheme="minorHAnsi" w:hAnsiTheme="minorHAnsi" w:cstheme="minorHAnsi"/>
          <w:b/>
          <w:sz w:val="36"/>
          <w:szCs w:val="36"/>
        </w:rPr>
        <w:t xml:space="preserve"> 3 micrograms per dose, 120 doses</w:t>
      </w:r>
      <w:r w:rsidRPr="001F339C" w:rsidDel="00B23A5B">
        <w:rPr>
          <w:rFonts w:asciiTheme="minorHAnsi" w:hAnsiTheme="minorHAnsi" w:cstheme="minorHAnsi"/>
          <w:b/>
          <w:sz w:val="36"/>
          <w:szCs w:val="36"/>
        </w:rPr>
        <w:t xml:space="preserve"> </w:t>
      </w:r>
      <w:r w:rsidRPr="001F339C">
        <w:rPr>
          <w:rFonts w:asciiTheme="minorHAnsi" w:hAnsiTheme="minorHAnsi" w:cstheme="minorHAnsi"/>
          <w:b/>
          <w:sz w:val="36"/>
          <w:szCs w:val="36"/>
        </w:rPr>
        <w:t xml:space="preserve">(SYMBICORT </w:t>
      </w:r>
      <w:proofErr w:type="spellStart"/>
      <w:r w:rsidRPr="001F339C">
        <w:rPr>
          <w:rFonts w:asciiTheme="minorHAnsi" w:hAnsiTheme="minorHAnsi" w:cstheme="minorHAnsi"/>
          <w:b/>
          <w:sz w:val="36"/>
          <w:szCs w:val="36"/>
        </w:rPr>
        <w:t>Rapihaler</w:t>
      </w:r>
      <w:proofErr w:type="spellEnd"/>
      <w:r w:rsidRPr="001F339C">
        <w:rPr>
          <w:rFonts w:asciiTheme="minorHAnsi" w:hAnsiTheme="minorHAnsi" w:cstheme="minorHAnsi"/>
          <w:b/>
          <w:sz w:val="36"/>
          <w:szCs w:val="36"/>
        </w:rPr>
        <w:t xml:space="preserve">® 100/3), </w:t>
      </w:r>
    </w:p>
    <w:p w:rsidR="006552E6" w:rsidRPr="001F339C" w:rsidRDefault="008615AD" w:rsidP="00C50199">
      <w:pPr>
        <w:ind w:firstLine="720"/>
        <w:rPr>
          <w:rFonts w:asciiTheme="minorHAnsi" w:hAnsiTheme="minorHAnsi" w:cstheme="minorHAnsi"/>
          <w:b/>
          <w:sz w:val="36"/>
          <w:szCs w:val="36"/>
        </w:rPr>
      </w:pPr>
      <w:r w:rsidRPr="001F339C">
        <w:rPr>
          <w:rFonts w:asciiTheme="minorHAnsi" w:hAnsiTheme="minorHAnsi" w:cstheme="minorHAnsi"/>
          <w:b/>
          <w:sz w:val="36"/>
          <w:szCs w:val="36"/>
        </w:rPr>
        <w:t>AstraZeneca Pty Ltd</w:t>
      </w:r>
    </w:p>
    <w:p w:rsidR="008A50F1" w:rsidRPr="001F339C" w:rsidRDefault="00CE10C4" w:rsidP="002104AB">
      <w:pPr>
        <w:pStyle w:val="2Sections"/>
        <w:numPr>
          <w:ilvl w:val="0"/>
          <w:numId w:val="7"/>
        </w:numPr>
      </w:pPr>
      <w:r w:rsidRPr="001F339C">
        <w:t xml:space="preserve">Purpose of </w:t>
      </w:r>
      <w:r w:rsidR="0004240E" w:rsidRPr="001F339C">
        <w:t>Application</w:t>
      </w:r>
      <w:r w:rsidR="00034905" w:rsidRPr="001F339C">
        <w:t xml:space="preserve"> </w:t>
      </w:r>
    </w:p>
    <w:p w:rsidR="00E1115C" w:rsidRPr="001F339C" w:rsidRDefault="00EF44A0" w:rsidP="00E1115C">
      <w:pPr>
        <w:pStyle w:val="ListParagraph"/>
        <w:widowControl/>
        <w:numPr>
          <w:ilvl w:val="1"/>
          <w:numId w:val="1"/>
        </w:numPr>
        <w:spacing w:after="120"/>
        <w:contextualSpacing w:val="0"/>
        <w:rPr>
          <w:rFonts w:asciiTheme="minorHAnsi" w:eastAsiaTheme="minorHAnsi" w:hAnsiTheme="minorHAnsi" w:cstheme="minorHAnsi"/>
          <w:snapToGrid/>
          <w:sz w:val="24"/>
          <w:szCs w:val="24"/>
        </w:rPr>
      </w:pPr>
      <w:r w:rsidRPr="001F339C">
        <w:rPr>
          <w:rFonts w:asciiTheme="minorHAnsi" w:eastAsiaTheme="minorHAnsi" w:hAnsiTheme="minorHAnsi" w:cstheme="minorHAnsi"/>
          <w:snapToGrid/>
          <w:sz w:val="24"/>
          <w:szCs w:val="24"/>
        </w:rPr>
        <w:t>The mi</w:t>
      </w:r>
      <w:r w:rsidR="00FF2801" w:rsidRPr="001F339C">
        <w:rPr>
          <w:rFonts w:asciiTheme="minorHAnsi" w:eastAsiaTheme="minorHAnsi" w:hAnsiTheme="minorHAnsi" w:cstheme="minorHAnsi"/>
          <w:snapToGrid/>
          <w:sz w:val="24"/>
          <w:szCs w:val="24"/>
        </w:rPr>
        <w:t xml:space="preserve">nor </w:t>
      </w:r>
      <w:r w:rsidR="006003A2" w:rsidRPr="001F339C">
        <w:rPr>
          <w:rFonts w:asciiTheme="minorHAnsi" w:eastAsiaTheme="minorHAnsi" w:hAnsiTheme="minorHAnsi" w:cstheme="minorHAnsi"/>
          <w:snapToGrid/>
          <w:sz w:val="24"/>
          <w:szCs w:val="24"/>
        </w:rPr>
        <w:t>re</w:t>
      </w:r>
      <w:r w:rsidR="00FF2801" w:rsidRPr="001F339C">
        <w:rPr>
          <w:rFonts w:asciiTheme="minorHAnsi" w:eastAsiaTheme="minorHAnsi" w:hAnsiTheme="minorHAnsi" w:cstheme="minorHAnsi"/>
          <w:snapToGrid/>
          <w:sz w:val="24"/>
          <w:szCs w:val="24"/>
        </w:rPr>
        <w:t xml:space="preserve">submission </w:t>
      </w:r>
      <w:r w:rsidR="003E5067" w:rsidRPr="001F339C">
        <w:rPr>
          <w:rFonts w:asciiTheme="minorHAnsi" w:eastAsiaTheme="minorHAnsi" w:hAnsiTheme="minorHAnsi" w:cstheme="minorHAnsi"/>
          <w:snapToGrid/>
          <w:sz w:val="24"/>
          <w:szCs w:val="24"/>
        </w:rPr>
        <w:t xml:space="preserve">requested </w:t>
      </w:r>
      <w:r w:rsidR="00D33004" w:rsidRPr="001F339C">
        <w:rPr>
          <w:rFonts w:asciiTheme="minorHAnsi" w:eastAsiaTheme="minorHAnsi" w:hAnsiTheme="minorHAnsi" w:cstheme="minorHAnsi"/>
          <w:snapToGrid/>
          <w:sz w:val="24"/>
          <w:szCs w:val="24"/>
        </w:rPr>
        <w:t>an</w:t>
      </w:r>
      <w:r w:rsidR="006C17F7" w:rsidRPr="001F339C">
        <w:rPr>
          <w:rFonts w:asciiTheme="minorHAnsi" w:eastAsiaTheme="minorHAnsi" w:hAnsiTheme="minorHAnsi" w:cstheme="minorHAnsi"/>
          <w:snapToGrid/>
          <w:sz w:val="24"/>
          <w:szCs w:val="24"/>
        </w:rPr>
        <w:t xml:space="preserve"> </w:t>
      </w:r>
      <w:r w:rsidR="003E5067" w:rsidRPr="001F339C">
        <w:rPr>
          <w:rFonts w:asciiTheme="minorHAnsi" w:eastAsiaTheme="minorHAnsi" w:hAnsiTheme="minorHAnsi" w:cstheme="minorHAnsi"/>
          <w:snapToGrid/>
          <w:sz w:val="24"/>
          <w:szCs w:val="24"/>
        </w:rPr>
        <w:t xml:space="preserve">Authority Required (STREAMLINED) listing for budesonide with </w:t>
      </w:r>
      <w:proofErr w:type="spellStart"/>
      <w:r w:rsidR="003E5067" w:rsidRPr="001F339C">
        <w:rPr>
          <w:rFonts w:asciiTheme="minorHAnsi" w:eastAsiaTheme="minorHAnsi" w:hAnsiTheme="minorHAnsi" w:cstheme="minorHAnsi"/>
          <w:snapToGrid/>
          <w:sz w:val="24"/>
          <w:szCs w:val="24"/>
        </w:rPr>
        <w:t>formoterol</w:t>
      </w:r>
      <w:proofErr w:type="spellEnd"/>
      <w:r w:rsidR="003E5067" w:rsidRPr="001F339C">
        <w:rPr>
          <w:rFonts w:asciiTheme="minorHAnsi" w:eastAsiaTheme="minorHAnsi" w:hAnsiTheme="minorHAnsi" w:cstheme="minorHAnsi"/>
          <w:snapToGrid/>
          <w:sz w:val="24"/>
          <w:szCs w:val="24"/>
        </w:rPr>
        <w:t xml:space="preserve"> fixed dose combination</w:t>
      </w:r>
      <w:r w:rsidR="006003A2" w:rsidRPr="001F339C">
        <w:rPr>
          <w:rFonts w:asciiTheme="minorHAnsi" w:eastAsiaTheme="minorHAnsi" w:hAnsiTheme="minorHAnsi" w:cstheme="minorHAnsi"/>
          <w:snapToGrid/>
          <w:sz w:val="24"/>
          <w:szCs w:val="24"/>
        </w:rPr>
        <w:t xml:space="preserve"> (</w:t>
      </w:r>
      <w:proofErr w:type="spellStart"/>
      <w:r w:rsidR="003E5067" w:rsidRPr="001F339C">
        <w:rPr>
          <w:rFonts w:asciiTheme="minorHAnsi" w:eastAsiaTheme="minorHAnsi" w:hAnsiTheme="minorHAnsi" w:cstheme="minorHAnsi"/>
          <w:snapToGrid/>
          <w:sz w:val="24"/>
          <w:szCs w:val="24"/>
        </w:rPr>
        <w:t>Symbicort</w:t>
      </w:r>
      <w:proofErr w:type="spellEnd"/>
      <w:r w:rsidR="003E5067" w:rsidRPr="001F339C">
        <w:rPr>
          <w:rFonts w:asciiTheme="minorHAnsi" w:eastAsiaTheme="minorHAnsi" w:hAnsiTheme="minorHAnsi" w:cstheme="minorHAnsi"/>
          <w:snapToGrid/>
          <w:sz w:val="24"/>
          <w:szCs w:val="24"/>
        </w:rPr>
        <w:t xml:space="preserve">) </w:t>
      </w:r>
      <w:r w:rsidR="00E1115C" w:rsidRPr="001F339C">
        <w:rPr>
          <w:rFonts w:asciiTheme="minorHAnsi" w:eastAsiaTheme="minorHAnsi" w:hAnsiTheme="minorHAnsi" w:cstheme="minorHAnsi"/>
          <w:snapToGrid/>
          <w:sz w:val="24"/>
          <w:szCs w:val="24"/>
        </w:rPr>
        <w:t xml:space="preserve">for asthma to include use as </w:t>
      </w:r>
      <w:r w:rsidR="003E5067" w:rsidRPr="001F339C">
        <w:rPr>
          <w:rFonts w:asciiTheme="minorHAnsi" w:eastAsiaTheme="minorHAnsi" w:hAnsiTheme="minorHAnsi" w:cstheme="minorHAnsi"/>
          <w:snapToGrid/>
          <w:sz w:val="24"/>
          <w:szCs w:val="24"/>
        </w:rPr>
        <w:t>an anti-inflammatory reliever t</w:t>
      </w:r>
      <w:r w:rsidR="006003A2" w:rsidRPr="001F339C">
        <w:rPr>
          <w:rFonts w:asciiTheme="minorHAnsi" w:eastAsiaTheme="minorHAnsi" w:hAnsiTheme="minorHAnsi" w:cstheme="minorHAnsi"/>
          <w:snapToGrid/>
          <w:sz w:val="24"/>
          <w:szCs w:val="24"/>
        </w:rPr>
        <w:t>herapy administered as needed for</w:t>
      </w:r>
      <w:r w:rsidR="00C57244" w:rsidRPr="001F339C">
        <w:rPr>
          <w:rFonts w:asciiTheme="minorHAnsi" w:eastAsiaTheme="minorHAnsi" w:hAnsiTheme="minorHAnsi" w:cstheme="minorHAnsi"/>
          <w:snapToGrid/>
          <w:sz w:val="24"/>
          <w:szCs w:val="24"/>
        </w:rPr>
        <w:t xml:space="preserve"> adolescent and adult</w:t>
      </w:r>
      <w:r w:rsidR="003E5067" w:rsidRPr="001F339C">
        <w:rPr>
          <w:rFonts w:asciiTheme="minorHAnsi" w:eastAsiaTheme="minorHAnsi" w:hAnsiTheme="minorHAnsi" w:cstheme="minorHAnsi"/>
          <w:snapToGrid/>
          <w:sz w:val="24"/>
          <w:szCs w:val="24"/>
        </w:rPr>
        <w:t xml:space="preserve"> patients with mild asthma</w:t>
      </w:r>
      <w:r w:rsidR="00E1115C" w:rsidRPr="001F339C">
        <w:rPr>
          <w:rFonts w:asciiTheme="minorHAnsi" w:eastAsiaTheme="minorHAnsi" w:hAnsiTheme="minorHAnsi" w:cstheme="minorHAnsi"/>
          <w:snapToGrid/>
          <w:sz w:val="24"/>
          <w:szCs w:val="24"/>
        </w:rPr>
        <w:t xml:space="preserve">. </w:t>
      </w:r>
      <w:r w:rsidR="00C57244" w:rsidRPr="001F339C">
        <w:rPr>
          <w:rFonts w:asciiTheme="minorHAnsi" w:hAnsiTheme="minorHAnsi" w:cstheme="minorHAnsi"/>
          <w:sz w:val="24"/>
          <w:szCs w:val="24"/>
        </w:rPr>
        <w:t xml:space="preserve">The </w:t>
      </w:r>
      <w:r w:rsidR="00FA6753" w:rsidRPr="001F339C">
        <w:rPr>
          <w:rFonts w:asciiTheme="minorHAnsi" w:hAnsiTheme="minorHAnsi" w:cstheme="minorHAnsi"/>
          <w:sz w:val="24"/>
          <w:szCs w:val="24"/>
        </w:rPr>
        <w:t>re</w:t>
      </w:r>
      <w:r w:rsidR="00C57244" w:rsidRPr="001F339C">
        <w:rPr>
          <w:rFonts w:asciiTheme="minorHAnsi" w:hAnsiTheme="minorHAnsi" w:cstheme="minorHAnsi"/>
          <w:sz w:val="24"/>
          <w:szCs w:val="24"/>
        </w:rPr>
        <w:t>submission applie</w:t>
      </w:r>
      <w:r w:rsidR="00FA6753" w:rsidRPr="001F339C">
        <w:rPr>
          <w:rFonts w:asciiTheme="minorHAnsi" w:hAnsiTheme="minorHAnsi" w:cstheme="minorHAnsi"/>
          <w:sz w:val="24"/>
          <w:szCs w:val="24"/>
        </w:rPr>
        <w:t>s</w:t>
      </w:r>
      <w:r w:rsidR="006003A2" w:rsidRPr="001F339C">
        <w:rPr>
          <w:rFonts w:asciiTheme="minorHAnsi" w:hAnsiTheme="minorHAnsi" w:cstheme="minorHAnsi"/>
          <w:sz w:val="24"/>
          <w:szCs w:val="24"/>
        </w:rPr>
        <w:t xml:space="preserve"> to the </w:t>
      </w:r>
      <w:proofErr w:type="spellStart"/>
      <w:r w:rsidR="006003A2" w:rsidRPr="001F339C">
        <w:rPr>
          <w:rFonts w:asciiTheme="minorHAnsi" w:hAnsiTheme="minorHAnsi" w:cstheme="minorHAnsi"/>
          <w:sz w:val="24"/>
          <w:szCs w:val="24"/>
        </w:rPr>
        <w:t>Symbicort</w:t>
      </w:r>
      <w:proofErr w:type="spellEnd"/>
      <w:r w:rsidR="006003A2" w:rsidRPr="001F339C">
        <w:rPr>
          <w:rFonts w:asciiTheme="minorHAnsi" w:hAnsiTheme="minorHAnsi" w:cstheme="minorHAnsi"/>
          <w:sz w:val="24"/>
          <w:szCs w:val="24"/>
        </w:rPr>
        <w:t xml:space="preserve"> 200/6 </w:t>
      </w:r>
      <w:proofErr w:type="spellStart"/>
      <w:r w:rsidR="006003A2" w:rsidRPr="001F339C">
        <w:rPr>
          <w:rFonts w:asciiTheme="minorHAnsi" w:hAnsiTheme="minorHAnsi" w:cstheme="minorHAnsi"/>
          <w:sz w:val="24"/>
          <w:szCs w:val="24"/>
        </w:rPr>
        <w:t>Turbuhaler</w:t>
      </w:r>
      <w:proofErr w:type="spellEnd"/>
      <w:r w:rsidR="006003A2" w:rsidRPr="001F339C">
        <w:rPr>
          <w:rFonts w:asciiTheme="minorHAnsi" w:hAnsiTheme="minorHAnsi" w:cstheme="minorHAnsi"/>
          <w:sz w:val="24"/>
          <w:szCs w:val="24"/>
        </w:rPr>
        <w:t xml:space="preserve"> and the </w:t>
      </w:r>
      <w:proofErr w:type="spellStart"/>
      <w:r w:rsidR="006003A2" w:rsidRPr="001F339C">
        <w:rPr>
          <w:rFonts w:asciiTheme="minorHAnsi" w:hAnsiTheme="minorHAnsi" w:cstheme="minorHAnsi"/>
          <w:sz w:val="24"/>
          <w:szCs w:val="24"/>
        </w:rPr>
        <w:t>Symbicort</w:t>
      </w:r>
      <w:proofErr w:type="spellEnd"/>
      <w:r w:rsidR="006003A2" w:rsidRPr="001F339C">
        <w:rPr>
          <w:rFonts w:asciiTheme="minorHAnsi" w:hAnsiTheme="minorHAnsi" w:cstheme="minorHAnsi"/>
          <w:sz w:val="24"/>
          <w:szCs w:val="24"/>
        </w:rPr>
        <w:t xml:space="preserve"> 100/3 </w:t>
      </w:r>
      <w:proofErr w:type="spellStart"/>
      <w:r w:rsidR="006003A2" w:rsidRPr="001F339C">
        <w:rPr>
          <w:rFonts w:asciiTheme="minorHAnsi" w:hAnsiTheme="minorHAnsi" w:cstheme="minorHAnsi"/>
          <w:sz w:val="24"/>
          <w:szCs w:val="24"/>
        </w:rPr>
        <w:t>Rapihaler</w:t>
      </w:r>
      <w:proofErr w:type="spellEnd"/>
      <w:r w:rsidR="006003A2" w:rsidRPr="001F339C">
        <w:rPr>
          <w:rFonts w:asciiTheme="minorHAnsi" w:hAnsiTheme="minorHAnsi" w:cstheme="minorHAnsi"/>
          <w:sz w:val="24"/>
          <w:szCs w:val="24"/>
        </w:rPr>
        <w:t xml:space="preserve"> only. </w:t>
      </w:r>
      <w:r w:rsidR="00FA6753" w:rsidRPr="001F339C">
        <w:rPr>
          <w:rFonts w:asciiTheme="minorHAnsi" w:hAnsiTheme="minorHAnsi" w:cstheme="minorHAnsi"/>
          <w:sz w:val="24"/>
          <w:szCs w:val="24"/>
        </w:rPr>
        <w:t xml:space="preserve">A major submission for </w:t>
      </w:r>
      <w:proofErr w:type="spellStart"/>
      <w:r w:rsidR="00FA6753" w:rsidRPr="001F339C">
        <w:rPr>
          <w:rFonts w:asciiTheme="minorHAnsi" w:hAnsiTheme="minorHAnsi" w:cstheme="minorHAnsi"/>
          <w:sz w:val="24"/>
          <w:szCs w:val="24"/>
        </w:rPr>
        <w:t>Symbicort</w:t>
      </w:r>
      <w:proofErr w:type="spellEnd"/>
      <w:r w:rsidR="00FA6753" w:rsidRPr="001F339C">
        <w:rPr>
          <w:rFonts w:asciiTheme="minorHAnsi" w:hAnsiTheme="minorHAnsi" w:cstheme="minorHAnsi"/>
          <w:sz w:val="24"/>
          <w:szCs w:val="24"/>
        </w:rPr>
        <w:t xml:space="preserve"> for the proposed indication was considered at the July 2019 PBAC meeting. </w:t>
      </w:r>
    </w:p>
    <w:p w:rsidR="006003A2" w:rsidRPr="001F339C" w:rsidRDefault="00AA47CC" w:rsidP="0042222B">
      <w:pPr>
        <w:pStyle w:val="ListParagraph"/>
        <w:widowControl/>
        <w:numPr>
          <w:ilvl w:val="1"/>
          <w:numId w:val="1"/>
        </w:numPr>
        <w:spacing w:after="120"/>
        <w:contextualSpacing w:val="0"/>
        <w:rPr>
          <w:rFonts w:asciiTheme="minorHAnsi" w:eastAsiaTheme="minorHAnsi" w:hAnsiTheme="minorHAnsi" w:cstheme="minorHAnsi"/>
          <w:snapToGrid/>
          <w:sz w:val="24"/>
          <w:szCs w:val="24"/>
        </w:rPr>
      </w:pPr>
      <w:r w:rsidRPr="001F339C">
        <w:rPr>
          <w:rFonts w:asciiTheme="minorHAnsi" w:eastAsiaTheme="minorHAnsi" w:hAnsiTheme="minorHAnsi" w:cstheme="minorHAnsi"/>
          <w:snapToGrid/>
          <w:sz w:val="24"/>
          <w:szCs w:val="24"/>
        </w:rPr>
        <w:t xml:space="preserve">To address concerns </w:t>
      </w:r>
      <w:r w:rsidR="00FA6753" w:rsidRPr="001F339C">
        <w:rPr>
          <w:rFonts w:asciiTheme="minorHAnsi" w:eastAsiaTheme="minorHAnsi" w:hAnsiTheme="minorHAnsi" w:cstheme="minorHAnsi"/>
          <w:snapToGrid/>
          <w:sz w:val="24"/>
          <w:szCs w:val="24"/>
        </w:rPr>
        <w:t xml:space="preserve">raised by the PBAC at its </w:t>
      </w:r>
      <w:r w:rsidRPr="001F339C">
        <w:rPr>
          <w:rFonts w:asciiTheme="minorHAnsi" w:eastAsiaTheme="minorHAnsi" w:hAnsiTheme="minorHAnsi" w:cstheme="minorHAnsi"/>
          <w:snapToGrid/>
          <w:sz w:val="24"/>
          <w:szCs w:val="24"/>
        </w:rPr>
        <w:t>July 2</w:t>
      </w:r>
      <w:r w:rsidR="00C57244" w:rsidRPr="001F339C">
        <w:rPr>
          <w:rFonts w:asciiTheme="minorHAnsi" w:eastAsiaTheme="minorHAnsi" w:hAnsiTheme="minorHAnsi" w:cstheme="minorHAnsi"/>
          <w:snapToGrid/>
          <w:sz w:val="24"/>
          <w:szCs w:val="24"/>
        </w:rPr>
        <w:t>019 meeting, th</w:t>
      </w:r>
      <w:r w:rsidR="00FA6753" w:rsidRPr="001F339C">
        <w:rPr>
          <w:rFonts w:asciiTheme="minorHAnsi" w:eastAsiaTheme="minorHAnsi" w:hAnsiTheme="minorHAnsi" w:cstheme="minorHAnsi"/>
          <w:snapToGrid/>
          <w:sz w:val="24"/>
          <w:szCs w:val="24"/>
        </w:rPr>
        <w:t>e</w:t>
      </w:r>
      <w:r w:rsidR="00C57244" w:rsidRPr="001F339C">
        <w:rPr>
          <w:rFonts w:asciiTheme="minorHAnsi" w:eastAsiaTheme="minorHAnsi" w:hAnsiTheme="minorHAnsi" w:cstheme="minorHAnsi"/>
          <w:snapToGrid/>
          <w:sz w:val="24"/>
          <w:szCs w:val="24"/>
        </w:rPr>
        <w:t xml:space="preserve"> resubmission</w:t>
      </w:r>
      <w:r w:rsidRPr="001F339C">
        <w:rPr>
          <w:rFonts w:asciiTheme="minorHAnsi" w:eastAsiaTheme="minorHAnsi" w:hAnsiTheme="minorHAnsi" w:cstheme="minorHAnsi"/>
          <w:snapToGrid/>
          <w:sz w:val="24"/>
          <w:szCs w:val="24"/>
        </w:rPr>
        <w:t xml:space="preserve"> provided the following: </w:t>
      </w:r>
    </w:p>
    <w:p w:rsidR="00AA47CC" w:rsidRPr="001F339C" w:rsidRDefault="00AA47CC" w:rsidP="002104AB">
      <w:pPr>
        <w:pStyle w:val="ListParagraph"/>
        <w:widowControl/>
        <w:numPr>
          <w:ilvl w:val="0"/>
          <w:numId w:val="8"/>
        </w:numPr>
        <w:spacing w:after="120"/>
        <w:contextualSpacing w:val="0"/>
        <w:rPr>
          <w:rFonts w:asciiTheme="minorHAnsi" w:eastAsiaTheme="minorHAnsi" w:hAnsiTheme="minorHAnsi" w:cstheme="minorHAnsi"/>
          <w:snapToGrid/>
          <w:sz w:val="24"/>
          <w:szCs w:val="24"/>
        </w:rPr>
      </w:pPr>
      <w:r w:rsidRPr="001F339C">
        <w:rPr>
          <w:rFonts w:asciiTheme="minorHAnsi" w:eastAsiaTheme="minorHAnsi" w:hAnsiTheme="minorHAnsi" w:cstheme="minorHAnsi"/>
          <w:snapToGrid/>
          <w:sz w:val="24"/>
          <w:szCs w:val="24"/>
        </w:rPr>
        <w:t xml:space="preserve">A separate proposed PBS listing with fewer repeats (reduced from five to one) for ‘as-needed’ treatment, in addition to the current </w:t>
      </w:r>
      <w:proofErr w:type="spellStart"/>
      <w:r w:rsidRPr="001F339C">
        <w:rPr>
          <w:rFonts w:asciiTheme="minorHAnsi" w:eastAsiaTheme="minorHAnsi" w:hAnsiTheme="minorHAnsi" w:cstheme="minorHAnsi"/>
          <w:snapToGrid/>
          <w:sz w:val="24"/>
          <w:szCs w:val="24"/>
        </w:rPr>
        <w:t>Symbicort</w:t>
      </w:r>
      <w:proofErr w:type="spellEnd"/>
      <w:r w:rsidRPr="001F339C">
        <w:rPr>
          <w:rFonts w:asciiTheme="minorHAnsi" w:eastAsiaTheme="minorHAnsi" w:hAnsiTheme="minorHAnsi" w:cstheme="minorHAnsi"/>
          <w:snapToGrid/>
          <w:sz w:val="24"/>
          <w:szCs w:val="24"/>
        </w:rPr>
        <w:t xml:space="preserve"> listing for maintenance treatment;</w:t>
      </w:r>
    </w:p>
    <w:p w:rsidR="00AA47CC" w:rsidRPr="001F339C" w:rsidRDefault="00AA47CC" w:rsidP="002104AB">
      <w:pPr>
        <w:pStyle w:val="ListParagraph"/>
        <w:widowControl/>
        <w:numPr>
          <w:ilvl w:val="0"/>
          <w:numId w:val="8"/>
        </w:numPr>
        <w:spacing w:after="120"/>
        <w:contextualSpacing w:val="0"/>
        <w:rPr>
          <w:rFonts w:asciiTheme="minorHAnsi" w:eastAsiaTheme="minorHAnsi" w:hAnsiTheme="minorHAnsi" w:cstheme="minorHAnsi"/>
          <w:snapToGrid/>
          <w:sz w:val="24"/>
          <w:szCs w:val="24"/>
        </w:rPr>
      </w:pPr>
      <w:r w:rsidRPr="001F339C">
        <w:rPr>
          <w:rFonts w:asciiTheme="minorHAnsi" w:eastAsiaTheme="minorHAnsi" w:hAnsiTheme="minorHAnsi" w:cstheme="minorHAnsi"/>
          <w:snapToGrid/>
          <w:sz w:val="24"/>
          <w:szCs w:val="24"/>
        </w:rPr>
        <w:t xml:space="preserve">Additional information in support of the non-inferiority clinical claim; </w:t>
      </w:r>
    </w:p>
    <w:p w:rsidR="00AA47CC" w:rsidRPr="001F339C" w:rsidRDefault="00AA47CC" w:rsidP="002104AB">
      <w:pPr>
        <w:pStyle w:val="ListParagraph"/>
        <w:widowControl/>
        <w:numPr>
          <w:ilvl w:val="0"/>
          <w:numId w:val="8"/>
        </w:numPr>
        <w:spacing w:after="120"/>
        <w:contextualSpacing w:val="0"/>
        <w:rPr>
          <w:rFonts w:asciiTheme="minorHAnsi" w:eastAsiaTheme="minorHAnsi" w:hAnsiTheme="minorHAnsi" w:cstheme="minorHAnsi"/>
          <w:snapToGrid/>
          <w:sz w:val="24"/>
          <w:szCs w:val="24"/>
        </w:rPr>
      </w:pPr>
      <w:r w:rsidRPr="001F339C">
        <w:rPr>
          <w:rFonts w:asciiTheme="minorHAnsi" w:eastAsiaTheme="minorHAnsi" w:hAnsiTheme="minorHAnsi" w:cstheme="minorHAnsi"/>
          <w:snapToGrid/>
          <w:sz w:val="24"/>
          <w:szCs w:val="24"/>
        </w:rPr>
        <w:t>An amended cost-minimisation analysis;</w:t>
      </w:r>
      <w:r w:rsidR="00791145" w:rsidRPr="001F339C">
        <w:rPr>
          <w:rFonts w:asciiTheme="minorHAnsi" w:eastAsiaTheme="minorHAnsi" w:hAnsiTheme="minorHAnsi" w:cstheme="minorHAnsi"/>
          <w:snapToGrid/>
          <w:sz w:val="24"/>
          <w:szCs w:val="24"/>
        </w:rPr>
        <w:t xml:space="preserve"> and</w:t>
      </w:r>
    </w:p>
    <w:p w:rsidR="00A76EAC" w:rsidRPr="001F339C" w:rsidRDefault="005F29F1" w:rsidP="00A76EAC">
      <w:pPr>
        <w:pStyle w:val="ListParagraph"/>
        <w:widowControl/>
        <w:numPr>
          <w:ilvl w:val="0"/>
          <w:numId w:val="8"/>
        </w:numPr>
        <w:spacing w:after="120"/>
        <w:contextualSpacing w:val="0"/>
        <w:rPr>
          <w:rFonts w:asciiTheme="minorHAnsi" w:eastAsiaTheme="minorHAnsi" w:hAnsiTheme="minorHAnsi" w:cstheme="minorHAnsi"/>
          <w:snapToGrid/>
          <w:sz w:val="24"/>
          <w:szCs w:val="24"/>
        </w:rPr>
      </w:pPr>
      <w:r w:rsidRPr="001F339C">
        <w:rPr>
          <w:rFonts w:asciiTheme="minorHAnsi" w:eastAsiaTheme="minorHAnsi" w:hAnsiTheme="minorHAnsi" w:cstheme="minorHAnsi"/>
          <w:snapToGrid/>
          <w:sz w:val="24"/>
          <w:szCs w:val="24"/>
        </w:rPr>
        <w:t xml:space="preserve">A proposed risk sharing arrangement (RSA). </w:t>
      </w:r>
    </w:p>
    <w:p w:rsidR="006A12A5" w:rsidRPr="001F339C" w:rsidRDefault="006A12A5" w:rsidP="0033263D">
      <w:pPr>
        <w:pStyle w:val="2Sections"/>
      </w:pPr>
      <w:r w:rsidRPr="001F339C">
        <w:t>Requested listing</w:t>
      </w:r>
    </w:p>
    <w:p w:rsidR="00826F6D" w:rsidRPr="001F339C" w:rsidRDefault="00EF44A0" w:rsidP="00F3080B">
      <w:pPr>
        <w:pStyle w:val="3Bodytext"/>
        <w:jc w:val="both"/>
      </w:pPr>
      <w:r w:rsidRPr="001F339C">
        <w:t xml:space="preserve">The </w:t>
      </w:r>
      <w:r w:rsidR="00FA6753" w:rsidRPr="001F339C">
        <w:t>re</w:t>
      </w:r>
      <w:r w:rsidRPr="001F339C">
        <w:t xml:space="preserve">submission </w:t>
      </w:r>
      <w:r w:rsidR="00FF2801" w:rsidRPr="001F339C">
        <w:t>requested</w:t>
      </w:r>
      <w:r w:rsidRPr="001F339C">
        <w:t xml:space="preserve"> </w:t>
      </w:r>
      <w:r w:rsidR="00C8713B" w:rsidRPr="001F339C">
        <w:t>a</w:t>
      </w:r>
      <w:r w:rsidRPr="001F339C">
        <w:t xml:space="preserve"> </w:t>
      </w:r>
      <w:r w:rsidR="0076420C" w:rsidRPr="001F339C">
        <w:t xml:space="preserve">new </w:t>
      </w:r>
      <w:r w:rsidRPr="001F339C">
        <w:t>listing</w:t>
      </w:r>
      <w:r w:rsidR="00DE670E" w:rsidRPr="001F339C">
        <w:t xml:space="preserve">, with the following changes to the </w:t>
      </w:r>
      <w:r w:rsidR="00FA6753" w:rsidRPr="001F339C">
        <w:t>restriction proposed in July 2019</w:t>
      </w:r>
      <w:r w:rsidR="00DE670E" w:rsidRPr="001F339C">
        <w:t>:</w:t>
      </w:r>
    </w:p>
    <w:p w:rsidR="00DE670E" w:rsidRPr="001F339C" w:rsidRDefault="00DE670E" w:rsidP="002104AB">
      <w:pPr>
        <w:pStyle w:val="3Bodytext"/>
        <w:numPr>
          <w:ilvl w:val="0"/>
          <w:numId w:val="9"/>
        </w:numPr>
        <w:jc w:val="both"/>
      </w:pPr>
      <w:r w:rsidRPr="001F339C">
        <w:t xml:space="preserve">A stipulation that the use of </w:t>
      </w:r>
      <w:proofErr w:type="spellStart"/>
      <w:r w:rsidRPr="001F339C">
        <w:t>Symbicort</w:t>
      </w:r>
      <w:proofErr w:type="spellEnd"/>
      <w:r w:rsidRPr="001F339C">
        <w:t xml:space="preserve"> for allergen or exercise-induced bronchoconstriction is not PBS-subsidised; </w:t>
      </w:r>
    </w:p>
    <w:p w:rsidR="00DE670E" w:rsidRPr="001F339C" w:rsidRDefault="00DE670E" w:rsidP="002104AB">
      <w:pPr>
        <w:pStyle w:val="3Bodytext"/>
        <w:numPr>
          <w:ilvl w:val="0"/>
          <w:numId w:val="9"/>
        </w:numPr>
        <w:jc w:val="both"/>
      </w:pPr>
      <w:r w:rsidRPr="001F339C">
        <w:lastRenderedPageBreak/>
        <w:t xml:space="preserve">One repeat for the new listing. The current listing is for five repeats. </w:t>
      </w:r>
    </w:p>
    <w:p w:rsidR="00DE670E" w:rsidRPr="001F339C" w:rsidRDefault="00DE670E" w:rsidP="002104AB">
      <w:pPr>
        <w:pStyle w:val="3Bodytext"/>
        <w:numPr>
          <w:ilvl w:val="0"/>
          <w:numId w:val="9"/>
        </w:numPr>
        <w:jc w:val="both"/>
      </w:pPr>
      <w:r w:rsidRPr="001F339C">
        <w:t>A stipulation that only one prescription (one original</w:t>
      </w:r>
      <w:r w:rsidR="00F14E6C" w:rsidRPr="001F339C">
        <w:t xml:space="preserve"> dispensing of the maximum quantity</w:t>
      </w:r>
      <w:r w:rsidRPr="001F339C">
        <w:t>, plus one repeat) is permitted in a 12-month period to align with the trial result tha</w:t>
      </w:r>
      <w:r w:rsidR="008E7AAE" w:rsidRPr="001F339C">
        <w:t xml:space="preserve">t an average of 1.58 </w:t>
      </w:r>
      <w:r w:rsidR="006E0190" w:rsidRPr="001F339C">
        <w:t xml:space="preserve">inhalers </w:t>
      </w:r>
      <w:r w:rsidR="008E7AAE" w:rsidRPr="001F339C">
        <w:t>w</w:t>
      </w:r>
      <w:r w:rsidR="006E0190" w:rsidRPr="001F339C">
        <w:t>ere</w:t>
      </w:r>
      <w:r w:rsidRPr="001F339C">
        <w:t xml:space="preserve"> required. </w:t>
      </w:r>
    </w:p>
    <w:p w:rsidR="0042222B" w:rsidRPr="001F339C" w:rsidRDefault="00184D32" w:rsidP="00F3080B">
      <w:pPr>
        <w:pStyle w:val="3Bodytext"/>
        <w:jc w:val="both"/>
      </w:pPr>
      <w:r w:rsidRPr="001F339C">
        <w:t>Bold</w:t>
      </w:r>
      <w:r w:rsidR="0042222B" w:rsidRPr="001F339C">
        <w:t xml:space="preserve"> text (and </w:t>
      </w:r>
      <w:r w:rsidRPr="001F339C">
        <w:t>bold</w:t>
      </w:r>
      <w:r w:rsidR="0042222B" w:rsidRPr="001F339C">
        <w:t xml:space="preserve"> strikethrough text) </w:t>
      </w:r>
      <w:r w:rsidR="00FA6753" w:rsidRPr="001F339C">
        <w:t xml:space="preserve">indicate the changes to the current restrictions </w:t>
      </w:r>
      <w:r w:rsidR="0042222B" w:rsidRPr="001F339C">
        <w:t xml:space="preserve">proposed by the sponsor. </w:t>
      </w:r>
    </w:p>
    <w:p w:rsidR="00F3080B" w:rsidRPr="001F339C" w:rsidRDefault="0067747D" w:rsidP="00F3080B">
      <w:pPr>
        <w:pStyle w:val="Bodytextitalics"/>
        <w:jc w:val="both"/>
        <w:rPr>
          <w:i w:val="0"/>
        </w:rPr>
      </w:pPr>
      <w:r w:rsidRPr="001F339C">
        <w:rPr>
          <w:i w:val="0"/>
        </w:rPr>
        <w:t>Suggestions and additions proposed by the</w:t>
      </w:r>
      <w:r w:rsidR="00927DF4" w:rsidRPr="001F339C">
        <w:rPr>
          <w:i w:val="0"/>
        </w:rPr>
        <w:t xml:space="preserve"> Secretariat </w:t>
      </w:r>
      <w:r w:rsidRPr="001F339C">
        <w:rPr>
          <w:i w:val="0"/>
        </w:rPr>
        <w:t>to the requested listing</w:t>
      </w:r>
      <w:r w:rsidR="00D07A8A" w:rsidRPr="001F339C">
        <w:rPr>
          <w:i w:val="0"/>
        </w:rPr>
        <w:t xml:space="preserve"> are</w:t>
      </w:r>
      <w:r w:rsidR="00184D32" w:rsidRPr="001F339C">
        <w:rPr>
          <w:i w:val="0"/>
        </w:rPr>
        <w:t xml:space="preserve"> shaded in grey with additions in italics and deletions </w:t>
      </w:r>
      <w:r w:rsidR="00D07A8A" w:rsidRPr="001F339C">
        <w:rPr>
          <w:i w:val="0"/>
        </w:rPr>
        <w:t>in strikethrough</w:t>
      </w:r>
      <w:r w:rsidRPr="001F339C">
        <w:rPr>
          <w:i w:val="0"/>
        </w:rPr>
        <w:t>.</w:t>
      </w:r>
    </w:p>
    <w:tbl>
      <w:tblPr>
        <w:tblW w:w="8472" w:type="dxa"/>
        <w:tblBorders>
          <w:top w:val="single" w:sz="4" w:space="0" w:color="auto"/>
          <w:bottom w:val="single" w:sz="4" w:space="0" w:color="auto"/>
          <w:insideH w:val="single" w:sz="4" w:space="0" w:color="auto"/>
        </w:tblBorders>
        <w:tblLook w:val="04A0" w:firstRow="1" w:lastRow="0" w:firstColumn="1" w:lastColumn="0" w:noHBand="0" w:noVBand="1"/>
      </w:tblPr>
      <w:tblGrid>
        <w:gridCol w:w="3631"/>
        <w:gridCol w:w="863"/>
        <w:gridCol w:w="850"/>
        <w:gridCol w:w="1188"/>
        <w:gridCol w:w="1940"/>
      </w:tblGrid>
      <w:tr w:rsidR="00FF19B0" w:rsidRPr="001F339C" w:rsidTr="00FD26F6">
        <w:tc>
          <w:tcPr>
            <w:tcW w:w="0" w:type="auto"/>
            <w:tcBorders>
              <w:top w:val="nil"/>
              <w:bottom w:val="single" w:sz="4" w:space="0" w:color="auto"/>
            </w:tcBorders>
          </w:tcPr>
          <w:p w:rsidR="00FF19B0" w:rsidRPr="001F339C" w:rsidRDefault="00FF19B0" w:rsidP="00512659">
            <w:pPr>
              <w:pStyle w:val="Tabletext"/>
              <w:keepNext/>
              <w:spacing w:after="0"/>
              <w:rPr>
                <w:rFonts w:ascii="Arial Narrow" w:hAnsi="Arial Narrow"/>
                <w:b/>
                <w:bCs/>
              </w:rPr>
            </w:pPr>
            <w:r w:rsidRPr="001F339C">
              <w:rPr>
                <w:rFonts w:ascii="Arial Narrow" w:hAnsi="Arial Narrow"/>
                <w:b/>
              </w:rPr>
              <w:t>Name, Restriction,</w:t>
            </w:r>
            <w:r w:rsidRPr="001F339C">
              <w:rPr>
                <w:rFonts w:ascii="Arial Narrow" w:hAnsi="Arial Narrow"/>
                <w:b/>
              </w:rPr>
              <w:br/>
              <w:t>Manner of administration and form</w:t>
            </w:r>
          </w:p>
        </w:tc>
        <w:tc>
          <w:tcPr>
            <w:tcW w:w="0" w:type="auto"/>
            <w:tcBorders>
              <w:top w:val="nil"/>
              <w:bottom w:val="single" w:sz="4" w:space="0" w:color="auto"/>
            </w:tcBorders>
          </w:tcPr>
          <w:p w:rsidR="00FF19B0" w:rsidRPr="001F339C" w:rsidRDefault="00FF19B0" w:rsidP="00512659">
            <w:pPr>
              <w:pStyle w:val="Tabletext"/>
              <w:keepNext/>
              <w:spacing w:after="0"/>
              <w:jc w:val="center"/>
              <w:rPr>
                <w:rFonts w:ascii="Arial Narrow" w:hAnsi="Arial Narrow"/>
                <w:b/>
                <w:bCs/>
              </w:rPr>
            </w:pPr>
            <w:r w:rsidRPr="001F339C">
              <w:rPr>
                <w:rFonts w:ascii="Arial Narrow" w:hAnsi="Arial Narrow"/>
                <w:b/>
              </w:rPr>
              <w:t xml:space="preserve">Max. </w:t>
            </w:r>
            <w:proofErr w:type="spellStart"/>
            <w:r w:rsidRPr="001F339C">
              <w:rPr>
                <w:rFonts w:ascii="Arial Narrow" w:hAnsi="Arial Narrow"/>
                <w:b/>
              </w:rPr>
              <w:t>Qty</w:t>
            </w:r>
            <w:proofErr w:type="spellEnd"/>
            <w:r w:rsidRPr="001F339C">
              <w:rPr>
                <w:rFonts w:ascii="Arial Narrow" w:hAnsi="Arial Narrow"/>
                <w:b/>
              </w:rPr>
              <w:t xml:space="preserve"> (packs)</w:t>
            </w:r>
          </w:p>
        </w:tc>
        <w:tc>
          <w:tcPr>
            <w:tcW w:w="0" w:type="auto"/>
            <w:tcBorders>
              <w:top w:val="nil"/>
              <w:bottom w:val="single" w:sz="4" w:space="0" w:color="auto"/>
            </w:tcBorders>
          </w:tcPr>
          <w:p w:rsidR="00FF19B0" w:rsidRPr="001F339C" w:rsidRDefault="00FF19B0" w:rsidP="00512659">
            <w:pPr>
              <w:pStyle w:val="Tabletext"/>
              <w:keepNext/>
              <w:spacing w:after="0"/>
              <w:rPr>
                <w:rFonts w:ascii="Arial Narrow" w:hAnsi="Arial Narrow"/>
                <w:b/>
                <w:bCs/>
              </w:rPr>
            </w:pPr>
            <w:r w:rsidRPr="001F339C">
              <w:rPr>
                <w:rFonts w:ascii="Arial Narrow" w:hAnsi="Arial Narrow"/>
                <w:b/>
              </w:rPr>
              <w:t>No. of repeats</w:t>
            </w:r>
          </w:p>
        </w:tc>
        <w:tc>
          <w:tcPr>
            <w:tcW w:w="0" w:type="auto"/>
            <w:tcBorders>
              <w:top w:val="nil"/>
              <w:bottom w:val="single" w:sz="4" w:space="0" w:color="auto"/>
            </w:tcBorders>
          </w:tcPr>
          <w:p w:rsidR="00FF19B0" w:rsidRPr="001F339C" w:rsidRDefault="00FF19B0" w:rsidP="00512659">
            <w:pPr>
              <w:pStyle w:val="Tabletext"/>
              <w:keepNext/>
              <w:spacing w:after="0"/>
              <w:rPr>
                <w:rFonts w:ascii="Arial Narrow" w:hAnsi="Arial Narrow"/>
                <w:b/>
                <w:bCs/>
              </w:rPr>
            </w:pPr>
            <w:r w:rsidRPr="001F339C">
              <w:rPr>
                <w:rFonts w:ascii="Arial Narrow" w:hAnsi="Arial Narrow"/>
                <w:b/>
              </w:rPr>
              <w:t xml:space="preserve">Dispensed Price for Max. </w:t>
            </w:r>
            <w:proofErr w:type="spellStart"/>
            <w:r w:rsidRPr="001F339C">
              <w:rPr>
                <w:rFonts w:ascii="Arial Narrow" w:hAnsi="Arial Narrow"/>
                <w:b/>
              </w:rPr>
              <w:t>Qty</w:t>
            </w:r>
            <w:proofErr w:type="spellEnd"/>
          </w:p>
        </w:tc>
        <w:tc>
          <w:tcPr>
            <w:tcW w:w="1940" w:type="dxa"/>
            <w:tcBorders>
              <w:top w:val="nil"/>
              <w:bottom w:val="single" w:sz="4" w:space="0" w:color="auto"/>
            </w:tcBorders>
          </w:tcPr>
          <w:p w:rsidR="00FF19B0" w:rsidRPr="001F339C" w:rsidRDefault="00FF19B0" w:rsidP="00512659">
            <w:pPr>
              <w:pStyle w:val="Tabletext"/>
              <w:keepNext/>
              <w:spacing w:after="0"/>
              <w:rPr>
                <w:rFonts w:ascii="Arial Narrow" w:hAnsi="Arial Narrow"/>
                <w:b/>
                <w:bCs/>
              </w:rPr>
            </w:pPr>
            <w:r w:rsidRPr="001F339C">
              <w:rPr>
                <w:rFonts w:ascii="Arial Narrow" w:hAnsi="Arial Narrow"/>
                <w:b/>
              </w:rPr>
              <w:t>Proprietary Name and Manufacturer</w:t>
            </w:r>
          </w:p>
        </w:tc>
      </w:tr>
      <w:tr w:rsidR="00FF19B0" w:rsidRPr="001F339C" w:rsidTr="00FD26F6">
        <w:tc>
          <w:tcPr>
            <w:tcW w:w="0" w:type="auto"/>
            <w:tcBorders>
              <w:bottom w:val="nil"/>
            </w:tcBorders>
          </w:tcPr>
          <w:p w:rsidR="00FF19B0" w:rsidRPr="001F339C" w:rsidRDefault="00FF19B0" w:rsidP="00512659">
            <w:pPr>
              <w:pStyle w:val="Tabletext"/>
              <w:keepNext/>
              <w:spacing w:after="0"/>
              <w:rPr>
                <w:rFonts w:ascii="Arial Narrow" w:hAnsi="Arial Narrow"/>
                <w:b/>
                <w:bCs/>
              </w:rPr>
            </w:pPr>
            <w:r w:rsidRPr="001F339C">
              <w:rPr>
                <w:rFonts w:ascii="Arial Narrow" w:hAnsi="Arial Narrow"/>
                <w:color w:val="000000"/>
              </w:rPr>
              <w:t>BUDESONIDE + FORMOTEROL (EFORMOTEROL)</w:t>
            </w:r>
            <w:r w:rsidRPr="001F339C">
              <w:rPr>
                <w:rStyle w:val="form-strength"/>
                <w:rFonts w:ascii="Arial Narrow" w:hAnsi="Arial Narrow"/>
                <w:color w:val="000000"/>
              </w:rPr>
              <w:t xml:space="preserve">budesonide 200 microgram/actuation + </w:t>
            </w:r>
            <w:proofErr w:type="spellStart"/>
            <w:r w:rsidRPr="001F339C">
              <w:rPr>
                <w:rStyle w:val="form-strength"/>
                <w:rFonts w:ascii="Arial Narrow" w:hAnsi="Arial Narrow"/>
                <w:color w:val="000000"/>
              </w:rPr>
              <w:t>formoterol</w:t>
            </w:r>
            <w:proofErr w:type="spellEnd"/>
            <w:r w:rsidRPr="001F339C">
              <w:rPr>
                <w:rStyle w:val="form-strength"/>
                <w:rFonts w:ascii="Arial Narrow" w:hAnsi="Arial Narrow"/>
                <w:color w:val="000000"/>
              </w:rPr>
              <w:t xml:space="preserve"> (</w:t>
            </w:r>
            <w:proofErr w:type="spellStart"/>
            <w:r w:rsidRPr="001F339C">
              <w:rPr>
                <w:rStyle w:val="form-strength"/>
                <w:rFonts w:ascii="Arial Narrow" w:hAnsi="Arial Narrow"/>
                <w:color w:val="000000"/>
              </w:rPr>
              <w:t>eformoterol</w:t>
            </w:r>
            <w:proofErr w:type="spellEnd"/>
            <w:r w:rsidRPr="001F339C">
              <w:rPr>
                <w:rStyle w:val="form-strength"/>
                <w:rFonts w:ascii="Arial Narrow" w:hAnsi="Arial Narrow"/>
                <w:color w:val="000000"/>
              </w:rPr>
              <w:t xml:space="preserve">) fumarate </w:t>
            </w:r>
            <w:proofErr w:type="spellStart"/>
            <w:r w:rsidRPr="001F339C">
              <w:rPr>
                <w:rStyle w:val="form-strength"/>
                <w:rFonts w:ascii="Arial Narrow" w:hAnsi="Arial Narrow"/>
                <w:color w:val="000000"/>
              </w:rPr>
              <w:t>dihydrate</w:t>
            </w:r>
            <w:proofErr w:type="spellEnd"/>
            <w:r w:rsidRPr="001F339C">
              <w:rPr>
                <w:rStyle w:val="form-strength"/>
                <w:rFonts w:ascii="Arial Narrow" w:hAnsi="Arial Narrow"/>
                <w:color w:val="000000"/>
              </w:rPr>
              <w:t xml:space="preserve"> 6 microgram/actuation powder for inhalation, 120 actuations</w:t>
            </w:r>
          </w:p>
        </w:tc>
        <w:tc>
          <w:tcPr>
            <w:tcW w:w="0" w:type="auto"/>
            <w:tcBorders>
              <w:bottom w:val="nil"/>
            </w:tcBorders>
          </w:tcPr>
          <w:p w:rsidR="00FF19B0" w:rsidRPr="001F339C" w:rsidRDefault="00FF19B0" w:rsidP="00512659">
            <w:pPr>
              <w:pStyle w:val="Tabletext"/>
              <w:keepNext/>
              <w:spacing w:after="0"/>
              <w:jc w:val="center"/>
              <w:rPr>
                <w:rFonts w:ascii="Arial Narrow" w:hAnsi="Arial Narrow"/>
              </w:rPr>
            </w:pPr>
          </w:p>
          <w:p w:rsidR="00FF19B0" w:rsidRPr="001F339C" w:rsidRDefault="00FF19B0" w:rsidP="00512659">
            <w:pPr>
              <w:pStyle w:val="Tabletext"/>
              <w:keepNext/>
              <w:spacing w:after="0"/>
              <w:rPr>
                <w:rFonts w:ascii="Arial Narrow" w:hAnsi="Arial Narrow"/>
              </w:rPr>
            </w:pPr>
          </w:p>
          <w:p w:rsidR="00FF19B0" w:rsidRPr="001F339C" w:rsidRDefault="00FF19B0" w:rsidP="00512659">
            <w:pPr>
              <w:pStyle w:val="Tabletext"/>
              <w:keepNext/>
              <w:spacing w:after="0"/>
              <w:jc w:val="center"/>
              <w:rPr>
                <w:rFonts w:ascii="Arial Narrow" w:hAnsi="Arial Narrow"/>
              </w:rPr>
            </w:pPr>
            <w:r w:rsidRPr="001F339C">
              <w:rPr>
                <w:rFonts w:ascii="Arial Narrow" w:hAnsi="Arial Narrow"/>
              </w:rPr>
              <w:t>1</w:t>
            </w:r>
          </w:p>
        </w:tc>
        <w:tc>
          <w:tcPr>
            <w:tcW w:w="0" w:type="auto"/>
            <w:tcBorders>
              <w:bottom w:val="nil"/>
            </w:tcBorders>
          </w:tcPr>
          <w:p w:rsidR="00FF19B0" w:rsidRPr="001F339C" w:rsidRDefault="00FF19B0" w:rsidP="00512659">
            <w:pPr>
              <w:pStyle w:val="Tabletext"/>
              <w:keepNext/>
              <w:spacing w:after="0"/>
              <w:jc w:val="center"/>
              <w:rPr>
                <w:rFonts w:ascii="Arial Narrow" w:hAnsi="Arial Narrow"/>
              </w:rPr>
            </w:pPr>
          </w:p>
          <w:p w:rsidR="00FF19B0" w:rsidRPr="001F339C" w:rsidRDefault="00FF19B0" w:rsidP="00512659">
            <w:pPr>
              <w:pStyle w:val="Tabletext"/>
              <w:keepNext/>
              <w:spacing w:after="0"/>
              <w:rPr>
                <w:rFonts w:ascii="Arial Narrow" w:hAnsi="Arial Narrow"/>
              </w:rPr>
            </w:pPr>
          </w:p>
          <w:p w:rsidR="00FF19B0" w:rsidRPr="001F339C" w:rsidRDefault="007537E3" w:rsidP="00512659">
            <w:pPr>
              <w:pStyle w:val="Tabletext"/>
              <w:keepNext/>
              <w:spacing w:after="0"/>
              <w:jc w:val="center"/>
              <w:rPr>
                <w:rFonts w:ascii="Arial Narrow" w:hAnsi="Arial Narrow"/>
              </w:rPr>
            </w:pPr>
            <w:r w:rsidRPr="001F339C">
              <w:rPr>
                <w:rFonts w:ascii="Arial Narrow" w:hAnsi="Arial Narrow"/>
              </w:rPr>
              <w:t>1</w:t>
            </w:r>
          </w:p>
        </w:tc>
        <w:tc>
          <w:tcPr>
            <w:tcW w:w="0" w:type="auto"/>
            <w:tcBorders>
              <w:bottom w:val="nil"/>
            </w:tcBorders>
          </w:tcPr>
          <w:p w:rsidR="00FF19B0" w:rsidRPr="001F339C" w:rsidRDefault="00FF19B0" w:rsidP="00512659">
            <w:pPr>
              <w:pStyle w:val="Tabletext"/>
              <w:keepNext/>
              <w:spacing w:after="0"/>
              <w:rPr>
                <w:rFonts w:ascii="Arial Narrow" w:hAnsi="Arial Narrow"/>
              </w:rPr>
            </w:pPr>
          </w:p>
          <w:p w:rsidR="00FF19B0" w:rsidRPr="001F339C" w:rsidRDefault="00FF19B0" w:rsidP="00512659">
            <w:pPr>
              <w:pStyle w:val="Tabletext"/>
              <w:keepNext/>
              <w:spacing w:after="0"/>
              <w:rPr>
                <w:rFonts w:ascii="Arial Narrow" w:hAnsi="Arial Narrow"/>
              </w:rPr>
            </w:pPr>
          </w:p>
          <w:p w:rsidR="00FF19B0" w:rsidRPr="001F339C" w:rsidRDefault="00FF19B0" w:rsidP="00512659">
            <w:pPr>
              <w:pStyle w:val="Tabletext"/>
              <w:keepNext/>
              <w:spacing w:after="0"/>
              <w:rPr>
                <w:rFonts w:ascii="Arial Narrow" w:hAnsi="Arial Narrow"/>
                <w:i/>
              </w:rPr>
            </w:pPr>
            <w:r w:rsidRPr="001F339C">
              <w:rPr>
                <w:rFonts w:ascii="Arial Narrow" w:hAnsi="Arial Narrow"/>
              </w:rPr>
              <w:t>$</w:t>
            </w:r>
            <w:r w:rsidRPr="001F339C">
              <w:rPr>
                <w:rFonts w:ascii="Arial Narrow" w:hAnsi="Arial Narrow"/>
                <w:color w:val="000000"/>
              </w:rPr>
              <w:t>44.</w:t>
            </w:r>
            <w:r w:rsidR="008E7AAE" w:rsidRPr="001F339C">
              <w:rPr>
                <w:rFonts w:ascii="Arial Narrow" w:hAnsi="Arial Narrow"/>
                <w:color w:val="000000"/>
              </w:rPr>
              <w:t>79</w:t>
            </w:r>
          </w:p>
        </w:tc>
        <w:tc>
          <w:tcPr>
            <w:tcW w:w="1940" w:type="dxa"/>
            <w:tcBorders>
              <w:bottom w:val="nil"/>
            </w:tcBorders>
          </w:tcPr>
          <w:p w:rsidR="00FF19B0" w:rsidRPr="001F339C" w:rsidRDefault="00FF19B0" w:rsidP="00512659">
            <w:pPr>
              <w:pStyle w:val="Tabletext"/>
              <w:keepNext/>
              <w:spacing w:after="0"/>
              <w:rPr>
                <w:rFonts w:ascii="Arial Narrow" w:hAnsi="Arial Narrow"/>
              </w:rPr>
            </w:pPr>
          </w:p>
          <w:p w:rsidR="00FF19B0" w:rsidRPr="001F339C" w:rsidRDefault="00FF19B0" w:rsidP="00512659">
            <w:pPr>
              <w:pStyle w:val="Tabletext"/>
              <w:keepNext/>
              <w:spacing w:after="0"/>
              <w:rPr>
                <w:rFonts w:ascii="Arial Narrow" w:hAnsi="Arial Narrow"/>
              </w:rPr>
            </w:pPr>
          </w:p>
          <w:p w:rsidR="00FF19B0" w:rsidRPr="001F339C" w:rsidRDefault="00FF19B0" w:rsidP="00512659">
            <w:pPr>
              <w:pStyle w:val="Tabletext"/>
              <w:keepNext/>
              <w:spacing w:after="0"/>
              <w:rPr>
                <w:rFonts w:ascii="Arial Narrow" w:hAnsi="Arial Narrow"/>
              </w:rPr>
            </w:pPr>
            <w:r w:rsidRPr="001F339C">
              <w:rPr>
                <w:rFonts w:ascii="Arial Narrow" w:hAnsi="Arial Narrow"/>
              </w:rPr>
              <w:t xml:space="preserve">SYMBICORT </w:t>
            </w:r>
            <w:proofErr w:type="spellStart"/>
            <w:r w:rsidRPr="001F339C">
              <w:rPr>
                <w:rFonts w:ascii="Arial Narrow" w:hAnsi="Arial Narrow"/>
              </w:rPr>
              <w:t>Turbuhaler</w:t>
            </w:r>
            <w:proofErr w:type="spellEnd"/>
            <w:r w:rsidRPr="001F339C">
              <w:rPr>
                <w:rFonts w:ascii="Arial Narrow" w:hAnsi="Arial Narrow"/>
              </w:rPr>
              <w:t xml:space="preserve"> 200/6</w:t>
            </w:r>
          </w:p>
          <w:p w:rsidR="00FF19B0" w:rsidRPr="001F339C" w:rsidRDefault="00FF19B0" w:rsidP="00512659">
            <w:pPr>
              <w:pStyle w:val="Tabletext"/>
              <w:keepNext/>
              <w:spacing w:after="0"/>
              <w:rPr>
                <w:rFonts w:ascii="Arial Narrow" w:hAnsi="Arial Narrow"/>
                <w:i/>
              </w:rPr>
            </w:pPr>
            <w:r w:rsidRPr="001F339C">
              <w:rPr>
                <w:rFonts w:ascii="Arial Narrow" w:hAnsi="Arial Narrow"/>
              </w:rPr>
              <w:t>AstraZeneca Pty Ltd</w:t>
            </w:r>
          </w:p>
        </w:tc>
      </w:tr>
    </w:tbl>
    <w:p w:rsidR="00234252" w:rsidRPr="001F339C" w:rsidRDefault="00234252" w:rsidP="00512659">
      <w:pPr>
        <w:keepNext/>
        <w:jc w:val="both"/>
        <w:rPr>
          <w:rFonts w:asciiTheme="minorHAnsi" w:eastAsiaTheme="minorHAnsi" w:hAnsiTheme="minorHAnsi" w:cstheme="minorBidi"/>
          <w:b/>
          <w:i/>
          <w:color w:val="000000" w:themeColor="text1"/>
          <w:lang w:eastAsia="en-US"/>
        </w:rPr>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0"/>
        <w:gridCol w:w="6794"/>
      </w:tblGrid>
      <w:tr w:rsidR="00222707"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tcPr>
          <w:p w:rsidR="00222707" w:rsidRPr="001F339C" w:rsidRDefault="00222707" w:rsidP="00512659">
            <w:pPr>
              <w:pStyle w:val="Tabletext"/>
              <w:keepNext/>
              <w:spacing w:after="0"/>
              <w:rPr>
                <w:rFonts w:ascii="Arial Narrow" w:hAnsi="Arial Narrow"/>
                <w:b/>
                <w:szCs w:val="22"/>
                <w:lang w:eastAsia="en-AU"/>
              </w:rPr>
            </w:pPr>
            <w:r w:rsidRPr="001F339C">
              <w:rPr>
                <w:rFonts w:ascii="Arial Narrow" w:hAnsi="Arial Narrow"/>
                <w:b/>
                <w:szCs w:val="22"/>
                <w:lang w:eastAsia="en-AU"/>
              </w:rPr>
              <w:t>Category / Program:</w:t>
            </w:r>
          </w:p>
        </w:tc>
        <w:tc>
          <w:tcPr>
            <w:tcW w:w="3781" w:type="pct"/>
            <w:tcBorders>
              <w:top w:val="single" w:sz="4" w:space="0" w:color="auto"/>
              <w:left w:val="single" w:sz="4" w:space="0" w:color="auto"/>
              <w:bottom w:val="single" w:sz="4" w:space="0" w:color="auto"/>
              <w:right w:val="single" w:sz="4" w:space="0" w:color="auto"/>
            </w:tcBorders>
          </w:tcPr>
          <w:p w:rsidR="00222707" w:rsidRPr="001F339C" w:rsidRDefault="00FF19B0" w:rsidP="00512659">
            <w:pPr>
              <w:pStyle w:val="Tabletext"/>
              <w:keepNext/>
              <w:spacing w:after="0"/>
              <w:rPr>
                <w:rFonts w:ascii="Arial Narrow" w:hAnsi="Arial Narrow"/>
                <w:szCs w:val="22"/>
                <w:lang w:eastAsia="en-AU"/>
              </w:rPr>
            </w:pPr>
            <w:r w:rsidRPr="001F339C">
              <w:rPr>
                <w:rFonts w:ascii="Arial Narrow" w:hAnsi="Arial Narrow"/>
              </w:rPr>
              <w:t>GENERAL – General Schedule (Code GE)</w:t>
            </w:r>
          </w:p>
        </w:tc>
      </w:tr>
      <w:tr w:rsidR="00FF19B0"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tcPr>
          <w:p w:rsidR="00FF19B0" w:rsidRPr="001F339C" w:rsidRDefault="00FF19B0" w:rsidP="00512659">
            <w:pPr>
              <w:pStyle w:val="Tabletext"/>
              <w:keepNext/>
              <w:spacing w:after="0"/>
              <w:rPr>
                <w:rFonts w:ascii="Arial Narrow" w:hAnsi="Arial Narrow"/>
                <w:b/>
                <w:szCs w:val="22"/>
                <w:lang w:eastAsia="en-AU"/>
              </w:rPr>
            </w:pPr>
            <w:r w:rsidRPr="001F339C">
              <w:rPr>
                <w:rFonts w:ascii="Arial Narrow" w:hAnsi="Arial Narrow"/>
                <w:b/>
                <w:szCs w:val="22"/>
                <w:lang w:eastAsia="en-AU"/>
              </w:rPr>
              <w:t>Prescriber type:</w:t>
            </w:r>
          </w:p>
        </w:tc>
        <w:tc>
          <w:tcPr>
            <w:tcW w:w="3781" w:type="pct"/>
            <w:tcBorders>
              <w:top w:val="single" w:sz="4" w:space="0" w:color="auto"/>
              <w:left w:val="single" w:sz="4" w:space="0" w:color="auto"/>
              <w:bottom w:val="single" w:sz="4" w:space="0" w:color="auto"/>
              <w:right w:val="single" w:sz="4" w:space="0" w:color="auto"/>
            </w:tcBorders>
          </w:tcPr>
          <w:p w:rsidR="00FF19B0" w:rsidRPr="001F339C" w:rsidRDefault="00FF19B0" w:rsidP="00512659">
            <w:pPr>
              <w:pStyle w:val="Tabletext"/>
              <w:keepNext/>
              <w:spacing w:after="0"/>
              <w:rPr>
                <w:rFonts w:ascii="Arial Narrow" w:hAnsi="Arial Narrow"/>
                <w:szCs w:val="22"/>
                <w:lang w:eastAsia="en-AU"/>
              </w:rPr>
            </w:pPr>
            <w:r w:rsidRPr="001F339C">
              <w:rPr>
                <w:rFonts w:ascii="Arial Narrow" w:hAnsi="Arial Narrow"/>
              </w:rPr>
              <w:fldChar w:fldCharType="begin">
                <w:ffData>
                  <w:name w:val="Check1"/>
                  <w:enabled/>
                  <w:calcOnExit w:val="0"/>
                  <w:checkBox>
                    <w:sizeAuto/>
                    <w:default w:val="0"/>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1F339C">
              <w:rPr>
                <w:rFonts w:ascii="Arial Narrow" w:hAnsi="Arial Narrow"/>
              </w:rPr>
              <w:fldChar w:fldCharType="end"/>
            </w:r>
            <w:r w:rsidRPr="001F339C">
              <w:rPr>
                <w:rFonts w:ascii="Arial Narrow" w:hAnsi="Arial Narrow"/>
              </w:rPr>
              <w:t xml:space="preserve">Dental  </w:t>
            </w:r>
            <w:r w:rsidRPr="001F339C">
              <w:rPr>
                <w:rFonts w:ascii="Arial Narrow" w:hAnsi="Arial Narrow"/>
                <w:i/>
              </w:rPr>
              <w:fldChar w:fldCharType="begin">
                <w:ffData>
                  <w:name w:val=""/>
                  <w:enabled/>
                  <w:calcOnExit w:val="0"/>
                  <w:checkBox>
                    <w:sizeAuto/>
                    <w:default w:val="1"/>
                  </w:checkBox>
                </w:ffData>
              </w:fldChar>
            </w:r>
            <w:r w:rsidRPr="001F339C">
              <w:rPr>
                <w:rFonts w:ascii="Arial Narrow" w:hAnsi="Arial Narrow"/>
                <w:i/>
              </w:rPr>
              <w:instrText xml:space="preserve"> FORMCHECKBOX </w:instrText>
            </w:r>
            <w:r w:rsidR="00DF79FB">
              <w:rPr>
                <w:rFonts w:ascii="Arial Narrow" w:hAnsi="Arial Narrow"/>
                <w:i/>
              </w:rPr>
            </w:r>
            <w:r w:rsidR="00DF79FB">
              <w:rPr>
                <w:rFonts w:ascii="Arial Narrow" w:hAnsi="Arial Narrow"/>
                <w:i/>
              </w:rPr>
              <w:fldChar w:fldCharType="separate"/>
            </w:r>
            <w:r w:rsidRPr="001F339C">
              <w:rPr>
                <w:rFonts w:ascii="Arial Narrow" w:hAnsi="Arial Narrow"/>
                <w:i/>
              </w:rPr>
              <w:fldChar w:fldCharType="end"/>
            </w:r>
            <w:r w:rsidRPr="001F339C">
              <w:rPr>
                <w:rFonts w:ascii="Arial Narrow" w:hAnsi="Arial Narrow"/>
                <w:i/>
                <w:highlight w:val="lightGray"/>
              </w:rPr>
              <w:t>Medical Practitioners</w:t>
            </w:r>
            <w:r w:rsidRPr="001F339C">
              <w:rPr>
                <w:rFonts w:ascii="Arial Narrow" w:hAnsi="Arial Narrow"/>
                <w:i/>
              </w:rPr>
              <w:t xml:space="preserve">  </w:t>
            </w:r>
            <w:r w:rsidRPr="001F339C">
              <w:rPr>
                <w:rFonts w:ascii="Arial Narrow" w:hAnsi="Arial Narrow"/>
                <w:i/>
              </w:rPr>
              <w:fldChar w:fldCharType="begin">
                <w:ffData>
                  <w:name w:val=""/>
                  <w:enabled/>
                  <w:calcOnExit w:val="0"/>
                  <w:checkBox>
                    <w:sizeAuto/>
                    <w:default w:val="1"/>
                  </w:checkBox>
                </w:ffData>
              </w:fldChar>
            </w:r>
            <w:r w:rsidRPr="001F339C">
              <w:rPr>
                <w:rFonts w:ascii="Arial Narrow" w:hAnsi="Arial Narrow"/>
                <w:i/>
              </w:rPr>
              <w:instrText xml:space="preserve"> FORMCHECKBOX </w:instrText>
            </w:r>
            <w:r w:rsidR="00DF79FB">
              <w:rPr>
                <w:rFonts w:ascii="Arial Narrow" w:hAnsi="Arial Narrow"/>
                <w:i/>
              </w:rPr>
            </w:r>
            <w:r w:rsidR="00DF79FB">
              <w:rPr>
                <w:rFonts w:ascii="Arial Narrow" w:hAnsi="Arial Narrow"/>
                <w:i/>
              </w:rPr>
              <w:fldChar w:fldCharType="separate"/>
            </w:r>
            <w:r w:rsidRPr="001F339C">
              <w:rPr>
                <w:rFonts w:ascii="Arial Narrow" w:hAnsi="Arial Narrow"/>
                <w:i/>
              </w:rPr>
              <w:fldChar w:fldCharType="end"/>
            </w:r>
            <w:r w:rsidRPr="001F339C">
              <w:rPr>
                <w:rFonts w:ascii="Arial Narrow" w:hAnsi="Arial Narrow"/>
                <w:i/>
                <w:highlight w:val="lightGray"/>
              </w:rPr>
              <w:t>Nurse practitioners</w:t>
            </w:r>
            <w:r w:rsidRPr="001F339C">
              <w:rPr>
                <w:rFonts w:ascii="Arial Narrow" w:hAnsi="Arial Narrow"/>
                <w:i/>
              </w:rPr>
              <w:t xml:space="preserve"> </w:t>
            </w:r>
            <w:r w:rsidRPr="001F339C">
              <w:rPr>
                <w:rFonts w:ascii="Arial Narrow" w:hAnsi="Arial Narrow"/>
              </w:rPr>
              <w:t xml:space="preserve"> </w:t>
            </w:r>
            <w:r w:rsidRPr="001F339C">
              <w:rPr>
                <w:rFonts w:ascii="Arial Narrow" w:hAnsi="Arial Narrow"/>
              </w:rPr>
              <w:fldChar w:fldCharType="begin">
                <w:ffData>
                  <w:name w:val=""/>
                  <w:enabled/>
                  <w:calcOnExit w:val="0"/>
                  <w:checkBox>
                    <w:sizeAuto/>
                    <w:default w:val="0"/>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1F339C">
              <w:rPr>
                <w:rFonts w:ascii="Arial Narrow" w:hAnsi="Arial Narrow"/>
              </w:rPr>
              <w:fldChar w:fldCharType="end"/>
            </w:r>
            <w:r w:rsidRPr="001F339C">
              <w:rPr>
                <w:rFonts w:ascii="Arial Narrow" w:hAnsi="Arial Narrow"/>
              </w:rPr>
              <w:t xml:space="preserve">Optometrists </w:t>
            </w:r>
            <w:r w:rsidRPr="001F339C">
              <w:rPr>
                <w:rFonts w:ascii="Arial Narrow" w:hAnsi="Arial Narrow"/>
              </w:rPr>
              <w:fldChar w:fldCharType="begin">
                <w:ffData>
                  <w:name w:val="Check5"/>
                  <w:enabled/>
                  <w:calcOnExit w:val="0"/>
                  <w:checkBox>
                    <w:sizeAuto/>
                    <w:default w:val="0"/>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1F339C">
              <w:rPr>
                <w:rFonts w:ascii="Arial Narrow" w:hAnsi="Arial Narrow"/>
              </w:rPr>
              <w:fldChar w:fldCharType="end"/>
            </w:r>
            <w:r w:rsidRPr="001F339C">
              <w:rPr>
                <w:rFonts w:ascii="Arial Narrow" w:hAnsi="Arial Narrow"/>
              </w:rPr>
              <w:t>Midwives</w:t>
            </w:r>
          </w:p>
        </w:tc>
      </w:tr>
      <w:tr w:rsidR="00FF19B0"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tcPr>
          <w:p w:rsidR="00FF19B0" w:rsidRPr="001F339C" w:rsidRDefault="00FF19B0" w:rsidP="00512659">
            <w:pPr>
              <w:pStyle w:val="Tabletext"/>
              <w:keepNext/>
              <w:spacing w:after="0"/>
              <w:rPr>
                <w:rFonts w:ascii="Arial Narrow" w:hAnsi="Arial Narrow"/>
                <w:b/>
                <w:szCs w:val="22"/>
                <w:lang w:eastAsia="en-AU"/>
              </w:rPr>
            </w:pPr>
            <w:r w:rsidRPr="001F339C">
              <w:rPr>
                <w:rFonts w:ascii="Arial Narrow" w:hAnsi="Arial Narrow"/>
                <w:b/>
                <w:szCs w:val="22"/>
                <w:lang w:eastAsia="en-AU"/>
              </w:rPr>
              <w:t>PBS Indication:</w:t>
            </w:r>
          </w:p>
        </w:tc>
        <w:tc>
          <w:tcPr>
            <w:tcW w:w="3781" w:type="pct"/>
            <w:tcBorders>
              <w:top w:val="single" w:sz="4" w:space="0" w:color="auto"/>
              <w:left w:val="single" w:sz="4" w:space="0" w:color="auto"/>
              <w:bottom w:val="single" w:sz="4" w:space="0" w:color="auto"/>
              <w:right w:val="single" w:sz="4" w:space="0" w:color="auto"/>
            </w:tcBorders>
          </w:tcPr>
          <w:p w:rsidR="00FF19B0" w:rsidRPr="001F339C" w:rsidRDefault="00FA6753" w:rsidP="00512659">
            <w:pPr>
              <w:pStyle w:val="Tabletext"/>
              <w:keepNext/>
              <w:spacing w:after="0"/>
              <w:rPr>
                <w:rFonts w:ascii="Arial Narrow" w:hAnsi="Arial Narrow"/>
                <w:szCs w:val="22"/>
                <w:lang w:eastAsia="en-AU"/>
              </w:rPr>
            </w:pPr>
            <w:r w:rsidRPr="001F339C">
              <w:rPr>
                <w:rFonts w:ascii="Arial Narrow" w:hAnsi="Arial Narrow"/>
                <w:i/>
                <w:szCs w:val="22"/>
                <w:highlight w:val="lightGray"/>
                <w:lang w:eastAsia="en-AU"/>
              </w:rPr>
              <w:t>Mild</w:t>
            </w:r>
            <w:r w:rsidRPr="001F339C">
              <w:rPr>
                <w:rFonts w:ascii="Arial Narrow" w:hAnsi="Arial Narrow"/>
                <w:szCs w:val="22"/>
                <w:lang w:eastAsia="en-AU"/>
              </w:rPr>
              <w:t xml:space="preserve"> </w:t>
            </w:r>
            <w:r w:rsidRPr="001F339C">
              <w:rPr>
                <w:rFonts w:ascii="Arial Narrow" w:hAnsi="Arial Narrow"/>
                <w:i/>
                <w:szCs w:val="22"/>
                <w:lang w:eastAsia="en-AU"/>
              </w:rPr>
              <w:t>a</w:t>
            </w:r>
            <w:r w:rsidR="00FF19B0" w:rsidRPr="001F339C">
              <w:rPr>
                <w:rFonts w:ascii="Arial Narrow" w:hAnsi="Arial Narrow"/>
                <w:szCs w:val="22"/>
                <w:lang w:eastAsia="en-AU"/>
              </w:rPr>
              <w:t>sthma</w:t>
            </w:r>
          </w:p>
        </w:tc>
      </w:tr>
      <w:tr w:rsidR="00FF19B0"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tcPr>
          <w:p w:rsidR="00FF19B0" w:rsidRPr="001F339C" w:rsidRDefault="00FF19B0" w:rsidP="00512659">
            <w:pPr>
              <w:pStyle w:val="Tabletext"/>
              <w:keepNext/>
              <w:spacing w:after="0"/>
              <w:rPr>
                <w:rFonts w:ascii="Arial Narrow" w:hAnsi="Arial Narrow"/>
                <w:b/>
                <w:szCs w:val="22"/>
                <w:lang w:eastAsia="en-AU"/>
              </w:rPr>
            </w:pPr>
            <w:r w:rsidRPr="001F339C">
              <w:rPr>
                <w:rFonts w:ascii="Arial Narrow" w:hAnsi="Arial Narrow"/>
                <w:b/>
                <w:szCs w:val="22"/>
                <w:lang w:eastAsia="en-AU"/>
              </w:rPr>
              <w:t>Restriction Level / Method:</w:t>
            </w:r>
          </w:p>
        </w:tc>
        <w:tc>
          <w:tcPr>
            <w:tcW w:w="3781" w:type="pct"/>
            <w:tcBorders>
              <w:top w:val="single" w:sz="4" w:space="0" w:color="auto"/>
              <w:left w:val="single" w:sz="4" w:space="0" w:color="auto"/>
              <w:bottom w:val="single" w:sz="4" w:space="0" w:color="auto"/>
              <w:right w:val="single" w:sz="4" w:space="0" w:color="auto"/>
            </w:tcBorders>
          </w:tcPr>
          <w:p w:rsidR="00FF19B0" w:rsidRPr="001F339C" w:rsidRDefault="00FF19B0" w:rsidP="00512659">
            <w:pPr>
              <w:pStyle w:val="TableText0"/>
              <w:keepNext/>
              <w:rPr>
                <w:rFonts w:cs="Times New Roman"/>
              </w:rPr>
            </w:pPr>
            <w:r w:rsidRPr="001F339C">
              <w:rPr>
                <w:rFonts w:cs="Times New Roman"/>
              </w:rPr>
              <w:fldChar w:fldCharType="begin">
                <w:ffData>
                  <w:name w:val="Check1"/>
                  <w:enabled/>
                  <w:calcOnExit w:val="0"/>
                  <w:checkBox>
                    <w:sizeAuto/>
                    <w:default w:val="0"/>
                  </w:checkBox>
                </w:ffData>
              </w:fldChar>
            </w:r>
            <w:r w:rsidRPr="001F339C">
              <w:rPr>
                <w:rFonts w:cs="Times New Roman"/>
              </w:rPr>
              <w:instrText xml:space="preserve"> FORMCHECKBOX </w:instrText>
            </w:r>
            <w:r w:rsidR="00DF79FB">
              <w:rPr>
                <w:rFonts w:cs="Times New Roman"/>
              </w:rPr>
            </w:r>
            <w:r w:rsidR="00DF79FB">
              <w:rPr>
                <w:rFonts w:cs="Times New Roman"/>
              </w:rPr>
              <w:fldChar w:fldCharType="separate"/>
            </w:r>
            <w:r w:rsidRPr="001F339C">
              <w:rPr>
                <w:rFonts w:cs="Times New Roman"/>
              </w:rPr>
              <w:fldChar w:fldCharType="end"/>
            </w:r>
            <w:r w:rsidRPr="001F339C">
              <w:rPr>
                <w:rFonts w:cs="Times New Roman"/>
              </w:rPr>
              <w:t>Restricted benefit</w:t>
            </w:r>
          </w:p>
          <w:p w:rsidR="00FF19B0" w:rsidRPr="001F339C" w:rsidRDefault="00FF19B0" w:rsidP="00512659">
            <w:pPr>
              <w:pStyle w:val="TableText0"/>
              <w:keepNext/>
              <w:rPr>
                <w:rFonts w:cs="Times New Roman"/>
              </w:rPr>
            </w:pPr>
            <w:r w:rsidRPr="001F339C">
              <w:rPr>
                <w:rFonts w:cs="Times New Roman"/>
              </w:rPr>
              <w:fldChar w:fldCharType="begin">
                <w:ffData>
                  <w:name w:val=""/>
                  <w:enabled/>
                  <w:calcOnExit w:val="0"/>
                  <w:checkBox>
                    <w:sizeAuto/>
                    <w:default w:val="0"/>
                  </w:checkBox>
                </w:ffData>
              </w:fldChar>
            </w:r>
            <w:r w:rsidRPr="001F339C">
              <w:rPr>
                <w:rFonts w:cs="Times New Roman"/>
              </w:rPr>
              <w:instrText xml:space="preserve"> FORMCHECKBOX </w:instrText>
            </w:r>
            <w:r w:rsidR="00DF79FB">
              <w:rPr>
                <w:rFonts w:cs="Times New Roman"/>
              </w:rPr>
            </w:r>
            <w:r w:rsidR="00DF79FB">
              <w:rPr>
                <w:rFonts w:cs="Times New Roman"/>
              </w:rPr>
              <w:fldChar w:fldCharType="separate"/>
            </w:r>
            <w:r w:rsidRPr="001F339C">
              <w:rPr>
                <w:rFonts w:cs="Times New Roman"/>
              </w:rPr>
              <w:fldChar w:fldCharType="end"/>
            </w:r>
            <w:r w:rsidRPr="001F339C">
              <w:rPr>
                <w:rFonts w:cs="Times New Roman"/>
              </w:rPr>
              <w:t>Authority Required - In Writing</w:t>
            </w:r>
          </w:p>
          <w:p w:rsidR="00FF19B0" w:rsidRPr="001F339C" w:rsidRDefault="00FF19B0" w:rsidP="00512659">
            <w:pPr>
              <w:pStyle w:val="TableText0"/>
              <w:keepNext/>
            </w:pPr>
            <w:r w:rsidRPr="001F339C">
              <w:rPr>
                <w:rFonts w:cs="Times New Roman"/>
              </w:rPr>
              <w:fldChar w:fldCharType="begin">
                <w:ffData>
                  <w:name w:val="Check5"/>
                  <w:enabled/>
                  <w:calcOnExit w:val="0"/>
                  <w:checkBox>
                    <w:sizeAuto/>
                    <w:default w:val="0"/>
                  </w:checkBox>
                </w:ffData>
              </w:fldChar>
            </w:r>
            <w:r w:rsidRPr="001F339C">
              <w:rPr>
                <w:rFonts w:cs="Times New Roman"/>
              </w:rPr>
              <w:instrText xml:space="preserve"> FORMCHECKBOX </w:instrText>
            </w:r>
            <w:r w:rsidR="00DF79FB">
              <w:rPr>
                <w:rFonts w:cs="Times New Roman"/>
              </w:rPr>
            </w:r>
            <w:r w:rsidR="00DF79FB">
              <w:rPr>
                <w:rFonts w:cs="Times New Roman"/>
              </w:rPr>
              <w:fldChar w:fldCharType="separate"/>
            </w:r>
            <w:r w:rsidRPr="001F339C">
              <w:rPr>
                <w:rFonts w:cs="Times New Roman"/>
              </w:rPr>
              <w:fldChar w:fldCharType="end"/>
            </w:r>
            <w:r w:rsidRPr="001F339C">
              <w:t xml:space="preserve">Authority Required – Telephone/Electronic/Emergency </w:t>
            </w:r>
          </w:p>
          <w:p w:rsidR="00FF19B0" w:rsidRPr="001F339C" w:rsidRDefault="00FF19B0" w:rsidP="00512659">
            <w:pPr>
              <w:pStyle w:val="Tabletext"/>
              <w:keepNext/>
              <w:spacing w:after="0"/>
              <w:rPr>
                <w:rFonts w:ascii="Arial Narrow" w:hAnsi="Arial Narrow"/>
                <w:szCs w:val="22"/>
                <w:lang w:eastAsia="en-AU"/>
              </w:rPr>
            </w:pPr>
            <w:r w:rsidRPr="001F339C">
              <w:rPr>
                <w:rFonts w:ascii="Arial Narrow" w:hAnsi="Arial Narrow"/>
              </w:rPr>
              <w:fldChar w:fldCharType="begin">
                <w:ffData>
                  <w:name w:val="Check5"/>
                  <w:enabled/>
                  <w:calcOnExit w:val="0"/>
                  <w:checkBox>
                    <w:sizeAuto/>
                    <w:default w:val="1"/>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1F339C">
              <w:rPr>
                <w:rFonts w:ascii="Arial Narrow" w:hAnsi="Arial Narrow"/>
              </w:rPr>
              <w:fldChar w:fldCharType="end"/>
            </w:r>
            <w:r w:rsidRPr="001F339C">
              <w:rPr>
                <w:rFonts w:ascii="Arial Narrow" w:hAnsi="Arial Narrow"/>
              </w:rPr>
              <w:t>Streamlined</w:t>
            </w:r>
          </w:p>
        </w:tc>
      </w:tr>
      <w:tr w:rsidR="00FF19B0"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hideMark/>
          </w:tcPr>
          <w:p w:rsidR="00FF19B0" w:rsidRPr="001F339C" w:rsidRDefault="00FF19B0" w:rsidP="00512659">
            <w:pPr>
              <w:pStyle w:val="Tabletext"/>
              <w:keepNext/>
              <w:spacing w:after="0"/>
              <w:rPr>
                <w:rFonts w:ascii="Arial Narrow" w:hAnsi="Arial Narrow"/>
                <w:b/>
                <w:szCs w:val="22"/>
                <w:lang w:eastAsia="en-AU"/>
              </w:rPr>
            </w:pPr>
            <w:r w:rsidRPr="001F339C">
              <w:rPr>
                <w:rFonts w:ascii="Arial Narrow" w:hAnsi="Arial Narrow"/>
                <w:b/>
                <w:szCs w:val="22"/>
                <w:lang w:eastAsia="en-AU"/>
              </w:rPr>
              <w:t>Clinical criteria:</w:t>
            </w:r>
          </w:p>
        </w:tc>
        <w:tc>
          <w:tcPr>
            <w:tcW w:w="3781" w:type="pct"/>
            <w:tcBorders>
              <w:top w:val="single" w:sz="4" w:space="0" w:color="auto"/>
              <w:left w:val="single" w:sz="4" w:space="0" w:color="auto"/>
              <w:bottom w:val="single" w:sz="4" w:space="0" w:color="auto"/>
              <w:right w:val="single" w:sz="4" w:space="0" w:color="auto"/>
            </w:tcBorders>
          </w:tcPr>
          <w:p w:rsidR="0042222B" w:rsidRPr="00864976" w:rsidRDefault="0042222B" w:rsidP="00512659">
            <w:pPr>
              <w:pStyle w:val="NormalWeb"/>
              <w:keepNext/>
              <w:widowControl w:val="0"/>
              <w:spacing w:before="0" w:after="0"/>
              <w:rPr>
                <w:rFonts w:ascii="Arial Narrow" w:hAnsi="Arial Narrow" w:cs="Arial"/>
                <w:b/>
                <w:sz w:val="20"/>
                <w:szCs w:val="20"/>
                <w:lang w:val="en-AU"/>
              </w:rPr>
            </w:pPr>
            <w:r w:rsidRPr="00864976">
              <w:rPr>
                <w:rFonts w:ascii="Arial Narrow" w:hAnsi="Arial Narrow" w:cs="Arial"/>
                <w:b/>
                <w:strike/>
                <w:sz w:val="20"/>
                <w:szCs w:val="20"/>
                <w:lang w:val="en-AU"/>
              </w:rPr>
              <w:t>Patient must have previously had frequent episodes of asthma while receiving treatment with oral corticosteroids or optimal doses of inhaled corticosteroids; OR</w:t>
            </w:r>
          </w:p>
          <w:p w:rsidR="0042222B" w:rsidRPr="00864976" w:rsidRDefault="0042222B" w:rsidP="00512659">
            <w:pPr>
              <w:pStyle w:val="NormalWeb"/>
              <w:keepNext/>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br/>
            </w:r>
            <w:r w:rsidRPr="00864976">
              <w:rPr>
                <w:rFonts w:ascii="Arial Narrow" w:hAnsi="Arial Narrow" w:cs="Arial"/>
                <w:b/>
                <w:sz w:val="20"/>
                <w:szCs w:val="20"/>
                <w:lang w:val="en-AU"/>
              </w:rPr>
              <w:t>Patient must have asthma and require an anti</w:t>
            </w:r>
            <w:r w:rsidRPr="00864976">
              <w:rPr>
                <w:rFonts w:ascii="Arial Narrow" w:hAnsi="Arial Narrow" w:cs="Arial"/>
                <w:b/>
                <w:sz w:val="20"/>
                <w:szCs w:val="20"/>
                <w:lang w:val="en-AU"/>
              </w:rPr>
              <w:noBreakHyphen/>
              <w:t>inflammatory reliever therapy</w:t>
            </w:r>
            <w:r w:rsidR="00FA6753" w:rsidRPr="00864976">
              <w:rPr>
                <w:rFonts w:ascii="Arial Narrow" w:hAnsi="Arial Narrow" w:cs="Arial"/>
                <w:sz w:val="20"/>
                <w:szCs w:val="20"/>
                <w:highlight w:val="lightGray"/>
                <w:lang w:val="en-AU"/>
              </w:rPr>
              <w:t>.</w:t>
            </w:r>
            <w:r w:rsidRPr="00864976">
              <w:rPr>
                <w:rFonts w:ascii="Arial Narrow" w:hAnsi="Arial Narrow" w:cs="Arial"/>
                <w:strike/>
                <w:sz w:val="20"/>
                <w:szCs w:val="20"/>
                <w:highlight w:val="lightGray"/>
                <w:lang w:val="en-AU"/>
              </w:rPr>
              <w:t>; OR</w:t>
            </w:r>
            <w:r w:rsidRPr="00864976">
              <w:rPr>
                <w:rFonts w:ascii="Arial Narrow" w:hAnsi="Arial Narrow" w:cs="Arial"/>
                <w:sz w:val="20"/>
                <w:szCs w:val="20"/>
                <w:lang w:val="en-AU"/>
              </w:rPr>
              <w:t xml:space="preserve"> </w:t>
            </w:r>
          </w:p>
          <w:p w:rsidR="0042222B" w:rsidRPr="001F339C" w:rsidRDefault="0042222B" w:rsidP="00512659">
            <w:pPr>
              <w:keepNext/>
              <w:rPr>
                <w:rFonts w:ascii="Arial Narrow" w:hAnsi="Arial Narrow"/>
                <w:strike/>
                <w:color w:val="222222"/>
                <w:sz w:val="20"/>
                <w:szCs w:val="20"/>
              </w:rPr>
            </w:pPr>
            <w:r w:rsidRPr="001F339C">
              <w:rPr>
                <w:rFonts w:ascii="Arial Narrow" w:hAnsi="Arial Narrow"/>
                <w:color w:val="222222"/>
                <w:sz w:val="20"/>
                <w:szCs w:val="20"/>
              </w:rPr>
              <w:br/>
            </w:r>
            <w:r w:rsidRPr="001F339C">
              <w:rPr>
                <w:rFonts w:ascii="Arial Narrow" w:hAnsi="Arial Narrow"/>
                <w:strike/>
                <w:color w:val="222222"/>
                <w:sz w:val="20"/>
                <w:szCs w:val="20"/>
                <w:highlight w:val="lightGray"/>
              </w:rPr>
              <w:t>Patient must have experienced frequent asthma symptoms while receiving treatment with oral or inhaled corticosteroids and require single maintenance and reliever therapy; OR</w:t>
            </w:r>
          </w:p>
          <w:p w:rsidR="0042222B" w:rsidRPr="001F339C" w:rsidRDefault="0042222B" w:rsidP="00512659">
            <w:pPr>
              <w:keepNext/>
              <w:rPr>
                <w:rFonts w:ascii="Arial Narrow" w:hAnsi="Arial Narrow"/>
                <w:strike/>
                <w:sz w:val="20"/>
                <w:szCs w:val="20"/>
              </w:rPr>
            </w:pPr>
            <w:r w:rsidRPr="008922C6">
              <w:rPr>
                <w:rFonts w:ascii="Arial Narrow" w:hAnsi="Arial Narrow"/>
                <w:color w:val="222222"/>
                <w:sz w:val="20"/>
                <w:szCs w:val="20"/>
              </w:rPr>
              <w:br/>
            </w:r>
            <w:r w:rsidRPr="001F339C">
              <w:rPr>
                <w:rFonts w:ascii="Arial Narrow" w:hAnsi="Arial Narrow"/>
                <w:strike/>
                <w:color w:val="222222"/>
                <w:sz w:val="20"/>
                <w:szCs w:val="20"/>
                <w:highlight w:val="lightGray"/>
              </w:rPr>
              <w:t>Patient</w:t>
            </w:r>
            <w:r w:rsidRPr="001F339C">
              <w:rPr>
                <w:rFonts w:ascii="Arial Narrow" w:hAnsi="Arial Narrow"/>
                <w:strike/>
                <w:sz w:val="20"/>
                <w:szCs w:val="20"/>
                <w:highlight w:val="lightGray"/>
              </w:rPr>
              <w:t xml:space="preserve"> must have experienced frequent asthma symptoms while receiving treatment with a combination of an inhaled corticosteroid and long acting beta</w:t>
            </w:r>
            <w:r w:rsidRPr="001F339C">
              <w:rPr>
                <w:rFonts w:ascii="Arial Narrow" w:hAnsi="Arial Narrow"/>
                <w:strike/>
                <w:sz w:val="20"/>
                <w:szCs w:val="20"/>
                <w:highlight w:val="lightGray"/>
              </w:rPr>
              <w:noBreakHyphen/>
              <w:t>2 agonist and require single maintenance and reliever therapy.</w:t>
            </w:r>
          </w:p>
          <w:p w:rsidR="00FF19B0" w:rsidRPr="001F339C" w:rsidRDefault="00FF19B0" w:rsidP="00512659">
            <w:pPr>
              <w:keepNext/>
              <w:ind w:left="375"/>
              <w:rPr>
                <w:rFonts w:ascii="Arial Narrow" w:hAnsi="Arial Narrow"/>
                <w:color w:val="222222"/>
                <w:sz w:val="20"/>
                <w:szCs w:val="20"/>
              </w:rPr>
            </w:pPr>
          </w:p>
        </w:tc>
      </w:tr>
      <w:tr w:rsidR="00FF19B0"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tcPr>
          <w:p w:rsidR="00FF19B0" w:rsidRPr="001F339C" w:rsidRDefault="00FF19B0" w:rsidP="0042222B">
            <w:pPr>
              <w:pStyle w:val="Tabletext"/>
              <w:spacing w:after="0"/>
              <w:rPr>
                <w:rFonts w:ascii="Arial Narrow" w:hAnsi="Arial Narrow"/>
                <w:b/>
                <w:szCs w:val="22"/>
                <w:lang w:eastAsia="en-AU"/>
              </w:rPr>
            </w:pPr>
            <w:r w:rsidRPr="001F339C">
              <w:rPr>
                <w:rFonts w:ascii="Arial Narrow" w:hAnsi="Arial Narrow"/>
                <w:b/>
                <w:szCs w:val="22"/>
                <w:lang w:eastAsia="en-AU"/>
              </w:rPr>
              <w:t>Population criteria:</w:t>
            </w:r>
          </w:p>
        </w:tc>
        <w:tc>
          <w:tcPr>
            <w:tcW w:w="3781" w:type="pct"/>
            <w:tcBorders>
              <w:top w:val="single" w:sz="4" w:space="0" w:color="auto"/>
              <w:left w:val="single" w:sz="4" w:space="0" w:color="auto"/>
              <w:bottom w:val="single" w:sz="4" w:space="0" w:color="auto"/>
              <w:right w:val="single" w:sz="4" w:space="0" w:color="auto"/>
            </w:tcBorders>
          </w:tcPr>
          <w:p w:rsidR="00FF19B0" w:rsidRPr="001F339C" w:rsidRDefault="00FF19B0" w:rsidP="0042222B">
            <w:pPr>
              <w:pStyle w:val="Tabletext"/>
              <w:spacing w:after="0"/>
              <w:rPr>
                <w:rFonts w:ascii="Arial Narrow" w:hAnsi="Arial Narrow"/>
                <w:szCs w:val="22"/>
              </w:rPr>
            </w:pPr>
            <w:r w:rsidRPr="001F339C">
              <w:rPr>
                <w:rFonts w:ascii="Arial Narrow" w:hAnsi="Arial Narrow"/>
                <w:szCs w:val="22"/>
              </w:rPr>
              <w:t>Patient must be aged 12 years or over.</w:t>
            </w:r>
          </w:p>
          <w:p w:rsidR="0042222B" w:rsidRPr="001F339C" w:rsidRDefault="0042222B" w:rsidP="0042222B">
            <w:pPr>
              <w:pStyle w:val="Tabletext"/>
              <w:spacing w:after="0"/>
              <w:rPr>
                <w:rFonts w:ascii="Arial Narrow" w:hAnsi="Arial Narrow"/>
                <w:color w:val="000000"/>
                <w:szCs w:val="24"/>
                <w:lang w:eastAsia="en-AU"/>
              </w:rPr>
            </w:pPr>
          </w:p>
        </w:tc>
      </w:tr>
      <w:tr w:rsidR="00FF19B0" w:rsidRPr="001F339C" w:rsidTr="00FF19B0">
        <w:trPr>
          <w:trHeight w:val="20"/>
        </w:trPr>
        <w:tc>
          <w:tcPr>
            <w:tcW w:w="1219" w:type="pct"/>
            <w:tcBorders>
              <w:top w:val="single" w:sz="4" w:space="0" w:color="auto"/>
              <w:left w:val="single" w:sz="4" w:space="0" w:color="auto"/>
              <w:bottom w:val="single" w:sz="4" w:space="0" w:color="auto"/>
              <w:right w:val="single" w:sz="4" w:space="0" w:color="auto"/>
            </w:tcBorders>
            <w:hideMark/>
          </w:tcPr>
          <w:p w:rsidR="00FF19B0" w:rsidRPr="001F339C" w:rsidRDefault="00FF19B0" w:rsidP="0042222B">
            <w:pPr>
              <w:pStyle w:val="Tabletext"/>
              <w:spacing w:after="0"/>
              <w:rPr>
                <w:rFonts w:ascii="Arial Narrow" w:hAnsi="Arial Narrow"/>
                <w:b/>
                <w:szCs w:val="22"/>
                <w:lang w:eastAsia="en-AU"/>
              </w:rPr>
            </w:pPr>
            <w:r w:rsidRPr="001F339C">
              <w:rPr>
                <w:rFonts w:ascii="Arial Narrow" w:hAnsi="Arial Narrow"/>
                <w:b/>
                <w:szCs w:val="22"/>
                <w:lang w:eastAsia="en-AU"/>
              </w:rPr>
              <w:t>Administrative Advice:</w:t>
            </w:r>
          </w:p>
        </w:tc>
        <w:tc>
          <w:tcPr>
            <w:tcW w:w="3781" w:type="pct"/>
            <w:tcBorders>
              <w:top w:val="single" w:sz="4" w:space="0" w:color="auto"/>
              <w:left w:val="single" w:sz="4" w:space="0" w:color="auto"/>
              <w:bottom w:val="single" w:sz="4" w:space="0" w:color="auto"/>
              <w:right w:val="single" w:sz="4" w:space="0" w:color="auto"/>
            </w:tcBorders>
          </w:tcPr>
          <w:p w:rsidR="0042222B" w:rsidRPr="00864976" w:rsidRDefault="0042222B" w:rsidP="0042222B">
            <w:pPr>
              <w:pStyle w:val="NormalWeb"/>
              <w:widowControl w:val="0"/>
              <w:spacing w:before="0" w:after="0"/>
              <w:rPr>
                <w:rFonts w:ascii="Arial Narrow" w:hAnsi="Arial Narrow" w:cs="Arial"/>
                <w:b/>
                <w:strike/>
                <w:sz w:val="20"/>
                <w:szCs w:val="20"/>
                <w:lang w:val="en-AU"/>
              </w:rPr>
            </w:pPr>
            <w:r w:rsidRPr="00864976">
              <w:rPr>
                <w:rFonts w:ascii="Arial Narrow" w:hAnsi="Arial Narrow" w:cs="Arial"/>
                <w:b/>
                <w:strike/>
                <w:sz w:val="20"/>
                <w:szCs w:val="20"/>
                <w:lang w:val="en-AU"/>
              </w:rPr>
              <w:t>This product is not indicated for the initiation of treatment in asthma</w:t>
            </w:r>
          </w:p>
          <w:p w:rsidR="0042222B" w:rsidRPr="00864976" w:rsidRDefault="0042222B" w:rsidP="0042222B">
            <w:pPr>
              <w:pStyle w:val="NormalWeb"/>
              <w:widowControl w:val="0"/>
              <w:spacing w:before="0" w:after="0"/>
              <w:rPr>
                <w:rFonts w:ascii="Arial Narrow" w:hAnsi="Arial Narrow" w:cs="Arial"/>
                <w:strike/>
                <w:sz w:val="20"/>
                <w:szCs w:val="20"/>
                <w:lang w:val="en-AU"/>
              </w:rPr>
            </w:pPr>
          </w:p>
          <w:p w:rsidR="0042222B" w:rsidRPr="00864976" w:rsidRDefault="0042222B" w:rsidP="0042222B">
            <w:pPr>
              <w:pStyle w:val="NormalWeb"/>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t xml:space="preserve">This drug is not PBS-subsidised for the treatment of </w:t>
            </w:r>
            <w:r w:rsidRPr="00864976">
              <w:rPr>
                <w:rFonts w:ascii="Arial Narrow" w:hAnsi="Arial Narrow" w:cs="Arial"/>
                <w:i/>
                <w:sz w:val="20"/>
                <w:szCs w:val="20"/>
                <w:highlight w:val="lightGray"/>
                <w:lang w:val="en-AU"/>
              </w:rPr>
              <w:t>chronic obstructive pulmonary disease</w:t>
            </w:r>
            <w:r w:rsidRPr="00864976">
              <w:rPr>
                <w:rFonts w:ascii="Arial Narrow" w:hAnsi="Arial Narrow" w:cs="Arial"/>
                <w:sz w:val="20"/>
                <w:szCs w:val="20"/>
                <w:lang w:val="en-AU"/>
              </w:rPr>
              <w:t xml:space="preserve"> </w:t>
            </w:r>
            <w:r w:rsidR="005C1DF5" w:rsidRPr="00864976">
              <w:rPr>
                <w:rFonts w:ascii="Arial Narrow" w:hAnsi="Arial Narrow" w:cs="Arial"/>
                <w:sz w:val="20"/>
                <w:szCs w:val="20"/>
                <w:lang w:val="en-AU"/>
              </w:rPr>
              <w:t>(</w:t>
            </w:r>
            <w:r w:rsidRPr="00864976">
              <w:rPr>
                <w:rFonts w:ascii="Arial Narrow" w:hAnsi="Arial Narrow" w:cs="Arial"/>
                <w:sz w:val="20"/>
                <w:szCs w:val="20"/>
                <w:lang w:val="en-AU"/>
              </w:rPr>
              <w:t>COPD</w:t>
            </w:r>
            <w:r w:rsidR="005C1DF5" w:rsidRPr="00864976">
              <w:rPr>
                <w:rFonts w:ascii="Arial Narrow" w:hAnsi="Arial Narrow" w:cs="Arial"/>
                <w:sz w:val="20"/>
                <w:szCs w:val="20"/>
                <w:lang w:val="en-AU"/>
              </w:rPr>
              <w:t xml:space="preserve">) </w:t>
            </w:r>
            <w:r w:rsidR="005C1DF5" w:rsidRPr="00864976">
              <w:rPr>
                <w:rFonts w:ascii="Arial Narrow" w:hAnsi="Arial Narrow" w:cs="Arial"/>
                <w:b/>
                <w:sz w:val="20"/>
                <w:szCs w:val="20"/>
                <w:lang w:val="en-AU"/>
              </w:rPr>
              <w:t>or for the treatment of allergen- or exercise-induced bronchoconstriction</w:t>
            </w:r>
            <w:r w:rsidRPr="00864976">
              <w:rPr>
                <w:rFonts w:ascii="Arial Narrow" w:hAnsi="Arial Narrow" w:cs="Arial"/>
                <w:sz w:val="20"/>
                <w:szCs w:val="20"/>
                <w:lang w:val="en-AU"/>
              </w:rPr>
              <w:t>.</w:t>
            </w:r>
          </w:p>
          <w:p w:rsidR="0042222B" w:rsidRPr="00864976" w:rsidRDefault="0042222B" w:rsidP="0042222B">
            <w:pPr>
              <w:pStyle w:val="NormalWeb"/>
              <w:widowControl w:val="0"/>
              <w:spacing w:before="0" w:after="0"/>
              <w:rPr>
                <w:rFonts w:ascii="Arial Narrow" w:hAnsi="Arial Narrow" w:cs="Arial"/>
                <w:sz w:val="20"/>
                <w:szCs w:val="20"/>
                <w:lang w:val="en-AU"/>
              </w:rPr>
            </w:pPr>
          </w:p>
          <w:p w:rsidR="0042222B" w:rsidRPr="00864976" w:rsidRDefault="0042222B" w:rsidP="0042222B">
            <w:pPr>
              <w:pStyle w:val="NormalWeb"/>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t xml:space="preserve">The patient must not be on a concomitant single </w:t>
            </w:r>
            <w:r w:rsidRPr="00864976">
              <w:rPr>
                <w:rFonts w:ascii="Arial Narrow" w:hAnsi="Arial Narrow" w:cs="Arial"/>
                <w:i/>
                <w:sz w:val="20"/>
                <w:szCs w:val="20"/>
                <w:highlight w:val="lightGray"/>
                <w:lang w:val="en-AU"/>
              </w:rPr>
              <w:t>agent</w:t>
            </w:r>
            <w:r w:rsidRPr="00864976">
              <w:rPr>
                <w:rFonts w:ascii="Arial Narrow" w:hAnsi="Arial Narrow" w:cs="Arial"/>
                <w:sz w:val="20"/>
                <w:szCs w:val="20"/>
                <w:lang w:val="en-AU"/>
              </w:rPr>
              <w:t xml:space="preserve"> long-acting-beta-2-agonist (LABA)</w:t>
            </w:r>
          </w:p>
          <w:p w:rsidR="0042222B" w:rsidRPr="00864976" w:rsidRDefault="0042222B" w:rsidP="0042222B">
            <w:pPr>
              <w:pStyle w:val="NormalWeb"/>
              <w:widowControl w:val="0"/>
              <w:spacing w:before="0" w:after="0"/>
              <w:rPr>
                <w:rFonts w:ascii="Arial Narrow" w:hAnsi="Arial Narrow" w:cs="Arial"/>
                <w:sz w:val="20"/>
                <w:szCs w:val="20"/>
                <w:lang w:val="en-AU"/>
              </w:rPr>
            </w:pPr>
          </w:p>
          <w:p w:rsidR="0042222B" w:rsidRPr="00864976" w:rsidRDefault="0042222B" w:rsidP="0042222B">
            <w:pPr>
              <w:pStyle w:val="NormalWeb"/>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t xml:space="preserve">A LABA includes </w:t>
            </w:r>
            <w:proofErr w:type="spellStart"/>
            <w:r w:rsidRPr="00864976">
              <w:rPr>
                <w:rFonts w:ascii="Arial Narrow" w:hAnsi="Arial Narrow" w:cs="Arial"/>
                <w:sz w:val="20"/>
                <w:szCs w:val="20"/>
                <w:lang w:val="en-AU"/>
              </w:rPr>
              <w:t>olodaterol</w:t>
            </w:r>
            <w:proofErr w:type="spellEnd"/>
            <w:r w:rsidRPr="00864976">
              <w:rPr>
                <w:rFonts w:ascii="Arial Narrow" w:hAnsi="Arial Narrow" w:cs="Arial"/>
                <w:sz w:val="20"/>
                <w:szCs w:val="20"/>
                <w:lang w:val="en-AU"/>
              </w:rPr>
              <w:t xml:space="preserve">, </w:t>
            </w:r>
            <w:proofErr w:type="spellStart"/>
            <w:r w:rsidRPr="00864976">
              <w:rPr>
                <w:rFonts w:ascii="Arial Narrow" w:hAnsi="Arial Narrow" w:cs="Arial"/>
                <w:sz w:val="20"/>
                <w:szCs w:val="20"/>
                <w:lang w:val="en-AU"/>
              </w:rPr>
              <w:t>indacaterol</w:t>
            </w:r>
            <w:proofErr w:type="spellEnd"/>
            <w:r w:rsidRPr="00864976">
              <w:rPr>
                <w:rFonts w:ascii="Arial Narrow" w:hAnsi="Arial Narrow" w:cs="Arial"/>
                <w:sz w:val="20"/>
                <w:szCs w:val="20"/>
                <w:lang w:val="en-AU"/>
              </w:rPr>
              <w:t xml:space="preserve">, </w:t>
            </w:r>
            <w:proofErr w:type="spellStart"/>
            <w:r w:rsidRPr="00864976">
              <w:rPr>
                <w:rFonts w:ascii="Arial Narrow" w:hAnsi="Arial Narrow" w:cs="Arial"/>
                <w:sz w:val="20"/>
                <w:szCs w:val="20"/>
                <w:lang w:val="en-AU"/>
              </w:rPr>
              <w:t>salmeterol</w:t>
            </w:r>
            <w:proofErr w:type="spellEnd"/>
            <w:r w:rsidRPr="00864976">
              <w:rPr>
                <w:rFonts w:ascii="Arial Narrow" w:hAnsi="Arial Narrow" w:cs="Arial"/>
                <w:sz w:val="20"/>
                <w:szCs w:val="20"/>
                <w:lang w:val="en-AU"/>
              </w:rPr>
              <w:t xml:space="preserve">, </w:t>
            </w:r>
            <w:proofErr w:type="spellStart"/>
            <w:r w:rsidRPr="00864976">
              <w:rPr>
                <w:rFonts w:ascii="Arial Narrow" w:hAnsi="Arial Narrow" w:cs="Arial"/>
                <w:sz w:val="20"/>
                <w:szCs w:val="20"/>
                <w:lang w:val="en-AU"/>
              </w:rPr>
              <w:t>formoterol</w:t>
            </w:r>
            <w:proofErr w:type="spellEnd"/>
            <w:r w:rsidRPr="00864976">
              <w:rPr>
                <w:rFonts w:ascii="Arial Narrow" w:hAnsi="Arial Narrow" w:cs="Arial"/>
                <w:sz w:val="20"/>
                <w:szCs w:val="20"/>
                <w:lang w:val="en-AU"/>
              </w:rPr>
              <w:t xml:space="preserve"> or </w:t>
            </w:r>
            <w:proofErr w:type="spellStart"/>
            <w:r w:rsidRPr="00864976">
              <w:rPr>
                <w:rFonts w:ascii="Arial Narrow" w:hAnsi="Arial Narrow" w:cs="Arial"/>
                <w:sz w:val="20"/>
                <w:szCs w:val="20"/>
                <w:lang w:val="en-AU"/>
              </w:rPr>
              <w:t>vilanterol</w:t>
            </w:r>
            <w:proofErr w:type="spellEnd"/>
            <w:r w:rsidRPr="00864976">
              <w:rPr>
                <w:rFonts w:ascii="Arial Narrow" w:hAnsi="Arial Narrow" w:cs="Arial"/>
                <w:sz w:val="20"/>
                <w:szCs w:val="20"/>
                <w:lang w:val="en-AU"/>
              </w:rPr>
              <w:t>.</w:t>
            </w:r>
          </w:p>
          <w:p w:rsidR="0042222B" w:rsidRPr="00864976" w:rsidRDefault="0042222B" w:rsidP="0042222B">
            <w:pPr>
              <w:pStyle w:val="NormalWeb"/>
              <w:widowControl w:val="0"/>
              <w:spacing w:before="0" w:after="0"/>
              <w:rPr>
                <w:rFonts w:ascii="Arial Narrow" w:hAnsi="Arial Narrow" w:cs="Arial"/>
                <w:sz w:val="20"/>
                <w:szCs w:val="20"/>
                <w:lang w:val="en-AU"/>
              </w:rPr>
            </w:pPr>
          </w:p>
          <w:p w:rsidR="0042222B" w:rsidRPr="001F339C" w:rsidRDefault="0042222B" w:rsidP="0042222B">
            <w:pPr>
              <w:pStyle w:val="Tabletext"/>
              <w:widowControl w:val="0"/>
              <w:spacing w:after="0"/>
              <w:rPr>
                <w:rFonts w:ascii="Arial Narrow" w:hAnsi="Arial Narrow" w:cs="Arial"/>
              </w:rPr>
            </w:pPr>
            <w:r w:rsidRPr="001F339C">
              <w:rPr>
                <w:rFonts w:ascii="Arial Narrow" w:hAnsi="Arial Narrow" w:cs="Arial"/>
              </w:rPr>
              <w:t>Adherence to current treatment and device (inhaler) technique should be reviewed at each clinical visit and before ‘stepping up’ a patient’s medication regimen.</w:t>
            </w:r>
          </w:p>
          <w:p w:rsidR="0042222B" w:rsidRPr="008922C6" w:rsidRDefault="0042222B" w:rsidP="0042222B">
            <w:pPr>
              <w:pStyle w:val="Tabletext"/>
              <w:widowControl w:val="0"/>
              <w:spacing w:after="0"/>
              <w:rPr>
                <w:rFonts w:ascii="Arial Narrow" w:hAnsi="Arial Narrow" w:cs="Arial"/>
                <w:i/>
              </w:rPr>
            </w:pPr>
          </w:p>
          <w:p w:rsidR="005C1DF5" w:rsidRPr="001F339C" w:rsidRDefault="005C1DF5" w:rsidP="0042222B">
            <w:pPr>
              <w:pStyle w:val="Tabletext"/>
              <w:widowControl w:val="0"/>
              <w:spacing w:after="0"/>
              <w:rPr>
                <w:rFonts w:ascii="Arial Narrow" w:hAnsi="Arial Narrow" w:cs="Arial"/>
                <w:b/>
              </w:rPr>
            </w:pPr>
            <w:r w:rsidRPr="001F339C">
              <w:rPr>
                <w:rFonts w:ascii="Arial Narrow" w:hAnsi="Arial Narrow" w:cs="Arial"/>
                <w:b/>
              </w:rPr>
              <w:t xml:space="preserve">A single prescription (one original supply plus one repeat) is permitted in any 12-month period. If more frequent treatment is required, consider whether a maintenance treatment regimen would be more appropriate. </w:t>
            </w:r>
          </w:p>
          <w:p w:rsidR="00FF19B0" w:rsidRPr="001F339C" w:rsidRDefault="00FF19B0" w:rsidP="0042222B">
            <w:pPr>
              <w:pStyle w:val="Tabletext"/>
              <w:widowControl w:val="0"/>
              <w:spacing w:after="0"/>
              <w:rPr>
                <w:rFonts w:ascii="Arial Narrow" w:hAnsi="Arial Narrow" w:cs="Arial"/>
                <w:i/>
              </w:rPr>
            </w:pPr>
          </w:p>
        </w:tc>
      </w:tr>
    </w:tbl>
    <w:p w:rsidR="0030410B" w:rsidRPr="001F339C" w:rsidRDefault="0030410B" w:rsidP="0030410B"/>
    <w:tbl>
      <w:tblPr>
        <w:tblW w:w="8472" w:type="dxa"/>
        <w:tblBorders>
          <w:top w:val="single" w:sz="4" w:space="0" w:color="auto"/>
          <w:bottom w:val="single" w:sz="4" w:space="0" w:color="auto"/>
          <w:insideH w:val="single" w:sz="4" w:space="0" w:color="auto"/>
        </w:tblBorders>
        <w:tblLook w:val="04A0" w:firstRow="1" w:lastRow="0" w:firstColumn="1" w:lastColumn="0" w:noHBand="0" w:noVBand="1"/>
      </w:tblPr>
      <w:tblGrid>
        <w:gridCol w:w="3415"/>
        <w:gridCol w:w="922"/>
        <w:gridCol w:w="891"/>
        <w:gridCol w:w="1304"/>
        <w:gridCol w:w="1940"/>
      </w:tblGrid>
      <w:tr w:rsidR="005C1DF5" w:rsidRPr="001F339C" w:rsidTr="00FD26F6">
        <w:tc>
          <w:tcPr>
            <w:tcW w:w="0" w:type="auto"/>
            <w:tcBorders>
              <w:top w:val="nil"/>
              <w:bottom w:val="single" w:sz="4" w:space="0" w:color="auto"/>
            </w:tcBorders>
          </w:tcPr>
          <w:p w:rsidR="005C1DF5" w:rsidRPr="001F339C" w:rsidRDefault="005C1DF5" w:rsidP="00512659">
            <w:pPr>
              <w:pStyle w:val="Tabletext"/>
              <w:keepNext/>
              <w:keepLines/>
              <w:spacing w:after="0"/>
              <w:rPr>
                <w:rFonts w:ascii="Arial Narrow" w:hAnsi="Arial Narrow"/>
                <w:b/>
                <w:bCs/>
              </w:rPr>
            </w:pPr>
            <w:r w:rsidRPr="001F339C">
              <w:rPr>
                <w:rFonts w:ascii="Arial Narrow" w:hAnsi="Arial Narrow"/>
                <w:b/>
              </w:rPr>
              <w:t>Name, Restriction,</w:t>
            </w:r>
            <w:r w:rsidRPr="001F339C">
              <w:rPr>
                <w:rFonts w:ascii="Arial Narrow" w:hAnsi="Arial Narrow"/>
                <w:b/>
              </w:rPr>
              <w:br/>
              <w:t>Manner of administration and form</w:t>
            </w:r>
          </w:p>
        </w:tc>
        <w:tc>
          <w:tcPr>
            <w:tcW w:w="0" w:type="auto"/>
            <w:tcBorders>
              <w:top w:val="nil"/>
              <w:bottom w:val="single" w:sz="4" w:space="0" w:color="auto"/>
            </w:tcBorders>
          </w:tcPr>
          <w:p w:rsidR="005C1DF5" w:rsidRPr="001F339C" w:rsidRDefault="005C1DF5" w:rsidP="00512659">
            <w:pPr>
              <w:pStyle w:val="Tabletext"/>
              <w:keepNext/>
              <w:keepLines/>
              <w:spacing w:after="0"/>
              <w:jc w:val="center"/>
              <w:rPr>
                <w:rFonts w:ascii="Arial Narrow" w:hAnsi="Arial Narrow"/>
                <w:b/>
                <w:bCs/>
              </w:rPr>
            </w:pPr>
            <w:r w:rsidRPr="001F339C">
              <w:rPr>
                <w:rFonts w:ascii="Arial Narrow" w:hAnsi="Arial Narrow"/>
                <w:b/>
              </w:rPr>
              <w:t xml:space="preserve">Max. </w:t>
            </w:r>
            <w:proofErr w:type="spellStart"/>
            <w:r w:rsidRPr="001F339C">
              <w:rPr>
                <w:rFonts w:ascii="Arial Narrow" w:hAnsi="Arial Narrow"/>
                <w:b/>
              </w:rPr>
              <w:t>Qty</w:t>
            </w:r>
            <w:proofErr w:type="spellEnd"/>
            <w:r w:rsidRPr="001F339C">
              <w:rPr>
                <w:rFonts w:ascii="Arial Narrow" w:hAnsi="Arial Narrow"/>
                <w:b/>
              </w:rPr>
              <w:t xml:space="preserve"> (packs)</w:t>
            </w:r>
          </w:p>
        </w:tc>
        <w:tc>
          <w:tcPr>
            <w:tcW w:w="0" w:type="auto"/>
            <w:tcBorders>
              <w:top w:val="nil"/>
              <w:bottom w:val="single" w:sz="4" w:space="0" w:color="auto"/>
            </w:tcBorders>
          </w:tcPr>
          <w:p w:rsidR="005C1DF5" w:rsidRPr="001F339C" w:rsidRDefault="005C1DF5" w:rsidP="00512659">
            <w:pPr>
              <w:pStyle w:val="Tabletext"/>
              <w:keepNext/>
              <w:keepLines/>
              <w:spacing w:after="0"/>
              <w:rPr>
                <w:rFonts w:ascii="Arial Narrow" w:hAnsi="Arial Narrow"/>
                <w:b/>
                <w:bCs/>
              </w:rPr>
            </w:pPr>
            <w:r w:rsidRPr="001F339C">
              <w:rPr>
                <w:rFonts w:ascii="Arial Narrow" w:hAnsi="Arial Narrow"/>
                <w:b/>
              </w:rPr>
              <w:t>No. of repeats</w:t>
            </w:r>
          </w:p>
        </w:tc>
        <w:tc>
          <w:tcPr>
            <w:tcW w:w="0" w:type="auto"/>
            <w:tcBorders>
              <w:top w:val="nil"/>
              <w:bottom w:val="single" w:sz="4" w:space="0" w:color="auto"/>
            </w:tcBorders>
          </w:tcPr>
          <w:p w:rsidR="005C1DF5" w:rsidRPr="001F339C" w:rsidRDefault="005C1DF5" w:rsidP="00512659">
            <w:pPr>
              <w:pStyle w:val="Tabletext"/>
              <w:keepNext/>
              <w:keepLines/>
              <w:spacing w:after="0"/>
              <w:rPr>
                <w:rFonts w:ascii="Arial Narrow" w:hAnsi="Arial Narrow"/>
                <w:b/>
                <w:bCs/>
              </w:rPr>
            </w:pPr>
            <w:r w:rsidRPr="001F339C">
              <w:rPr>
                <w:rFonts w:ascii="Arial Narrow" w:hAnsi="Arial Narrow"/>
                <w:b/>
              </w:rPr>
              <w:t xml:space="preserve">Dispensed Price for Max. </w:t>
            </w:r>
            <w:proofErr w:type="spellStart"/>
            <w:r w:rsidRPr="001F339C">
              <w:rPr>
                <w:rFonts w:ascii="Arial Narrow" w:hAnsi="Arial Narrow"/>
                <w:b/>
              </w:rPr>
              <w:t>Qty</w:t>
            </w:r>
            <w:proofErr w:type="spellEnd"/>
          </w:p>
        </w:tc>
        <w:tc>
          <w:tcPr>
            <w:tcW w:w="1940" w:type="dxa"/>
            <w:tcBorders>
              <w:top w:val="nil"/>
              <w:bottom w:val="single" w:sz="4" w:space="0" w:color="auto"/>
            </w:tcBorders>
          </w:tcPr>
          <w:p w:rsidR="005C1DF5" w:rsidRPr="001F339C" w:rsidRDefault="005C1DF5" w:rsidP="00512659">
            <w:pPr>
              <w:pStyle w:val="Tabletext"/>
              <w:keepNext/>
              <w:keepLines/>
              <w:spacing w:after="0"/>
              <w:rPr>
                <w:rFonts w:ascii="Arial Narrow" w:hAnsi="Arial Narrow"/>
                <w:b/>
                <w:bCs/>
              </w:rPr>
            </w:pPr>
            <w:r w:rsidRPr="001F339C">
              <w:rPr>
                <w:rFonts w:ascii="Arial Narrow" w:hAnsi="Arial Narrow"/>
                <w:b/>
              </w:rPr>
              <w:t>Proprietary Name and Manufacturer</w:t>
            </w:r>
          </w:p>
        </w:tc>
      </w:tr>
      <w:tr w:rsidR="005C1DF5" w:rsidRPr="001F339C" w:rsidTr="00FD26F6">
        <w:tc>
          <w:tcPr>
            <w:tcW w:w="0" w:type="auto"/>
            <w:tcBorders>
              <w:bottom w:val="nil"/>
            </w:tcBorders>
          </w:tcPr>
          <w:p w:rsidR="005C1DF5" w:rsidRPr="001F339C" w:rsidRDefault="005C1DF5" w:rsidP="00512659">
            <w:pPr>
              <w:pStyle w:val="Tabletext"/>
              <w:keepNext/>
              <w:keepLines/>
              <w:spacing w:after="0"/>
              <w:rPr>
                <w:rFonts w:ascii="Arial Narrow" w:hAnsi="Arial Narrow"/>
                <w:color w:val="000000"/>
              </w:rPr>
            </w:pPr>
            <w:r w:rsidRPr="001F339C">
              <w:rPr>
                <w:rFonts w:ascii="Arial Narrow" w:hAnsi="Arial Narrow"/>
                <w:color w:val="000000"/>
              </w:rPr>
              <w:t>BUDESONIDE + FORMOTEROL (EFORMOTEROL)</w:t>
            </w:r>
          </w:p>
          <w:p w:rsidR="005C1DF5" w:rsidRPr="001F339C" w:rsidRDefault="005C1DF5" w:rsidP="00512659">
            <w:pPr>
              <w:pStyle w:val="Tabletext"/>
              <w:keepNext/>
              <w:keepLines/>
              <w:spacing w:after="0"/>
              <w:rPr>
                <w:rFonts w:ascii="Arial Narrow" w:hAnsi="Arial Narrow"/>
                <w:b/>
                <w:bCs/>
              </w:rPr>
            </w:pPr>
            <w:r w:rsidRPr="001F339C">
              <w:rPr>
                <w:rStyle w:val="form-strength"/>
                <w:rFonts w:ascii="Arial Narrow" w:hAnsi="Arial Narrow"/>
                <w:color w:val="000000"/>
              </w:rPr>
              <w:t xml:space="preserve">budesonide 100 microgram/actuation + </w:t>
            </w:r>
            <w:proofErr w:type="spellStart"/>
            <w:r w:rsidRPr="001F339C">
              <w:rPr>
                <w:rStyle w:val="form-strength"/>
                <w:rFonts w:ascii="Arial Narrow" w:hAnsi="Arial Narrow"/>
                <w:color w:val="000000"/>
              </w:rPr>
              <w:t>formoterol</w:t>
            </w:r>
            <w:proofErr w:type="spellEnd"/>
            <w:r w:rsidRPr="001F339C">
              <w:rPr>
                <w:rStyle w:val="form-strength"/>
                <w:rFonts w:ascii="Arial Narrow" w:hAnsi="Arial Narrow"/>
                <w:color w:val="000000"/>
              </w:rPr>
              <w:t xml:space="preserve"> (</w:t>
            </w:r>
            <w:proofErr w:type="spellStart"/>
            <w:r w:rsidRPr="001F339C">
              <w:rPr>
                <w:rStyle w:val="form-strength"/>
                <w:rFonts w:ascii="Arial Narrow" w:hAnsi="Arial Narrow"/>
                <w:color w:val="000000"/>
              </w:rPr>
              <w:t>eformoterol</w:t>
            </w:r>
            <w:proofErr w:type="spellEnd"/>
            <w:r w:rsidRPr="001F339C">
              <w:rPr>
                <w:rStyle w:val="form-strength"/>
                <w:rFonts w:ascii="Arial Narrow" w:hAnsi="Arial Narrow"/>
                <w:color w:val="000000"/>
              </w:rPr>
              <w:t xml:space="preserve">) fumarate </w:t>
            </w:r>
            <w:proofErr w:type="spellStart"/>
            <w:r w:rsidRPr="001F339C">
              <w:rPr>
                <w:rStyle w:val="form-strength"/>
                <w:rFonts w:ascii="Arial Narrow" w:hAnsi="Arial Narrow"/>
                <w:color w:val="000000"/>
              </w:rPr>
              <w:t>dihydrate</w:t>
            </w:r>
            <w:proofErr w:type="spellEnd"/>
            <w:r w:rsidRPr="001F339C">
              <w:rPr>
                <w:rStyle w:val="form-strength"/>
                <w:rFonts w:ascii="Arial Narrow" w:hAnsi="Arial Narrow"/>
                <w:color w:val="000000"/>
              </w:rPr>
              <w:t xml:space="preserve"> 3 microgram/actuation powder for inhalation, 120 actuations</w:t>
            </w:r>
          </w:p>
        </w:tc>
        <w:tc>
          <w:tcPr>
            <w:tcW w:w="0" w:type="auto"/>
            <w:tcBorders>
              <w:bottom w:val="nil"/>
            </w:tcBorders>
          </w:tcPr>
          <w:p w:rsidR="005C1DF5" w:rsidRPr="001F339C" w:rsidRDefault="005C1DF5" w:rsidP="00512659">
            <w:pPr>
              <w:pStyle w:val="Tabletext"/>
              <w:keepNext/>
              <w:keepLines/>
              <w:spacing w:after="0"/>
              <w:jc w:val="center"/>
              <w:rPr>
                <w:rFonts w:ascii="Arial Narrow" w:hAnsi="Arial Narrow"/>
              </w:rPr>
            </w:pPr>
          </w:p>
          <w:p w:rsidR="005C1DF5" w:rsidRPr="001F339C" w:rsidRDefault="005C1DF5" w:rsidP="00512659">
            <w:pPr>
              <w:pStyle w:val="Tabletext"/>
              <w:keepNext/>
              <w:keepLines/>
              <w:spacing w:after="0"/>
              <w:jc w:val="center"/>
              <w:rPr>
                <w:rFonts w:ascii="Arial Narrow" w:hAnsi="Arial Narrow"/>
              </w:rPr>
            </w:pPr>
          </w:p>
          <w:p w:rsidR="005C1DF5" w:rsidRPr="001F339C" w:rsidRDefault="005C1DF5" w:rsidP="00512659">
            <w:pPr>
              <w:pStyle w:val="Tabletext"/>
              <w:keepNext/>
              <w:keepLines/>
              <w:spacing w:after="0"/>
              <w:rPr>
                <w:rFonts w:ascii="Arial Narrow" w:hAnsi="Arial Narrow"/>
              </w:rPr>
            </w:pPr>
            <w:r w:rsidRPr="001F339C">
              <w:rPr>
                <w:rFonts w:ascii="Arial Narrow" w:hAnsi="Arial Narrow"/>
              </w:rPr>
              <w:t>2</w:t>
            </w:r>
          </w:p>
        </w:tc>
        <w:tc>
          <w:tcPr>
            <w:tcW w:w="0" w:type="auto"/>
            <w:tcBorders>
              <w:bottom w:val="nil"/>
            </w:tcBorders>
          </w:tcPr>
          <w:p w:rsidR="005C1DF5" w:rsidRPr="001F339C" w:rsidRDefault="005C1DF5" w:rsidP="00512659">
            <w:pPr>
              <w:pStyle w:val="Tabletext"/>
              <w:keepNext/>
              <w:keepLines/>
              <w:spacing w:after="0"/>
              <w:jc w:val="center"/>
              <w:rPr>
                <w:rFonts w:ascii="Arial Narrow" w:hAnsi="Arial Narrow"/>
              </w:rPr>
            </w:pPr>
          </w:p>
          <w:p w:rsidR="005C1DF5" w:rsidRPr="001F339C" w:rsidRDefault="005C1DF5" w:rsidP="00512659">
            <w:pPr>
              <w:pStyle w:val="Tabletext"/>
              <w:keepNext/>
              <w:keepLines/>
              <w:spacing w:after="0"/>
              <w:jc w:val="center"/>
              <w:rPr>
                <w:rFonts w:ascii="Arial Narrow" w:hAnsi="Arial Narrow"/>
              </w:rPr>
            </w:pPr>
          </w:p>
          <w:p w:rsidR="005C1DF5" w:rsidRPr="001F339C" w:rsidRDefault="005C1DF5" w:rsidP="00512659">
            <w:pPr>
              <w:pStyle w:val="Tabletext"/>
              <w:keepNext/>
              <w:keepLines/>
              <w:spacing w:after="0"/>
              <w:rPr>
                <w:rFonts w:ascii="Arial Narrow" w:hAnsi="Arial Narrow"/>
              </w:rPr>
            </w:pPr>
            <w:r w:rsidRPr="001F339C">
              <w:rPr>
                <w:rFonts w:ascii="Arial Narrow" w:hAnsi="Arial Narrow"/>
              </w:rPr>
              <w:t>1</w:t>
            </w:r>
          </w:p>
        </w:tc>
        <w:tc>
          <w:tcPr>
            <w:tcW w:w="0" w:type="auto"/>
            <w:tcBorders>
              <w:bottom w:val="nil"/>
            </w:tcBorders>
          </w:tcPr>
          <w:p w:rsidR="005C1DF5" w:rsidRPr="001F339C" w:rsidRDefault="005C1DF5" w:rsidP="00512659">
            <w:pPr>
              <w:pStyle w:val="Tabletext"/>
              <w:keepNext/>
              <w:keepLines/>
              <w:spacing w:after="0"/>
              <w:rPr>
                <w:rFonts w:ascii="Arial Narrow" w:hAnsi="Arial Narrow"/>
              </w:rPr>
            </w:pPr>
          </w:p>
          <w:p w:rsidR="005C1DF5" w:rsidRPr="001F339C" w:rsidRDefault="005C1DF5" w:rsidP="00512659">
            <w:pPr>
              <w:pStyle w:val="Tabletext"/>
              <w:keepNext/>
              <w:keepLines/>
              <w:spacing w:after="0"/>
              <w:rPr>
                <w:rFonts w:ascii="Arial Narrow" w:hAnsi="Arial Narrow"/>
              </w:rPr>
            </w:pPr>
          </w:p>
          <w:p w:rsidR="005C1DF5" w:rsidRPr="001F339C" w:rsidRDefault="005C1DF5" w:rsidP="00512659">
            <w:pPr>
              <w:pStyle w:val="Tabletext"/>
              <w:keepNext/>
              <w:keepLines/>
              <w:spacing w:after="0"/>
              <w:rPr>
                <w:rFonts w:ascii="Arial Narrow" w:hAnsi="Arial Narrow"/>
                <w:i/>
              </w:rPr>
            </w:pPr>
            <w:r w:rsidRPr="001F339C">
              <w:rPr>
                <w:rFonts w:ascii="Arial Narrow" w:hAnsi="Arial Narrow"/>
              </w:rPr>
              <w:t>$49.</w:t>
            </w:r>
            <w:r w:rsidR="008E7AAE" w:rsidRPr="001F339C">
              <w:rPr>
                <w:rFonts w:ascii="Arial Narrow" w:hAnsi="Arial Narrow"/>
              </w:rPr>
              <w:t>47</w:t>
            </w:r>
          </w:p>
        </w:tc>
        <w:tc>
          <w:tcPr>
            <w:tcW w:w="1940" w:type="dxa"/>
            <w:tcBorders>
              <w:bottom w:val="nil"/>
            </w:tcBorders>
          </w:tcPr>
          <w:p w:rsidR="005C1DF5" w:rsidRPr="001F339C" w:rsidRDefault="005C1DF5" w:rsidP="00512659">
            <w:pPr>
              <w:pStyle w:val="Tabletext"/>
              <w:keepNext/>
              <w:keepLines/>
              <w:spacing w:after="0"/>
              <w:rPr>
                <w:rFonts w:ascii="Arial Narrow" w:hAnsi="Arial Narrow"/>
              </w:rPr>
            </w:pPr>
          </w:p>
          <w:p w:rsidR="005C1DF5" w:rsidRPr="001F339C" w:rsidRDefault="005C1DF5" w:rsidP="00512659">
            <w:pPr>
              <w:pStyle w:val="Tabletext"/>
              <w:keepNext/>
              <w:keepLines/>
              <w:spacing w:after="0"/>
              <w:rPr>
                <w:rFonts w:ascii="Arial Narrow" w:hAnsi="Arial Narrow"/>
              </w:rPr>
            </w:pPr>
          </w:p>
          <w:p w:rsidR="005C1DF5" w:rsidRPr="001F339C" w:rsidRDefault="005C1DF5" w:rsidP="00512659">
            <w:pPr>
              <w:pStyle w:val="Tabletext"/>
              <w:keepNext/>
              <w:keepLines/>
              <w:spacing w:after="0"/>
              <w:rPr>
                <w:rFonts w:ascii="Arial Narrow" w:hAnsi="Arial Narrow"/>
              </w:rPr>
            </w:pPr>
            <w:r w:rsidRPr="001F339C">
              <w:rPr>
                <w:rFonts w:ascii="Arial Narrow" w:hAnsi="Arial Narrow"/>
              </w:rPr>
              <w:t xml:space="preserve">SYMBICORT </w:t>
            </w:r>
            <w:proofErr w:type="spellStart"/>
            <w:r w:rsidRPr="001F339C">
              <w:rPr>
                <w:rFonts w:ascii="Arial Narrow" w:hAnsi="Arial Narrow"/>
              </w:rPr>
              <w:t>Rapihaler</w:t>
            </w:r>
            <w:proofErr w:type="spellEnd"/>
            <w:r w:rsidRPr="001F339C">
              <w:rPr>
                <w:rFonts w:ascii="Arial Narrow" w:hAnsi="Arial Narrow"/>
              </w:rPr>
              <w:t xml:space="preserve"> 100/3</w:t>
            </w:r>
          </w:p>
          <w:p w:rsidR="005C1DF5" w:rsidRPr="001F339C" w:rsidRDefault="005C1DF5" w:rsidP="00512659">
            <w:pPr>
              <w:pStyle w:val="Tabletext"/>
              <w:keepNext/>
              <w:keepLines/>
              <w:spacing w:after="0"/>
              <w:rPr>
                <w:rFonts w:ascii="Arial Narrow" w:hAnsi="Arial Narrow"/>
                <w:i/>
              </w:rPr>
            </w:pPr>
            <w:r w:rsidRPr="001F339C">
              <w:rPr>
                <w:rFonts w:ascii="Arial Narrow" w:hAnsi="Arial Narrow"/>
              </w:rPr>
              <w:t>AstraZeneca Pty Ltd</w:t>
            </w:r>
          </w:p>
        </w:tc>
      </w:tr>
    </w:tbl>
    <w:p w:rsidR="0030410B" w:rsidRPr="001F339C" w:rsidRDefault="0030410B" w:rsidP="00512659">
      <w:pPr>
        <w:keepNext/>
        <w:keepLines/>
        <w:rPr>
          <w:rFonts w:ascii="Arial Narrow" w:hAnsi="Arial Narrow"/>
        </w:rPr>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0"/>
        <w:gridCol w:w="6794"/>
      </w:tblGrid>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tcPr>
          <w:p w:rsidR="005C1DF5" w:rsidRPr="001F339C" w:rsidRDefault="005C1DF5" w:rsidP="00512659">
            <w:pPr>
              <w:pStyle w:val="Tabletext"/>
              <w:keepNext/>
              <w:keepLines/>
              <w:spacing w:after="0"/>
              <w:rPr>
                <w:rFonts w:ascii="Arial Narrow" w:hAnsi="Arial Narrow"/>
                <w:b/>
                <w:szCs w:val="22"/>
                <w:lang w:eastAsia="en-AU"/>
              </w:rPr>
            </w:pPr>
            <w:r w:rsidRPr="001F339C">
              <w:rPr>
                <w:rFonts w:ascii="Arial Narrow" w:hAnsi="Arial Narrow"/>
                <w:b/>
                <w:szCs w:val="22"/>
                <w:lang w:eastAsia="en-AU"/>
              </w:rPr>
              <w:t>Category / Program:</w:t>
            </w:r>
          </w:p>
        </w:tc>
        <w:tc>
          <w:tcPr>
            <w:tcW w:w="3781" w:type="pct"/>
            <w:tcBorders>
              <w:top w:val="single" w:sz="4" w:space="0" w:color="auto"/>
              <w:left w:val="single" w:sz="4" w:space="0" w:color="auto"/>
              <w:bottom w:val="single" w:sz="4" w:space="0" w:color="auto"/>
              <w:right w:val="single" w:sz="4" w:space="0" w:color="auto"/>
            </w:tcBorders>
          </w:tcPr>
          <w:p w:rsidR="005C1DF5" w:rsidRPr="001F339C" w:rsidRDefault="005C1DF5" w:rsidP="00512659">
            <w:pPr>
              <w:pStyle w:val="Tabletext"/>
              <w:keepNext/>
              <w:keepLines/>
              <w:spacing w:after="0"/>
              <w:rPr>
                <w:rFonts w:ascii="Arial Narrow" w:hAnsi="Arial Narrow"/>
                <w:szCs w:val="22"/>
                <w:lang w:eastAsia="en-AU"/>
              </w:rPr>
            </w:pPr>
            <w:r w:rsidRPr="001F339C">
              <w:rPr>
                <w:rFonts w:ascii="Arial Narrow" w:hAnsi="Arial Narrow"/>
              </w:rPr>
              <w:t>GENERAL – General Schedule (Code GE)</w:t>
            </w:r>
          </w:p>
        </w:tc>
      </w:tr>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
              <w:spacing w:after="0"/>
              <w:rPr>
                <w:rFonts w:ascii="Arial Narrow" w:hAnsi="Arial Narrow"/>
                <w:b/>
                <w:szCs w:val="22"/>
                <w:lang w:eastAsia="en-AU"/>
              </w:rPr>
            </w:pPr>
            <w:r w:rsidRPr="001F339C">
              <w:rPr>
                <w:rFonts w:ascii="Arial Narrow" w:hAnsi="Arial Narrow"/>
                <w:b/>
                <w:szCs w:val="22"/>
                <w:lang w:eastAsia="en-AU"/>
              </w:rPr>
              <w:t>Prescriber type:</w:t>
            </w:r>
          </w:p>
        </w:tc>
        <w:tc>
          <w:tcPr>
            <w:tcW w:w="3781"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
              <w:spacing w:after="0"/>
              <w:rPr>
                <w:rFonts w:ascii="Arial Narrow" w:hAnsi="Arial Narrow"/>
                <w:szCs w:val="22"/>
                <w:lang w:eastAsia="en-AU"/>
              </w:rPr>
            </w:pPr>
            <w:r w:rsidRPr="00864976">
              <w:rPr>
                <w:rFonts w:ascii="Arial Narrow" w:hAnsi="Arial Narrow"/>
              </w:rPr>
              <w:fldChar w:fldCharType="begin">
                <w:ffData>
                  <w:name w:val="Check1"/>
                  <w:enabled/>
                  <w:calcOnExit w:val="0"/>
                  <w:checkBox>
                    <w:sizeAuto/>
                    <w:default w:val="0"/>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864976">
              <w:rPr>
                <w:rFonts w:ascii="Arial Narrow" w:hAnsi="Arial Narrow"/>
              </w:rPr>
              <w:fldChar w:fldCharType="end"/>
            </w:r>
            <w:r w:rsidRPr="001F339C">
              <w:rPr>
                <w:rFonts w:ascii="Arial Narrow" w:hAnsi="Arial Narrow"/>
              </w:rPr>
              <w:t xml:space="preserve">Dental  </w:t>
            </w:r>
            <w:r w:rsidRPr="00864976">
              <w:rPr>
                <w:rFonts w:ascii="Arial Narrow" w:hAnsi="Arial Narrow"/>
                <w:i/>
              </w:rPr>
              <w:fldChar w:fldCharType="begin">
                <w:ffData>
                  <w:name w:val=""/>
                  <w:enabled/>
                  <w:calcOnExit w:val="0"/>
                  <w:checkBox>
                    <w:sizeAuto/>
                    <w:default w:val="1"/>
                  </w:checkBox>
                </w:ffData>
              </w:fldChar>
            </w:r>
            <w:r w:rsidRPr="001F339C">
              <w:rPr>
                <w:rFonts w:ascii="Arial Narrow" w:hAnsi="Arial Narrow"/>
                <w:i/>
              </w:rPr>
              <w:instrText xml:space="preserve"> FORMCHECKBOX </w:instrText>
            </w:r>
            <w:r w:rsidR="00DF79FB">
              <w:rPr>
                <w:rFonts w:ascii="Arial Narrow" w:hAnsi="Arial Narrow"/>
                <w:i/>
              </w:rPr>
            </w:r>
            <w:r w:rsidR="00DF79FB">
              <w:rPr>
                <w:rFonts w:ascii="Arial Narrow" w:hAnsi="Arial Narrow"/>
                <w:i/>
              </w:rPr>
              <w:fldChar w:fldCharType="separate"/>
            </w:r>
            <w:r w:rsidRPr="00864976">
              <w:rPr>
                <w:rFonts w:ascii="Arial Narrow" w:hAnsi="Arial Narrow"/>
                <w:i/>
              </w:rPr>
              <w:fldChar w:fldCharType="end"/>
            </w:r>
            <w:r w:rsidRPr="001F339C">
              <w:rPr>
                <w:rFonts w:ascii="Arial Narrow" w:hAnsi="Arial Narrow"/>
                <w:i/>
                <w:highlight w:val="lightGray"/>
              </w:rPr>
              <w:t>Medical Practitioners</w:t>
            </w:r>
            <w:r w:rsidRPr="001F339C">
              <w:rPr>
                <w:rFonts w:ascii="Arial Narrow" w:hAnsi="Arial Narrow"/>
                <w:i/>
              </w:rPr>
              <w:t xml:space="preserve">  </w:t>
            </w:r>
            <w:r w:rsidRPr="00864976">
              <w:rPr>
                <w:rFonts w:ascii="Arial Narrow" w:hAnsi="Arial Narrow"/>
                <w:i/>
              </w:rPr>
              <w:fldChar w:fldCharType="begin">
                <w:ffData>
                  <w:name w:val=""/>
                  <w:enabled/>
                  <w:calcOnExit w:val="0"/>
                  <w:checkBox>
                    <w:sizeAuto/>
                    <w:default w:val="1"/>
                  </w:checkBox>
                </w:ffData>
              </w:fldChar>
            </w:r>
            <w:r w:rsidRPr="001F339C">
              <w:rPr>
                <w:rFonts w:ascii="Arial Narrow" w:hAnsi="Arial Narrow"/>
                <w:i/>
              </w:rPr>
              <w:instrText xml:space="preserve"> FORMCHECKBOX </w:instrText>
            </w:r>
            <w:r w:rsidR="00DF79FB">
              <w:rPr>
                <w:rFonts w:ascii="Arial Narrow" w:hAnsi="Arial Narrow"/>
                <w:i/>
              </w:rPr>
            </w:r>
            <w:r w:rsidR="00DF79FB">
              <w:rPr>
                <w:rFonts w:ascii="Arial Narrow" w:hAnsi="Arial Narrow"/>
                <w:i/>
              </w:rPr>
              <w:fldChar w:fldCharType="separate"/>
            </w:r>
            <w:r w:rsidRPr="00864976">
              <w:rPr>
                <w:rFonts w:ascii="Arial Narrow" w:hAnsi="Arial Narrow"/>
                <w:i/>
              </w:rPr>
              <w:fldChar w:fldCharType="end"/>
            </w:r>
            <w:r w:rsidRPr="001F339C">
              <w:rPr>
                <w:rFonts w:ascii="Arial Narrow" w:hAnsi="Arial Narrow"/>
                <w:i/>
                <w:highlight w:val="lightGray"/>
              </w:rPr>
              <w:t>Nurse practitioners</w:t>
            </w:r>
            <w:r w:rsidRPr="001F339C">
              <w:rPr>
                <w:rFonts w:ascii="Arial Narrow" w:hAnsi="Arial Narrow"/>
                <w:i/>
              </w:rPr>
              <w:t xml:space="preserve">  </w:t>
            </w:r>
            <w:r w:rsidRPr="00864976">
              <w:rPr>
                <w:rFonts w:ascii="Arial Narrow" w:hAnsi="Arial Narrow"/>
              </w:rPr>
              <w:fldChar w:fldCharType="begin">
                <w:ffData>
                  <w:name w:val=""/>
                  <w:enabled/>
                  <w:calcOnExit w:val="0"/>
                  <w:checkBox>
                    <w:sizeAuto/>
                    <w:default w:val="0"/>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864976">
              <w:rPr>
                <w:rFonts w:ascii="Arial Narrow" w:hAnsi="Arial Narrow"/>
              </w:rPr>
              <w:fldChar w:fldCharType="end"/>
            </w:r>
            <w:r w:rsidRPr="001F339C">
              <w:rPr>
                <w:rFonts w:ascii="Arial Narrow" w:hAnsi="Arial Narrow"/>
              </w:rPr>
              <w:t xml:space="preserve">Optometrists </w:t>
            </w:r>
            <w:r w:rsidRPr="00864976">
              <w:rPr>
                <w:rFonts w:ascii="Arial Narrow" w:hAnsi="Arial Narrow"/>
              </w:rPr>
              <w:fldChar w:fldCharType="begin">
                <w:ffData>
                  <w:name w:val="Check5"/>
                  <w:enabled/>
                  <w:calcOnExit w:val="0"/>
                  <w:checkBox>
                    <w:sizeAuto/>
                    <w:default w:val="0"/>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864976">
              <w:rPr>
                <w:rFonts w:ascii="Arial Narrow" w:hAnsi="Arial Narrow"/>
              </w:rPr>
              <w:fldChar w:fldCharType="end"/>
            </w:r>
            <w:r w:rsidRPr="001F339C">
              <w:rPr>
                <w:rFonts w:ascii="Arial Narrow" w:hAnsi="Arial Narrow"/>
              </w:rPr>
              <w:t>Midwives</w:t>
            </w:r>
          </w:p>
        </w:tc>
      </w:tr>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
              <w:spacing w:after="0"/>
              <w:rPr>
                <w:rFonts w:ascii="Arial Narrow" w:hAnsi="Arial Narrow"/>
                <w:b/>
                <w:szCs w:val="22"/>
                <w:lang w:eastAsia="en-AU"/>
              </w:rPr>
            </w:pPr>
            <w:r w:rsidRPr="001F339C">
              <w:rPr>
                <w:rFonts w:ascii="Arial Narrow" w:hAnsi="Arial Narrow"/>
                <w:b/>
                <w:szCs w:val="22"/>
                <w:lang w:eastAsia="en-AU"/>
              </w:rPr>
              <w:t>PBS Indication:</w:t>
            </w:r>
          </w:p>
        </w:tc>
        <w:tc>
          <w:tcPr>
            <w:tcW w:w="3781" w:type="pct"/>
            <w:tcBorders>
              <w:top w:val="single" w:sz="4" w:space="0" w:color="auto"/>
              <w:left w:val="single" w:sz="4" w:space="0" w:color="auto"/>
              <w:bottom w:val="single" w:sz="4" w:space="0" w:color="auto"/>
              <w:right w:val="single" w:sz="4" w:space="0" w:color="auto"/>
            </w:tcBorders>
          </w:tcPr>
          <w:p w:rsidR="005C1DF5" w:rsidRPr="001F339C" w:rsidRDefault="00FA6753" w:rsidP="00FD26F6">
            <w:pPr>
              <w:pStyle w:val="Tabletext"/>
              <w:spacing w:after="0"/>
              <w:rPr>
                <w:rFonts w:ascii="Arial Narrow" w:hAnsi="Arial Narrow"/>
                <w:szCs w:val="22"/>
                <w:lang w:eastAsia="en-AU"/>
              </w:rPr>
            </w:pPr>
            <w:r w:rsidRPr="001F339C">
              <w:rPr>
                <w:rFonts w:ascii="Arial Narrow" w:hAnsi="Arial Narrow"/>
                <w:i/>
                <w:szCs w:val="22"/>
                <w:highlight w:val="lightGray"/>
                <w:lang w:eastAsia="en-AU"/>
              </w:rPr>
              <w:t>Mild</w:t>
            </w:r>
            <w:r w:rsidRPr="001F339C">
              <w:rPr>
                <w:rFonts w:ascii="Arial Narrow" w:hAnsi="Arial Narrow"/>
                <w:i/>
                <w:szCs w:val="22"/>
                <w:lang w:eastAsia="en-AU"/>
              </w:rPr>
              <w:t xml:space="preserve"> a</w:t>
            </w:r>
            <w:r w:rsidR="005C1DF5" w:rsidRPr="001F339C">
              <w:rPr>
                <w:rFonts w:ascii="Arial Narrow" w:hAnsi="Arial Narrow"/>
                <w:szCs w:val="22"/>
                <w:lang w:eastAsia="en-AU"/>
              </w:rPr>
              <w:t>sthma</w:t>
            </w:r>
          </w:p>
        </w:tc>
      </w:tr>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
              <w:spacing w:after="0"/>
              <w:rPr>
                <w:rFonts w:ascii="Arial Narrow" w:hAnsi="Arial Narrow"/>
                <w:b/>
                <w:szCs w:val="22"/>
                <w:lang w:eastAsia="en-AU"/>
              </w:rPr>
            </w:pPr>
            <w:r w:rsidRPr="001F339C">
              <w:rPr>
                <w:rFonts w:ascii="Arial Narrow" w:hAnsi="Arial Narrow"/>
                <w:b/>
                <w:szCs w:val="22"/>
                <w:lang w:eastAsia="en-AU"/>
              </w:rPr>
              <w:t>Restriction Level / Method:</w:t>
            </w:r>
          </w:p>
        </w:tc>
        <w:tc>
          <w:tcPr>
            <w:tcW w:w="3781"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0"/>
              <w:rPr>
                <w:rFonts w:cs="Times New Roman"/>
              </w:rPr>
            </w:pPr>
            <w:r w:rsidRPr="00864976">
              <w:rPr>
                <w:rFonts w:cs="Times New Roman"/>
              </w:rPr>
              <w:fldChar w:fldCharType="begin">
                <w:ffData>
                  <w:name w:val="Check1"/>
                  <w:enabled/>
                  <w:calcOnExit w:val="0"/>
                  <w:checkBox>
                    <w:sizeAuto/>
                    <w:default w:val="0"/>
                  </w:checkBox>
                </w:ffData>
              </w:fldChar>
            </w:r>
            <w:r w:rsidRPr="001F339C">
              <w:rPr>
                <w:rFonts w:cs="Times New Roman"/>
              </w:rPr>
              <w:instrText xml:space="preserve"> FORMCHECKBOX </w:instrText>
            </w:r>
            <w:r w:rsidR="00DF79FB">
              <w:rPr>
                <w:rFonts w:cs="Times New Roman"/>
              </w:rPr>
            </w:r>
            <w:r w:rsidR="00DF79FB">
              <w:rPr>
                <w:rFonts w:cs="Times New Roman"/>
              </w:rPr>
              <w:fldChar w:fldCharType="separate"/>
            </w:r>
            <w:r w:rsidRPr="00864976">
              <w:rPr>
                <w:rFonts w:cs="Times New Roman"/>
              </w:rPr>
              <w:fldChar w:fldCharType="end"/>
            </w:r>
            <w:r w:rsidRPr="001F339C">
              <w:rPr>
                <w:rFonts w:cs="Times New Roman"/>
              </w:rPr>
              <w:t>Restricted benefit</w:t>
            </w:r>
          </w:p>
          <w:p w:rsidR="005C1DF5" w:rsidRPr="001F339C" w:rsidRDefault="005C1DF5" w:rsidP="00FD26F6">
            <w:pPr>
              <w:pStyle w:val="TableText0"/>
              <w:rPr>
                <w:rFonts w:cs="Times New Roman"/>
              </w:rPr>
            </w:pPr>
            <w:r w:rsidRPr="00864976">
              <w:rPr>
                <w:rFonts w:cs="Times New Roman"/>
              </w:rPr>
              <w:fldChar w:fldCharType="begin">
                <w:ffData>
                  <w:name w:val=""/>
                  <w:enabled/>
                  <w:calcOnExit w:val="0"/>
                  <w:checkBox>
                    <w:sizeAuto/>
                    <w:default w:val="0"/>
                  </w:checkBox>
                </w:ffData>
              </w:fldChar>
            </w:r>
            <w:r w:rsidRPr="001F339C">
              <w:rPr>
                <w:rFonts w:cs="Times New Roman"/>
              </w:rPr>
              <w:instrText xml:space="preserve"> FORMCHECKBOX </w:instrText>
            </w:r>
            <w:r w:rsidR="00DF79FB">
              <w:rPr>
                <w:rFonts w:cs="Times New Roman"/>
              </w:rPr>
            </w:r>
            <w:r w:rsidR="00DF79FB">
              <w:rPr>
                <w:rFonts w:cs="Times New Roman"/>
              </w:rPr>
              <w:fldChar w:fldCharType="separate"/>
            </w:r>
            <w:r w:rsidRPr="00864976">
              <w:rPr>
                <w:rFonts w:cs="Times New Roman"/>
              </w:rPr>
              <w:fldChar w:fldCharType="end"/>
            </w:r>
            <w:r w:rsidRPr="001F339C">
              <w:rPr>
                <w:rFonts w:cs="Times New Roman"/>
              </w:rPr>
              <w:t>Authority Required - In Writing</w:t>
            </w:r>
          </w:p>
          <w:p w:rsidR="005C1DF5" w:rsidRPr="008922C6" w:rsidRDefault="005C1DF5" w:rsidP="00FD26F6">
            <w:pPr>
              <w:pStyle w:val="TableText0"/>
            </w:pPr>
            <w:r w:rsidRPr="00864976">
              <w:rPr>
                <w:rFonts w:cs="Times New Roman"/>
              </w:rPr>
              <w:fldChar w:fldCharType="begin">
                <w:ffData>
                  <w:name w:val="Check5"/>
                  <w:enabled/>
                  <w:calcOnExit w:val="0"/>
                  <w:checkBox>
                    <w:sizeAuto/>
                    <w:default w:val="0"/>
                  </w:checkBox>
                </w:ffData>
              </w:fldChar>
            </w:r>
            <w:r w:rsidRPr="001F339C">
              <w:rPr>
                <w:rFonts w:cs="Times New Roman"/>
              </w:rPr>
              <w:instrText xml:space="preserve"> FORMCHECKBOX </w:instrText>
            </w:r>
            <w:r w:rsidR="00DF79FB">
              <w:rPr>
                <w:rFonts w:cs="Times New Roman"/>
              </w:rPr>
            </w:r>
            <w:r w:rsidR="00DF79FB">
              <w:rPr>
                <w:rFonts w:cs="Times New Roman"/>
              </w:rPr>
              <w:fldChar w:fldCharType="separate"/>
            </w:r>
            <w:r w:rsidRPr="00864976">
              <w:rPr>
                <w:rFonts w:cs="Times New Roman"/>
              </w:rPr>
              <w:fldChar w:fldCharType="end"/>
            </w:r>
            <w:r w:rsidRPr="001F339C">
              <w:t xml:space="preserve">Authority Required – Telephone/Electronic/Emergency </w:t>
            </w:r>
          </w:p>
          <w:p w:rsidR="005C1DF5" w:rsidRPr="001F339C" w:rsidRDefault="005C1DF5" w:rsidP="00FD26F6">
            <w:pPr>
              <w:pStyle w:val="Tabletext"/>
              <w:spacing w:after="0"/>
              <w:rPr>
                <w:rFonts w:ascii="Arial Narrow" w:hAnsi="Arial Narrow"/>
                <w:szCs w:val="22"/>
                <w:lang w:eastAsia="en-AU"/>
              </w:rPr>
            </w:pPr>
            <w:r w:rsidRPr="00864976">
              <w:rPr>
                <w:rFonts w:ascii="Arial Narrow" w:hAnsi="Arial Narrow"/>
              </w:rPr>
              <w:fldChar w:fldCharType="begin">
                <w:ffData>
                  <w:name w:val="Check5"/>
                  <w:enabled/>
                  <w:calcOnExit w:val="0"/>
                  <w:checkBox>
                    <w:sizeAuto/>
                    <w:default w:val="1"/>
                  </w:checkBox>
                </w:ffData>
              </w:fldChar>
            </w:r>
            <w:r w:rsidRPr="001F339C">
              <w:rPr>
                <w:rFonts w:ascii="Arial Narrow" w:hAnsi="Arial Narrow"/>
              </w:rPr>
              <w:instrText xml:space="preserve"> FORMCHECKBOX </w:instrText>
            </w:r>
            <w:r w:rsidR="00DF79FB">
              <w:rPr>
                <w:rFonts w:ascii="Arial Narrow" w:hAnsi="Arial Narrow"/>
              </w:rPr>
            </w:r>
            <w:r w:rsidR="00DF79FB">
              <w:rPr>
                <w:rFonts w:ascii="Arial Narrow" w:hAnsi="Arial Narrow"/>
              </w:rPr>
              <w:fldChar w:fldCharType="separate"/>
            </w:r>
            <w:r w:rsidRPr="00864976">
              <w:rPr>
                <w:rFonts w:ascii="Arial Narrow" w:hAnsi="Arial Narrow"/>
              </w:rPr>
              <w:fldChar w:fldCharType="end"/>
            </w:r>
            <w:r w:rsidRPr="001F339C">
              <w:rPr>
                <w:rFonts w:ascii="Arial Narrow" w:hAnsi="Arial Narrow"/>
              </w:rPr>
              <w:t>Streamlined</w:t>
            </w:r>
          </w:p>
        </w:tc>
      </w:tr>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hideMark/>
          </w:tcPr>
          <w:p w:rsidR="005C1DF5" w:rsidRPr="001F339C" w:rsidRDefault="005C1DF5" w:rsidP="00FD26F6">
            <w:pPr>
              <w:pStyle w:val="Tabletext"/>
              <w:spacing w:after="0"/>
              <w:rPr>
                <w:rFonts w:ascii="Arial Narrow" w:hAnsi="Arial Narrow"/>
                <w:b/>
                <w:szCs w:val="22"/>
                <w:lang w:eastAsia="en-AU"/>
              </w:rPr>
            </w:pPr>
            <w:r w:rsidRPr="001F339C">
              <w:rPr>
                <w:rFonts w:ascii="Arial Narrow" w:hAnsi="Arial Narrow"/>
                <w:b/>
                <w:szCs w:val="22"/>
                <w:lang w:eastAsia="en-AU"/>
              </w:rPr>
              <w:t>Clinical criteria:</w:t>
            </w:r>
          </w:p>
        </w:tc>
        <w:tc>
          <w:tcPr>
            <w:tcW w:w="3781" w:type="pct"/>
            <w:tcBorders>
              <w:top w:val="single" w:sz="4" w:space="0" w:color="auto"/>
              <w:left w:val="single" w:sz="4" w:space="0" w:color="auto"/>
              <w:bottom w:val="single" w:sz="4" w:space="0" w:color="auto"/>
              <w:right w:val="single" w:sz="4" w:space="0" w:color="auto"/>
            </w:tcBorders>
          </w:tcPr>
          <w:p w:rsidR="005C1DF5" w:rsidRPr="00864976" w:rsidRDefault="005C1DF5" w:rsidP="00FD26F6">
            <w:pPr>
              <w:pStyle w:val="NormalWeb"/>
              <w:widowControl w:val="0"/>
              <w:spacing w:before="0" w:after="0"/>
              <w:rPr>
                <w:rFonts w:ascii="Arial Narrow" w:hAnsi="Arial Narrow" w:cs="Arial"/>
                <w:b/>
                <w:sz w:val="20"/>
                <w:szCs w:val="20"/>
                <w:lang w:val="en-AU"/>
              </w:rPr>
            </w:pPr>
            <w:r w:rsidRPr="00864976">
              <w:rPr>
                <w:rFonts w:ascii="Arial Narrow" w:hAnsi="Arial Narrow" w:cs="Arial"/>
                <w:b/>
                <w:strike/>
                <w:sz w:val="20"/>
                <w:szCs w:val="20"/>
                <w:lang w:val="en-AU"/>
              </w:rPr>
              <w:t>Patient must have previously had frequent episodes of asthma while receiving treatment with oral corticosteroids or optimal doses of inhaled corticosteroids; OR</w:t>
            </w:r>
          </w:p>
          <w:p w:rsidR="005C1DF5" w:rsidRPr="00864976" w:rsidRDefault="005C1DF5" w:rsidP="00FD26F6">
            <w:pPr>
              <w:pStyle w:val="NormalWeb"/>
              <w:widowControl w:val="0"/>
              <w:spacing w:before="0" w:after="0"/>
              <w:rPr>
                <w:rFonts w:ascii="Arial Narrow" w:hAnsi="Arial Narrow" w:cs="Arial"/>
                <w:sz w:val="20"/>
                <w:szCs w:val="20"/>
                <w:lang w:val="en-AU"/>
              </w:rPr>
            </w:pPr>
            <w:r w:rsidRPr="00864976">
              <w:rPr>
                <w:rFonts w:ascii="Arial Narrow" w:hAnsi="Arial Narrow" w:cs="Arial"/>
                <w:b/>
                <w:sz w:val="20"/>
                <w:szCs w:val="20"/>
                <w:lang w:val="en-AU"/>
              </w:rPr>
              <w:br/>
              <w:t>Patient must have asthma and require an anti</w:t>
            </w:r>
            <w:r w:rsidRPr="00864976">
              <w:rPr>
                <w:rFonts w:ascii="Arial Narrow" w:hAnsi="Arial Narrow" w:cs="Arial"/>
                <w:b/>
                <w:sz w:val="20"/>
                <w:szCs w:val="20"/>
                <w:lang w:val="en-AU"/>
              </w:rPr>
              <w:noBreakHyphen/>
              <w:t>inflammatory reliever therapy</w:t>
            </w:r>
            <w:r w:rsidR="0008265B" w:rsidRPr="00864976">
              <w:rPr>
                <w:rFonts w:ascii="Arial Narrow" w:hAnsi="Arial Narrow" w:cs="Arial"/>
                <w:sz w:val="20"/>
                <w:szCs w:val="20"/>
                <w:highlight w:val="lightGray"/>
                <w:lang w:val="en-AU"/>
              </w:rPr>
              <w:t>.</w:t>
            </w:r>
            <w:r w:rsidRPr="00864976">
              <w:rPr>
                <w:rFonts w:ascii="Arial Narrow" w:hAnsi="Arial Narrow" w:cs="Arial"/>
                <w:strike/>
                <w:sz w:val="20"/>
                <w:szCs w:val="20"/>
                <w:highlight w:val="lightGray"/>
                <w:lang w:val="en-AU"/>
              </w:rPr>
              <w:t>; OR</w:t>
            </w:r>
            <w:r w:rsidRPr="00864976">
              <w:rPr>
                <w:rFonts w:ascii="Arial Narrow" w:hAnsi="Arial Narrow" w:cs="Arial"/>
                <w:sz w:val="20"/>
                <w:szCs w:val="20"/>
                <w:lang w:val="en-AU"/>
              </w:rPr>
              <w:t xml:space="preserve"> </w:t>
            </w:r>
          </w:p>
          <w:p w:rsidR="005C1DF5" w:rsidRPr="001F339C" w:rsidRDefault="005C1DF5" w:rsidP="00FD26F6">
            <w:pPr>
              <w:rPr>
                <w:rFonts w:ascii="Arial Narrow" w:hAnsi="Arial Narrow"/>
                <w:strike/>
                <w:color w:val="222222"/>
                <w:sz w:val="20"/>
                <w:szCs w:val="20"/>
                <w:highlight w:val="lightGray"/>
              </w:rPr>
            </w:pPr>
            <w:r w:rsidRPr="001F339C">
              <w:rPr>
                <w:rFonts w:ascii="Arial Narrow" w:hAnsi="Arial Narrow"/>
                <w:color w:val="222222"/>
                <w:sz w:val="20"/>
                <w:szCs w:val="20"/>
              </w:rPr>
              <w:br/>
            </w:r>
            <w:r w:rsidRPr="001F339C">
              <w:rPr>
                <w:rFonts w:ascii="Arial Narrow" w:hAnsi="Arial Narrow"/>
                <w:strike/>
                <w:color w:val="222222"/>
                <w:sz w:val="20"/>
                <w:szCs w:val="20"/>
                <w:highlight w:val="lightGray"/>
              </w:rPr>
              <w:t>Patient must have experienced frequent asthma symptoms while receiving treatment with oral or inhaled corticosteroids and require single maintenance and reliever therapy; OR</w:t>
            </w:r>
          </w:p>
          <w:p w:rsidR="005C1DF5" w:rsidRPr="001F339C" w:rsidRDefault="005C1DF5" w:rsidP="00FD26F6">
            <w:pPr>
              <w:rPr>
                <w:rFonts w:ascii="Arial Narrow" w:hAnsi="Arial Narrow"/>
                <w:strike/>
                <w:sz w:val="20"/>
                <w:szCs w:val="20"/>
              </w:rPr>
            </w:pPr>
            <w:r w:rsidRPr="008922C6">
              <w:rPr>
                <w:rFonts w:ascii="Arial Narrow" w:hAnsi="Arial Narrow"/>
                <w:strike/>
                <w:color w:val="222222"/>
                <w:sz w:val="20"/>
                <w:szCs w:val="20"/>
                <w:highlight w:val="lightGray"/>
              </w:rPr>
              <w:br/>
              <w:t>Patient</w:t>
            </w:r>
            <w:r w:rsidRPr="001F339C">
              <w:rPr>
                <w:rFonts w:ascii="Arial Narrow" w:hAnsi="Arial Narrow"/>
                <w:strike/>
                <w:sz w:val="20"/>
                <w:szCs w:val="20"/>
                <w:highlight w:val="lightGray"/>
              </w:rPr>
              <w:t xml:space="preserve"> must have experienced frequent asthma symptoms while receiving treatment with a combination of an inhaled corticosteroid and long acting beta</w:t>
            </w:r>
            <w:r w:rsidRPr="001F339C">
              <w:rPr>
                <w:rFonts w:ascii="Arial Narrow" w:hAnsi="Arial Narrow"/>
                <w:strike/>
                <w:sz w:val="20"/>
                <w:szCs w:val="20"/>
                <w:highlight w:val="lightGray"/>
              </w:rPr>
              <w:noBreakHyphen/>
              <w:t xml:space="preserve">2 agonist. </w:t>
            </w:r>
            <w:proofErr w:type="gramStart"/>
            <w:r w:rsidRPr="001F339C">
              <w:rPr>
                <w:rFonts w:ascii="Arial Narrow" w:hAnsi="Arial Narrow"/>
                <w:strike/>
                <w:sz w:val="20"/>
                <w:szCs w:val="20"/>
                <w:highlight w:val="lightGray"/>
              </w:rPr>
              <w:t>and</w:t>
            </w:r>
            <w:proofErr w:type="gramEnd"/>
            <w:r w:rsidRPr="001F339C">
              <w:rPr>
                <w:rFonts w:ascii="Arial Narrow" w:hAnsi="Arial Narrow"/>
                <w:strike/>
                <w:sz w:val="20"/>
                <w:szCs w:val="20"/>
                <w:highlight w:val="lightGray"/>
              </w:rPr>
              <w:t xml:space="preserve"> require single maintenance and reliever therapy.</w:t>
            </w:r>
          </w:p>
          <w:p w:rsidR="005C1DF5" w:rsidRPr="001F339C" w:rsidRDefault="005C1DF5" w:rsidP="00FD26F6">
            <w:pPr>
              <w:ind w:left="375"/>
              <w:rPr>
                <w:rFonts w:ascii="Arial Narrow" w:hAnsi="Arial Narrow"/>
                <w:color w:val="222222"/>
                <w:sz w:val="20"/>
                <w:szCs w:val="20"/>
              </w:rPr>
            </w:pPr>
          </w:p>
        </w:tc>
      </w:tr>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
              <w:spacing w:after="0"/>
              <w:rPr>
                <w:rFonts w:ascii="Arial Narrow" w:hAnsi="Arial Narrow"/>
                <w:b/>
                <w:szCs w:val="22"/>
                <w:lang w:eastAsia="en-AU"/>
              </w:rPr>
            </w:pPr>
            <w:r w:rsidRPr="001F339C">
              <w:rPr>
                <w:rFonts w:ascii="Arial Narrow" w:hAnsi="Arial Narrow"/>
                <w:b/>
                <w:szCs w:val="22"/>
                <w:lang w:eastAsia="en-AU"/>
              </w:rPr>
              <w:t>Population criteria:</w:t>
            </w:r>
          </w:p>
        </w:tc>
        <w:tc>
          <w:tcPr>
            <w:tcW w:w="3781" w:type="pct"/>
            <w:tcBorders>
              <w:top w:val="single" w:sz="4" w:space="0" w:color="auto"/>
              <w:left w:val="single" w:sz="4" w:space="0" w:color="auto"/>
              <w:bottom w:val="single" w:sz="4" w:space="0" w:color="auto"/>
              <w:right w:val="single" w:sz="4" w:space="0" w:color="auto"/>
            </w:tcBorders>
          </w:tcPr>
          <w:p w:rsidR="005C1DF5" w:rsidRPr="001F339C" w:rsidRDefault="005C1DF5" w:rsidP="00FD26F6">
            <w:pPr>
              <w:pStyle w:val="Tabletext"/>
              <w:spacing w:after="0"/>
              <w:rPr>
                <w:rFonts w:ascii="Arial Narrow" w:hAnsi="Arial Narrow"/>
                <w:szCs w:val="22"/>
              </w:rPr>
            </w:pPr>
            <w:r w:rsidRPr="001F339C">
              <w:rPr>
                <w:rFonts w:ascii="Arial Narrow" w:hAnsi="Arial Narrow"/>
                <w:szCs w:val="22"/>
              </w:rPr>
              <w:t>Patient must be aged 12 years or over.</w:t>
            </w:r>
          </w:p>
          <w:p w:rsidR="005C1DF5" w:rsidRPr="001F339C" w:rsidRDefault="005C1DF5" w:rsidP="00FD26F6">
            <w:pPr>
              <w:pStyle w:val="Tabletext"/>
              <w:spacing w:after="0"/>
              <w:rPr>
                <w:rFonts w:ascii="Arial Narrow" w:hAnsi="Arial Narrow"/>
                <w:color w:val="000000"/>
                <w:szCs w:val="24"/>
                <w:lang w:eastAsia="en-AU"/>
              </w:rPr>
            </w:pPr>
          </w:p>
        </w:tc>
      </w:tr>
      <w:tr w:rsidR="005C1DF5" w:rsidRPr="001F339C" w:rsidTr="00FD26F6">
        <w:trPr>
          <w:trHeight w:val="20"/>
        </w:trPr>
        <w:tc>
          <w:tcPr>
            <w:tcW w:w="1219" w:type="pct"/>
            <w:tcBorders>
              <w:top w:val="single" w:sz="4" w:space="0" w:color="auto"/>
              <w:left w:val="single" w:sz="4" w:space="0" w:color="auto"/>
              <w:bottom w:val="single" w:sz="4" w:space="0" w:color="auto"/>
              <w:right w:val="single" w:sz="4" w:space="0" w:color="auto"/>
            </w:tcBorders>
            <w:hideMark/>
          </w:tcPr>
          <w:p w:rsidR="005C1DF5" w:rsidRPr="001F339C" w:rsidRDefault="005C1DF5" w:rsidP="00FD26F6">
            <w:pPr>
              <w:pStyle w:val="Tabletext"/>
              <w:spacing w:after="0"/>
              <w:rPr>
                <w:rFonts w:ascii="Arial Narrow" w:hAnsi="Arial Narrow"/>
                <w:b/>
                <w:szCs w:val="22"/>
                <w:lang w:eastAsia="en-AU"/>
              </w:rPr>
            </w:pPr>
            <w:r w:rsidRPr="001F339C">
              <w:rPr>
                <w:rFonts w:ascii="Arial Narrow" w:hAnsi="Arial Narrow"/>
                <w:b/>
                <w:szCs w:val="22"/>
                <w:lang w:eastAsia="en-AU"/>
              </w:rPr>
              <w:t>Administrative Advice:</w:t>
            </w:r>
          </w:p>
        </w:tc>
        <w:tc>
          <w:tcPr>
            <w:tcW w:w="3781" w:type="pct"/>
            <w:tcBorders>
              <w:top w:val="single" w:sz="4" w:space="0" w:color="auto"/>
              <w:left w:val="single" w:sz="4" w:space="0" w:color="auto"/>
              <w:bottom w:val="single" w:sz="4" w:space="0" w:color="auto"/>
              <w:right w:val="single" w:sz="4" w:space="0" w:color="auto"/>
            </w:tcBorders>
          </w:tcPr>
          <w:p w:rsidR="005C1DF5" w:rsidRPr="00864976" w:rsidRDefault="005C1DF5" w:rsidP="00FD26F6">
            <w:pPr>
              <w:pStyle w:val="NormalWeb"/>
              <w:widowControl w:val="0"/>
              <w:spacing w:before="0" w:after="0"/>
              <w:rPr>
                <w:rFonts w:ascii="Arial Narrow" w:hAnsi="Arial Narrow" w:cs="Arial"/>
                <w:b/>
                <w:strike/>
                <w:sz w:val="20"/>
                <w:szCs w:val="20"/>
                <w:lang w:val="en-AU"/>
              </w:rPr>
            </w:pPr>
            <w:r w:rsidRPr="00864976">
              <w:rPr>
                <w:rFonts w:ascii="Arial Narrow" w:hAnsi="Arial Narrow" w:cs="Arial"/>
                <w:b/>
                <w:strike/>
                <w:sz w:val="20"/>
                <w:szCs w:val="20"/>
                <w:lang w:val="en-AU"/>
              </w:rPr>
              <w:t>This product is not indicated for the initiation of treatment in asthma</w:t>
            </w:r>
          </w:p>
          <w:p w:rsidR="005C1DF5" w:rsidRPr="00864976" w:rsidRDefault="005C1DF5" w:rsidP="00FD26F6">
            <w:pPr>
              <w:pStyle w:val="NormalWeb"/>
              <w:widowControl w:val="0"/>
              <w:spacing w:before="0" w:after="0"/>
              <w:rPr>
                <w:rFonts w:ascii="Arial Narrow" w:hAnsi="Arial Narrow" w:cs="Arial"/>
                <w:strike/>
                <w:sz w:val="20"/>
                <w:szCs w:val="20"/>
                <w:lang w:val="en-AU"/>
              </w:rPr>
            </w:pPr>
          </w:p>
          <w:p w:rsidR="005C1DF5" w:rsidRPr="00864976" w:rsidRDefault="005C1DF5" w:rsidP="00FD26F6">
            <w:pPr>
              <w:pStyle w:val="NormalWeb"/>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t xml:space="preserve">This drug is not PBS-subsidised for the treatment of </w:t>
            </w:r>
            <w:r w:rsidRPr="00864976">
              <w:rPr>
                <w:rFonts w:ascii="Arial Narrow" w:hAnsi="Arial Narrow" w:cs="Arial"/>
                <w:i/>
                <w:sz w:val="20"/>
                <w:szCs w:val="20"/>
                <w:highlight w:val="lightGray"/>
                <w:lang w:val="en-AU"/>
              </w:rPr>
              <w:t>chronic obstructive pulmonary disease</w:t>
            </w:r>
            <w:r w:rsidRPr="00864976">
              <w:rPr>
                <w:rFonts w:ascii="Arial Narrow" w:hAnsi="Arial Narrow" w:cs="Arial"/>
                <w:sz w:val="20"/>
                <w:szCs w:val="20"/>
                <w:lang w:val="en-AU"/>
              </w:rPr>
              <w:t xml:space="preserve"> (COPD) </w:t>
            </w:r>
            <w:r w:rsidRPr="00864976">
              <w:rPr>
                <w:rFonts w:ascii="Arial Narrow" w:hAnsi="Arial Narrow" w:cs="Arial"/>
                <w:b/>
                <w:sz w:val="20"/>
                <w:szCs w:val="20"/>
                <w:lang w:val="en-AU"/>
              </w:rPr>
              <w:t>or for the treatment of allergen- or exercise-induced bronchoconstriction.</w:t>
            </w:r>
          </w:p>
          <w:p w:rsidR="005C1DF5" w:rsidRPr="00864976" w:rsidRDefault="005C1DF5" w:rsidP="00FD26F6">
            <w:pPr>
              <w:pStyle w:val="NormalWeb"/>
              <w:widowControl w:val="0"/>
              <w:spacing w:before="0" w:after="0"/>
              <w:rPr>
                <w:rFonts w:ascii="Arial Narrow" w:hAnsi="Arial Narrow" w:cs="Arial"/>
                <w:sz w:val="20"/>
                <w:szCs w:val="20"/>
                <w:lang w:val="en-AU"/>
              </w:rPr>
            </w:pPr>
          </w:p>
          <w:p w:rsidR="005C1DF5" w:rsidRPr="00864976" w:rsidRDefault="005C1DF5" w:rsidP="00FD26F6">
            <w:pPr>
              <w:pStyle w:val="NormalWeb"/>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t xml:space="preserve">The patient must not be on a concomitant single </w:t>
            </w:r>
            <w:r w:rsidRPr="00864976">
              <w:rPr>
                <w:rFonts w:ascii="Arial Narrow" w:hAnsi="Arial Narrow" w:cs="Arial"/>
                <w:i/>
                <w:sz w:val="20"/>
                <w:szCs w:val="20"/>
                <w:highlight w:val="lightGray"/>
                <w:lang w:val="en-AU"/>
              </w:rPr>
              <w:t>agent</w:t>
            </w:r>
            <w:r w:rsidRPr="00864976">
              <w:rPr>
                <w:rFonts w:ascii="Arial Narrow" w:hAnsi="Arial Narrow" w:cs="Arial"/>
                <w:sz w:val="20"/>
                <w:szCs w:val="20"/>
                <w:lang w:val="en-AU"/>
              </w:rPr>
              <w:t xml:space="preserve"> long-acting-beta-2-agonist (LABA)</w:t>
            </w:r>
          </w:p>
          <w:p w:rsidR="005C1DF5" w:rsidRPr="00864976" w:rsidRDefault="005C1DF5" w:rsidP="00FD26F6">
            <w:pPr>
              <w:pStyle w:val="NormalWeb"/>
              <w:widowControl w:val="0"/>
              <w:spacing w:before="0" w:after="0"/>
              <w:rPr>
                <w:rFonts w:ascii="Arial Narrow" w:hAnsi="Arial Narrow" w:cs="Arial"/>
                <w:sz w:val="20"/>
                <w:szCs w:val="20"/>
                <w:lang w:val="en-AU"/>
              </w:rPr>
            </w:pPr>
          </w:p>
          <w:p w:rsidR="005C1DF5" w:rsidRPr="00864976" w:rsidRDefault="005C1DF5" w:rsidP="00FD26F6">
            <w:pPr>
              <w:pStyle w:val="NormalWeb"/>
              <w:widowControl w:val="0"/>
              <w:spacing w:before="0" w:after="0"/>
              <w:rPr>
                <w:rFonts w:ascii="Arial Narrow" w:hAnsi="Arial Narrow" w:cs="Arial"/>
                <w:sz w:val="20"/>
                <w:szCs w:val="20"/>
                <w:lang w:val="en-AU"/>
              </w:rPr>
            </w:pPr>
            <w:r w:rsidRPr="00864976">
              <w:rPr>
                <w:rFonts w:ascii="Arial Narrow" w:hAnsi="Arial Narrow" w:cs="Arial"/>
                <w:sz w:val="20"/>
                <w:szCs w:val="20"/>
                <w:lang w:val="en-AU"/>
              </w:rPr>
              <w:t xml:space="preserve">A LABA includes </w:t>
            </w:r>
            <w:proofErr w:type="spellStart"/>
            <w:r w:rsidRPr="00864976">
              <w:rPr>
                <w:rFonts w:ascii="Arial Narrow" w:hAnsi="Arial Narrow" w:cs="Arial"/>
                <w:sz w:val="20"/>
                <w:szCs w:val="20"/>
                <w:lang w:val="en-AU"/>
              </w:rPr>
              <w:t>olodaterol</w:t>
            </w:r>
            <w:proofErr w:type="spellEnd"/>
            <w:r w:rsidRPr="00864976">
              <w:rPr>
                <w:rFonts w:ascii="Arial Narrow" w:hAnsi="Arial Narrow" w:cs="Arial"/>
                <w:sz w:val="20"/>
                <w:szCs w:val="20"/>
                <w:lang w:val="en-AU"/>
              </w:rPr>
              <w:t xml:space="preserve">, </w:t>
            </w:r>
            <w:proofErr w:type="spellStart"/>
            <w:r w:rsidRPr="00864976">
              <w:rPr>
                <w:rFonts w:ascii="Arial Narrow" w:hAnsi="Arial Narrow" w:cs="Arial"/>
                <w:sz w:val="20"/>
                <w:szCs w:val="20"/>
                <w:lang w:val="en-AU"/>
              </w:rPr>
              <w:t>indacaterol</w:t>
            </w:r>
            <w:proofErr w:type="spellEnd"/>
            <w:r w:rsidRPr="00864976">
              <w:rPr>
                <w:rFonts w:ascii="Arial Narrow" w:hAnsi="Arial Narrow" w:cs="Arial"/>
                <w:sz w:val="20"/>
                <w:szCs w:val="20"/>
                <w:lang w:val="en-AU"/>
              </w:rPr>
              <w:t xml:space="preserve">, </w:t>
            </w:r>
            <w:proofErr w:type="spellStart"/>
            <w:r w:rsidRPr="00864976">
              <w:rPr>
                <w:rFonts w:ascii="Arial Narrow" w:hAnsi="Arial Narrow" w:cs="Arial"/>
                <w:sz w:val="20"/>
                <w:szCs w:val="20"/>
                <w:lang w:val="en-AU"/>
              </w:rPr>
              <w:t>salmeterol</w:t>
            </w:r>
            <w:proofErr w:type="spellEnd"/>
            <w:r w:rsidRPr="00864976">
              <w:rPr>
                <w:rFonts w:ascii="Arial Narrow" w:hAnsi="Arial Narrow" w:cs="Arial"/>
                <w:sz w:val="20"/>
                <w:szCs w:val="20"/>
                <w:lang w:val="en-AU"/>
              </w:rPr>
              <w:t xml:space="preserve">, </w:t>
            </w:r>
            <w:proofErr w:type="spellStart"/>
            <w:r w:rsidRPr="00864976">
              <w:rPr>
                <w:rFonts w:ascii="Arial Narrow" w:hAnsi="Arial Narrow" w:cs="Arial"/>
                <w:sz w:val="20"/>
                <w:szCs w:val="20"/>
                <w:lang w:val="en-AU"/>
              </w:rPr>
              <w:t>formoterol</w:t>
            </w:r>
            <w:proofErr w:type="spellEnd"/>
            <w:r w:rsidRPr="00864976">
              <w:rPr>
                <w:rFonts w:ascii="Arial Narrow" w:hAnsi="Arial Narrow" w:cs="Arial"/>
                <w:sz w:val="20"/>
                <w:szCs w:val="20"/>
                <w:lang w:val="en-AU"/>
              </w:rPr>
              <w:t xml:space="preserve"> or </w:t>
            </w:r>
            <w:proofErr w:type="spellStart"/>
            <w:r w:rsidRPr="00864976">
              <w:rPr>
                <w:rFonts w:ascii="Arial Narrow" w:hAnsi="Arial Narrow" w:cs="Arial"/>
                <w:sz w:val="20"/>
                <w:szCs w:val="20"/>
                <w:lang w:val="en-AU"/>
              </w:rPr>
              <w:t>vilanterol</w:t>
            </w:r>
            <w:proofErr w:type="spellEnd"/>
            <w:r w:rsidRPr="00864976">
              <w:rPr>
                <w:rFonts w:ascii="Arial Narrow" w:hAnsi="Arial Narrow" w:cs="Arial"/>
                <w:sz w:val="20"/>
                <w:szCs w:val="20"/>
                <w:lang w:val="en-AU"/>
              </w:rPr>
              <w:t>.</w:t>
            </w:r>
          </w:p>
          <w:p w:rsidR="005C1DF5" w:rsidRPr="00864976" w:rsidRDefault="005C1DF5" w:rsidP="00FD26F6">
            <w:pPr>
              <w:pStyle w:val="NormalWeb"/>
              <w:widowControl w:val="0"/>
              <w:spacing w:before="0" w:after="0"/>
              <w:rPr>
                <w:rFonts w:ascii="Arial Narrow" w:hAnsi="Arial Narrow" w:cs="Arial"/>
                <w:sz w:val="20"/>
                <w:szCs w:val="20"/>
                <w:lang w:val="en-AU"/>
              </w:rPr>
            </w:pPr>
          </w:p>
          <w:p w:rsidR="005C1DF5" w:rsidRPr="001F339C" w:rsidRDefault="005C1DF5" w:rsidP="00FD26F6">
            <w:pPr>
              <w:pStyle w:val="Tabletext"/>
              <w:widowControl w:val="0"/>
              <w:spacing w:after="0"/>
              <w:rPr>
                <w:rFonts w:ascii="Arial Narrow" w:hAnsi="Arial Narrow" w:cs="Arial"/>
              </w:rPr>
            </w:pPr>
            <w:r w:rsidRPr="001F339C">
              <w:rPr>
                <w:rFonts w:ascii="Arial Narrow" w:hAnsi="Arial Narrow" w:cs="Arial"/>
              </w:rPr>
              <w:t>Adherence to current treatment and device (inhaler) technique should be reviewed at each clinical visit and before ‘stepping up’ a patient’s medication regimen.</w:t>
            </w:r>
          </w:p>
          <w:p w:rsidR="005C1DF5" w:rsidRPr="008922C6" w:rsidRDefault="005C1DF5" w:rsidP="00FD26F6">
            <w:pPr>
              <w:pStyle w:val="Tabletext"/>
              <w:widowControl w:val="0"/>
              <w:spacing w:after="0"/>
              <w:rPr>
                <w:rFonts w:ascii="Arial Narrow" w:hAnsi="Arial Narrow" w:cs="Arial"/>
                <w:i/>
              </w:rPr>
            </w:pPr>
          </w:p>
          <w:p w:rsidR="005C1DF5" w:rsidRPr="001F339C" w:rsidRDefault="005C1DF5" w:rsidP="00FD26F6">
            <w:pPr>
              <w:pStyle w:val="Tabletext"/>
              <w:widowControl w:val="0"/>
              <w:spacing w:after="0"/>
              <w:rPr>
                <w:rFonts w:ascii="Arial Narrow" w:hAnsi="Arial Narrow" w:cs="Arial"/>
                <w:b/>
              </w:rPr>
            </w:pPr>
            <w:r w:rsidRPr="001F339C">
              <w:rPr>
                <w:rFonts w:ascii="Arial Narrow" w:hAnsi="Arial Narrow" w:cs="Arial"/>
                <w:b/>
              </w:rPr>
              <w:t xml:space="preserve">A single prescription (one original supply plus one repeat) is permitted in any 12-month period. If more frequent treatment is required, consider whether a maintenance treatment regimen would be more appropriate. </w:t>
            </w:r>
          </w:p>
          <w:p w:rsidR="005C1DF5" w:rsidRPr="001F339C" w:rsidRDefault="005C1DF5" w:rsidP="005C1DF5">
            <w:pPr>
              <w:pStyle w:val="Tabletext"/>
              <w:widowControl w:val="0"/>
              <w:spacing w:after="0"/>
              <w:rPr>
                <w:rFonts w:ascii="Arial Narrow" w:hAnsi="Arial Narrow" w:cs="Arial"/>
                <w:i/>
              </w:rPr>
            </w:pPr>
          </w:p>
        </w:tc>
      </w:tr>
    </w:tbl>
    <w:p w:rsidR="002104AB" w:rsidRPr="001F339C" w:rsidRDefault="002104AB" w:rsidP="002104AB">
      <w:pPr>
        <w:pStyle w:val="3Bodytext"/>
        <w:numPr>
          <w:ilvl w:val="0"/>
          <w:numId w:val="0"/>
        </w:numPr>
        <w:ind w:left="720"/>
        <w:jc w:val="both"/>
        <w:rPr>
          <w:highlight w:val="yellow"/>
        </w:rPr>
      </w:pPr>
    </w:p>
    <w:p w:rsidR="002104AB" w:rsidRPr="001F339C" w:rsidRDefault="002104AB" w:rsidP="002104AB">
      <w:pPr>
        <w:pStyle w:val="ListParagraph"/>
        <w:ind w:left="709"/>
        <w:rPr>
          <w:rFonts w:asciiTheme="minorHAnsi" w:hAnsiTheme="minorHAnsi"/>
          <w:i/>
          <w:sz w:val="24"/>
          <w:szCs w:val="24"/>
        </w:rPr>
      </w:pPr>
      <w:r w:rsidRPr="001F339C">
        <w:rPr>
          <w:rFonts w:asciiTheme="minorHAnsi" w:hAnsiTheme="minorHAnsi"/>
          <w:i/>
          <w:sz w:val="24"/>
          <w:szCs w:val="24"/>
        </w:rPr>
        <w:t>For more detail on PBAC’s view, see section 5 PBAC outcome.</w:t>
      </w:r>
    </w:p>
    <w:p w:rsidR="0012749D" w:rsidRPr="001F339C" w:rsidRDefault="00CE10C4" w:rsidP="00477A9B">
      <w:pPr>
        <w:pStyle w:val="2Sections"/>
      </w:pPr>
      <w:r w:rsidRPr="001F339C">
        <w:t>Background</w:t>
      </w:r>
    </w:p>
    <w:p w:rsidR="00CD1960" w:rsidRPr="001F339C" w:rsidRDefault="009855A8" w:rsidP="008A421F">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Registration status</w:t>
      </w:r>
    </w:p>
    <w:p w:rsidR="009855A8" w:rsidRPr="001F339C" w:rsidRDefault="008A421F" w:rsidP="008004D5">
      <w:pPr>
        <w:pStyle w:val="Bodytextitalics"/>
        <w:jc w:val="both"/>
      </w:pPr>
      <w:r w:rsidRPr="001F339C">
        <w:rPr>
          <w:rFonts w:cstheme="minorHAnsi"/>
          <w:i w:val="0"/>
          <w:szCs w:val="24"/>
        </w:rPr>
        <w:t>The July 2019 major submission was made under TGA/PBAC Parallel Process</w:t>
      </w:r>
      <w:r w:rsidR="004A3A1D" w:rsidRPr="001F339C">
        <w:rPr>
          <w:rFonts w:cstheme="minorHAnsi"/>
          <w:szCs w:val="24"/>
        </w:rPr>
        <w:t>.</w:t>
      </w:r>
      <w:r w:rsidR="004A3A1D" w:rsidRPr="001F339C">
        <w:rPr>
          <w:rFonts w:cstheme="minorHAnsi"/>
          <w:i w:val="0"/>
          <w:szCs w:val="24"/>
        </w:rPr>
        <w:t xml:space="preserve"> </w:t>
      </w:r>
      <w:r w:rsidR="00931D62" w:rsidRPr="001F339C">
        <w:rPr>
          <w:rFonts w:cstheme="minorHAnsi"/>
          <w:i w:val="0"/>
          <w:szCs w:val="24"/>
        </w:rPr>
        <w:t xml:space="preserve">The PBAC noted that </w:t>
      </w:r>
      <w:r w:rsidR="00EE39FD" w:rsidRPr="001F339C">
        <w:rPr>
          <w:rFonts w:cstheme="minorHAnsi"/>
          <w:i w:val="0"/>
          <w:szCs w:val="24"/>
        </w:rPr>
        <w:t xml:space="preserve">as of 18 July 2019 and 6 August 2019 </w:t>
      </w:r>
      <w:r w:rsidR="00931D62" w:rsidRPr="001F339C">
        <w:rPr>
          <w:rFonts w:cstheme="minorHAnsi"/>
          <w:i w:val="0"/>
          <w:szCs w:val="24"/>
        </w:rPr>
        <w:t>t</w:t>
      </w:r>
      <w:r w:rsidR="004A3A1D" w:rsidRPr="001F339C">
        <w:rPr>
          <w:rFonts w:cstheme="minorHAnsi"/>
          <w:i w:val="0"/>
          <w:szCs w:val="24"/>
        </w:rPr>
        <w:t xml:space="preserve">he TGA registered indication for </w:t>
      </w:r>
      <w:proofErr w:type="spellStart"/>
      <w:r w:rsidR="004A3A1D" w:rsidRPr="001F339C">
        <w:rPr>
          <w:rFonts w:cstheme="minorHAnsi"/>
          <w:i w:val="0"/>
          <w:szCs w:val="24"/>
        </w:rPr>
        <w:t>Symbicort</w:t>
      </w:r>
      <w:proofErr w:type="spellEnd"/>
      <w:r w:rsidR="004A3A1D" w:rsidRPr="001F339C">
        <w:rPr>
          <w:rFonts w:cstheme="minorHAnsi"/>
          <w:i w:val="0"/>
          <w:szCs w:val="24"/>
        </w:rPr>
        <w:t xml:space="preserve"> 200/6 </w:t>
      </w:r>
      <w:proofErr w:type="spellStart"/>
      <w:r w:rsidR="004A3A1D" w:rsidRPr="001F339C">
        <w:rPr>
          <w:rFonts w:cstheme="minorHAnsi"/>
          <w:i w:val="0"/>
          <w:szCs w:val="24"/>
        </w:rPr>
        <w:t>Turbuhaler</w:t>
      </w:r>
      <w:proofErr w:type="spellEnd"/>
      <w:r w:rsidR="004A3A1D" w:rsidRPr="001F339C">
        <w:rPr>
          <w:rFonts w:cstheme="minorHAnsi"/>
          <w:i w:val="0"/>
          <w:szCs w:val="24"/>
        </w:rPr>
        <w:t xml:space="preserve"> and </w:t>
      </w:r>
      <w:proofErr w:type="spellStart"/>
      <w:r w:rsidR="004A3A1D" w:rsidRPr="001F339C">
        <w:rPr>
          <w:rFonts w:cstheme="minorHAnsi"/>
          <w:i w:val="0"/>
          <w:szCs w:val="24"/>
        </w:rPr>
        <w:t>Symbicort</w:t>
      </w:r>
      <w:proofErr w:type="spellEnd"/>
      <w:r w:rsidR="004A3A1D" w:rsidRPr="001F339C">
        <w:rPr>
          <w:rFonts w:cstheme="minorHAnsi"/>
          <w:i w:val="0"/>
          <w:szCs w:val="24"/>
        </w:rPr>
        <w:t xml:space="preserve"> 100/3 </w:t>
      </w:r>
      <w:proofErr w:type="spellStart"/>
      <w:r w:rsidR="004A3A1D" w:rsidRPr="001F339C">
        <w:rPr>
          <w:rFonts w:cstheme="minorHAnsi"/>
          <w:i w:val="0"/>
          <w:szCs w:val="24"/>
        </w:rPr>
        <w:t>Rapihaler</w:t>
      </w:r>
      <w:proofErr w:type="spellEnd"/>
      <w:r w:rsidR="004A3A1D" w:rsidRPr="001F339C">
        <w:rPr>
          <w:rFonts w:cstheme="minorHAnsi"/>
          <w:i w:val="0"/>
          <w:szCs w:val="24"/>
        </w:rPr>
        <w:t xml:space="preserve"> is: “for the treatment of asthma, to achieve overall asthma control, including the relief of symptoms and the reduction of the risk of exacerbations”. </w:t>
      </w:r>
      <w:r w:rsidR="008004D5" w:rsidRPr="001F339C">
        <w:rPr>
          <w:rFonts w:cstheme="minorHAnsi"/>
          <w:i w:val="0"/>
          <w:szCs w:val="24"/>
        </w:rPr>
        <w:t>T</w:t>
      </w:r>
      <w:r w:rsidR="004A3A1D" w:rsidRPr="001F339C">
        <w:rPr>
          <w:rFonts w:cstheme="minorHAnsi"/>
          <w:i w:val="0"/>
          <w:szCs w:val="24"/>
        </w:rPr>
        <w:t>he</w:t>
      </w:r>
      <w:r w:rsidR="00EE39FD" w:rsidRPr="001F339C">
        <w:rPr>
          <w:rFonts w:cstheme="minorHAnsi"/>
          <w:i w:val="0"/>
          <w:szCs w:val="24"/>
        </w:rPr>
        <w:t xml:space="preserve"> TGA approved Product Information (</w:t>
      </w:r>
      <w:r w:rsidR="004A3A1D" w:rsidRPr="001F339C">
        <w:rPr>
          <w:rFonts w:cstheme="minorHAnsi"/>
          <w:i w:val="0"/>
          <w:szCs w:val="24"/>
        </w:rPr>
        <w:t>PI</w:t>
      </w:r>
      <w:r w:rsidR="00EE39FD" w:rsidRPr="001F339C">
        <w:rPr>
          <w:rFonts w:cstheme="minorHAnsi"/>
          <w:i w:val="0"/>
          <w:szCs w:val="24"/>
        </w:rPr>
        <w:t>)</w:t>
      </w:r>
      <w:r w:rsidR="008004D5" w:rsidRPr="001F339C">
        <w:rPr>
          <w:rFonts w:cstheme="minorHAnsi"/>
          <w:i w:val="0"/>
          <w:szCs w:val="24"/>
        </w:rPr>
        <w:t xml:space="preserve"> states that</w:t>
      </w:r>
      <w:r w:rsidR="004A3A1D" w:rsidRPr="001F339C">
        <w:rPr>
          <w:rFonts w:cstheme="minorHAnsi"/>
          <w:i w:val="0"/>
          <w:szCs w:val="24"/>
        </w:rPr>
        <w:t xml:space="preserve"> </w:t>
      </w:r>
      <w:proofErr w:type="spellStart"/>
      <w:r w:rsidR="004A3A1D" w:rsidRPr="001F339C">
        <w:rPr>
          <w:rFonts w:cstheme="minorHAnsi"/>
          <w:i w:val="0"/>
          <w:szCs w:val="24"/>
        </w:rPr>
        <w:t>Symbicort</w:t>
      </w:r>
      <w:proofErr w:type="spellEnd"/>
      <w:r w:rsidR="004A3A1D" w:rsidRPr="001F339C">
        <w:rPr>
          <w:rFonts w:cstheme="minorHAnsi"/>
          <w:i w:val="0"/>
          <w:szCs w:val="24"/>
        </w:rPr>
        <w:t xml:space="preserve"> can be used according to different treatment approaches:</w:t>
      </w:r>
    </w:p>
    <w:p w:rsidR="004A3A1D" w:rsidRPr="001F339C" w:rsidRDefault="004A3A1D" w:rsidP="002104AB">
      <w:pPr>
        <w:pStyle w:val="Bodytextitalics"/>
        <w:numPr>
          <w:ilvl w:val="0"/>
          <w:numId w:val="10"/>
        </w:numPr>
      </w:pPr>
      <w:r w:rsidRPr="001F339C">
        <w:rPr>
          <w:i w:val="0"/>
        </w:rPr>
        <w:t>Anti-inflammatory reliever therapy (patients with mild disease);</w:t>
      </w:r>
    </w:p>
    <w:p w:rsidR="004A3A1D" w:rsidRPr="001F339C" w:rsidRDefault="004A3A1D" w:rsidP="002104AB">
      <w:pPr>
        <w:pStyle w:val="Bodytextitalics"/>
        <w:numPr>
          <w:ilvl w:val="0"/>
          <w:numId w:val="10"/>
        </w:numPr>
      </w:pPr>
      <w:r w:rsidRPr="001F339C">
        <w:rPr>
          <w:i w:val="0"/>
        </w:rPr>
        <w:t>Anti-inflammatory reliever plus maintenance therapy;</w:t>
      </w:r>
    </w:p>
    <w:p w:rsidR="009855A8" w:rsidRPr="001F339C" w:rsidRDefault="004A3A1D" w:rsidP="002104AB">
      <w:pPr>
        <w:pStyle w:val="Bodytextitalics"/>
        <w:numPr>
          <w:ilvl w:val="0"/>
          <w:numId w:val="10"/>
        </w:numPr>
      </w:pPr>
      <w:r w:rsidRPr="001F339C">
        <w:rPr>
          <w:i w:val="0"/>
        </w:rPr>
        <w:t xml:space="preserve">Maintenance therapy (fixed dose). </w:t>
      </w:r>
    </w:p>
    <w:p w:rsidR="0012749D" w:rsidRPr="001F339C" w:rsidRDefault="0012749D" w:rsidP="00FA25C0">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 xml:space="preserve">Previous PBAC consideration </w:t>
      </w:r>
    </w:p>
    <w:p w:rsidR="00FA25C0" w:rsidRPr="001F339C" w:rsidRDefault="00AF4339" w:rsidP="00742B28">
      <w:pPr>
        <w:pStyle w:val="3Bodytext"/>
        <w:jc w:val="both"/>
        <w:rPr>
          <w:i/>
        </w:rPr>
      </w:pPr>
      <w:r w:rsidRPr="001F339C">
        <w:t>In July 2019,</w:t>
      </w:r>
      <w:r w:rsidR="00FA25C0" w:rsidRPr="001F339C">
        <w:rPr>
          <w:i/>
        </w:rPr>
        <w:t xml:space="preserve"> </w:t>
      </w:r>
      <w:r w:rsidR="00FA25C0" w:rsidRPr="00864976">
        <w:rPr>
          <w:bCs/>
        </w:rPr>
        <w:t>the PBAC did not recommend an extension of the current Authority Required (STREAMLINED) l</w:t>
      </w:r>
      <w:r w:rsidRPr="00864976">
        <w:rPr>
          <w:bCs/>
        </w:rPr>
        <w:t xml:space="preserve">isting for </w:t>
      </w:r>
      <w:proofErr w:type="spellStart"/>
      <w:r w:rsidRPr="00864976">
        <w:rPr>
          <w:bCs/>
        </w:rPr>
        <w:t>Symbicort</w:t>
      </w:r>
      <w:proofErr w:type="spellEnd"/>
      <w:r w:rsidR="00FA25C0" w:rsidRPr="00864976">
        <w:rPr>
          <w:bCs/>
        </w:rPr>
        <w:t xml:space="preserve"> to include use as an anti-inflammatory reliever therapy administered as needed for adolescent and adult patients with mild asthma. The recommendation was primarily based on concerns regarding the claim of non-inferior clinical effectiveness compared with </w:t>
      </w:r>
      <w:r w:rsidR="006D03EE" w:rsidRPr="00864976">
        <w:rPr>
          <w:bCs/>
        </w:rPr>
        <w:t>inhaled corticosteroid (</w:t>
      </w:r>
      <w:r w:rsidR="00FA25C0" w:rsidRPr="00864976">
        <w:rPr>
          <w:bCs/>
        </w:rPr>
        <w:t>ICS</w:t>
      </w:r>
      <w:r w:rsidR="006D03EE" w:rsidRPr="00864976">
        <w:rPr>
          <w:bCs/>
        </w:rPr>
        <w:t xml:space="preserve">) </w:t>
      </w:r>
      <w:r w:rsidR="00FA25C0" w:rsidRPr="00864976">
        <w:rPr>
          <w:bCs/>
        </w:rPr>
        <w:t>+</w:t>
      </w:r>
      <w:r w:rsidR="006D03EE" w:rsidRPr="00864976">
        <w:rPr>
          <w:bCs/>
        </w:rPr>
        <w:t xml:space="preserve"> short-acting beta2-agonist (</w:t>
      </w:r>
      <w:r w:rsidR="00FA25C0" w:rsidRPr="00864976">
        <w:rPr>
          <w:bCs/>
        </w:rPr>
        <w:t>SABA</w:t>
      </w:r>
      <w:r w:rsidR="006D03EE" w:rsidRPr="00864976">
        <w:rPr>
          <w:bCs/>
        </w:rPr>
        <w:t>)</w:t>
      </w:r>
      <w:r w:rsidR="00FA25C0" w:rsidRPr="00864976">
        <w:rPr>
          <w:bCs/>
        </w:rPr>
        <w:t>, the approach taken in the cost-minimisation analysis, and that the financial consequences of listin</w:t>
      </w:r>
      <w:r w:rsidR="00C50199" w:rsidRPr="00864976">
        <w:rPr>
          <w:bCs/>
        </w:rPr>
        <w:t>g were uncertain (paragraph 7.1</w:t>
      </w:r>
      <w:r w:rsidR="00C93311" w:rsidRPr="00864976">
        <w:rPr>
          <w:bCs/>
        </w:rPr>
        <w:t xml:space="preserve">, </w:t>
      </w:r>
      <w:proofErr w:type="spellStart"/>
      <w:r w:rsidR="00C93311" w:rsidRPr="00864976">
        <w:rPr>
          <w:bCs/>
        </w:rPr>
        <w:t>Symbicort</w:t>
      </w:r>
      <w:proofErr w:type="spellEnd"/>
      <w:r w:rsidR="00C93311" w:rsidRPr="00864976">
        <w:rPr>
          <w:bCs/>
        </w:rPr>
        <w:t xml:space="preserve">, </w:t>
      </w:r>
      <w:r w:rsidR="00530F0E" w:rsidRPr="00864976">
        <w:rPr>
          <w:bCs/>
        </w:rPr>
        <w:t>Public Summary Document (PSD)</w:t>
      </w:r>
      <w:r w:rsidR="00C93311" w:rsidRPr="00864976">
        <w:rPr>
          <w:bCs/>
        </w:rPr>
        <w:t>, July 2019 PBAC meeting</w:t>
      </w:r>
      <w:r w:rsidR="00C50199" w:rsidRPr="00864976">
        <w:rPr>
          <w:bCs/>
        </w:rPr>
        <w:t xml:space="preserve">). </w:t>
      </w:r>
    </w:p>
    <w:p w:rsidR="00AF4339" w:rsidRPr="00864976" w:rsidRDefault="00E32C77" w:rsidP="00742B28">
      <w:pPr>
        <w:pStyle w:val="3Bodytext"/>
        <w:jc w:val="both"/>
        <w:rPr>
          <w:bCs/>
        </w:rPr>
      </w:pPr>
      <w:r w:rsidRPr="00864976">
        <w:rPr>
          <w:bCs/>
        </w:rPr>
        <w:t>At its July meeting, t</w:t>
      </w:r>
      <w:r w:rsidR="00AF4339" w:rsidRPr="00864976">
        <w:rPr>
          <w:bCs/>
        </w:rPr>
        <w:t>he PBAC recommended that, before making a resubmission, the sponsor consult with asthma related organisations such as the N</w:t>
      </w:r>
      <w:r w:rsidR="00530F0E" w:rsidRPr="00864976">
        <w:rPr>
          <w:bCs/>
        </w:rPr>
        <w:t>ational Asthma Council Australia (NAC)</w:t>
      </w:r>
      <w:r w:rsidR="00AF4339" w:rsidRPr="00864976">
        <w:rPr>
          <w:bCs/>
        </w:rPr>
        <w:t>, Asthma Australia and Lung Foundation Australia regarding how the proposed listing would likely work in clinical practice. The PBAC also advised that a resubmission would need to include a revised cost-minimisation analysis and financial estimates, noting that a</w:t>
      </w:r>
      <w:r w:rsidR="00A16ECC" w:rsidRPr="00864976">
        <w:rPr>
          <w:bCs/>
        </w:rPr>
        <w:t>n</w:t>
      </w:r>
      <w:r w:rsidR="00AF4339" w:rsidRPr="00864976">
        <w:rPr>
          <w:bCs/>
        </w:rPr>
        <w:t xml:space="preserve"> RSA which includes a cap may be the most appropriate way forward in addressing the financial uncertainty (paragraph 7.14</w:t>
      </w:r>
      <w:r w:rsidR="00530F0E" w:rsidRPr="00864976">
        <w:rPr>
          <w:bCs/>
        </w:rPr>
        <w:t xml:space="preserve">, </w:t>
      </w:r>
      <w:proofErr w:type="spellStart"/>
      <w:r w:rsidR="00530F0E" w:rsidRPr="00864976">
        <w:rPr>
          <w:bCs/>
        </w:rPr>
        <w:t>Symbicort</w:t>
      </w:r>
      <w:proofErr w:type="spellEnd"/>
      <w:r w:rsidR="00530F0E" w:rsidRPr="00864976">
        <w:rPr>
          <w:bCs/>
        </w:rPr>
        <w:t>, PSD</w:t>
      </w:r>
      <w:r w:rsidR="00C93311" w:rsidRPr="00864976">
        <w:rPr>
          <w:bCs/>
        </w:rPr>
        <w:t>, July 2019 PBAC meeting</w:t>
      </w:r>
      <w:r w:rsidR="00AF4339" w:rsidRPr="00864976">
        <w:rPr>
          <w:bCs/>
        </w:rPr>
        <w:t xml:space="preserve">). </w:t>
      </w:r>
    </w:p>
    <w:p w:rsidR="003C3962" w:rsidRPr="001F339C" w:rsidRDefault="006332BE" w:rsidP="00BF36F6">
      <w:pPr>
        <w:pStyle w:val="3Bodytext"/>
        <w:numPr>
          <w:ilvl w:val="1"/>
          <w:numId w:val="1"/>
        </w:numPr>
        <w:jc w:val="both"/>
      </w:pPr>
      <w:r w:rsidRPr="001F339C">
        <w:t xml:space="preserve">The outstanding matters of concern from the July 2019 meeting </w:t>
      </w:r>
      <w:r w:rsidR="00AF4339" w:rsidRPr="001F339C">
        <w:t xml:space="preserve">and how they are addressed in the resubmission </w:t>
      </w:r>
      <w:r w:rsidRPr="001F339C">
        <w:t xml:space="preserve">are summarised in the table below. </w:t>
      </w:r>
    </w:p>
    <w:p w:rsidR="006332BE" w:rsidRPr="008922C6" w:rsidRDefault="006332BE" w:rsidP="00D33004">
      <w:pPr>
        <w:keepNext/>
        <w:jc w:val="both"/>
        <w:rPr>
          <w:rFonts w:ascii="Arial Narrow" w:hAnsi="Arial Narrow"/>
          <w:b/>
          <w:sz w:val="20"/>
        </w:rPr>
      </w:pPr>
      <w:r w:rsidRPr="008922C6">
        <w:rPr>
          <w:rFonts w:ascii="Arial Narrow" w:hAnsi="Arial Narrow"/>
          <w:b/>
          <w:sz w:val="20"/>
          <w:szCs w:val="22"/>
        </w:rPr>
        <w:lastRenderedPageBreak/>
        <w:t>Table 1: PBAC matters of concern in previous consideration (July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83"/>
        <w:gridCol w:w="3633"/>
      </w:tblGrid>
      <w:tr w:rsidR="006332BE" w:rsidRPr="001F339C" w:rsidTr="00AF4339">
        <w:trPr>
          <w:trHeight w:val="240"/>
          <w:tblHeader/>
        </w:trPr>
        <w:tc>
          <w:tcPr>
            <w:tcW w:w="2985" w:type="pct"/>
            <w:tcBorders>
              <w:top w:val="single" w:sz="4" w:space="0" w:color="auto"/>
              <w:left w:val="single" w:sz="4" w:space="0" w:color="auto"/>
              <w:bottom w:val="single" w:sz="4" w:space="0" w:color="auto"/>
              <w:right w:val="single" w:sz="4" w:space="0" w:color="auto"/>
            </w:tcBorders>
            <w:hideMark/>
          </w:tcPr>
          <w:p w:rsidR="006332BE" w:rsidRPr="001F339C" w:rsidRDefault="006332BE" w:rsidP="00D33004">
            <w:pPr>
              <w:keepNext/>
              <w:rPr>
                <w:rFonts w:ascii="Arial Narrow" w:hAnsi="Arial Narrow"/>
                <w:b/>
                <w:sz w:val="20"/>
                <w:szCs w:val="20"/>
              </w:rPr>
            </w:pPr>
            <w:r w:rsidRPr="001F339C">
              <w:rPr>
                <w:rFonts w:ascii="Arial Narrow" w:hAnsi="Arial Narrow"/>
                <w:b/>
                <w:sz w:val="20"/>
                <w:szCs w:val="20"/>
              </w:rPr>
              <w:t>Matters of concern</w:t>
            </w:r>
          </w:p>
        </w:tc>
        <w:tc>
          <w:tcPr>
            <w:tcW w:w="2015" w:type="pct"/>
            <w:tcBorders>
              <w:top w:val="single" w:sz="4" w:space="0" w:color="auto"/>
              <w:left w:val="single" w:sz="4" w:space="0" w:color="auto"/>
              <w:bottom w:val="single" w:sz="4" w:space="0" w:color="auto"/>
              <w:right w:val="single" w:sz="4" w:space="0" w:color="auto"/>
            </w:tcBorders>
            <w:hideMark/>
          </w:tcPr>
          <w:p w:rsidR="006332BE" w:rsidRPr="001F339C" w:rsidRDefault="006332BE" w:rsidP="00D33004">
            <w:pPr>
              <w:keepNext/>
              <w:jc w:val="center"/>
              <w:rPr>
                <w:rFonts w:ascii="Arial Narrow" w:hAnsi="Arial Narrow"/>
                <w:b/>
                <w:sz w:val="20"/>
                <w:szCs w:val="20"/>
              </w:rPr>
            </w:pPr>
            <w:r w:rsidRPr="001F339C">
              <w:rPr>
                <w:rFonts w:ascii="Arial Narrow" w:hAnsi="Arial Narrow"/>
                <w:b/>
                <w:sz w:val="20"/>
                <w:szCs w:val="20"/>
              </w:rPr>
              <w:t>How the resubmission addresses it</w:t>
            </w:r>
          </w:p>
        </w:tc>
      </w:tr>
      <w:tr w:rsidR="00350E65" w:rsidRPr="001F339C" w:rsidTr="00BF36F6">
        <w:trPr>
          <w:trHeight w:val="788"/>
        </w:trPr>
        <w:tc>
          <w:tcPr>
            <w:tcW w:w="2985" w:type="pct"/>
            <w:tcBorders>
              <w:top w:val="single" w:sz="4" w:space="0" w:color="auto"/>
              <w:left w:val="single" w:sz="4" w:space="0" w:color="auto"/>
              <w:bottom w:val="single" w:sz="4" w:space="0" w:color="auto"/>
              <w:right w:val="single" w:sz="4" w:space="0" w:color="auto"/>
            </w:tcBorders>
          </w:tcPr>
          <w:p w:rsidR="00BF36F6" w:rsidRPr="008922C6" w:rsidRDefault="00BF36F6" w:rsidP="00D33004">
            <w:pPr>
              <w:keepNext/>
              <w:rPr>
                <w:rFonts w:ascii="Arial Narrow" w:hAnsi="Arial Narrow"/>
                <w:sz w:val="20"/>
                <w:szCs w:val="20"/>
              </w:rPr>
            </w:pPr>
            <w:r w:rsidRPr="001F339C">
              <w:rPr>
                <w:rFonts w:ascii="Arial Narrow" w:hAnsi="Arial Narrow"/>
                <w:sz w:val="20"/>
                <w:szCs w:val="20"/>
              </w:rPr>
              <w:t>The PBAC noted the consumer comments from three key asthma related organisations (NAC, Asthma Australia and The Lung Foundation)</w:t>
            </w:r>
            <w:r w:rsidR="001F339C">
              <w:rPr>
                <w:rFonts w:ascii="Arial Narrow" w:hAnsi="Arial Narrow"/>
                <w:sz w:val="20"/>
                <w:szCs w:val="20"/>
              </w:rPr>
              <w:t xml:space="preserve">. </w:t>
            </w:r>
            <w:r w:rsidRPr="001F339C">
              <w:rPr>
                <w:rFonts w:ascii="Arial Narrow" w:hAnsi="Arial Narrow"/>
                <w:sz w:val="20"/>
                <w:szCs w:val="20"/>
              </w:rPr>
              <w:t xml:space="preserve">The PBAC was concerned that while they described benefits of treatment with </w:t>
            </w:r>
            <w:proofErr w:type="spellStart"/>
            <w:r w:rsidRPr="001F339C">
              <w:rPr>
                <w:rFonts w:ascii="Arial Narrow" w:hAnsi="Arial Narrow"/>
                <w:sz w:val="20"/>
                <w:szCs w:val="20"/>
              </w:rPr>
              <w:t>Symbicort</w:t>
            </w:r>
            <w:proofErr w:type="spellEnd"/>
            <w:r w:rsidRPr="001F339C">
              <w:rPr>
                <w:rFonts w:ascii="Arial Narrow" w:hAnsi="Arial Narrow"/>
                <w:sz w:val="20"/>
                <w:szCs w:val="20"/>
              </w:rPr>
              <w:t>, the Asthma Australia comments raised concerns over how the requested listing would be implemented in practice (paragraph 7.2</w:t>
            </w:r>
            <w:r w:rsidR="00C93311" w:rsidRPr="001F339C">
              <w:rPr>
                <w:rFonts w:ascii="Arial Narrow" w:hAnsi="Arial Narrow"/>
                <w:sz w:val="20"/>
                <w:szCs w:val="20"/>
              </w:rPr>
              <w:t xml:space="preserve">, </w:t>
            </w:r>
            <w:proofErr w:type="spellStart"/>
            <w:r w:rsidR="00530F0E" w:rsidRPr="008922C6">
              <w:rPr>
                <w:rFonts w:ascii="Arial Narrow" w:hAnsi="Arial Narrow"/>
                <w:sz w:val="20"/>
                <w:szCs w:val="20"/>
              </w:rPr>
              <w:t>Symbicort</w:t>
            </w:r>
            <w:proofErr w:type="spellEnd"/>
            <w:r w:rsidR="00530F0E" w:rsidRPr="008922C6">
              <w:rPr>
                <w:rFonts w:ascii="Arial Narrow" w:hAnsi="Arial Narrow"/>
                <w:sz w:val="20"/>
                <w:szCs w:val="20"/>
              </w:rPr>
              <w:t>, PSD</w:t>
            </w:r>
            <w:r w:rsidR="00C93311" w:rsidRPr="008922C6">
              <w:rPr>
                <w:rFonts w:ascii="Arial Narrow" w:hAnsi="Arial Narrow"/>
                <w:sz w:val="20"/>
                <w:szCs w:val="20"/>
              </w:rPr>
              <w:t>, July 2019 PBAC meeting</w:t>
            </w:r>
            <w:r w:rsidRPr="008922C6">
              <w:rPr>
                <w:rFonts w:ascii="Arial Narrow" w:hAnsi="Arial Narrow"/>
                <w:sz w:val="20"/>
                <w:szCs w:val="20"/>
              </w:rPr>
              <w:t xml:space="preserve">). </w:t>
            </w:r>
          </w:p>
          <w:p w:rsidR="00350E65" w:rsidRPr="001F339C" w:rsidRDefault="00350E65" w:rsidP="00D33004">
            <w:pPr>
              <w:keepNext/>
              <w:rPr>
                <w:rFonts w:ascii="Arial Narrow" w:hAnsi="Arial Narrow" w:cstheme="minorHAnsi"/>
                <w:sz w:val="20"/>
                <w:szCs w:val="20"/>
              </w:rPr>
            </w:pPr>
          </w:p>
        </w:tc>
        <w:tc>
          <w:tcPr>
            <w:tcW w:w="2015" w:type="pct"/>
            <w:tcBorders>
              <w:top w:val="single" w:sz="4" w:space="0" w:color="auto"/>
              <w:left w:val="single" w:sz="4" w:space="0" w:color="auto"/>
              <w:bottom w:val="single" w:sz="4" w:space="0" w:color="auto"/>
              <w:right w:val="single" w:sz="4" w:space="0" w:color="auto"/>
            </w:tcBorders>
          </w:tcPr>
          <w:p w:rsidR="00350E65" w:rsidRPr="001F339C" w:rsidRDefault="00350E65" w:rsidP="00D33004">
            <w:pPr>
              <w:keepNext/>
              <w:rPr>
                <w:rFonts w:ascii="Arial Narrow" w:hAnsi="Arial Narrow"/>
                <w:sz w:val="20"/>
                <w:szCs w:val="20"/>
              </w:rPr>
            </w:pPr>
            <w:r w:rsidRPr="001F339C">
              <w:rPr>
                <w:rFonts w:ascii="Arial Narrow" w:hAnsi="Arial Narrow"/>
                <w:sz w:val="20"/>
                <w:szCs w:val="20"/>
              </w:rPr>
              <w:t xml:space="preserve">An amended </w:t>
            </w:r>
            <w:r w:rsidR="00CF2E8C" w:rsidRPr="001F339C">
              <w:rPr>
                <w:rFonts w:ascii="Arial Narrow" w:hAnsi="Arial Narrow"/>
                <w:sz w:val="20"/>
                <w:szCs w:val="20"/>
              </w:rPr>
              <w:t xml:space="preserve">(separate) </w:t>
            </w:r>
            <w:r w:rsidRPr="001F339C">
              <w:rPr>
                <w:rFonts w:ascii="Arial Narrow" w:hAnsi="Arial Narrow"/>
                <w:sz w:val="20"/>
                <w:szCs w:val="20"/>
              </w:rPr>
              <w:t xml:space="preserve">PBS listing with fewer repeats (reduced from five to one) to better align with the irregular pattern of ‘as-needed’ use and to signal to prescribers those patients who would be better severed with a maintenance treatment regimen. </w:t>
            </w:r>
          </w:p>
          <w:p w:rsidR="00E24EB9" w:rsidRPr="001F339C" w:rsidRDefault="00E24EB9" w:rsidP="00D33004">
            <w:pPr>
              <w:keepNext/>
              <w:rPr>
                <w:rFonts w:ascii="Arial Narrow" w:hAnsi="Arial Narrow"/>
                <w:sz w:val="20"/>
                <w:szCs w:val="20"/>
              </w:rPr>
            </w:pPr>
          </w:p>
          <w:p w:rsidR="00350E65" w:rsidRPr="001F339C" w:rsidRDefault="00E24EB9" w:rsidP="00D33004">
            <w:pPr>
              <w:keepNext/>
              <w:rPr>
                <w:rFonts w:ascii="Arial Narrow" w:hAnsi="Arial Narrow"/>
                <w:sz w:val="20"/>
                <w:szCs w:val="20"/>
              </w:rPr>
            </w:pPr>
            <w:r w:rsidRPr="001F339C">
              <w:rPr>
                <w:rFonts w:ascii="Arial Narrow" w:hAnsi="Arial Narrow"/>
                <w:sz w:val="20"/>
                <w:szCs w:val="20"/>
              </w:rPr>
              <w:t xml:space="preserve">The resubmission also stated that the sponsor is currently consulting key asthma organisations to address the implementation of the extended listing of </w:t>
            </w:r>
            <w:proofErr w:type="spellStart"/>
            <w:r w:rsidR="00E1115C" w:rsidRPr="001F339C">
              <w:rPr>
                <w:rFonts w:ascii="Arial Narrow" w:hAnsi="Arial Narrow"/>
                <w:sz w:val="20"/>
                <w:szCs w:val="20"/>
              </w:rPr>
              <w:t>Symbicort</w:t>
            </w:r>
            <w:proofErr w:type="spellEnd"/>
            <w:r w:rsidR="00E1115C" w:rsidRPr="001F339C">
              <w:rPr>
                <w:rFonts w:ascii="Arial Narrow" w:hAnsi="Arial Narrow"/>
                <w:sz w:val="20"/>
                <w:szCs w:val="20"/>
              </w:rPr>
              <w:t xml:space="preserve"> in clinical practice. The development of a formal statement was not possible at the time of the minor submission deadline. </w:t>
            </w:r>
          </w:p>
        </w:tc>
      </w:tr>
      <w:tr w:rsidR="00350E65" w:rsidRPr="001F339C" w:rsidTr="00BF36F6">
        <w:trPr>
          <w:trHeight w:val="487"/>
        </w:trPr>
        <w:tc>
          <w:tcPr>
            <w:tcW w:w="2985" w:type="pct"/>
            <w:tcBorders>
              <w:top w:val="single" w:sz="4" w:space="0" w:color="auto"/>
              <w:left w:val="single" w:sz="4" w:space="0" w:color="auto"/>
              <w:bottom w:val="single" w:sz="4" w:space="0" w:color="auto"/>
              <w:right w:val="single" w:sz="4" w:space="0" w:color="auto"/>
            </w:tcBorders>
          </w:tcPr>
          <w:p w:rsidR="00BF36F6" w:rsidRPr="001F339C" w:rsidRDefault="00BF36F6" w:rsidP="00BF36F6">
            <w:pPr>
              <w:rPr>
                <w:rFonts w:ascii="Arial Narrow" w:hAnsi="Arial Narrow"/>
                <w:sz w:val="20"/>
                <w:szCs w:val="20"/>
              </w:rPr>
            </w:pPr>
            <w:r w:rsidRPr="001F339C">
              <w:rPr>
                <w:rFonts w:ascii="Arial Narrow" w:hAnsi="Arial Narrow"/>
                <w:sz w:val="20"/>
                <w:szCs w:val="20"/>
              </w:rPr>
              <w:t xml:space="preserve">The PBAC was concerned the SYGMA 1 trial reported that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had 36% lower odds of achieving a WCAW compared to ICS+SABA in SYGMA 1 (OR 0.64, 95% CI:0.57, 0.73). WCAW was the primary outcome from the SYGMA 1 trial.</w:t>
            </w:r>
          </w:p>
          <w:p w:rsidR="00BF36F6" w:rsidRPr="001F339C" w:rsidRDefault="00BF36F6" w:rsidP="00BF36F6">
            <w:pPr>
              <w:rPr>
                <w:rFonts w:ascii="Arial Narrow" w:hAnsi="Arial Narrow"/>
                <w:sz w:val="20"/>
                <w:szCs w:val="20"/>
              </w:rPr>
            </w:pPr>
            <w:r w:rsidRPr="001F339C">
              <w:rPr>
                <w:rFonts w:ascii="Arial Narrow" w:hAnsi="Arial Narrow"/>
                <w:sz w:val="20"/>
                <w:szCs w:val="20"/>
              </w:rPr>
              <w:t xml:space="preserve">In addition, the PBAC was concerned regarding the submission’s claim of non-inferiority compared to ICS+SABA for the primary outcome in the SYGMA 2 trial. No significant differences in the annual rate of severe asthma exacerbations was reported in SYGMA 2 between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and ICS+SABA arms (RR = 0.97, 1-sided upper 95% CI: 1.16). The PBAC noted that non-inferiority was declared when the upper 95% CI of the severe asthma exacerbation rate ratio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vs ICS+SABA) was &lt;</w:t>
            </w:r>
            <w:r w:rsidR="007D377C" w:rsidRPr="001F339C">
              <w:rPr>
                <w:rFonts w:ascii="Arial Narrow" w:hAnsi="Arial Narrow"/>
                <w:sz w:val="20"/>
                <w:szCs w:val="20"/>
              </w:rPr>
              <w:t> </w:t>
            </w:r>
            <w:r w:rsidRPr="001F339C">
              <w:rPr>
                <w:rFonts w:ascii="Arial Narrow" w:hAnsi="Arial Narrow"/>
                <w:sz w:val="20"/>
                <w:szCs w:val="20"/>
              </w:rPr>
              <w:t>1.20. The PBAC agreed with the ESC that, as per EMA guidelines for when trial objectives change from demonstrating superiority to non-inferiority, a 97.5% CI would be more appropriate</w:t>
            </w:r>
            <w:r w:rsidR="001F339C">
              <w:rPr>
                <w:rFonts w:ascii="Arial Narrow" w:hAnsi="Arial Narrow"/>
                <w:sz w:val="20"/>
                <w:szCs w:val="20"/>
              </w:rPr>
              <w:t xml:space="preserve">. </w:t>
            </w:r>
          </w:p>
          <w:p w:rsidR="00350E65" w:rsidRPr="001F339C" w:rsidRDefault="00BF36F6" w:rsidP="00C93311">
            <w:pPr>
              <w:rPr>
                <w:rFonts w:ascii="Arial Narrow" w:hAnsi="Arial Narrow"/>
                <w:sz w:val="20"/>
                <w:szCs w:val="20"/>
              </w:rPr>
            </w:pPr>
            <w:r w:rsidRPr="008922C6">
              <w:rPr>
                <w:rFonts w:ascii="Arial Narrow" w:hAnsi="Arial Narrow"/>
                <w:sz w:val="20"/>
                <w:szCs w:val="20"/>
              </w:rPr>
              <w:t>As such, the PBAC considered that the non-inferiority claim was not robust as the upper limit of the 97.5% CI was 1.20 for the supportive efficacy analysis (paragraph 7.6</w:t>
            </w:r>
            <w:r w:rsidR="00C93311" w:rsidRPr="001F339C">
              <w:rPr>
                <w:rFonts w:ascii="Arial Narrow" w:hAnsi="Arial Narrow"/>
                <w:sz w:val="20"/>
                <w:szCs w:val="20"/>
              </w:rPr>
              <w:t xml:space="preserve">, </w:t>
            </w:r>
            <w:proofErr w:type="spellStart"/>
            <w:r w:rsidR="00530F0E" w:rsidRPr="001F339C">
              <w:rPr>
                <w:rFonts w:ascii="Arial Narrow" w:hAnsi="Arial Narrow"/>
                <w:sz w:val="20"/>
                <w:szCs w:val="20"/>
              </w:rPr>
              <w:t>Symbicort</w:t>
            </w:r>
            <w:proofErr w:type="spellEnd"/>
            <w:r w:rsidR="00530F0E" w:rsidRPr="001F339C">
              <w:rPr>
                <w:rFonts w:ascii="Arial Narrow" w:hAnsi="Arial Narrow"/>
                <w:sz w:val="20"/>
                <w:szCs w:val="20"/>
              </w:rPr>
              <w:t>, PSD</w:t>
            </w:r>
            <w:r w:rsidR="00C93311" w:rsidRPr="001F339C">
              <w:rPr>
                <w:rFonts w:ascii="Arial Narrow" w:hAnsi="Arial Narrow"/>
                <w:sz w:val="20"/>
                <w:szCs w:val="20"/>
              </w:rPr>
              <w:t>, July 2019 PBAC meeting</w:t>
            </w:r>
            <w:r w:rsidRPr="001F339C">
              <w:rPr>
                <w:rFonts w:ascii="Arial Narrow" w:hAnsi="Arial Narrow"/>
                <w:sz w:val="20"/>
                <w:szCs w:val="20"/>
              </w:rPr>
              <w:t>)</w:t>
            </w:r>
            <w:r w:rsidR="00C07066" w:rsidRPr="001F339C">
              <w:rPr>
                <w:rFonts w:ascii="Arial Narrow" w:hAnsi="Arial Narrow"/>
                <w:sz w:val="20"/>
                <w:szCs w:val="20"/>
              </w:rPr>
              <w:t>.</w:t>
            </w:r>
          </w:p>
        </w:tc>
        <w:tc>
          <w:tcPr>
            <w:tcW w:w="2015" w:type="pct"/>
            <w:tcBorders>
              <w:top w:val="single" w:sz="4" w:space="0" w:color="auto"/>
              <w:left w:val="single" w:sz="4" w:space="0" w:color="auto"/>
              <w:bottom w:val="single" w:sz="4" w:space="0" w:color="auto"/>
              <w:right w:val="single" w:sz="4" w:space="0" w:color="auto"/>
            </w:tcBorders>
          </w:tcPr>
          <w:p w:rsidR="00BB1883" w:rsidRPr="001F339C" w:rsidRDefault="00772038" w:rsidP="00350E65">
            <w:pPr>
              <w:rPr>
                <w:rFonts w:ascii="Arial Narrow" w:hAnsi="Arial Narrow" w:cstheme="minorHAnsi"/>
                <w:sz w:val="20"/>
                <w:szCs w:val="20"/>
              </w:rPr>
            </w:pPr>
            <w:r w:rsidRPr="001F339C">
              <w:rPr>
                <w:rFonts w:ascii="Arial Narrow" w:hAnsi="Arial Narrow" w:cstheme="minorHAnsi"/>
                <w:sz w:val="20"/>
                <w:szCs w:val="20"/>
              </w:rPr>
              <w:t>Additional information to clarify the clinical data submitted in suppor</w:t>
            </w:r>
            <w:r w:rsidR="00CF2E8C" w:rsidRPr="001F339C">
              <w:rPr>
                <w:rFonts w:ascii="Arial Narrow" w:hAnsi="Arial Narrow" w:cstheme="minorHAnsi"/>
                <w:sz w:val="20"/>
                <w:szCs w:val="20"/>
              </w:rPr>
              <w:t xml:space="preserve">t of the non-inferiority claim with respect to WCAW and use of 97.5% CIs to evaluate the rate of severe asthma exacerbations. </w:t>
            </w:r>
          </w:p>
          <w:p w:rsidR="00772038" w:rsidRPr="001F339C" w:rsidRDefault="00772038" w:rsidP="00742B28">
            <w:pPr>
              <w:rPr>
                <w:rFonts w:ascii="Arial Narrow" w:hAnsi="Arial Narrow" w:cstheme="minorHAnsi"/>
                <w:sz w:val="20"/>
                <w:szCs w:val="20"/>
              </w:rPr>
            </w:pPr>
          </w:p>
        </w:tc>
      </w:tr>
      <w:tr w:rsidR="00742B28" w:rsidRPr="001F339C" w:rsidTr="00BF36F6">
        <w:trPr>
          <w:trHeight w:val="487"/>
        </w:trPr>
        <w:tc>
          <w:tcPr>
            <w:tcW w:w="2985" w:type="pct"/>
            <w:tcBorders>
              <w:top w:val="single" w:sz="4" w:space="0" w:color="auto"/>
              <w:left w:val="single" w:sz="4" w:space="0" w:color="auto"/>
              <w:bottom w:val="single" w:sz="4" w:space="0" w:color="auto"/>
              <w:right w:val="single" w:sz="4" w:space="0" w:color="auto"/>
            </w:tcBorders>
          </w:tcPr>
          <w:p w:rsidR="00BF36F6" w:rsidRPr="001F339C" w:rsidRDefault="00F66893" w:rsidP="00BF36F6">
            <w:pPr>
              <w:rPr>
                <w:rFonts w:ascii="Arial Narrow" w:hAnsi="Arial Narrow"/>
                <w:sz w:val="20"/>
                <w:szCs w:val="20"/>
              </w:rPr>
            </w:pPr>
            <w:r w:rsidRPr="001F339C">
              <w:rPr>
                <w:rFonts w:ascii="Arial Narrow" w:hAnsi="Arial Narrow"/>
                <w:sz w:val="20"/>
                <w:szCs w:val="20"/>
              </w:rPr>
              <w:t>T</w:t>
            </w:r>
            <w:r w:rsidR="00BF36F6" w:rsidRPr="001F339C">
              <w:rPr>
                <w:rFonts w:ascii="Arial Narrow" w:hAnsi="Arial Narrow"/>
                <w:sz w:val="20"/>
                <w:szCs w:val="20"/>
              </w:rPr>
              <w:t xml:space="preserve">he PBAC </w:t>
            </w:r>
            <w:r w:rsidRPr="001F339C">
              <w:rPr>
                <w:rFonts w:ascii="Arial Narrow" w:hAnsi="Arial Narrow"/>
                <w:sz w:val="20"/>
                <w:szCs w:val="20"/>
              </w:rPr>
              <w:t>considered that</w:t>
            </w:r>
            <w:r w:rsidR="00BF36F6" w:rsidRPr="001F339C">
              <w:rPr>
                <w:rFonts w:ascii="Arial Narrow" w:hAnsi="Arial Narrow"/>
                <w:sz w:val="20"/>
                <w:szCs w:val="20"/>
              </w:rPr>
              <w:t xml:space="preserve"> the cost-minimisation analysis versus ICS+SABA was the most appropriate economic analysis for this submission. The PBAC noted that using AEMP, applying the correct therapeutic equivalent dose of salbutamol and excluding the use of private prices, the cost per patient per year for </w:t>
            </w:r>
            <w:proofErr w:type="spellStart"/>
            <w:r w:rsidR="00BF36F6" w:rsidRPr="001F339C">
              <w:rPr>
                <w:rFonts w:ascii="Arial Narrow" w:hAnsi="Arial Narrow"/>
                <w:sz w:val="20"/>
                <w:szCs w:val="20"/>
              </w:rPr>
              <w:t>Symbicort</w:t>
            </w:r>
            <w:proofErr w:type="spellEnd"/>
            <w:r w:rsidR="00BF36F6" w:rsidRPr="001F339C">
              <w:rPr>
                <w:rFonts w:ascii="Arial Narrow" w:hAnsi="Arial Narrow"/>
                <w:sz w:val="20"/>
                <w:szCs w:val="20"/>
              </w:rPr>
              <w:t xml:space="preserve"> was $6.79 more than ICS+SABA in mild asthma. In addition, the PBAC agreed with the ESC that patients who use as needed asthma therapy are likely to have more than one </w:t>
            </w:r>
            <w:proofErr w:type="spellStart"/>
            <w:r w:rsidR="00BF36F6" w:rsidRPr="001F339C">
              <w:rPr>
                <w:rFonts w:ascii="Arial Narrow" w:hAnsi="Arial Narrow"/>
                <w:sz w:val="20"/>
                <w:szCs w:val="20"/>
              </w:rPr>
              <w:t>Symbicort</w:t>
            </w:r>
            <w:proofErr w:type="spellEnd"/>
            <w:r w:rsidR="00BF36F6" w:rsidRPr="001F339C">
              <w:rPr>
                <w:rFonts w:ascii="Arial Narrow" w:hAnsi="Arial Narrow"/>
                <w:sz w:val="20"/>
                <w:szCs w:val="20"/>
              </w:rPr>
              <w:t xml:space="preserve"> inhaler in use at a time as is often the case with SABAs, which would affect the results of the cost-minimisation analysis. As such, the PBAC considered that the cost-minimisation analysis presented did not support the claim that, at the price requested, the cost of </w:t>
            </w:r>
            <w:proofErr w:type="spellStart"/>
            <w:r w:rsidR="00BF36F6" w:rsidRPr="001F339C">
              <w:rPr>
                <w:rFonts w:ascii="Arial Narrow" w:hAnsi="Arial Narrow"/>
                <w:sz w:val="20"/>
                <w:szCs w:val="20"/>
              </w:rPr>
              <w:t>Symbicort</w:t>
            </w:r>
            <w:proofErr w:type="spellEnd"/>
            <w:r w:rsidR="00BF36F6" w:rsidRPr="001F339C">
              <w:rPr>
                <w:rFonts w:ascii="Arial Narrow" w:hAnsi="Arial Narrow"/>
                <w:sz w:val="20"/>
                <w:szCs w:val="20"/>
              </w:rPr>
              <w:t xml:space="preserve"> to the health system is, at</w:t>
            </w:r>
            <w:r w:rsidRPr="001F339C">
              <w:rPr>
                <w:rFonts w:ascii="Arial Narrow" w:hAnsi="Arial Narrow"/>
                <w:sz w:val="20"/>
                <w:szCs w:val="20"/>
              </w:rPr>
              <w:t xml:space="preserve"> most, equivalent to ICS+SABA </w:t>
            </w:r>
            <w:r w:rsidR="00BF36F6" w:rsidRPr="001F339C">
              <w:rPr>
                <w:rFonts w:ascii="Arial Narrow" w:hAnsi="Arial Narrow"/>
                <w:sz w:val="20"/>
                <w:szCs w:val="20"/>
              </w:rPr>
              <w:t>(paragraph 7.10</w:t>
            </w:r>
            <w:r w:rsidR="00C93311" w:rsidRPr="001F339C">
              <w:rPr>
                <w:rFonts w:ascii="Arial Narrow" w:hAnsi="Arial Narrow"/>
                <w:sz w:val="20"/>
                <w:szCs w:val="20"/>
              </w:rPr>
              <w:t xml:space="preserve">, </w:t>
            </w:r>
            <w:proofErr w:type="spellStart"/>
            <w:r w:rsidR="00530F0E" w:rsidRPr="001F339C">
              <w:rPr>
                <w:rFonts w:ascii="Arial Narrow" w:hAnsi="Arial Narrow"/>
                <w:sz w:val="20"/>
                <w:szCs w:val="20"/>
              </w:rPr>
              <w:t>Symbicort</w:t>
            </w:r>
            <w:proofErr w:type="spellEnd"/>
            <w:r w:rsidR="00530F0E" w:rsidRPr="001F339C">
              <w:rPr>
                <w:rFonts w:ascii="Arial Narrow" w:hAnsi="Arial Narrow"/>
                <w:sz w:val="20"/>
                <w:szCs w:val="20"/>
              </w:rPr>
              <w:t>, PSD</w:t>
            </w:r>
            <w:r w:rsidR="00C93311" w:rsidRPr="001F339C">
              <w:rPr>
                <w:rFonts w:ascii="Arial Narrow" w:hAnsi="Arial Narrow"/>
                <w:sz w:val="20"/>
                <w:szCs w:val="20"/>
              </w:rPr>
              <w:t>, July 2019 PBAC meeting</w:t>
            </w:r>
            <w:r w:rsidR="00BF36F6" w:rsidRPr="001F339C">
              <w:rPr>
                <w:rFonts w:ascii="Arial Narrow" w:hAnsi="Arial Narrow"/>
                <w:sz w:val="20"/>
                <w:szCs w:val="20"/>
              </w:rPr>
              <w:t>).</w:t>
            </w:r>
          </w:p>
          <w:p w:rsidR="00742B28" w:rsidRPr="001F339C" w:rsidRDefault="00742B28" w:rsidP="00BF36F6">
            <w:pPr>
              <w:rPr>
                <w:rFonts w:ascii="Arial Narrow" w:hAnsi="Arial Narrow"/>
                <w:sz w:val="20"/>
                <w:szCs w:val="20"/>
              </w:rPr>
            </w:pPr>
          </w:p>
        </w:tc>
        <w:tc>
          <w:tcPr>
            <w:tcW w:w="2015" w:type="pct"/>
            <w:tcBorders>
              <w:top w:val="single" w:sz="4" w:space="0" w:color="auto"/>
              <w:left w:val="single" w:sz="4" w:space="0" w:color="auto"/>
              <w:bottom w:val="single" w:sz="4" w:space="0" w:color="auto"/>
              <w:right w:val="single" w:sz="4" w:space="0" w:color="auto"/>
            </w:tcBorders>
          </w:tcPr>
          <w:p w:rsidR="00742B28" w:rsidRPr="001F339C" w:rsidRDefault="00742B28" w:rsidP="00C5084E">
            <w:pPr>
              <w:rPr>
                <w:rFonts w:ascii="Arial Narrow" w:hAnsi="Arial Narrow" w:cstheme="minorHAnsi"/>
                <w:sz w:val="20"/>
                <w:szCs w:val="20"/>
              </w:rPr>
            </w:pPr>
            <w:r w:rsidRPr="001F339C">
              <w:rPr>
                <w:rFonts w:ascii="Arial Narrow" w:hAnsi="Arial Narrow" w:cstheme="minorHAnsi"/>
                <w:sz w:val="20"/>
                <w:szCs w:val="20"/>
              </w:rPr>
              <w:t xml:space="preserve">An amended cost-minimisation analysis. Market split no longer assumed to be 93% and 7% for the </w:t>
            </w:r>
            <w:proofErr w:type="spellStart"/>
            <w:r w:rsidRPr="001F339C">
              <w:rPr>
                <w:rFonts w:ascii="Arial Narrow" w:hAnsi="Arial Narrow" w:cstheme="minorHAnsi"/>
                <w:sz w:val="20"/>
                <w:szCs w:val="20"/>
              </w:rPr>
              <w:t>Turbuhaler</w:t>
            </w:r>
            <w:proofErr w:type="spellEnd"/>
            <w:r w:rsidRPr="001F339C">
              <w:rPr>
                <w:rFonts w:ascii="Arial Narrow" w:hAnsi="Arial Narrow" w:cstheme="minorHAnsi"/>
                <w:sz w:val="20"/>
                <w:szCs w:val="20"/>
              </w:rPr>
              <w:t xml:space="preserve"> and </w:t>
            </w:r>
            <w:proofErr w:type="spellStart"/>
            <w:r w:rsidRPr="001F339C">
              <w:rPr>
                <w:rFonts w:ascii="Arial Narrow" w:hAnsi="Arial Narrow" w:cstheme="minorHAnsi"/>
                <w:sz w:val="20"/>
                <w:szCs w:val="20"/>
              </w:rPr>
              <w:t>Rapihaler</w:t>
            </w:r>
            <w:proofErr w:type="spellEnd"/>
            <w:r w:rsidRPr="001F339C">
              <w:rPr>
                <w:rFonts w:ascii="Arial Narrow" w:hAnsi="Arial Narrow" w:cstheme="minorHAnsi"/>
                <w:sz w:val="20"/>
                <w:szCs w:val="20"/>
              </w:rPr>
              <w:t xml:space="preserve"> respectively. Adjusted to 60% and 40%. Dose for salbutamol also adjusted</w:t>
            </w:r>
            <w:r w:rsidR="001F339C">
              <w:rPr>
                <w:rFonts w:ascii="Arial Narrow" w:hAnsi="Arial Narrow" w:cstheme="minorHAnsi"/>
                <w:sz w:val="20"/>
                <w:szCs w:val="20"/>
              </w:rPr>
              <w:t xml:space="preserve">. </w:t>
            </w:r>
          </w:p>
          <w:p w:rsidR="00C07066" w:rsidRPr="00864976" w:rsidRDefault="00C07066" w:rsidP="00C5084E">
            <w:pPr>
              <w:widowControl w:val="0"/>
              <w:spacing w:after="120"/>
              <w:rPr>
                <w:rFonts w:ascii="Arial Narrow" w:hAnsi="Arial Narrow" w:cs="Arial"/>
                <w:bCs/>
                <w:snapToGrid w:val="0"/>
                <w:sz w:val="20"/>
                <w:szCs w:val="20"/>
              </w:rPr>
            </w:pPr>
          </w:p>
          <w:p w:rsidR="00C07066" w:rsidRPr="001F339C" w:rsidRDefault="00C07066" w:rsidP="00C5084E">
            <w:pPr>
              <w:rPr>
                <w:rFonts w:ascii="Arial Narrow" w:hAnsi="Arial Narrow" w:cstheme="minorHAnsi"/>
                <w:sz w:val="20"/>
                <w:szCs w:val="20"/>
              </w:rPr>
            </w:pPr>
          </w:p>
        </w:tc>
      </w:tr>
      <w:tr w:rsidR="00772038" w:rsidRPr="001F339C" w:rsidTr="00BF36F6">
        <w:trPr>
          <w:trHeight w:val="721"/>
        </w:trPr>
        <w:tc>
          <w:tcPr>
            <w:tcW w:w="2985" w:type="pct"/>
            <w:tcBorders>
              <w:top w:val="single" w:sz="4" w:space="0" w:color="auto"/>
              <w:left w:val="single" w:sz="4" w:space="0" w:color="auto"/>
              <w:bottom w:val="single" w:sz="4" w:space="0" w:color="auto"/>
              <w:right w:val="single" w:sz="4" w:space="0" w:color="auto"/>
            </w:tcBorders>
          </w:tcPr>
          <w:p w:rsidR="00772038" w:rsidRPr="001F339C" w:rsidRDefault="00BF36F6" w:rsidP="00350E65">
            <w:pPr>
              <w:rPr>
                <w:rFonts w:ascii="Arial Narrow" w:hAnsi="Arial Narrow"/>
                <w:sz w:val="20"/>
                <w:szCs w:val="20"/>
              </w:rPr>
            </w:pPr>
            <w:r w:rsidRPr="001F339C">
              <w:rPr>
                <w:rFonts w:ascii="Arial Narrow" w:hAnsi="Arial Narrow"/>
                <w:sz w:val="20"/>
                <w:szCs w:val="20"/>
              </w:rPr>
              <w:t xml:space="preserve">The PBAC agreed with DUSC that the certainty around the financial estimates was low, with use likely to be high and beyond the proposed estimates. The PBAC disagreed with the pre-PBAC response that the average number of packs per patient per year proposed in the submission (1.58) was appropriate. The PBAC noted the proposed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w:t>
            </w:r>
            <w:r w:rsidR="00EE39FD" w:rsidRPr="001F339C">
              <w:rPr>
                <w:rFonts w:ascii="Arial Narrow" w:hAnsi="Arial Narrow"/>
                <w:sz w:val="20"/>
                <w:szCs w:val="20"/>
              </w:rPr>
              <w:t>PI</w:t>
            </w:r>
            <w:r w:rsidRPr="001F339C">
              <w:rPr>
                <w:rFonts w:ascii="Arial Narrow" w:hAnsi="Arial Narrow"/>
                <w:sz w:val="20"/>
                <w:szCs w:val="20"/>
              </w:rPr>
              <w:t xml:space="preserve"> states that patients should be advised to always have </w:t>
            </w:r>
            <w:proofErr w:type="spellStart"/>
            <w:r w:rsidRPr="001F339C">
              <w:rPr>
                <w:rFonts w:ascii="Arial Narrow" w:hAnsi="Arial Narrow"/>
                <w:sz w:val="20"/>
                <w:szCs w:val="20"/>
              </w:rPr>
              <w:lastRenderedPageBreak/>
              <w:t>Symbicort</w:t>
            </w:r>
            <w:proofErr w:type="spellEnd"/>
            <w:r w:rsidRPr="001F339C">
              <w:rPr>
                <w:rFonts w:ascii="Arial Narrow" w:hAnsi="Arial Narrow"/>
                <w:sz w:val="20"/>
                <w:szCs w:val="20"/>
              </w:rPr>
              <w:t xml:space="preserve"> available for relief of symptoms and that a separate short-acting bronchodilator for relief of symptoms is not required. As such, the PBAC agreed with the DUSC that patients are likely to have more than one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inhaler in use at a time and considered that this would affect the financial estimates.</w:t>
            </w:r>
            <w:r w:rsidRPr="001F339C" w:rsidDel="005165EE">
              <w:rPr>
                <w:rFonts w:ascii="Arial Narrow" w:hAnsi="Arial Narrow"/>
                <w:sz w:val="20"/>
                <w:szCs w:val="20"/>
              </w:rPr>
              <w:t xml:space="preserve"> </w:t>
            </w:r>
            <w:r w:rsidRPr="001F339C">
              <w:rPr>
                <w:rFonts w:ascii="Arial Narrow" w:hAnsi="Arial Narrow"/>
                <w:sz w:val="20"/>
                <w:szCs w:val="20"/>
              </w:rPr>
              <w:t xml:space="preserve">The PBAC also considered there was potential for an increased number of patients to commence treatment with </w:t>
            </w:r>
            <w:proofErr w:type="spellStart"/>
            <w:r w:rsidRPr="001F339C">
              <w:rPr>
                <w:rFonts w:ascii="Arial Narrow" w:hAnsi="Arial Narrow"/>
                <w:sz w:val="20"/>
                <w:szCs w:val="20"/>
              </w:rPr>
              <w:t>Symbicort</w:t>
            </w:r>
            <w:proofErr w:type="spellEnd"/>
            <w:r w:rsidRPr="001F339C">
              <w:rPr>
                <w:rFonts w:ascii="Arial Narrow" w:hAnsi="Arial Narrow"/>
                <w:sz w:val="20"/>
                <w:szCs w:val="20"/>
              </w:rPr>
              <w:t>, instead of a low dose ICS. The PBAC considered that a</w:t>
            </w:r>
            <w:r w:rsidR="00A16ECC" w:rsidRPr="001F339C">
              <w:rPr>
                <w:rFonts w:ascii="Arial Narrow" w:hAnsi="Arial Narrow"/>
                <w:sz w:val="20"/>
                <w:szCs w:val="20"/>
              </w:rPr>
              <w:t>n</w:t>
            </w:r>
            <w:r w:rsidRPr="001F339C">
              <w:rPr>
                <w:rFonts w:ascii="Arial Narrow" w:hAnsi="Arial Narrow"/>
                <w:sz w:val="20"/>
                <w:szCs w:val="20"/>
              </w:rPr>
              <w:t xml:space="preserve"> </w:t>
            </w:r>
            <w:r w:rsidR="00EE39FD" w:rsidRPr="001F339C">
              <w:rPr>
                <w:rFonts w:ascii="Arial Narrow" w:hAnsi="Arial Narrow"/>
                <w:sz w:val="20"/>
                <w:szCs w:val="20"/>
              </w:rPr>
              <w:t>RSA</w:t>
            </w:r>
            <w:r w:rsidRPr="001F339C">
              <w:rPr>
                <w:rFonts w:ascii="Arial Narrow" w:hAnsi="Arial Narrow"/>
                <w:sz w:val="20"/>
                <w:szCs w:val="20"/>
              </w:rPr>
              <w:t xml:space="preserve"> may be required for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to address the risk of use beyond the proposed population and to address the uncertain financial estimates (paragraph 7.12</w:t>
            </w:r>
            <w:r w:rsidR="00C93311" w:rsidRPr="001F339C">
              <w:rPr>
                <w:rFonts w:ascii="Arial Narrow" w:hAnsi="Arial Narrow"/>
                <w:sz w:val="20"/>
                <w:szCs w:val="20"/>
              </w:rPr>
              <w:t xml:space="preserve">, </w:t>
            </w:r>
            <w:proofErr w:type="spellStart"/>
            <w:r w:rsidR="00530F0E" w:rsidRPr="001F339C">
              <w:rPr>
                <w:rFonts w:ascii="Arial Narrow" w:hAnsi="Arial Narrow"/>
                <w:sz w:val="20"/>
                <w:szCs w:val="20"/>
              </w:rPr>
              <w:t>Symbicort</w:t>
            </w:r>
            <w:proofErr w:type="spellEnd"/>
            <w:r w:rsidR="00530F0E" w:rsidRPr="001F339C">
              <w:rPr>
                <w:rFonts w:ascii="Arial Narrow" w:hAnsi="Arial Narrow"/>
                <w:sz w:val="20"/>
                <w:szCs w:val="20"/>
              </w:rPr>
              <w:t>, PSD</w:t>
            </w:r>
            <w:r w:rsidR="00C93311" w:rsidRPr="001F339C">
              <w:rPr>
                <w:rFonts w:ascii="Arial Narrow" w:hAnsi="Arial Narrow"/>
                <w:sz w:val="20"/>
                <w:szCs w:val="20"/>
              </w:rPr>
              <w:t>, July 2019 PBAC meeting</w:t>
            </w:r>
            <w:r w:rsidRPr="001F339C">
              <w:rPr>
                <w:rFonts w:ascii="Arial Narrow" w:hAnsi="Arial Narrow"/>
                <w:sz w:val="20"/>
                <w:szCs w:val="20"/>
              </w:rPr>
              <w:t>).</w:t>
            </w:r>
          </w:p>
          <w:p w:rsidR="00C07066" w:rsidRPr="001F339C" w:rsidRDefault="00C07066" w:rsidP="00350E65">
            <w:pPr>
              <w:rPr>
                <w:rFonts w:ascii="Arial Narrow" w:hAnsi="Arial Narrow"/>
                <w:sz w:val="20"/>
                <w:szCs w:val="20"/>
              </w:rPr>
            </w:pPr>
          </w:p>
        </w:tc>
        <w:tc>
          <w:tcPr>
            <w:tcW w:w="2015" w:type="pct"/>
            <w:tcBorders>
              <w:top w:val="single" w:sz="4" w:space="0" w:color="auto"/>
              <w:left w:val="single" w:sz="4" w:space="0" w:color="auto"/>
              <w:bottom w:val="single" w:sz="4" w:space="0" w:color="auto"/>
              <w:right w:val="single" w:sz="4" w:space="0" w:color="auto"/>
            </w:tcBorders>
          </w:tcPr>
          <w:p w:rsidR="00772038" w:rsidRPr="001F339C" w:rsidRDefault="00F66893" w:rsidP="00350E65">
            <w:pPr>
              <w:rPr>
                <w:rFonts w:ascii="Arial Narrow" w:hAnsi="Arial Narrow" w:cstheme="minorHAnsi"/>
                <w:sz w:val="20"/>
                <w:szCs w:val="20"/>
              </w:rPr>
            </w:pPr>
            <w:r w:rsidRPr="001F339C">
              <w:rPr>
                <w:rFonts w:ascii="Arial Narrow" w:hAnsi="Arial Narrow" w:cstheme="minorHAnsi"/>
                <w:sz w:val="20"/>
                <w:szCs w:val="20"/>
              </w:rPr>
              <w:lastRenderedPageBreak/>
              <w:t>A</w:t>
            </w:r>
            <w:r w:rsidR="00A16ECC" w:rsidRPr="001F339C">
              <w:rPr>
                <w:rFonts w:ascii="Arial Narrow" w:hAnsi="Arial Narrow" w:cstheme="minorHAnsi"/>
                <w:sz w:val="20"/>
                <w:szCs w:val="20"/>
              </w:rPr>
              <w:t>n</w:t>
            </w:r>
            <w:r w:rsidR="00772038" w:rsidRPr="001F339C">
              <w:rPr>
                <w:rFonts w:ascii="Arial Narrow" w:hAnsi="Arial Narrow" w:cstheme="minorHAnsi"/>
                <w:sz w:val="20"/>
                <w:szCs w:val="20"/>
              </w:rPr>
              <w:t xml:space="preserve"> RSA</w:t>
            </w:r>
            <w:r w:rsidRPr="001F339C">
              <w:rPr>
                <w:rFonts w:ascii="Arial Narrow" w:hAnsi="Arial Narrow" w:cstheme="minorHAnsi"/>
                <w:sz w:val="20"/>
                <w:szCs w:val="20"/>
              </w:rPr>
              <w:t xml:space="preserve"> proposed</w:t>
            </w:r>
            <w:r w:rsidR="00772038" w:rsidRPr="001F339C">
              <w:rPr>
                <w:rFonts w:ascii="Arial Narrow" w:hAnsi="Arial Narrow" w:cstheme="minorHAnsi"/>
                <w:sz w:val="20"/>
                <w:szCs w:val="20"/>
              </w:rPr>
              <w:t xml:space="preserve">. </w:t>
            </w:r>
          </w:p>
          <w:p w:rsidR="00772038" w:rsidRPr="001F339C" w:rsidRDefault="00772038" w:rsidP="00350E65">
            <w:pPr>
              <w:rPr>
                <w:rFonts w:ascii="Arial Narrow" w:hAnsi="Arial Narrow" w:cstheme="minorHAnsi"/>
                <w:sz w:val="20"/>
                <w:szCs w:val="20"/>
              </w:rPr>
            </w:pPr>
          </w:p>
          <w:p w:rsidR="00772038" w:rsidRPr="001F339C" w:rsidRDefault="00772038" w:rsidP="00C07066">
            <w:pPr>
              <w:rPr>
                <w:rFonts w:ascii="Arial Narrow" w:hAnsi="Arial Narrow" w:cstheme="minorHAnsi"/>
                <w:sz w:val="20"/>
                <w:szCs w:val="20"/>
              </w:rPr>
            </w:pPr>
          </w:p>
        </w:tc>
      </w:tr>
    </w:tbl>
    <w:p w:rsidR="00742B28" w:rsidRPr="001F339C" w:rsidRDefault="0052322E" w:rsidP="006332BE">
      <w:pPr>
        <w:snapToGrid w:val="0"/>
        <w:jc w:val="both"/>
        <w:rPr>
          <w:rFonts w:ascii="Arial Narrow" w:hAnsi="Arial Narrow" w:cs="Arial"/>
          <w:sz w:val="18"/>
          <w:szCs w:val="20"/>
          <w:lang w:eastAsia="en-US"/>
        </w:rPr>
      </w:pPr>
      <w:r w:rsidRPr="001F339C">
        <w:rPr>
          <w:rFonts w:ascii="Arial Narrow" w:hAnsi="Arial Narrow" w:cstheme="minorHAnsi"/>
          <w:sz w:val="20"/>
          <w:szCs w:val="20"/>
        </w:rPr>
        <w:t xml:space="preserve">CI = confidence intervals, </w:t>
      </w:r>
      <w:r w:rsidR="00742B28" w:rsidRPr="001F339C">
        <w:rPr>
          <w:rFonts w:ascii="Arial Narrow" w:hAnsi="Arial Narrow" w:cs="Arial"/>
          <w:sz w:val="18"/>
          <w:szCs w:val="20"/>
          <w:lang w:eastAsia="en-US"/>
        </w:rPr>
        <w:t>RSA = Risk sharing arrangement</w:t>
      </w:r>
      <w:r w:rsidRPr="001F339C">
        <w:rPr>
          <w:rFonts w:ascii="Arial Narrow" w:hAnsi="Arial Narrow" w:cs="Arial"/>
          <w:sz w:val="18"/>
          <w:szCs w:val="20"/>
          <w:lang w:eastAsia="en-US"/>
        </w:rPr>
        <w:t xml:space="preserve">, WCAW = </w:t>
      </w:r>
      <w:r w:rsidRPr="001F339C">
        <w:rPr>
          <w:rFonts w:ascii="Arial Narrow" w:hAnsi="Arial Narrow" w:cstheme="minorHAnsi"/>
          <w:sz w:val="20"/>
          <w:szCs w:val="20"/>
        </w:rPr>
        <w:t>Well Controlled Asthma Week</w:t>
      </w:r>
    </w:p>
    <w:p w:rsidR="006332BE" w:rsidRPr="001F339C" w:rsidRDefault="006332BE" w:rsidP="006332BE">
      <w:pPr>
        <w:snapToGrid w:val="0"/>
        <w:jc w:val="both"/>
        <w:rPr>
          <w:rFonts w:ascii="Arial Narrow" w:hAnsi="Arial Narrow" w:cs="Arial"/>
          <w:sz w:val="18"/>
          <w:szCs w:val="20"/>
          <w:lang w:eastAsia="en-US"/>
        </w:rPr>
      </w:pPr>
      <w:r w:rsidRPr="001F339C">
        <w:rPr>
          <w:rFonts w:ascii="Arial Narrow" w:hAnsi="Arial Narrow" w:cs="Arial"/>
          <w:sz w:val="18"/>
          <w:szCs w:val="20"/>
          <w:lang w:eastAsia="en-US"/>
        </w:rPr>
        <w:t xml:space="preserve">Source: </w:t>
      </w:r>
      <w:proofErr w:type="spellStart"/>
      <w:r w:rsidR="00530F0E" w:rsidRPr="001F339C">
        <w:rPr>
          <w:rFonts w:ascii="Arial Narrow" w:hAnsi="Arial Narrow"/>
          <w:sz w:val="18"/>
          <w:szCs w:val="18"/>
        </w:rPr>
        <w:t>Symbicort</w:t>
      </w:r>
      <w:proofErr w:type="spellEnd"/>
      <w:r w:rsidR="00530F0E" w:rsidRPr="001F339C">
        <w:rPr>
          <w:rFonts w:ascii="Arial Narrow" w:hAnsi="Arial Narrow"/>
          <w:sz w:val="18"/>
          <w:szCs w:val="18"/>
        </w:rPr>
        <w:t>, PSD</w:t>
      </w:r>
      <w:r w:rsidR="00C93311" w:rsidRPr="001F339C">
        <w:rPr>
          <w:rFonts w:ascii="Arial Narrow" w:hAnsi="Arial Narrow"/>
          <w:sz w:val="18"/>
          <w:szCs w:val="18"/>
        </w:rPr>
        <w:t>, July 2019 PBAC meeting</w:t>
      </w:r>
      <w:r w:rsidR="00F66893" w:rsidRPr="001F339C">
        <w:rPr>
          <w:rFonts w:ascii="Arial Narrow" w:hAnsi="Arial Narrow" w:cs="Arial"/>
          <w:sz w:val="18"/>
          <w:szCs w:val="20"/>
          <w:lang w:eastAsia="en-US"/>
        </w:rPr>
        <w:t xml:space="preserve">, </w:t>
      </w:r>
      <w:r w:rsidR="00772038" w:rsidRPr="001F339C">
        <w:rPr>
          <w:rFonts w:ascii="Arial Narrow" w:hAnsi="Arial Narrow" w:cs="Arial"/>
          <w:sz w:val="18"/>
          <w:szCs w:val="20"/>
          <w:lang w:eastAsia="en-US"/>
        </w:rPr>
        <w:t>Current minor resubmission. Compiled by the Secretariat.</w:t>
      </w:r>
      <w:r w:rsidRPr="001F339C">
        <w:rPr>
          <w:rFonts w:ascii="Arial Narrow" w:hAnsi="Arial Narrow" w:cs="Arial"/>
          <w:sz w:val="18"/>
          <w:szCs w:val="20"/>
          <w:lang w:eastAsia="en-US"/>
        </w:rPr>
        <w:t xml:space="preserve"> </w:t>
      </w:r>
    </w:p>
    <w:p w:rsidR="00772038" w:rsidRPr="001F339C" w:rsidRDefault="00772038" w:rsidP="005E0BE3">
      <w:pPr>
        <w:rPr>
          <w:lang w:eastAsia="en-US"/>
        </w:rPr>
      </w:pPr>
    </w:p>
    <w:p w:rsidR="002104AB" w:rsidRPr="001F339C" w:rsidRDefault="002104AB" w:rsidP="002104AB">
      <w:pPr>
        <w:pStyle w:val="ListParagraph"/>
        <w:ind w:left="709"/>
        <w:rPr>
          <w:rFonts w:asciiTheme="minorHAnsi" w:hAnsiTheme="minorHAnsi"/>
          <w:i/>
          <w:sz w:val="24"/>
          <w:szCs w:val="24"/>
        </w:rPr>
      </w:pPr>
      <w:r w:rsidRPr="001F339C">
        <w:rPr>
          <w:rFonts w:asciiTheme="minorHAnsi" w:hAnsiTheme="minorHAnsi"/>
          <w:i/>
          <w:sz w:val="24"/>
          <w:szCs w:val="24"/>
        </w:rPr>
        <w:t>For more detail on PBAC’s view, see section 5 PBAC outcome.</w:t>
      </w:r>
    </w:p>
    <w:p w:rsidR="000B558D" w:rsidRPr="001F339C" w:rsidRDefault="008D7A41" w:rsidP="0042222B">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1F339C">
        <w:rPr>
          <w:rFonts w:asciiTheme="minorHAnsi" w:hAnsiTheme="minorHAnsi"/>
          <w:sz w:val="32"/>
          <w:szCs w:val="32"/>
        </w:rPr>
        <w:t>C</w:t>
      </w:r>
      <w:r w:rsidR="00D84934" w:rsidRPr="001F339C">
        <w:rPr>
          <w:rFonts w:asciiTheme="minorHAnsi" w:hAnsiTheme="minorHAnsi"/>
          <w:sz w:val="32"/>
          <w:szCs w:val="32"/>
        </w:rPr>
        <w:t>onsideration of the evidence</w:t>
      </w:r>
    </w:p>
    <w:p w:rsidR="002104AB" w:rsidRPr="001F339C" w:rsidRDefault="002104AB" w:rsidP="00A76EAC">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Sponsor hearing</w:t>
      </w:r>
    </w:p>
    <w:p w:rsidR="002104AB" w:rsidRPr="001F339C" w:rsidRDefault="002104AB" w:rsidP="002104AB">
      <w:pPr>
        <w:widowControl w:val="0"/>
        <w:numPr>
          <w:ilvl w:val="1"/>
          <w:numId w:val="1"/>
        </w:numPr>
        <w:spacing w:after="120"/>
        <w:jc w:val="both"/>
        <w:rPr>
          <w:rFonts w:asciiTheme="minorHAnsi" w:hAnsiTheme="minorHAnsi" w:cs="Arial"/>
          <w:bCs/>
          <w:snapToGrid w:val="0"/>
        </w:rPr>
      </w:pPr>
      <w:r w:rsidRPr="001F339C">
        <w:rPr>
          <w:rFonts w:asciiTheme="minorHAnsi" w:hAnsiTheme="minorHAnsi" w:cs="Arial"/>
          <w:bCs/>
          <w:snapToGrid w:val="0"/>
        </w:rPr>
        <w:t>There was no hearing for this item as it was a minor submission.</w:t>
      </w:r>
    </w:p>
    <w:p w:rsidR="002104AB" w:rsidRPr="001F339C" w:rsidRDefault="002104AB" w:rsidP="00A76EAC">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Consumer comments</w:t>
      </w:r>
    </w:p>
    <w:p w:rsidR="00284BB4" w:rsidRPr="001F339C" w:rsidRDefault="00284BB4" w:rsidP="00284BB4">
      <w:pPr>
        <w:numPr>
          <w:ilvl w:val="1"/>
          <w:numId w:val="1"/>
        </w:numPr>
        <w:spacing w:after="120"/>
        <w:jc w:val="both"/>
        <w:rPr>
          <w:rFonts w:asciiTheme="minorHAnsi" w:hAnsiTheme="minorHAnsi"/>
          <w:bCs/>
        </w:rPr>
      </w:pPr>
      <w:r w:rsidRPr="001F339C">
        <w:rPr>
          <w:rFonts w:asciiTheme="minorHAnsi" w:hAnsiTheme="minorHAnsi"/>
          <w:bCs/>
        </w:rPr>
        <w:t xml:space="preserve">In July 2019, the PBAC noted </w:t>
      </w:r>
      <w:r w:rsidR="00C93311" w:rsidRPr="001F339C">
        <w:rPr>
          <w:rFonts w:asciiTheme="minorHAnsi" w:hAnsiTheme="minorHAnsi"/>
          <w:bCs/>
        </w:rPr>
        <w:t>and welcomed the input from individuals (1), health care professions (3) and organisations (3). S</w:t>
      </w:r>
      <w:r w:rsidR="005020AC" w:rsidRPr="001F339C">
        <w:rPr>
          <w:rFonts w:asciiTheme="minorHAnsi" w:hAnsiTheme="minorHAnsi"/>
          <w:bCs/>
        </w:rPr>
        <w:t>o</w:t>
      </w:r>
      <w:r w:rsidRPr="001F339C">
        <w:rPr>
          <w:rFonts w:asciiTheme="minorHAnsi" w:hAnsiTheme="minorHAnsi"/>
          <w:bCs/>
        </w:rPr>
        <w:t xml:space="preserve">me of the </w:t>
      </w:r>
      <w:r w:rsidR="00C93311" w:rsidRPr="001F339C">
        <w:rPr>
          <w:rFonts w:asciiTheme="minorHAnsi" w:hAnsiTheme="minorHAnsi"/>
          <w:bCs/>
        </w:rPr>
        <w:t xml:space="preserve">consumer </w:t>
      </w:r>
      <w:r w:rsidRPr="001F339C">
        <w:rPr>
          <w:rFonts w:asciiTheme="minorHAnsi" w:hAnsiTheme="minorHAnsi"/>
          <w:bCs/>
        </w:rPr>
        <w:t xml:space="preserve">comments described the benefits of treatment with </w:t>
      </w:r>
      <w:proofErr w:type="spellStart"/>
      <w:r w:rsidRPr="001F339C">
        <w:rPr>
          <w:rFonts w:asciiTheme="minorHAnsi" w:hAnsiTheme="minorHAnsi"/>
          <w:bCs/>
        </w:rPr>
        <w:t>Symbicort</w:t>
      </w:r>
      <w:proofErr w:type="spellEnd"/>
      <w:r w:rsidRPr="001F339C">
        <w:rPr>
          <w:rFonts w:asciiTheme="minorHAnsi" w:hAnsiTheme="minorHAnsi"/>
          <w:bCs/>
        </w:rPr>
        <w:t>, including less reliance on short-acting reliever therapy and better control of asthma symptoms. However,</w:t>
      </w:r>
      <w:r w:rsidR="00530F0E" w:rsidRPr="001F339C">
        <w:rPr>
          <w:rFonts w:asciiTheme="minorHAnsi" w:hAnsiTheme="minorHAnsi"/>
          <w:bCs/>
        </w:rPr>
        <w:t xml:space="preserve"> in July 2019</w:t>
      </w:r>
      <w:r w:rsidRPr="001F339C">
        <w:rPr>
          <w:rFonts w:asciiTheme="minorHAnsi" w:hAnsiTheme="minorHAnsi"/>
          <w:bCs/>
        </w:rPr>
        <w:t xml:space="preserve"> the PBAC also noted </w:t>
      </w:r>
      <w:r w:rsidR="008F2EB7" w:rsidRPr="001F339C">
        <w:rPr>
          <w:rFonts w:asciiTheme="minorHAnsi" w:hAnsiTheme="minorHAnsi"/>
          <w:bCs/>
        </w:rPr>
        <w:t xml:space="preserve">that </w:t>
      </w:r>
      <w:r w:rsidRPr="001F339C">
        <w:rPr>
          <w:rFonts w:asciiTheme="minorHAnsi" w:hAnsiTheme="minorHAnsi"/>
          <w:bCs/>
        </w:rPr>
        <w:t xml:space="preserve">Asthma Australia raised concerns </w:t>
      </w:r>
      <w:r w:rsidR="008F2EB7" w:rsidRPr="001F339C">
        <w:rPr>
          <w:rFonts w:asciiTheme="minorHAnsi" w:hAnsiTheme="minorHAnsi"/>
          <w:bCs/>
        </w:rPr>
        <w:t xml:space="preserve">regarding </w:t>
      </w:r>
      <w:r w:rsidRPr="001F339C">
        <w:rPr>
          <w:rFonts w:asciiTheme="minorHAnsi" w:hAnsiTheme="minorHAnsi"/>
          <w:bCs/>
        </w:rPr>
        <w:t>how the requested listing would be implemented in practice</w:t>
      </w:r>
      <w:r w:rsidR="008F2EB7" w:rsidRPr="001F339C">
        <w:rPr>
          <w:rFonts w:asciiTheme="minorHAnsi" w:hAnsiTheme="minorHAnsi"/>
          <w:bCs/>
        </w:rPr>
        <w:t xml:space="preserve"> – p</w:t>
      </w:r>
      <w:r w:rsidRPr="001F339C">
        <w:rPr>
          <w:rFonts w:asciiTheme="minorHAnsi" w:hAnsiTheme="minorHAnsi"/>
          <w:bCs/>
        </w:rPr>
        <w:t>articularly</w:t>
      </w:r>
      <w:r w:rsidR="008F2EB7" w:rsidRPr="001F339C">
        <w:rPr>
          <w:rFonts w:asciiTheme="minorHAnsi" w:hAnsiTheme="minorHAnsi"/>
          <w:bCs/>
        </w:rPr>
        <w:t xml:space="preserve"> </w:t>
      </w:r>
      <w:r w:rsidRPr="001F339C">
        <w:rPr>
          <w:rFonts w:asciiTheme="minorHAnsi" w:hAnsiTheme="minorHAnsi"/>
          <w:bCs/>
        </w:rPr>
        <w:t xml:space="preserve">whether </w:t>
      </w:r>
      <w:proofErr w:type="spellStart"/>
      <w:r w:rsidRPr="001F339C">
        <w:rPr>
          <w:rFonts w:asciiTheme="minorHAnsi" w:hAnsiTheme="minorHAnsi"/>
          <w:bCs/>
        </w:rPr>
        <w:t>Symbicort</w:t>
      </w:r>
      <w:proofErr w:type="spellEnd"/>
      <w:r w:rsidRPr="001F339C">
        <w:rPr>
          <w:rFonts w:asciiTheme="minorHAnsi" w:hAnsiTheme="minorHAnsi"/>
          <w:bCs/>
        </w:rPr>
        <w:t xml:space="preserve"> would be used first line in place of SABA and concerns around ‘as needed’ use and the potential for increased ICS exposure in adolescents</w:t>
      </w:r>
      <w:r w:rsidR="00C93311" w:rsidRPr="001F339C">
        <w:rPr>
          <w:rFonts w:asciiTheme="minorHAnsi" w:hAnsiTheme="minorHAnsi"/>
          <w:bCs/>
        </w:rPr>
        <w:t xml:space="preserve"> (paragraph 6.2, </w:t>
      </w:r>
      <w:proofErr w:type="spellStart"/>
      <w:r w:rsidR="00C93311" w:rsidRPr="001F339C">
        <w:rPr>
          <w:rFonts w:asciiTheme="minorHAnsi" w:hAnsiTheme="minorHAnsi"/>
          <w:bCs/>
        </w:rPr>
        <w:t>Symbicort</w:t>
      </w:r>
      <w:proofErr w:type="spellEnd"/>
      <w:r w:rsidR="00C93311" w:rsidRPr="001F339C">
        <w:rPr>
          <w:rFonts w:asciiTheme="minorHAnsi" w:hAnsiTheme="minorHAnsi"/>
          <w:bCs/>
        </w:rPr>
        <w:t xml:space="preserve">, </w:t>
      </w:r>
      <w:r w:rsidR="00530F0E" w:rsidRPr="001F339C">
        <w:rPr>
          <w:rFonts w:asciiTheme="minorHAnsi" w:hAnsiTheme="minorHAnsi"/>
          <w:bCs/>
        </w:rPr>
        <w:t>PSD</w:t>
      </w:r>
      <w:r w:rsidR="00C93311" w:rsidRPr="001F339C">
        <w:rPr>
          <w:rFonts w:asciiTheme="minorHAnsi" w:hAnsiTheme="minorHAnsi"/>
          <w:bCs/>
        </w:rPr>
        <w:t>, July 2019 PBAC meeting)</w:t>
      </w:r>
      <w:r w:rsidR="001F339C">
        <w:rPr>
          <w:rFonts w:asciiTheme="minorHAnsi" w:hAnsiTheme="minorHAnsi"/>
          <w:bCs/>
        </w:rPr>
        <w:t xml:space="preserve">. </w:t>
      </w:r>
    </w:p>
    <w:p w:rsidR="005020AC" w:rsidRPr="001F339C" w:rsidRDefault="005020AC" w:rsidP="005020AC">
      <w:pPr>
        <w:numPr>
          <w:ilvl w:val="1"/>
          <w:numId w:val="1"/>
        </w:numPr>
        <w:spacing w:after="120"/>
        <w:jc w:val="both"/>
        <w:rPr>
          <w:rFonts w:asciiTheme="minorHAnsi" w:hAnsiTheme="minorHAnsi"/>
          <w:bCs/>
        </w:rPr>
      </w:pPr>
      <w:r w:rsidRPr="008922C6">
        <w:rPr>
          <w:rFonts w:asciiTheme="minorHAnsi" w:hAnsiTheme="minorHAnsi"/>
          <w:bCs/>
        </w:rPr>
        <w:t xml:space="preserve">For the current resubmission, the PBAC noted and welcomed the input from individuals (1), health care professionals (1) and organisations (3). The PBAC also noted that all three </w:t>
      </w:r>
      <w:r w:rsidR="00F162E3" w:rsidRPr="001F339C">
        <w:rPr>
          <w:rFonts w:asciiTheme="minorHAnsi" w:hAnsiTheme="minorHAnsi"/>
          <w:bCs/>
        </w:rPr>
        <w:t xml:space="preserve">asthma related </w:t>
      </w:r>
      <w:r w:rsidRPr="001F339C">
        <w:rPr>
          <w:rFonts w:asciiTheme="minorHAnsi" w:hAnsiTheme="minorHAnsi"/>
          <w:bCs/>
        </w:rPr>
        <w:t xml:space="preserve">organisations </w:t>
      </w:r>
      <w:r w:rsidR="00530F0E" w:rsidRPr="001F339C">
        <w:rPr>
          <w:rFonts w:asciiTheme="minorHAnsi" w:hAnsiTheme="minorHAnsi"/>
          <w:bCs/>
        </w:rPr>
        <w:t>providing comments (NAC</w:t>
      </w:r>
      <w:r w:rsidR="00F162E3" w:rsidRPr="001F339C">
        <w:rPr>
          <w:rFonts w:asciiTheme="minorHAnsi" w:hAnsiTheme="minorHAnsi"/>
          <w:bCs/>
        </w:rPr>
        <w:t xml:space="preserve">, Asthma Australia and The Lung Foundation) </w:t>
      </w:r>
      <w:r w:rsidRPr="001F339C">
        <w:rPr>
          <w:rFonts w:asciiTheme="minorHAnsi" w:hAnsiTheme="minorHAnsi"/>
          <w:bCs/>
        </w:rPr>
        <w:t>were supportive of the listing</w:t>
      </w:r>
      <w:r w:rsidR="00F162E3" w:rsidRPr="001F339C">
        <w:rPr>
          <w:rFonts w:asciiTheme="minorHAnsi" w:hAnsiTheme="minorHAnsi"/>
          <w:bCs/>
        </w:rPr>
        <w:t xml:space="preserve">. Asthma Australia </w:t>
      </w:r>
      <w:r w:rsidR="00D14AEA" w:rsidRPr="001F339C">
        <w:rPr>
          <w:rFonts w:asciiTheme="minorHAnsi" w:hAnsiTheme="minorHAnsi"/>
          <w:bCs/>
        </w:rPr>
        <w:t xml:space="preserve">and health care professional input </w:t>
      </w:r>
      <w:r w:rsidR="00F162E3" w:rsidRPr="001F339C">
        <w:rPr>
          <w:rFonts w:asciiTheme="minorHAnsi" w:hAnsiTheme="minorHAnsi"/>
          <w:bCs/>
        </w:rPr>
        <w:t>acknowledged the evidence from the SYGMA 1, SYGMA 2, Novel START</w:t>
      </w:r>
      <w:r w:rsidR="00A7506D" w:rsidRPr="001F339C">
        <w:rPr>
          <w:rStyle w:val="FootnoteReference"/>
          <w:rFonts w:asciiTheme="minorHAnsi" w:hAnsiTheme="minorHAnsi"/>
          <w:bCs/>
        </w:rPr>
        <w:footnoteReference w:id="1"/>
      </w:r>
      <w:r w:rsidR="00F162E3" w:rsidRPr="001F339C">
        <w:rPr>
          <w:rFonts w:asciiTheme="minorHAnsi" w:hAnsiTheme="minorHAnsi"/>
          <w:bCs/>
        </w:rPr>
        <w:t xml:space="preserve"> and PRACTICAL</w:t>
      </w:r>
      <w:r w:rsidR="00A7506D" w:rsidRPr="001F339C">
        <w:rPr>
          <w:rStyle w:val="FootnoteReference"/>
          <w:rFonts w:asciiTheme="minorHAnsi" w:hAnsiTheme="minorHAnsi"/>
          <w:bCs/>
        </w:rPr>
        <w:footnoteReference w:id="2"/>
      </w:r>
      <w:r w:rsidR="00F162E3" w:rsidRPr="001F339C">
        <w:rPr>
          <w:rFonts w:asciiTheme="minorHAnsi" w:hAnsiTheme="minorHAnsi"/>
          <w:bCs/>
        </w:rPr>
        <w:t xml:space="preserve"> trials underpinning the </w:t>
      </w:r>
      <w:proofErr w:type="spellStart"/>
      <w:r w:rsidR="00F162E3" w:rsidRPr="001F339C">
        <w:rPr>
          <w:rFonts w:asciiTheme="minorHAnsi" w:hAnsiTheme="minorHAnsi"/>
          <w:bCs/>
        </w:rPr>
        <w:t>Symbicort</w:t>
      </w:r>
      <w:proofErr w:type="spellEnd"/>
      <w:r w:rsidR="00F162E3" w:rsidRPr="001F339C">
        <w:rPr>
          <w:rFonts w:asciiTheme="minorHAnsi" w:hAnsiTheme="minorHAnsi"/>
          <w:bCs/>
        </w:rPr>
        <w:t xml:space="preserve"> mild </w:t>
      </w:r>
      <w:r w:rsidR="00F162E3" w:rsidRPr="001F339C">
        <w:rPr>
          <w:rFonts w:asciiTheme="minorHAnsi" w:hAnsiTheme="minorHAnsi"/>
          <w:bCs/>
        </w:rPr>
        <w:lastRenderedPageBreak/>
        <w:t>asthma protocol</w:t>
      </w:r>
      <w:r w:rsidR="0017673F" w:rsidRPr="001F339C">
        <w:rPr>
          <w:rFonts w:asciiTheme="minorHAnsi" w:hAnsiTheme="minorHAnsi"/>
          <w:bCs/>
        </w:rPr>
        <w:t xml:space="preserve">, although </w:t>
      </w:r>
      <w:r w:rsidR="00D14AEA" w:rsidRPr="001F339C">
        <w:rPr>
          <w:rFonts w:asciiTheme="minorHAnsi" w:hAnsiTheme="minorHAnsi"/>
          <w:bCs/>
        </w:rPr>
        <w:t xml:space="preserve">Asthma Australia </w:t>
      </w:r>
      <w:r w:rsidR="0017673F" w:rsidRPr="001F339C">
        <w:rPr>
          <w:rFonts w:asciiTheme="minorHAnsi" w:hAnsiTheme="minorHAnsi"/>
          <w:bCs/>
        </w:rPr>
        <w:t>suggested the weight of evidence supports use in people &gt; 18 years</w:t>
      </w:r>
      <w:r w:rsidR="00F162E3" w:rsidRPr="008922C6">
        <w:rPr>
          <w:rFonts w:asciiTheme="minorHAnsi" w:hAnsiTheme="minorHAnsi"/>
          <w:bCs/>
        </w:rPr>
        <w:t xml:space="preserve">. </w:t>
      </w:r>
      <w:r w:rsidRPr="008922C6">
        <w:rPr>
          <w:rFonts w:asciiTheme="minorHAnsi" w:hAnsiTheme="minorHAnsi"/>
          <w:bCs/>
        </w:rPr>
        <w:t xml:space="preserve">Asthma Australia </w:t>
      </w:r>
      <w:r w:rsidR="0017673F" w:rsidRPr="008922C6">
        <w:rPr>
          <w:rFonts w:asciiTheme="minorHAnsi" w:hAnsiTheme="minorHAnsi"/>
          <w:bCs/>
        </w:rPr>
        <w:t xml:space="preserve">also </w:t>
      </w:r>
      <w:r w:rsidRPr="001F339C">
        <w:rPr>
          <w:rFonts w:asciiTheme="minorHAnsi" w:hAnsiTheme="minorHAnsi"/>
          <w:bCs/>
        </w:rPr>
        <w:t>highlight</w:t>
      </w:r>
      <w:r w:rsidR="00F162E3" w:rsidRPr="001F339C">
        <w:rPr>
          <w:rFonts w:asciiTheme="minorHAnsi" w:hAnsiTheme="minorHAnsi"/>
          <w:bCs/>
        </w:rPr>
        <w:t>ed</w:t>
      </w:r>
      <w:r w:rsidRPr="001F339C">
        <w:rPr>
          <w:rFonts w:asciiTheme="minorHAnsi" w:hAnsiTheme="minorHAnsi"/>
          <w:bCs/>
        </w:rPr>
        <w:t xml:space="preserve"> the need for proper education of prescribers, dispensers and consumers including updated asthma management plans</w:t>
      </w:r>
      <w:r w:rsidR="00F162E3" w:rsidRPr="001F339C">
        <w:rPr>
          <w:rFonts w:asciiTheme="minorHAnsi" w:hAnsiTheme="minorHAnsi"/>
          <w:bCs/>
        </w:rPr>
        <w:t xml:space="preserve"> to assist implementation in practice</w:t>
      </w:r>
      <w:r w:rsidRPr="001F339C">
        <w:rPr>
          <w:rFonts w:asciiTheme="minorHAnsi" w:hAnsiTheme="minorHAnsi"/>
          <w:bCs/>
        </w:rPr>
        <w:t>.</w:t>
      </w:r>
      <w:r w:rsidR="00A7506D" w:rsidRPr="001F339C">
        <w:rPr>
          <w:rFonts w:asciiTheme="minorHAnsi" w:hAnsiTheme="minorHAnsi"/>
          <w:bCs/>
        </w:rPr>
        <w:t xml:space="preserve"> </w:t>
      </w:r>
      <w:r w:rsidR="0017673F" w:rsidRPr="001F339C">
        <w:rPr>
          <w:rFonts w:asciiTheme="minorHAnsi" w:hAnsiTheme="minorHAnsi"/>
          <w:bCs/>
        </w:rPr>
        <w:t xml:space="preserve">The pre-PBAC </w:t>
      </w:r>
      <w:proofErr w:type="gramStart"/>
      <w:r w:rsidR="0017673F" w:rsidRPr="001F339C">
        <w:rPr>
          <w:rFonts w:asciiTheme="minorHAnsi" w:hAnsiTheme="minorHAnsi"/>
          <w:bCs/>
        </w:rPr>
        <w:t>response  agreed</w:t>
      </w:r>
      <w:proofErr w:type="gramEnd"/>
      <w:r w:rsidR="0017673F" w:rsidRPr="001F339C">
        <w:rPr>
          <w:rFonts w:asciiTheme="minorHAnsi" w:hAnsiTheme="minorHAnsi"/>
          <w:bCs/>
        </w:rPr>
        <w:t xml:space="preserve"> with Asthma Australia regarding the importance of education activities and outlined proposed quality use of medicines initiatives to support the use of </w:t>
      </w:r>
      <w:proofErr w:type="spellStart"/>
      <w:r w:rsidR="0017673F" w:rsidRPr="001F339C">
        <w:rPr>
          <w:rFonts w:asciiTheme="minorHAnsi" w:hAnsiTheme="minorHAnsi"/>
          <w:bCs/>
        </w:rPr>
        <w:t>Symbicort</w:t>
      </w:r>
      <w:proofErr w:type="spellEnd"/>
      <w:r w:rsidR="0017673F" w:rsidRPr="001F339C">
        <w:rPr>
          <w:rFonts w:asciiTheme="minorHAnsi" w:hAnsiTheme="minorHAnsi"/>
          <w:bCs/>
        </w:rPr>
        <w:t xml:space="preserve">. The pre-PBAC response also stated that the safety and efficacy of </w:t>
      </w:r>
      <w:proofErr w:type="spellStart"/>
      <w:r w:rsidR="0017673F" w:rsidRPr="001F339C">
        <w:rPr>
          <w:rFonts w:asciiTheme="minorHAnsi" w:hAnsiTheme="minorHAnsi"/>
          <w:bCs/>
        </w:rPr>
        <w:t>Symbicort</w:t>
      </w:r>
      <w:proofErr w:type="spellEnd"/>
      <w:r w:rsidR="0017673F" w:rsidRPr="001F339C">
        <w:rPr>
          <w:rFonts w:asciiTheme="minorHAnsi" w:hAnsiTheme="minorHAnsi"/>
          <w:bCs/>
        </w:rPr>
        <w:t xml:space="preserve"> in adolescent patients (aged 12 to 17 years) has been established in the course of the TGA registration process for both the existing maintenance therapy indication and for anti-inflammatory reliever therapy. </w:t>
      </w:r>
    </w:p>
    <w:p w:rsidR="00977BF3" w:rsidRPr="001F339C" w:rsidRDefault="005A3173" w:rsidP="007C05D6">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Clinical claim</w:t>
      </w:r>
    </w:p>
    <w:p w:rsidR="007C05D6" w:rsidRPr="001F339C" w:rsidRDefault="00FF2801" w:rsidP="00742B28">
      <w:pPr>
        <w:pStyle w:val="3Bodytext"/>
        <w:jc w:val="both"/>
        <w:rPr>
          <w:rFonts w:cstheme="minorHAnsi"/>
        </w:rPr>
      </w:pPr>
      <w:r w:rsidRPr="001F339C">
        <w:t xml:space="preserve">The </w:t>
      </w:r>
      <w:r w:rsidR="007C05D6" w:rsidRPr="001F339C">
        <w:t xml:space="preserve">July 2019 major </w:t>
      </w:r>
      <w:r w:rsidRPr="001F339C">
        <w:t>submission claimed</w:t>
      </w:r>
      <w:r w:rsidR="007C05D6" w:rsidRPr="001F339C">
        <w:t xml:space="preserve"> that </w:t>
      </w:r>
      <w:proofErr w:type="spellStart"/>
      <w:r w:rsidR="007C05D6" w:rsidRPr="001F339C">
        <w:t>Symbicort</w:t>
      </w:r>
      <w:proofErr w:type="spellEnd"/>
      <w:r w:rsidR="007C05D6" w:rsidRPr="001F339C">
        <w:t xml:space="preserve"> used as an anti-inflammatory reliever, as needed, </w:t>
      </w:r>
      <w:r w:rsidR="0096273B" w:rsidRPr="001F339C">
        <w:t xml:space="preserve">in </w:t>
      </w:r>
      <w:r w:rsidR="007C05D6" w:rsidRPr="001F339C">
        <w:t>patients with mild asthma is equivalent (i.e. non-inferior) to ICS+SABA in terms of comparative effectiveness and comparative safety</w:t>
      </w:r>
      <w:r w:rsidR="00C50199" w:rsidRPr="001F339C">
        <w:t xml:space="preserve"> (paragraph 6.35</w:t>
      </w:r>
      <w:r w:rsidR="001952D2" w:rsidRPr="001F339C">
        <w:t xml:space="preserve">, </w:t>
      </w:r>
      <w:proofErr w:type="spellStart"/>
      <w:r w:rsidR="001952D2" w:rsidRPr="001F339C">
        <w:t>Symbicort</w:t>
      </w:r>
      <w:proofErr w:type="spellEnd"/>
      <w:r w:rsidR="001952D2" w:rsidRPr="001F339C">
        <w:t xml:space="preserve">, </w:t>
      </w:r>
      <w:r w:rsidR="00530F0E" w:rsidRPr="001F339C">
        <w:t>PSD</w:t>
      </w:r>
      <w:r w:rsidR="001952D2" w:rsidRPr="001F339C">
        <w:t>, July 2019 PBAC meeting</w:t>
      </w:r>
      <w:r w:rsidR="00C50199" w:rsidRPr="001F339C">
        <w:t xml:space="preserve">). </w:t>
      </w:r>
      <w:r w:rsidR="00530F0E" w:rsidRPr="001F339C">
        <w:t>At that time, w</w:t>
      </w:r>
      <w:r w:rsidR="007C05D6" w:rsidRPr="001F339C">
        <w:t>hile the PBAC considered the claim of comparable safety versus ICS+SABA as needed to be reasonable, they considered that the claim of non-inferior comparative effectiveness versus ICS+SABA was uncertain</w:t>
      </w:r>
      <w:r w:rsidR="00CB1F3A" w:rsidRPr="001F339C">
        <w:t xml:space="preserve">, </w:t>
      </w:r>
      <w:r w:rsidR="007C05D6" w:rsidRPr="001F339C">
        <w:t xml:space="preserve">due to concerns with the results reported for severe asthma exacerbations and Well </w:t>
      </w:r>
      <w:r w:rsidR="00CB1F3A" w:rsidRPr="001F339C">
        <w:t>Controlled Asthma Weeks (WCAW)</w:t>
      </w:r>
      <w:r w:rsidR="00C50199" w:rsidRPr="001F339C">
        <w:t xml:space="preserve"> (paragraphs 7.7 and 7.8</w:t>
      </w:r>
      <w:r w:rsidR="0017673F" w:rsidRPr="001F339C">
        <w:t xml:space="preserve">, </w:t>
      </w:r>
      <w:proofErr w:type="spellStart"/>
      <w:r w:rsidR="0017673F" w:rsidRPr="001F339C">
        <w:rPr>
          <w:bCs/>
        </w:rPr>
        <w:t>Symbicort</w:t>
      </w:r>
      <w:proofErr w:type="spellEnd"/>
      <w:r w:rsidR="0017673F" w:rsidRPr="001F339C">
        <w:rPr>
          <w:bCs/>
        </w:rPr>
        <w:t xml:space="preserve">, </w:t>
      </w:r>
      <w:r w:rsidR="00530F0E" w:rsidRPr="001F339C">
        <w:rPr>
          <w:bCs/>
        </w:rPr>
        <w:t>PSD</w:t>
      </w:r>
      <w:r w:rsidR="0017673F" w:rsidRPr="001F339C">
        <w:rPr>
          <w:bCs/>
        </w:rPr>
        <w:t>, July 2019 PBAC meeting</w:t>
      </w:r>
      <w:r w:rsidR="00C50199" w:rsidRPr="001F339C">
        <w:t xml:space="preserve">). </w:t>
      </w:r>
    </w:p>
    <w:p w:rsidR="00C50199" w:rsidRPr="001F339C" w:rsidRDefault="00DE3BEB" w:rsidP="00BF36F6">
      <w:pPr>
        <w:pStyle w:val="Bodytextitalics"/>
        <w:numPr>
          <w:ilvl w:val="0"/>
          <w:numId w:val="0"/>
        </w:numPr>
        <w:ind w:left="720" w:hanging="720"/>
        <w:jc w:val="both"/>
        <w:rPr>
          <w:i w:val="0"/>
        </w:rPr>
      </w:pPr>
      <w:r w:rsidRPr="001F339C">
        <w:rPr>
          <w:i w:val="0"/>
          <w:u w:val="single"/>
        </w:rPr>
        <w:t>Well-Controlled Asthma Weeks (WCAW)</w:t>
      </w:r>
      <w:r w:rsidR="00C50199" w:rsidRPr="001F339C">
        <w:rPr>
          <w:i w:val="0"/>
        </w:rPr>
        <w:t xml:space="preserve"> </w:t>
      </w:r>
    </w:p>
    <w:p w:rsidR="00B9143E" w:rsidRPr="001F339C" w:rsidRDefault="00144227" w:rsidP="00742B28">
      <w:pPr>
        <w:pStyle w:val="3Bodytext"/>
        <w:jc w:val="both"/>
      </w:pPr>
      <w:r w:rsidRPr="001F339C">
        <w:t xml:space="preserve">The </w:t>
      </w:r>
      <w:r w:rsidR="00EE6396" w:rsidRPr="001F339C">
        <w:t>resubmission stat</w:t>
      </w:r>
      <w:r w:rsidR="000202D4" w:rsidRPr="001F339C">
        <w:t>ed</w:t>
      </w:r>
      <w:r w:rsidR="00EE6396" w:rsidRPr="001F339C">
        <w:t xml:space="preserve"> that the WCAW measure inherently biases against </w:t>
      </w:r>
      <w:proofErr w:type="spellStart"/>
      <w:r w:rsidR="00EE6396" w:rsidRPr="001F339C">
        <w:t>Symbicort</w:t>
      </w:r>
      <w:proofErr w:type="spellEnd"/>
      <w:r w:rsidR="00EE6396" w:rsidRPr="001F339C">
        <w:t xml:space="preserve"> when comparing to ICS+SABA</w:t>
      </w:r>
      <w:r w:rsidR="00B9143E" w:rsidRPr="001F339C">
        <w:t xml:space="preserve"> and hence the results of this symptom control endpoint must be interpreted with caution. The resubmission noted that, by definition, under the treatment regimen ‘as needed’ </w:t>
      </w:r>
      <w:proofErr w:type="spellStart"/>
      <w:r w:rsidR="00B9143E" w:rsidRPr="001F339C">
        <w:t>Symbicort</w:t>
      </w:r>
      <w:proofErr w:type="spellEnd"/>
      <w:r w:rsidR="00B9143E" w:rsidRPr="001F339C">
        <w:t xml:space="preserve"> is not taken unless a patient experiences symptoms. The resubmission argued that amongst the WCAW components, the largest difference between </w:t>
      </w:r>
      <w:proofErr w:type="spellStart"/>
      <w:r w:rsidR="00B9143E" w:rsidRPr="001F339C">
        <w:t>Symbicort</w:t>
      </w:r>
      <w:proofErr w:type="spellEnd"/>
      <w:r w:rsidR="00B9143E" w:rsidRPr="001F339C">
        <w:t xml:space="preserve"> and ICS+SABA arms was seen for the as-needed medication use component, in favour of ICS+SABA. Hence, the treatment comparison between </w:t>
      </w:r>
      <w:proofErr w:type="spellStart"/>
      <w:r w:rsidR="00B9143E" w:rsidRPr="001F339C">
        <w:t>Symbicort</w:t>
      </w:r>
      <w:proofErr w:type="spellEnd"/>
      <w:r w:rsidR="00B9143E" w:rsidRPr="001F339C">
        <w:t xml:space="preserve"> and ICS+SABA on the WCAW is more of a reflection of the different treatment regimens.</w:t>
      </w:r>
      <w:r w:rsidR="00F12701" w:rsidRPr="001F339C">
        <w:t xml:space="preserve"> </w:t>
      </w:r>
      <w:r w:rsidR="00655021" w:rsidRPr="001F339C">
        <w:t xml:space="preserve">At its July 2019 meeting </w:t>
      </w:r>
      <w:r w:rsidR="00655021" w:rsidRPr="001F339C">
        <w:rPr>
          <w:rFonts w:ascii="Calibri" w:hAnsi="Calibri" w:cs="Calibri"/>
          <w:szCs w:val="24"/>
        </w:rPr>
        <w:t xml:space="preserve">the PBAC noted that a pre-planned additional analysis that removed the ‘as needed’ component from the WCAW composite measure still favoured ICS+SABA over </w:t>
      </w:r>
      <w:proofErr w:type="spellStart"/>
      <w:r w:rsidR="00655021" w:rsidRPr="001F339C">
        <w:rPr>
          <w:rFonts w:ascii="Calibri" w:hAnsi="Calibri" w:cs="Calibri"/>
          <w:szCs w:val="24"/>
        </w:rPr>
        <w:t>Symbicort</w:t>
      </w:r>
      <w:proofErr w:type="spellEnd"/>
      <w:r w:rsidR="00655021" w:rsidRPr="001F339C">
        <w:rPr>
          <w:rFonts w:ascii="Calibri" w:hAnsi="Calibri" w:cs="Calibri"/>
          <w:szCs w:val="24"/>
        </w:rPr>
        <w:t xml:space="preserve">. </w:t>
      </w:r>
      <w:r w:rsidR="00192846" w:rsidRPr="001F339C">
        <w:rPr>
          <w:rFonts w:ascii="Calibri" w:hAnsi="Calibri" w:cs="Calibri"/>
          <w:szCs w:val="24"/>
        </w:rPr>
        <w:t>At that time, t</w:t>
      </w:r>
      <w:r w:rsidR="00655021" w:rsidRPr="001F339C">
        <w:rPr>
          <w:rFonts w:ascii="Calibri" w:hAnsi="Calibri" w:cs="Calibri"/>
          <w:szCs w:val="24"/>
        </w:rPr>
        <w:t xml:space="preserve">he PBAC noted that only a post-hoc analysis where the first two inhalations used ‘as needed’ per day were not counted (i.e. the inhalations were included as if they had been taken as maintenance doses) showed comparable results between </w:t>
      </w:r>
      <w:proofErr w:type="spellStart"/>
      <w:r w:rsidR="00655021" w:rsidRPr="001F339C">
        <w:rPr>
          <w:rFonts w:ascii="Calibri" w:hAnsi="Calibri" w:cs="Calibri"/>
          <w:szCs w:val="24"/>
        </w:rPr>
        <w:t>Symbicort</w:t>
      </w:r>
      <w:proofErr w:type="spellEnd"/>
      <w:r w:rsidR="00655021" w:rsidRPr="001F339C">
        <w:rPr>
          <w:rFonts w:ascii="Calibri" w:hAnsi="Calibri" w:cs="Calibri"/>
          <w:szCs w:val="24"/>
        </w:rPr>
        <w:t xml:space="preserve"> and ICS+SABA (paragraph 6.23</w:t>
      </w:r>
      <w:r w:rsidR="000202D4" w:rsidRPr="001F339C">
        <w:rPr>
          <w:rFonts w:ascii="Calibri" w:hAnsi="Calibri" w:cs="Calibri"/>
          <w:szCs w:val="24"/>
        </w:rPr>
        <w:t>,</w:t>
      </w:r>
      <w:r w:rsidR="000202D4" w:rsidRPr="001F339C">
        <w:rPr>
          <w:bCs/>
        </w:rPr>
        <w:t xml:space="preserve"> </w:t>
      </w:r>
      <w:proofErr w:type="spellStart"/>
      <w:r w:rsidR="00530F0E" w:rsidRPr="001F339C">
        <w:rPr>
          <w:bCs/>
        </w:rPr>
        <w:t>Symbicort</w:t>
      </w:r>
      <w:proofErr w:type="spellEnd"/>
      <w:r w:rsidR="00530F0E" w:rsidRPr="001F339C">
        <w:rPr>
          <w:bCs/>
        </w:rPr>
        <w:t>, PSD</w:t>
      </w:r>
      <w:r w:rsidR="000202D4" w:rsidRPr="001F339C">
        <w:rPr>
          <w:bCs/>
        </w:rPr>
        <w:t>, July 2019 PBAC meeting</w:t>
      </w:r>
      <w:r w:rsidR="00655021" w:rsidRPr="001F339C">
        <w:rPr>
          <w:rFonts w:ascii="Calibri" w:hAnsi="Calibri" w:cs="Calibri"/>
          <w:szCs w:val="24"/>
        </w:rPr>
        <w:t>)</w:t>
      </w:r>
      <w:r w:rsidR="001F339C">
        <w:rPr>
          <w:rFonts w:ascii="Calibri" w:hAnsi="Calibri" w:cs="Calibri"/>
          <w:szCs w:val="24"/>
        </w:rPr>
        <w:t xml:space="preserve">. </w:t>
      </w:r>
    </w:p>
    <w:p w:rsidR="00192846" w:rsidRPr="001F339C" w:rsidRDefault="00192846" w:rsidP="00742B28">
      <w:pPr>
        <w:pStyle w:val="3Bodytext"/>
        <w:jc w:val="both"/>
      </w:pPr>
      <w:r w:rsidRPr="008922C6">
        <w:t xml:space="preserve">The PBAC recalled that in the SYGMA 1 trial, </w:t>
      </w:r>
      <w:proofErr w:type="spellStart"/>
      <w:r w:rsidRPr="008922C6">
        <w:t>Symbicort</w:t>
      </w:r>
      <w:proofErr w:type="spellEnd"/>
      <w:r w:rsidRPr="008922C6">
        <w:t xml:space="preserve"> had 36% lower odds of achieving a WCAW compared </w:t>
      </w:r>
      <w:r w:rsidR="00A023FC" w:rsidRPr="008922C6">
        <w:t>with</w:t>
      </w:r>
      <w:r w:rsidRPr="008922C6">
        <w:t xml:space="preserve"> ICS+SABA during the study</w:t>
      </w:r>
      <w:r w:rsidRPr="001F339C">
        <w:t xml:space="preserve"> period (34.4% vs. 44.4%, Odds Ratio (OR) 0.64, 95 CI: 0.57,0.73)</w:t>
      </w:r>
      <w:r w:rsidRPr="001F339C">
        <w:rPr>
          <w:rFonts w:ascii="Calibri" w:hAnsi="Calibri" w:cs="Calibri"/>
          <w:szCs w:val="24"/>
        </w:rPr>
        <w:t>(paragraph 6.23,</w:t>
      </w:r>
      <w:r w:rsidRPr="001F339C">
        <w:rPr>
          <w:bCs/>
        </w:rPr>
        <w:t xml:space="preserve"> </w:t>
      </w:r>
      <w:proofErr w:type="spellStart"/>
      <w:r w:rsidRPr="001F339C">
        <w:rPr>
          <w:bCs/>
        </w:rPr>
        <w:t>Symbicort</w:t>
      </w:r>
      <w:proofErr w:type="spellEnd"/>
      <w:r w:rsidRPr="001F339C">
        <w:rPr>
          <w:bCs/>
        </w:rPr>
        <w:t>, PSD, July 2019 PBAC meeting</w:t>
      </w:r>
      <w:r w:rsidRPr="001F339C">
        <w:rPr>
          <w:rFonts w:ascii="Calibri" w:hAnsi="Calibri" w:cs="Calibri"/>
          <w:szCs w:val="24"/>
        </w:rPr>
        <w:t xml:space="preserve">). </w:t>
      </w:r>
      <w:r w:rsidR="00501995" w:rsidRPr="001F339C">
        <w:rPr>
          <w:rFonts w:ascii="Calibri" w:hAnsi="Calibri" w:cs="Calibri"/>
          <w:szCs w:val="24"/>
        </w:rPr>
        <w:t xml:space="preserve">The PBAC noted that removing the ‘as needed’ component from the </w:t>
      </w:r>
      <w:r w:rsidR="00501995" w:rsidRPr="001F339C">
        <w:rPr>
          <w:rFonts w:ascii="Calibri" w:hAnsi="Calibri" w:cs="Calibri"/>
          <w:szCs w:val="24"/>
        </w:rPr>
        <w:lastRenderedPageBreak/>
        <w:t>WCAW composite measure</w:t>
      </w:r>
      <w:r w:rsidR="00A023FC" w:rsidRPr="001F339C">
        <w:rPr>
          <w:rFonts w:ascii="Calibri" w:hAnsi="Calibri" w:cs="Calibri"/>
          <w:szCs w:val="24"/>
        </w:rPr>
        <w:t xml:space="preserve"> resulted in</w:t>
      </w:r>
      <w:r w:rsidR="00501995" w:rsidRPr="001F339C">
        <w:rPr>
          <w:rFonts w:ascii="Calibri" w:hAnsi="Calibri" w:cs="Calibri"/>
          <w:szCs w:val="24"/>
        </w:rPr>
        <w:t xml:space="preserve"> </w:t>
      </w:r>
      <w:proofErr w:type="spellStart"/>
      <w:r w:rsidR="00501995" w:rsidRPr="001F339C">
        <w:rPr>
          <w:rFonts w:ascii="Calibri" w:hAnsi="Calibri" w:cs="Calibri"/>
          <w:szCs w:val="24"/>
        </w:rPr>
        <w:t>Symbicort</w:t>
      </w:r>
      <w:proofErr w:type="spellEnd"/>
      <w:r w:rsidR="00501995" w:rsidRPr="001F339C">
        <w:rPr>
          <w:rFonts w:ascii="Calibri" w:hAnsi="Calibri" w:cs="Calibri"/>
          <w:szCs w:val="24"/>
        </w:rPr>
        <w:t xml:space="preserve"> ha</w:t>
      </w:r>
      <w:r w:rsidR="00A023FC" w:rsidRPr="001F339C">
        <w:rPr>
          <w:rFonts w:ascii="Calibri" w:hAnsi="Calibri" w:cs="Calibri"/>
          <w:szCs w:val="24"/>
        </w:rPr>
        <w:t>ving</w:t>
      </w:r>
      <w:r w:rsidR="00501995" w:rsidRPr="001F339C">
        <w:rPr>
          <w:rFonts w:ascii="Calibri" w:hAnsi="Calibri" w:cs="Calibri"/>
          <w:szCs w:val="24"/>
        </w:rPr>
        <w:t xml:space="preserve"> a 22% lower odds of achieving a WCAW compared to ICS+SABA during the study period (46.6% vs 52.9%. OR 0.78, 95 CI: 0.69, </w:t>
      </w:r>
      <w:r w:rsidR="00C10275" w:rsidRPr="001F339C">
        <w:rPr>
          <w:rFonts w:ascii="Calibri" w:hAnsi="Calibri" w:cs="Calibri"/>
          <w:szCs w:val="24"/>
        </w:rPr>
        <w:t>0.88)</w:t>
      </w:r>
      <w:r w:rsidR="007E5CD4" w:rsidRPr="001F339C">
        <w:rPr>
          <w:rStyle w:val="FootnoteReference"/>
          <w:rFonts w:ascii="Calibri" w:hAnsi="Calibri" w:cs="Calibri"/>
          <w:szCs w:val="24"/>
        </w:rPr>
        <w:footnoteReference w:id="3"/>
      </w:r>
      <w:r w:rsidR="00C10275" w:rsidRPr="001F339C">
        <w:rPr>
          <w:rFonts w:ascii="Calibri" w:hAnsi="Calibri" w:cs="Calibri"/>
          <w:szCs w:val="24"/>
        </w:rPr>
        <w:t>.</w:t>
      </w:r>
    </w:p>
    <w:p w:rsidR="007C05D6" w:rsidRPr="001F339C" w:rsidRDefault="00655021" w:rsidP="00742B28">
      <w:pPr>
        <w:pStyle w:val="3Bodytext"/>
        <w:jc w:val="both"/>
      </w:pPr>
      <w:r w:rsidRPr="008922C6">
        <w:t xml:space="preserve">The resubmission </w:t>
      </w:r>
      <w:r w:rsidR="00EE6396" w:rsidRPr="008922C6">
        <w:t>stated that the July 2019 submission had nominated symptom control based on the Asthma Control Questionnaire-5 (ACQ-5) as the m</w:t>
      </w:r>
      <w:r w:rsidR="00EE6396" w:rsidRPr="001F339C">
        <w:t xml:space="preserve">ost relevant outcome, as it is the most widely used composite measure of asthma symptom control with a well-established and validated minimally clinical important difference (MCID) threshold. </w:t>
      </w:r>
      <w:r w:rsidR="00F744DA" w:rsidRPr="001F339C">
        <w:t xml:space="preserve">ACQ-5 was a secondary end-point in both the SYGMA 1 and SYGMA 2 trials. At its July 2019 meeting the PBAC noted the trials showed that </w:t>
      </w:r>
      <w:r w:rsidR="00EE6396" w:rsidRPr="001F339C">
        <w:t>both treatments improve</w:t>
      </w:r>
      <w:r w:rsidR="00C44718" w:rsidRPr="001F339C">
        <w:t>d</w:t>
      </w:r>
      <w:r w:rsidR="00EE6396" w:rsidRPr="001F339C">
        <w:t xml:space="preserve"> ACQ-5 from baseline; however none of the improvement in ACQ-5 exceeded the MCID threshold of -0.5 points in any of the treatment arms (paragraph 6.22</w:t>
      </w:r>
      <w:r w:rsidR="000202D4" w:rsidRPr="001F339C">
        <w:t xml:space="preserve">, </w:t>
      </w:r>
      <w:proofErr w:type="spellStart"/>
      <w:r w:rsidR="00530F0E" w:rsidRPr="001F339C">
        <w:rPr>
          <w:bCs/>
        </w:rPr>
        <w:t>Symbicort</w:t>
      </w:r>
      <w:proofErr w:type="spellEnd"/>
      <w:r w:rsidR="00530F0E" w:rsidRPr="001F339C">
        <w:rPr>
          <w:bCs/>
        </w:rPr>
        <w:t>, PSD</w:t>
      </w:r>
      <w:r w:rsidR="000202D4" w:rsidRPr="001F339C">
        <w:rPr>
          <w:bCs/>
        </w:rPr>
        <w:t>, July 2019 PBAC meeting</w:t>
      </w:r>
      <w:r w:rsidR="00EE6396" w:rsidRPr="001F339C">
        <w:t xml:space="preserve">). </w:t>
      </w:r>
    </w:p>
    <w:p w:rsidR="00DE3BEB" w:rsidRPr="001F339C" w:rsidRDefault="00DE3BEB" w:rsidP="00BF36F6">
      <w:pPr>
        <w:pStyle w:val="3Bodytext"/>
        <w:numPr>
          <w:ilvl w:val="0"/>
          <w:numId w:val="0"/>
        </w:numPr>
        <w:jc w:val="both"/>
        <w:rPr>
          <w:u w:val="single"/>
        </w:rPr>
      </w:pPr>
      <w:r w:rsidRPr="001F339C">
        <w:rPr>
          <w:u w:val="single"/>
        </w:rPr>
        <w:t>Use of 97.5% CIs to evaluate asthma exacerbation reduction rate</w:t>
      </w:r>
    </w:p>
    <w:p w:rsidR="00EE6396" w:rsidRPr="001F339C" w:rsidRDefault="00F744DA" w:rsidP="00742B28">
      <w:pPr>
        <w:pStyle w:val="3Bodytext"/>
        <w:jc w:val="both"/>
      </w:pPr>
      <w:r w:rsidRPr="001F339C">
        <w:rPr>
          <w:rFonts w:cs="Arial"/>
        </w:rPr>
        <w:t xml:space="preserve">The resubmission noted </w:t>
      </w:r>
      <w:r w:rsidR="00DE3BEB" w:rsidRPr="001F339C">
        <w:rPr>
          <w:rFonts w:cs="Arial"/>
        </w:rPr>
        <w:t>that</w:t>
      </w:r>
      <w:r w:rsidRPr="001F339C">
        <w:rPr>
          <w:rFonts w:cs="Arial"/>
        </w:rPr>
        <w:t xml:space="preserve"> </w:t>
      </w:r>
      <w:r w:rsidR="00400448" w:rsidRPr="001F339C">
        <w:rPr>
          <w:rFonts w:cs="Arial"/>
        </w:rPr>
        <w:t xml:space="preserve">the </w:t>
      </w:r>
      <w:r w:rsidR="00DE3BEB" w:rsidRPr="001F339C">
        <w:rPr>
          <w:rFonts w:cs="Arial"/>
        </w:rPr>
        <w:t xml:space="preserve">July 2019 </w:t>
      </w:r>
      <w:r w:rsidRPr="001F339C">
        <w:rPr>
          <w:rFonts w:cs="Arial"/>
        </w:rPr>
        <w:t xml:space="preserve">evaluation </w:t>
      </w:r>
      <w:r w:rsidR="00DE3BEB" w:rsidRPr="001F339C">
        <w:rPr>
          <w:rFonts w:cs="Arial"/>
        </w:rPr>
        <w:t xml:space="preserve">for </w:t>
      </w:r>
      <w:proofErr w:type="spellStart"/>
      <w:r w:rsidR="00DE3BEB" w:rsidRPr="001F339C">
        <w:rPr>
          <w:rFonts w:cs="Arial"/>
        </w:rPr>
        <w:t>Symbicort</w:t>
      </w:r>
      <w:proofErr w:type="spellEnd"/>
      <w:r w:rsidR="00DE3BEB" w:rsidRPr="001F339C">
        <w:rPr>
          <w:rFonts w:cs="Arial"/>
        </w:rPr>
        <w:t xml:space="preserve"> </w:t>
      </w:r>
      <w:r w:rsidRPr="001F339C">
        <w:rPr>
          <w:rFonts w:cs="Arial"/>
        </w:rPr>
        <w:t xml:space="preserve">posited that because </w:t>
      </w:r>
      <w:r w:rsidR="00DE3BEB" w:rsidRPr="001F339C">
        <w:rPr>
          <w:rFonts w:cs="Arial"/>
          <w:i/>
        </w:rPr>
        <w:t>‘</w:t>
      </w:r>
      <w:r w:rsidRPr="001F339C">
        <w:rPr>
          <w:rFonts w:cs="Arial"/>
        </w:rPr>
        <w:t xml:space="preserve">a protocol amendment was made to change the trial objective from demonstrating superiority to non-inferiority. In such instances </w:t>
      </w:r>
      <w:r w:rsidR="00DE3BEB" w:rsidRPr="001F339C">
        <w:t>European Medicines Agency (</w:t>
      </w:r>
      <w:r w:rsidRPr="001F339C">
        <w:rPr>
          <w:rFonts w:cs="Arial"/>
        </w:rPr>
        <w:t>EMA</w:t>
      </w:r>
      <w:r w:rsidR="00DE3BEB" w:rsidRPr="001F339C">
        <w:rPr>
          <w:rFonts w:cs="Arial"/>
        </w:rPr>
        <w:t>)</w:t>
      </w:r>
      <w:r w:rsidRPr="001F339C">
        <w:rPr>
          <w:rFonts w:cs="Arial"/>
        </w:rPr>
        <w:t xml:space="preserve"> guidelines recommend that if one-sided confidence intervals</w:t>
      </w:r>
      <w:r w:rsidR="005D59AA" w:rsidRPr="001F339C">
        <w:rPr>
          <w:rFonts w:cs="Arial"/>
        </w:rPr>
        <w:t xml:space="preserve"> </w:t>
      </w:r>
      <w:r w:rsidR="00530F0E" w:rsidRPr="001F339C">
        <w:rPr>
          <w:rFonts w:cs="Arial"/>
        </w:rPr>
        <w:t>(CI)</w:t>
      </w:r>
      <w:r w:rsidRPr="001F339C">
        <w:rPr>
          <w:rFonts w:cs="Arial"/>
        </w:rPr>
        <w:t xml:space="preserve"> are used they should be used with a coverage probability of 97.5%.</w:t>
      </w:r>
      <w:r w:rsidRPr="001F339C">
        <w:rPr>
          <w:rStyle w:val="FootnoteReference"/>
          <w:rFonts w:cs="Arial"/>
        </w:rPr>
        <w:footnoteReference w:id="4"/>
      </w:r>
      <w:r w:rsidRPr="001F339C">
        <w:rPr>
          <w:rFonts w:cs="Arial"/>
        </w:rPr>
        <w:t xml:space="preserve"> The submission used a coverage probability of 95%</w:t>
      </w:r>
      <w:r w:rsidR="00DE3BEB" w:rsidRPr="001F339C">
        <w:rPr>
          <w:rFonts w:cs="Arial"/>
        </w:rPr>
        <w:t>’ (paragraph 6.16</w:t>
      </w:r>
      <w:r w:rsidR="000202D4" w:rsidRPr="001F339C">
        <w:rPr>
          <w:rFonts w:cs="Arial"/>
        </w:rPr>
        <w:t xml:space="preserve">, </w:t>
      </w:r>
      <w:proofErr w:type="spellStart"/>
      <w:r w:rsidR="00530F0E" w:rsidRPr="001F339C">
        <w:rPr>
          <w:bCs/>
        </w:rPr>
        <w:t>Symbicort</w:t>
      </w:r>
      <w:proofErr w:type="spellEnd"/>
      <w:r w:rsidR="00530F0E" w:rsidRPr="001F339C">
        <w:rPr>
          <w:bCs/>
        </w:rPr>
        <w:t>, PSD</w:t>
      </w:r>
      <w:r w:rsidR="000202D4" w:rsidRPr="008922C6">
        <w:rPr>
          <w:bCs/>
        </w:rPr>
        <w:t>, July 2019 PBAC meeting</w:t>
      </w:r>
      <w:r w:rsidR="00DE3BEB" w:rsidRPr="001F339C">
        <w:rPr>
          <w:rFonts w:cs="Arial"/>
        </w:rPr>
        <w:t>)</w:t>
      </w:r>
      <w:r w:rsidR="00DE3BEB" w:rsidRPr="001F339C">
        <w:rPr>
          <w:rFonts w:cs="Arial"/>
          <w:i/>
        </w:rPr>
        <w:t>.</w:t>
      </w:r>
      <w:r w:rsidRPr="001F339C">
        <w:rPr>
          <w:rFonts w:cs="Arial"/>
          <w:i/>
        </w:rPr>
        <w:t xml:space="preserve"> </w:t>
      </w:r>
      <w:r w:rsidR="00BB3E31" w:rsidRPr="001F339C">
        <w:rPr>
          <w:rFonts w:cs="Arial"/>
        </w:rPr>
        <w:t xml:space="preserve">The </w:t>
      </w:r>
      <w:r w:rsidR="00AA4D70" w:rsidRPr="001F339C">
        <w:t xml:space="preserve">resubmission </w:t>
      </w:r>
      <w:r w:rsidR="00DE3BEB" w:rsidRPr="001F339C">
        <w:t>argu</w:t>
      </w:r>
      <w:r w:rsidR="000202D4" w:rsidRPr="001F339C">
        <w:t>ed</w:t>
      </w:r>
      <w:r w:rsidR="00DE3BEB" w:rsidRPr="001F339C">
        <w:t xml:space="preserve"> </w:t>
      </w:r>
      <w:r w:rsidR="00AA4D70" w:rsidRPr="001F339C">
        <w:t>that the approach taken by the EMA has not been the practice in Australia</w:t>
      </w:r>
      <w:r w:rsidR="00DE3BEB" w:rsidRPr="001F339C">
        <w:t xml:space="preserve"> and hence it would be reasonable for the non-inferiority of </w:t>
      </w:r>
      <w:proofErr w:type="spellStart"/>
      <w:r w:rsidR="00DE3BEB" w:rsidRPr="001F339C">
        <w:t>Symbicort</w:t>
      </w:r>
      <w:proofErr w:type="spellEnd"/>
      <w:r w:rsidR="00DE3BEB" w:rsidRPr="001F339C">
        <w:t xml:space="preserve"> to ICS+SABA to be considered using 95% CI</w:t>
      </w:r>
      <w:r w:rsidR="00AA4D70" w:rsidRPr="001F339C">
        <w:t xml:space="preserve">. The sponsor stated the following reasons: </w:t>
      </w:r>
    </w:p>
    <w:p w:rsidR="00AA4D70" w:rsidRPr="001F339C" w:rsidRDefault="00C44718" w:rsidP="002104AB">
      <w:pPr>
        <w:pStyle w:val="3Bodytext"/>
        <w:numPr>
          <w:ilvl w:val="0"/>
          <w:numId w:val="11"/>
        </w:numPr>
        <w:jc w:val="both"/>
      </w:pPr>
      <w:r w:rsidRPr="001F339C">
        <w:t xml:space="preserve">The </w:t>
      </w:r>
      <w:r w:rsidR="00AA4D70" w:rsidRPr="001F339C">
        <w:t>TGA and</w:t>
      </w:r>
      <w:r w:rsidRPr="001F339C">
        <w:t xml:space="preserve"> the</w:t>
      </w:r>
      <w:r w:rsidR="00AA4D70" w:rsidRPr="001F339C">
        <w:t xml:space="preserve"> PBAC guidelines both specify 95% CI and make no reference to 97.5% one-sided CIs. </w:t>
      </w:r>
    </w:p>
    <w:p w:rsidR="00AA4D70" w:rsidRPr="001F339C" w:rsidRDefault="00AA4D70" w:rsidP="002104AB">
      <w:pPr>
        <w:pStyle w:val="3Bodytext"/>
        <w:numPr>
          <w:ilvl w:val="0"/>
          <w:numId w:val="11"/>
        </w:numPr>
        <w:jc w:val="both"/>
      </w:pPr>
      <w:r w:rsidRPr="001F339C">
        <w:t>The PBAC has recommended submissions based on non-inferiority trials with 95% CIs</w:t>
      </w:r>
      <w:r w:rsidR="00DA6776" w:rsidRPr="001F339C">
        <w:t xml:space="preserve"> (e.g. </w:t>
      </w:r>
      <w:proofErr w:type="spellStart"/>
      <w:r w:rsidR="00DA6776" w:rsidRPr="001F339C">
        <w:t>alirocumab</w:t>
      </w:r>
      <w:proofErr w:type="spellEnd"/>
      <w:r w:rsidR="00DA6776" w:rsidRPr="001F339C">
        <w:t xml:space="preserve"> in March 2019; </w:t>
      </w:r>
      <w:proofErr w:type="spellStart"/>
      <w:r w:rsidR="00DA6776" w:rsidRPr="001F339C">
        <w:t>inotuzumab</w:t>
      </w:r>
      <w:proofErr w:type="spellEnd"/>
      <w:r w:rsidR="00DA6776" w:rsidRPr="001F339C">
        <w:t xml:space="preserve"> </w:t>
      </w:r>
      <w:proofErr w:type="spellStart"/>
      <w:r w:rsidR="00DA6776" w:rsidRPr="001F339C">
        <w:t>ozogamicin</w:t>
      </w:r>
      <w:proofErr w:type="spellEnd"/>
      <w:r w:rsidR="00DA6776" w:rsidRPr="001F339C">
        <w:t xml:space="preserve"> in November 2018). </w:t>
      </w:r>
    </w:p>
    <w:p w:rsidR="00DE3BEB" w:rsidRPr="001F339C" w:rsidRDefault="00AA4D70" w:rsidP="002104AB">
      <w:pPr>
        <w:pStyle w:val="3Bodytext"/>
        <w:numPr>
          <w:ilvl w:val="0"/>
          <w:numId w:val="11"/>
        </w:numPr>
        <w:jc w:val="both"/>
      </w:pPr>
      <w:r w:rsidRPr="001F339C">
        <w:t xml:space="preserve">The sponsor was unable to locate previous examples of PBAC cost-minimisation recommendations with a 97.5% CI. </w:t>
      </w:r>
    </w:p>
    <w:p w:rsidR="00C84EE0" w:rsidRPr="00864976" w:rsidRDefault="00D14AEA" w:rsidP="00680FDE">
      <w:pPr>
        <w:pStyle w:val="3Bodytext"/>
        <w:numPr>
          <w:ilvl w:val="0"/>
          <w:numId w:val="0"/>
        </w:numPr>
        <w:jc w:val="both"/>
        <w:rPr>
          <w:u w:val="single"/>
        </w:rPr>
      </w:pPr>
      <w:r w:rsidRPr="00864976">
        <w:rPr>
          <w:u w:val="single"/>
        </w:rPr>
        <w:t xml:space="preserve">Novel </w:t>
      </w:r>
      <w:r w:rsidR="00C84EE0" w:rsidRPr="00864976">
        <w:rPr>
          <w:u w:val="single"/>
        </w:rPr>
        <w:t>START and PRACTICAL trials</w:t>
      </w:r>
    </w:p>
    <w:p w:rsidR="00D14AEA" w:rsidRPr="001F339C" w:rsidRDefault="00C84EE0" w:rsidP="00680FDE">
      <w:pPr>
        <w:pStyle w:val="3Bodytext"/>
        <w:jc w:val="both"/>
        <w:rPr>
          <w:rFonts w:ascii="Calibri" w:hAnsi="Calibri" w:cs="Calibri"/>
        </w:rPr>
      </w:pPr>
      <w:r w:rsidRPr="001F339C">
        <w:rPr>
          <w:rFonts w:ascii="Calibri" w:hAnsi="Calibri" w:cs="Calibri"/>
          <w:szCs w:val="24"/>
        </w:rPr>
        <w:lastRenderedPageBreak/>
        <w:t>The PBAC recalled that</w:t>
      </w:r>
      <w:r w:rsidR="00AE0A94" w:rsidRPr="001F339C">
        <w:rPr>
          <w:rFonts w:ascii="Calibri" w:hAnsi="Calibri" w:cs="Calibri"/>
          <w:szCs w:val="24"/>
        </w:rPr>
        <w:t xml:space="preserve">, in addition to the </w:t>
      </w:r>
      <w:r w:rsidR="00AE0A94" w:rsidRPr="001F339C">
        <w:rPr>
          <w:bCs/>
        </w:rPr>
        <w:t>SYGMA 1 and SYGMA 2 trials,</w:t>
      </w:r>
      <w:r w:rsidRPr="008922C6">
        <w:rPr>
          <w:rFonts w:ascii="Calibri" w:hAnsi="Calibri" w:cs="Calibri"/>
          <w:szCs w:val="24"/>
        </w:rPr>
        <w:t xml:space="preserve"> the July 2019 submission had identified two other relevant randomised, op</w:t>
      </w:r>
      <w:r w:rsidR="00D14AEA" w:rsidRPr="008922C6">
        <w:rPr>
          <w:rFonts w:ascii="Calibri" w:hAnsi="Calibri" w:cs="Calibri"/>
          <w:szCs w:val="24"/>
        </w:rPr>
        <w:t>en-label trials (</w:t>
      </w:r>
      <w:proofErr w:type="spellStart"/>
      <w:r w:rsidR="00D14AEA" w:rsidRPr="008922C6">
        <w:rPr>
          <w:rFonts w:ascii="Calibri" w:hAnsi="Calibri" w:cs="Calibri"/>
          <w:szCs w:val="24"/>
        </w:rPr>
        <w:t>i</w:t>
      </w:r>
      <w:proofErr w:type="spellEnd"/>
      <w:r w:rsidR="00D14AEA" w:rsidRPr="008922C6">
        <w:rPr>
          <w:rFonts w:ascii="Calibri" w:hAnsi="Calibri" w:cs="Calibri"/>
          <w:szCs w:val="24"/>
        </w:rPr>
        <w:t xml:space="preserve">) Novel </w:t>
      </w:r>
      <w:r w:rsidRPr="001F339C">
        <w:rPr>
          <w:rFonts w:ascii="Calibri" w:hAnsi="Calibri" w:cs="Calibri"/>
          <w:szCs w:val="24"/>
        </w:rPr>
        <w:t>START and (ii) PRACTICAL with the results not available at the time of submission or evaluation.</w:t>
      </w:r>
      <w:r w:rsidR="00D14AEA" w:rsidRPr="001F339C">
        <w:rPr>
          <w:rFonts w:ascii="Calibri" w:hAnsi="Calibri" w:cs="Calibri"/>
          <w:szCs w:val="24"/>
        </w:rPr>
        <w:t xml:space="preserve"> As per paragraph 4.3</w:t>
      </w:r>
      <w:r w:rsidR="00074B2E" w:rsidRPr="001F339C">
        <w:rPr>
          <w:rFonts w:ascii="Calibri" w:hAnsi="Calibri" w:cs="Calibri"/>
          <w:szCs w:val="24"/>
        </w:rPr>
        <w:t>,</w:t>
      </w:r>
      <w:r w:rsidR="00D14AEA" w:rsidRPr="001F339C">
        <w:rPr>
          <w:rFonts w:ascii="Calibri" w:hAnsi="Calibri" w:cs="Calibri"/>
          <w:szCs w:val="24"/>
        </w:rPr>
        <w:t xml:space="preserve"> the PBAC noted that the results </w:t>
      </w:r>
      <w:r w:rsidR="00F31E52" w:rsidRPr="001F339C">
        <w:rPr>
          <w:rFonts w:ascii="Calibri" w:hAnsi="Calibri" w:cs="Calibri"/>
          <w:szCs w:val="24"/>
        </w:rPr>
        <w:t xml:space="preserve">of </w:t>
      </w:r>
      <w:r w:rsidR="00FE401A" w:rsidRPr="001F339C">
        <w:rPr>
          <w:rFonts w:ascii="Calibri" w:hAnsi="Calibri" w:cs="Calibri"/>
          <w:szCs w:val="24"/>
        </w:rPr>
        <w:t xml:space="preserve">both of </w:t>
      </w:r>
      <w:r w:rsidR="00D14AEA" w:rsidRPr="001F339C">
        <w:rPr>
          <w:rFonts w:ascii="Calibri" w:hAnsi="Calibri" w:cs="Calibri"/>
          <w:szCs w:val="24"/>
        </w:rPr>
        <w:t>these trials were now available</w:t>
      </w:r>
      <w:proofErr w:type="gramStart"/>
      <w:r w:rsidR="00D14AEA" w:rsidRPr="001F339C">
        <w:rPr>
          <w:rFonts w:ascii="Calibri" w:hAnsi="Calibri" w:cs="Calibri"/>
          <w:szCs w:val="24"/>
        </w:rPr>
        <w:t>.</w:t>
      </w:r>
      <w:r w:rsidR="00F31E52" w:rsidRPr="001F339C">
        <w:rPr>
          <w:rStyle w:val="FootnoteReference"/>
          <w:bCs/>
        </w:rPr>
        <w:footnoteReference w:id="5"/>
      </w:r>
      <w:r w:rsidR="00F31E52" w:rsidRPr="001F339C">
        <w:rPr>
          <w:bCs/>
          <w:vertAlign w:val="superscript"/>
        </w:rPr>
        <w:t>,</w:t>
      </w:r>
      <w:proofErr w:type="gramEnd"/>
      <w:r w:rsidR="00F31E52" w:rsidRPr="001F339C">
        <w:rPr>
          <w:rStyle w:val="FootnoteReference"/>
          <w:bCs/>
        </w:rPr>
        <w:footnoteReference w:id="6"/>
      </w:r>
    </w:p>
    <w:p w:rsidR="00D14AEA" w:rsidRPr="00864976" w:rsidRDefault="006D03EE" w:rsidP="00680FDE">
      <w:pPr>
        <w:pStyle w:val="3Bodytext"/>
        <w:jc w:val="both"/>
        <w:rPr>
          <w:rFonts w:cs="Arial"/>
          <w:bCs/>
          <w:snapToGrid w:val="0"/>
        </w:rPr>
      </w:pPr>
      <w:r w:rsidRPr="001F339C">
        <w:rPr>
          <w:rFonts w:ascii="Calibri" w:hAnsi="Calibri" w:cs="Calibri"/>
          <w:szCs w:val="24"/>
        </w:rPr>
        <w:t xml:space="preserve">In </w:t>
      </w:r>
      <w:r w:rsidR="00D14AEA" w:rsidRPr="001F339C">
        <w:rPr>
          <w:rFonts w:ascii="Calibri" w:hAnsi="Calibri" w:cs="Calibri"/>
          <w:szCs w:val="24"/>
        </w:rPr>
        <w:t>Novel START</w:t>
      </w:r>
      <w:r w:rsidR="00F31E52" w:rsidRPr="001F339C">
        <w:rPr>
          <w:rFonts w:ascii="Calibri" w:hAnsi="Calibri" w:cs="Calibri"/>
          <w:szCs w:val="24"/>
        </w:rPr>
        <w:t xml:space="preserve"> (n=668)</w:t>
      </w:r>
      <w:r w:rsidR="00D14AEA" w:rsidRPr="008922C6">
        <w:rPr>
          <w:rFonts w:ascii="Calibri" w:hAnsi="Calibri" w:cs="Calibri"/>
          <w:szCs w:val="24"/>
        </w:rPr>
        <w:t xml:space="preserve">, </w:t>
      </w:r>
      <w:r w:rsidR="00D00AF8" w:rsidRPr="008922C6">
        <w:rPr>
          <w:rFonts w:ascii="Calibri" w:hAnsi="Calibri" w:cs="Calibri"/>
          <w:szCs w:val="24"/>
        </w:rPr>
        <w:t>adults</w:t>
      </w:r>
      <w:r w:rsidRPr="008922C6">
        <w:rPr>
          <w:rFonts w:ascii="Calibri" w:hAnsi="Calibri" w:cs="Calibri"/>
          <w:szCs w:val="24"/>
        </w:rPr>
        <w:t xml:space="preserve"> </w:t>
      </w:r>
      <w:r w:rsidR="00D00AF8" w:rsidRPr="001F339C">
        <w:rPr>
          <w:rFonts w:ascii="Calibri" w:hAnsi="Calibri" w:cs="Calibri"/>
          <w:szCs w:val="24"/>
        </w:rPr>
        <w:t xml:space="preserve">with mild asthma </w:t>
      </w:r>
      <w:r w:rsidR="004416A6" w:rsidRPr="001F339C">
        <w:rPr>
          <w:rFonts w:ascii="Calibri" w:hAnsi="Calibri" w:cs="Calibri"/>
          <w:szCs w:val="24"/>
        </w:rPr>
        <w:t xml:space="preserve">on </w:t>
      </w:r>
      <w:r w:rsidRPr="00864976">
        <w:rPr>
          <w:rFonts w:cs="Arial"/>
          <w:bCs/>
          <w:snapToGrid w:val="0"/>
        </w:rPr>
        <w:t xml:space="preserve">SABA </w:t>
      </w:r>
      <w:r w:rsidR="00D00AF8" w:rsidRPr="00864976">
        <w:rPr>
          <w:rFonts w:cs="Arial"/>
          <w:bCs/>
          <w:snapToGrid w:val="0"/>
        </w:rPr>
        <w:t xml:space="preserve">alone </w:t>
      </w:r>
      <w:r w:rsidRPr="001F339C">
        <w:rPr>
          <w:rFonts w:ascii="Calibri" w:hAnsi="Calibri" w:cs="Calibri"/>
          <w:szCs w:val="24"/>
        </w:rPr>
        <w:t>were randomised to</w:t>
      </w:r>
      <w:r w:rsidR="004416A6" w:rsidRPr="001F339C">
        <w:rPr>
          <w:rFonts w:ascii="Calibri" w:hAnsi="Calibri" w:cs="Calibri"/>
          <w:szCs w:val="24"/>
        </w:rPr>
        <w:t xml:space="preserve"> either:</w:t>
      </w:r>
      <w:r w:rsidRPr="008922C6">
        <w:rPr>
          <w:rFonts w:ascii="Calibri" w:hAnsi="Calibri" w:cs="Calibri"/>
          <w:szCs w:val="24"/>
        </w:rPr>
        <w:t xml:space="preserve"> SABA </w:t>
      </w:r>
      <w:r w:rsidR="007E5CD4" w:rsidRPr="008922C6">
        <w:rPr>
          <w:rFonts w:ascii="Calibri" w:hAnsi="Calibri" w:cs="Calibri"/>
          <w:szCs w:val="24"/>
        </w:rPr>
        <w:t xml:space="preserve">(salbutamol) </w:t>
      </w:r>
      <w:r w:rsidRPr="008922C6">
        <w:rPr>
          <w:rFonts w:ascii="Calibri" w:hAnsi="Calibri" w:cs="Calibri"/>
          <w:szCs w:val="24"/>
        </w:rPr>
        <w:t>as needed</w:t>
      </w:r>
      <w:r w:rsidR="004416A6" w:rsidRPr="001F339C">
        <w:rPr>
          <w:rFonts w:ascii="Calibri" w:hAnsi="Calibri" w:cs="Calibri"/>
          <w:szCs w:val="24"/>
        </w:rPr>
        <w:t>;</w:t>
      </w:r>
      <w:r w:rsidRPr="001F339C">
        <w:rPr>
          <w:rFonts w:ascii="Calibri" w:hAnsi="Calibri" w:cs="Calibri"/>
          <w:szCs w:val="24"/>
        </w:rPr>
        <w:t xml:space="preserve"> budesonide </w:t>
      </w:r>
      <w:r w:rsidR="004416A6" w:rsidRPr="001F339C">
        <w:rPr>
          <w:rFonts w:ascii="Calibri" w:hAnsi="Calibri" w:cs="Calibri"/>
          <w:szCs w:val="24"/>
        </w:rPr>
        <w:t>twice daily plus SABA as needed (ICS+SABA group);</w:t>
      </w:r>
      <w:r w:rsidRPr="001F339C">
        <w:rPr>
          <w:rFonts w:ascii="Calibri" w:hAnsi="Calibri" w:cs="Calibri"/>
          <w:szCs w:val="24"/>
        </w:rPr>
        <w:t xml:space="preserve"> or </w:t>
      </w:r>
      <w:proofErr w:type="spellStart"/>
      <w:r w:rsidRPr="001F339C">
        <w:rPr>
          <w:rFonts w:ascii="Calibri" w:hAnsi="Calibri" w:cs="Calibri"/>
          <w:szCs w:val="24"/>
        </w:rPr>
        <w:t>Symbicort</w:t>
      </w:r>
      <w:proofErr w:type="spellEnd"/>
      <w:r w:rsidRPr="001F339C">
        <w:rPr>
          <w:rFonts w:ascii="Calibri" w:hAnsi="Calibri" w:cs="Calibri"/>
          <w:szCs w:val="24"/>
        </w:rPr>
        <w:t xml:space="preserve"> as needed.</w:t>
      </w:r>
      <w:r w:rsidR="007C1482" w:rsidRPr="001F339C">
        <w:rPr>
          <w:rFonts w:ascii="Calibri" w:hAnsi="Calibri" w:cs="Calibri"/>
          <w:szCs w:val="24"/>
          <w:vertAlign w:val="superscript"/>
        </w:rPr>
        <w:t>4</w:t>
      </w:r>
      <w:r w:rsidRPr="001F339C">
        <w:rPr>
          <w:rFonts w:ascii="Calibri" w:hAnsi="Calibri" w:cs="Calibri"/>
          <w:szCs w:val="24"/>
        </w:rPr>
        <w:t xml:space="preserve"> </w:t>
      </w:r>
      <w:r w:rsidRPr="00864976">
        <w:rPr>
          <w:rFonts w:cs="Arial"/>
          <w:bCs/>
          <w:snapToGrid w:val="0"/>
        </w:rPr>
        <w:t>T</w:t>
      </w:r>
      <w:r w:rsidR="00D14AEA" w:rsidRPr="00864976">
        <w:rPr>
          <w:rFonts w:cs="Arial"/>
          <w:bCs/>
          <w:snapToGrid w:val="0"/>
        </w:rPr>
        <w:t xml:space="preserve">he primary outcome was </w:t>
      </w:r>
      <w:r w:rsidR="00AE0A94" w:rsidRPr="00864976">
        <w:rPr>
          <w:rFonts w:cs="Arial"/>
          <w:bCs/>
          <w:snapToGrid w:val="0"/>
        </w:rPr>
        <w:t>annualised rate</w:t>
      </w:r>
      <w:r w:rsidR="00D14AEA" w:rsidRPr="00864976">
        <w:rPr>
          <w:rFonts w:cs="Arial"/>
          <w:bCs/>
          <w:snapToGrid w:val="0"/>
        </w:rPr>
        <w:t xml:space="preserve"> of asthma exacerbati</w:t>
      </w:r>
      <w:r w:rsidR="00AE0A94" w:rsidRPr="00864976">
        <w:rPr>
          <w:rFonts w:cs="Arial"/>
          <w:bCs/>
          <w:snapToGrid w:val="0"/>
        </w:rPr>
        <w:t>ons.</w:t>
      </w:r>
      <w:r w:rsidR="007C1482" w:rsidRPr="00864976">
        <w:rPr>
          <w:rFonts w:cs="Arial"/>
          <w:bCs/>
          <w:snapToGrid w:val="0"/>
          <w:vertAlign w:val="superscript"/>
        </w:rPr>
        <w:t>4</w:t>
      </w:r>
      <w:r w:rsidR="00AE0A94" w:rsidRPr="00864976">
        <w:rPr>
          <w:rFonts w:cs="Arial"/>
          <w:bCs/>
          <w:snapToGrid w:val="0"/>
        </w:rPr>
        <w:t xml:space="preserve"> </w:t>
      </w:r>
      <w:r w:rsidR="004416A6" w:rsidRPr="00864976">
        <w:rPr>
          <w:rFonts w:cs="Arial"/>
          <w:bCs/>
          <w:snapToGrid w:val="0"/>
        </w:rPr>
        <w:t>The PBA</w:t>
      </w:r>
      <w:r w:rsidR="00AE0A94" w:rsidRPr="00864976">
        <w:rPr>
          <w:rFonts w:cs="Arial"/>
          <w:bCs/>
          <w:snapToGrid w:val="0"/>
        </w:rPr>
        <w:t xml:space="preserve">C noted the rate of asthma exacerbations in the </w:t>
      </w:r>
      <w:proofErr w:type="spellStart"/>
      <w:r w:rsidR="00AE0A94" w:rsidRPr="00864976">
        <w:rPr>
          <w:rFonts w:cs="Arial"/>
          <w:bCs/>
          <w:snapToGrid w:val="0"/>
        </w:rPr>
        <w:t>Symbicort</w:t>
      </w:r>
      <w:proofErr w:type="spellEnd"/>
      <w:r w:rsidR="00AE0A94" w:rsidRPr="00864976">
        <w:rPr>
          <w:rFonts w:cs="Arial"/>
          <w:bCs/>
          <w:snapToGrid w:val="0"/>
        </w:rPr>
        <w:t xml:space="preserve"> group was lower than that in the SABA group (relative rate, 0.49; 95% CI: 0.33, 0.72) but did not differ significantly from that in the ICS+SABA group (relative rate, 1.12; 95% CI: 0.70, 1.79)</w:t>
      </w:r>
      <w:r w:rsidR="00D14AEA" w:rsidRPr="00864976">
        <w:rPr>
          <w:rFonts w:cs="Arial"/>
          <w:bCs/>
          <w:snapToGrid w:val="0"/>
        </w:rPr>
        <w:t>.</w:t>
      </w:r>
      <w:r w:rsidR="007C1482" w:rsidRPr="001F339C">
        <w:rPr>
          <w:vertAlign w:val="superscript"/>
        </w:rPr>
        <w:t>4</w:t>
      </w:r>
      <w:r w:rsidR="00D14AEA" w:rsidRPr="00864976">
        <w:rPr>
          <w:rFonts w:cs="Arial"/>
          <w:bCs/>
          <w:snapToGrid w:val="0"/>
        </w:rPr>
        <w:t xml:space="preserve"> </w:t>
      </w:r>
      <w:r w:rsidR="00AE0A94" w:rsidRPr="00864976">
        <w:rPr>
          <w:rFonts w:cs="Arial"/>
          <w:bCs/>
          <w:snapToGrid w:val="0"/>
        </w:rPr>
        <w:t xml:space="preserve">The PBAC </w:t>
      </w:r>
      <w:r w:rsidR="007C1482" w:rsidRPr="00864976">
        <w:rPr>
          <w:rFonts w:cs="Arial"/>
          <w:bCs/>
          <w:snapToGrid w:val="0"/>
        </w:rPr>
        <w:t xml:space="preserve">also </w:t>
      </w:r>
      <w:r w:rsidR="00AE0A94" w:rsidRPr="00864976">
        <w:rPr>
          <w:rFonts w:cs="Arial"/>
          <w:bCs/>
          <w:snapToGrid w:val="0"/>
        </w:rPr>
        <w:t xml:space="preserve">noted that the </w:t>
      </w:r>
      <w:r w:rsidR="00D14AEA" w:rsidRPr="00864976">
        <w:rPr>
          <w:rFonts w:cs="Arial"/>
          <w:bCs/>
          <w:snapToGrid w:val="0"/>
        </w:rPr>
        <w:t xml:space="preserve">number of severe exacerbations </w:t>
      </w:r>
      <w:r w:rsidR="007C1482" w:rsidRPr="00864976">
        <w:rPr>
          <w:rFonts w:cs="Arial"/>
          <w:bCs/>
          <w:snapToGrid w:val="0"/>
        </w:rPr>
        <w:t xml:space="preserve">in the </w:t>
      </w:r>
      <w:proofErr w:type="spellStart"/>
      <w:r w:rsidR="00D14AEA" w:rsidRPr="00864976">
        <w:rPr>
          <w:rFonts w:cs="Arial"/>
          <w:bCs/>
          <w:snapToGrid w:val="0"/>
        </w:rPr>
        <w:t>Symbicort</w:t>
      </w:r>
      <w:proofErr w:type="spellEnd"/>
      <w:r w:rsidR="00D14AEA" w:rsidRPr="00864976">
        <w:rPr>
          <w:rFonts w:cs="Arial"/>
          <w:bCs/>
          <w:snapToGrid w:val="0"/>
        </w:rPr>
        <w:t xml:space="preserve"> </w:t>
      </w:r>
      <w:r w:rsidR="007C1482" w:rsidRPr="00864976">
        <w:rPr>
          <w:rFonts w:cs="Arial"/>
          <w:bCs/>
          <w:snapToGrid w:val="0"/>
        </w:rPr>
        <w:t xml:space="preserve">arm was lower than the number in both the SABA </w:t>
      </w:r>
      <w:r w:rsidR="00D14AEA" w:rsidRPr="00864976">
        <w:rPr>
          <w:rFonts w:cs="Arial"/>
          <w:bCs/>
          <w:snapToGrid w:val="0"/>
        </w:rPr>
        <w:t>(</w:t>
      </w:r>
      <w:r w:rsidR="007C1482" w:rsidRPr="00864976">
        <w:rPr>
          <w:rFonts w:cs="Arial"/>
          <w:bCs/>
          <w:snapToGrid w:val="0"/>
        </w:rPr>
        <w:t>9 vs 23; relative risk, 0.40;</w:t>
      </w:r>
      <w:r w:rsidR="00D14AEA" w:rsidRPr="00864976">
        <w:rPr>
          <w:rFonts w:cs="Arial"/>
          <w:bCs/>
          <w:snapToGrid w:val="0"/>
        </w:rPr>
        <w:t xml:space="preserve"> 95% CI: 0.18, 0.86) </w:t>
      </w:r>
      <w:r w:rsidR="007C1482" w:rsidRPr="00864976">
        <w:rPr>
          <w:rFonts w:cs="Arial"/>
          <w:bCs/>
          <w:snapToGrid w:val="0"/>
        </w:rPr>
        <w:t xml:space="preserve">and the ICS+SABA group </w:t>
      </w:r>
      <w:r w:rsidR="00D14AEA" w:rsidRPr="00864976">
        <w:rPr>
          <w:rFonts w:cs="Arial"/>
          <w:bCs/>
          <w:snapToGrid w:val="0"/>
        </w:rPr>
        <w:t>(</w:t>
      </w:r>
      <w:r w:rsidR="007C1482" w:rsidRPr="00864976">
        <w:rPr>
          <w:rFonts w:cs="Arial"/>
          <w:bCs/>
          <w:snapToGrid w:val="0"/>
        </w:rPr>
        <w:t>9 vs 21; relative risk, 0.44;</w:t>
      </w:r>
      <w:r w:rsidR="00D14AEA" w:rsidRPr="00864976">
        <w:rPr>
          <w:rFonts w:cs="Arial"/>
          <w:bCs/>
          <w:snapToGrid w:val="0"/>
        </w:rPr>
        <w:t xml:space="preserve"> 95% CI: 0</w:t>
      </w:r>
      <w:r w:rsidR="00FE401A" w:rsidRPr="00864976">
        <w:rPr>
          <w:rFonts w:cs="Arial"/>
          <w:bCs/>
          <w:snapToGrid w:val="0"/>
        </w:rPr>
        <w:t xml:space="preserve">.20, </w:t>
      </w:r>
      <w:r w:rsidR="007C1482" w:rsidRPr="00864976">
        <w:rPr>
          <w:rFonts w:cs="Arial"/>
          <w:bCs/>
          <w:snapToGrid w:val="0"/>
        </w:rPr>
        <w:t>0.96)</w:t>
      </w:r>
      <w:r w:rsidR="00D14AEA" w:rsidRPr="00864976">
        <w:rPr>
          <w:rFonts w:cs="Arial"/>
          <w:bCs/>
          <w:snapToGrid w:val="0"/>
        </w:rPr>
        <w:t>.</w:t>
      </w:r>
      <w:r w:rsidR="007C1482" w:rsidRPr="00864976">
        <w:rPr>
          <w:rFonts w:cs="Arial"/>
          <w:bCs/>
          <w:snapToGrid w:val="0"/>
          <w:vertAlign w:val="superscript"/>
        </w:rPr>
        <w:t>4</w:t>
      </w:r>
      <w:r w:rsidR="00D14AEA" w:rsidRPr="00864976">
        <w:rPr>
          <w:rFonts w:cs="Arial"/>
          <w:bCs/>
          <w:snapToGrid w:val="0"/>
        </w:rPr>
        <w:t xml:space="preserve"> </w:t>
      </w:r>
    </w:p>
    <w:p w:rsidR="00C84EE0" w:rsidRPr="001F339C" w:rsidRDefault="00D14AEA">
      <w:pPr>
        <w:pStyle w:val="3Bodytext"/>
        <w:jc w:val="both"/>
        <w:rPr>
          <w:rFonts w:ascii="Calibri" w:hAnsi="Calibri" w:cs="Calibri"/>
          <w:szCs w:val="24"/>
        </w:rPr>
      </w:pPr>
      <w:r w:rsidRPr="00864976">
        <w:rPr>
          <w:rFonts w:cs="Arial"/>
          <w:bCs/>
          <w:snapToGrid w:val="0"/>
        </w:rPr>
        <w:t>In the PRACTICAL trial</w:t>
      </w:r>
      <w:r w:rsidR="007C1482" w:rsidRPr="00864976">
        <w:rPr>
          <w:rFonts w:cs="Arial"/>
          <w:bCs/>
          <w:snapToGrid w:val="0"/>
        </w:rPr>
        <w:t xml:space="preserve"> (n=885)</w:t>
      </w:r>
      <w:r w:rsidRPr="00864976">
        <w:rPr>
          <w:rFonts w:cs="Arial"/>
          <w:bCs/>
          <w:snapToGrid w:val="0"/>
        </w:rPr>
        <w:t xml:space="preserve">, </w:t>
      </w:r>
      <w:r w:rsidR="00D00AF8" w:rsidRPr="00864976">
        <w:rPr>
          <w:rFonts w:cs="Arial"/>
          <w:bCs/>
          <w:snapToGrid w:val="0"/>
        </w:rPr>
        <w:t xml:space="preserve">adults with mild to moderate asthma were randomised to either: </w:t>
      </w:r>
      <w:r w:rsidR="00D00AF8" w:rsidRPr="001F339C">
        <w:rPr>
          <w:rFonts w:ascii="Calibri" w:hAnsi="Calibri" w:cs="Calibri"/>
          <w:szCs w:val="24"/>
        </w:rPr>
        <w:t>b</w:t>
      </w:r>
      <w:r w:rsidR="00333D3B" w:rsidRPr="001F339C">
        <w:rPr>
          <w:rFonts w:ascii="Calibri" w:hAnsi="Calibri" w:cs="Calibri"/>
          <w:szCs w:val="24"/>
        </w:rPr>
        <w:t xml:space="preserve">udesonide twice daily plus terbutaline </w:t>
      </w:r>
      <w:r w:rsidR="00D00AF8" w:rsidRPr="001F339C">
        <w:rPr>
          <w:rFonts w:ascii="Calibri" w:hAnsi="Calibri" w:cs="Calibri"/>
          <w:szCs w:val="24"/>
        </w:rPr>
        <w:t xml:space="preserve">as needed (ICS+SABA group); or </w:t>
      </w:r>
      <w:proofErr w:type="spellStart"/>
      <w:r w:rsidR="00D00AF8" w:rsidRPr="001F339C">
        <w:rPr>
          <w:rFonts w:ascii="Calibri" w:hAnsi="Calibri" w:cs="Calibri"/>
          <w:szCs w:val="24"/>
        </w:rPr>
        <w:t>Symbicort</w:t>
      </w:r>
      <w:proofErr w:type="spellEnd"/>
      <w:r w:rsidR="00D00AF8" w:rsidRPr="001F339C">
        <w:rPr>
          <w:rFonts w:ascii="Calibri" w:hAnsi="Calibri" w:cs="Calibri"/>
          <w:szCs w:val="24"/>
        </w:rPr>
        <w:t xml:space="preserve"> as needed.</w:t>
      </w:r>
      <w:r w:rsidR="00D00AF8" w:rsidRPr="001F339C">
        <w:rPr>
          <w:rFonts w:ascii="Calibri" w:hAnsi="Calibri" w:cs="Calibri"/>
          <w:szCs w:val="24"/>
          <w:vertAlign w:val="superscript"/>
        </w:rPr>
        <w:t>5</w:t>
      </w:r>
      <w:r w:rsidR="00D00AF8" w:rsidRPr="008922C6">
        <w:rPr>
          <w:rFonts w:ascii="Calibri" w:hAnsi="Calibri" w:cs="Calibri"/>
          <w:szCs w:val="24"/>
        </w:rPr>
        <w:t xml:space="preserve"> </w:t>
      </w:r>
      <w:r w:rsidR="00536973" w:rsidRPr="00864976">
        <w:rPr>
          <w:rFonts w:cs="Arial"/>
          <w:bCs/>
          <w:snapToGrid w:val="0"/>
        </w:rPr>
        <w:t>T</w:t>
      </w:r>
      <w:r w:rsidRPr="00864976">
        <w:rPr>
          <w:rFonts w:cs="Arial"/>
          <w:bCs/>
          <w:snapToGrid w:val="0"/>
        </w:rPr>
        <w:t xml:space="preserve">he </w:t>
      </w:r>
      <w:r w:rsidR="00536973" w:rsidRPr="00864976">
        <w:rPr>
          <w:rFonts w:cs="Arial"/>
          <w:bCs/>
          <w:snapToGrid w:val="0"/>
        </w:rPr>
        <w:t xml:space="preserve">PBAC noted the </w:t>
      </w:r>
      <w:r w:rsidRPr="00864976">
        <w:rPr>
          <w:rFonts w:cs="Arial"/>
          <w:bCs/>
          <w:snapToGrid w:val="0"/>
        </w:rPr>
        <w:t xml:space="preserve">primary outcome was </w:t>
      </w:r>
      <w:r w:rsidR="00536973" w:rsidRPr="00864976">
        <w:rPr>
          <w:rFonts w:cs="Arial"/>
          <w:bCs/>
          <w:snapToGrid w:val="0"/>
        </w:rPr>
        <w:t>the rate</w:t>
      </w:r>
      <w:r w:rsidRPr="00864976">
        <w:rPr>
          <w:rFonts w:cs="Arial"/>
          <w:bCs/>
          <w:snapToGrid w:val="0"/>
        </w:rPr>
        <w:t xml:space="preserve"> of severe asthma exacerbations per patient per year</w:t>
      </w:r>
      <w:r w:rsidR="00FE401A" w:rsidRPr="00864976">
        <w:rPr>
          <w:rFonts w:cs="Arial"/>
          <w:bCs/>
          <w:snapToGrid w:val="0"/>
        </w:rPr>
        <w:t xml:space="preserve">, with the relative rate </w:t>
      </w:r>
      <w:r w:rsidRPr="00864976">
        <w:rPr>
          <w:rFonts w:cs="Arial"/>
          <w:bCs/>
          <w:snapToGrid w:val="0"/>
        </w:rPr>
        <w:t xml:space="preserve">0.69 (95% CI: 0.48, 1.00; p value = 0.049) for </w:t>
      </w:r>
      <w:proofErr w:type="spellStart"/>
      <w:r w:rsidRPr="00864976">
        <w:rPr>
          <w:rFonts w:cs="Arial"/>
          <w:bCs/>
          <w:snapToGrid w:val="0"/>
        </w:rPr>
        <w:t>Symbicort</w:t>
      </w:r>
      <w:proofErr w:type="spellEnd"/>
      <w:r w:rsidRPr="00864976">
        <w:rPr>
          <w:rFonts w:cs="Arial"/>
          <w:bCs/>
          <w:snapToGrid w:val="0"/>
        </w:rPr>
        <w:t xml:space="preserve"> as needed versus ICS+SABA.</w:t>
      </w:r>
      <w:r w:rsidR="00FE401A" w:rsidRPr="00864976">
        <w:rPr>
          <w:rFonts w:cs="Arial"/>
          <w:bCs/>
          <w:snapToGrid w:val="0"/>
          <w:vertAlign w:val="superscript"/>
        </w:rPr>
        <w:t>5</w:t>
      </w:r>
      <w:r w:rsidRPr="00864976">
        <w:rPr>
          <w:rFonts w:cs="Arial"/>
          <w:bCs/>
          <w:snapToGrid w:val="0"/>
        </w:rPr>
        <w:t xml:space="preserve"> </w:t>
      </w:r>
      <w:r w:rsidR="00FE401A" w:rsidRPr="00864976">
        <w:rPr>
          <w:rFonts w:cs="Arial"/>
          <w:bCs/>
          <w:snapToGrid w:val="0"/>
        </w:rPr>
        <w:t xml:space="preserve">The PBAC also noted the combined moderate and severe asthma exacerbation rate was lower with </w:t>
      </w:r>
      <w:proofErr w:type="spellStart"/>
      <w:r w:rsidR="00FE401A" w:rsidRPr="00864976">
        <w:rPr>
          <w:rFonts w:cs="Arial"/>
          <w:bCs/>
          <w:snapToGrid w:val="0"/>
        </w:rPr>
        <w:t>Symbicort</w:t>
      </w:r>
      <w:proofErr w:type="spellEnd"/>
      <w:r w:rsidR="00FE401A" w:rsidRPr="00864976">
        <w:rPr>
          <w:rFonts w:cs="Arial"/>
          <w:bCs/>
          <w:snapToGrid w:val="0"/>
        </w:rPr>
        <w:t xml:space="preserve"> than ICS+SABA (relative rate, 0.70; 95% CI:</w:t>
      </w:r>
      <w:r w:rsidR="00333D3B" w:rsidRPr="00864976">
        <w:rPr>
          <w:rFonts w:cs="Arial"/>
          <w:bCs/>
          <w:snapToGrid w:val="0"/>
        </w:rPr>
        <w:t xml:space="preserve"> </w:t>
      </w:r>
      <w:r w:rsidR="00FE401A" w:rsidRPr="00864976">
        <w:rPr>
          <w:rFonts w:cs="Arial"/>
          <w:bCs/>
          <w:snapToGrid w:val="0"/>
        </w:rPr>
        <w:t>0.51, 0.95) and</w:t>
      </w:r>
      <w:r w:rsidRPr="00864976">
        <w:rPr>
          <w:rFonts w:cs="Arial"/>
          <w:bCs/>
          <w:snapToGrid w:val="0"/>
        </w:rPr>
        <w:t xml:space="preserve"> that 60% less ICS was consumed in the </w:t>
      </w:r>
      <w:proofErr w:type="spellStart"/>
      <w:r w:rsidRPr="00864976">
        <w:rPr>
          <w:rFonts w:cs="Arial"/>
          <w:bCs/>
          <w:snapToGrid w:val="0"/>
        </w:rPr>
        <w:t>Symbicort</w:t>
      </w:r>
      <w:proofErr w:type="spellEnd"/>
      <w:r w:rsidRPr="00864976">
        <w:rPr>
          <w:rFonts w:cs="Arial"/>
          <w:bCs/>
          <w:snapToGrid w:val="0"/>
        </w:rPr>
        <w:t xml:space="preserve"> arm.</w:t>
      </w:r>
      <w:r w:rsidR="007C1482" w:rsidRPr="001F339C">
        <w:rPr>
          <w:bCs/>
          <w:vertAlign w:val="superscript"/>
        </w:rPr>
        <w:t>5</w:t>
      </w:r>
      <w:r w:rsidRPr="00864976">
        <w:rPr>
          <w:rFonts w:cs="Arial"/>
          <w:bCs/>
          <w:snapToGrid w:val="0"/>
        </w:rPr>
        <w:t xml:space="preserve"> </w:t>
      </w:r>
    </w:p>
    <w:p w:rsidR="00977BF3" w:rsidRPr="001F339C" w:rsidRDefault="005A3173" w:rsidP="00AA4D70">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Economic analysis</w:t>
      </w:r>
    </w:p>
    <w:p w:rsidR="00F66893" w:rsidRPr="001F339C" w:rsidRDefault="00F66893" w:rsidP="00F66893">
      <w:pPr>
        <w:pStyle w:val="Bodytextitalics"/>
        <w:jc w:val="both"/>
        <w:rPr>
          <w:rFonts w:cstheme="minorHAnsi"/>
          <w:i w:val="0"/>
          <w:szCs w:val="24"/>
        </w:rPr>
      </w:pPr>
      <w:r w:rsidRPr="008922C6">
        <w:rPr>
          <w:rFonts w:cstheme="minorHAnsi"/>
          <w:i w:val="0"/>
          <w:szCs w:val="24"/>
        </w:rPr>
        <w:t xml:space="preserve">At its July 2019 meeting, the PBAC considered that a cost-minimisation base case that incorporated the likelihood of a patient having more than one </w:t>
      </w:r>
      <w:proofErr w:type="spellStart"/>
      <w:r w:rsidRPr="008922C6">
        <w:rPr>
          <w:rFonts w:cstheme="minorHAnsi"/>
          <w:i w:val="0"/>
          <w:szCs w:val="24"/>
        </w:rPr>
        <w:t>Symbicort</w:t>
      </w:r>
      <w:proofErr w:type="spellEnd"/>
      <w:r w:rsidRPr="008922C6">
        <w:rPr>
          <w:rFonts w:cstheme="minorHAnsi"/>
          <w:i w:val="0"/>
          <w:szCs w:val="24"/>
        </w:rPr>
        <w:t xml:space="preserve"> inhaler in use at a time and a more conservative split between the </w:t>
      </w:r>
      <w:proofErr w:type="spellStart"/>
      <w:r w:rsidRPr="008922C6">
        <w:rPr>
          <w:rFonts w:cstheme="minorHAnsi"/>
          <w:i w:val="0"/>
          <w:szCs w:val="24"/>
        </w:rPr>
        <w:t>Symbicort</w:t>
      </w:r>
      <w:proofErr w:type="spellEnd"/>
      <w:r w:rsidRPr="008922C6">
        <w:rPr>
          <w:rFonts w:cstheme="minorHAnsi"/>
          <w:i w:val="0"/>
          <w:szCs w:val="24"/>
        </w:rPr>
        <w:t xml:space="preserve"> </w:t>
      </w:r>
      <w:proofErr w:type="spellStart"/>
      <w:r w:rsidRPr="008922C6">
        <w:rPr>
          <w:rFonts w:cstheme="minorHAnsi"/>
          <w:i w:val="0"/>
          <w:szCs w:val="24"/>
        </w:rPr>
        <w:t>Turbuhaler</w:t>
      </w:r>
      <w:proofErr w:type="spellEnd"/>
      <w:r w:rsidRPr="008922C6">
        <w:rPr>
          <w:rFonts w:cstheme="minorHAnsi"/>
          <w:i w:val="0"/>
          <w:szCs w:val="24"/>
        </w:rPr>
        <w:t xml:space="preserve"> 200/6 and </w:t>
      </w:r>
      <w:proofErr w:type="spellStart"/>
      <w:r w:rsidRPr="008922C6">
        <w:rPr>
          <w:rFonts w:cstheme="minorHAnsi"/>
          <w:i w:val="0"/>
          <w:szCs w:val="24"/>
        </w:rPr>
        <w:t>Symbicort</w:t>
      </w:r>
      <w:proofErr w:type="spellEnd"/>
      <w:r w:rsidRPr="008922C6">
        <w:rPr>
          <w:rFonts w:cstheme="minorHAnsi"/>
          <w:i w:val="0"/>
          <w:szCs w:val="24"/>
        </w:rPr>
        <w:t xml:space="preserve"> </w:t>
      </w:r>
      <w:proofErr w:type="spellStart"/>
      <w:r w:rsidRPr="008922C6">
        <w:rPr>
          <w:rFonts w:cstheme="minorHAnsi"/>
          <w:i w:val="0"/>
          <w:szCs w:val="24"/>
        </w:rPr>
        <w:t>Rapihaler</w:t>
      </w:r>
      <w:proofErr w:type="spellEnd"/>
      <w:r w:rsidRPr="008922C6">
        <w:rPr>
          <w:rFonts w:cstheme="minorHAnsi"/>
          <w:i w:val="0"/>
          <w:szCs w:val="24"/>
        </w:rPr>
        <w:t xml:space="preserve"> 100/3 devices would be more</w:t>
      </w:r>
      <w:r w:rsidRPr="001F339C">
        <w:rPr>
          <w:rFonts w:cstheme="minorHAnsi"/>
          <w:i w:val="0"/>
          <w:szCs w:val="24"/>
        </w:rPr>
        <w:t xml:space="preserve"> appropriate (paragraph 7.10</w:t>
      </w:r>
      <w:r w:rsidR="001952D2" w:rsidRPr="001F339C">
        <w:rPr>
          <w:rFonts w:cstheme="minorHAnsi"/>
          <w:i w:val="0"/>
          <w:szCs w:val="24"/>
        </w:rPr>
        <w:t>,</w:t>
      </w:r>
      <w:r w:rsidR="00530F0E" w:rsidRPr="001F339C">
        <w:rPr>
          <w:rFonts w:cstheme="minorHAnsi"/>
          <w:i w:val="0"/>
          <w:szCs w:val="24"/>
        </w:rPr>
        <w:t xml:space="preserve"> </w:t>
      </w:r>
      <w:proofErr w:type="spellStart"/>
      <w:r w:rsidR="00530F0E" w:rsidRPr="001F339C">
        <w:rPr>
          <w:rFonts w:cstheme="minorHAnsi"/>
          <w:i w:val="0"/>
          <w:szCs w:val="24"/>
        </w:rPr>
        <w:t>Symbicort</w:t>
      </w:r>
      <w:proofErr w:type="spellEnd"/>
      <w:r w:rsidR="00530F0E" w:rsidRPr="001F339C">
        <w:rPr>
          <w:rFonts w:cstheme="minorHAnsi"/>
          <w:i w:val="0"/>
          <w:szCs w:val="24"/>
        </w:rPr>
        <w:t>, PSD</w:t>
      </w:r>
      <w:r w:rsidR="001952D2" w:rsidRPr="001F339C">
        <w:rPr>
          <w:rFonts w:cstheme="minorHAnsi"/>
          <w:i w:val="0"/>
          <w:szCs w:val="24"/>
        </w:rPr>
        <w:t>, July 2019 PBAC meeting</w:t>
      </w:r>
      <w:r w:rsidRPr="001F339C">
        <w:rPr>
          <w:rFonts w:cstheme="minorHAnsi"/>
          <w:i w:val="0"/>
          <w:szCs w:val="24"/>
        </w:rPr>
        <w:t xml:space="preserve">). </w:t>
      </w:r>
    </w:p>
    <w:p w:rsidR="00973650" w:rsidRPr="001F339C" w:rsidRDefault="00AA2BE8" w:rsidP="00DB5CD4">
      <w:pPr>
        <w:pStyle w:val="Bodytextitalics"/>
        <w:jc w:val="both"/>
        <w:rPr>
          <w:rFonts w:cstheme="minorHAnsi"/>
          <w:szCs w:val="24"/>
        </w:rPr>
      </w:pPr>
      <w:r w:rsidRPr="001F339C">
        <w:rPr>
          <w:rFonts w:cstheme="minorHAnsi"/>
          <w:i w:val="0"/>
          <w:szCs w:val="24"/>
        </w:rPr>
        <w:t>T</w:t>
      </w:r>
      <w:r w:rsidR="00973650" w:rsidRPr="001F339C">
        <w:rPr>
          <w:rFonts w:cstheme="minorHAnsi"/>
          <w:i w:val="0"/>
          <w:szCs w:val="24"/>
        </w:rPr>
        <w:t>h</w:t>
      </w:r>
      <w:r w:rsidR="00585EB1" w:rsidRPr="001F339C">
        <w:rPr>
          <w:rFonts w:cstheme="minorHAnsi"/>
          <w:i w:val="0"/>
          <w:szCs w:val="24"/>
        </w:rPr>
        <w:t>e</w:t>
      </w:r>
      <w:r w:rsidR="00973650" w:rsidRPr="001F339C">
        <w:rPr>
          <w:rFonts w:cstheme="minorHAnsi"/>
          <w:i w:val="0"/>
          <w:szCs w:val="24"/>
        </w:rPr>
        <w:t xml:space="preserve"> resubmission presented an updated cost-minimi</w:t>
      </w:r>
      <w:r w:rsidR="007A3AB3" w:rsidRPr="001F339C">
        <w:rPr>
          <w:rFonts w:cstheme="minorHAnsi"/>
          <w:i w:val="0"/>
          <w:szCs w:val="24"/>
        </w:rPr>
        <w:t xml:space="preserve">sation analysis (see Table 2), which included </w:t>
      </w:r>
      <w:r w:rsidR="00973650" w:rsidRPr="001F339C">
        <w:rPr>
          <w:rFonts w:cstheme="minorHAnsi"/>
          <w:i w:val="0"/>
          <w:szCs w:val="24"/>
        </w:rPr>
        <w:t xml:space="preserve">the following changes: </w:t>
      </w:r>
    </w:p>
    <w:p w:rsidR="00973650" w:rsidRPr="001F339C" w:rsidRDefault="007A3AB3" w:rsidP="002104AB">
      <w:pPr>
        <w:pStyle w:val="Bodytextitalics"/>
        <w:numPr>
          <w:ilvl w:val="0"/>
          <w:numId w:val="12"/>
        </w:numPr>
        <w:jc w:val="both"/>
        <w:rPr>
          <w:rFonts w:cstheme="minorHAnsi"/>
          <w:szCs w:val="24"/>
        </w:rPr>
      </w:pPr>
      <w:r w:rsidRPr="001F339C">
        <w:rPr>
          <w:rFonts w:cstheme="minorHAnsi"/>
          <w:i w:val="0"/>
          <w:szCs w:val="24"/>
        </w:rPr>
        <w:lastRenderedPageBreak/>
        <w:t xml:space="preserve">The </w:t>
      </w:r>
      <w:r w:rsidR="00AF2EC3" w:rsidRPr="001F339C">
        <w:rPr>
          <w:rFonts w:cstheme="minorHAnsi"/>
          <w:i w:val="0"/>
          <w:szCs w:val="24"/>
        </w:rPr>
        <w:t xml:space="preserve">market </w:t>
      </w:r>
      <w:r w:rsidRPr="001F339C">
        <w:rPr>
          <w:rFonts w:cstheme="minorHAnsi"/>
          <w:i w:val="0"/>
          <w:szCs w:val="24"/>
        </w:rPr>
        <w:t>split between the devices (</w:t>
      </w:r>
      <w:proofErr w:type="spellStart"/>
      <w:r w:rsidRPr="001F339C">
        <w:rPr>
          <w:rFonts w:cstheme="minorHAnsi"/>
          <w:i w:val="0"/>
          <w:szCs w:val="24"/>
        </w:rPr>
        <w:t>Symbicort</w:t>
      </w:r>
      <w:proofErr w:type="spellEnd"/>
      <w:r w:rsidRPr="001F339C">
        <w:rPr>
          <w:rFonts w:cstheme="minorHAnsi"/>
          <w:i w:val="0"/>
          <w:szCs w:val="24"/>
        </w:rPr>
        <w:t xml:space="preserve"> </w:t>
      </w:r>
      <w:proofErr w:type="spellStart"/>
      <w:r w:rsidRPr="001F339C">
        <w:rPr>
          <w:rFonts w:cstheme="minorHAnsi"/>
          <w:i w:val="0"/>
          <w:szCs w:val="24"/>
        </w:rPr>
        <w:t>Turbuhaler</w:t>
      </w:r>
      <w:proofErr w:type="spellEnd"/>
      <w:r w:rsidRPr="001F339C">
        <w:rPr>
          <w:rFonts w:cstheme="minorHAnsi"/>
          <w:i w:val="0"/>
          <w:szCs w:val="24"/>
        </w:rPr>
        <w:t xml:space="preserve"> 200/6 and </w:t>
      </w:r>
      <w:proofErr w:type="spellStart"/>
      <w:r w:rsidRPr="001F339C">
        <w:rPr>
          <w:rFonts w:cstheme="minorHAnsi"/>
          <w:i w:val="0"/>
          <w:szCs w:val="24"/>
        </w:rPr>
        <w:t>Symbicort</w:t>
      </w:r>
      <w:proofErr w:type="spellEnd"/>
      <w:r w:rsidRPr="001F339C">
        <w:rPr>
          <w:rFonts w:cstheme="minorHAnsi"/>
          <w:i w:val="0"/>
          <w:szCs w:val="24"/>
        </w:rPr>
        <w:t xml:space="preserve"> </w:t>
      </w:r>
      <w:proofErr w:type="spellStart"/>
      <w:r w:rsidRPr="001F339C">
        <w:rPr>
          <w:rFonts w:cstheme="minorHAnsi"/>
          <w:i w:val="0"/>
          <w:szCs w:val="24"/>
        </w:rPr>
        <w:t>Rapihaler</w:t>
      </w:r>
      <w:proofErr w:type="spellEnd"/>
      <w:r w:rsidRPr="001F339C">
        <w:rPr>
          <w:rFonts w:cstheme="minorHAnsi"/>
          <w:i w:val="0"/>
          <w:szCs w:val="24"/>
        </w:rPr>
        <w:t xml:space="preserve"> 100/3) was</w:t>
      </w:r>
      <w:r w:rsidR="002770F6" w:rsidRPr="001F339C">
        <w:rPr>
          <w:rFonts w:cstheme="minorHAnsi"/>
          <w:i w:val="0"/>
          <w:szCs w:val="24"/>
        </w:rPr>
        <w:t xml:space="preserve"> adjusted to</w:t>
      </w:r>
      <w:r w:rsidRPr="001F339C">
        <w:rPr>
          <w:rFonts w:cstheme="minorHAnsi"/>
          <w:i w:val="0"/>
          <w:szCs w:val="24"/>
        </w:rPr>
        <w:t xml:space="preserve"> </w:t>
      </w:r>
      <w:r w:rsidR="002770F6" w:rsidRPr="001F339C">
        <w:rPr>
          <w:rFonts w:cstheme="minorHAnsi"/>
          <w:i w:val="0"/>
          <w:szCs w:val="24"/>
        </w:rPr>
        <w:t>60% and 40% respectively (changed</w:t>
      </w:r>
      <w:r w:rsidRPr="001F339C">
        <w:rPr>
          <w:rFonts w:cstheme="minorHAnsi"/>
          <w:i w:val="0"/>
          <w:szCs w:val="24"/>
        </w:rPr>
        <w:t xml:space="preserve"> from the 93% and 7% assumption </w:t>
      </w:r>
      <w:r w:rsidR="002770F6" w:rsidRPr="001F339C">
        <w:rPr>
          <w:rFonts w:cstheme="minorHAnsi"/>
          <w:i w:val="0"/>
          <w:szCs w:val="24"/>
        </w:rPr>
        <w:t>in the previous submission</w:t>
      </w:r>
      <w:r w:rsidRPr="001F339C">
        <w:rPr>
          <w:rFonts w:cstheme="minorHAnsi"/>
          <w:i w:val="0"/>
          <w:szCs w:val="24"/>
        </w:rPr>
        <w:t xml:space="preserve">). </w:t>
      </w:r>
    </w:p>
    <w:p w:rsidR="007A3AB3" w:rsidRPr="001F339C" w:rsidRDefault="007A3AB3" w:rsidP="002104AB">
      <w:pPr>
        <w:pStyle w:val="Bodytextitalics"/>
        <w:numPr>
          <w:ilvl w:val="0"/>
          <w:numId w:val="12"/>
        </w:numPr>
        <w:jc w:val="both"/>
        <w:rPr>
          <w:rFonts w:cstheme="minorHAnsi"/>
          <w:szCs w:val="24"/>
        </w:rPr>
      </w:pPr>
      <w:r w:rsidRPr="001F339C">
        <w:rPr>
          <w:rFonts w:cstheme="minorHAnsi"/>
          <w:i w:val="0"/>
          <w:szCs w:val="24"/>
        </w:rPr>
        <w:t>The d</w:t>
      </w:r>
      <w:r w:rsidR="002770F6" w:rsidRPr="001F339C">
        <w:rPr>
          <w:rFonts w:cstheme="minorHAnsi"/>
          <w:i w:val="0"/>
          <w:szCs w:val="24"/>
        </w:rPr>
        <w:t>ose for salbutamol was adjusted</w:t>
      </w:r>
      <w:r w:rsidR="004263EF" w:rsidRPr="001F339C">
        <w:rPr>
          <w:rFonts w:cstheme="minorHAnsi"/>
          <w:i w:val="0"/>
          <w:szCs w:val="24"/>
        </w:rPr>
        <w:t xml:space="preserve"> based on ESC advice</w:t>
      </w:r>
      <w:r w:rsidR="001F339C">
        <w:rPr>
          <w:rFonts w:cstheme="minorHAnsi"/>
          <w:i w:val="0"/>
          <w:szCs w:val="24"/>
        </w:rPr>
        <w:t xml:space="preserve">. </w:t>
      </w:r>
    </w:p>
    <w:p w:rsidR="007A3AB3" w:rsidRPr="001F339C" w:rsidRDefault="007A3AB3" w:rsidP="00810B15">
      <w:pPr>
        <w:pStyle w:val="Bodytextitalics"/>
        <w:keepNext/>
        <w:keepLines/>
        <w:numPr>
          <w:ilvl w:val="0"/>
          <w:numId w:val="0"/>
        </w:numPr>
        <w:spacing w:after="0"/>
        <w:ind w:left="720" w:hanging="720"/>
        <w:rPr>
          <w:rFonts w:ascii="Arial Narrow" w:hAnsi="Arial Narrow" w:cstheme="minorHAnsi"/>
          <w:b/>
          <w:i w:val="0"/>
          <w:sz w:val="20"/>
          <w:szCs w:val="20"/>
        </w:rPr>
      </w:pPr>
      <w:r w:rsidRPr="001F339C">
        <w:rPr>
          <w:rFonts w:ascii="Arial Narrow" w:hAnsi="Arial Narrow" w:cstheme="minorHAnsi"/>
          <w:b/>
          <w:i w:val="0"/>
          <w:sz w:val="20"/>
          <w:szCs w:val="20"/>
        </w:rPr>
        <w:t>Table 2: Updated cost-minimisation analysis</w:t>
      </w:r>
      <w:r w:rsidR="00F141BB" w:rsidRPr="001F339C">
        <w:rPr>
          <w:rFonts w:ascii="Arial Narrow" w:hAnsi="Arial Narrow" w:cstheme="minorHAnsi"/>
          <w:b/>
          <w:i w:val="0"/>
          <w:sz w:val="20"/>
          <w:szCs w:val="20"/>
        </w:rPr>
        <w:t xml:space="preserve"> (based on DPMQ)</w:t>
      </w:r>
    </w:p>
    <w:tbl>
      <w:tblPr>
        <w:tblStyle w:val="TableGrid"/>
        <w:tblW w:w="0" w:type="auto"/>
        <w:tblLook w:val="04A0" w:firstRow="1" w:lastRow="0" w:firstColumn="1" w:lastColumn="0" w:noHBand="0" w:noVBand="1"/>
        <w:tblCaption w:val="Table 2: Updated cost-minimisation analysis (based on DPMQ)"/>
      </w:tblPr>
      <w:tblGrid>
        <w:gridCol w:w="2830"/>
        <w:gridCol w:w="1431"/>
        <w:gridCol w:w="1546"/>
        <w:gridCol w:w="1701"/>
        <w:gridCol w:w="1508"/>
      </w:tblGrid>
      <w:tr w:rsidR="007A3AB3" w:rsidRPr="001F339C" w:rsidTr="00DF79FB">
        <w:trPr>
          <w:trHeight w:val="1035"/>
          <w:tblHeader/>
        </w:trPr>
        <w:tc>
          <w:tcPr>
            <w:tcW w:w="2830" w:type="dxa"/>
            <w:hideMark/>
          </w:tcPr>
          <w:p w:rsidR="007A3AB3" w:rsidRPr="008922C6" w:rsidRDefault="007A3AB3" w:rsidP="00810B15">
            <w:pPr>
              <w:keepNext/>
              <w:keepLines/>
              <w:jc w:val="both"/>
              <w:rPr>
                <w:rFonts w:ascii="Arial Narrow" w:hAnsi="Arial Narrow"/>
                <w:b/>
                <w:bCs/>
                <w:sz w:val="20"/>
                <w:szCs w:val="20"/>
              </w:rPr>
            </w:pPr>
            <w:r w:rsidRPr="008922C6">
              <w:rPr>
                <w:rFonts w:ascii="Arial Narrow" w:hAnsi="Arial Narrow"/>
                <w:b/>
                <w:bCs/>
                <w:sz w:val="20"/>
                <w:szCs w:val="20"/>
              </w:rPr>
              <w:t> </w:t>
            </w:r>
          </w:p>
        </w:tc>
        <w:tc>
          <w:tcPr>
            <w:tcW w:w="1431" w:type="dxa"/>
            <w:hideMark/>
          </w:tcPr>
          <w:p w:rsidR="007A3AB3" w:rsidRPr="001F339C" w:rsidRDefault="007A3AB3" w:rsidP="005102D6">
            <w:pPr>
              <w:keepNext/>
              <w:keepLines/>
              <w:jc w:val="center"/>
              <w:rPr>
                <w:rFonts w:ascii="Arial Narrow" w:hAnsi="Arial Narrow"/>
                <w:b/>
                <w:bCs/>
                <w:sz w:val="20"/>
                <w:szCs w:val="20"/>
              </w:rPr>
            </w:pPr>
            <w:proofErr w:type="spellStart"/>
            <w:r w:rsidRPr="001F339C">
              <w:rPr>
                <w:rFonts w:ascii="Arial Narrow" w:hAnsi="Arial Narrow"/>
                <w:b/>
                <w:bCs/>
                <w:sz w:val="20"/>
                <w:szCs w:val="20"/>
              </w:rPr>
              <w:t>Symbicort</w:t>
            </w:r>
            <w:proofErr w:type="spellEnd"/>
            <w:r w:rsidRPr="001F339C">
              <w:rPr>
                <w:rFonts w:ascii="Arial Narrow" w:hAnsi="Arial Narrow"/>
                <w:b/>
                <w:bCs/>
                <w:sz w:val="20"/>
                <w:szCs w:val="20"/>
              </w:rPr>
              <w:t xml:space="preserve"> </w:t>
            </w:r>
            <w:proofErr w:type="spellStart"/>
            <w:r w:rsidRPr="001F339C">
              <w:rPr>
                <w:rFonts w:ascii="Arial Narrow" w:hAnsi="Arial Narrow"/>
                <w:b/>
                <w:bCs/>
                <w:sz w:val="20"/>
                <w:szCs w:val="20"/>
              </w:rPr>
              <w:t>Turbuhaler</w:t>
            </w:r>
            <w:proofErr w:type="spellEnd"/>
            <w:r w:rsidRPr="001F339C">
              <w:rPr>
                <w:rFonts w:ascii="Arial Narrow" w:hAnsi="Arial Narrow"/>
                <w:b/>
                <w:bCs/>
                <w:sz w:val="20"/>
                <w:szCs w:val="20"/>
              </w:rPr>
              <w:t xml:space="preserve"> 200/6 mcg</w:t>
            </w:r>
          </w:p>
        </w:tc>
        <w:tc>
          <w:tcPr>
            <w:tcW w:w="1546" w:type="dxa"/>
            <w:hideMark/>
          </w:tcPr>
          <w:p w:rsidR="007A3AB3" w:rsidRPr="001F339C" w:rsidRDefault="007A3AB3" w:rsidP="00DF6B44">
            <w:pPr>
              <w:keepNext/>
              <w:keepLines/>
              <w:jc w:val="center"/>
              <w:rPr>
                <w:rFonts w:ascii="Arial Narrow" w:hAnsi="Arial Narrow"/>
                <w:b/>
                <w:bCs/>
                <w:sz w:val="20"/>
                <w:szCs w:val="20"/>
              </w:rPr>
            </w:pPr>
            <w:proofErr w:type="spellStart"/>
            <w:r w:rsidRPr="001F339C">
              <w:rPr>
                <w:rFonts w:ascii="Arial Narrow" w:hAnsi="Arial Narrow"/>
                <w:b/>
                <w:bCs/>
                <w:sz w:val="20"/>
                <w:szCs w:val="20"/>
              </w:rPr>
              <w:t>Symbicort</w:t>
            </w:r>
            <w:proofErr w:type="spellEnd"/>
            <w:r w:rsidRPr="001F339C">
              <w:rPr>
                <w:rFonts w:ascii="Arial Narrow" w:hAnsi="Arial Narrow"/>
                <w:b/>
                <w:bCs/>
                <w:sz w:val="20"/>
                <w:szCs w:val="20"/>
              </w:rPr>
              <w:t xml:space="preserve"> </w:t>
            </w:r>
            <w:proofErr w:type="spellStart"/>
            <w:r w:rsidRPr="001F339C">
              <w:rPr>
                <w:rFonts w:ascii="Arial Narrow" w:hAnsi="Arial Narrow"/>
                <w:b/>
                <w:bCs/>
                <w:sz w:val="20"/>
                <w:szCs w:val="20"/>
              </w:rPr>
              <w:t>Rapihaler</w:t>
            </w:r>
            <w:proofErr w:type="spellEnd"/>
            <w:r w:rsidRPr="001F339C">
              <w:rPr>
                <w:rFonts w:ascii="Arial Narrow" w:hAnsi="Arial Narrow"/>
                <w:b/>
                <w:bCs/>
                <w:sz w:val="20"/>
                <w:szCs w:val="20"/>
              </w:rPr>
              <w:t xml:space="preserve"> 100/3 mcg</w:t>
            </w:r>
          </w:p>
        </w:tc>
        <w:tc>
          <w:tcPr>
            <w:tcW w:w="1701" w:type="dxa"/>
            <w:hideMark/>
          </w:tcPr>
          <w:p w:rsidR="007A3AB3" w:rsidRPr="001F339C" w:rsidRDefault="007A3AB3" w:rsidP="00E64423">
            <w:pPr>
              <w:keepNext/>
              <w:keepLines/>
              <w:jc w:val="center"/>
              <w:rPr>
                <w:rFonts w:ascii="Arial Narrow" w:hAnsi="Arial Narrow"/>
                <w:b/>
                <w:bCs/>
                <w:sz w:val="20"/>
                <w:szCs w:val="20"/>
              </w:rPr>
            </w:pPr>
            <w:r w:rsidRPr="001F339C">
              <w:rPr>
                <w:rFonts w:ascii="Arial Narrow" w:hAnsi="Arial Narrow"/>
                <w:b/>
                <w:bCs/>
                <w:sz w:val="20"/>
                <w:szCs w:val="20"/>
              </w:rPr>
              <w:t xml:space="preserve">budesonide </w:t>
            </w:r>
            <w:proofErr w:type="spellStart"/>
            <w:r w:rsidRPr="001F339C">
              <w:rPr>
                <w:rFonts w:ascii="Arial Narrow" w:hAnsi="Arial Narrow"/>
                <w:b/>
                <w:bCs/>
                <w:sz w:val="20"/>
                <w:szCs w:val="20"/>
              </w:rPr>
              <w:t>Turbuhaler</w:t>
            </w:r>
            <w:proofErr w:type="spellEnd"/>
            <w:r w:rsidRPr="001F339C">
              <w:rPr>
                <w:rFonts w:ascii="Arial Narrow" w:hAnsi="Arial Narrow"/>
                <w:b/>
                <w:bCs/>
                <w:sz w:val="20"/>
                <w:szCs w:val="20"/>
              </w:rPr>
              <w:t xml:space="preserve"> 200 mcg</w:t>
            </w:r>
            <w:r w:rsidR="00DF6B44" w:rsidRPr="001F339C">
              <w:rPr>
                <w:rFonts w:ascii="Arial Narrow" w:hAnsi="Arial Narrow"/>
                <w:b/>
                <w:bCs/>
                <w:sz w:val="20"/>
                <w:szCs w:val="20"/>
              </w:rPr>
              <w:t xml:space="preserve"> (PBS item 2071B)</w:t>
            </w:r>
          </w:p>
        </w:tc>
        <w:tc>
          <w:tcPr>
            <w:tcW w:w="1508" w:type="dxa"/>
            <w:hideMark/>
          </w:tcPr>
          <w:p w:rsidR="007A3AB3" w:rsidRPr="001F339C" w:rsidRDefault="007A3AB3" w:rsidP="00F14E6C">
            <w:pPr>
              <w:keepNext/>
              <w:keepLines/>
              <w:jc w:val="center"/>
              <w:rPr>
                <w:rFonts w:ascii="Arial Narrow" w:hAnsi="Arial Narrow"/>
                <w:b/>
                <w:bCs/>
                <w:sz w:val="20"/>
                <w:szCs w:val="20"/>
              </w:rPr>
            </w:pPr>
            <w:r w:rsidRPr="001F339C">
              <w:rPr>
                <w:rFonts w:ascii="Arial Narrow" w:hAnsi="Arial Narrow"/>
                <w:b/>
                <w:bCs/>
                <w:sz w:val="20"/>
                <w:szCs w:val="20"/>
              </w:rPr>
              <w:t>salbutamol 100 mcg</w:t>
            </w:r>
            <w:r w:rsidR="00DF6B44" w:rsidRPr="001F339C">
              <w:rPr>
                <w:rFonts w:ascii="Arial Narrow" w:hAnsi="Arial Narrow"/>
                <w:b/>
                <w:bCs/>
                <w:sz w:val="20"/>
                <w:szCs w:val="20"/>
              </w:rPr>
              <w:t xml:space="preserve"> (PBS item  8288F)</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Equi-effective doses: budesonide or salbutamol (mean mcg per day)</w:t>
            </w:r>
            <w:r w:rsidR="007B6841" w:rsidRPr="001F339C">
              <w:rPr>
                <w:rFonts w:ascii="Arial Narrow" w:hAnsi="Arial Narrow"/>
                <w:sz w:val="20"/>
                <w:szCs w:val="20"/>
              </w:rPr>
              <w:t xml:space="preserve"> [A]</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83.2</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201</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78.4</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No. of Inhalations per pack</w:t>
            </w:r>
            <w:r w:rsidR="007B6841" w:rsidRPr="001F339C">
              <w:rPr>
                <w:rFonts w:ascii="Arial Narrow" w:hAnsi="Arial Narrow"/>
                <w:sz w:val="20"/>
                <w:szCs w:val="20"/>
              </w:rPr>
              <w:t xml:space="preserve"> [B</w:t>
            </w:r>
            <w:r w:rsidR="00F141BB" w:rsidRPr="001F339C">
              <w:rPr>
                <w:rFonts w:ascii="Arial Narrow" w:hAnsi="Arial Narrow"/>
                <w:sz w:val="20"/>
                <w:szCs w:val="20"/>
              </w:rPr>
              <w:t>]</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120</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200</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200</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 xml:space="preserve">Maximum </w:t>
            </w:r>
            <w:proofErr w:type="spellStart"/>
            <w:r w:rsidRPr="001F339C">
              <w:rPr>
                <w:rFonts w:ascii="Arial Narrow" w:hAnsi="Arial Narrow"/>
                <w:sz w:val="20"/>
                <w:szCs w:val="20"/>
              </w:rPr>
              <w:t>Qty</w:t>
            </w:r>
            <w:proofErr w:type="spellEnd"/>
            <w:r w:rsidRPr="001F339C">
              <w:rPr>
                <w:rFonts w:ascii="Arial Narrow" w:hAnsi="Arial Narrow"/>
                <w:sz w:val="20"/>
                <w:szCs w:val="20"/>
              </w:rPr>
              <w:t xml:space="preserve"> (packs)</w:t>
            </w:r>
            <w:r w:rsidR="007B6841" w:rsidRPr="001F339C">
              <w:rPr>
                <w:rFonts w:ascii="Arial Narrow" w:hAnsi="Arial Narrow"/>
                <w:sz w:val="20"/>
                <w:szCs w:val="20"/>
              </w:rPr>
              <w:t xml:space="preserve"> [C</w:t>
            </w:r>
            <w:r w:rsidR="00F141BB" w:rsidRPr="001F339C">
              <w:rPr>
                <w:rFonts w:ascii="Arial Narrow" w:hAnsi="Arial Narrow"/>
                <w:sz w:val="20"/>
                <w:szCs w:val="20"/>
              </w:rPr>
              <w:t>]</w:t>
            </w:r>
          </w:p>
        </w:tc>
        <w:tc>
          <w:tcPr>
            <w:tcW w:w="143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w:t>
            </w:r>
          </w:p>
        </w:tc>
        <w:tc>
          <w:tcPr>
            <w:tcW w:w="1546"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no of doses (based on max quantity dispensed)</w:t>
            </w:r>
            <w:r w:rsidR="007B6841" w:rsidRPr="001F339C">
              <w:rPr>
                <w:rFonts w:ascii="Arial Narrow" w:hAnsi="Arial Narrow"/>
                <w:sz w:val="20"/>
                <w:szCs w:val="20"/>
              </w:rPr>
              <w:t xml:space="preserve"> [D=</w:t>
            </w:r>
            <w:proofErr w:type="spellStart"/>
            <w:r w:rsidR="007B6841" w:rsidRPr="001F339C">
              <w:rPr>
                <w:rFonts w:ascii="Arial Narrow" w:hAnsi="Arial Narrow"/>
                <w:sz w:val="20"/>
                <w:szCs w:val="20"/>
              </w:rPr>
              <w:t>BxC</w:t>
            </w:r>
            <w:proofErr w:type="spellEnd"/>
            <w:r w:rsidR="00F141BB" w:rsidRPr="001F339C">
              <w:rPr>
                <w:rFonts w:ascii="Arial Narrow" w:hAnsi="Arial Narrow"/>
                <w:sz w:val="20"/>
                <w:szCs w:val="20"/>
              </w:rPr>
              <w:t>]</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120</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200</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400</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Delivered dose (mcg)</w:t>
            </w:r>
            <w:r w:rsidR="007B6841" w:rsidRPr="001F339C">
              <w:rPr>
                <w:rFonts w:ascii="Arial Narrow" w:hAnsi="Arial Narrow"/>
                <w:b/>
                <w:bCs/>
                <w:sz w:val="20"/>
                <w:szCs w:val="20"/>
                <w:vertAlign w:val="superscript"/>
              </w:rPr>
              <w:t xml:space="preserve"> </w:t>
            </w:r>
            <w:r w:rsidR="007B6841" w:rsidRPr="001F339C">
              <w:rPr>
                <w:rFonts w:ascii="Arial Narrow" w:hAnsi="Arial Narrow"/>
                <w:bCs/>
                <w:sz w:val="20"/>
                <w:szCs w:val="20"/>
              </w:rPr>
              <w:t>[E]</w:t>
            </w:r>
            <w:r w:rsidRPr="001F339C">
              <w:rPr>
                <w:rFonts w:ascii="Arial Narrow" w:hAnsi="Arial Narrow"/>
                <w:b/>
                <w:bCs/>
                <w:sz w:val="20"/>
                <w:szCs w:val="20"/>
                <w:vertAlign w:val="superscript"/>
              </w:rPr>
              <w:t xml:space="preserve"> </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160</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160</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100</w:t>
            </w:r>
          </w:p>
        </w:tc>
      </w:tr>
      <w:tr w:rsidR="007A3AB3" w:rsidRPr="001F339C" w:rsidTr="006A1CDF">
        <w:trPr>
          <w:trHeight w:val="300"/>
        </w:trPr>
        <w:tc>
          <w:tcPr>
            <w:tcW w:w="2830" w:type="dxa"/>
            <w:hideMark/>
          </w:tcPr>
          <w:p w:rsidR="007A3AB3" w:rsidRPr="001F339C" w:rsidRDefault="00400448" w:rsidP="00810B15">
            <w:pPr>
              <w:keepNext/>
              <w:keepLines/>
              <w:rPr>
                <w:rFonts w:ascii="Arial Narrow" w:hAnsi="Arial Narrow"/>
                <w:sz w:val="20"/>
                <w:szCs w:val="20"/>
              </w:rPr>
            </w:pPr>
            <w:r w:rsidRPr="001F339C">
              <w:rPr>
                <w:rFonts w:ascii="Arial Narrow" w:hAnsi="Arial Narrow"/>
                <w:sz w:val="20"/>
                <w:szCs w:val="20"/>
              </w:rPr>
              <w:t>DPMQ</w:t>
            </w:r>
            <w:r w:rsidR="007B6841" w:rsidRPr="001F339C">
              <w:rPr>
                <w:rFonts w:ascii="Arial Narrow" w:hAnsi="Arial Narrow"/>
                <w:sz w:val="20"/>
                <w:szCs w:val="20"/>
              </w:rPr>
              <w:t xml:space="preserve"> [F</w:t>
            </w:r>
            <w:r w:rsidR="00F141BB" w:rsidRPr="001F339C">
              <w:rPr>
                <w:rFonts w:ascii="Arial Narrow" w:hAnsi="Arial Narrow"/>
                <w:sz w:val="20"/>
                <w:szCs w:val="20"/>
              </w:rPr>
              <w:t>]</w:t>
            </w:r>
          </w:p>
        </w:tc>
        <w:tc>
          <w:tcPr>
            <w:tcW w:w="143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$44.64</w:t>
            </w:r>
          </w:p>
        </w:tc>
        <w:tc>
          <w:tcPr>
            <w:tcW w:w="1546"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$49.31</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$28.74</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$18.75</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 xml:space="preserve">Price per delivered dose </w:t>
            </w:r>
            <w:r w:rsidR="00F141BB" w:rsidRPr="001F339C">
              <w:rPr>
                <w:rFonts w:ascii="Arial Narrow" w:hAnsi="Arial Narrow"/>
                <w:sz w:val="20"/>
                <w:szCs w:val="20"/>
              </w:rPr>
              <w:t>[</w:t>
            </w:r>
            <w:r w:rsidR="00BC3A49" w:rsidRPr="001F339C">
              <w:rPr>
                <w:rFonts w:ascii="Arial Narrow" w:hAnsi="Arial Narrow"/>
                <w:sz w:val="20"/>
                <w:szCs w:val="20"/>
              </w:rPr>
              <w:t>G</w:t>
            </w:r>
            <w:r w:rsidR="00F141BB" w:rsidRPr="001F339C">
              <w:rPr>
                <w:rFonts w:ascii="Arial Narrow" w:hAnsi="Arial Narrow"/>
                <w:sz w:val="20"/>
                <w:szCs w:val="20"/>
              </w:rPr>
              <w:t>=</w:t>
            </w:r>
            <w:r w:rsidR="00BC3A49" w:rsidRPr="001F339C">
              <w:rPr>
                <w:rFonts w:ascii="Arial Narrow" w:hAnsi="Arial Narrow"/>
                <w:sz w:val="20"/>
                <w:szCs w:val="20"/>
              </w:rPr>
              <w:t>F/D</w:t>
            </w:r>
            <w:r w:rsidR="00F141BB" w:rsidRPr="001F339C">
              <w:rPr>
                <w:rFonts w:ascii="Arial Narrow" w:hAnsi="Arial Narrow"/>
                <w:sz w:val="20"/>
                <w:szCs w:val="20"/>
              </w:rPr>
              <w:t>]</w:t>
            </w:r>
          </w:p>
        </w:tc>
        <w:tc>
          <w:tcPr>
            <w:tcW w:w="143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$0.37</w:t>
            </w:r>
          </w:p>
        </w:tc>
        <w:tc>
          <w:tcPr>
            <w:tcW w:w="1546"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$0.41</w:t>
            </w:r>
          </w:p>
        </w:tc>
        <w:tc>
          <w:tcPr>
            <w:tcW w:w="170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$0.14</w:t>
            </w:r>
          </w:p>
        </w:tc>
        <w:tc>
          <w:tcPr>
            <w:tcW w:w="1508" w:type="dxa"/>
            <w:noWrap/>
            <w:hideMark/>
          </w:tcPr>
          <w:p w:rsidR="007A3AB3" w:rsidRPr="001F339C" w:rsidRDefault="00F141BB" w:rsidP="00810B15">
            <w:pPr>
              <w:keepNext/>
              <w:keepLines/>
              <w:jc w:val="center"/>
              <w:rPr>
                <w:rFonts w:ascii="Arial Narrow" w:hAnsi="Arial Narrow"/>
                <w:sz w:val="20"/>
                <w:szCs w:val="20"/>
              </w:rPr>
            </w:pPr>
            <w:r w:rsidRPr="001F339C">
              <w:rPr>
                <w:rFonts w:ascii="Arial Narrow" w:hAnsi="Arial Narrow"/>
                <w:sz w:val="20"/>
                <w:szCs w:val="20"/>
              </w:rPr>
              <w:t>$</w:t>
            </w:r>
            <w:r w:rsidR="007A3AB3" w:rsidRPr="001F339C">
              <w:rPr>
                <w:rFonts w:ascii="Arial Narrow" w:hAnsi="Arial Narrow"/>
                <w:sz w:val="20"/>
                <w:szCs w:val="20"/>
              </w:rPr>
              <w:t>0.05</w:t>
            </w:r>
          </w:p>
        </w:tc>
      </w:tr>
      <w:tr w:rsidR="007A3AB3" w:rsidRPr="001F339C" w:rsidTr="006A1CDF">
        <w:trPr>
          <w:trHeight w:val="300"/>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 of use</w:t>
            </w:r>
            <w:r w:rsidR="00BC3A49" w:rsidRPr="001F339C">
              <w:rPr>
                <w:rFonts w:ascii="Arial Narrow" w:hAnsi="Arial Narrow"/>
                <w:sz w:val="20"/>
                <w:szCs w:val="20"/>
              </w:rPr>
              <w:t xml:space="preserve"> [H]</w:t>
            </w:r>
          </w:p>
        </w:tc>
        <w:tc>
          <w:tcPr>
            <w:tcW w:w="1431" w:type="dxa"/>
            <w:hideMark/>
          </w:tcPr>
          <w:p w:rsidR="007A3AB3" w:rsidRPr="001F339C" w:rsidRDefault="007A3AB3" w:rsidP="00810B15">
            <w:pPr>
              <w:keepNext/>
              <w:keepLines/>
              <w:jc w:val="center"/>
              <w:rPr>
                <w:rFonts w:ascii="Arial Narrow" w:hAnsi="Arial Narrow"/>
                <w:b/>
                <w:sz w:val="20"/>
                <w:szCs w:val="20"/>
              </w:rPr>
            </w:pPr>
            <w:r w:rsidRPr="001F339C">
              <w:rPr>
                <w:rFonts w:ascii="Arial Narrow" w:hAnsi="Arial Narrow"/>
                <w:b/>
                <w:sz w:val="20"/>
                <w:szCs w:val="20"/>
              </w:rPr>
              <w:t>60%</w:t>
            </w:r>
          </w:p>
        </w:tc>
        <w:tc>
          <w:tcPr>
            <w:tcW w:w="1546" w:type="dxa"/>
            <w:hideMark/>
          </w:tcPr>
          <w:p w:rsidR="007A3AB3" w:rsidRPr="001F339C" w:rsidRDefault="007A3AB3" w:rsidP="00810B15">
            <w:pPr>
              <w:keepNext/>
              <w:keepLines/>
              <w:jc w:val="center"/>
              <w:rPr>
                <w:rFonts w:ascii="Arial Narrow" w:hAnsi="Arial Narrow"/>
                <w:b/>
                <w:sz w:val="20"/>
                <w:szCs w:val="20"/>
              </w:rPr>
            </w:pPr>
            <w:r w:rsidRPr="001F339C">
              <w:rPr>
                <w:rFonts w:ascii="Arial Narrow" w:hAnsi="Arial Narrow"/>
                <w:b/>
                <w:sz w:val="20"/>
                <w:szCs w:val="20"/>
              </w:rPr>
              <w:t>40%</w:t>
            </w:r>
          </w:p>
        </w:tc>
        <w:tc>
          <w:tcPr>
            <w:tcW w:w="1701" w:type="dxa"/>
            <w:noWrap/>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100%</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100%</w:t>
            </w:r>
          </w:p>
        </w:tc>
      </w:tr>
      <w:tr w:rsidR="007A3AB3" w:rsidRPr="001F339C" w:rsidTr="006A1CDF">
        <w:trPr>
          <w:trHeight w:val="319"/>
        </w:trPr>
        <w:tc>
          <w:tcPr>
            <w:tcW w:w="2830" w:type="dxa"/>
            <w:hideMark/>
          </w:tcPr>
          <w:p w:rsidR="00BC3A49" w:rsidRPr="001F339C" w:rsidRDefault="007A3AB3" w:rsidP="00810B15">
            <w:pPr>
              <w:keepNext/>
              <w:keepLines/>
              <w:rPr>
                <w:rFonts w:ascii="Arial Narrow" w:hAnsi="Arial Narrow"/>
                <w:sz w:val="20"/>
                <w:szCs w:val="20"/>
              </w:rPr>
            </w:pPr>
            <w:r w:rsidRPr="001F339C">
              <w:rPr>
                <w:rFonts w:ascii="Arial Narrow" w:hAnsi="Arial Narrow"/>
                <w:sz w:val="20"/>
                <w:szCs w:val="20"/>
              </w:rPr>
              <w:t>Price per dose (Weighted price), $</w:t>
            </w:r>
            <w:r w:rsidR="00BC3A49" w:rsidRPr="001F339C">
              <w:rPr>
                <w:rFonts w:ascii="Arial Narrow" w:hAnsi="Arial Narrow"/>
                <w:sz w:val="20"/>
                <w:szCs w:val="20"/>
              </w:rPr>
              <w:t xml:space="preserve"> [I=G*H]</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$0.39</w:t>
            </w:r>
          </w:p>
        </w:tc>
        <w:tc>
          <w:tcPr>
            <w:tcW w:w="1701" w:type="dxa"/>
            <w:noWrap/>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$0.14</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$0.05</w:t>
            </w:r>
          </w:p>
        </w:tc>
      </w:tr>
      <w:tr w:rsidR="007A3AB3" w:rsidRPr="001F339C" w:rsidTr="006A1CDF">
        <w:trPr>
          <w:trHeight w:val="319"/>
        </w:trPr>
        <w:tc>
          <w:tcPr>
            <w:tcW w:w="2830" w:type="dxa"/>
            <w:hideMark/>
          </w:tcPr>
          <w:p w:rsidR="00BC3A49" w:rsidRPr="001F339C" w:rsidRDefault="007A3AB3" w:rsidP="00810B15">
            <w:pPr>
              <w:keepNext/>
              <w:keepLines/>
              <w:rPr>
                <w:rFonts w:ascii="Arial Narrow" w:hAnsi="Arial Narrow"/>
                <w:sz w:val="20"/>
                <w:szCs w:val="20"/>
              </w:rPr>
            </w:pPr>
            <w:r w:rsidRPr="001F339C">
              <w:rPr>
                <w:rFonts w:ascii="Arial Narrow" w:hAnsi="Arial Narrow"/>
                <w:sz w:val="20"/>
                <w:szCs w:val="20"/>
              </w:rPr>
              <w:t>Cost per</w:t>
            </w:r>
            <w:r w:rsidR="00DF6B44" w:rsidRPr="001F339C">
              <w:rPr>
                <w:rFonts w:ascii="Arial Narrow" w:hAnsi="Arial Narrow"/>
                <w:sz w:val="20"/>
                <w:szCs w:val="20"/>
              </w:rPr>
              <w:t xml:space="preserve"> patient per</w:t>
            </w:r>
            <w:r w:rsidRPr="001F339C">
              <w:rPr>
                <w:rFonts w:ascii="Arial Narrow" w:hAnsi="Arial Narrow"/>
                <w:sz w:val="20"/>
                <w:szCs w:val="20"/>
              </w:rPr>
              <w:t xml:space="preserve"> day based on equi-effective doses</w:t>
            </w:r>
            <w:r w:rsidR="00BC3A49" w:rsidRPr="001F339C">
              <w:rPr>
                <w:rFonts w:ascii="Arial Narrow" w:hAnsi="Arial Narrow"/>
                <w:sz w:val="20"/>
                <w:szCs w:val="20"/>
              </w:rPr>
              <w:t xml:space="preserve"> [J=</w:t>
            </w:r>
            <w:proofErr w:type="spellStart"/>
            <w:r w:rsidR="00BC3A49" w:rsidRPr="001F339C">
              <w:rPr>
                <w:rFonts w:ascii="Arial Narrow" w:hAnsi="Arial Narrow"/>
                <w:sz w:val="20"/>
                <w:szCs w:val="20"/>
              </w:rPr>
              <w:t>IxA</w:t>
            </w:r>
            <w:proofErr w:type="spellEnd"/>
            <w:r w:rsidR="00BC3A49" w:rsidRPr="001F339C">
              <w:rPr>
                <w:rFonts w:ascii="Arial Narrow" w:hAnsi="Arial Narrow"/>
                <w:sz w:val="20"/>
                <w:szCs w:val="20"/>
              </w:rPr>
              <w:t>/E]</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$0.20</w:t>
            </w:r>
          </w:p>
        </w:tc>
        <w:tc>
          <w:tcPr>
            <w:tcW w:w="1701" w:type="dxa"/>
            <w:noWrap/>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$0.18</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$0.04</w:t>
            </w:r>
          </w:p>
        </w:tc>
      </w:tr>
      <w:tr w:rsidR="007A3AB3" w:rsidRPr="001F339C" w:rsidTr="006A1CDF">
        <w:trPr>
          <w:trHeight w:val="319"/>
        </w:trPr>
        <w:tc>
          <w:tcPr>
            <w:tcW w:w="2830" w:type="dxa"/>
            <w:hideMark/>
          </w:tcPr>
          <w:p w:rsidR="007A3AB3" w:rsidRPr="001F339C" w:rsidRDefault="007A3AB3" w:rsidP="00DF6B44">
            <w:pPr>
              <w:keepNext/>
              <w:keepLines/>
              <w:rPr>
                <w:rFonts w:ascii="Arial Narrow" w:hAnsi="Arial Narrow"/>
                <w:sz w:val="20"/>
                <w:szCs w:val="20"/>
              </w:rPr>
            </w:pPr>
            <w:r w:rsidRPr="001F339C">
              <w:rPr>
                <w:rFonts w:ascii="Arial Narrow" w:hAnsi="Arial Narrow"/>
                <w:sz w:val="20"/>
                <w:szCs w:val="20"/>
              </w:rPr>
              <w:t xml:space="preserve">Cost per </w:t>
            </w:r>
            <w:r w:rsidR="00DF6B44" w:rsidRPr="001F339C">
              <w:rPr>
                <w:rFonts w:ascii="Arial Narrow" w:hAnsi="Arial Narrow"/>
                <w:sz w:val="20"/>
                <w:szCs w:val="20"/>
              </w:rPr>
              <w:t xml:space="preserve">patient per </w:t>
            </w:r>
            <w:r w:rsidRPr="001F339C">
              <w:rPr>
                <w:rFonts w:ascii="Arial Narrow" w:hAnsi="Arial Narrow"/>
                <w:sz w:val="20"/>
                <w:szCs w:val="20"/>
              </w:rPr>
              <w:t xml:space="preserve">year </w:t>
            </w:r>
            <w:r w:rsidR="00BC3A49" w:rsidRPr="001F339C">
              <w:rPr>
                <w:rFonts w:ascii="Arial Narrow" w:hAnsi="Arial Narrow"/>
                <w:sz w:val="20"/>
                <w:szCs w:val="20"/>
              </w:rPr>
              <w:t>[K=Jx365]</w:t>
            </w:r>
          </w:p>
        </w:tc>
        <w:tc>
          <w:tcPr>
            <w:tcW w:w="2977" w:type="dxa"/>
            <w:gridSpan w:val="2"/>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$73.56</w:t>
            </w:r>
          </w:p>
        </w:tc>
        <w:tc>
          <w:tcPr>
            <w:tcW w:w="1701" w:type="dxa"/>
            <w:noWrap/>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$65.89</w:t>
            </w:r>
          </w:p>
        </w:tc>
        <w:tc>
          <w:tcPr>
            <w:tcW w:w="1508"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$13.41</w:t>
            </w:r>
          </w:p>
        </w:tc>
      </w:tr>
      <w:tr w:rsidR="007A3AB3" w:rsidRPr="001F339C" w:rsidTr="006A1CDF">
        <w:trPr>
          <w:trHeight w:val="319"/>
        </w:trPr>
        <w:tc>
          <w:tcPr>
            <w:tcW w:w="4261" w:type="dxa"/>
            <w:gridSpan w:val="2"/>
            <w:hideMark/>
          </w:tcPr>
          <w:p w:rsidR="007A3AB3" w:rsidRPr="001F339C" w:rsidRDefault="007A3AB3" w:rsidP="00810B15">
            <w:pPr>
              <w:keepNext/>
              <w:keepLines/>
              <w:jc w:val="both"/>
              <w:rPr>
                <w:rFonts w:ascii="Arial Narrow" w:hAnsi="Arial Narrow"/>
                <w:b/>
                <w:bCs/>
                <w:sz w:val="20"/>
                <w:szCs w:val="20"/>
              </w:rPr>
            </w:pPr>
            <w:r w:rsidRPr="001F339C">
              <w:rPr>
                <w:rFonts w:ascii="Arial Narrow" w:hAnsi="Arial Narrow"/>
                <w:b/>
                <w:bCs/>
                <w:sz w:val="20"/>
                <w:szCs w:val="20"/>
              </w:rPr>
              <w:t>Cost per patient/year by Comparator</w:t>
            </w:r>
          </w:p>
        </w:tc>
        <w:tc>
          <w:tcPr>
            <w:tcW w:w="1546" w:type="dxa"/>
            <w:hideMark/>
          </w:tcPr>
          <w:p w:rsidR="007A3AB3" w:rsidRPr="001F339C" w:rsidRDefault="007A3AB3" w:rsidP="00810B15">
            <w:pPr>
              <w:keepNext/>
              <w:keepLines/>
              <w:jc w:val="both"/>
              <w:rPr>
                <w:rFonts w:ascii="Arial Narrow" w:hAnsi="Arial Narrow"/>
                <w:b/>
                <w:bCs/>
                <w:sz w:val="20"/>
                <w:szCs w:val="20"/>
              </w:rPr>
            </w:pPr>
            <w:r w:rsidRPr="001F339C">
              <w:rPr>
                <w:rFonts w:ascii="Arial Narrow" w:hAnsi="Arial Narrow"/>
                <w:b/>
                <w:bCs/>
                <w:sz w:val="20"/>
                <w:szCs w:val="20"/>
              </w:rPr>
              <w:t> </w:t>
            </w:r>
          </w:p>
        </w:tc>
        <w:tc>
          <w:tcPr>
            <w:tcW w:w="1701" w:type="dxa"/>
            <w:hideMark/>
          </w:tcPr>
          <w:p w:rsidR="007A3AB3" w:rsidRPr="001F339C" w:rsidRDefault="007A3AB3" w:rsidP="00810B15">
            <w:pPr>
              <w:keepNext/>
              <w:keepLines/>
              <w:jc w:val="both"/>
              <w:rPr>
                <w:rFonts w:ascii="Arial Narrow" w:hAnsi="Arial Narrow"/>
                <w:b/>
                <w:bCs/>
                <w:sz w:val="20"/>
                <w:szCs w:val="20"/>
              </w:rPr>
            </w:pPr>
            <w:r w:rsidRPr="001F339C">
              <w:rPr>
                <w:rFonts w:ascii="Arial Narrow" w:hAnsi="Arial Narrow"/>
                <w:b/>
                <w:bCs/>
                <w:sz w:val="20"/>
                <w:szCs w:val="20"/>
              </w:rPr>
              <w:t> </w:t>
            </w:r>
          </w:p>
        </w:tc>
        <w:tc>
          <w:tcPr>
            <w:tcW w:w="1508" w:type="dxa"/>
            <w:hideMark/>
          </w:tcPr>
          <w:p w:rsidR="007A3AB3" w:rsidRPr="001F339C" w:rsidRDefault="007A3AB3" w:rsidP="00810B15">
            <w:pPr>
              <w:keepNext/>
              <w:keepLines/>
              <w:jc w:val="both"/>
              <w:rPr>
                <w:rFonts w:ascii="Arial Narrow" w:hAnsi="Arial Narrow"/>
                <w:b/>
                <w:bCs/>
                <w:sz w:val="20"/>
                <w:szCs w:val="20"/>
              </w:rPr>
            </w:pPr>
            <w:r w:rsidRPr="001F339C">
              <w:rPr>
                <w:rFonts w:ascii="Arial Narrow" w:hAnsi="Arial Narrow"/>
                <w:b/>
                <w:bCs/>
                <w:sz w:val="20"/>
                <w:szCs w:val="20"/>
              </w:rPr>
              <w:t> </w:t>
            </w:r>
          </w:p>
        </w:tc>
      </w:tr>
      <w:tr w:rsidR="007A3AB3" w:rsidRPr="001F339C" w:rsidTr="006A1CDF">
        <w:trPr>
          <w:trHeight w:val="319"/>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SYMBICORT</w:t>
            </w:r>
          </w:p>
        </w:tc>
        <w:tc>
          <w:tcPr>
            <w:tcW w:w="143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$73.56</w:t>
            </w:r>
          </w:p>
        </w:tc>
        <w:tc>
          <w:tcPr>
            <w:tcW w:w="1546" w:type="dxa"/>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c>
          <w:tcPr>
            <w:tcW w:w="1701" w:type="dxa"/>
            <w:noWrap/>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c>
          <w:tcPr>
            <w:tcW w:w="1508" w:type="dxa"/>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r>
      <w:tr w:rsidR="007A3AB3" w:rsidRPr="001F339C" w:rsidTr="006A1CDF">
        <w:trPr>
          <w:trHeight w:val="319"/>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ICS+SABA</w:t>
            </w:r>
          </w:p>
        </w:tc>
        <w:tc>
          <w:tcPr>
            <w:tcW w:w="143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$79.30</w:t>
            </w:r>
          </w:p>
        </w:tc>
        <w:tc>
          <w:tcPr>
            <w:tcW w:w="1546" w:type="dxa"/>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c>
          <w:tcPr>
            <w:tcW w:w="1701" w:type="dxa"/>
            <w:noWrap/>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c>
          <w:tcPr>
            <w:tcW w:w="1508" w:type="dxa"/>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r>
      <w:tr w:rsidR="007A3AB3" w:rsidRPr="001F339C" w:rsidTr="006A1CDF">
        <w:trPr>
          <w:trHeight w:val="319"/>
        </w:trPr>
        <w:tc>
          <w:tcPr>
            <w:tcW w:w="2830" w:type="dxa"/>
            <w:hideMark/>
          </w:tcPr>
          <w:p w:rsidR="007A3AB3" w:rsidRPr="001F339C" w:rsidRDefault="007A3AB3" w:rsidP="00810B15">
            <w:pPr>
              <w:keepNext/>
              <w:keepLines/>
              <w:rPr>
                <w:rFonts w:ascii="Arial Narrow" w:hAnsi="Arial Narrow"/>
                <w:sz w:val="20"/>
                <w:szCs w:val="20"/>
              </w:rPr>
            </w:pPr>
            <w:r w:rsidRPr="001F339C">
              <w:rPr>
                <w:rFonts w:ascii="Arial Narrow" w:hAnsi="Arial Narrow"/>
                <w:sz w:val="20"/>
                <w:szCs w:val="20"/>
              </w:rPr>
              <w:t>Cost difference (</w:t>
            </w:r>
            <w:proofErr w:type="spellStart"/>
            <w:r w:rsidRPr="001F339C">
              <w:rPr>
                <w:rFonts w:ascii="Arial Narrow" w:hAnsi="Arial Narrow"/>
                <w:sz w:val="20"/>
                <w:szCs w:val="20"/>
              </w:rPr>
              <w:t>Symbicort</w:t>
            </w:r>
            <w:proofErr w:type="spellEnd"/>
            <w:r w:rsidRPr="001F339C">
              <w:rPr>
                <w:rFonts w:ascii="Arial Narrow" w:hAnsi="Arial Narrow"/>
                <w:sz w:val="20"/>
                <w:szCs w:val="20"/>
              </w:rPr>
              <w:t xml:space="preserve"> minus ICS+SABA)</w:t>
            </w:r>
          </w:p>
        </w:tc>
        <w:tc>
          <w:tcPr>
            <w:tcW w:w="1431" w:type="dxa"/>
            <w:hideMark/>
          </w:tcPr>
          <w:p w:rsidR="007A3AB3" w:rsidRPr="001F339C" w:rsidRDefault="007A3AB3" w:rsidP="00810B15">
            <w:pPr>
              <w:keepNext/>
              <w:keepLines/>
              <w:jc w:val="center"/>
              <w:rPr>
                <w:rFonts w:ascii="Arial Narrow" w:hAnsi="Arial Narrow"/>
                <w:sz w:val="20"/>
                <w:szCs w:val="20"/>
              </w:rPr>
            </w:pPr>
            <w:r w:rsidRPr="001F339C">
              <w:rPr>
                <w:rFonts w:ascii="Arial Narrow" w:hAnsi="Arial Narrow"/>
                <w:sz w:val="20"/>
                <w:szCs w:val="20"/>
              </w:rPr>
              <w:t>-$5.74</w:t>
            </w:r>
          </w:p>
        </w:tc>
        <w:tc>
          <w:tcPr>
            <w:tcW w:w="1546" w:type="dxa"/>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c>
          <w:tcPr>
            <w:tcW w:w="1701" w:type="dxa"/>
            <w:noWrap/>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c>
          <w:tcPr>
            <w:tcW w:w="1508" w:type="dxa"/>
            <w:hideMark/>
          </w:tcPr>
          <w:p w:rsidR="007A3AB3" w:rsidRPr="001F339C" w:rsidRDefault="007A3AB3" w:rsidP="00810B15">
            <w:pPr>
              <w:keepNext/>
              <w:keepLines/>
              <w:jc w:val="both"/>
              <w:rPr>
                <w:rFonts w:ascii="Arial Narrow" w:hAnsi="Arial Narrow"/>
                <w:sz w:val="20"/>
                <w:szCs w:val="20"/>
              </w:rPr>
            </w:pPr>
            <w:r w:rsidRPr="001F339C">
              <w:rPr>
                <w:rFonts w:ascii="Arial Narrow" w:hAnsi="Arial Narrow"/>
                <w:sz w:val="20"/>
                <w:szCs w:val="20"/>
              </w:rPr>
              <w:t> </w:t>
            </w:r>
          </w:p>
        </w:tc>
      </w:tr>
    </w:tbl>
    <w:p w:rsidR="00400448" w:rsidRPr="001F339C" w:rsidRDefault="00400448" w:rsidP="00810B15">
      <w:pPr>
        <w:pStyle w:val="Bodytextitalics"/>
        <w:keepNext/>
        <w:keepLines/>
        <w:numPr>
          <w:ilvl w:val="0"/>
          <w:numId w:val="0"/>
        </w:numPr>
        <w:ind w:left="720" w:hanging="720"/>
        <w:rPr>
          <w:rFonts w:ascii="Arial Narrow" w:hAnsi="Arial Narrow" w:cstheme="minorHAnsi"/>
          <w:i w:val="0"/>
          <w:sz w:val="18"/>
          <w:szCs w:val="18"/>
        </w:rPr>
      </w:pPr>
      <w:r w:rsidRPr="001F339C">
        <w:rPr>
          <w:rFonts w:ascii="Arial Narrow" w:hAnsi="Arial Narrow" w:cstheme="minorHAnsi"/>
          <w:i w:val="0"/>
          <w:sz w:val="18"/>
          <w:szCs w:val="18"/>
        </w:rPr>
        <w:t>DPMQ=dispensed price for maximum quantity</w:t>
      </w:r>
    </w:p>
    <w:p w:rsidR="007A3AB3" w:rsidRPr="001F339C" w:rsidRDefault="007A3AB3" w:rsidP="00810B15">
      <w:pPr>
        <w:pStyle w:val="Bodytextitalics"/>
        <w:keepNext/>
        <w:keepLines/>
        <w:numPr>
          <w:ilvl w:val="0"/>
          <w:numId w:val="0"/>
        </w:numPr>
        <w:ind w:left="720" w:hanging="720"/>
        <w:rPr>
          <w:rFonts w:ascii="Arial Narrow" w:hAnsi="Arial Narrow" w:cstheme="minorHAnsi"/>
          <w:i w:val="0"/>
          <w:sz w:val="18"/>
          <w:szCs w:val="18"/>
        </w:rPr>
      </w:pPr>
      <w:r w:rsidRPr="001F339C">
        <w:rPr>
          <w:rFonts w:ascii="Arial Narrow" w:hAnsi="Arial Narrow" w:cstheme="minorHAnsi"/>
          <w:i w:val="0"/>
          <w:sz w:val="18"/>
          <w:szCs w:val="18"/>
        </w:rPr>
        <w:t>Source: Page 10 of the minor resubmission</w:t>
      </w:r>
      <w:r w:rsidR="00F141BB" w:rsidRPr="001F339C">
        <w:rPr>
          <w:rFonts w:ascii="Arial Narrow" w:hAnsi="Arial Narrow" w:cstheme="minorHAnsi"/>
          <w:i w:val="0"/>
          <w:sz w:val="18"/>
          <w:szCs w:val="18"/>
        </w:rPr>
        <w:t xml:space="preserve">. PBS prices correct as at </w:t>
      </w:r>
      <w:r w:rsidR="0049616F" w:rsidRPr="001F339C">
        <w:rPr>
          <w:rFonts w:ascii="Arial Narrow" w:hAnsi="Arial Narrow" w:cstheme="minorHAnsi"/>
          <w:i w:val="0"/>
          <w:sz w:val="18"/>
          <w:szCs w:val="18"/>
        </w:rPr>
        <w:t>01</w:t>
      </w:r>
      <w:r w:rsidR="00BB2CDD" w:rsidRPr="001F339C">
        <w:rPr>
          <w:rFonts w:ascii="Arial Narrow" w:hAnsi="Arial Narrow" w:cstheme="minorHAnsi"/>
          <w:i w:val="0"/>
          <w:sz w:val="18"/>
          <w:szCs w:val="18"/>
        </w:rPr>
        <w:t xml:space="preserve"> </w:t>
      </w:r>
      <w:r w:rsidR="0049616F" w:rsidRPr="001F339C">
        <w:rPr>
          <w:rFonts w:ascii="Arial Narrow" w:hAnsi="Arial Narrow" w:cstheme="minorHAnsi"/>
          <w:i w:val="0"/>
          <w:sz w:val="18"/>
          <w:szCs w:val="18"/>
        </w:rPr>
        <w:t>June</w:t>
      </w:r>
      <w:r w:rsidR="00F141BB" w:rsidRPr="001F339C">
        <w:rPr>
          <w:rFonts w:ascii="Arial Narrow" w:hAnsi="Arial Narrow" w:cstheme="minorHAnsi"/>
          <w:i w:val="0"/>
          <w:sz w:val="18"/>
          <w:szCs w:val="18"/>
        </w:rPr>
        <w:t xml:space="preserve"> 2019.</w:t>
      </w:r>
    </w:p>
    <w:p w:rsidR="00AA2BE8" w:rsidRPr="001F339C" w:rsidRDefault="007E7C7C" w:rsidP="00DB5CD4">
      <w:pPr>
        <w:pStyle w:val="Bodytextitalics"/>
        <w:jc w:val="both"/>
        <w:rPr>
          <w:rFonts w:cstheme="minorHAnsi"/>
          <w:i w:val="0"/>
          <w:szCs w:val="24"/>
        </w:rPr>
      </w:pPr>
      <w:r w:rsidRPr="001F339C">
        <w:rPr>
          <w:i w:val="0"/>
        </w:rPr>
        <w:t>As a minor submission, the cost-minimisation analysis has not been independently evaluated.</w:t>
      </w:r>
    </w:p>
    <w:p w:rsidR="000E6506" w:rsidRPr="001F339C" w:rsidRDefault="002770F6" w:rsidP="00DB5CD4">
      <w:pPr>
        <w:pStyle w:val="Bodytextitalics"/>
        <w:jc w:val="both"/>
        <w:rPr>
          <w:rFonts w:cs="Calibri"/>
          <w:i w:val="0"/>
          <w:szCs w:val="24"/>
        </w:rPr>
      </w:pPr>
      <w:r w:rsidRPr="00864976">
        <w:rPr>
          <w:bCs/>
          <w:i w:val="0"/>
        </w:rPr>
        <w:t xml:space="preserve">Unchanged from July 2019, the resubmission </w:t>
      </w:r>
      <w:r w:rsidR="000E6506" w:rsidRPr="00864976">
        <w:rPr>
          <w:bCs/>
          <w:i w:val="0"/>
        </w:rPr>
        <w:t xml:space="preserve">continued to argue </w:t>
      </w:r>
      <w:r w:rsidRPr="00864976">
        <w:rPr>
          <w:bCs/>
          <w:i w:val="0"/>
        </w:rPr>
        <w:t xml:space="preserve">that </w:t>
      </w:r>
      <w:r w:rsidR="00D429A7" w:rsidRPr="00864976">
        <w:rPr>
          <w:bCs/>
          <w:i w:val="0"/>
        </w:rPr>
        <w:t xml:space="preserve">their approach </w:t>
      </w:r>
      <w:r w:rsidR="000E6506" w:rsidRPr="001F339C">
        <w:rPr>
          <w:rFonts w:ascii="Calibri" w:hAnsi="Calibri" w:cs="Calibri"/>
          <w:i w:val="0"/>
          <w:szCs w:val="24"/>
        </w:rPr>
        <w:t>using DPMQ for the cost-minimisation analysis was appropriate and consistent with other examples. Hence, the resubmission did not use AEMP</w:t>
      </w:r>
      <w:r w:rsidR="007E7C7C" w:rsidRPr="001F339C">
        <w:rPr>
          <w:rFonts w:ascii="Calibri" w:hAnsi="Calibri" w:cs="Calibri"/>
          <w:i w:val="0"/>
          <w:szCs w:val="24"/>
        </w:rPr>
        <w:t xml:space="preserve"> in the updated cost-minimisation analysis presented. </w:t>
      </w:r>
      <w:r w:rsidR="00D429A7" w:rsidRPr="001F339C">
        <w:rPr>
          <w:rFonts w:ascii="Calibri" w:hAnsi="Calibri" w:cs="Calibri"/>
          <w:i w:val="0"/>
          <w:szCs w:val="24"/>
        </w:rPr>
        <w:t>In July 2019</w:t>
      </w:r>
      <w:r w:rsidR="00BE5F21" w:rsidRPr="001F339C">
        <w:rPr>
          <w:rFonts w:ascii="Calibri" w:hAnsi="Calibri" w:cs="Calibri"/>
          <w:i w:val="0"/>
          <w:szCs w:val="24"/>
        </w:rPr>
        <w:t>,</w:t>
      </w:r>
      <w:r w:rsidR="00D429A7" w:rsidRPr="008922C6">
        <w:rPr>
          <w:rFonts w:ascii="Calibri" w:hAnsi="Calibri" w:cs="Calibri"/>
          <w:i w:val="0"/>
          <w:szCs w:val="24"/>
        </w:rPr>
        <w:t xml:space="preserve"> the ESC noted that pricing agreements are made by Government under the </w:t>
      </w:r>
      <w:r w:rsidR="00D429A7" w:rsidRPr="008922C6">
        <w:rPr>
          <w:rFonts w:ascii="Calibri" w:hAnsi="Calibri" w:cs="Calibri"/>
          <w:szCs w:val="24"/>
        </w:rPr>
        <w:t>National Health Act 1953</w:t>
      </w:r>
      <w:r w:rsidR="00D429A7" w:rsidRPr="008922C6">
        <w:rPr>
          <w:rFonts w:ascii="Calibri" w:hAnsi="Calibri" w:cs="Calibri"/>
          <w:i w:val="0"/>
          <w:szCs w:val="24"/>
        </w:rPr>
        <w:t xml:space="preserve"> at the ex-manufacturer level and</w:t>
      </w:r>
      <w:r w:rsidR="00D429A7" w:rsidRPr="001F339C">
        <w:rPr>
          <w:rFonts w:ascii="Calibri" w:hAnsi="Calibri" w:cs="Calibri"/>
          <w:i w:val="0"/>
          <w:szCs w:val="24"/>
        </w:rPr>
        <w:t xml:space="preserve">, as such, the prices would be agreed on this basis. It is not usually the case that pharmacy and wholesaler mark-ups are considered for the purpose of cost-minimisation as they do not relate to the cost of the medicine. </w:t>
      </w:r>
      <w:r w:rsidR="00530F0E" w:rsidRPr="001F339C">
        <w:rPr>
          <w:rFonts w:ascii="Calibri" w:hAnsi="Calibri" w:cs="Calibri"/>
          <w:i w:val="0"/>
          <w:szCs w:val="24"/>
        </w:rPr>
        <w:t>At that time, t</w:t>
      </w:r>
      <w:r w:rsidR="00D429A7" w:rsidRPr="001F339C">
        <w:rPr>
          <w:rFonts w:ascii="Calibri" w:hAnsi="Calibri" w:cs="Calibri"/>
          <w:i w:val="0"/>
          <w:szCs w:val="24"/>
        </w:rPr>
        <w:t xml:space="preserve">he PBAC agreed with the ESC and supported the analysis based on ex-manufacturer prices </w:t>
      </w:r>
      <w:r w:rsidR="00D429A7" w:rsidRPr="001F339C">
        <w:rPr>
          <w:rFonts w:ascii="Calibri" w:hAnsi="Calibri" w:cs="Calibri"/>
          <w:i w:val="0"/>
          <w:szCs w:val="24"/>
        </w:rPr>
        <w:lastRenderedPageBreak/>
        <w:t>(paragraph 6.47</w:t>
      </w:r>
      <w:r w:rsidR="001952D2" w:rsidRPr="001F339C">
        <w:rPr>
          <w:rFonts w:ascii="Calibri" w:hAnsi="Calibri" w:cs="Calibri"/>
          <w:i w:val="0"/>
          <w:szCs w:val="24"/>
        </w:rPr>
        <w:t xml:space="preserve">, </w:t>
      </w:r>
      <w:proofErr w:type="spellStart"/>
      <w:r w:rsidR="00530F0E" w:rsidRPr="001F339C">
        <w:rPr>
          <w:rFonts w:cstheme="minorHAnsi"/>
          <w:i w:val="0"/>
          <w:szCs w:val="24"/>
        </w:rPr>
        <w:t>Symbicort</w:t>
      </w:r>
      <w:proofErr w:type="spellEnd"/>
      <w:r w:rsidR="00530F0E" w:rsidRPr="001F339C">
        <w:rPr>
          <w:rFonts w:cstheme="minorHAnsi"/>
          <w:i w:val="0"/>
          <w:szCs w:val="24"/>
        </w:rPr>
        <w:t>, PSD</w:t>
      </w:r>
      <w:r w:rsidR="001952D2" w:rsidRPr="001F339C">
        <w:rPr>
          <w:rFonts w:cstheme="minorHAnsi"/>
          <w:i w:val="0"/>
          <w:szCs w:val="24"/>
        </w:rPr>
        <w:t>, July 2019 PBAC meeting</w:t>
      </w:r>
      <w:r w:rsidR="00D429A7" w:rsidRPr="001F339C">
        <w:rPr>
          <w:rFonts w:ascii="Calibri" w:hAnsi="Calibri" w:cs="Calibri"/>
          <w:i w:val="0"/>
          <w:szCs w:val="24"/>
        </w:rPr>
        <w:t xml:space="preserve">). </w:t>
      </w:r>
      <w:r w:rsidR="004263EF" w:rsidRPr="001F339C">
        <w:rPr>
          <w:rFonts w:ascii="Calibri" w:hAnsi="Calibri" w:cs="Calibri"/>
          <w:i w:val="0"/>
          <w:szCs w:val="24"/>
        </w:rPr>
        <w:t>In the revised cost-minimisation analysis, u</w:t>
      </w:r>
      <w:r w:rsidR="0032446D" w:rsidRPr="001F339C">
        <w:rPr>
          <w:rFonts w:ascii="Calibri" w:hAnsi="Calibri" w:cs="Calibri"/>
          <w:i w:val="0"/>
          <w:szCs w:val="24"/>
        </w:rPr>
        <w:t>sing</w:t>
      </w:r>
      <w:r w:rsidR="005102D6" w:rsidRPr="001F339C">
        <w:rPr>
          <w:rFonts w:ascii="Calibri" w:hAnsi="Calibri" w:cs="Calibri"/>
          <w:i w:val="0"/>
          <w:szCs w:val="24"/>
        </w:rPr>
        <w:t xml:space="preserve"> the </w:t>
      </w:r>
      <w:r w:rsidR="0032446D" w:rsidRPr="001F339C">
        <w:rPr>
          <w:rFonts w:ascii="Calibri" w:hAnsi="Calibri" w:cs="Calibri"/>
          <w:i w:val="0"/>
          <w:szCs w:val="24"/>
        </w:rPr>
        <w:t xml:space="preserve">AEMP </w:t>
      </w:r>
      <w:r w:rsidR="00384594" w:rsidRPr="001F339C">
        <w:rPr>
          <w:rFonts w:ascii="Calibri" w:hAnsi="Calibri" w:cs="Calibri"/>
          <w:i w:val="0"/>
          <w:szCs w:val="24"/>
        </w:rPr>
        <w:t xml:space="preserve">based on the requested DPMQ </w:t>
      </w:r>
      <w:r w:rsidR="0032446D" w:rsidRPr="001F339C">
        <w:rPr>
          <w:rFonts w:ascii="Calibri" w:hAnsi="Calibri" w:cs="Calibri"/>
          <w:i w:val="0"/>
          <w:szCs w:val="24"/>
        </w:rPr>
        <w:t xml:space="preserve">for </w:t>
      </w:r>
      <w:proofErr w:type="spellStart"/>
      <w:r w:rsidR="0032446D" w:rsidRPr="001F339C">
        <w:rPr>
          <w:rFonts w:ascii="Calibri" w:hAnsi="Calibri" w:cs="Calibri"/>
          <w:i w:val="0"/>
          <w:szCs w:val="24"/>
        </w:rPr>
        <w:t>Symbicort</w:t>
      </w:r>
      <w:proofErr w:type="spellEnd"/>
      <w:r w:rsidR="0032446D" w:rsidRPr="001F339C">
        <w:rPr>
          <w:rFonts w:ascii="Calibri" w:hAnsi="Calibri" w:cs="Calibri"/>
          <w:i w:val="0"/>
          <w:szCs w:val="24"/>
        </w:rPr>
        <w:t xml:space="preserve"> </w:t>
      </w:r>
      <w:proofErr w:type="spellStart"/>
      <w:r w:rsidR="0032446D" w:rsidRPr="001F339C">
        <w:rPr>
          <w:rFonts w:ascii="Calibri" w:hAnsi="Calibri" w:cs="Calibri"/>
          <w:i w:val="0"/>
          <w:szCs w:val="24"/>
        </w:rPr>
        <w:t>Turbuhaler</w:t>
      </w:r>
      <w:proofErr w:type="spellEnd"/>
      <w:r w:rsidR="0032446D" w:rsidRPr="001F339C">
        <w:rPr>
          <w:rFonts w:ascii="Calibri" w:hAnsi="Calibri" w:cs="Calibri"/>
          <w:i w:val="0"/>
          <w:szCs w:val="24"/>
        </w:rPr>
        <w:t xml:space="preserve"> 200/6 ($30.98), </w:t>
      </w:r>
      <w:proofErr w:type="spellStart"/>
      <w:r w:rsidR="0032446D" w:rsidRPr="001F339C">
        <w:rPr>
          <w:rFonts w:ascii="Calibri" w:hAnsi="Calibri" w:cs="Calibri"/>
          <w:i w:val="0"/>
          <w:szCs w:val="24"/>
        </w:rPr>
        <w:t>Symbicort</w:t>
      </w:r>
      <w:proofErr w:type="spellEnd"/>
      <w:r w:rsidR="0032446D" w:rsidRPr="001F339C">
        <w:rPr>
          <w:rFonts w:ascii="Calibri" w:hAnsi="Calibri" w:cs="Calibri"/>
          <w:i w:val="0"/>
          <w:szCs w:val="24"/>
        </w:rPr>
        <w:t xml:space="preserve"> </w:t>
      </w:r>
      <w:proofErr w:type="spellStart"/>
      <w:r w:rsidR="0032446D" w:rsidRPr="001F339C">
        <w:rPr>
          <w:rFonts w:ascii="Calibri" w:hAnsi="Calibri" w:cs="Calibri"/>
          <w:i w:val="0"/>
          <w:szCs w:val="24"/>
        </w:rPr>
        <w:t>Rapihaler</w:t>
      </w:r>
      <w:proofErr w:type="spellEnd"/>
      <w:r w:rsidR="0032446D" w:rsidRPr="001F339C">
        <w:rPr>
          <w:rFonts w:ascii="Calibri" w:hAnsi="Calibri" w:cs="Calibri"/>
          <w:i w:val="0"/>
          <w:szCs w:val="24"/>
        </w:rPr>
        <w:t xml:space="preserve"> 100/3 ($35.32), </w:t>
      </w:r>
      <w:r w:rsidR="00384594" w:rsidRPr="001F339C">
        <w:rPr>
          <w:rFonts w:ascii="Calibri" w:hAnsi="Calibri" w:cs="Calibri"/>
          <w:i w:val="0"/>
          <w:szCs w:val="24"/>
        </w:rPr>
        <w:t xml:space="preserve">and the AEMP for the comparators, </w:t>
      </w:r>
      <w:r w:rsidR="0032446D" w:rsidRPr="001F339C">
        <w:rPr>
          <w:rFonts w:ascii="Calibri" w:hAnsi="Calibri" w:cs="Calibri"/>
          <w:i w:val="0"/>
          <w:szCs w:val="24"/>
        </w:rPr>
        <w:t xml:space="preserve">budesonide </w:t>
      </w:r>
      <w:proofErr w:type="spellStart"/>
      <w:r w:rsidR="0032446D" w:rsidRPr="001F339C">
        <w:rPr>
          <w:rFonts w:ascii="Calibri" w:hAnsi="Calibri" w:cs="Calibri"/>
          <w:i w:val="0"/>
          <w:szCs w:val="24"/>
        </w:rPr>
        <w:t>Turbuhaler</w:t>
      </w:r>
      <w:proofErr w:type="spellEnd"/>
      <w:r w:rsidR="0032446D" w:rsidRPr="001F339C">
        <w:rPr>
          <w:rFonts w:ascii="Calibri" w:hAnsi="Calibri" w:cs="Calibri"/>
          <w:i w:val="0"/>
          <w:szCs w:val="24"/>
        </w:rPr>
        <w:t xml:space="preserve"> 200mcg ($16.19) and salbutamol 100mcg ($3.90x2)</w:t>
      </w:r>
      <w:r w:rsidR="00384594" w:rsidRPr="001F339C">
        <w:rPr>
          <w:rFonts w:ascii="Calibri" w:hAnsi="Calibri" w:cs="Calibri"/>
          <w:i w:val="0"/>
          <w:szCs w:val="24"/>
        </w:rPr>
        <w:t>,</w:t>
      </w:r>
      <w:r w:rsidR="0032446D" w:rsidRPr="001F339C">
        <w:rPr>
          <w:rFonts w:ascii="Calibri" w:hAnsi="Calibri" w:cs="Calibri"/>
          <w:i w:val="0"/>
          <w:szCs w:val="24"/>
        </w:rPr>
        <w:t xml:space="preserve"> </w:t>
      </w:r>
      <w:r w:rsidR="0032446D" w:rsidRPr="001F339C">
        <w:rPr>
          <w:rFonts w:cs="Calibri"/>
          <w:i w:val="0"/>
          <w:szCs w:val="24"/>
        </w:rPr>
        <w:t xml:space="preserve">the cost per patient per year for </w:t>
      </w:r>
      <w:proofErr w:type="spellStart"/>
      <w:r w:rsidR="0032446D" w:rsidRPr="001F339C">
        <w:rPr>
          <w:rFonts w:cs="Calibri"/>
          <w:i w:val="0"/>
          <w:szCs w:val="24"/>
        </w:rPr>
        <w:t>Symbicort</w:t>
      </w:r>
      <w:proofErr w:type="spellEnd"/>
      <w:r w:rsidR="0032446D" w:rsidRPr="001F339C">
        <w:rPr>
          <w:rFonts w:cs="Calibri"/>
          <w:i w:val="0"/>
          <w:szCs w:val="24"/>
        </w:rPr>
        <w:t xml:space="preserve"> </w:t>
      </w:r>
      <w:r w:rsidR="005102D6" w:rsidRPr="001F339C">
        <w:rPr>
          <w:rFonts w:cs="Calibri"/>
          <w:i w:val="0"/>
          <w:szCs w:val="24"/>
        </w:rPr>
        <w:t xml:space="preserve">would be </w:t>
      </w:r>
      <w:r w:rsidR="0032446D" w:rsidRPr="001F339C">
        <w:rPr>
          <w:rFonts w:cs="Calibri"/>
          <w:i w:val="0"/>
          <w:szCs w:val="24"/>
        </w:rPr>
        <w:t xml:space="preserve">$9.05 more than ICS+SABA in mild asthma. </w:t>
      </w:r>
      <w:r w:rsidR="006159DD" w:rsidRPr="001F339C">
        <w:rPr>
          <w:rFonts w:cs="Calibri"/>
          <w:i w:val="0"/>
          <w:szCs w:val="24"/>
        </w:rPr>
        <w:t xml:space="preserve">The PBAC reiterated its July 2019 advice that </w:t>
      </w:r>
      <w:r w:rsidR="00384594" w:rsidRPr="001F339C">
        <w:rPr>
          <w:rFonts w:cs="Calibri"/>
          <w:i w:val="0"/>
          <w:szCs w:val="24"/>
        </w:rPr>
        <w:t>a</w:t>
      </w:r>
      <w:r w:rsidR="006159DD" w:rsidRPr="001F339C">
        <w:rPr>
          <w:rFonts w:cs="Calibri"/>
          <w:i w:val="0"/>
          <w:szCs w:val="24"/>
        </w:rPr>
        <w:t xml:space="preserve"> cost-minimisation analysis </w:t>
      </w:r>
      <w:r w:rsidR="00384594" w:rsidRPr="001F339C">
        <w:rPr>
          <w:rFonts w:cs="Calibri"/>
          <w:i w:val="0"/>
          <w:szCs w:val="24"/>
        </w:rPr>
        <w:t xml:space="preserve">should be conducted </w:t>
      </w:r>
      <w:r w:rsidR="006159DD" w:rsidRPr="001F339C">
        <w:rPr>
          <w:rFonts w:cs="Calibri"/>
          <w:i w:val="0"/>
          <w:szCs w:val="24"/>
        </w:rPr>
        <w:t xml:space="preserve">based on ex-manufacturer prices (paragraph 6.47, </w:t>
      </w:r>
      <w:proofErr w:type="spellStart"/>
      <w:r w:rsidR="006159DD" w:rsidRPr="001F339C">
        <w:rPr>
          <w:rFonts w:cs="Calibri"/>
          <w:i w:val="0"/>
          <w:szCs w:val="24"/>
        </w:rPr>
        <w:t>Symbicort</w:t>
      </w:r>
      <w:proofErr w:type="spellEnd"/>
      <w:r w:rsidR="006159DD" w:rsidRPr="001F339C">
        <w:rPr>
          <w:rFonts w:cs="Calibri"/>
          <w:i w:val="0"/>
          <w:szCs w:val="24"/>
        </w:rPr>
        <w:t xml:space="preserve">, PSD, July 2019 PBAC meeting). </w:t>
      </w:r>
    </w:p>
    <w:p w:rsidR="00D429A7" w:rsidRPr="008922C6" w:rsidRDefault="006E51BA" w:rsidP="006A3440">
      <w:pPr>
        <w:pStyle w:val="Bodytextitalics"/>
        <w:jc w:val="both"/>
        <w:rPr>
          <w:rFonts w:cstheme="minorHAnsi"/>
          <w:szCs w:val="24"/>
        </w:rPr>
      </w:pPr>
      <w:r w:rsidRPr="00864976">
        <w:rPr>
          <w:bCs/>
          <w:i w:val="0"/>
        </w:rPr>
        <w:t xml:space="preserve">Also unchanged from July 2019, the resubmission maintained it is unlikely that patients using </w:t>
      </w:r>
      <w:proofErr w:type="spellStart"/>
      <w:r w:rsidRPr="00864976">
        <w:rPr>
          <w:bCs/>
          <w:i w:val="0"/>
        </w:rPr>
        <w:t>Symbicort</w:t>
      </w:r>
      <w:proofErr w:type="spellEnd"/>
      <w:r w:rsidRPr="00864976">
        <w:rPr>
          <w:bCs/>
          <w:i w:val="0"/>
        </w:rPr>
        <w:t xml:space="preserve"> as needed will require multiple concurrent inhalers. Hence, the resubmission did not factor this into the revised cost-minimisation analysis. </w:t>
      </w:r>
      <w:r w:rsidR="0032446D" w:rsidRPr="00864976">
        <w:rPr>
          <w:bCs/>
          <w:i w:val="0"/>
        </w:rPr>
        <w:t>This approach is inconsistent with the PBAC’s July 2019 recommendation</w:t>
      </w:r>
      <w:r w:rsidR="00EA412C" w:rsidRPr="00864976">
        <w:rPr>
          <w:bCs/>
          <w:i w:val="0"/>
        </w:rPr>
        <w:t xml:space="preserve"> </w:t>
      </w:r>
      <w:r w:rsidR="0032446D" w:rsidRPr="00864976">
        <w:rPr>
          <w:bCs/>
          <w:i w:val="0"/>
        </w:rPr>
        <w:t xml:space="preserve">that </w:t>
      </w:r>
      <w:r w:rsidR="00EA412C" w:rsidRPr="001F339C">
        <w:rPr>
          <w:rFonts w:cs="Calibri"/>
          <w:i w:val="0"/>
          <w:szCs w:val="24"/>
        </w:rPr>
        <w:t xml:space="preserve">the cost-minimisation base case should incorporate the likelihood of a patient having more than one </w:t>
      </w:r>
      <w:proofErr w:type="spellStart"/>
      <w:r w:rsidR="00EA412C" w:rsidRPr="001F339C">
        <w:rPr>
          <w:rFonts w:cs="Calibri"/>
          <w:i w:val="0"/>
          <w:szCs w:val="24"/>
        </w:rPr>
        <w:t>Symbicort</w:t>
      </w:r>
      <w:proofErr w:type="spellEnd"/>
      <w:r w:rsidR="00EA412C" w:rsidRPr="001F339C">
        <w:rPr>
          <w:rFonts w:cs="Calibri"/>
          <w:i w:val="0"/>
          <w:szCs w:val="24"/>
        </w:rPr>
        <w:t xml:space="preserve"> inhaler in use at a time</w:t>
      </w:r>
      <w:r w:rsidR="00096D9E" w:rsidRPr="001F339C">
        <w:rPr>
          <w:rFonts w:cs="Calibri"/>
          <w:i w:val="0"/>
          <w:szCs w:val="24"/>
        </w:rPr>
        <w:t xml:space="preserve"> (see paragraph 4.</w:t>
      </w:r>
      <w:r w:rsidR="00530F0E" w:rsidRPr="001F339C">
        <w:rPr>
          <w:rFonts w:cs="Calibri"/>
          <w:i w:val="0"/>
          <w:szCs w:val="24"/>
        </w:rPr>
        <w:t>12</w:t>
      </w:r>
      <w:r w:rsidR="00EA412C" w:rsidRPr="001F339C">
        <w:rPr>
          <w:rFonts w:cs="Calibri"/>
          <w:i w:val="0"/>
          <w:szCs w:val="24"/>
        </w:rPr>
        <w:t>).</w:t>
      </w:r>
      <w:r w:rsidR="00EA412C" w:rsidRPr="001F339C">
        <w:rPr>
          <w:rFonts w:cs="Calibri"/>
          <w:szCs w:val="24"/>
        </w:rPr>
        <w:t xml:space="preserve"> </w:t>
      </w:r>
    </w:p>
    <w:p w:rsidR="00CA48D9" w:rsidRPr="001F339C" w:rsidRDefault="000E6506" w:rsidP="00E43ED8">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Drug cost/patient/</w:t>
      </w:r>
      <w:r w:rsidR="00B2617E" w:rsidRPr="001F339C">
        <w:rPr>
          <w:rFonts w:asciiTheme="minorHAnsi" w:eastAsiaTheme="majorEastAsia" w:hAnsiTheme="minorHAnsi" w:cstheme="majorBidi"/>
          <w:sz w:val="28"/>
          <w:szCs w:val="28"/>
          <w:lang w:eastAsia="en-US"/>
        </w:rPr>
        <w:t>year</w:t>
      </w:r>
      <w:r w:rsidRPr="001F339C">
        <w:rPr>
          <w:rFonts w:asciiTheme="minorHAnsi" w:eastAsiaTheme="majorEastAsia" w:hAnsiTheme="minorHAnsi" w:cstheme="majorBidi"/>
          <w:sz w:val="28"/>
          <w:szCs w:val="28"/>
          <w:lang w:eastAsia="en-US"/>
        </w:rPr>
        <w:t>: $73.56</w:t>
      </w:r>
    </w:p>
    <w:p w:rsidR="006E51BA" w:rsidRPr="001F339C" w:rsidRDefault="006E51BA" w:rsidP="00DB5CD4">
      <w:pPr>
        <w:pStyle w:val="Bodytextitalics"/>
        <w:jc w:val="both"/>
        <w:rPr>
          <w:i w:val="0"/>
        </w:rPr>
      </w:pPr>
      <w:r w:rsidRPr="001F339C">
        <w:rPr>
          <w:i w:val="0"/>
        </w:rPr>
        <w:t xml:space="preserve">In the </w:t>
      </w:r>
      <w:r w:rsidR="00074B2E" w:rsidRPr="001F339C">
        <w:rPr>
          <w:i w:val="0"/>
        </w:rPr>
        <w:t>July 2019</w:t>
      </w:r>
      <w:r w:rsidRPr="001F339C">
        <w:rPr>
          <w:i w:val="0"/>
        </w:rPr>
        <w:t xml:space="preserve"> submission, applying the AEMP and excluding non-PBS prices for the comparators, the annual cost per patient was $</w:t>
      </w:r>
      <w:r w:rsidRPr="00864976">
        <w:rPr>
          <w:i w:val="0"/>
        </w:rPr>
        <w:t>49.49</w:t>
      </w:r>
      <w:r w:rsidRPr="001F339C">
        <w:rPr>
          <w:i w:val="0"/>
        </w:rPr>
        <w:t xml:space="preserve"> for </w:t>
      </w:r>
      <w:proofErr w:type="spellStart"/>
      <w:r w:rsidRPr="001F339C">
        <w:rPr>
          <w:i w:val="0"/>
        </w:rPr>
        <w:t>Symbicort</w:t>
      </w:r>
      <w:proofErr w:type="spellEnd"/>
      <w:r w:rsidRPr="001F339C">
        <w:rPr>
          <w:i w:val="0"/>
        </w:rPr>
        <w:t xml:space="preserve"> ($6.79 more than ICS+SABA). </w:t>
      </w:r>
    </w:p>
    <w:p w:rsidR="00074B2E" w:rsidRPr="008922C6" w:rsidRDefault="00074B2E" w:rsidP="00074B2E">
      <w:pPr>
        <w:pStyle w:val="Bodytextitalics"/>
        <w:jc w:val="both"/>
      </w:pPr>
      <w:r w:rsidRPr="001F339C">
        <w:rPr>
          <w:i w:val="0"/>
        </w:rPr>
        <w:t>Based on a revised cost-minimisation analysis</w:t>
      </w:r>
      <w:r w:rsidR="009C1B0D" w:rsidRPr="001F339C">
        <w:rPr>
          <w:i w:val="0"/>
        </w:rPr>
        <w:t xml:space="preserve"> based on DPMQ</w:t>
      </w:r>
      <w:r w:rsidRPr="001F339C">
        <w:rPr>
          <w:i w:val="0"/>
        </w:rPr>
        <w:t xml:space="preserve">, the resubmission estimated the annual cost per patient was $73.56 for </w:t>
      </w:r>
      <w:proofErr w:type="spellStart"/>
      <w:r w:rsidRPr="001F339C">
        <w:rPr>
          <w:i w:val="0"/>
        </w:rPr>
        <w:t>Symbicort</w:t>
      </w:r>
      <w:proofErr w:type="spellEnd"/>
      <w:r w:rsidRPr="001F339C">
        <w:rPr>
          <w:i w:val="0"/>
        </w:rPr>
        <w:t xml:space="preserve"> ($5.74 less than ICS+SABA). </w:t>
      </w:r>
    </w:p>
    <w:p w:rsidR="007B72A6" w:rsidRPr="001F339C" w:rsidRDefault="005A3173" w:rsidP="00E43ED8">
      <w:pPr>
        <w:pStyle w:val="Heading2"/>
        <w:keepLines/>
        <w:spacing w:before="240" w:after="120"/>
        <w:rPr>
          <w:rFonts w:asciiTheme="minorHAnsi" w:eastAsiaTheme="majorEastAsia" w:hAnsiTheme="minorHAnsi" w:cstheme="majorBidi"/>
          <w:sz w:val="28"/>
          <w:szCs w:val="28"/>
          <w:lang w:eastAsia="en-US"/>
        </w:rPr>
      </w:pPr>
      <w:r w:rsidRPr="001F339C">
        <w:rPr>
          <w:rFonts w:asciiTheme="minorHAnsi" w:eastAsiaTheme="majorEastAsia" w:hAnsiTheme="minorHAnsi" w:cstheme="majorBidi"/>
          <w:sz w:val="28"/>
          <w:szCs w:val="28"/>
          <w:lang w:eastAsia="en-US"/>
        </w:rPr>
        <w:t>Estimated PBS usage &amp; financial implications</w:t>
      </w:r>
    </w:p>
    <w:p w:rsidR="009265E1" w:rsidRPr="001F339C" w:rsidRDefault="00074B2E" w:rsidP="009265E1">
      <w:pPr>
        <w:pStyle w:val="Bodytextitalics"/>
        <w:jc w:val="both"/>
        <w:rPr>
          <w:i w:val="0"/>
        </w:rPr>
      </w:pPr>
      <w:r w:rsidRPr="001F339C">
        <w:rPr>
          <w:i w:val="0"/>
        </w:rPr>
        <w:t xml:space="preserve">In the July 2019 submission </w:t>
      </w:r>
      <w:r w:rsidR="009265E1" w:rsidRPr="001F339C">
        <w:rPr>
          <w:i w:val="0"/>
        </w:rPr>
        <w:t>DUSC considered the estimates presented to be underestimated. The main issues were:</w:t>
      </w:r>
    </w:p>
    <w:p w:rsidR="009265E1" w:rsidRPr="001F339C" w:rsidRDefault="009265E1" w:rsidP="002104AB">
      <w:pPr>
        <w:pStyle w:val="ListParagraph"/>
        <w:widowControl/>
        <w:numPr>
          <w:ilvl w:val="1"/>
          <w:numId w:val="17"/>
        </w:numPr>
        <w:spacing w:before="120" w:after="160"/>
        <w:ind w:left="993" w:hanging="284"/>
        <w:contextualSpacing w:val="0"/>
        <w:rPr>
          <w:rFonts w:ascii="Calibri" w:hAnsi="Calibri" w:cs="Calibri"/>
          <w:sz w:val="24"/>
          <w:szCs w:val="22"/>
        </w:rPr>
      </w:pPr>
      <w:r w:rsidRPr="001F339C">
        <w:rPr>
          <w:rFonts w:ascii="Calibri" w:hAnsi="Calibri" w:cs="Calibri"/>
          <w:sz w:val="24"/>
          <w:szCs w:val="22"/>
        </w:rPr>
        <w:t xml:space="preserve">The requested change to the PBS restriction would allow </w:t>
      </w:r>
      <w:proofErr w:type="spellStart"/>
      <w:r w:rsidRPr="001F339C">
        <w:rPr>
          <w:rFonts w:ascii="Calibri" w:hAnsi="Calibri" w:cs="Calibri"/>
          <w:sz w:val="24"/>
          <w:szCs w:val="22"/>
        </w:rPr>
        <w:t>Symbicort</w:t>
      </w:r>
      <w:proofErr w:type="spellEnd"/>
      <w:r w:rsidRPr="001F339C">
        <w:rPr>
          <w:rFonts w:ascii="Calibri" w:hAnsi="Calibri" w:cs="Calibri"/>
          <w:sz w:val="24"/>
          <w:szCs w:val="22"/>
        </w:rPr>
        <w:t xml:space="preserve"> to be used as initiation therapy in asthma of any severity where use of an ICS is appropriate. This is consistent with the proposed TGA indication and the </w:t>
      </w:r>
      <w:r w:rsidR="00312D26" w:rsidRPr="001F339C">
        <w:rPr>
          <w:rFonts w:ascii="Calibri" w:hAnsi="Calibri" w:cs="Calibri"/>
          <w:sz w:val="24"/>
          <w:szCs w:val="22"/>
        </w:rPr>
        <w:t>Global Initiative for Asthma (GINA</w:t>
      </w:r>
      <w:proofErr w:type="gramStart"/>
      <w:r w:rsidR="00312D26" w:rsidRPr="001F339C">
        <w:rPr>
          <w:rFonts w:ascii="Calibri" w:hAnsi="Calibri" w:cs="Calibri"/>
          <w:sz w:val="24"/>
          <w:szCs w:val="22"/>
        </w:rPr>
        <w:t>)</w:t>
      </w:r>
      <w:r w:rsidRPr="001F339C">
        <w:rPr>
          <w:rFonts w:ascii="Calibri" w:hAnsi="Calibri" w:cs="Calibri"/>
          <w:sz w:val="24"/>
          <w:szCs w:val="22"/>
        </w:rPr>
        <w:t>(</w:t>
      </w:r>
      <w:proofErr w:type="gramEnd"/>
      <w:r w:rsidRPr="001F339C">
        <w:rPr>
          <w:rFonts w:ascii="Calibri" w:hAnsi="Calibri" w:cs="Calibri"/>
          <w:sz w:val="24"/>
          <w:szCs w:val="22"/>
        </w:rPr>
        <w:t>2019) framework, which no longer recommend the use of SABA without an ICS. However, it was inconsistent with the population presented in the PICO, and the clinical trial evidence presented, which was patients uncontrolled on SABA or controlled on ICS+SABA.</w:t>
      </w:r>
    </w:p>
    <w:p w:rsidR="009265E1" w:rsidRPr="001F339C" w:rsidRDefault="009265E1" w:rsidP="002104AB">
      <w:pPr>
        <w:pStyle w:val="ListParagraph"/>
        <w:widowControl/>
        <w:numPr>
          <w:ilvl w:val="1"/>
          <w:numId w:val="17"/>
        </w:numPr>
        <w:spacing w:before="120" w:after="160"/>
        <w:ind w:left="993" w:hanging="284"/>
        <w:contextualSpacing w:val="0"/>
        <w:rPr>
          <w:rFonts w:ascii="Calibri" w:hAnsi="Calibri" w:cs="Calibri"/>
          <w:sz w:val="24"/>
          <w:szCs w:val="22"/>
        </w:rPr>
      </w:pPr>
      <w:r w:rsidRPr="001F339C">
        <w:rPr>
          <w:rFonts w:ascii="Calibri" w:hAnsi="Calibri" w:cs="Calibri"/>
          <w:sz w:val="24"/>
          <w:szCs w:val="22"/>
        </w:rPr>
        <w:t xml:space="preserve">The proportion of people who purchase SABA over-the-counter (OTC) only who would present to a GP for review with the availability of </w:t>
      </w:r>
      <w:proofErr w:type="spellStart"/>
      <w:r w:rsidRPr="001F339C">
        <w:rPr>
          <w:rFonts w:ascii="Calibri" w:hAnsi="Calibri" w:cs="Calibri"/>
          <w:sz w:val="24"/>
          <w:szCs w:val="22"/>
        </w:rPr>
        <w:t>Symbicort</w:t>
      </w:r>
      <w:proofErr w:type="spellEnd"/>
      <w:r w:rsidRPr="001F339C">
        <w:rPr>
          <w:rFonts w:ascii="Calibri" w:hAnsi="Calibri" w:cs="Calibri"/>
          <w:sz w:val="24"/>
          <w:szCs w:val="22"/>
        </w:rPr>
        <w:t xml:space="preserve"> as needed may depend on asthma counselling in pharmacies.</w:t>
      </w:r>
    </w:p>
    <w:p w:rsidR="009265E1" w:rsidRPr="001F339C" w:rsidRDefault="009265E1" w:rsidP="002104AB">
      <w:pPr>
        <w:pStyle w:val="ListParagraph"/>
        <w:widowControl/>
        <w:numPr>
          <w:ilvl w:val="1"/>
          <w:numId w:val="17"/>
        </w:numPr>
        <w:spacing w:before="120" w:after="160"/>
        <w:ind w:left="993" w:hanging="284"/>
        <w:contextualSpacing w:val="0"/>
        <w:rPr>
          <w:rFonts w:ascii="Calibri" w:hAnsi="Calibri" w:cs="Calibri"/>
          <w:sz w:val="24"/>
          <w:szCs w:val="22"/>
        </w:rPr>
      </w:pPr>
      <w:r w:rsidRPr="001F339C">
        <w:rPr>
          <w:rFonts w:ascii="Calibri" w:hAnsi="Calibri" w:cs="Calibri"/>
          <w:sz w:val="24"/>
          <w:szCs w:val="22"/>
        </w:rPr>
        <w:t xml:space="preserve">The uptake rates for patients uncontrolled on SABA were not justified. Despite the likely promotion of </w:t>
      </w:r>
      <w:proofErr w:type="spellStart"/>
      <w:r w:rsidRPr="001F339C">
        <w:rPr>
          <w:rFonts w:ascii="Calibri" w:hAnsi="Calibri" w:cs="Calibri"/>
          <w:sz w:val="24"/>
          <w:szCs w:val="22"/>
        </w:rPr>
        <w:t>Symbicort</w:t>
      </w:r>
      <w:proofErr w:type="spellEnd"/>
      <w:r w:rsidRPr="001F339C">
        <w:rPr>
          <w:rFonts w:ascii="Calibri" w:hAnsi="Calibri" w:cs="Calibri"/>
          <w:sz w:val="24"/>
          <w:szCs w:val="22"/>
        </w:rPr>
        <w:t xml:space="preserve"> as needed, the uptake is probably overestimated in </w:t>
      </w:r>
      <w:r w:rsidRPr="001F339C">
        <w:rPr>
          <w:rFonts w:ascii="Calibri" w:hAnsi="Calibri" w:cs="Calibri"/>
          <w:sz w:val="24"/>
          <w:szCs w:val="22"/>
        </w:rPr>
        <w:lastRenderedPageBreak/>
        <w:t xml:space="preserve">year one, but would likely be higher than estimated by year six. Price is likely to be a factor for some patients, as </w:t>
      </w:r>
      <w:proofErr w:type="spellStart"/>
      <w:r w:rsidRPr="001F339C">
        <w:rPr>
          <w:rFonts w:ascii="Calibri" w:hAnsi="Calibri" w:cs="Calibri"/>
          <w:sz w:val="24"/>
          <w:szCs w:val="22"/>
        </w:rPr>
        <w:t>Symbicort</w:t>
      </w:r>
      <w:proofErr w:type="spellEnd"/>
      <w:r w:rsidRPr="001F339C">
        <w:rPr>
          <w:rFonts w:ascii="Calibri" w:hAnsi="Calibri" w:cs="Calibri"/>
          <w:sz w:val="24"/>
          <w:szCs w:val="22"/>
        </w:rPr>
        <w:t xml:space="preserve"> is more expensive than OTC SABA.</w:t>
      </w:r>
    </w:p>
    <w:p w:rsidR="009265E1" w:rsidRPr="008922C6" w:rsidRDefault="009265E1" w:rsidP="002104AB">
      <w:pPr>
        <w:pStyle w:val="ListParagraph"/>
        <w:widowControl/>
        <w:numPr>
          <w:ilvl w:val="1"/>
          <w:numId w:val="17"/>
        </w:numPr>
        <w:spacing w:before="120" w:after="160"/>
        <w:ind w:left="993" w:hanging="284"/>
        <w:contextualSpacing w:val="0"/>
        <w:rPr>
          <w:rFonts w:ascii="Calibri" w:hAnsi="Calibri" w:cs="Calibri"/>
          <w:sz w:val="24"/>
          <w:szCs w:val="22"/>
        </w:rPr>
      </w:pPr>
      <w:r w:rsidRPr="001F339C">
        <w:rPr>
          <w:rFonts w:ascii="Calibri" w:hAnsi="Calibri" w:cs="Calibri"/>
          <w:sz w:val="24"/>
          <w:szCs w:val="22"/>
        </w:rPr>
        <w:t xml:space="preserve">Assumed MBS cost offsets for decreased GP visits may not be realised, as MBS costs for patients who were previously not seeing a GP for their asthma were not included. </w:t>
      </w:r>
    </w:p>
    <w:p w:rsidR="009265E1" w:rsidRPr="001F339C" w:rsidRDefault="009265E1" w:rsidP="002104AB">
      <w:pPr>
        <w:pStyle w:val="ListParagraph"/>
        <w:widowControl/>
        <w:numPr>
          <w:ilvl w:val="1"/>
          <w:numId w:val="17"/>
        </w:numPr>
        <w:spacing w:before="120" w:after="160"/>
        <w:ind w:left="993" w:hanging="284"/>
        <w:contextualSpacing w:val="0"/>
        <w:rPr>
          <w:rFonts w:ascii="Calibri" w:hAnsi="Calibri" w:cs="Calibri"/>
          <w:sz w:val="24"/>
          <w:szCs w:val="22"/>
        </w:rPr>
      </w:pPr>
      <w:r w:rsidRPr="001F339C">
        <w:rPr>
          <w:rFonts w:ascii="Calibri" w:hAnsi="Calibri" w:cs="Calibri"/>
          <w:sz w:val="24"/>
          <w:szCs w:val="22"/>
        </w:rPr>
        <w:t xml:space="preserve">The number of packs dispensed is likely to be higher than predicted due to more frequent dosing than expected and some patients requiring additional inhalers to keep in different locations. </w:t>
      </w:r>
    </w:p>
    <w:p w:rsidR="009265E1" w:rsidRPr="001F339C" w:rsidRDefault="009265E1" w:rsidP="002104AB">
      <w:pPr>
        <w:pStyle w:val="ListParagraph"/>
        <w:widowControl/>
        <w:numPr>
          <w:ilvl w:val="1"/>
          <w:numId w:val="17"/>
        </w:numPr>
        <w:spacing w:before="120" w:after="160"/>
        <w:ind w:left="993" w:hanging="284"/>
        <w:contextualSpacing w:val="0"/>
        <w:rPr>
          <w:rFonts w:ascii="Calibri" w:hAnsi="Calibri" w:cs="Calibri"/>
          <w:sz w:val="24"/>
          <w:szCs w:val="22"/>
        </w:rPr>
      </w:pPr>
      <w:r w:rsidRPr="001F339C">
        <w:rPr>
          <w:rFonts w:ascii="Calibri" w:hAnsi="Calibri" w:cs="Calibri"/>
          <w:sz w:val="24"/>
          <w:szCs w:val="22"/>
        </w:rPr>
        <w:t xml:space="preserve">The split between </w:t>
      </w:r>
      <w:proofErr w:type="spellStart"/>
      <w:r w:rsidRPr="001F339C">
        <w:rPr>
          <w:rFonts w:ascii="Calibri" w:hAnsi="Calibri" w:cs="Calibri"/>
          <w:sz w:val="24"/>
          <w:szCs w:val="22"/>
        </w:rPr>
        <w:t>Symbicort</w:t>
      </w:r>
      <w:proofErr w:type="spellEnd"/>
      <w:r w:rsidRPr="001F339C">
        <w:rPr>
          <w:rFonts w:ascii="Calibri" w:hAnsi="Calibri" w:cs="Calibri"/>
          <w:sz w:val="24"/>
          <w:szCs w:val="22"/>
        </w:rPr>
        <w:t xml:space="preserve"> </w:t>
      </w:r>
      <w:proofErr w:type="spellStart"/>
      <w:r w:rsidRPr="001F339C">
        <w:rPr>
          <w:rFonts w:ascii="Calibri" w:hAnsi="Calibri" w:cs="Calibri"/>
          <w:sz w:val="24"/>
          <w:szCs w:val="22"/>
        </w:rPr>
        <w:t>Turbuhaler</w:t>
      </w:r>
      <w:proofErr w:type="spellEnd"/>
      <w:r w:rsidRPr="001F339C">
        <w:rPr>
          <w:rFonts w:ascii="Calibri" w:hAnsi="Calibri" w:cs="Calibri"/>
          <w:sz w:val="24"/>
          <w:szCs w:val="22"/>
        </w:rPr>
        <w:t xml:space="preserve"> 200/6 and </w:t>
      </w:r>
      <w:proofErr w:type="spellStart"/>
      <w:r w:rsidRPr="001F339C">
        <w:rPr>
          <w:rFonts w:ascii="Calibri" w:hAnsi="Calibri" w:cs="Calibri"/>
          <w:sz w:val="24"/>
          <w:szCs w:val="22"/>
        </w:rPr>
        <w:t>Symbicort</w:t>
      </w:r>
      <w:proofErr w:type="spellEnd"/>
      <w:r w:rsidRPr="001F339C">
        <w:rPr>
          <w:rFonts w:ascii="Calibri" w:hAnsi="Calibri" w:cs="Calibri"/>
          <w:sz w:val="24"/>
          <w:szCs w:val="22"/>
        </w:rPr>
        <w:t xml:space="preserve"> </w:t>
      </w:r>
      <w:proofErr w:type="spellStart"/>
      <w:r w:rsidRPr="001F339C">
        <w:rPr>
          <w:rFonts w:ascii="Calibri" w:hAnsi="Calibri" w:cs="Calibri"/>
          <w:sz w:val="24"/>
          <w:szCs w:val="22"/>
        </w:rPr>
        <w:t>Rapihaler</w:t>
      </w:r>
      <w:proofErr w:type="spellEnd"/>
      <w:r w:rsidRPr="001F339C">
        <w:rPr>
          <w:rFonts w:ascii="Calibri" w:hAnsi="Calibri" w:cs="Calibri"/>
          <w:sz w:val="24"/>
          <w:szCs w:val="22"/>
        </w:rPr>
        <w:t xml:space="preserve"> 100/3 was assumed to be 93% and 7%, respectively. Patients who are familiar with a SABA aerosol puffer may prefer the </w:t>
      </w:r>
      <w:proofErr w:type="spellStart"/>
      <w:r w:rsidRPr="001F339C">
        <w:rPr>
          <w:rFonts w:ascii="Calibri" w:hAnsi="Calibri" w:cs="Calibri"/>
          <w:sz w:val="24"/>
          <w:szCs w:val="22"/>
        </w:rPr>
        <w:t>Rapihaler</w:t>
      </w:r>
      <w:proofErr w:type="spellEnd"/>
      <w:r w:rsidRPr="001F339C">
        <w:rPr>
          <w:rFonts w:ascii="Calibri" w:hAnsi="Calibri" w:cs="Calibri"/>
          <w:sz w:val="24"/>
          <w:szCs w:val="22"/>
        </w:rPr>
        <w:t xml:space="preserve"> as it is a more similar device (paragraph 6.62</w:t>
      </w:r>
      <w:r w:rsidR="001952D2" w:rsidRPr="001F339C">
        <w:rPr>
          <w:rFonts w:ascii="Calibri" w:hAnsi="Calibri" w:cs="Calibri"/>
          <w:sz w:val="24"/>
          <w:szCs w:val="22"/>
        </w:rPr>
        <w:t xml:space="preserve">, </w:t>
      </w:r>
      <w:proofErr w:type="spellStart"/>
      <w:r w:rsidR="00530F0E" w:rsidRPr="001F339C">
        <w:rPr>
          <w:rFonts w:ascii="Calibri" w:hAnsi="Calibri" w:cs="Calibri"/>
          <w:sz w:val="24"/>
          <w:szCs w:val="22"/>
        </w:rPr>
        <w:t>Symbicort</w:t>
      </w:r>
      <w:proofErr w:type="spellEnd"/>
      <w:r w:rsidR="00530F0E" w:rsidRPr="001F339C">
        <w:rPr>
          <w:rFonts w:ascii="Calibri" w:hAnsi="Calibri" w:cs="Calibri"/>
          <w:sz w:val="24"/>
          <w:szCs w:val="22"/>
        </w:rPr>
        <w:t>, PSD</w:t>
      </w:r>
      <w:r w:rsidR="001952D2" w:rsidRPr="001F339C">
        <w:rPr>
          <w:rFonts w:ascii="Calibri" w:hAnsi="Calibri" w:cs="Calibri"/>
          <w:sz w:val="24"/>
          <w:szCs w:val="22"/>
        </w:rPr>
        <w:t>, July 2019 PBAC meeting</w:t>
      </w:r>
      <w:r w:rsidRPr="001F339C">
        <w:rPr>
          <w:rFonts w:ascii="Calibri" w:hAnsi="Calibri" w:cs="Calibri"/>
          <w:sz w:val="24"/>
          <w:szCs w:val="22"/>
        </w:rPr>
        <w:t>).</w:t>
      </w:r>
    </w:p>
    <w:p w:rsidR="00AF2EC3" w:rsidRPr="001F339C" w:rsidRDefault="006A3440" w:rsidP="009265E1">
      <w:pPr>
        <w:pStyle w:val="Bodytextitalics"/>
        <w:jc w:val="both"/>
        <w:rPr>
          <w:i w:val="0"/>
        </w:rPr>
      </w:pPr>
      <w:r w:rsidRPr="001F339C">
        <w:rPr>
          <w:i w:val="0"/>
        </w:rPr>
        <w:t>The</w:t>
      </w:r>
      <w:r w:rsidR="00AF2EC3" w:rsidRPr="001F339C">
        <w:rPr>
          <w:i w:val="0"/>
        </w:rPr>
        <w:t xml:space="preserve"> resubmission </w:t>
      </w:r>
      <w:r w:rsidR="00116E0C" w:rsidRPr="001F339C">
        <w:rPr>
          <w:i w:val="0"/>
        </w:rPr>
        <w:t>applied an</w:t>
      </w:r>
      <w:r w:rsidR="00AF2EC3" w:rsidRPr="001F339C">
        <w:rPr>
          <w:i w:val="0"/>
        </w:rPr>
        <w:t xml:space="preserve"> </w:t>
      </w:r>
      <w:r w:rsidR="00116E0C" w:rsidRPr="001F339C">
        <w:rPr>
          <w:i w:val="0"/>
        </w:rPr>
        <w:t>adjusted market device</w:t>
      </w:r>
      <w:r w:rsidR="00AF2EC3" w:rsidRPr="001F339C">
        <w:rPr>
          <w:i w:val="0"/>
        </w:rPr>
        <w:t xml:space="preserve"> split to the financial estimates, i.e. 60% and 40% for the </w:t>
      </w:r>
      <w:proofErr w:type="spellStart"/>
      <w:r w:rsidR="00AF2EC3" w:rsidRPr="001F339C">
        <w:rPr>
          <w:i w:val="0"/>
        </w:rPr>
        <w:t>Turbuhaler</w:t>
      </w:r>
      <w:proofErr w:type="spellEnd"/>
      <w:r w:rsidR="00AF2EC3" w:rsidRPr="001F339C">
        <w:rPr>
          <w:i w:val="0"/>
        </w:rPr>
        <w:t xml:space="preserve"> and </w:t>
      </w:r>
      <w:proofErr w:type="spellStart"/>
      <w:r w:rsidR="00AF2EC3" w:rsidRPr="001F339C">
        <w:rPr>
          <w:i w:val="0"/>
        </w:rPr>
        <w:t>Rapihaler</w:t>
      </w:r>
      <w:proofErr w:type="spellEnd"/>
      <w:r w:rsidR="00AF2EC3" w:rsidRPr="001F339C">
        <w:rPr>
          <w:i w:val="0"/>
        </w:rPr>
        <w:t xml:space="preserve"> respectively. The sponsor stated that this was the only amendment made to the utilisation and cost workbook from the July 2019 major submission. </w:t>
      </w:r>
      <w:r w:rsidR="009265E1" w:rsidRPr="001F339C">
        <w:rPr>
          <w:i w:val="0"/>
        </w:rPr>
        <w:t xml:space="preserve">The July 2019 submission included </w:t>
      </w:r>
      <w:r w:rsidR="00ED3E85" w:rsidRPr="001F339C">
        <w:rPr>
          <w:i w:val="0"/>
        </w:rPr>
        <w:t>estimated savings to the MBS based on the cost-utility analysis comparin</w:t>
      </w:r>
      <w:r w:rsidR="00096D9E" w:rsidRPr="001F339C">
        <w:rPr>
          <w:i w:val="0"/>
        </w:rPr>
        <w:t xml:space="preserve">g </w:t>
      </w:r>
      <w:proofErr w:type="spellStart"/>
      <w:r w:rsidR="00096D9E" w:rsidRPr="001F339C">
        <w:rPr>
          <w:i w:val="0"/>
        </w:rPr>
        <w:t>Symbicort</w:t>
      </w:r>
      <w:proofErr w:type="spellEnd"/>
      <w:r w:rsidR="00096D9E" w:rsidRPr="001F339C">
        <w:rPr>
          <w:i w:val="0"/>
        </w:rPr>
        <w:t xml:space="preserve"> to SABA. These cost</w:t>
      </w:r>
      <w:r w:rsidR="00AF4339" w:rsidRPr="001F339C">
        <w:rPr>
          <w:i w:val="0"/>
        </w:rPr>
        <w:t xml:space="preserve"> offsets</w:t>
      </w:r>
      <w:r w:rsidR="00ED3E85" w:rsidRPr="001F339C">
        <w:rPr>
          <w:i w:val="0"/>
        </w:rPr>
        <w:t xml:space="preserve"> were not included in the resubmission. </w:t>
      </w:r>
    </w:p>
    <w:p w:rsidR="00BF6117" w:rsidRPr="001F339C" w:rsidRDefault="00AF4339" w:rsidP="00BF6117">
      <w:pPr>
        <w:pStyle w:val="Bodytextitalics"/>
        <w:jc w:val="both"/>
        <w:rPr>
          <w:i w:val="0"/>
        </w:rPr>
      </w:pPr>
      <w:r w:rsidRPr="001F339C">
        <w:rPr>
          <w:i w:val="0"/>
        </w:rPr>
        <w:t>The re</w:t>
      </w:r>
      <w:r w:rsidR="00BF6117" w:rsidRPr="001F339C">
        <w:rPr>
          <w:i w:val="0"/>
        </w:rPr>
        <w:t xml:space="preserve">submission estimated a net cost to the PBS/RPBS of </w:t>
      </w:r>
      <w:r w:rsidR="00C10164">
        <w:rPr>
          <w:i w:val="0"/>
        </w:rPr>
        <w:t xml:space="preserve">less than </w:t>
      </w:r>
      <w:r w:rsidR="00BF6117" w:rsidRPr="001F339C">
        <w:rPr>
          <w:i w:val="0"/>
        </w:rPr>
        <w:t>$</w:t>
      </w:r>
      <w:r w:rsidR="00C10164">
        <w:rPr>
          <w:i w:val="0"/>
        </w:rPr>
        <w:t>10</w:t>
      </w:r>
      <w:r w:rsidR="00BF6117" w:rsidRPr="001F339C">
        <w:rPr>
          <w:i w:val="0"/>
        </w:rPr>
        <w:t xml:space="preserve"> million in Year 6 of lis</w:t>
      </w:r>
      <w:r w:rsidRPr="001F339C">
        <w:rPr>
          <w:i w:val="0"/>
        </w:rPr>
        <w:t>ting, with a total net cost</w:t>
      </w:r>
      <w:r w:rsidR="00BF6117" w:rsidRPr="001F339C">
        <w:rPr>
          <w:i w:val="0"/>
        </w:rPr>
        <w:t xml:space="preserve"> to the PBS of $</w:t>
      </w:r>
      <w:r w:rsidR="00C10164">
        <w:rPr>
          <w:i w:val="0"/>
        </w:rPr>
        <w:t>30 - 60</w:t>
      </w:r>
      <w:r w:rsidR="00BF6117" w:rsidRPr="001F339C">
        <w:rPr>
          <w:i w:val="0"/>
        </w:rPr>
        <w:t xml:space="preserve"> million over the first 6 years of listing. This is summarised in the table below as well as the expected patient and prescription numbers. </w:t>
      </w:r>
    </w:p>
    <w:p w:rsidR="00962E82" w:rsidRPr="001F339C" w:rsidRDefault="00962E82" w:rsidP="009265E1">
      <w:pPr>
        <w:pStyle w:val="3Bodytext"/>
        <w:keepNext/>
        <w:keepLines/>
        <w:numPr>
          <w:ilvl w:val="0"/>
          <w:numId w:val="0"/>
        </w:numPr>
        <w:jc w:val="both"/>
        <w:rPr>
          <w:b/>
          <w:color w:val="FF00FF"/>
        </w:rPr>
      </w:pPr>
      <w:r w:rsidRPr="001F339C">
        <w:rPr>
          <w:rFonts w:ascii="Arial Narrow" w:hAnsi="Arial Narrow" w:cstheme="minorHAnsi"/>
          <w:b/>
          <w:sz w:val="20"/>
          <w:szCs w:val="20"/>
        </w:rPr>
        <w:t>Table 3: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1"/>
        <w:gridCol w:w="1031"/>
        <w:gridCol w:w="1157"/>
        <w:gridCol w:w="1157"/>
        <w:gridCol w:w="1157"/>
        <w:gridCol w:w="1157"/>
        <w:gridCol w:w="1158"/>
      </w:tblGrid>
      <w:tr w:rsidR="00962E82" w:rsidRPr="001F339C" w:rsidTr="00413101">
        <w:trPr>
          <w:tblHeader/>
        </w:trPr>
        <w:tc>
          <w:tcPr>
            <w:tcW w:w="1187" w:type="pct"/>
            <w:shd w:val="clear" w:color="auto" w:fill="auto"/>
            <w:vAlign w:val="center"/>
          </w:tcPr>
          <w:p w:rsidR="00962E82" w:rsidRPr="001F339C" w:rsidRDefault="00962E82" w:rsidP="009265E1">
            <w:pPr>
              <w:pStyle w:val="Tabletext"/>
              <w:keepNext/>
              <w:keepLines/>
              <w:spacing w:after="0"/>
              <w:rPr>
                <w:rFonts w:ascii="Arial Narrow" w:hAnsi="Arial Narrow"/>
              </w:rPr>
            </w:pPr>
          </w:p>
        </w:tc>
        <w:tc>
          <w:tcPr>
            <w:tcW w:w="577" w:type="pct"/>
            <w:shd w:val="clear" w:color="auto" w:fill="auto"/>
            <w:vAlign w:val="center"/>
          </w:tcPr>
          <w:p w:rsidR="00962E82" w:rsidRPr="001F339C" w:rsidRDefault="00962E82" w:rsidP="009265E1">
            <w:pPr>
              <w:pStyle w:val="Tabletext"/>
              <w:keepNext/>
              <w:keepLines/>
              <w:spacing w:after="0"/>
              <w:jc w:val="center"/>
              <w:rPr>
                <w:rFonts w:ascii="Arial Narrow" w:hAnsi="Arial Narrow"/>
                <w:b/>
              </w:rPr>
            </w:pPr>
            <w:r w:rsidRPr="001F339C">
              <w:rPr>
                <w:rFonts w:ascii="Arial Narrow" w:hAnsi="Arial Narrow"/>
                <w:b/>
              </w:rPr>
              <w:t>Year 1</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
              </w:rPr>
            </w:pPr>
            <w:r w:rsidRPr="001F339C">
              <w:rPr>
                <w:rFonts w:ascii="Arial Narrow" w:hAnsi="Arial Narrow"/>
                <w:b/>
              </w:rPr>
              <w:t>Year 2</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
              </w:rPr>
            </w:pPr>
            <w:r w:rsidRPr="001F339C">
              <w:rPr>
                <w:rFonts w:ascii="Arial Narrow" w:hAnsi="Arial Narrow"/>
                <w:b/>
              </w:rPr>
              <w:t>Year 3</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
              </w:rPr>
            </w:pPr>
            <w:r w:rsidRPr="001F339C">
              <w:rPr>
                <w:rFonts w:ascii="Arial Narrow" w:hAnsi="Arial Narrow"/>
                <w:b/>
              </w:rPr>
              <w:t>Year 4</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
              </w:rPr>
            </w:pPr>
            <w:r w:rsidRPr="001F339C">
              <w:rPr>
                <w:rFonts w:ascii="Arial Narrow" w:hAnsi="Arial Narrow"/>
                <w:b/>
              </w:rPr>
              <w:t>Year 5</w:t>
            </w:r>
          </w:p>
        </w:tc>
        <w:tc>
          <w:tcPr>
            <w:tcW w:w="647" w:type="pct"/>
          </w:tcPr>
          <w:p w:rsidR="00962E82" w:rsidRPr="001F339C" w:rsidRDefault="00962E82" w:rsidP="009265E1">
            <w:pPr>
              <w:pStyle w:val="Tabletext"/>
              <w:keepNext/>
              <w:keepLines/>
              <w:spacing w:after="0"/>
              <w:jc w:val="center"/>
              <w:rPr>
                <w:rFonts w:ascii="Arial Narrow" w:hAnsi="Arial Narrow"/>
                <w:b/>
              </w:rPr>
            </w:pPr>
            <w:r w:rsidRPr="001F339C">
              <w:rPr>
                <w:rFonts w:ascii="Arial Narrow" w:hAnsi="Arial Narrow"/>
                <w:b/>
              </w:rPr>
              <w:t>Year 6</w:t>
            </w:r>
          </w:p>
        </w:tc>
      </w:tr>
      <w:tr w:rsidR="00962E82" w:rsidRPr="001F339C" w:rsidTr="00071780">
        <w:tc>
          <w:tcPr>
            <w:tcW w:w="5000" w:type="pct"/>
            <w:gridSpan w:val="7"/>
            <w:shd w:val="clear" w:color="auto" w:fill="auto"/>
            <w:vAlign w:val="center"/>
          </w:tcPr>
          <w:p w:rsidR="00962E82" w:rsidRPr="001F339C" w:rsidRDefault="00962E82" w:rsidP="009265E1">
            <w:pPr>
              <w:pStyle w:val="Tabletext"/>
              <w:keepNext/>
              <w:keepLines/>
              <w:spacing w:after="0"/>
              <w:rPr>
                <w:rFonts w:ascii="Arial Narrow" w:hAnsi="Arial Narrow"/>
                <w:b/>
                <w:bCs/>
                <w:color w:val="000000"/>
              </w:rPr>
            </w:pPr>
            <w:r w:rsidRPr="001F339C">
              <w:rPr>
                <w:rFonts w:ascii="Arial Narrow" w:hAnsi="Arial Narrow"/>
                <w:b/>
                <w:bCs/>
                <w:color w:val="000000"/>
              </w:rPr>
              <w:t>Estimated extent of use</w:t>
            </w:r>
          </w:p>
        </w:tc>
      </w:tr>
      <w:tr w:rsidR="00962E82" w:rsidRPr="001F339C" w:rsidTr="00413101">
        <w:tc>
          <w:tcPr>
            <w:tcW w:w="1187" w:type="pct"/>
            <w:shd w:val="clear" w:color="auto" w:fill="auto"/>
            <w:vAlign w:val="center"/>
          </w:tcPr>
          <w:p w:rsidR="00962E82" w:rsidRPr="00413101" w:rsidRDefault="00962E82" w:rsidP="009265E1">
            <w:pPr>
              <w:pStyle w:val="Tabletext"/>
              <w:keepNext/>
              <w:keepLines/>
              <w:spacing w:after="0"/>
              <w:rPr>
                <w:rFonts w:ascii="Arial Narrow" w:hAnsi="Arial Narrow"/>
                <w:vertAlign w:val="superscript"/>
              </w:rPr>
            </w:pPr>
            <w:r w:rsidRPr="001F339C">
              <w:rPr>
                <w:rFonts w:ascii="Arial Narrow" w:hAnsi="Arial Narrow"/>
              </w:rPr>
              <w:t>Number of patients treated</w:t>
            </w:r>
          </w:p>
        </w:tc>
        <w:tc>
          <w:tcPr>
            <w:tcW w:w="57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r>
      <w:tr w:rsidR="00962E82" w:rsidRPr="001F339C" w:rsidTr="00413101">
        <w:tc>
          <w:tcPr>
            <w:tcW w:w="1187" w:type="pct"/>
            <w:shd w:val="clear" w:color="auto" w:fill="auto"/>
            <w:vAlign w:val="center"/>
          </w:tcPr>
          <w:p w:rsidR="00962E82" w:rsidRPr="001F339C" w:rsidRDefault="00962E82" w:rsidP="009265E1">
            <w:pPr>
              <w:pStyle w:val="Tabletext"/>
              <w:keepNext/>
              <w:keepLines/>
              <w:spacing w:after="0"/>
              <w:rPr>
                <w:rFonts w:ascii="Arial Narrow" w:hAnsi="Arial Narrow"/>
              </w:rPr>
            </w:pPr>
            <w:r w:rsidRPr="001F339C">
              <w:rPr>
                <w:rFonts w:ascii="Arial Narrow" w:hAnsi="Arial Narrow"/>
              </w:rPr>
              <w:t xml:space="preserve">Number of scripts </w:t>
            </w:r>
            <w:proofErr w:type="spellStart"/>
            <w:r w:rsidRPr="001F339C">
              <w:rPr>
                <w:rFonts w:ascii="Arial Narrow" w:hAnsi="Arial Narrow"/>
              </w:rPr>
              <w:t>dispensed</w:t>
            </w:r>
            <w:r w:rsidRPr="001F339C">
              <w:rPr>
                <w:rFonts w:ascii="Arial Narrow" w:hAnsi="Arial Narrow"/>
                <w:vertAlign w:val="superscript"/>
              </w:rPr>
              <w:t>a</w:t>
            </w:r>
            <w:proofErr w:type="spellEnd"/>
          </w:p>
        </w:tc>
        <w:tc>
          <w:tcPr>
            <w:tcW w:w="57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vAlign w:val="center"/>
          </w:tcPr>
          <w:p w:rsidR="00962E82" w:rsidRPr="003210D0" w:rsidRDefault="003210D0" w:rsidP="009265E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w:t>
            </w:r>
          </w:p>
        </w:tc>
      </w:tr>
      <w:tr w:rsidR="00962E82" w:rsidRPr="001F339C" w:rsidTr="00071780">
        <w:tc>
          <w:tcPr>
            <w:tcW w:w="5000" w:type="pct"/>
            <w:gridSpan w:val="7"/>
            <w:shd w:val="clear" w:color="auto" w:fill="auto"/>
            <w:vAlign w:val="center"/>
          </w:tcPr>
          <w:p w:rsidR="00962E82" w:rsidRPr="001F339C" w:rsidRDefault="00962E82" w:rsidP="009265E1">
            <w:pPr>
              <w:pStyle w:val="Tabletext"/>
              <w:keepNext/>
              <w:keepLines/>
              <w:spacing w:after="0"/>
              <w:rPr>
                <w:rFonts w:ascii="Arial Narrow" w:hAnsi="Arial Narrow"/>
                <w:b/>
                <w:bCs/>
                <w:color w:val="000000"/>
                <w:vertAlign w:val="superscript"/>
              </w:rPr>
            </w:pPr>
            <w:r w:rsidRPr="001F339C">
              <w:rPr>
                <w:rFonts w:ascii="Arial Narrow" w:hAnsi="Arial Narrow"/>
                <w:b/>
                <w:bCs/>
                <w:color w:val="000000"/>
              </w:rPr>
              <w:t xml:space="preserve">Estimated financial implications of </w:t>
            </w:r>
            <w:proofErr w:type="spellStart"/>
            <w:r w:rsidRPr="001F339C">
              <w:rPr>
                <w:rFonts w:ascii="Arial Narrow" w:hAnsi="Arial Narrow"/>
                <w:b/>
                <w:bCs/>
                <w:color w:val="000000"/>
              </w:rPr>
              <w:t>Symbicort</w:t>
            </w:r>
            <w:r w:rsidRPr="001F339C">
              <w:rPr>
                <w:rFonts w:ascii="Arial Narrow" w:hAnsi="Arial Narrow"/>
                <w:b/>
                <w:bCs/>
                <w:color w:val="000000"/>
                <w:vertAlign w:val="superscript"/>
              </w:rPr>
              <w:t>b</w:t>
            </w:r>
            <w:proofErr w:type="spellEnd"/>
          </w:p>
        </w:tc>
      </w:tr>
      <w:tr w:rsidR="00071780" w:rsidRPr="001F339C" w:rsidTr="00413101">
        <w:tc>
          <w:tcPr>
            <w:tcW w:w="1187" w:type="pct"/>
            <w:shd w:val="clear" w:color="auto" w:fill="auto"/>
            <w:vAlign w:val="center"/>
          </w:tcPr>
          <w:p w:rsidR="00071780" w:rsidRPr="001F339C" w:rsidRDefault="00071780" w:rsidP="009265E1">
            <w:pPr>
              <w:pStyle w:val="Tabletext"/>
              <w:keepNext/>
              <w:keepLines/>
              <w:spacing w:after="0"/>
              <w:rPr>
                <w:rFonts w:ascii="Arial Narrow" w:hAnsi="Arial Narrow"/>
              </w:rPr>
            </w:pPr>
            <w:r w:rsidRPr="001F339C">
              <w:rPr>
                <w:rFonts w:ascii="Arial Narrow" w:hAnsi="Arial Narrow"/>
              </w:rPr>
              <w:t>Cost to PBS/RPBS</w:t>
            </w:r>
          </w:p>
        </w:tc>
        <w:tc>
          <w:tcPr>
            <w:tcW w:w="577" w:type="pct"/>
            <w:shd w:val="clear" w:color="auto" w:fill="auto"/>
            <w:vAlign w:val="bottom"/>
          </w:tcPr>
          <w:p w:rsidR="00071780" w:rsidRPr="001F339C" w:rsidRDefault="00071780"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071780" w:rsidRPr="001F339C" w:rsidRDefault="00071780"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071780" w:rsidRPr="001F339C" w:rsidRDefault="00071780"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071780" w:rsidRPr="001F339C" w:rsidRDefault="00071780"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071780" w:rsidRPr="001F339C" w:rsidRDefault="00071780"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vAlign w:val="bottom"/>
          </w:tcPr>
          <w:p w:rsidR="00071780" w:rsidRPr="001F339C" w:rsidRDefault="00071780"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r>
      <w:tr w:rsidR="00902D4E" w:rsidRPr="001F339C" w:rsidTr="00413101">
        <w:tc>
          <w:tcPr>
            <w:tcW w:w="1187" w:type="pct"/>
            <w:shd w:val="clear" w:color="auto" w:fill="auto"/>
            <w:vAlign w:val="center"/>
          </w:tcPr>
          <w:p w:rsidR="00902D4E" w:rsidRPr="001F339C" w:rsidRDefault="00902D4E" w:rsidP="009265E1">
            <w:pPr>
              <w:pStyle w:val="Tabletext"/>
              <w:keepNext/>
              <w:keepLines/>
              <w:spacing w:after="0"/>
              <w:rPr>
                <w:rFonts w:ascii="Arial Narrow" w:hAnsi="Arial Narrow"/>
              </w:rPr>
            </w:pPr>
            <w:proofErr w:type="spellStart"/>
            <w:r w:rsidRPr="001F339C">
              <w:rPr>
                <w:rFonts w:ascii="Arial Narrow" w:hAnsi="Arial Narrow"/>
              </w:rPr>
              <w:t>Copayments</w:t>
            </w:r>
            <w:proofErr w:type="spellEnd"/>
          </w:p>
        </w:tc>
        <w:tc>
          <w:tcPr>
            <w:tcW w:w="57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rPr>
            </w:pPr>
            <w:r w:rsidRPr="001F339C">
              <w:rPr>
                <w:rFonts w:ascii="Arial Narrow" w:hAnsi="Arial Narrow" w:cs="Calibri"/>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rPr>
            </w:pPr>
            <w:r w:rsidRPr="001F339C">
              <w:rPr>
                <w:rFonts w:ascii="Arial Narrow" w:hAnsi="Arial Narrow" w:cs="Calibri"/>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rPr>
            </w:pPr>
            <w:r w:rsidRPr="001F339C">
              <w:rPr>
                <w:rFonts w:ascii="Arial Narrow" w:hAnsi="Arial Narrow" w:cs="Calibri"/>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rPr>
            </w:pPr>
            <w:r w:rsidRPr="001F339C">
              <w:rPr>
                <w:rFonts w:ascii="Arial Narrow" w:hAnsi="Arial Narrow" w:cs="Calibri"/>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rPr>
            </w:pPr>
            <w:r w:rsidRPr="001F339C">
              <w:rPr>
                <w:rFonts w:ascii="Arial Narrow" w:hAnsi="Arial Narrow" w:cs="Calibri"/>
              </w:rPr>
              <w:t>$</w:t>
            </w:r>
            <w:r w:rsidR="003210D0">
              <w:rPr>
                <w:rFonts w:ascii="Arial Narrow" w:hAnsi="Arial Narrow" w:cs="Calibri"/>
                <w:noProof/>
                <w:color w:val="000000"/>
                <w:highlight w:val="black"/>
              </w:rPr>
              <w:t>'''''''''''''''''''''''''</w:t>
            </w:r>
          </w:p>
        </w:tc>
        <w:tc>
          <w:tcPr>
            <w:tcW w:w="647" w:type="pct"/>
            <w:vAlign w:val="bottom"/>
          </w:tcPr>
          <w:p w:rsidR="00902D4E" w:rsidRPr="001F339C" w:rsidRDefault="00902D4E" w:rsidP="009265E1">
            <w:pPr>
              <w:pStyle w:val="Tabletext"/>
              <w:keepNext/>
              <w:keepLines/>
              <w:spacing w:after="0"/>
              <w:jc w:val="center"/>
              <w:rPr>
                <w:rFonts w:ascii="Arial Narrow" w:hAnsi="Arial Narrow"/>
                <w:bCs/>
              </w:rPr>
            </w:pPr>
            <w:r w:rsidRPr="001F339C">
              <w:rPr>
                <w:rFonts w:ascii="Arial Narrow" w:hAnsi="Arial Narrow" w:cs="Calibri"/>
              </w:rPr>
              <w:t>$</w:t>
            </w:r>
            <w:r w:rsidR="003210D0">
              <w:rPr>
                <w:rFonts w:ascii="Arial Narrow" w:hAnsi="Arial Narrow" w:cs="Calibri"/>
                <w:noProof/>
                <w:color w:val="000000"/>
                <w:highlight w:val="black"/>
              </w:rPr>
              <w:t>'''''''''''''''''''''''</w:t>
            </w:r>
          </w:p>
        </w:tc>
      </w:tr>
      <w:tr w:rsidR="00902D4E" w:rsidRPr="001F339C" w:rsidTr="00413101">
        <w:tc>
          <w:tcPr>
            <w:tcW w:w="1187" w:type="pct"/>
            <w:shd w:val="clear" w:color="auto" w:fill="auto"/>
            <w:vAlign w:val="center"/>
          </w:tcPr>
          <w:p w:rsidR="00902D4E" w:rsidRPr="001F339C" w:rsidRDefault="00902D4E" w:rsidP="009265E1">
            <w:pPr>
              <w:pStyle w:val="Tabletext"/>
              <w:keepNext/>
              <w:keepLines/>
              <w:spacing w:after="0"/>
              <w:rPr>
                <w:rFonts w:ascii="Arial Narrow" w:hAnsi="Arial Narrow"/>
              </w:rPr>
            </w:pPr>
            <w:r w:rsidRPr="001F339C">
              <w:rPr>
                <w:rFonts w:ascii="Arial Narrow" w:hAnsi="Arial Narrow"/>
              </w:rPr>
              <w:t xml:space="preserve">Cost to PBS/RPBS less </w:t>
            </w:r>
            <w:proofErr w:type="spellStart"/>
            <w:r w:rsidRPr="001F339C">
              <w:rPr>
                <w:rFonts w:ascii="Arial Narrow" w:hAnsi="Arial Narrow"/>
              </w:rPr>
              <w:t>copayments</w:t>
            </w:r>
            <w:proofErr w:type="spellEnd"/>
          </w:p>
        </w:tc>
        <w:tc>
          <w:tcPr>
            <w:tcW w:w="57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shd w:val="clear" w:color="auto" w:fill="auto"/>
            <w:vAlign w:val="bottom"/>
          </w:tcPr>
          <w:p w:rsidR="00902D4E"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c>
          <w:tcPr>
            <w:tcW w:w="647" w:type="pct"/>
            <w:vAlign w:val="bottom"/>
          </w:tcPr>
          <w:p w:rsidR="00902D4E"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cs="Calibri"/>
                <w:color w:val="000000"/>
              </w:rPr>
              <w:t>$</w:t>
            </w:r>
            <w:r w:rsidR="003210D0">
              <w:rPr>
                <w:rFonts w:ascii="Arial Narrow" w:hAnsi="Arial Narrow" w:cs="Calibri"/>
                <w:noProof/>
                <w:color w:val="000000"/>
                <w:highlight w:val="black"/>
              </w:rPr>
              <w:t>'''''''''''''''''''''''''</w:t>
            </w:r>
          </w:p>
        </w:tc>
      </w:tr>
      <w:tr w:rsidR="00962E82" w:rsidRPr="001F339C" w:rsidTr="00071780">
        <w:tc>
          <w:tcPr>
            <w:tcW w:w="5000" w:type="pct"/>
            <w:gridSpan w:val="7"/>
            <w:shd w:val="clear" w:color="auto" w:fill="auto"/>
            <w:vAlign w:val="center"/>
          </w:tcPr>
          <w:p w:rsidR="00962E82" w:rsidRPr="001F339C" w:rsidRDefault="00962E82" w:rsidP="009265E1">
            <w:pPr>
              <w:pStyle w:val="Tabletext"/>
              <w:keepNext/>
              <w:keepLines/>
              <w:spacing w:after="0"/>
              <w:rPr>
                <w:rFonts w:ascii="Arial Narrow" w:hAnsi="Arial Narrow"/>
                <w:bCs/>
                <w:color w:val="000000"/>
              </w:rPr>
            </w:pPr>
            <w:r w:rsidRPr="001F339C">
              <w:rPr>
                <w:rFonts w:ascii="Arial Narrow" w:hAnsi="Arial Narrow"/>
                <w:b/>
                <w:bCs/>
                <w:color w:val="000000"/>
              </w:rPr>
              <w:t>Estimated financial implications for ICS</w:t>
            </w:r>
          </w:p>
        </w:tc>
      </w:tr>
      <w:tr w:rsidR="00962E82" w:rsidRPr="001F339C" w:rsidTr="00413101">
        <w:tc>
          <w:tcPr>
            <w:tcW w:w="1187" w:type="pct"/>
            <w:shd w:val="clear" w:color="auto" w:fill="auto"/>
            <w:vAlign w:val="center"/>
          </w:tcPr>
          <w:p w:rsidR="00962E82" w:rsidRPr="001F339C" w:rsidRDefault="00962E82" w:rsidP="009265E1">
            <w:pPr>
              <w:pStyle w:val="Tabletext"/>
              <w:keepNext/>
              <w:keepLines/>
              <w:spacing w:after="0"/>
              <w:rPr>
                <w:rFonts w:ascii="Arial Narrow" w:hAnsi="Arial Narrow"/>
              </w:rPr>
            </w:pPr>
            <w:r w:rsidRPr="001F339C">
              <w:rPr>
                <w:rFonts w:ascii="Arial Narrow" w:hAnsi="Arial Narrow"/>
              </w:rPr>
              <w:t xml:space="preserve">Cost-offsets to PBS/RPBS </w:t>
            </w:r>
          </w:p>
        </w:tc>
        <w:tc>
          <w:tcPr>
            <w:tcW w:w="577" w:type="pct"/>
            <w:shd w:val="clear" w:color="auto" w:fill="auto"/>
            <w:vAlign w:val="center"/>
          </w:tcPr>
          <w:p w:rsidR="00962E82" w:rsidRPr="001F339C" w:rsidRDefault="00962E82" w:rsidP="009265E1">
            <w:pPr>
              <w:pStyle w:val="Tabletext"/>
              <w:keepNext/>
              <w:keepLines/>
              <w:spacing w:after="0"/>
              <w:jc w:val="center"/>
              <w:rPr>
                <w:rFonts w:ascii="Arial Narrow" w:hAnsi="Arial Narrow"/>
                <w:bCs/>
                <w:color w:val="000000"/>
              </w:rPr>
            </w:pPr>
            <w:r w:rsidRPr="001F339C">
              <w:rPr>
                <w:rFonts w:ascii="Arial Narrow" w:hAnsi="Arial Narrow" w:cs="Arial"/>
                <w:bCs/>
                <w:color w:val="000000"/>
              </w:rPr>
              <w:t>$</w:t>
            </w:r>
            <w:r w:rsidR="003210D0">
              <w:rPr>
                <w:rFonts w:ascii="Arial Narrow" w:hAnsi="Arial Narrow" w:cs="Arial"/>
                <w:bCs/>
                <w:noProof/>
                <w:color w:val="000000"/>
                <w:highlight w:val="black"/>
              </w:rPr>
              <w:t>''''''''''''''''''</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Cs/>
                <w:color w:val="000000"/>
              </w:rPr>
            </w:pPr>
            <w:r w:rsidRPr="001F339C">
              <w:rPr>
                <w:rFonts w:ascii="Arial Narrow" w:hAnsi="Arial Narrow" w:cs="Arial"/>
                <w:bCs/>
                <w:color w:val="000000"/>
              </w:rPr>
              <w:t>$</w:t>
            </w:r>
            <w:r w:rsidR="003210D0">
              <w:rPr>
                <w:rFonts w:ascii="Arial Narrow" w:hAnsi="Arial Narrow" w:cs="Arial"/>
                <w:bCs/>
                <w:noProof/>
                <w:color w:val="000000"/>
                <w:highlight w:val="black"/>
              </w:rPr>
              <w:t>'''''''''''''''''''''''</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Cs/>
                <w:color w:val="000000"/>
              </w:rPr>
            </w:pPr>
            <w:r w:rsidRPr="001F339C">
              <w:rPr>
                <w:rFonts w:ascii="Arial Narrow" w:hAnsi="Arial Narrow" w:cs="Arial"/>
                <w:bCs/>
                <w:color w:val="000000"/>
              </w:rPr>
              <w:t>$</w:t>
            </w:r>
            <w:r w:rsidR="003210D0">
              <w:rPr>
                <w:rFonts w:ascii="Arial Narrow" w:hAnsi="Arial Narrow" w:cs="Arial"/>
                <w:bCs/>
                <w:noProof/>
                <w:color w:val="000000"/>
                <w:highlight w:val="black"/>
              </w:rPr>
              <w:t>'''''''''''''''''''''''</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Cs/>
                <w:color w:val="000000"/>
              </w:rPr>
            </w:pPr>
            <w:r w:rsidRPr="001F339C">
              <w:rPr>
                <w:rFonts w:ascii="Arial Narrow" w:hAnsi="Arial Narrow" w:cs="Arial"/>
                <w:bCs/>
                <w:color w:val="000000"/>
              </w:rPr>
              <w:t>$</w:t>
            </w:r>
            <w:r w:rsidR="003210D0">
              <w:rPr>
                <w:rFonts w:ascii="Arial Narrow" w:hAnsi="Arial Narrow" w:cs="Arial"/>
                <w:bCs/>
                <w:noProof/>
                <w:color w:val="000000"/>
                <w:highlight w:val="black"/>
              </w:rPr>
              <w:t>''''''''''''''''''''''''</w:t>
            </w:r>
          </w:p>
        </w:tc>
        <w:tc>
          <w:tcPr>
            <w:tcW w:w="647" w:type="pct"/>
            <w:shd w:val="clear" w:color="auto" w:fill="auto"/>
            <w:vAlign w:val="center"/>
          </w:tcPr>
          <w:p w:rsidR="00962E82" w:rsidRPr="001F339C" w:rsidRDefault="00962E82" w:rsidP="009265E1">
            <w:pPr>
              <w:pStyle w:val="Tabletext"/>
              <w:keepNext/>
              <w:keepLines/>
              <w:spacing w:after="0"/>
              <w:jc w:val="center"/>
              <w:rPr>
                <w:rFonts w:ascii="Arial Narrow" w:hAnsi="Arial Narrow"/>
                <w:bCs/>
                <w:color w:val="000000"/>
              </w:rPr>
            </w:pPr>
            <w:r w:rsidRPr="001F339C">
              <w:rPr>
                <w:rFonts w:ascii="Arial Narrow" w:hAnsi="Arial Narrow" w:cs="Arial"/>
                <w:bCs/>
                <w:color w:val="000000"/>
              </w:rPr>
              <w:t>$</w:t>
            </w:r>
            <w:r w:rsidR="003210D0">
              <w:rPr>
                <w:rFonts w:ascii="Arial Narrow" w:hAnsi="Arial Narrow" w:cs="Arial"/>
                <w:bCs/>
                <w:noProof/>
                <w:color w:val="000000"/>
                <w:highlight w:val="black"/>
              </w:rPr>
              <w:t>''''''''''''''''''''''</w:t>
            </w:r>
          </w:p>
        </w:tc>
        <w:tc>
          <w:tcPr>
            <w:tcW w:w="647" w:type="pct"/>
            <w:vAlign w:val="center"/>
          </w:tcPr>
          <w:p w:rsidR="00962E82" w:rsidRPr="001F339C" w:rsidRDefault="00962E82" w:rsidP="009265E1">
            <w:pPr>
              <w:pStyle w:val="Tabletext"/>
              <w:keepNext/>
              <w:keepLines/>
              <w:spacing w:after="0"/>
              <w:jc w:val="center"/>
              <w:rPr>
                <w:rFonts w:ascii="Arial Narrow" w:hAnsi="Arial Narrow"/>
                <w:bCs/>
                <w:color w:val="000000"/>
              </w:rPr>
            </w:pPr>
            <w:r w:rsidRPr="001F339C">
              <w:rPr>
                <w:rFonts w:ascii="Arial Narrow" w:hAnsi="Arial Narrow" w:cs="Arial"/>
                <w:bCs/>
                <w:color w:val="000000"/>
              </w:rPr>
              <w:t>$</w:t>
            </w:r>
            <w:r w:rsidR="003210D0">
              <w:rPr>
                <w:rFonts w:ascii="Arial Narrow" w:hAnsi="Arial Narrow" w:cs="Arial"/>
                <w:bCs/>
                <w:noProof/>
                <w:color w:val="000000"/>
                <w:highlight w:val="black"/>
              </w:rPr>
              <w:t>'''''''''''''''''''''''</w:t>
            </w:r>
          </w:p>
        </w:tc>
      </w:tr>
      <w:tr w:rsidR="00962E82" w:rsidRPr="001F339C" w:rsidTr="00071780">
        <w:tc>
          <w:tcPr>
            <w:tcW w:w="5000" w:type="pct"/>
            <w:gridSpan w:val="7"/>
            <w:shd w:val="clear" w:color="auto" w:fill="auto"/>
            <w:vAlign w:val="center"/>
          </w:tcPr>
          <w:p w:rsidR="00962E82" w:rsidRPr="001F339C" w:rsidRDefault="00962E82" w:rsidP="009265E1">
            <w:pPr>
              <w:pStyle w:val="Tabletext"/>
              <w:keepNext/>
              <w:keepLines/>
              <w:spacing w:after="0"/>
              <w:rPr>
                <w:rFonts w:ascii="Arial Narrow" w:hAnsi="Arial Narrow"/>
                <w:b/>
                <w:bCs/>
                <w:color w:val="000000"/>
              </w:rPr>
            </w:pPr>
            <w:r w:rsidRPr="001F339C">
              <w:rPr>
                <w:rFonts w:ascii="Arial Narrow" w:hAnsi="Arial Narrow"/>
                <w:b/>
                <w:bCs/>
                <w:color w:val="000000"/>
              </w:rPr>
              <w:t xml:space="preserve">Net financial </w:t>
            </w:r>
            <w:proofErr w:type="spellStart"/>
            <w:r w:rsidRPr="001F339C">
              <w:rPr>
                <w:rFonts w:ascii="Arial Narrow" w:hAnsi="Arial Narrow"/>
                <w:b/>
                <w:bCs/>
                <w:color w:val="000000"/>
              </w:rPr>
              <w:t>implications</w:t>
            </w:r>
            <w:r w:rsidR="00071780" w:rsidRPr="001F339C">
              <w:rPr>
                <w:rFonts w:ascii="Arial Narrow" w:hAnsi="Arial Narrow"/>
                <w:b/>
                <w:bCs/>
                <w:color w:val="000000"/>
                <w:vertAlign w:val="superscript"/>
              </w:rPr>
              <w:t>b</w:t>
            </w:r>
            <w:proofErr w:type="spellEnd"/>
            <w:r w:rsidRPr="001F339C">
              <w:rPr>
                <w:rFonts w:ascii="Arial Narrow" w:hAnsi="Arial Narrow"/>
                <w:b/>
                <w:bCs/>
                <w:color w:val="4BACC6" w:themeColor="accent5"/>
              </w:rPr>
              <w:t xml:space="preserve"> </w:t>
            </w:r>
          </w:p>
        </w:tc>
      </w:tr>
      <w:tr w:rsidR="00962E82" w:rsidRPr="001F339C" w:rsidTr="00413101">
        <w:tc>
          <w:tcPr>
            <w:tcW w:w="1187" w:type="pct"/>
            <w:shd w:val="clear" w:color="auto" w:fill="auto"/>
            <w:vAlign w:val="center"/>
          </w:tcPr>
          <w:p w:rsidR="00962E82" w:rsidRPr="001F339C" w:rsidRDefault="00962E82" w:rsidP="009265E1">
            <w:pPr>
              <w:pStyle w:val="Tabletext"/>
              <w:keepNext/>
              <w:keepLines/>
              <w:spacing w:after="0"/>
              <w:rPr>
                <w:rFonts w:ascii="Arial Narrow" w:hAnsi="Arial Narrow"/>
              </w:rPr>
            </w:pPr>
            <w:r w:rsidRPr="001F339C">
              <w:rPr>
                <w:rFonts w:ascii="Arial Narrow" w:hAnsi="Arial Narrow"/>
              </w:rPr>
              <w:t>Net cost to PBS/RPBS</w:t>
            </w:r>
          </w:p>
        </w:tc>
        <w:tc>
          <w:tcPr>
            <w:tcW w:w="577" w:type="pct"/>
            <w:shd w:val="clear" w:color="auto" w:fill="auto"/>
            <w:vAlign w:val="center"/>
          </w:tcPr>
          <w:p w:rsidR="00962E82"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bCs/>
                <w:color w:val="000000"/>
              </w:rPr>
              <w:t>$</w:t>
            </w:r>
            <w:r w:rsidR="003210D0">
              <w:rPr>
                <w:rFonts w:ascii="Arial Narrow" w:hAnsi="Arial Narrow"/>
                <w:bCs/>
                <w:noProof/>
                <w:color w:val="000000"/>
                <w:highlight w:val="black"/>
              </w:rPr>
              <w:t>''''''''''''''''''''''</w:t>
            </w:r>
          </w:p>
        </w:tc>
        <w:tc>
          <w:tcPr>
            <w:tcW w:w="647" w:type="pct"/>
            <w:shd w:val="clear" w:color="auto" w:fill="auto"/>
            <w:vAlign w:val="center"/>
          </w:tcPr>
          <w:p w:rsidR="00962E82"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bCs/>
                <w:color w:val="000000"/>
              </w:rPr>
              <w:t>$</w:t>
            </w:r>
            <w:r w:rsidR="003210D0">
              <w:rPr>
                <w:rFonts w:ascii="Arial Narrow" w:hAnsi="Arial Narrow"/>
                <w:bCs/>
                <w:noProof/>
                <w:color w:val="000000"/>
                <w:highlight w:val="black"/>
              </w:rPr>
              <w:t>'''''''''''''''''''''''</w:t>
            </w:r>
          </w:p>
        </w:tc>
        <w:tc>
          <w:tcPr>
            <w:tcW w:w="647" w:type="pct"/>
            <w:shd w:val="clear" w:color="auto" w:fill="auto"/>
            <w:vAlign w:val="center"/>
          </w:tcPr>
          <w:p w:rsidR="00962E82"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bCs/>
                <w:color w:val="000000"/>
              </w:rPr>
              <w:t>$</w:t>
            </w:r>
            <w:r w:rsidR="003210D0">
              <w:rPr>
                <w:rFonts w:ascii="Arial Narrow" w:hAnsi="Arial Narrow"/>
                <w:bCs/>
                <w:noProof/>
                <w:color w:val="000000"/>
                <w:highlight w:val="black"/>
              </w:rPr>
              <w:t>''''''''''''''''''''''</w:t>
            </w:r>
          </w:p>
        </w:tc>
        <w:tc>
          <w:tcPr>
            <w:tcW w:w="647" w:type="pct"/>
            <w:shd w:val="clear" w:color="auto" w:fill="auto"/>
            <w:vAlign w:val="center"/>
          </w:tcPr>
          <w:p w:rsidR="00962E82"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bCs/>
                <w:color w:val="000000"/>
              </w:rPr>
              <w:t>$</w:t>
            </w:r>
            <w:r w:rsidR="003210D0">
              <w:rPr>
                <w:rFonts w:ascii="Arial Narrow" w:hAnsi="Arial Narrow"/>
                <w:bCs/>
                <w:noProof/>
                <w:color w:val="000000"/>
                <w:highlight w:val="black"/>
              </w:rPr>
              <w:t>''''''''''''''''''''''''</w:t>
            </w:r>
          </w:p>
        </w:tc>
        <w:tc>
          <w:tcPr>
            <w:tcW w:w="647" w:type="pct"/>
            <w:shd w:val="clear" w:color="auto" w:fill="auto"/>
            <w:vAlign w:val="center"/>
          </w:tcPr>
          <w:p w:rsidR="00962E82"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bCs/>
                <w:color w:val="000000"/>
              </w:rPr>
              <w:t>$</w:t>
            </w:r>
            <w:r w:rsidR="003210D0">
              <w:rPr>
                <w:rFonts w:ascii="Arial Narrow" w:hAnsi="Arial Narrow"/>
                <w:bCs/>
                <w:noProof/>
                <w:color w:val="000000"/>
                <w:highlight w:val="black"/>
              </w:rPr>
              <w:t>''''''''''''''''''''''</w:t>
            </w:r>
          </w:p>
        </w:tc>
        <w:tc>
          <w:tcPr>
            <w:tcW w:w="647" w:type="pct"/>
          </w:tcPr>
          <w:p w:rsidR="00962E82" w:rsidRPr="001F339C" w:rsidRDefault="00902D4E" w:rsidP="009265E1">
            <w:pPr>
              <w:pStyle w:val="Tabletext"/>
              <w:keepNext/>
              <w:keepLines/>
              <w:spacing w:after="0"/>
              <w:jc w:val="center"/>
              <w:rPr>
                <w:rFonts w:ascii="Arial Narrow" w:hAnsi="Arial Narrow"/>
                <w:bCs/>
                <w:color w:val="000000"/>
              </w:rPr>
            </w:pPr>
            <w:r w:rsidRPr="001F339C">
              <w:rPr>
                <w:rFonts w:ascii="Arial Narrow" w:hAnsi="Arial Narrow"/>
                <w:bCs/>
                <w:color w:val="000000"/>
              </w:rPr>
              <w:t>$</w:t>
            </w:r>
            <w:r w:rsidR="003210D0">
              <w:rPr>
                <w:rFonts w:ascii="Arial Narrow" w:hAnsi="Arial Narrow"/>
                <w:bCs/>
                <w:noProof/>
                <w:color w:val="000000"/>
                <w:highlight w:val="black"/>
              </w:rPr>
              <w:t>'''''''''''''''''''''''</w:t>
            </w:r>
          </w:p>
        </w:tc>
      </w:tr>
    </w:tbl>
    <w:p w:rsidR="00962E82" w:rsidRPr="001F339C" w:rsidRDefault="00962E82" w:rsidP="00962E82">
      <w:pPr>
        <w:pStyle w:val="TableFooter"/>
      </w:pPr>
      <w:proofErr w:type="spellStart"/>
      <w:proofErr w:type="gramStart"/>
      <w:r w:rsidRPr="001F339C">
        <w:rPr>
          <w:vertAlign w:val="superscript"/>
        </w:rPr>
        <w:t>a</w:t>
      </w:r>
      <w:proofErr w:type="spellEnd"/>
      <w:proofErr w:type="gramEnd"/>
      <w:r w:rsidRPr="001F339C">
        <w:t xml:space="preserve"> Average number of units per year (1.58) based on the average dose (83.2mcg/day) in SYGMA 2 trial and inhalations per </w:t>
      </w:r>
      <w:proofErr w:type="spellStart"/>
      <w:r w:rsidRPr="001F339C">
        <w:t>Symbicort</w:t>
      </w:r>
      <w:proofErr w:type="spellEnd"/>
      <w:r w:rsidRPr="001F339C">
        <w:t xml:space="preserve"> pack </w:t>
      </w:r>
    </w:p>
    <w:p w:rsidR="00962E82" w:rsidRPr="001F339C" w:rsidRDefault="00962E82" w:rsidP="00962E82">
      <w:pPr>
        <w:pStyle w:val="TableFooter"/>
        <w:keepNext/>
        <w:keepLines/>
      </w:pPr>
      <w:r w:rsidRPr="001F339C">
        <w:rPr>
          <w:vertAlign w:val="superscript"/>
        </w:rPr>
        <w:t xml:space="preserve">b </w:t>
      </w:r>
      <w:r w:rsidRPr="001F339C">
        <w:t xml:space="preserve">The split between the beneficiary types of RPBS services for </w:t>
      </w:r>
      <w:proofErr w:type="spellStart"/>
      <w:r w:rsidRPr="001F339C">
        <w:t>Symbicort</w:t>
      </w:r>
      <w:proofErr w:type="spellEnd"/>
      <w:r w:rsidRPr="001F339C">
        <w:t xml:space="preserve"> </w:t>
      </w:r>
      <w:proofErr w:type="spellStart"/>
      <w:r w:rsidRPr="001F339C">
        <w:t>Rapihaler</w:t>
      </w:r>
      <w:proofErr w:type="spellEnd"/>
      <w:r w:rsidRPr="001F339C">
        <w:t xml:space="preserve"> 100/3 (item code 10015D) and </w:t>
      </w:r>
      <w:proofErr w:type="spellStart"/>
      <w:r w:rsidRPr="001F339C">
        <w:t>Turbuhaler</w:t>
      </w:r>
      <w:proofErr w:type="spellEnd"/>
      <w:r w:rsidRPr="001F339C">
        <w:t xml:space="preserve"> 200/6 (item code 8625Y) was corrected during the development of the minor overview to 74.42% and 25.58% (J27 and K27 in Sheet 2b excel workbook)  </w:t>
      </w:r>
    </w:p>
    <w:p w:rsidR="00962E82" w:rsidRDefault="00962E82" w:rsidP="00962E82">
      <w:pPr>
        <w:pStyle w:val="TableFooter"/>
      </w:pPr>
      <w:r w:rsidRPr="001F339C">
        <w:t xml:space="preserve">Source: </w:t>
      </w:r>
      <w:r w:rsidR="00BF6117" w:rsidRPr="001F339C">
        <w:rPr>
          <w:szCs w:val="18"/>
        </w:rPr>
        <w:t>Page 4 of the minor resubmission</w:t>
      </w:r>
      <w:r w:rsidR="00BF6117" w:rsidRPr="001F339C">
        <w:t>, Attachment 3_Utilisation-and-cost-model Workbook.</w:t>
      </w:r>
    </w:p>
    <w:p w:rsidR="000067AC" w:rsidRPr="000067AC" w:rsidRDefault="000067AC" w:rsidP="00962E82">
      <w:pPr>
        <w:pStyle w:val="TableFooter"/>
        <w:rPr>
          <w:rFonts w:asciiTheme="minorHAnsi" w:hAnsiTheme="minorHAnsi" w:cstheme="minorHAnsi"/>
          <w:sz w:val="24"/>
        </w:rPr>
      </w:pPr>
      <w:r>
        <w:rPr>
          <w:rFonts w:asciiTheme="minorHAnsi" w:hAnsiTheme="minorHAnsi" w:cstheme="minorHAnsi"/>
          <w:sz w:val="24"/>
        </w:rPr>
        <w:t xml:space="preserve">The redacted table shows that at Year 6, the estimated number of patients was 100,000 – 200,000. </w:t>
      </w:r>
    </w:p>
    <w:p w:rsidR="00BF6117" w:rsidRPr="001F339C" w:rsidRDefault="00BF6117" w:rsidP="00962E82">
      <w:pPr>
        <w:pStyle w:val="TableFooter"/>
      </w:pPr>
    </w:p>
    <w:p w:rsidR="006A3440" w:rsidRPr="001F339C" w:rsidRDefault="00BF6117" w:rsidP="00BF6117">
      <w:pPr>
        <w:pStyle w:val="Bodytextitalics"/>
        <w:jc w:val="both"/>
        <w:rPr>
          <w:i w:val="0"/>
        </w:rPr>
      </w:pPr>
      <w:r w:rsidRPr="001F339C">
        <w:rPr>
          <w:i w:val="0"/>
        </w:rPr>
        <w:t>As a minor submission, the financial estimates have not been independently evaluated.</w:t>
      </w:r>
    </w:p>
    <w:p w:rsidR="007815AA" w:rsidRPr="001F339C" w:rsidRDefault="002776A1" w:rsidP="007815AA">
      <w:pPr>
        <w:pStyle w:val="Bodytextitalics"/>
        <w:jc w:val="both"/>
        <w:rPr>
          <w:i w:val="0"/>
        </w:rPr>
      </w:pPr>
      <w:r w:rsidRPr="001F339C">
        <w:rPr>
          <w:i w:val="0"/>
        </w:rPr>
        <w:t xml:space="preserve">The PBAC </w:t>
      </w:r>
      <w:r w:rsidR="007815AA" w:rsidRPr="001F339C">
        <w:rPr>
          <w:i w:val="0"/>
        </w:rPr>
        <w:t>noted</w:t>
      </w:r>
      <w:r w:rsidR="00DC2E4D" w:rsidRPr="001F339C">
        <w:rPr>
          <w:i w:val="0"/>
        </w:rPr>
        <w:t xml:space="preserve"> tha</w:t>
      </w:r>
      <w:r w:rsidR="008D5073">
        <w:rPr>
          <w:i w:val="0"/>
        </w:rPr>
        <w:t>t, as outlined in paragraph 4.19</w:t>
      </w:r>
      <w:r w:rsidR="00DC2E4D" w:rsidRPr="001F339C">
        <w:rPr>
          <w:i w:val="0"/>
        </w:rPr>
        <w:t>, t</w:t>
      </w:r>
      <w:r w:rsidRPr="001F339C">
        <w:rPr>
          <w:i w:val="0"/>
        </w:rPr>
        <w:t>he uptake rate and number of inhalers per year were key areas of concern raised by DUSC</w:t>
      </w:r>
      <w:r w:rsidR="007B4E4A" w:rsidRPr="001F339C">
        <w:rPr>
          <w:i w:val="0"/>
        </w:rPr>
        <w:t xml:space="preserve"> in July 2019</w:t>
      </w:r>
      <w:r w:rsidRPr="001F339C">
        <w:rPr>
          <w:i w:val="0"/>
        </w:rPr>
        <w:t xml:space="preserve">. </w:t>
      </w:r>
      <w:r w:rsidR="007815AA" w:rsidRPr="001F339C">
        <w:rPr>
          <w:i w:val="0"/>
        </w:rPr>
        <w:t xml:space="preserve">The PBAC recalled that the uptake rate used in Table 3 was 25% in Year 1, 28% in Year 2, 30% in Year 3 and 32% in Year 4 to Year 6. In addition, the PBAC noted that the average number of </w:t>
      </w:r>
      <w:proofErr w:type="spellStart"/>
      <w:r w:rsidR="007815AA" w:rsidRPr="001F339C">
        <w:rPr>
          <w:i w:val="0"/>
        </w:rPr>
        <w:t>Symbicort</w:t>
      </w:r>
      <w:proofErr w:type="spellEnd"/>
      <w:r w:rsidR="007815AA" w:rsidRPr="001F339C">
        <w:rPr>
          <w:i w:val="0"/>
        </w:rPr>
        <w:t xml:space="preserve"> scripts dispensed in Table 3 was based on an average of 1.58 units per patient per year. </w:t>
      </w:r>
    </w:p>
    <w:p w:rsidR="00320E90" w:rsidRPr="001F339C" w:rsidRDefault="00DC2E4D" w:rsidP="00B03139">
      <w:pPr>
        <w:pStyle w:val="Bodytextitalics"/>
        <w:jc w:val="both"/>
      </w:pPr>
      <w:r w:rsidRPr="001F339C">
        <w:rPr>
          <w:i w:val="0"/>
        </w:rPr>
        <w:t>The PBAC considered that</w:t>
      </w:r>
      <w:r w:rsidR="002776A1" w:rsidRPr="001F339C">
        <w:rPr>
          <w:i w:val="0"/>
        </w:rPr>
        <w:t xml:space="preserve">, in addition to the market device split of 60% and 40% for the </w:t>
      </w:r>
      <w:proofErr w:type="spellStart"/>
      <w:r w:rsidR="002776A1" w:rsidRPr="001F339C">
        <w:rPr>
          <w:i w:val="0"/>
        </w:rPr>
        <w:t>Turbuhaler</w:t>
      </w:r>
      <w:proofErr w:type="spellEnd"/>
      <w:r w:rsidR="002776A1" w:rsidRPr="001F339C">
        <w:rPr>
          <w:i w:val="0"/>
        </w:rPr>
        <w:t xml:space="preserve"> and </w:t>
      </w:r>
      <w:proofErr w:type="spellStart"/>
      <w:r w:rsidR="002776A1" w:rsidRPr="001F339C">
        <w:rPr>
          <w:i w:val="0"/>
        </w:rPr>
        <w:t>Rapihaler</w:t>
      </w:r>
      <w:proofErr w:type="spellEnd"/>
      <w:r w:rsidR="002776A1" w:rsidRPr="001F339C">
        <w:rPr>
          <w:i w:val="0"/>
        </w:rPr>
        <w:t xml:space="preserve"> respectively, </w:t>
      </w:r>
      <w:r w:rsidRPr="001F339C">
        <w:rPr>
          <w:i w:val="0"/>
        </w:rPr>
        <w:t xml:space="preserve">it would be appropriate </w:t>
      </w:r>
      <w:r w:rsidR="007815AA" w:rsidRPr="001F339C">
        <w:rPr>
          <w:i w:val="0"/>
        </w:rPr>
        <w:t>to assume a revised</w:t>
      </w:r>
      <w:r w:rsidRPr="001F339C">
        <w:rPr>
          <w:i w:val="0"/>
        </w:rPr>
        <w:t xml:space="preserve"> uptake rate of </w:t>
      </w:r>
      <w:r w:rsidR="00530F0E" w:rsidRPr="001F339C">
        <w:rPr>
          <w:i w:val="0"/>
        </w:rPr>
        <w:t>25% in Year 1, 28% in Year 2, 40% in Y</w:t>
      </w:r>
      <w:r w:rsidR="002776A1" w:rsidRPr="001F339C">
        <w:rPr>
          <w:i w:val="0"/>
        </w:rPr>
        <w:t xml:space="preserve">ear 3 and </w:t>
      </w:r>
      <w:r w:rsidR="00530F0E" w:rsidRPr="001F339C">
        <w:rPr>
          <w:i w:val="0"/>
        </w:rPr>
        <w:t>42% in Y</w:t>
      </w:r>
      <w:r w:rsidR="002776A1" w:rsidRPr="001F339C">
        <w:rPr>
          <w:i w:val="0"/>
        </w:rPr>
        <w:t xml:space="preserve">ears 4 to 6 (i.e. increased by </w:t>
      </w:r>
      <w:r w:rsidRPr="001F339C">
        <w:rPr>
          <w:i w:val="0"/>
        </w:rPr>
        <w:t>10% for Years 3-6 only) and that</w:t>
      </w:r>
      <w:r w:rsidR="002776A1" w:rsidRPr="001F339C">
        <w:rPr>
          <w:i w:val="0"/>
        </w:rPr>
        <w:t xml:space="preserve"> 3.042 inhalers would be used per patient</w:t>
      </w:r>
      <w:r w:rsidR="002776A1" w:rsidRPr="001F339C">
        <w:t>.</w:t>
      </w:r>
      <w:r w:rsidR="007815AA" w:rsidRPr="001F339C">
        <w:rPr>
          <w:i w:val="0"/>
        </w:rPr>
        <w:t xml:space="preserve"> The PBAC noted that </w:t>
      </w:r>
      <w:r w:rsidR="00530F0E" w:rsidRPr="001F339C">
        <w:rPr>
          <w:i w:val="0"/>
        </w:rPr>
        <w:t>applying</w:t>
      </w:r>
      <w:r w:rsidR="002776A1" w:rsidRPr="001F339C">
        <w:rPr>
          <w:i w:val="0"/>
        </w:rPr>
        <w:t xml:space="preserve"> these assumptions </w:t>
      </w:r>
      <w:r w:rsidR="00AB3885" w:rsidRPr="001F339C">
        <w:rPr>
          <w:i w:val="0"/>
        </w:rPr>
        <w:t>wo</w:t>
      </w:r>
      <w:r w:rsidR="00320E90" w:rsidRPr="001F339C">
        <w:rPr>
          <w:i w:val="0"/>
        </w:rPr>
        <w:t>uld result in a</w:t>
      </w:r>
      <w:r w:rsidR="00AB3885" w:rsidRPr="001F339C">
        <w:rPr>
          <w:i w:val="0"/>
        </w:rPr>
        <w:t xml:space="preserve"> financial </w:t>
      </w:r>
      <w:r w:rsidR="002776A1" w:rsidRPr="001F339C">
        <w:rPr>
          <w:i w:val="0"/>
        </w:rPr>
        <w:t>estimated net cost to the PBS/RPBS</w:t>
      </w:r>
      <w:r w:rsidR="00320E90" w:rsidRPr="001F339C">
        <w:rPr>
          <w:i w:val="0"/>
        </w:rPr>
        <w:t>,</w:t>
      </w:r>
      <w:r w:rsidR="00D843C5" w:rsidRPr="001F339C">
        <w:rPr>
          <w:i w:val="0"/>
        </w:rPr>
        <w:t xml:space="preserve"> </w:t>
      </w:r>
      <w:r w:rsidR="00AB3885" w:rsidRPr="001F339C">
        <w:rPr>
          <w:i w:val="0"/>
        </w:rPr>
        <w:t>based on</w:t>
      </w:r>
      <w:r w:rsidR="00D843C5" w:rsidRPr="001F339C">
        <w:rPr>
          <w:i w:val="0"/>
        </w:rPr>
        <w:t xml:space="preserve"> the requested DPMQ</w:t>
      </w:r>
      <w:r w:rsidR="00320E90" w:rsidRPr="001F339C">
        <w:rPr>
          <w:i w:val="0"/>
        </w:rPr>
        <w:t>, of</w:t>
      </w:r>
      <w:r w:rsidR="002776A1" w:rsidRPr="001F339C">
        <w:rPr>
          <w:i w:val="0"/>
        </w:rPr>
        <w:t xml:space="preserve"> $</w:t>
      </w:r>
      <w:r w:rsidR="00C10164">
        <w:rPr>
          <w:i w:val="0"/>
        </w:rPr>
        <w:t>10 - $20</w:t>
      </w:r>
      <w:r w:rsidR="002776A1" w:rsidRPr="001F339C">
        <w:rPr>
          <w:i w:val="0"/>
        </w:rPr>
        <w:t xml:space="preserve"> million in Year 6 of listing, with a total net cost to the PBS of $</w:t>
      </w:r>
      <w:r w:rsidR="00C10164">
        <w:rPr>
          <w:i w:val="0"/>
        </w:rPr>
        <w:t>60 - $100</w:t>
      </w:r>
      <w:r w:rsidR="002776A1" w:rsidRPr="001F339C">
        <w:rPr>
          <w:i w:val="0"/>
        </w:rPr>
        <w:t xml:space="preserve"> million over the first 6 years of listing</w:t>
      </w:r>
      <w:r w:rsidR="007B4E4A" w:rsidRPr="001F339C">
        <w:rPr>
          <w:i w:val="0"/>
        </w:rPr>
        <w:t xml:space="preserve"> (Table 4). </w:t>
      </w:r>
      <w:r w:rsidR="00D843C5" w:rsidRPr="001F339C">
        <w:rPr>
          <w:i w:val="0"/>
        </w:rPr>
        <w:t xml:space="preserve">However, the PBAC noted that the financial estimates would </w:t>
      </w:r>
      <w:r w:rsidR="00AB3885" w:rsidRPr="001F339C">
        <w:rPr>
          <w:i w:val="0"/>
        </w:rPr>
        <w:t xml:space="preserve">need to </w:t>
      </w:r>
      <w:r w:rsidR="00D843C5" w:rsidRPr="001F339C">
        <w:rPr>
          <w:i w:val="0"/>
        </w:rPr>
        <w:t xml:space="preserve">be </w:t>
      </w:r>
      <w:r w:rsidR="00AB3885" w:rsidRPr="001F339C">
        <w:rPr>
          <w:i w:val="0"/>
        </w:rPr>
        <w:t xml:space="preserve">recalculated </w:t>
      </w:r>
      <w:r w:rsidR="00320E90" w:rsidRPr="001F339C">
        <w:rPr>
          <w:i w:val="0"/>
        </w:rPr>
        <w:t xml:space="preserve">to take into account the outcome of its considerations regarding the </w:t>
      </w:r>
      <w:r w:rsidR="00D843C5" w:rsidRPr="001F339C">
        <w:rPr>
          <w:i w:val="0"/>
        </w:rPr>
        <w:t>cost-min</w:t>
      </w:r>
      <w:r w:rsidR="00CA2207" w:rsidRPr="001F339C">
        <w:rPr>
          <w:i w:val="0"/>
        </w:rPr>
        <w:t>imisation analysis</w:t>
      </w:r>
      <w:r w:rsidR="00D843C5" w:rsidRPr="001F339C">
        <w:rPr>
          <w:i w:val="0"/>
        </w:rPr>
        <w:t>.</w:t>
      </w:r>
      <w:r w:rsidR="00AB3885" w:rsidRPr="001F339C">
        <w:rPr>
          <w:i w:val="0"/>
        </w:rPr>
        <w:t xml:space="preserve"> The PBAC considered that on this basis, its previous concerns regarding the risk of use beyond the proposed estimates and resulting low certainty in the financial estimates were adequately addressed.</w:t>
      </w:r>
      <w:r w:rsidR="0049616F" w:rsidRPr="001F339C">
        <w:rPr>
          <w:i w:val="0"/>
        </w:rPr>
        <w:t xml:space="preserve"> </w:t>
      </w:r>
    </w:p>
    <w:p w:rsidR="002776A1" w:rsidRPr="001F339C" w:rsidRDefault="002776A1" w:rsidP="00DC2E4D">
      <w:pPr>
        <w:pStyle w:val="3Bodytext"/>
        <w:keepNext/>
        <w:keepLines/>
        <w:numPr>
          <w:ilvl w:val="0"/>
          <w:numId w:val="0"/>
        </w:numPr>
        <w:jc w:val="both"/>
        <w:rPr>
          <w:rFonts w:ascii="Arial Narrow" w:hAnsi="Arial Narrow" w:cstheme="minorHAnsi"/>
          <w:b/>
          <w:sz w:val="20"/>
          <w:szCs w:val="20"/>
        </w:rPr>
      </w:pPr>
      <w:r w:rsidRPr="001F339C">
        <w:rPr>
          <w:rFonts w:ascii="Arial Narrow" w:hAnsi="Arial Narrow" w:cstheme="minorHAnsi"/>
          <w:b/>
          <w:sz w:val="20"/>
          <w:szCs w:val="20"/>
        </w:rPr>
        <w:t xml:space="preserve">Table </w:t>
      </w:r>
      <w:r w:rsidR="00DC2E4D" w:rsidRPr="001F339C">
        <w:rPr>
          <w:rFonts w:ascii="Arial Narrow" w:hAnsi="Arial Narrow" w:cstheme="minorHAnsi"/>
          <w:b/>
          <w:sz w:val="20"/>
          <w:szCs w:val="20"/>
        </w:rPr>
        <w:t>4</w:t>
      </w:r>
      <w:r w:rsidRPr="001F339C">
        <w:rPr>
          <w:rFonts w:ascii="Arial Narrow" w:hAnsi="Arial Narrow" w:cstheme="minorHAnsi"/>
          <w:b/>
          <w:sz w:val="20"/>
          <w:szCs w:val="20"/>
        </w:rPr>
        <w:t>: Estimated use and financial implications</w:t>
      </w:r>
      <w:r w:rsidR="00C7188E" w:rsidRPr="001F339C">
        <w:rPr>
          <w:rFonts w:ascii="Arial Narrow" w:hAnsi="Arial Narrow" w:cstheme="minorHAnsi"/>
          <w:b/>
          <w:sz w:val="20"/>
          <w:szCs w:val="20"/>
        </w:rPr>
        <w:t xml:space="preserve"> (based on the requested DPMQ)</w:t>
      </w:r>
    </w:p>
    <w:tbl>
      <w:tblPr>
        <w:tblW w:w="4957" w:type="pct"/>
        <w:tblCellMar>
          <w:left w:w="0" w:type="dxa"/>
          <w:right w:w="0" w:type="dxa"/>
        </w:tblCellMar>
        <w:tblLook w:val="04A0" w:firstRow="1" w:lastRow="0" w:firstColumn="1" w:lastColumn="0" w:noHBand="0" w:noVBand="1"/>
      </w:tblPr>
      <w:tblGrid>
        <w:gridCol w:w="2117"/>
        <w:gridCol w:w="1038"/>
        <w:gridCol w:w="1155"/>
        <w:gridCol w:w="1155"/>
        <w:gridCol w:w="1155"/>
        <w:gridCol w:w="1155"/>
        <w:gridCol w:w="1154"/>
      </w:tblGrid>
      <w:tr w:rsidR="002776A1" w:rsidRPr="001F339C" w:rsidTr="001354F9">
        <w:trPr>
          <w:tblHeader/>
        </w:trPr>
        <w:tc>
          <w:tcPr>
            <w:tcW w:w="118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2776A1" w:rsidRPr="001F339C" w:rsidRDefault="002776A1">
            <w:pPr>
              <w:pStyle w:val="Tabletext"/>
              <w:keepNext/>
              <w:spacing w:after="0"/>
              <w:rPr>
                <w:rFonts w:ascii="Arial Narrow" w:hAnsi="Arial Narrow"/>
                <w:sz w:val="22"/>
                <w:szCs w:val="22"/>
              </w:rPr>
            </w:pPr>
          </w:p>
        </w:tc>
        <w:tc>
          <w:tcPr>
            <w:tcW w:w="5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2776A1" w:rsidRPr="008922C6" w:rsidRDefault="002776A1">
            <w:pPr>
              <w:pStyle w:val="Tabletext"/>
              <w:keepNext/>
              <w:spacing w:after="0"/>
              <w:jc w:val="center"/>
              <w:rPr>
                <w:rFonts w:ascii="Arial Narrow" w:hAnsi="Arial Narrow"/>
                <w:b/>
                <w:bCs/>
              </w:rPr>
            </w:pPr>
            <w:r w:rsidRPr="008922C6">
              <w:rPr>
                <w:rFonts w:ascii="Arial Narrow" w:hAnsi="Arial Narrow"/>
                <w:b/>
                <w:bCs/>
              </w:rPr>
              <w:t>Year 1</w:t>
            </w:r>
          </w:p>
        </w:tc>
        <w:tc>
          <w:tcPr>
            <w:tcW w:w="64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2776A1" w:rsidRPr="008922C6" w:rsidRDefault="002776A1">
            <w:pPr>
              <w:pStyle w:val="Tabletext"/>
              <w:keepNext/>
              <w:spacing w:after="0"/>
              <w:jc w:val="center"/>
              <w:rPr>
                <w:rFonts w:ascii="Arial Narrow" w:hAnsi="Arial Narrow"/>
                <w:b/>
                <w:bCs/>
              </w:rPr>
            </w:pPr>
            <w:r w:rsidRPr="008922C6">
              <w:rPr>
                <w:rFonts w:ascii="Arial Narrow" w:hAnsi="Arial Narrow"/>
                <w:b/>
                <w:bCs/>
              </w:rPr>
              <w:t>Year 2</w:t>
            </w:r>
          </w:p>
        </w:tc>
        <w:tc>
          <w:tcPr>
            <w:tcW w:w="64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b/>
                <w:bCs/>
              </w:rPr>
            </w:pPr>
            <w:r w:rsidRPr="001F339C">
              <w:rPr>
                <w:rFonts w:ascii="Arial Narrow" w:hAnsi="Arial Narrow"/>
                <w:b/>
                <w:bCs/>
              </w:rPr>
              <w:t>Year 3</w:t>
            </w:r>
          </w:p>
        </w:tc>
        <w:tc>
          <w:tcPr>
            <w:tcW w:w="64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b/>
                <w:bCs/>
              </w:rPr>
            </w:pPr>
            <w:r w:rsidRPr="001F339C">
              <w:rPr>
                <w:rFonts w:ascii="Arial Narrow" w:hAnsi="Arial Narrow"/>
                <w:b/>
                <w:bCs/>
              </w:rPr>
              <w:t>Year 4</w:t>
            </w:r>
          </w:p>
        </w:tc>
        <w:tc>
          <w:tcPr>
            <w:tcW w:w="64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b/>
                <w:bCs/>
              </w:rPr>
            </w:pPr>
            <w:r w:rsidRPr="001F339C">
              <w:rPr>
                <w:rFonts w:ascii="Arial Narrow" w:hAnsi="Arial Narrow"/>
                <w:b/>
                <w:bCs/>
              </w:rPr>
              <w:t>Year 5</w:t>
            </w:r>
          </w:p>
        </w:tc>
        <w:tc>
          <w:tcPr>
            <w:tcW w:w="64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776A1" w:rsidRPr="001F339C" w:rsidRDefault="002776A1">
            <w:pPr>
              <w:pStyle w:val="Tabletext"/>
              <w:keepNext/>
              <w:spacing w:after="0"/>
              <w:jc w:val="center"/>
              <w:rPr>
                <w:rFonts w:ascii="Arial Narrow" w:hAnsi="Arial Narrow"/>
                <w:b/>
                <w:bCs/>
              </w:rPr>
            </w:pPr>
            <w:r w:rsidRPr="001F339C">
              <w:rPr>
                <w:rFonts w:ascii="Arial Narrow" w:hAnsi="Arial Narrow"/>
                <w:b/>
                <w:bCs/>
              </w:rPr>
              <w:t>Year 6</w:t>
            </w:r>
          </w:p>
        </w:tc>
      </w:tr>
      <w:tr w:rsidR="002776A1" w:rsidRPr="001F339C" w:rsidTr="002776A1">
        <w:tc>
          <w:tcPr>
            <w:tcW w:w="5000" w:type="pct"/>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b/>
                <w:bCs/>
                <w:color w:val="000000"/>
              </w:rPr>
            </w:pPr>
            <w:r w:rsidRPr="001F339C">
              <w:rPr>
                <w:rFonts w:ascii="Arial Narrow" w:hAnsi="Arial Narrow"/>
                <w:b/>
                <w:bCs/>
                <w:color w:val="000000"/>
              </w:rPr>
              <w:t>Estimated extent of use</w:t>
            </w:r>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354F9" w:rsidRDefault="002776A1">
            <w:pPr>
              <w:pStyle w:val="Tabletext"/>
              <w:keepNext/>
              <w:spacing w:after="0"/>
              <w:rPr>
                <w:rFonts w:ascii="Arial Narrow" w:hAnsi="Arial Narrow"/>
                <w:vertAlign w:val="superscript"/>
              </w:rPr>
            </w:pPr>
            <w:r w:rsidRPr="001F339C">
              <w:rPr>
                <w:rFonts w:ascii="Arial Narrow" w:hAnsi="Arial Narrow"/>
              </w:rPr>
              <w:t xml:space="preserve">Number of patients </w:t>
            </w:r>
            <w:proofErr w:type="spellStart"/>
            <w:r w:rsidRPr="001F339C">
              <w:rPr>
                <w:rFonts w:ascii="Arial Narrow" w:hAnsi="Arial Narrow"/>
              </w:rPr>
              <w:t>treated</w:t>
            </w:r>
            <w:r w:rsidR="001354F9">
              <w:rPr>
                <w:rFonts w:ascii="Arial Narrow" w:hAnsi="Arial Narrow"/>
                <w:vertAlign w:val="superscript"/>
              </w:rPr>
              <w:t>a</w:t>
            </w:r>
            <w:proofErr w:type="spellEnd"/>
          </w:p>
        </w:tc>
        <w:tc>
          <w:tcPr>
            <w:tcW w:w="58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rPr>
            </w:pPr>
            <w:r w:rsidRPr="001F339C">
              <w:rPr>
                <w:rFonts w:ascii="Arial Narrow" w:hAnsi="Arial Narrow"/>
              </w:rPr>
              <w:t xml:space="preserve">Number of scripts </w:t>
            </w:r>
            <w:proofErr w:type="spellStart"/>
            <w:r w:rsidRPr="001F339C">
              <w:rPr>
                <w:rFonts w:ascii="Arial Narrow" w:hAnsi="Arial Narrow"/>
              </w:rPr>
              <w:t>dispensed</w:t>
            </w:r>
            <w:r w:rsidR="001354F9">
              <w:rPr>
                <w:rFonts w:ascii="Arial Narrow" w:hAnsi="Arial Narrow"/>
                <w:vertAlign w:val="superscript"/>
              </w:rPr>
              <w:t>b</w:t>
            </w:r>
            <w:proofErr w:type="spellEnd"/>
          </w:p>
        </w:tc>
        <w:tc>
          <w:tcPr>
            <w:tcW w:w="58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3210D0" w:rsidRDefault="003210D0">
            <w:pPr>
              <w:pStyle w:val="Tabletext"/>
              <w:keepNext/>
              <w:spacing w:after="0"/>
              <w:jc w:val="center"/>
              <w:rPr>
                <w:rFonts w:ascii="Arial Narrow" w:hAnsi="Arial Narrow"/>
                <w:color w:val="000000"/>
                <w:highlight w:val="black"/>
              </w:rPr>
            </w:pPr>
            <w:r>
              <w:rPr>
                <w:rFonts w:ascii="Arial Narrow" w:hAnsi="Arial Narrow"/>
                <w:noProof/>
                <w:color w:val="000000"/>
                <w:highlight w:val="black"/>
              </w:rPr>
              <w:t>'''''''''''''''''''''</w:t>
            </w:r>
          </w:p>
        </w:tc>
      </w:tr>
      <w:tr w:rsidR="002776A1" w:rsidRPr="001F339C" w:rsidTr="002776A1">
        <w:tc>
          <w:tcPr>
            <w:tcW w:w="5000" w:type="pct"/>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b/>
                <w:bCs/>
                <w:color w:val="000000"/>
                <w:vertAlign w:val="superscript"/>
              </w:rPr>
            </w:pPr>
            <w:r w:rsidRPr="001F339C">
              <w:rPr>
                <w:rFonts w:ascii="Arial Narrow" w:hAnsi="Arial Narrow"/>
                <w:b/>
                <w:bCs/>
                <w:color w:val="000000"/>
              </w:rPr>
              <w:t xml:space="preserve">Estimated financial implications of </w:t>
            </w:r>
            <w:proofErr w:type="spellStart"/>
            <w:r w:rsidRPr="001F339C">
              <w:rPr>
                <w:rFonts w:ascii="Arial Narrow" w:hAnsi="Arial Narrow"/>
                <w:b/>
                <w:bCs/>
                <w:color w:val="000000"/>
              </w:rPr>
              <w:t>Symbicort</w:t>
            </w:r>
            <w:r w:rsidRPr="001F339C">
              <w:rPr>
                <w:rFonts w:ascii="Arial Narrow" w:hAnsi="Arial Narrow"/>
                <w:b/>
                <w:bCs/>
                <w:color w:val="000000"/>
                <w:vertAlign w:val="superscript"/>
              </w:rPr>
              <w:t>b</w:t>
            </w:r>
            <w:proofErr w:type="spellEnd"/>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rPr>
            </w:pPr>
            <w:r w:rsidRPr="001F339C">
              <w:rPr>
                <w:rFonts w:ascii="Arial Narrow" w:hAnsi="Arial Narrow"/>
              </w:rPr>
              <w:t>Cost to PBS/RPBS</w:t>
            </w:r>
          </w:p>
        </w:tc>
        <w:tc>
          <w:tcPr>
            <w:tcW w:w="58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rPr>
            </w:pPr>
            <w:proofErr w:type="spellStart"/>
            <w:r w:rsidRPr="001F339C">
              <w:rPr>
                <w:rFonts w:ascii="Arial Narrow" w:hAnsi="Arial Narrow"/>
              </w:rPr>
              <w:t>Copayments</w:t>
            </w:r>
            <w:proofErr w:type="spellEnd"/>
          </w:p>
        </w:tc>
        <w:tc>
          <w:tcPr>
            <w:tcW w:w="58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rPr>
            </w:pPr>
            <w:r w:rsidRPr="001F339C">
              <w:rPr>
                <w:rFonts w:ascii="Arial Narrow" w:hAnsi="Arial Narrow"/>
              </w:rPr>
              <w:t xml:space="preserve">Cost to PBS/RPBS less </w:t>
            </w:r>
            <w:proofErr w:type="spellStart"/>
            <w:r w:rsidRPr="001F339C">
              <w:rPr>
                <w:rFonts w:ascii="Arial Narrow" w:hAnsi="Arial Narrow"/>
              </w:rPr>
              <w:t>copayments</w:t>
            </w:r>
            <w:proofErr w:type="spellEnd"/>
          </w:p>
        </w:tc>
        <w:tc>
          <w:tcPr>
            <w:tcW w:w="58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r>
      <w:tr w:rsidR="002776A1" w:rsidRPr="001F339C" w:rsidTr="002776A1">
        <w:tc>
          <w:tcPr>
            <w:tcW w:w="5000" w:type="pct"/>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color w:val="000000"/>
              </w:rPr>
            </w:pPr>
            <w:r w:rsidRPr="001F339C">
              <w:rPr>
                <w:rFonts w:ascii="Arial Narrow" w:hAnsi="Arial Narrow"/>
                <w:b/>
                <w:bCs/>
                <w:color w:val="000000"/>
              </w:rPr>
              <w:t>Estimated financial implications for ICS</w:t>
            </w:r>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rPr>
            </w:pPr>
            <w:r w:rsidRPr="001F339C">
              <w:rPr>
                <w:rFonts w:ascii="Arial Narrow" w:hAnsi="Arial Narrow"/>
              </w:rPr>
              <w:t xml:space="preserve">Cost-offsets to PBS/RPBS </w:t>
            </w:r>
          </w:p>
        </w:tc>
        <w:tc>
          <w:tcPr>
            <w:tcW w:w="58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r>
      <w:tr w:rsidR="002776A1" w:rsidRPr="001F339C" w:rsidTr="002776A1">
        <w:tc>
          <w:tcPr>
            <w:tcW w:w="5000" w:type="pct"/>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b/>
                <w:bCs/>
                <w:color w:val="000000"/>
              </w:rPr>
            </w:pPr>
            <w:r w:rsidRPr="001F339C">
              <w:rPr>
                <w:rFonts w:ascii="Arial Narrow" w:hAnsi="Arial Narrow"/>
                <w:b/>
                <w:bCs/>
                <w:color w:val="000000"/>
              </w:rPr>
              <w:t xml:space="preserve">Net financial </w:t>
            </w:r>
            <w:proofErr w:type="spellStart"/>
            <w:r w:rsidRPr="001F339C">
              <w:rPr>
                <w:rFonts w:ascii="Arial Narrow" w:hAnsi="Arial Narrow"/>
                <w:b/>
                <w:bCs/>
                <w:color w:val="000000"/>
              </w:rPr>
              <w:t>implications</w:t>
            </w:r>
            <w:r w:rsidR="001354F9">
              <w:rPr>
                <w:rFonts w:ascii="Arial Narrow" w:hAnsi="Arial Narrow"/>
                <w:b/>
                <w:bCs/>
                <w:color w:val="000000"/>
                <w:vertAlign w:val="superscript"/>
              </w:rPr>
              <w:t>c</w:t>
            </w:r>
            <w:proofErr w:type="spellEnd"/>
            <w:r w:rsidRPr="001F339C">
              <w:rPr>
                <w:rFonts w:ascii="Arial Narrow" w:hAnsi="Arial Narrow"/>
                <w:b/>
                <w:bCs/>
                <w:color w:val="4472C4"/>
              </w:rPr>
              <w:t xml:space="preserve"> </w:t>
            </w:r>
          </w:p>
        </w:tc>
      </w:tr>
      <w:tr w:rsidR="002776A1" w:rsidRPr="001F339C" w:rsidTr="001354F9">
        <w:tc>
          <w:tcPr>
            <w:tcW w:w="1185"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rPr>
                <w:rFonts w:ascii="Arial Narrow" w:hAnsi="Arial Narrow"/>
              </w:rPr>
            </w:pPr>
            <w:r w:rsidRPr="001F339C">
              <w:rPr>
                <w:rFonts w:ascii="Arial Narrow" w:hAnsi="Arial Narrow"/>
              </w:rPr>
              <w:t>Net cost to PBS/RPBS</w:t>
            </w:r>
          </w:p>
        </w:tc>
        <w:tc>
          <w:tcPr>
            <w:tcW w:w="58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c>
          <w:tcPr>
            <w:tcW w:w="647" w:type="pct"/>
            <w:tcBorders>
              <w:top w:val="nil"/>
              <w:left w:val="nil"/>
              <w:bottom w:val="single" w:sz="8" w:space="0" w:color="auto"/>
              <w:right w:val="single" w:sz="8" w:space="0" w:color="auto"/>
            </w:tcBorders>
            <w:tcMar>
              <w:top w:w="0" w:type="dxa"/>
              <w:left w:w="28" w:type="dxa"/>
              <w:bottom w:w="0" w:type="dxa"/>
              <w:right w:w="28" w:type="dxa"/>
            </w:tcMar>
            <w:hideMark/>
          </w:tcPr>
          <w:p w:rsidR="002776A1" w:rsidRPr="001F339C" w:rsidRDefault="002776A1">
            <w:pPr>
              <w:pStyle w:val="Tabletext"/>
              <w:keepNext/>
              <w:spacing w:after="0"/>
              <w:jc w:val="center"/>
              <w:rPr>
                <w:rFonts w:ascii="Arial Narrow" w:hAnsi="Arial Narrow"/>
                <w:color w:val="000000"/>
              </w:rPr>
            </w:pPr>
            <w:r w:rsidRPr="001F339C">
              <w:rPr>
                <w:rFonts w:ascii="Arial Narrow" w:hAnsi="Arial Narrow"/>
                <w:color w:val="000000"/>
              </w:rPr>
              <w:t>$</w:t>
            </w:r>
            <w:r w:rsidR="003210D0">
              <w:rPr>
                <w:rFonts w:ascii="Arial Narrow" w:hAnsi="Arial Narrow"/>
                <w:noProof/>
                <w:color w:val="000000"/>
                <w:highlight w:val="black"/>
              </w:rPr>
              <w:t>''''''''''''''''''''''''''</w:t>
            </w:r>
          </w:p>
        </w:tc>
      </w:tr>
    </w:tbl>
    <w:p w:rsidR="001354F9" w:rsidRDefault="002776A1" w:rsidP="002776A1">
      <w:pPr>
        <w:pStyle w:val="TableFooter"/>
      </w:pPr>
      <w:proofErr w:type="gramStart"/>
      <w:r w:rsidRPr="001F339C">
        <w:rPr>
          <w:vertAlign w:val="superscript"/>
        </w:rPr>
        <w:t>a</w:t>
      </w:r>
      <w:proofErr w:type="gramEnd"/>
      <w:r w:rsidRPr="001F339C">
        <w:t xml:space="preserve"> </w:t>
      </w:r>
      <w:r w:rsidR="00413101">
        <w:t>Noted that the r</w:t>
      </w:r>
      <w:r w:rsidR="009D4EE6">
        <w:t xml:space="preserve">esubmission incorrectly applied a RPBS split of 1.89% </w:t>
      </w:r>
      <w:r w:rsidR="001354F9">
        <w:t>to both SABA uncontrolled population and ICS population rather than to the ICS population only.</w:t>
      </w:r>
      <w:r w:rsidR="009D4EE6">
        <w:t xml:space="preserve"> Impact on patient numbers is small.</w:t>
      </w:r>
      <w:r w:rsidR="001354F9">
        <w:t xml:space="preserve"> </w:t>
      </w:r>
      <w:r w:rsidR="00413101">
        <w:t xml:space="preserve">To be corrected when the financial estimates are recalculated as per paragraph 4.24. </w:t>
      </w:r>
    </w:p>
    <w:p w:rsidR="002776A1" w:rsidRPr="001F339C" w:rsidRDefault="001354F9" w:rsidP="002776A1">
      <w:pPr>
        <w:pStyle w:val="TableFooter"/>
        <w:rPr>
          <w:rFonts w:eastAsiaTheme="minorHAnsi" w:cs="Times New Roman"/>
          <w:szCs w:val="18"/>
        </w:rPr>
      </w:pPr>
      <w:proofErr w:type="gramStart"/>
      <w:r w:rsidRPr="001354F9">
        <w:rPr>
          <w:vertAlign w:val="superscript"/>
        </w:rPr>
        <w:t>b</w:t>
      </w:r>
      <w:proofErr w:type="gramEnd"/>
      <w:r>
        <w:t xml:space="preserve"> </w:t>
      </w:r>
      <w:r w:rsidR="002776A1" w:rsidRPr="001F339C">
        <w:t>A</w:t>
      </w:r>
      <w:r w:rsidR="005D59AA" w:rsidRPr="001F339C">
        <w:t>verage number of units per year</w:t>
      </w:r>
      <w:r w:rsidR="002776A1" w:rsidRPr="001F339C">
        <w:t> was changed to 3.042 (F73 = 1.00, F74 = 2.00 in Sheet 3a. Vo</w:t>
      </w:r>
      <w:r w:rsidR="005D59AA" w:rsidRPr="001F339C">
        <w:t>l</w:t>
      </w:r>
      <w:r w:rsidR="002776A1" w:rsidRPr="001F339C">
        <w:t xml:space="preserve">umes – new) </w:t>
      </w:r>
    </w:p>
    <w:p w:rsidR="002776A1" w:rsidRPr="001F339C" w:rsidRDefault="001354F9" w:rsidP="002776A1">
      <w:pPr>
        <w:pStyle w:val="TableFooter"/>
        <w:keepNext/>
        <w:rPr>
          <w:sz w:val="22"/>
          <w:lang w:eastAsia="en-AU"/>
        </w:rPr>
      </w:pPr>
      <w:r>
        <w:rPr>
          <w:vertAlign w:val="superscript"/>
        </w:rPr>
        <w:t>c</w:t>
      </w:r>
      <w:r w:rsidR="002776A1" w:rsidRPr="001F339C">
        <w:rPr>
          <w:vertAlign w:val="superscript"/>
        </w:rPr>
        <w:t xml:space="preserve"> </w:t>
      </w:r>
      <w:r w:rsidR="002776A1" w:rsidRPr="001F339C">
        <w:t xml:space="preserve">The split between the beneficiary types of RPBS services for </w:t>
      </w:r>
      <w:proofErr w:type="spellStart"/>
      <w:r w:rsidR="002776A1" w:rsidRPr="001F339C">
        <w:t>Symbicort</w:t>
      </w:r>
      <w:proofErr w:type="spellEnd"/>
      <w:r w:rsidR="002776A1" w:rsidRPr="001F339C">
        <w:t xml:space="preserve"> </w:t>
      </w:r>
      <w:proofErr w:type="spellStart"/>
      <w:r w:rsidR="002776A1" w:rsidRPr="001F339C">
        <w:t>Rapihaler</w:t>
      </w:r>
      <w:proofErr w:type="spellEnd"/>
      <w:r w:rsidR="002776A1" w:rsidRPr="001F339C">
        <w:t xml:space="preserve"> 100/3 (item code 10015D) and </w:t>
      </w:r>
      <w:proofErr w:type="spellStart"/>
      <w:r w:rsidR="002776A1" w:rsidRPr="001F339C">
        <w:t>Turbuhaler</w:t>
      </w:r>
      <w:proofErr w:type="spellEnd"/>
      <w:r w:rsidR="002776A1" w:rsidRPr="001F339C">
        <w:t xml:space="preserve"> 200/6 (item code 8625Y) was corrected during the development of the minor overview to 74.42% and 25.58% (J27 and K27 in Sheet 2b excel workbook). The uptake rate was changed to 40% in Year 3 (E46 in Sheet 2a. Patients epi) and 42% in Years 4 to 6 (F46, G46, H46 in Sheet 2a. Patients epi)</w:t>
      </w:r>
      <w:r w:rsidR="001F339C">
        <w:t xml:space="preserve">. </w:t>
      </w:r>
    </w:p>
    <w:p w:rsidR="002776A1" w:rsidRPr="008922C6" w:rsidRDefault="002776A1" w:rsidP="002776A1">
      <w:pPr>
        <w:pStyle w:val="TableFooter"/>
        <w:rPr>
          <w:sz w:val="20"/>
          <w:szCs w:val="20"/>
        </w:rPr>
      </w:pPr>
      <w:r w:rsidRPr="008922C6">
        <w:t>Source: Attachment 3_Utilisation-and-cost-model Workbook.</w:t>
      </w:r>
    </w:p>
    <w:p w:rsidR="002776A1" w:rsidRPr="008922C6" w:rsidRDefault="002776A1" w:rsidP="007B4E4A">
      <w:pPr>
        <w:pStyle w:val="Bodytextitalics"/>
        <w:numPr>
          <w:ilvl w:val="0"/>
          <w:numId w:val="0"/>
        </w:numPr>
        <w:ind w:left="720"/>
        <w:jc w:val="both"/>
        <w:rPr>
          <w:i w:val="0"/>
        </w:rPr>
      </w:pPr>
    </w:p>
    <w:p w:rsidR="006A3440" w:rsidRPr="001F339C" w:rsidRDefault="006A3440" w:rsidP="00BF36F6">
      <w:pPr>
        <w:pStyle w:val="Heading2"/>
        <w:keepLines/>
        <w:spacing w:before="240" w:after="120"/>
        <w:rPr>
          <w:rFonts w:eastAsiaTheme="majorEastAsia" w:cstheme="majorBidi"/>
          <w:b w:val="0"/>
          <w:sz w:val="28"/>
          <w:szCs w:val="28"/>
          <w:lang w:eastAsia="en-US"/>
        </w:rPr>
      </w:pPr>
      <w:r w:rsidRPr="001F339C">
        <w:rPr>
          <w:rFonts w:asciiTheme="minorHAnsi" w:eastAsiaTheme="majorEastAsia" w:hAnsiTheme="minorHAnsi" w:cstheme="majorBidi"/>
          <w:sz w:val="28"/>
          <w:szCs w:val="28"/>
          <w:lang w:eastAsia="en-US"/>
        </w:rPr>
        <w:t>Financial Management – Risk Sharing Arrangements</w:t>
      </w:r>
    </w:p>
    <w:p w:rsidR="00AF2EC3" w:rsidRPr="001F339C" w:rsidRDefault="006D1885" w:rsidP="00DB5CD4">
      <w:pPr>
        <w:pStyle w:val="3Bodytext"/>
        <w:jc w:val="both"/>
        <w:rPr>
          <w:b/>
          <w:color w:val="FF00FF"/>
        </w:rPr>
      </w:pPr>
      <w:r w:rsidRPr="001F339C">
        <w:t>T</w:t>
      </w:r>
      <w:r w:rsidR="00AF2EC3" w:rsidRPr="001F339C">
        <w:t>he minor resubmission proposed a</w:t>
      </w:r>
      <w:r w:rsidR="00A16ECC" w:rsidRPr="001F339C">
        <w:t>n</w:t>
      </w:r>
      <w:r w:rsidR="00AF2EC3" w:rsidRPr="001F339C">
        <w:t xml:space="preserve"> </w:t>
      </w:r>
      <w:r w:rsidR="00381E74" w:rsidRPr="001F339C">
        <w:t xml:space="preserve">RSA </w:t>
      </w:r>
      <w:r w:rsidRPr="001F339C">
        <w:t>to address some of the uncertainty around the financial consequences of the proposed listing</w:t>
      </w:r>
      <w:r w:rsidR="00AF2EC3" w:rsidRPr="001F339C">
        <w:t xml:space="preserve">. </w:t>
      </w:r>
    </w:p>
    <w:p w:rsidR="00B2617E" w:rsidRPr="001F339C" w:rsidRDefault="00B2617E" w:rsidP="00DB5CD4">
      <w:pPr>
        <w:pStyle w:val="3Bodytext"/>
        <w:jc w:val="both"/>
      </w:pPr>
      <w:r w:rsidRPr="001F339C">
        <w:t>According to the resubmission, in July 2019, the PBAC identified two main drivers of the risk of over-utilisation:</w:t>
      </w:r>
    </w:p>
    <w:p w:rsidR="00B2617E" w:rsidRPr="001F339C" w:rsidRDefault="00B2617E" w:rsidP="002104AB">
      <w:pPr>
        <w:pStyle w:val="3Bodytext"/>
        <w:numPr>
          <w:ilvl w:val="0"/>
          <w:numId w:val="13"/>
        </w:numPr>
        <w:jc w:val="both"/>
      </w:pPr>
      <w:r w:rsidRPr="001F339C">
        <w:t xml:space="preserve">The number of potential additional patients; and </w:t>
      </w:r>
    </w:p>
    <w:p w:rsidR="00B2617E" w:rsidRPr="001F339C" w:rsidRDefault="00B2617E" w:rsidP="002104AB">
      <w:pPr>
        <w:pStyle w:val="3Bodytext"/>
        <w:numPr>
          <w:ilvl w:val="0"/>
          <w:numId w:val="13"/>
        </w:numPr>
      </w:pPr>
      <w:r w:rsidRPr="001F339C">
        <w:t xml:space="preserve">The number of scripts dispensed per patient. </w:t>
      </w:r>
    </w:p>
    <w:p w:rsidR="00B2617E" w:rsidRPr="001F339C" w:rsidRDefault="00B2617E" w:rsidP="00DB5CD4">
      <w:pPr>
        <w:pStyle w:val="Bodytextitalics"/>
        <w:jc w:val="both"/>
        <w:rPr>
          <w:i w:val="0"/>
          <w:szCs w:val="24"/>
        </w:rPr>
      </w:pPr>
      <w:r w:rsidRPr="001F339C">
        <w:rPr>
          <w:i w:val="0"/>
          <w:szCs w:val="24"/>
        </w:rPr>
        <w:t xml:space="preserve">The proposed RSA is based on the </w:t>
      </w:r>
      <w:proofErr w:type="spellStart"/>
      <w:r w:rsidRPr="001F339C">
        <w:rPr>
          <w:i w:val="0"/>
          <w:szCs w:val="24"/>
        </w:rPr>
        <w:t>Symbicort</w:t>
      </w:r>
      <w:proofErr w:type="spellEnd"/>
      <w:r w:rsidRPr="001F339C">
        <w:rPr>
          <w:i w:val="0"/>
          <w:szCs w:val="24"/>
        </w:rPr>
        <w:t xml:space="preserve"> utilisation estimates </w:t>
      </w:r>
      <w:r w:rsidR="00BF6117" w:rsidRPr="001F339C">
        <w:rPr>
          <w:i w:val="0"/>
          <w:szCs w:val="24"/>
        </w:rPr>
        <w:t xml:space="preserve">(number of patients treated, number of scripts dispensed) </w:t>
      </w:r>
      <w:r w:rsidRPr="001F339C">
        <w:rPr>
          <w:i w:val="0"/>
          <w:szCs w:val="24"/>
        </w:rPr>
        <w:t>from the July 2019 submission (see Table 3</w:t>
      </w:r>
      <w:r w:rsidR="00BF6117" w:rsidRPr="001F339C">
        <w:rPr>
          <w:i w:val="0"/>
          <w:szCs w:val="24"/>
        </w:rPr>
        <w:t xml:space="preserve"> above</w:t>
      </w:r>
      <w:r w:rsidRPr="001F339C">
        <w:rPr>
          <w:i w:val="0"/>
          <w:szCs w:val="24"/>
        </w:rPr>
        <w:t xml:space="preserve">). </w:t>
      </w:r>
      <w:r w:rsidR="00116E0C" w:rsidRPr="001F339C">
        <w:rPr>
          <w:i w:val="0"/>
        </w:rPr>
        <w:t>The financial estimates submitted in the July 2019 major submission assumed year 1 is 2019. These utilisation estimates</w:t>
      </w:r>
      <w:r w:rsidR="006D1885" w:rsidRPr="001F339C">
        <w:rPr>
          <w:i w:val="0"/>
        </w:rPr>
        <w:t xml:space="preserve"> will</w:t>
      </w:r>
      <w:r w:rsidR="00116E0C" w:rsidRPr="001F339C">
        <w:rPr>
          <w:i w:val="0"/>
        </w:rPr>
        <w:t xml:space="preserve"> need to be adjusted based on year of implementation.</w:t>
      </w:r>
    </w:p>
    <w:p w:rsidR="00EF1839" w:rsidRPr="001F339C" w:rsidRDefault="00EF1839" w:rsidP="00DB5CD4">
      <w:pPr>
        <w:pStyle w:val="Bodytextitalics"/>
        <w:jc w:val="both"/>
        <w:rPr>
          <w:szCs w:val="24"/>
        </w:rPr>
      </w:pPr>
      <w:r w:rsidRPr="001F339C">
        <w:rPr>
          <w:i w:val="0"/>
          <w:szCs w:val="24"/>
        </w:rPr>
        <w:t xml:space="preserve">The minor resubmission proposed the following rebate arrangement to manage the risk of both additional patients and scripts: </w:t>
      </w:r>
    </w:p>
    <w:p w:rsidR="00EF1839" w:rsidRPr="001F339C" w:rsidRDefault="00EF1839" w:rsidP="002104AB">
      <w:pPr>
        <w:pStyle w:val="Bodytextitalics"/>
        <w:numPr>
          <w:ilvl w:val="0"/>
          <w:numId w:val="14"/>
        </w:numPr>
        <w:jc w:val="both"/>
        <w:rPr>
          <w:szCs w:val="24"/>
        </w:rPr>
      </w:pPr>
      <w:r w:rsidRPr="001F339C">
        <w:rPr>
          <w:i w:val="0"/>
          <w:szCs w:val="24"/>
        </w:rPr>
        <w:t xml:space="preserve">A </w:t>
      </w:r>
      <w:r w:rsidR="003210D0">
        <w:rPr>
          <w:i w:val="0"/>
          <w:noProof/>
          <w:color w:val="000000"/>
          <w:szCs w:val="24"/>
          <w:highlight w:val="black"/>
        </w:rPr>
        <w:t>'''''</w:t>
      </w:r>
      <w:r w:rsidRPr="001F339C">
        <w:rPr>
          <w:i w:val="0"/>
          <w:szCs w:val="24"/>
        </w:rPr>
        <w:t>% rebate on each pack dispensed above the estimated script volumes</w:t>
      </w:r>
      <w:r w:rsidR="007B09BF" w:rsidRPr="001F339C">
        <w:rPr>
          <w:i w:val="0"/>
          <w:szCs w:val="24"/>
        </w:rPr>
        <w:t xml:space="preserve"> up to </w:t>
      </w:r>
      <w:r w:rsidR="003210D0">
        <w:rPr>
          <w:i w:val="0"/>
          <w:noProof/>
          <w:color w:val="000000"/>
          <w:szCs w:val="24"/>
          <w:highlight w:val="black"/>
        </w:rPr>
        <w:t>'''''''</w:t>
      </w:r>
      <w:r w:rsidR="007B09BF" w:rsidRPr="001F339C">
        <w:rPr>
          <w:i w:val="0"/>
          <w:szCs w:val="24"/>
        </w:rPr>
        <w:t>% of the estimates</w:t>
      </w:r>
      <w:r w:rsidR="00381E74" w:rsidRPr="001F339C">
        <w:rPr>
          <w:i w:val="0"/>
          <w:szCs w:val="24"/>
        </w:rPr>
        <w:t>;</w:t>
      </w:r>
    </w:p>
    <w:p w:rsidR="00381E74" w:rsidRPr="001F339C" w:rsidRDefault="00381E74" w:rsidP="002104AB">
      <w:pPr>
        <w:pStyle w:val="Bodytextitalics"/>
        <w:numPr>
          <w:ilvl w:val="0"/>
          <w:numId w:val="14"/>
        </w:numPr>
        <w:jc w:val="both"/>
        <w:rPr>
          <w:szCs w:val="24"/>
        </w:rPr>
      </w:pPr>
      <w:r w:rsidRPr="001F339C">
        <w:rPr>
          <w:i w:val="0"/>
          <w:szCs w:val="24"/>
        </w:rPr>
        <w:t xml:space="preserve">A </w:t>
      </w:r>
      <w:r w:rsidR="003210D0">
        <w:rPr>
          <w:i w:val="0"/>
          <w:noProof/>
          <w:color w:val="000000"/>
          <w:szCs w:val="24"/>
          <w:highlight w:val="black"/>
        </w:rPr>
        <w:t>''''''</w:t>
      </w:r>
      <w:r w:rsidRPr="001F339C">
        <w:rPr>
          <w:i w:val="0"/>
          <w:szCs w:val="24"/>
        </w:rPr>
        <w:t xml:space="preserve">% rebate on each pack dispensed above </w:t>
      </w:r>
      <w:r w:rsidR="003210D0">
        <w:rPr>
          <w:i w:val="0"/>
          <w:noProof/>
          <w:color w:val="000000"/>
          <w:szCs w:val="24"/>
          <w:highlight w:val="black"/>
        </w:rPr>
        <w:t>'''''''</w:t>
      </w:r>
      <w:r w:rsidRPr="001F339C">
        <w:rPr>
          <w:i w:val="0"/>
          <w:szCs w:val="24"/>
        </w:rPr>
        <w:t xml:space="preserve">% of the estimates. </w:t>
      </w:r>
    </w:p>
    <w:p w:rsidR="00CC7C4E" w:rsidRPr="001F339C" w:rsidRDefault="00116E0C">
      <w:pPr>
        <w:pStyle w:val="Bodytextitalics"/>
        <w:jc w:val="both"/>
        <w:rPr>
          <w:i w:val="0"/>
          <w:szCs w:val="24"/>
        </w:rPr>
      </w:pPr>
      <w:r w:rsidRPr="001F339C">
        <w:rPr>
          <w:i w:val="0"/>
          <w:szCs w:val="24"/>
        </w:rPr>
        <w:t>The sponsor claimed</w:t>
      </w:r>
      <w:r w:rsidR="00CC7C4E" w:rsidRPr="001F339C">
        <w:rPr>
          <w:i w:val="0"/>
          <w:szCs w:val="24"/>
        </w:rPr>
        <w:t xml:space="preserve"> that the proposed rebate levels ensure that, even if the caps are exceeded, the PBS will pay no more for </w:t>
      </w:r>
      <w:proofErr w:type="spellStart"/>
      <w:r w:rsidR="00CC7C4E" w:rsidRPr="001F339C">
        <w:rPr>
          <w:i w:val="0"/>
          <w:szCs w:val="24"/>
        </w:rPr>
        <w:t>Symbicort</w:t>
      </w:r>
      <w:proofErr w:type="spellEnd"/>
      <w:r w:rsidR="00CC7C4E" w:rsidRPr="001F339C">
        <w:rPr>
          <w:i w:val="0"/>
          <w:szCs w:val="24"/>
        </w:rPr>
        <w:t xml:space="preserve"> than for an ICS+SABA that patients would otherwise receive. </w:t>
      </w:r>
    </w:p>
    <w:p w:rsidR="00116E0C" w:rsidRPr="001F339C" w:rsidRDefault="00116E0C" w:rsidP="00DB5CD4">
      <w:pPr>
        <w:pStyle w:val="Bodytextitalics"/>
        <w:jc w:val="both"/>
        <w:rPr>
          <w:szCs w:val="24"/>
        </w:rPr>
      </w:pPr>
      <w:r w:rsidRPr="001F339C">
        <w:rPr>
          <w:i w:val="0"/>
          <w:szCs w:val="24"/>
        </w:rPr>
        <w:t xml:space="preserve">The minor resubmission proposed the following </w:t>
      </w:r>
      <w:r w:rsidR="000F56FB" w:rsidRPr="001F339C">
        <w:rPr>
          <w:i w:val="0"/>
          <w:szCs w:val="24"/>
        </w:rPr>
        <w:t xml:space="preserve">additional </w:t>
      </w:r>
      <w:r w:rsidRPr="001F339C">
        <w:rPr>
          <w:i w:val="0"/>
          <w:szCs w:val="24"/>
        </w:rPr>
        <w:t xml:space="preserve">elements in order to address issues relating to price disclosure and the presence of generic competition: </w:t>
      </w:r>
    </w:p>
    <w:p w:rsidR="00116E0C" w:rsidRPr="001F339C" w:rsidRDefault="00724E9F" w:rsidP="002104AB">
      <w:pPr>
        <w:pStyle w:val="Bodytextitalics"/>
        <w:numPr>
          <w:ilvl w:val="0"/>
          <w:numId w:val="15"/>
        </w:numPr>
        <w:jc w:val="both"/>
        <w:rPr>
          <w:szCs w:val="24"/>
        </w:rPr>
      </w:pPr>
      <w:r w:rsidRPr="001F339C">
        <w:rPr>
          <w:i w:val="0"/>
          <w:szCs w:val="24"/>
        </w:rPr>
        <w:t>In the event that a future</w:t>
      </w:r>
      <w:r w:rsidR="00B839ED" w:rsidRPr="001F339C">
        <w:rPr>
          <w:i w:val="0"/>
          <w:szCs w:val="24"/>
        </w:rPr>
        <w:t xml:space="preserve"> </w:t>
      </w:r>
      <w:r w:rsidR="002C301B" w:rsidRPr="001F339C">
        <w:rPr>
          <w:i w:val="0"/>
          <w:szCs w:val="24"/>
        </w:rPr>
        <w:t>Statutory Price Reduction (</w:t>
      </w:r>
      <w:r w:rsidR="00B839ED" w:rsidRPr="001F339C">
        <w:rPr>
          <w:i w:val="0"/>
          <w:szCs w:val="24"/>
        </w:rPr>
        <w:t>SP</w:t>
      </w:r>
      <w:r w:rsidR="002C301B" w:rsidRPr="001F339C">
        <w:rPr>
          <w:i w:val="0"/>
          <w:szCs w:val="24"/>
        </w:rPr>
        <w:t>R)</w:t>
      </w:r>
      <w:r w:rsidRPr="001F339C">
        <w:rPr>
          <w:i w:val="0"/>
          <w:szCs w:val="24"/>
        </w:rPr>
        <w:t xml:space="preserve"> brings the un-rebated price of </w:t>
      </w:r>
      <w:proofErr w:type="spellStart"/>
      <w:r w:rsidRPr="001F339C">
        <w:rPr>
          <w:i w:val="0"/>
          <w:szCs w:val="24"/>
        </w:rPr>
        <w:t>Symbicort</w:t>
      </w:r>
      <w:proofErr w:type="spellEnd"/>
      <w:r w:rsidRPr="001F339C">
        <w:rPr>
          <w:i w:val="0"/>
          <w:szCs w:val="24"/>
        </w:rPr>
        <w:t xml:space="preserve"> to a level below the cost of ICS+SABA, it is proposed that the Deed be terminated;</w:t>
      </w:r>
    </w:p>
    <w:p w:rsidR="00724E9F" w:rsidRPr="001F339C" w:rsidRDefault="00724E9F" w:rsidP="002104AB">
      <w:pPr>
        <w:pStyle w:val="Bodytextitalics"/>
        <w:numPr>
          <w:ilvl w:val="0"/>
          <w:numId w:val="15"/>
        </w:numPr>
        <w:jc w:val="both"/>
        <w:rPr>
          <w:szCs w:val="24"/>
        </w:rPr>
      </w:pPr>
      <w:r w:rsidRPr="001F339C">
        <w:rPr>
          <w:i w:val="0"/>
          <w:szCs w:val="24"/>
        </w:rPr>
        <w:t xml:space="preserve">In the event that a </w:t>
      </w:r>
      <w:r w:rsidR="00B839ED" w:rsidRPr="001F339C">
        <w:rPr>
          <w:i w:val="0"/>
          <w:szCs w:val="24"/>
        </w:rPr>
        <w:t>SP</w:t>
      </w:r>
      <w:r w:rsidR="002C301B" w:rsidRPr="001F339C">
        <w:rPr>
          <w:i w:val="0"/>
          <w:szCs w:val="24"/>
        </w:rPr>
        <w:t>R</w:t>
      </w:r>
      <w:r w:rsidR="00B839ED" w:rsidRPr="001F339C">
        <w:rPr>
          <w:i w:val="0"/>
          <w:szCs w:val="24"/>
        </w:rPr>
        <w:t xml:space="preserve"> </w:t>
      </w:r>
      <w:r w:rsidRPr="001F339C">
        <w:rPr>
          <w:i w:val="0"/>
          <w:szCs w:val="24"/>
        </w:rPr>
        <w:t xml:space="preserve">price reduction brings any rebated price of </w:t>
      </w:r>
      <w:proofErr w:type="spellStart"/>
      <w:r w:rsidRPr="001F339C">
        <w:rPr>
          <w:i w:val="0"/>
          <w:szCs w:val="24"/>
        </w:rPr>
        <w:t>Symbicort</w:t>
      </w:r>
      <w:proofErr w:type="spellEnd"/>
      <w:r w:rsidRPr="001F339C">
        <w:rPr>
          <w:i w:val="0"/>
          <w:szCs w:val="24"/>
        </w:rPr>
        <w:t xml:space="preserve"> to a level below the cost of ICS+SABA, the rebate level would be altered to reflect the price equivalent to ICS+SABA; </w:t>
      </w:r>
    </w:p>
    <w:p w:rsidR="00724E9F" w:rsidRPr="001F339C" w:rsidRDefault="00724E9F" w:rsidP="002104AB">
      <w:pPr>
        <w:pStyle w:val="Bodytextitalics"/>
        <w:numPr>
          <w:ilvl w:val="0"/>
          <w:numId w:val="15"/>
        </w:numPr>
        <w:jc w:val="both"/>
        <w:rPr>
          <w:szCs w:val="24"/>
        </w:rPr>
      </w:pPr>
      <w:r w:rsidRPr="001F339C">
        <w:rPr>
          <w:i w:val="0"/>
          <w:szCs w:val="24"/>
        </w:rPr>
        <w:t>It is proposed that the Deed be t</w:t>
      </w:r>
      <w:r w:rsidR="002D2EAF" w:rsidRPr="001F339C">
        <w:rPr>
          <w:i w:val="0"/>
          <w:szCs w:val="24"/>
        </w:rPr>
        <w:t>erminated if, for any reason, a</w:t>
      </w:r>
      <w:r w:rsidR="00A16ECC" w:rsidRPr="001F339C">
        <w:rPr>
          <w:i w:val="0"/>
          <w:szCs w:val="24"/>
        </w:rPr>
        <w:t>n</w:t>
      </w:r>
      <w:r w:rsidRPr="001F339C">
        <w:rPr>
          <w:i w:val="0"/>
          <w:szCs w:val="24"/>
        </w:rPr>
        <w:t xml:space="preserve"> RSA is deemed unnecessary in the context of generic competition for this indication. </w:t>
      </w:r>
    </w:p>
    <w:p w:rsidR="009D516A" w:rsidRPr="001F339C" w:rsidRDefault="00724E9F" w:rsidP="00680FDE">
      <w:pPr>
        <w:pStyle w:val="Bodytextitalics"/>
        <w:numPr>
          <w:ilvl w:val="0"/>
          <w:numId w:val="15"/>
        </w:numPr>
        <w:jc w:val="both"/>
        <w:rPr>
          <w:i w:val="0"/>
        </w:rPr>
      </w:pPr>
      <w:r w:rsidRPr="001F339C">
        <w:rPr>
          <w:i w:val="0"/>
          <w:szCs w:val="24"/>
        </w:rPr>
        <w:t xml:space="preserve">It is proposed that any rebates paid to the Commonwealth for utilisation above the specified caps should be excluded from future price disclosure calculations. </w:t>
      </w:r>
    </w:p>
    <w:p w:rsidR="00144F8C" w:rsidRPr="001F339C" w:rsidRDefault="002C301B" w:rsidP="00680FDE">
      <w:pPr>
        <w:pStyle w:val="Bodytextitalics"/>
        <w:jc w:val="both"/>
      </w:pPr>
      <w:r w:rsidRPr="001F339C">
        <w:rPr>
          <w:i w:val="0"/>
          <w:szCs w:val="24"/>
        </w:rPr>
        <w:t xml:space="preserve">The Secretariat noted that it is not consistent with policy and practice to implement rebate Deeds for multi-branded PBS medicines. </w:t>
      </w:r>
      <w:r w:rsidR="00BE1568" w:rsidRPr="001F339C">
        <w:rPr>
          <w:i w:val="0"/>
          <w:szCs w:val="24"/>
        </w:rPr>
        <w:t xml:space="preserve">The pre-PBAC </w:t>
      </w:r>
      <w:proofErr w:type="gramStart"/>
      <w:r w:rsidR="00BE1568" w:rsidRPr="001F339C">
        <w:rPr>
          <w:i w:val="0"/>
          <w:szCs w:val="24"/>
        </w:rPr>
        <w:t xml:space="preserve">response  </w:t>
      </w:r>
      <w:r w:rsidR="009D516A" w:rsidRPr="001F339C">
        <w:rPr>
          <w:i w:val="0"/>
          <w:szCs w:val="24"/>
        </w:rPr>
        <w:lastRenderedPageBreak/>
        <w:t>ackno</w:t>
      </w:r>
      <w:r w:rsidR="00530F0E" w:rsidRPr="001F339C">
        <w:rPr>
          <w:i w:val="0"/>
          <w:szCs w:val="24"/>
        </w:rPr>
        <w:t>wledged</w:t>
      </w:r>
      <w:proofErr w:type="gramEnd"/>
      <w:r w:rsidR="009D516A" w:rsidRPr="001F339C">
        <w:rPr>
          <w:i w:val="0"/>
          <w:szCs w:val="24"/>
        </w:rPr>
        <w:t xml:space="preserve"> that a</w:t>
      </w:r>
      <w:r w:rsidR="00A16ECC" w:rsidRPr="001F339C">
        <w:rPr>
          <w:i w:val="0"/>
          <w:szCs w:val="24"/>
        </w:rPr>
        <w:t>n</w:t>
      </w:r>
      <w:r w:rsidR="009D516A" w:rsidRPr="001F339C">
        <w:rPr>
          <w:i w:val="0"/>
          <w:szCs w:val="24"/>
        </w:rPr>
        <w:t xml:space="preserve"> RSA arrangement for </w:t>
      </w:r>
      <w:proofErr w:type="spellStart"/>
      <w:r w:rsidR="009D516A" w:rsidRPr="001F339C">
        <w:rPr>
          <w:i w:val="0"/>
          <w:szCs w:val="24"/>
        </w:rPr>
        <w:t>Symbicort</w:t>
      </w:r>
      <w:proofErr w:type="spellEnd"/>
      <w:r w:rsidR="009D516A" w:rsidRPr="001F339C">
        <w:rPr>
          <w:i w:val="0"/>
          <w:szCs w:val="24"/>
        </w:rPr>
        <w:t xml:space="preserve"> is somewhat unusual given it is off-patent and in F2. </w:t>
      </w:r>
      <w:r w:rsidR="00144F8C" w:rsidRPr="001F339C">
        <w:rPr>
          <w:i w:val="0"/>
          <w:szCs w:val="24"/>
        </w:rPr>
        <w:t>T</w:t>
      </w:r>
      <w:r w:rsidR="00530F0E" w:rsidRPr="001F339C">
        <w:rPr>
          <w:i w:val="0"/>
          <w:szCs w:val="24"/>
        </w:rPr>
        <w:t>he pre-PBAC response stated</w:t>
      </w:r>
      <w:r w:rsidR="00144F8C" w:rsidRPr="001F339C">
        <w:rPr>
          <w:i w:val="0"/>
          <w:szCs w:val="24"/>
        </w:rPr>
        <w:t xml:space="preserve"> that </w:t>
      </w:r>
      <w:r w:rsidR="00144F8C" w:rsidRPr="001F339C">
        <w:rPr>
          <w:i w:val="0"/>
        </w:rPr>
        <w:t>while F2 drugs do not typically require a</w:t>
      </w:r>
      <w:r w:rsidR="00A16ECC" w:rsidRPr="001F339C">
        <w:rPr>
          <w:i w:val="0"/>
        </w:rPr>
        <w:t>n</w:t>
      </w:r>
      <w:r w:rsidR="00144F8C" w:rsidRPr="001F339C">
        <w:rPr>
          <w:i w:val="0"/>
        </w:rPr>
        <w:t xml:space="preserve"> RSA, there are a number of atypical factors of the </w:t>
      </w:r>
      <w:proofErr w:type="spellStart"/>
      <w:r w:rsidR="00144F8C" w:rsidRPr="001F339C">
        <w:rPr>
          <w:i w:val="0"/>
        </w:rPr>
        <w:t>Symbicort</w:t>
      </w:r>
      <w:proofErr w:type="spellEnd"/>
      <w:r w:rsidR="00144F8C" w:rsidRPr="001F339C">
        <w:rPr>
          <w:i w:val="0"/>
        </w:rPr>
        <w:t xml:space="preserve"> submission that warrant additional consideration:</w:t>
      </w:r>
    </w:p>
    <w:p w:rsidR="00144F8C" w:rsidRPr="001F339C" w:rsidRDefault="00144F8C" w:rsidP="00680FDE">
      <w:pPr>
        <w:pStyle w:val="Bodytextitalics"/>
        <w:numPr>
          <w:ilvl w:val="0"/>
          <w:numId w:val="15"/>
        </w:numPr>
        <w:jc w:val="both"/>
        <w:rPr>
          <w:szCs w:val="24"/>
        </w:rPr>
      </w:pPr>
      <w:r w:rsidRPr="001F339C">
        <w:rPr>
          <w:i w:val="0"/>
          <w:szCs w:val="24"/>
        </w:rPr>
        <w:t xml:space="preserve">The SYGMA clinical trial programme was clinician-instigated and driven. In support, the sponsor funded the SYGMA trials, registration and provided its health economic experience to lodge a reimbursement submission; </w:t>
      </w:r>
    </w:p>
    <w:p w:rsidR="00144F8C" w:rsidRPr="001F339C" w:rsidRDefault="00144F8C" w:rsidP="00680FDE">
      <w:pPr>
        <w:pStyle w:val="Bodytextitalics"/>
        <w:numPr>
          <w:ilvl w:val="0"/>
          <w:numId w:val="15"/>
        </w:numPr>
        <w:jc w:val="both"/>
        <w:rPr>
          <w:szCs w:val="24"/>
        </w:rPr>
      </w:pPr>
      <w:r w:rsidRPr="001F339C">
        <w:rPr>
          <w:i w:val="0"/>
          <w:szCs w:val="24"/>
        </w:rPr>
        <w:t>The clinical need is long-standing and is not adequately addressed by any other PBS listed drug in either F1 or F2;</w:t>
      </w:r>
    </w:p>
    <w:p w:rsidR="002104AB" w:rsidRPr="008922C6" w:rsidRDefault="00144F8C" w:rsidP="00680FDE">
      <w:pPr>
        <w:pStyle w:val="Bodytextitalics"/>
        <w:numPr>
          <w:ilvl w:val="0"/>
          <w:numId w:val="15"/>
        </w:numPr>
        <w:jc w:val="both"/>
        <w:rPr>
          <w:szCs w:val="24"/>
        </w:rPr>
      </w:pPr>
      <w:proofErr w:type="spellStart"/>
      <w:r w:rsidRPr="001F339C">
        <w:rPr>
          <w:i w:val="0"/>
          <w:szCs w:val="24"/>
        </w:rPr>
        <w:t>Symbicort</w:t>
      </w:r>
      <w:proofErr w:type="spellEnd"/>
      <w:r w:rsidRPr="001F339C">
        <w:rPr>
          <w:i w:val="0"/>
          <w:szCs w:val="24"/>
        </w:rPr>
        <w:t xml:space="preserve"> is TGA-registered for anti-inflammatory reliever therapy, an indication that would address the unmet need</w:t>
      </w:r>
      <w:r w:rsidR="001F339C">
        <w:rPr>
          <w:i w:val="0"/>
          <w:szCs w:val="24"/>
        </w:rPr>
        <w:t xml:space="preserve">. </w:t>
      </w:r>
      <w:r w:rsidR="00530F0E" w:rsidRPr="001F339C">
        <w:rPr>
          <w:i w:val="0"/>
          <w:szCs w:val="24"/>
        </w:rPr>
        <w:t>It is rare for sponsors to pursue a PBAC submission to extend</w:t>
      </w:r>
      <w:r w:rsidRPr="001F339C">
        <w:rPr>
          <w:i w:val="0"/>
          <w:szCs w:val="24"/>
        </w:rPr>
        <w:t xml:space="preserve"> indications post-pate</w:t>
      </w:r>
      <w:r w:rsidR="00530F0E" w:rsidRPr="008922C6">
        <w:rPr>
          <w:i w:val="0"/>
          <w:szCs w:val="24"/>
        </w:rPr>
        <w:t>nt expiry</w:t>
      </w:r>
      <w:r w:rsidR="001F339C">
        <w:rPr>
          <w:i w:val="0"/>
          <w:szCs w:val="24"/>
        </w:rPr>
        <w:t xml:space="preserve">. </w:t>
      </w:r>
      <w:r w:rsidR="00530F0E" w:rsidRPr="001F339C">
        <w:rPr>
          <w:i w:val="0"/>
          <w:szCs w:val="24"/>
        </w:rPr>
        <w:t xml:space="preserve">The sponsor of </w:t>
      </w:r>
      <w:proofErr w:type="spellStart"/>
      <w:r w:rsidR="00530F0E" w:rsidRPr="001F339C">
        <w:rPr>
          <w:i w:val="0"/>
          <w:szCs w:val="24"/>
        </w:rPr>
        <w:t>Sy</w:t>
      </w:r>
      <w:r w:rsidRPr="001F339C">
        <w:rPr>
          <w:i w:val="0"/>
          <w:szCs w:val="24"/>
        </w:rPr>
        <w:t>m</w:t>
      </w:r>
      <w:r w:rsidR="00530F0E" w:rsidRPr="008922C6">
        <w:rPr>
          <w:i w:val="0"/>
          <w:szCs w:val="24"/>
        </w:rPr>
        <w:t>b</w:t>
      </w:r>
      <w:r w:rsidRPr="008922C6">
        <w:rPr>
          <w:i w:val="0"/>
          <w:szCs w:val="24"/>
        </w:rPr>
        <w:t>icort</w:t>
      </w:r>
      <w:proofErr w:type="spellEnd"/>
      <w:r w:rsidRPr="008922C6">
        <w:rPr>
          <w:i w:val="0"/>
          <w:szCs w:val="24"/>
        </w:rPr>
        <w:t xml:space="preserve">, on the other hand, has remained active in working to provide care for asthma patients despite the patent status of </w:t>
      </w:r>
      <w:proofErr w:type="spellStart"/>
      <w:r w:rsidRPr="008922C6">
        <w:rPr>
          <w:i w:val="0"/>
          <w:szCs w:val="24"/>
        </w:rPr>
        <w:t>Symbicort</w:t>
      </w:r>
      <w:proofErr w:type="spellEnd"/>
      <w:r w:rsidRPr="008922C6">
        <w:rPr>
          <w:i w:val="0"/>
          <w:szCs w:val="24"/>
        </w:rPr>
        <w:t>.</w:t>
      </w:r>
    </w:p>
    <w:p w:rsidR="002104AB" w:rsidRPr="001F339C" w:rsidRDefault="002104AB" w:rsidP="002104AB">
      <w:pPr>
        <w:pStyle w:val="ListParagraph"/>
        <w:ind w:left="709"/>
        <w:rPr>
          <w:rFonts w:asciiTheme="minorHAnsi" w:hAnsiTheme="minorHAnsi"/>
          <w:i/>
          <w:sz w:val="24"/>
          <w:szCs w:val="24"/>
        </w:rPr>
      </w:pPr>
      <w:r w:rsidRPr="001F339C">
        <w:rPr>
          <w:rFonts w:asciiTheme="minorHAnsi" w:hAnsiTheme="minorHAnsi"/>
          <w:i/>
          <w:sz w:val="24"/>
          <w:szCs w:val="24"/>
        </w:rPr>
        <w:t>For more detail on PBAC’s view, see section 5 PBAC outcome.</w:t>
      </w:r>
    </w:p>
    <w:p w:rsidR="002104AB" w:rsidRPr="001F339C" w:rsidRDefault="002104AB" w:rsidP="00A76EAC">
      <w:pPr>
        <w:pStyle w:val="Heading1"/>
        <w:keepNext/>
        <w:keepLines/>
        <w:widowControl/>
        <w:numPr>
          <w:ilvl w:val="0"/>
          <w:numId w:val="3"/>
        </w:numPr>
        <w:spacing w:before="240" w:after="120"/>
        <w:ind w:left="709" w:hanging="709"/>
        <w:contextualSpacing w:val="0"/>
        <w:jc w:val="left"/>
        <w:rPr>
          <w:rFonts w:asciiTheme="minorHAnsi" w:hAnsiTheme="minorHAnsi"/>
          <w:b w:val="0"/>
          <w:bCs/>
          <w:sz w:val="32"/>
        </w:rPr>
      </w:pPr>
      <w:r w:rsidRPr="001F339C">
        <w:rPr>
          <w:rFonts w:asciiTheme="minorHAnsi" w:hAnsiTheme="minorHAnsi"/>
          <w:sz w:val="32"/>
          <w:szCs w:val="32"/>
        </w:rPr>
        <w:t>PBAC Outcome</w:t>
      </w:r>
    </w:p>
    <w:p w:rsidR="003E268C" w:rsidRPr="00864976" w:rsidRDefault="002939E7">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The PBAC recommended </w:t>
      </w:r>
      <w:r w:rsidR="00931D62" w:rsidRPr="00864976">
        <w:rPr>
          <w:rFonts w:asciiTheme="minorHAnsi" w:hAnsiTheme="minorHAnsi" w:cs="Arial"/>
          <w:bCs/>
          <w:snapToGrid w:val="0"/>
        </w:rPr>
        <w:t>the</w:t>
      </w:r>
      <w:r w:rsidRPr="00864976">
        <w:rPr>
          <w:rFonts w:asciiTheme="minorHAnsi" w:hAnsiTheme="minorHAnsi" w:cs="Arial"/>
          <w:bCs/>
          <w:snapToGrid w:val="0"/>
        </w:rPr>
        <w:t xml:space="preserve"> Authority Required (STREAMLINED) listing of budesonide with </w:t>
      </w:r>
      <w:proofErr w:type="spellStart"/>
      <w:r w:rsidRPr="00864976">
        <w:rPr>
          <w:rFonts w:asciiTheme="minorHAnsi" w:hAnsiTheme="minorHAnsi" w:cs="Arial"/>
          <w:bCs/>
          <w:snapToGrid w:val="0"/>
        </w:rPr>
        <w:t>formoterol</w:t>
      </w:r>
      <w:proofErr w:type="spellEnd"/>
      <w:r w:rsidR="00F2199C">
        <w:rPr>
          <w:rFonts w:asciiTheme="minorHAnsi" w:hAnsiTheme="minorHAnsi" w:cs="Arial"/>
          <w:bCs/>
          <w:snapToGrid w:val="0"/>
        </w:rPr>
        <w:t xml:space="preserve"> </w:t>
      </w:r>
      <w:r w:rsidRPr="00864976">
        <w:rPr>
          <w:rFonts w:asciiTheme="minorHAnsi" w:hAnsiTheme="minorHAnsi" w:cs="Arial"/>
          <w:bCs/>
          <w:snapToGrid w:val="0"/>
        </w:rPr>
        <w:t xml:space="preserve">for use as </w:t>
      </w:r>
      <w:r w:rsidR="006E4CA0" w:rsidRPr="00864976">
        <w:rPr>
          <w:rFonts w:asciiTheme="minorHAnsi" w:hAnsiTheme="minorHAnsi" w:cs="Arial"/>
          <w:bCs/>
          <w:snapToGrid w:val="0"/>
        </w:rPr>
        <w:t xml:space="preserve">an </w:t>
      </w:r>
      <w:r w:rsidRPr="00864976">
        <w:rPr>
          <w:rFonts w:asciiTheme="minorHAnsi" w:hAnsiTheme="minorHAnsi" w:cs="Arial"/>
          <w:bCs/>
          <w:snapToGrid w:val="0"/>
        </w:rPr>
        <w:t xml:space="preserve">anti-inflammatory reliever therapy administered as needed for adolescent and adult patients with mild asthma. The PBAC considered the </w:t>
      </w:r>
      <w:r w:rsidR="002B1B2C" w:rsidRPr="00864976">
        <w:rPr>
          <w:rFonts w:asciiTheme="minorHAnsi" w:hAnsiTheme="minorHAnsi" w:cs="Arial"/>
          <w:bCs/>
          <w:snapToGrid w:val="0"/>
        </w:rPr>
        <w:t>concerns</w:t>
      </w:r>
      <w:r w:rsidRPr="00864976">
        <w:rPr>
          <w:rFonts w:asciiTheme="minorHAnsi" w:hAnsiTheme="minorHAnsi" w:cs="Arial"/>
          <w:bCs/>
          <w:snapToGrid w:val="0"/>
        </w:rPr>
        <w:t xml:space="preserve"> raised at the July 2019 meeting regarding the non-inferiority clinical claim and the mixed consumer comments from major asthma related organisations were adequately addressed in the minor resubmission and corresponding consumer comments</w:t>
      </w:r>
      <w:r w:rsidR="001F339C">
        <w:rPr>
          <w:rFonts w:asciiTheme="minorHAnsi" w:hAnsiTheme="minorHAnsi" w:cs="Arial"/>
          <w:bCs/>
          <w:snapToGrid w:val="0"/>
        </w:rPr>
        <w:t xml:space="preserve">. </w:t>
      </w:r>
    </w:p>
    <w:p w:rsidR="003A2DA5" w:rsidRPr="00864976" w:rsidRDefault="003E268C">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The PBAC’s recommendation for listing was based on, among other matters, its assessment that the cost-effectiveness of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Pr="00864976">
        <w:rPr>
          <w:rFonts w:asciiTheme="minorHAnsi" w:hAnsiTheme="minorHAnsi" w:cs="Arial"/>
          <w:bCs/>
          <w:snapToGrid w:val="0"/>
        </w:rPr>
        <w:t xml:space="preserve"> would be acceptable if it were cost-minimised against</w:t>
      </w:r>
      <w:r w:rsidR="002B1B2C" w:rsidRPr="00864976">
        <w:rPr>
          <w:rFonts w:asciiTheme="minorHAnsi" w:hAnsiTheme="minorHAnsi" w:cs="Arial"/>
          <w:bCs/>
          <w:snapToGrid w:val="0"/>
        </w:rPr>
        <w:t xml:space="preserve"> low dose inhaled corticosteroid (ICS)</w:t>
      </w:r>
      <w:r w:rsidRPr="00864976">
        <w:rPr>
          <w:rFonts w:asciiTheme="minorHAnsi" w:hAnsiTheme="minorHAnsi" w:cs="Arial"/>
          <w:bCs/>
          <w:snapToGrid w:val="0"/>
        </w:rPr>
        <w:t xml:space="preserve"> maintenance regimen with </w:t>
      </w:r>
      <w:r w:rsidR="002B1B2C" w:rsidRPr="00864976">
        <w:rPr>
          <w:rFonts w:asciiTheme="minorHAnsi" w:hAnsiTheme="minorHAnsi" w:cs="Arial"/>
          <w:bCs/>
          <w:snapToGrid w:val="0"/>
        </w:rPr>
        <w:t>short-acting acting beta2-agonist (</w:t>
      </w:r>
      <w:r w:rsidRPr="00864976">
        <w:rPr>
          <w:rFonts w:asciiTheme="minorHAnsi" w:hAnsiTheme="minorHAnsi" w:cs="Arial"/>
          <w:bCs/>
          <w:snapToGrid w:val="0"/>
        </w:rPr>
        <w:t>SABA</w:t>
      </w:r>
      <w:r w:rsidR="002B1B2C" w:rsidRPr="00864976">
        <w:rPr>
          <w:rFonts w:asciiTheme="minorHAnsi" w:hAnsiTheme="minorHAnsi" w:cs="Arial"/>
          <w:bCs/>
          <w:snapToGrid w:val="0"/>
        </w:rPr>
        <w:t>)</w:t>
      </w:r>
      <w:r w:rsidRPr="00864976">
        <w:rPr>
          <w:rFonts w:asciiTheme="minorHAnsi" w:hAnsiTheme="minorHAnsi" w:cs="Arial"/>
          <w:bCs/>
          <w:snapToGrid w:val="0"/>
        </w:rPr>
        <w:t xml:space="preserve"> as needed (ICS+SABA)</w:t>
      </w:r>
      <w:r w:rsidR="003A2DA5" w:rsidRPr="00864976">
        <w:rPr>
          <w:rFonts w:asciiTheme="minorHAnsi" w:hAnsiTheme="minorHAnsi" w:cs="Arial"/>
          <w:bCs/>
          <w:snapToGrid w:val="0"/>
        </w:rPr>
        <w:t xml:space="preserve"> on a drug cost per patient per day basis</w:t>
      </w:r>
      <w:r w:rsidR="002B1B2C" w:rsidRPr="00864976">
        <w:rPr>
          <w:rFonts w:asciiTheme="minorHAnsi" w:hAnsiTheme="minorHAnsi" w:cs="Arial"/>
          <w:bCs/>
          <w:snapToGrid w:val="0"/>
        </w:rPr>
        <w:t xml:space="preserve">. </w:t>
      </w:r>
    </w:p>
    <w:p w:rsidR="00312D26" w:rsidRPr="00864976" w:rsidRDefault="00927DF4" w:rsidP="002C301F">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The PBAC noted the consumer comments from three key asthma related organisations (</w:t>
      </w:r>
      <w:r w:rsidR="00312D26" w:rsidRPr="001F339C">
        <w:rPr>
          <w:rFonts w:asciiTheme="minorHAnsi" w:hAnsiTheme="minorHAnsi"/>
          <w:bCs/>
        </w:rPr>
        <w:t>National Asthma Council Australia</w:t>
      </w:r>
      <w:r w:rsidRPr="00864976">
        <w:rPr>
          <w:rFonts w:asciiTheme="minorHAnsi" w:hAnsiTheme="minorHAnsi" w:cs="Arial"/>
          <w:bCs/>
          <w:snapToGrid w:val="0"/>
        </w:rPr>
        <w:t>, Asthma Aus</w:t>
      </w:r>
      <w:r w:rsidR="000C08F4" w:rsidRPr="00864976">
        <w:rPr>
          <w:rFonts w:asciiTheme="minorHAnsi" w:hAnsiTheme="minorHAnsi" w:cs="Arial"/>
          <w:bCs/>
          <w:snapToGrid w:val="0"/>
        </w:rPr>
        <w:t xml:space="preserve">tralia and The Lung Foundation), </w:t>
      </w:r>
      <w:r w:rsidR="00194346" w:rsidRPr="00864976">
        <w:rPr>
          <w:rFonts w:asciiTheme="minorHAnsi" w:hAnsiTheme="minorHAnsi" w:cs="Arial"/>
          <w:bCs/>
          <w:snapToGrid w:val="0"/>
        </w:rPr>
        <w:t>were</w:t>
      </w:r>
      <w:r w:rsidR="000C08F4" w:rsidRPr="00864976">
        <w:rPr>
          <w:rFonts w:asciiTheme="minorHAnsi" w:hAnsiTheme="minorHAnsi" w:cs="Arial"/>
          <w:bCs/>
          <w:snapToGrid w:val="0"/>
        </w:rPr>
        <w:t xml:space="preserve"> </w:t>
      </w:r>
      <w:r w:rsidR="005110D0" w:rsidRPr="00864976">
        <w:rPr>
          <w:rFonts w:asciiTheme="minorHAnsi" w:hAnsiTheme="minorHAnsi" w:cs="Arial"/>
          <w:bCs/>
          <w:snapToGrid w:val="0"/>
        </w:rPr>
        <w:t>in support of the requested</w:t>
      </w:r>
      <w:r w:rsidR="00C20D5C" w:rsidRPr="00864976">
        <w:rPr>
          <w:rFonts w:asciiTheme="minorHAnsi" w:hAnsiTheme="minorHAnsi" w:cs="Arial"/>
          <w:bCs/>
          <w:snapToGrid w:val="0"/>
        </w:rPr>
        <w:t xml:space="preserve"> </w:t>
      </w:r>
      <w:r w:rsidR="000C08F4" w:rsidRPr="00864976">
        <w:rPr>
          <w:rFonts w:asciiTheme="minorHAnsi" w:hAnsiTheme="minorHAnsi" w:cs="Arial"/>
          <w:bCs/>
          <w:snapToGrid w:val="0"/>
        </w:rPr>
        <w:t xml:space="preserve">listing for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000C08F4" w:rsidRPr="00864976">
        <w:rPr>
          <w:rFonts w:asciiTheme="minorHAnsi" w:hAnsiTheme="minorHAnsi" w:cs="Arial"/>
          <w:bCs/>
          <w:snapToGrid w:val="0"/>
        </w:rPr>
        <w:t xml:space="preserve">. </w:t>
      </w:r>
    </w:p>
    <w:p w:rsidR="000C08F4" w:rsidRPr="00864976" w:rsidRDefault="006E4CA0" w:rsidP="002104AB">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The PBAC noted that the resubmission proposed a separate listing for use of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Pr="00864976">
        <w:rPr>
          <w:rFonts w:asciiTheme="minorHAnsi" w:hAnsiTheme="minorHAnsi" w:cs="Arial"/>
          <w:bCs/>
          <w:snapToGrid w:val="0"/>
        </w:rPr>
        <w:t xml:space="preserve"> as an anti-inflammatory reliever therapy in mild asthma, in addition to the current (maintenance therapy) listing, and considered this was appropriate in the context of clear differentiation between indications. </w:t>
      </w:r>
      <w:r w:rsidR="000C08F4" w:rsidRPr="00864976">
        <w:rPr>
          <w:rFonts w:asciiTheme="minorHAnsi" w:hAnsiTheme="minorHAnsi" w:cs="Arial"/>
          <w:bCs/>
          <w:snapToGrid w:val="0"/>
        </w:rPr>
        <w:t xml:space="preserve">The PBAC agreed with the Secretariat’s proposed changes to the requested listing, i.e. amending the PBS indication to “mild asthma”, and removing the reference to maintenance and reliever </w:t>
      </w:r>
      <w:r w:rsidRPr="00864976">
        <w:rPr>
          <w:rFonts w:asciiTheme="minorHAnsi" w:hAnsiTheme="minorHAnsi" w:cs="Arial"/>
          <w:bCs/>
          <w:snapToGrid w:val="0"/>
        </w:rPr>
        <w:t xml:space="preserve">therapy. </w:t>
      </w:r>
      <w:r w:rsidR="000C08F4" w:rsidRPr="00864976">
        <w:rPr>
          <w:rFonts w:asciiTheme="minorHAnsi" w:hAnsiTheme="minorHAnsi" w:cs="Arial"/>
          <w:bCs/>
          <w:snapToGrid w:val="0"/>
        </w:rPr>
        <w:t>The PBAC</w:t>
      </w:r>
      <w:r w:rsidR="00A647AC" w:rsidRPr="00864976">
        <w:rPr>
          <w:rFonts w:asciiTheme="minorHAnsi" w:hAnsiTheme="minorHAnsi" w:cs="Arial"/>
          <w:bCs/>
          <w:snapToGrid w:val="0"/>
        </w:rPr>
        <w:t xml:space="preserve"> </w:t>
      </w:r>
      <w:r w:rsidR="000C08F4" w:rsidRPr="00864976">
        <w:rPr>
          <w:rFonts w:asciiTheme="minorHAnsi" w:hAnsiTheme="minorHAnsi" w:cs="Arial"/>
          <w:bCs/>
          <w:snapToGrid w:val="0"/>
        </w:rPr>
        <w:t xml:space="preserve">recommended that the sponsor’s proposed administrative </w:t>
      </w:r>
      <w:r w:rsidR="000C08F4" w:rsidRPr="00864976">
        <w:rPr>
          <w:rFonts w:asciiTheme="minorHAnsi" w:hAnsiTheme="minorHAnsi" w:cs="Arial"/>
          <w:bCs/>
          <w:snapToGrid w:val="0"/>
        </w:rPr>
        <w:lastRenderedPageBreak/>
        <w:t>advice</w:t>
      </w:r>
      <w:r w:rsidR="00437F2E" w:rsidRPr="00864976">
        <w:rPr>
          <w:rFonts w:asciiTheme="minorHAnsi" w:hAnsiTheme="minorHAnsi" w:cs="Arial"/>
          <w:bCs/>
          <w:snapToGrid w:val="0"/>
        </w:rPr>
        <w:t xml:space="preserve"> (</w:t>
      </w:r>
      <w:r w:rsidR="000C08F4" w:rsidRPr="00864976">
        <w:rPr>
          <w:rFonts w:asciiTheme="minorHAnsi" w:hAnsiTheme="minorHAnsi" w:cs="Arial"/>
          <w:bCs/>
          <w:snapToGrid w:val="0"/>
        </w:rPr>
        <w:t xml:space="preserve">that only one prescription </w:t>
      </w:r>
      <w:r w:rsidR="00437F2E" w:rsidRPr="00864976">
        <w:rPr>
          <w:rFonts w:asciiTheme="minorHAnsi" w:hAnsiTheme="minorHAnsi" w:cs="Arial"/>
          <w:bCs/>
          <w:snapToGrid w:val="0"/>
        </w:rPr>
        <w:t xml:space="preserve">is permitted </w:t>
      </w:r>
      <w:r w:rsidR="000C08F4" w:rsidRPr="00864976">
        <w:rPr>
          <w:rFonts w:asciiTheme="minorHAnsi" w:hAnsiTheme="minorHAnsi" w:cs="Arial"/>
          <w:bCs/>
          <w:snapToGrid w:val="0"/>
        </w:rPr>
        <w:t>in a 12 month period</w:t>
      </w:r>
      <w:r w:rsidR="00437F2E" w:rsidRPr="00864976">
        <w:rPr>
          <w:rFonts w:asciiTheme="minorHAnsi" w:hAnsiTheme="minorHAnsi" w:cs="Arial"/>
          <w:bCs/>
          <w:snapToGrid w:val="0"/>
        </w:rPr>
        <w:t>)</w:t>
      </w:r>
      <w:r w:rsidR="000C08F4" w:rsidRPr="00864976">
        <w:rPr>
          <w:rFonts w:asciiTheme="minorHAnsi" w:hAnsiTheme="minorHAnsi" w:cs="Arial"/>
          <w:bCs/>
          <w:snapToGrid w:val="0"/>
        </w:rPr>
        <w:t xml:space="preserve"> be removed, as this cannot be enforced by </w:t>
      </w:r>
      <w:r w:rsidR="00DF52B2" w:rsidRPr="00864976">
        <w:rPr>
          <w:rFonts w:asciiTheme="minorHAnsi" w:hAnsiTheme="minorHAnsi" w:cs="Arial"/>
          <w:bCs/>
          <w:snapToGrid w:val="0"/>
        </w:rPr>
        <w:t>the Department of Human Services</w:t>
      </w:r>
      <w:r w:rsidR="000C08F4" w:rsidRPr="00864976">
        <w:rPr>
          <w:rFonts w:asciiTheme="minorHAnsi" w:hAnsiTheme="minorHAnsi" w:cs="Arial"/>
          <w:bCs/>
          <w:snapToGrid w:val="0"/>
        </w:rPr>
        <w:t xml:space="preserve"> through a Streamlined Authority. </w:t>
      </w:r>
      <w:r w:rsidR="00A647AC" w:rsidRPr="00864976">
        <w:rPr>
          <w:rFonts w:asciiTheme="minorHAnsi" w:hAnsiTheme="minorHAnsi" w:cs="Arial"/>
          <w:bCs/>
          <w:snapToGrid w:val="0"/>
        </w:rPr>
        <w:t xml:space="preserve">The PBAC </w:t>
      </w:r>
      <w:r w:rsidR="00EA3EE6" w:rsidRPr="00864976">
        <w:rPr>
          <w:rFonts w:asciiTheme="minorHAnsi" w:hAnsiTheme="minorHAnsi" w:cs="Arial"/>
          <w:bCs/>
          <w:snapToGrid w:val="0"/>
        </w:rPr>
        <w:t>reiterated its July 2019 advice that the Committee considered that patients are likely to</w:t>
      </w:r>
      <w:r w:rsidR="00F2199C">
        <w:rPr>
          <w:rFonts w:asciiTheme="minorHAnsi" w:hAnsiTheme="minorHAnsi" w:cs="Arial"/>
          <w:bCs/>
          <w:snapToGrid w:val="0"/>
        </w:rPr>
        <w:t xml:space="preserve"> have more than one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00EA3EE6" w:rsidRPr="00864976">
        <w:rPr>
          <w:rFonts w:asciiTheme="minorHAnsi" w:hAnsiTheme="minorHAnsi" w:cs="Arial"/>
          <w:bCs/>
          <w:snapToGrid w:val="0"/>
        </w:rPr>
        <w:t xml:space="preserve"> inhaler in use at a time (paragraph 7.12,</w:t>
      </w:r>
      <w:r w:rsidR="001952D2" w:rsidRPr="001F339C">
        <w:rPr>
          <w:rFonts w:cstheme="minorHAnsi"/>
          <w:i/>
        </w:rPr>
        <w:t xml:space="preserve"> </w:t>
      </w:r>
      <w:proofErr w:type="spellStart"/>
      <w:r w:rsidR="00530F0E" w:rsidRPr="00864976">
        <w:rPr>
          <w:rFonts w:asciiTheme="minorHAnsi" w:hAnsiTheme="minorHAnsi" w:cs="Arial"/>
          <w:bCs/>
          <w:snapToGrid w:val="0"/>
        </w:rPr>
        <w:t>Symbicort</w:t>
      </w:r>
      <w:proofErr w:type="spellEnd"/>
      <w:r w:rsidR="00530F0E" w:rsidRPr="00864976">
        <w:rPr>
          <w:rFonts w:asciiTheme="minorHAnsi" w:hAnsiTheme="minorHAnsi" w:cs="Arial"/>
          <w:bCs/>
          <w:snapToGrid w:val="0"/>
        </w:rPr>
        <w:t>, PSD</w:t>
      </w:r>
      <w:r w:rsidR="001952D2" w:rsidRPr="00864976">
        <w:rPr>
          <w:rFonts w:asciiTheme="minorHAnsi" w:hAnsiTheme="minorHAnsi" w:cs="Arial"/>
          <w:bCs/>
          <w:snapToGrid w:val="0"/>
        </w:rPr>
        <w:t>, July 2019 PBAC meeting). As such, the PBAC</w:t>
      </w:r>
      <w:r w:rsidR="00A647AC" w:rsidRPr="00864976">
        <w:rPr>
          <w:rFonts w:asciiTheme="minorHAnsi" w:hAnsiTheme="minorHAnsi" w:cs="Arial"/>
          <w:bCs/>
          <w:snapToGrid w:val="0"/>
        </w:rPr>
        <w:t xml:space="preserve"> recommended that the number </w:t>
      </w:r>
      <w:r w:rsidRPr="00864976">
        <w:rPr>
          <w:rFonts w:asciiTheme="minorHAnsi" w:hAnsiTheme="minorHAnsi" w:cs="Arial"/>
          <w:bCs/>
          <w:snapToGrid w:val="0"/>
        </w:rPr>
        <w:t xml:space="preserve">of </w:t>
      </w:r>
      <w:r w:rsidR="00A647AC" w:rsidRPr="00864976">
        <w:rPr>
          <w:rFonts w:asciiTheme="minorHAnsi" w:hAnsiTheme="minorHAnsi" w:cs="Arial"/>
          <w:bCs/>
          <w:snapToGrid w:val="0"/>
        </w:rPr>
        <w:t xml:space="preserve">repeats be increased from 1 to 2. </w:t>
      </w:r>
    </w:p>
    <w:p w:rsidR="00437F2E" w:rsidRPr="00864976" w:rsidRDefault="00616FE6" w:rsidP="00BC1383">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The PBAC recalled the key clinical trial evidence presented in the </w:t>
      </w:r>
      <w:r w:rsidR="00501995" w:rsidRPr="00864976">
        <w:rPr>
          <w:rFonts w:asciiTheme="minorHAnsi" w:hAnsiTheme="minorHAnsi" w:cs="Arial"/>
          <w:bCs/>
          <w:snapToGrid w:val="0"/>
        </w:rPr>
        <w:t>July 2019</w:t>
      </w:r>
      <w:r w:rsidRPr="00864976">
        <w:rPr>
          <w:rFonts w:asciiTheme="minorHAnsi" w:hAnsiTheme="minorHAnsi" w:cs="Arial"/>
          <w:bCs/>
          <w:snapToGrid w:val="0"/>
        </w:rPr>
        <w:t xml:space="preserve"> submission and the concerns around the primary outcomes for SYGMA 1 and SYGMA 2, i.e. well controlled asthma weeks (WCAW) and rate of severe exacerbations respectively. With respect to WCAW, the PBAC noted the </w:t>
      </w:r>
      <w:r w:rsidR="00654201" w:rsidRPr="00864976">
        <w:rPr>
          <w:rFonts w:asciiTheme="minorHAnsi" w:hAnsiTheme="minorHAnsi" w:cs="Arial"/>
          <w:bCs/>
          <w:snapToGrid w:val="0"/>
        </w:rPr>
        <w:t xml:space="preserve">concerns </w:t>
      </w:r>
      <w:r w:rsidR="00B83106" w:rsidRPr="00864976">
        <w:rPr>
          <w:rFonts w:asciiTheme="minorHAnsi" w:hAnsiTheme="minorHAnsi" w:cs="Arial"/>
          <w:bCs/>
          <w:snapToGrid w:val="0"/>
        </w:rPr>
        <w:t xml:space="preserve">raised in the resubmission </w:t>
      </w:r>
      <w:r w:rsidR="00654201" w:rsidRPr="00864976">
        <w:rPr>
          <w:rFonts w:asciiTheme="minorHAnsi" w:hAnsiTheme="minorHAnsi" w:cs="Arial"/>
          <w:bCs/>
          <w:snapToGrid w:val="0"/>
        </w:rPr>
        <w:t xml:space="preserve">that this measure inherently biases against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Pr="00864976">
        <w:rPr>
          <w:rFonts w:asciiTheme="minorHAnsi" w:hAnsiTheme="minorHAnsi" w:cs="Arial"/>
          <w:bCs/>
          <w:snapToGrid w:val="0"/>
        </w:rPr>
        <w:t xml:space="preserve"> when comparing to ICS+SABA</w:t>
      </w:r>
      <w:r w:rsidR="00B83106" w:rsidRPr="00864976">
        <w:rPr>
          <w:rFonts w:asciiTheme="minorHAnsi" w:hAnsiTheme="minorHAnsi" w:cs="Arial"/>
          <w:bCs/>
          <w:snapToGrid w:val="0"/>
        </w:rPr>
        <w:t>. The PBAC</w:t>
      </w:r>
      <w:r w:rsidR="00654201" w:rsidRPr="00864976">
        <w:rPr>
          <w:rFonts w:asciiTheme="minorHAnsi" w:hAnsiTheme="minorHAnsi" w:cs="Arial"/>
          <w:bCs/>
          <w:snapToGrid w:val="0"/>
        </w:rPr>
        <w:t xml:space="preserve"> </w:t>
      </w:r>
      <w:r w:rsidR="00B83106" w:rsidRPr="00864976">
        <w:rPr>
          <w:rFonts w:asciiTheme="minorHAnsi" w:hAnsiTheme="minorHAnsi" w:cs="Arial"/>
          <w:bCs/>
          <w:snapToGrid w:val="0"/>
        </w:rPr>
        <w:t>considered</w:t>
      </w:r>
      <w:r w:rsidR="00654201" w:rsidRPr="00864976">
        <w:rPr>
          <w:rFonts w:asciiTheme="minorHAnsi" w:hAnsiTheme="minorHAnsi" w:cs="Arial"/>
          <w:bCs/>
          <w:snapToGrid w:val="0"/>
        </w:rPr>
        <w:t xml:space="preserve"> that removal of the </w:t>
      </w:r>
      <w:r w:rsidR="00B83106" w:rsidRPr="00864976">
        <w:rPr>
          <w:rFonts w:asciiTheme="minorHAnsi" w:hAnsiTheme="minorHAnsi" w:cs="Arial"/>
          <w:bCs/>
          <w:snapToGrid w:val="0"/>
        </w:rPr>
        <w:t>‘</w:t>
      </w:r>
      <w:r w:rsidR="00654201" w:rsidRPr="00864976">
        <w:rPr>
          <w:rFonts w:asciiTheme="minorHAnsi" w:hAnsiTheme="minorHAnsi" w:cs="Arial"/>
          <w:bCs/>
          <w:snapToGrid w:val="0"/>
        </w:rPr>
        <w:t>as needed</w:t>
      </w:r>
      <w:r w:rsidR="00B83106" w:rsidRPr="00864976">
        <w:rPr>
          <w:rFonts w:asciiTheme="minorHAnsi" w:hAnsiTheme="minorHAnsi" w:cs="Arial"/>
          <w:bCs/>
          <w:snapToGrid w:val="0"/>
        </w:rPr>
        <w:t>’</w:t>
      </w:r>
      <w:r w:rsidR="00654201" w:rsidRPr="00864976">
        <w:rPr>
          <w:rFonts w:asciiTheme="minorHAnsi" w:hAnsiTheme="minorHAnsi" w:cs="Arial"/>
          <w:bCs/>
          <w:snapToGrid w:val="0"/>
        </w:rPr>
        <w:t xml:space="preserve"> comp</w:t>
      </w:r>
      <w:r w:rsidR="004D4FCD" w:rsidRPr="00864976">
        <w:rPr>
          <w:rFonts w:asciiTheme="minorHAnsi" w:hAnsiTheme="minorHAnsi" w:cs="Arial"/>
          <w:bCs/>
          <w:snapToGrid w:val="0"/>
        </w:rPr>
        <w:t xml:space="preserve">onent </w:t>
      </w:r>
      <w:r w:rsidR="00BC1383" w:rsidRPr="00864976">
        <w:rPr>
          <w:rFonts w:asciiTheme="minorHAnsi" w:hAnsiTheme="minorHAnsi" w:cs="Arial"/>
          <w:bCs/>
          <w:snapToGrid w:val="0"/>
        </w:rPr>
        <w:t xml:space="preserve">improved the likelihood </w:t>
      </w:r>
      <w:r w:rsidR="00B83106" w:rsidRPr="00864976">
        <w:rPr>
          <w:rFonts w:asciiTheme="minorHAnsi" w:hAnsiTheme="minorHAnsi" w:cs="Arial"/>
          <w:bCs/>
          <w:snapToGrid w:val="0"/>
        </w:rPr>
        <w:t xml:space="preserve">of patients receiving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00B83106" w:rsidRPr="00864976">
        <w:rPr>
          <w:rFonts w:asciiTheme="minorHAnsi" w:hAnsiTheme="minorHAnsi" w:cs="Arial"/>
          <w:bCs/>
          <w:snapToGrid w:val="0"/>
        </w:rPr>
        <w:t xml:space="preserve"> achieving a WCAW, although the results continued to favour ICS+SABA. </w:t>
      </w:r>
      <w:r w:rsidR="00654201" w:rsidRPr="00864976">
        <w:rPr>
          <w:rFonts w:asciiTheme="minorHAnsi" w:hAnsiTheme="minorHAnsi" w:cs="Arial"/>
          <w:bCs/>
          <w:snapToGrid w:val="0"/>
        </w:rPr>
        <w:t>With respect to rate of severe exacerbations, the PBAC noted the sponsor’s argument against the use of the 97.5% confid</w:t>
      </w:r>
      <w:r w:rsidR="004074D9" w:rsidRPr="00864976">
        <w:rPr>
          <w:rFonts w:asciiTheme="minorHAnsi" w:hAnsiTheme="minorHAnsi" w:cs="Arial"/>
          <w:bCs/>
          <w:snapToGrid w:val="0"/>
        </w:rPr>
        <w:t>ence interval (CI)</w:t>
      </w:r>
      <w:r w:rsidR="00B83106" w:rsidRPr="00864976">
        <w:rPr>
          <w:rFonts w:asciiTheme="minorHAnsi" w:hAnsiTheme="minorHAnsi" w:cs="Arial"/>
          <w:bCs/>
          <w:snapToGrid w:val="0"/>
        </w:rPr>
        <w:t>. In addition, t</w:t>
      </w:r>
      <w:r w:rsidR="00A46037" w:rsidRPr="00864976">
        <w:rPr>
          <w:rFonts w:asciiTheme="minorHAnsi" w:hAnsiTheme="minorHAnsi" w:cs="Arial"/>
          <w:bCs/>
          <w:snapToGrid w:val="0"/>
        </w:rPr>
        <w:t>he PBAC noted evidence from the Novel START and PRACTICAL trial</w:t>
      </w:r>
      <w:r w:rsidR="00BC1383" w:rsidRPr="00864976">
        <w:rPr>
          <w:rFonts w:asciiTheme="minorHAnsi" w:hAnsiTheme="minorHAnsi" w:cs="Arial"/>
          <w:bCs/>
          <w:snapToGrid w:val="0"/>
        </w:rPr>
        <w:t>s</w:t>
      </w:r>
      <w:r w:rsidR="00C5084E" w:rsidRPr="00864976">
        <w:rPr>
          <w:rFonts w:asciiTheme="minorHAnsi" w:hAnsiTheme="minorHAnsi" w:cs="Arial"/>
          <w:bCs/>
          <w:snapToGrid w:val="0"/>
        </w:rPr>
        <w:t xml:space="preserve"> </w:t>
      </w:r>
      <w:r w:rsidR="00B83106" w:rsidRPr="00864976">
        <w:rPr>
          <w:rFonts w:asciiTheme="minorHAnsi" w:hAnsiTheme="minorHAnsi" w:cs="Arial"/>
          <w:bCs/>
          <w:snapToGrid w:val="0"/>
        </w:rPr>
        <w:t xml:space="preserve">supporting the use </w:t>
      </w:r>
      <w:r w:rsidR="00BC1383" w:rsidRPr="00864976">
        <w:rPr>
          <w:rFonts w:asciiTheme="minorHAnsi" w:hAnsiTheme="minorHAnsi" w:cs="Arial"/>
          <w:bCs/>
          <w:snapToGrid w:val="0"/>
        </w:rPr>
        <w:t xml:space="preserve">of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00B83106" w:rsidRPr="001F339C">
        <w:rPr>
          <w:rFonts w:asciiTheme="minorHAnsi" w:hAnsiTheme="minorHAnsi"/>
          <w:bCs/>
        </w:rPr>
        <w:t xml:space="preserve"> </w:t>
      </w:r>
      <w:r w:rsidR="00BC1383" w:rsidRPr="001F339C">
        <w:rPr>
          <w:rFonts w:asciiTheme="minorHAnsi" w:hAnsiTheme="minorHAnsi"/>
          <w:bCs/>
        </w:rPr>
        <w:t>as required in mild asthma</w:t>
      </w:r>
      <w:r w:rsidR="00B83106" w:rsidRPr="001F339C">
        <w:rPr>
          <w:rFonts w:asciiTheme="minorHAnsi" w:hAnsiTheme="minorHAnsi"/>
          <w:bCs/>
        </w:rPr>
        <w:t xml:space="preserve">. </w:t>
      </w:r>
      <w:r w:rsidRPr="00864976">
        <w:rPr>
          <w:rFonts w:asciiTheme="minorHAnsi" w:hAnsiTheme="minorHAnsi" w:cs="Arial"/>
          <w:bCs/>
          <w:snapToGrid w:val="0"/>
        </w:rPr>
        <w:t>On balance, the PBAC considered that the body of evidence supports the proposed listing</w:t>
      </w:r>
      <w:r w:rsidR="0051122A" w:rsidRPr="00864976">
        <w:rPr>
          <w:rFonts w:asciiTheme="minorHAnsi" w:hAnsiTheme="minorHAnsi" w:cs="Arial"/>
          <w:bCs/>
          <w:snapToGrid w:val="0"/>
        </w:rPr>
        <w:t>.</w:t>
      </w:r>
    </w:p>
    <w:p w:rsidR="00B31F91" w:rsidRPr="00864976" w:rsidRDefault="00BB3E31" w:rsidP="002104AB">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The PBAC noted the resubmission’s updated cost-minimisation analysis and considered that the change in expected market share from 93% and 7% to 60% and 40%</w:t>
      </w:r>
      <w:r w:rsidR="00F710F5" w:rsidRPr="00864976">
        <w:rPr>
          <w:rFonts w:asciiTheme="minorHAnsi" w:hAnsiTheme="minorHAnsi" w:cs="Arial"/>
          <w:bCs/>
          <w:snapToGrid w:val="0"/>
        </w:rPr>
        <w:t xml:space="preserve"> for the </w:t>
      </w:r>
      <w:proofErr w:type="spellStart"/>
      <w:r w:rsidR="00F710F5" w:rsidRPr="00864976">
        <w:rPr>
          <w:rFonts w:asciiTheme="minorHAnsi" w:hAnsiTheme="minorHAnsi" w:cs="Arial"/>
          <w:bCs/>
          <w:snapToGrid w:val="0"/>
        </w:rPr>
        <w:t>Turbuhaler</w:t>
      </w:r>
      <w:proofErr w:type="spellEnd"/>
      <w:r w:rsidR="00F710F5" w:rsidRPr="00864976">
        <w:rPr>
          <w:rFonts w:asciiTheme="minorHAnsi" w:hAnsiTheme="minorHAnsi" w:cs="Arial"/>
          <w:bCs/>
          <w:snapToGrid w:val="0"/>
        </w:rPr>
        <w:t xml:space="preserve"> and </w:t>
      </w:r>
      <w:proofErr w:type="spellStart"/>
      <w:r w:rsidR="00F710F5" w:rsidRPr="00864976">
        <w:rPr>
          <w:rFonts w:asciiTheme="minorHAnsi" w:hAnsiTheme="minorHAnsi" w:cs="Arial"/>
          <w:bCs/>
          <w:snapToGrid w:val="0"/>
        </w:rPr>
        <w:t>R</w:t>
      </w:r>
      <w:r w:rsidRPr="00864976">
        <w:rPr>
          <w:rFonts w:asciiTheme="minorHAnsi" w:hAnsiTheme="minorHAnsi" w:cs="Arial"/>
          <w:bCs/>
          <w:snapToGrid w:val="0"/>
        </w:rPr>
        <w:t>apihaler</w:t>
      </w:r>
      <w:proofErr w:type="spellEnd"/>
      <w:r w:rsidRPr="00864976">
        <w:rPr>
          <w:rFonts w:asciiTheme="minorHAnsi" w:hAnsiTheme="minorHAnsi" w:cs="Arial"/>
          <w:bCs/>
          <w:snapToGrid w:val="0"/>
        </w:rPr>
        <w:t xml:space="preserve"> respectively </w:t>
      </w:r>
      <w:r w:rsidR="00144227" w:rsidRPr="00864976">
        <w:rPr>
          <w:rFonts w:asciiTheme="minorHAnsi" w:hAnsiTheme="minorHAnsi" w:cs="Arial"/>
          <w:bCs/>
          <w:snapToGrid w:val="0"/>
        </w:rPr>
        <w:t xml:space="preserve">was </w:t>
      </w:r>
      <w:r w:rsidRPr="00864976">
        <w:rPr>
          <w:rFonts w:asciiTheme="minorHAnsi" w:hAnsiTheme="minorHAnsi" w:cs="Arial"/>
          <w:bCs/>
          <w:snapToGrid w:val="0"/>
        </w:rPr>
        <w:t xml:space="preserve">appropriate. </w:t>
      </w:r>
      <w:r w:rsidR="00B04074" w:rsidRPr="00864976">
        <w:rPr>
          <w:rFonts w:asciiTheme="minorHAnsi" w:hAnsiTheme="minorHAnsi" w:cs="Arial"/>
          <w:bCs/>
          <w:snapToGrid w:val="0"/>
        </w:rPr>
        <w:t xml:space="preserve">The PBAC advised that the cost-minimisation analysis should be based on </w:t>
      </w:r>
      <w:r w:rsidR="00B97B8D" w:rsidRPr="00864976">
        <w:rPr>
          <w:rFonts w:asciiTheme="minorHAnsi" w:hAnsiTheme="minorHAnsi" w:cs="Arial"/>
          <w:bCs/>
          <w:snapToGrid w:val="0"/>
        </w:rPr>
        <w:t xml:space="preserve">AEMPs and </w:t>
      </w:r>
      <w:r w:rsidR="00B04074" w:rsidRPr="00864976">
        <w:rPr>
          <w:rFonts w:asciiTheme="minorHAnsi" w:hAnsiTheme="minorHAnsi" w:cs="Arial"/>
          <w:bCs/>
          <w:snapToGrid w:val="0"/>
        </w:rPr>
        <w:t xml:space="preserve">equi-effective doses of 83.2 mcg of budesonide with 2.5 mcg of </w:t>
      </w:r>
      <w:proofErr w:type="spellStart"/>
      <w:r w:rsidR="00B04074" w:rsidRPr="00864976">
        <w:rPr>
          <w:rFonts w:asciiTheme="minorHAnsi" w:hAnsiTheme="minorHAnsi" w:cs="Arial"/>
          <w:bCs/>
          <w:snapToGrid w:val="0"/>
        </w:rPr>
        <w:t>formoterol</w:t>
      </w:r>
      <w:proofErr w:type="spellEnd"/>
      <w:r w:rsidR="00B04074" w:rsidRPr="00864976">
        <w:rPr>
          <w:rFonts w:asciiTheme="minorHAnsi" w:hAnsiTheme="minorHAnsi" w:cs="Arial"/>
          <w:bCs/>
          <w:snapToGrid w:val="0"/>
        </w:rPr>
        <w:t xml:space="preserve"> per day and 201 mcg of budesonide with 78.4 mcg of salbutamol per day.</w:t>
      </w:r>
    </w:p>
    <w:p w:rsidR="0022479E" w:rsidRPr="00864976" w:rsidRDefault="0022479E" w:rsidP="007B01C2">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The PBAC recalled that, in July 2019, the</w:t>
      </w:r>
      <w:r w:rsidR="00C5084E" w:rsidRPr="00864976">
        <w:rPr>
          <w:rFonts w:asciiTheme="minorHAnsi" w:hAnsiTheme="minorHAnsi" w:cs="Arial"/>
          <w:bCs/>
          <w:snapToGrid w:val="0"/>
        </w:rPr>
        <w:t xml:space="preserve"> certainty around the financial estimates had been low, with</w:t>
      </w:r>
      <w:r w:rsidRPr="00864976">
        <w:rPr>
          <w:rFonts w:asciiTheme="minorHAnsi" w:hAnsiTheme="minorHAnsi" w:cs="Arial"/>
          <w:bCs/>
          <w:snapToGrid w:val="0"/>
        </w:rPr>
        <w:t xml:space="preserve"> </w:t>
      </w:r>
      <w:r w:rsidR="006E0190" w:rsidRPr="00864976">
        <w:rPr>
          <w:rFonts w:asciiTheme="minorHAnsi" w:hAnsiTheme="minorHAnsi" w:cs="Arial"/>
          <w:bCs/>
          <w:snapToGrid w:val="0"/>
        </w:rPr>
        <w:t xml:space="preserve">the </w:t>
      </w:r>
      <w:r w:rsidRPr="00864976">
        <w:rPr>
          <w:rFonts w:asciiTheme="minorHAnsi" w:hAnsiTheme="minorHAnsi" w:cs="Arial"/>
          <w:bCs/>
          <w:snapToGrid w:val="0"/>
        </w:rPr>
        <w:t xml:space="preserve">uptake rate and </w:t>
      </w:r>
      <w:r w:rsidR="00C5084E" w:rsidRPr="00864976">
        <w:rPr>
          <w:rFonts w:asciiTheme="minorHAnsi" w:hAnsiTheme="minorHAnsi" w:cs="Arial"/>
          <w:bCs/>
          <w:snapToGrid w:val="0"/>
        </w:rPr>
        <w:t>number of inhalers per year being</w:t>
      </w:r>
      <w:r w:rsidRPr="00864976">
        <w:rPr>
          <w:rFonts w:asciiTheme="minorHAnsi" w:hAnsiTheme="minorHAnsi" w:cs="Arial"/>
          <w:bCs/>
          <w:snapToGrid w:val="0"/>
        </w:rPr>
        <w:t xml:space="preserve"> key areas of concern raised by DUSC. </w:t>
      </w:r>
      <w:r w:rsidR="006E0190" w:rsidRPr="00864976">
        <w:rPr>
          <w:rFonts w:asciiTheme="minorHAnsi" w:hAnsiTheme="minorHAnsi" w:cs="Arial"/>
          <w:bCs/>
          <w:snapToGrid w:val="0"/>
        </w:rPr>
        <w:t xml:space="preserve">The PBAC considered that, in addition to the market device split of 60% and 40% for the </w:t>
      </w:r>
      <w:proofErr w:type="spellStart"/>
      <w:r w:rsidR="006E0190" w:rsidRPr="00864976">
        <w:rPr>
          <w:rFonts w:asciiTheme="minorHAnsi" w:hAnsiTheme="minorHAnsi" w:cs="Arial"/>
          <w:bCs/>
          <w:snapToGrid w:val="0"/>
        </w:rPr>
        <w:t>Turbuhaler</w:t>
      </w:r>
      <w:proofErr w:type="spellEnd"/>
      <w:r w:rsidR="006E0190" w:rsidRPr="00864976">
        <w:rPr>
          <w:rFonts w:asciiTheme="minorHAnsi" w:hAnsiTheme="minorHAnsi" w:cs="Arial"/>
          <w:bCs/>
          <w:snapToGrid w:val="0"/>
        </w:rPr>
        <w:t xml:space="preserve"> and </w:t>
      </w:r>
      <w:proofErr w:type="spellStart"/>
      <w:r w:rsidR="006E0190" w:rsidRPr="00864976">
        <w:rPr>
          <w:rFonts w:asciiTheme="minorHAnsi" w:hAnsiTheme="minorHAnsi" w:cs="Arial"/>
          <w:bCs/>
          <w:snapToGrid w:val="0"/>
        </w:rPr>
        <w:t>Rapihaler</w:t>
      </w:r>
      <w:proofErr w:type="spellEnd"/>
      <w:r w:rsidR="006E0190" w:rsidRPr="00864976">
        <w:rPr>
          <w:rFonts w:asciiTheme="minorHAnsi" w:hAnsiTheme="minorHAnsi" w:cs="Arial"/>
          <w:bCs/>
          <w:snapToGrid w:val="0"/>
        </w:rPr>
        <w:t xml:space="preserve"> respectively proposed in the resubmission, it would be appropriate to assume an uptake rate of 25% in Year 1, 28% in Year 2, 40% in Year 3 and 42% in Years 4 to 6 (i.e. increased by 10% for Years 3-6 only) and that 3.042 inhalers (i.e. instead of 1.58 inhalers) would be used per patient per year. </w:t>
      </w:r>
      <w:r w:rsidR="00430AC7" w:rsidRPr="00864976">
        <w:rPr>
          <w:rFonts w:asciiTheme="minorHAnsi" w:hAnsiTheme="minorHAnsi" w:cs="Arial"/>
          <w:bCs/>
          <w:snapToGrid w:val="0"/>
        </w:rPr>
        <w:t xml:space="preserve">The PBAC considered that </w:t>
      </w:r>
      <w:r w:rsidR="00A16ECC" w:rsidRPr="00864976">
        <w:rPr>
          <w:rFonts w:asciiTheme="minorHAnsi" w:hAnsiTheme="minorHAnsi" w:cs="Arial"/>
          <w:bCs/>
          <w:snapToGrid w:val="0"/>
        </w:rPr>
        <w:t xml:space="preserve">on this basis it was now reasonable to accept the financial </w:t>
      </w:r>
      <w:r w:rsidR="00B97B8D" w:rsidRPr="00864976">
        <w:rPr>
          <w:rFonts w:asciiTheme="minorHAnsi" w:hAnsiTheme="minorHAnsi" w:cs="Arial"/>
          <w:bCs/>
          <w:snapToGrid w:val="0"/>
        </w:rPr>
        <w:t>estimate</w:t>
      </w:r>
      <w:r w:rsidR="00A16ECC" w:rsidRPr="00864976">
        <w:rPr>
          <w:rFonts w:asciiTheme="minorHAnsi" w:hAnsiTheme="minorHAnsi" w:cs="Arial"/>
          <w:bCs/>
          <w:snapToGrid w:val="0"/>
        </w:rPr>
        <w:t>s</w:t>
      </w:r>
      <w:r w:rsidR="00430AC7" w:rsidRPr="00864976">
        <w:rPr>
          <w:rFonts w:asciiTheme="minorHAnsi" w:hAnsiTheme="minorHAnsi" w:cs="Arial"/>
          <w:bCs/>
          <w:snapToGrid w:val="0"/>
        </w:rPr>
        <w:t xml:space="preserve">. </w:t>
      </w:r>
    </w:p>
    <w:p w:rsidR="002B3F4C" w:rsidRPr="00864976" w:rsidRDefault="002B3F4C" w:rsidP="00B04074">
      <w:pPr>
        <w:pStyle w:val="Bodytextitalics"/>
        <w:jc w:val="both"/>
        <w:rPr>
          <w:i w:val="0"/>
          <w:snapToGrid w:val="0"/>
        </w:rPr>
      </w:pPr>
      <w:r w:rsidRPr="00864976">
        <w:rPr>
          <w:i w:val="0"/>
          <w:snapToGrid w:val="0"/>
        </w:rPr>
        <w:t xml:space="preserve">The </w:t>
      </w:r>
      <w:r w:rsidR="00430AC7" w:rsidRPr="00864976">
        <w:rPr>
          <w:i w:val="0"/>
          <w:snapToGrid w:val="0"/>
        </w:rPr>
        <w:t xml:space="preserve">PBAC noted the RSA proposed by the resubmission and the subsequent arguments </w:t>
      </w:r>
      <w:r w:rsidR="00B04074" w:rsidRPr="00864976">
        <w:rPr>
          <w:i w:val="0"/>
          <w:snapToGrid w:val="0"/>
        </w:rPr>
        <w:t>for</w:t>
      </w:r>
      <w:r w:rsidR="00430AC7" w:rsidRPr="00864976">
        <w:rPr>
          <w:i w:val="0"/>
          <w:snapToGrid w:val="0"/>
        </w:rPr>
        <w:t xml:space="preserve"> this approach in the </w:t>
      </w:r>
      <w:r w:rsidRPr="00864976">
        <w:rPr>
          <w:i w:val="0"/>
          <w:snapToGrid w:val="0"/>
        </w:rPr>
        <w:t xml:space="preserve">pre-PBAC </w:t>
      </w:r>
      <w:proofErr w:type="gramStart"/>
      <w:r w:rsidRPr="00864976">
        <w:rPr>
          <w:i w:val="0"/>
          <w:snapToGrid w:val="0"/>
        </w:rPr>
        <w:t xml:space="preserve">response </w:t>
      </w:r>
      <w:r w:rsidR="00430AC7" w:rsidRPr="00864976">
        <w:rPr>
          <w:i w:val="0"/>
          <w:snapToGrid w:val="0"/>
        </w:rPr>
        <w:t>.</w:t>
      </w:r>
      <w:proofErr w:type="gramEnd"/>
      <w:r w:rsidR="00430AC7" w:rsidRPr="00864976">
        <w:rPr>
          <w:i w:val="0"/>
          <w:snapToGrid w:val="0"/>
        </w:rPr>
        <w:t xml:space="preserve"> However, </w:t>
      </w:r>
      <w:r w:rsidR="00A37216" w:rsidRPr="00864976">
        <w:rPr>
          <w:i w:val="0"/>
          <w:snapToGrid w:val="0"/>
        </w:rPr>
        <w:t xml:space="preserve">the </w:t>
      </w:r>
      <w:r w:rsidRPr="00864976">
        <w:rPr>
          <w:i w:val="0"/>
          <w:snapToGrid w:val="0"/>
        </w:rPr>
        <w:t xml:space="preserve">PBAC </w:t>
      </w:r>
      <w:r w:rsidR="00B04074" w:rsidRPr="00864976">
        <w:rPr>
          <w:i w:val="0"/>
          <w:snapToGrid w:val="0"/>
        </w:rPr>
        <w:t>considered</w:t>
      </w:r>
      <w:r w:rsidR="00A37216" w:rsidRPr="00864976">
        <w:rPr>
          <w:i w:val="0"/>
          <w:snapToGrid w:val="0"/>
        </w:rPr>
        <w:t xml:space="preserve"> t</w:t>
      </w:r>
      <w:r w:rsidRPr="00864976">
        <w:rPr>
          <w:i w:val="0"/>
          <w:snapToGrid w:val="0"/>
        </w:rPr>
        <w:t>hat the uncertai</w:t>
      </w:r>
      <w:r w:rsidR="00DB66E7" w:rsidRPr="00864976">
        <w:rPr>
          <w:i w:val="0"/>
          <w:snapToGrid w:val="0"/>
        </w:rPr>
        <w:t xml:space="preserve">nty in the financial estimates </w:t>
      </w:r>
      <w:r w:rsidRPr="00864976">
        <w:rPr>
          <w:i w:val="0"/>
          <w:snapToGrid w:val="0"/>
        </w:rPr>
        <w:t xml:space="preserve">would be more suitably addressed through </w:t>
      </w:r>
      <w:r w:rsidR="00B04074" w:rsidRPr="00864976">
        <w:rPr>
          <w:i w:val="0"/>
          <w:snapToGrid w:val="0"/>
        </w:rPr>
        <w:t>determining the appropriate</w:t>
      </w:r>
      <w:r w:rsidRPr="00864976">
        <w:rPr>
          <w:i w:val="0"/>
          <w:snapToGrid w:val="0"/>
        </w:rPr>
        <w:t xml:space="preserve"> price </w:t>
      </w:r>
      <w:r w:rsidR="00B04074" w:rsidRPr="00864976">
        <w:rPr>
          <w:i w:val="0"/>
          <w:snapToGrid w:val="0"/>
        </w:rPr>
        <w:t xml:space="preserve">based on a cost-minimisation analysis and revised assumptions </w:t>
      </w:r>
      <w:r w:rsidR="00B04074" w:rsidRPr="00864976">
        <w:rPr>
          <w:rFonts w:eastAsia="Times New Roman" w:cs="Arial"/>
          <w:bCs/>
          <w:i w:val="0"/>
          <w:snapToGrid w:val="0"/>
          <w:szCs w:val="24"/>
        </w:rPr>
        <w:t xml:space="preserve">for the estimates of use (see paragraph </w:t>
      </w:r>
      <w:r w:rsidR="00B97B8D" w:rsidRPr="00864976">
        <w:rPr>
          <w:rFonts w:eastAsia="Times New Roman" w:cs="Arial"/>
          <w:bCs/>
          <w:i w:val="0"/>
          <w:snapToGrid w:val="0"/>
          <w:szCs w:val="24"/>
        </w:rPr>
        <w:t>5.7</w:t>
      </w:r>
      <w:r w:rsidR="00B04074" w:rsidRPr="00864976">
        <w:rPr>
          <w:rFonts w:eastAsia="Times New Roman" w:cs="Arial"/>
          <w:bCs/>
          <w:i w:val="0"/>
          <w:snapToGrid w:val="0"/>
          <w:szCs w:val="24"/>
        </w:rPr>
        <w:t>)</w:t>
      </w:r>
      <w:r w:rsidRPr="00864976">
        <w:rPr>
          <w:i w:val="0"/>
          <w:snapToGrid w:val="0"/>
        </w:rPr>
        <w:t xml:space="preserve">. </w:t>
      </w:r>
      <w:r w:rsidR="00B97B8D" w:rsidRPr="00864976">
        <w:rPr>
          <w:i w:val="0"/>
          <w:snapToGrid w:val="0"/>
        </w:rPr>
        <w:t xml:space="preserve">On this basis, </w:t>
      </w:r>
      <w:r w:rsidR="006E04F3" w:rsidRPr="00864976">
        <w:rPr>
          <w:i w:val="0"/>
          <w:snapToGrid w:val="0"/>
        </w:rPr>
        <w:t xml:space="preserve">the </w:t>
      </w:r>
      <w:r w:rsidR="00C07066" w:rsidRPr="00864976">
        <w:rPr>
          <w:i w:val="0"/>
          <w:snapToGrid w:val="0"/>
        </w:rPr>
        <w:t>PBAC advised that</w:t>
      </w:r>
      <w:r w:rsidR="00696B78" w:rsidRPr="00864976">
        <w:rPr>
          <w:i w:val="0"/>
          <w:snapToGrid w:val="0"/>
        </w:rPr>
        <w:t xml:space="preserve"> </w:t>
      </w:r>
      <w:r w:rsidR="00C07066" w:rsidRPr="00864976">
        <w:rPr>
          <w:i w:val="0"/>
          <w:snapToGrid w:val="0"/>
        </w:rPr>
        <w:t xml:space="preserve">a </w:t>
      </w:r>
      <w:r w:rsidRPr="00864976">
        <w:rPr>
          <w:i w:val="0"/>
          <w:snapToGrid w:val="0"/>
        </w:rPr>
        <w:t xml:space="preserve">weighted price across </w:t>
      </w:r>
      <w:r w:rsidR="00F2199C">
        <w:rPr>
          <w:i w:val="0"/>
          <w:snapToGrid w:val="0"/>
        </w:rPr>
        <w:t xml:space="preserve">all </w:t>
      </w:r>
      <w:r w:rsidR="00F2199C" w:rsidRPr="00F2199C">
        <w:rPr>
          <w:rFonts w:cs="Arial"/>
          <w:bCs/>
          <w:i w:val="0"/>
          <w:snapToGrid w:val="0"/>
        </w:rPr>
        <w:t xml:space="preserve">budesonide with </w:t>
      </w:r>
      <w:proofErr w:type="spellStart"/>
      <w:r w:rsidR="00F2199C" w:rsidRPr="00F2199C">
        <w:rPr>
          <w:rFonts w:cs="Arial"/>
          <w:bCs/>
          <w:i w:val="0"/>
          <w:snapToGrid w:val="0"/>
        </w:rPr>
        <w:t>formoterol</w:t>
      </w:r>
      <w:proofErr w:type="spellEnd"/>
      <w:r w:rsidR="004E575D" w:rsidRPr="00864976">
        <w:rPr>
          <w:i w:val="0"/>
          <w:snapToGrid w:val="0"/>
        </w:rPr>
        <w:t xml:space="preserve"> </w:t>
      </w:r>
      <w:r w:rsidRPr="00864976">
        <w:rPr>
          <w:i w:val="0"/>
          <w:snapToGrid w:val="0"/>
        </w:rPr>
        <w:lastRenderedPageBreak/>
        <w:t>indications</w:t>
      </w:r>
      <w:r w:rsidR="00C07066" w:rsidRPr="00864976">
        <w:rPr>
          <w:i w:val="0"/>
          <w:snapToGrid w:val="0"/>
        </w:rPr>
        <w:t xml:space="preserve"> would be required to</w:t>
      </w:r>
      <w:r w:rsidR="00696B78" w:rsidRPr="00864976">
        <w:rPr>
          <w:i w:val="0"/>
          <w:snapToGrid w:val="0"/>
        </w:rPr>
        <w:t xml:space="preserve"> ensure the cost-effectiveness of </w:t>
      </w:r>
      <w:r w:rsidR="00F2199C" w:rsidRPr="00F2199C">
        <w:rPr>
          <w:rFonts w:cs="Arial"/>
          <w:bCs/>
          <w:i w:val="0"/>
          <w:snapToGrid w:val="0"/>
        </w:rPr>
        <w:t xml:space="preserve">budesonide with </w:t>
      </w:r>
      <w:proofErr w:type="spellStart"/>
      <w:r w:rsidR="00F2199C" w:rsidRPr="00F2199C">
        <w:rPr>
          <w:rFonts w:cs="Arial"/>
          <w:bCs/>
          <w:i w:val="0"/>
          <w:snapToGrid w:val="0"/>
        </w:rPr>
        <w:t>formoterol</w:t>
      </w:r>
      <w:proofErr w:type="spellEnd"/>
      <w:r w:rsidR="00696B78" w:rsidRPr="00864976">
        <w:rPr>
          <w:i w:val="0"/>
          <w:snapToGrid w:val="0"/>
        </w:rPr>
        <w:t xml:space="preserve"> versus </w:t>
      </w:r>
      <w:r w:rsidR="006E04F3" w:rsidRPr="00864976">
        <w:rPr>
          <w:i w:val="0"/>
          <w:snapToGrid w:val="0"/>
        </w:rPr>
        <w:t>ICS+SABA for use as anti-inflammatory reliever therapy</w:t>
      </w:r>
      <w:r w:rsidR="00696B78" w:rsidRPr="00864976">
        <w:rPr>
          <w:i w:val="0"/>
          <w:snapToGrid w:val="0"/>
        </w:rPr>
        <w:t xml:space="preserve">. </w:t>
      </w:r>
    </w:p>
    <w:p w:rsidR="00B91B26" w:rsidRPr="00864976" w:rsidRDefault="00B91B26" w:rsidP="002104AB">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The PBAC advised that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00F2199C" w:rsidRPr="00864976">
        <w:rPr>
          <w:rFonts w:asciiTheme="minorHAnsi" w:hAnsiTheme="minorHAnsi" w:cs="Arial"/>
          <w:bCs/>
          <w:snapToGrid w:val="0"/>
        </w:rPr>
        <w:t xml:space="preserve"> </w:t>
      </w:r>
      <w:r w:rsidRPr="00864976">
        <w:rPr>
          <w:rFonts w:asciiTheme="minorHAnsi" w:hAnsiTheme="minorHAnsi" w:cs="Arial"/>
          <w:bCs/>
          <w:snapToGrid w:val="0"/>
        </w:rPr>
        <w:t xml:space="preserve">is suitable for prescribing by nurse practitioners, as </w:t>
      </w:r>
      <w:r w:rsidR="00F91988" w:rsidRPr="00864976">
        <w:rPr>
          <w:rFonts w:asciiTheme="minorHAnsi" w:hAnsiTheme="minorHAnsi" w:cs="Arial"/>
          <w:bCs/>
          <w:snapToGrid w:val="0"/>
        </w:rPr>
        <w:t xml:space="preserve">applies to the current PBS </w:t>
      </w:r>
      <w:r w:rsidR="00F2199C">
        <w:rPr>
          <w:rFonts w:asciiTheme="minorHAnsi" w:hAnsiTheme="minorHAnsi" w:cs="Arial"/>
          <w:bCs/>
          <w:snapToGrid w:val="0"/>
        </w:rPr>
        <w:t xml:space="preserve">listing for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Pr="00864976">
        <w:rPr>
          <w:rFonts w:asciiTheme="minorHAnsi" w:hAnsiTheme="minorHAnsi" w:cs="Arial"/>
          <w:bCs/>
          <w:snapToGrid w:val="0"/>
        </w:rPr>
        <w:t xml:space="preserve">. </w:t>
      </w:r>
    </w:p>
    <w:p w:rsidR="00B91B26" w:rsidRPr="00864976" w:rsidRDefault="00F2199C" w:rsidP="002104AB">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 PBAC advised that </w:t>
      </w:r>
      <w:r w:rsidRPr="00864976">
        <w:rPr>
          <w:rFonts w:asciiTheme="minorHAnsi" w:hAnsiTheme="minorHAnsi" w:cs="Arial"/>
          <w:bCs/>
          <w:snapToGrid w:val="0"/>
        </w:rPr>
        <w:t xml:space="preserve">budesonide with </w:t>
      </w:r>
      <w:proofErr w:type="spellStart"/>
      <w:r w:rsidRPr="00864976">
        <w:rPr>
          <w:rFonts w:asciiTheme="minorHAnsi" w:hAnsiTheme="minorHAnsi" w:cs="Arial"/>
          <w:bCs/>
          <w:snapToGrid w:val="0"/>
        </w:rPr>
        <w:t>formoterol</w:t>
      </w:r>
      <w:proofErr w:type="spellEnd"/>
      <w:r w:rsidR="00B91B26" w:rsidRPr="00864976">
        <w:rPr>
          <w:rFonts w:asciiTheme="minorHAnsi" w:hAnsiTheme="minorHAnsi" w:cs="Arial"/>
          <w:bCs/>
          <w:snapToGrid w:val="0"/>
        </w:rPr>
        <w:t xml:space="preserve"> should be exempt from the Early Supply Rule, as applies to the curren</w:t>
      </w:r>
      <w:r w:rsidR="00F91988" w:rsidRPr="00864976">
        <w:rPr>
          <w:rFonts w:asciiTheme="minorHAnsi" w:hAnsiTheme="minorHAnsi" w:cs="Arial"/>
          <w:bCs/>
          <w:snapToGrid w:val="0"/>
        </w:rPr>
        <w:t xml:space="preserve">t PBS </w:t>
      </w:r>
      <w:r>
        <w:rPr>
          <w:rFonts w:asciiTheme="minorHAnsi" w:hAnsiTheme="minorHAnsi" w:cs="Arial"/>
          <w:bCs/>
          <w:snapToGrid w:val="0"/>
        </w:rPr>
        <w:t xml:space="preserve">listing for </w:t>
      </w:r>
      <w:r w:rsidRPr="00864976">
        <w:rPr>
          <w:rFonts w:asciiTheme="minorHAnsi" w:hAnsiTheme="minorHAnsi" w:cs="Arial"/>
          <w:bCs/>
          <w:snapToGrid w:val="0"/>
        </w:rPr>
        <w:t xml:space="preserve">budesonide with </w:t>
      </w:r>
      <w:proofErr w:type="spellStart"/>
      <w:r w:rsidRPr="00864976">
        <w:rPr>
          <w:rFonts w:asciiTheme="minorHAnsi" w:hAnsiTheme="minorHAnsi" w:cs="Arial"/>
          <w:bCs/>
          <w:snapToGrid w:val="0"/>
        </w:rPr>
        <w:t>formoterol</w:t>
      </w:r>
      <w:proofErr w:type="spellEnd"/>
      <w:r w:rsidR="00B91B26" w:rsidRPr="00864976">
        <w:rPr>
          <w:rFonts w:asciiTheme="minorHAnsi" w:hAnsiTheme="minorHAnsi" w:cs="Arial"/>
          <w:bCs/>
          <w:snapToGrid w:val="0"/>
        </w:rPr>
        <w:t xml:space="preserve">. </w:t>
      </w:r>
    </w:p>
    <w:p w:rsidR="001A7E7A" w:rsidRPr="00864976" w:rsidRDefault="00B91B26" w:rsidP="001A7E7A">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Under Section 101(3BA) of the </w:t>
      </w:r>
      <w:r w:rsidRPr="00864976">
        <w:rPr>
          <w:rFonts w:asciiTheme="minorHAnsi" w:hAnsiTheme="minorHAnsi" w:cs="Arial"/>
          <w:bCs/>
          <w:i/>
          <w:snapToGrid w:val="0"/>
        </w:rPr>
        <w:t>National Health Act 1953</w:t>
      </w:r>
      <w:r w:rsidRPr="00864976">
        <w:rPr>
          <w:rFonts w:asciiTheme="minorHAnsi" w:hAnsiTheme="minorHAnsi" w:cs="Arial"/>
          <w:bCs/>
          <w:snapToGrid w:val="0"/>
        </w:rPr>
        <w:t xml:space="preserve">, </w:t>
      </w:r>
      <w:r w:rsidR="00857D0E" w:rsidRPr="00864976">
        <w:rPr>
          <w:rFonts w:asciiTheme="minorHAnsi" w:hAnsiTheme="minorHAnsi" w:cs="Arial"/>
          <w:bCs/>
          <w:snapToGrid w:val="0"/>
        </w:rPr>
        <w:t xml:space="preserve">the PBAC advised that </w:t>
      </w:r>
      <w:r w:rsidRPr="00864976">
        <w:rPr>
          <w:rFonts w:asciiTheme="minorHAnsi" w:hAnsiTheme="minorHAnsi" w:cs="Arial"/>
          <w:bCs/>
          <w:snapToGrid w:val="0"/>
        </w:rPr>
        <w:t xml:space="preserve">budesonide with </w:t>
      </w:r>
      <w:proofErr w:type="spellStart"/>
      <w:r w:rsidRPr="00864976">
        <w:rPr>
          <w:rFonts w:asciiTheme="minorHAnsi" w:hAnsiTheme="minorHAnsi" w:cs="Arial"/>
          <w:bCs/>
          <w:snapToGrid w:val="0"/>
        </w:rPr>
        <w:t>formoterol</w:t>
      </w:r>
      <w:proofErr w:type="spellEnd"/>
      <w:r w:rsidRPr="00864976">
        <w:rPr>
          <w:rFonts w:asciiTheme="minorHAnsi" w:hAnsiTheme="minorHAnsi" w:cs="Arial"/>
          <w:bCs/>
          <w:snapToGrid w:val="0"/>
        </w:rPr>
        <w:t xml:space="preserve"> should not be treated as interchangeable with any other drugs on an individual patient basis. </w:t>
      </w:r>
    </w:p>
    <w:p w:rsidR="001A7E7A" w:rsidRPr="00864976" w:rsidRDefault="001A7E7A" w:rsidP="001A7E7A">
      <w:pPr>
        <w:widowControl w:val="0"/>
        <w:numPr>
          <w:ilvl w:val="1"/>
          <w:numId w:val="1"/>
        </w:numPr>
        <w:spacing w:after="120"/>
        <w:jc w:val="both"/>
        <w:rPr>
          <w:rFonts w:asciiTheme="minorHAnsi" w:hAnsiTheme="minorHAnsi" w:cstheme="minorHAnsi"/>
          <w:bCs/>
          <w:snapToGrid w:val="0"/>
        </w:rPr>
      </w:pPr>
      <w:r w:rsidRPr="001F339C">
        <w:rPr>
          <w:rFonts w:asciiTheme="minorHAnsi" w:hAnsiTheme="minorHAnsi" w:cstheme="minorHAnsi"/>
        </w:rPr>
        <w:t xml:space="preserve">The PBAC noted that its recommendation was on a cost-minimisation basis and advised that, </w:t>
      </w:r>
      <w:r w:rsidR="00F2199C">
        <w:rPr>
          <w:rFonts w:asciiTheme="minorHAnsi" w:hAnsiTheme="minorHAnsi" w:cstheme="minorHAnsi"/>
        </w:rPr>
        <w:t xml:space="preserve">because </w:t>
      </w:r>
      <w:r w:rsidR="00F2199C" w:rsidRPr="00864976">
        <w:rPr>
          <w:rFonts w:asciiTheme="minorHAnsi" w:hAnsiTheme="minorHAnsi" w:cs="Arial"/>
          <w:bCs/>
          <w:snapToGrid w:val="0"/>
        </w:rPr>
        <w:t xml:space="preserve">budesonide with </w:t>
      </w:r>
      <w:proofErr w:type="spellStart"/>
      <w:r w:rsidR="00F2199C" w:rsidRPr="00864976">
        <w:rPr>
          <w:rFonts w:asciiTheme="minorHAnsi" w:hAnsiTheme="minorHAnsi" w:cs="Arial"/>
          <w:bCs/>
          <w:snapToGrid w:val="0"/>
        </w:rPr>
        <w:t>formoterol</w:t>
      </w:r>
      <w:proofErr w:type="spellEnd"/>
      <w:r w:rsidRPr="008922C6">
        <w:rPr>
          <w:rFonts w:asciiTheme="minorHAnsi" w:hAnsiTheme="minorHAnsi" w:cstheme="minorHAnsi"/>
        </w:rPr>
        <w:t xml:space="preserve"> is not expected to </w:t>
      </w:r>
      <w:r w:rsidR="00B97B8D" w:rsidRPr="008922C6">
        <w:rPr>
          <w:rFonts w:asciiTheme="minorHAnsi" w:hAnsiTheme="minorHAnsi" w:cstheme="minorHAnsi"/>
        </w:rPr>
        <w:t xml:space="preserve">provide a substantial and clinically relevant improvement in efficacy, or reduction of toxicity, over ICS+SABA, or </w:t>
      </w:r>
      <w:r w:rsidRPr="008922C6">
        <w:rPr>
          <w:rFonts w:asciiTheme="minorHAnsi" w:hAnsiTheme="minorHAnsi" w:cstheme="minorHAnsi"/>
        </w:rPr>
        <w:t xml:space="preserve">address a high and urgent unmet clinical need given the presence of an alternative therapy, the criteria prescribed by the </w:t>
      </w:r>
      <w:r w:rsidRPr="001F339C">
        <w:rPr>
          <w:rFonts w:asciiTheme="minorHAnsi" w:hAnsiTheme="minorHAnsi" w:cstheme="minorHAnsi"/>
          <w:i/>
        </w:rPr>
        <w:t xml:space="preserve">National Health (Pharmaceuticals and Vaccines – Cost Recovery) Regulations 2009 </w:t>
      </w:r>
      <w:r w:rsidRPr="001F339C">
        <w:rPr>
          <w:rFonts w:asciiTheme="minorHAnsi" w:hAnsiTheme="minorHAnsi" w:cstheme="minorHAnsi"/>
        </w:rPr>
        <w:t>for Pricing Pathway A were not met.</w:t>
      </w:r>
    </w:p>
    <w:p w:rsidR="00CA4184" w:rsidRPr="00864976" w:rsidRDefault="00CA4184" w:rsidP="002104AB">
      <w:pPr>
        <w:widowControl w:val="0"/>
        <w:numPr>
          <w:ilvl w:val="1"/>
          <w:numId w:val="1"/>
        </w:numPr>
        <w:spacing w:after="120"/>
        <w:jc w:val="both"/>
        <w:rPr>
          <w:rFonts w:asciiTheme="minorHAnsi" w:hAnsiTheme="minorHAnsi" w:cs="Arial"/>
          <w:bCs/>
          <w:snapToGrid w:val="0"/>
        </w:rPr>
      </w:pPr>
      <w:r w:rsidRPr="00864976">
        <w:rPr>
          <w:rFonts w:asciiTheme="minorHAnsi" w:hAnsiTheme="minorHAnsi" w:cs="Arial"/>
          <w:bCs/>
          <w:snapToGrid w:val="0"/>
        </w:rPr>
        <w:t xml:space="preserve">The PBAC advised that this submission would not meet the criteria for an Independent Review as it received a positive recommendation. </w:t>
      </w:r>
    </w:p>
    <w:p w:rsidR="002104AB" w:rsidRPr="00864976" w:rsidRDefault="002104AB" w:rsidP="002104AB">
      <w:pPr>
        <w:spacing w:before="240"/>
        <w:jc w:val="both"/>
        <w:rPr>
          <w:rFonts w:asciiTheme="minorHAnsi" w:hAnsiTheme="minorHAnsi" w:cs="Arial"/>
          <w:b/>
          <w:bCs/>
          <w:snapToGrid w:val="0"/>
        </w:rPr>
      </w:pPr>
      <w:r w:rsidRPr="00864976">
        <w:rPr>
          <w:rFonts w:asciiTheme="minorHAnsi" w:hAnsiTheme="minorHAnsi" w:cs="Arial"/>
          <w:b/>
          <w:bCs/>
          <w:snapToGrid w:val="0"/>
        </w:rPr>
        <w:t>Outcome:</w:t>
      </w:r>
    </w:p>
    <w:p w:rsidR="002104AB" w:rsidRPr="00864976" w:rsidRDefault="00177488" w:rsidP="002104AB">
      <w:pPr>
        <w:jc w:val="both"/>
        <w:rPr>
          <w:rFonts w:asciiTheme="minorHAnsi" w:hAnsiTheme="minorHAnsi" w:cs="Arial"/>
          <w:bCs/>
          <w:snapToGrid w:val="0"/>
        </w:rPr>
      </w:pPr>
      <w:r w:rsidRPr="00864976">
        <w:rPr>
          <w:rFonts w:asciiTheme="minorHAnsi" w:hAnsiTheme="minorHAnsi" w:cs="Arial"/>
          <w:bCs/>
          <w:snapToGrid w:val="0"/>
        </w:rPr>
        <w:t>Recommended</w:t>
      </w:r>
    </w:p>
    <w:p w:rsidR="00177488" w:rsidRPr="001F339C" w:rsidRDefault="00177488" w:rsidP="002104AB">
      <w:pPr>
        <w:widowControl w:val="0"/>
        <w:jc w:val="both"/>
        <w:rPr>
          <w:rFonts w:asciiTheme="minorHAnsi" w:hAnsiTheme="minorHAnsi" w:cs="Arial"/>
          <w:b/>
          <w:bCs/>
          <w:snapToGrid w:val="0"/>
        </w:rPr>
      </w:pPr>
    </w:p>
    <w:p w:rsidR="002104AB" w:rsidRPr="001F339C" w:rsidRDefault="002104AB" w:rsidP="00A76EAC">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1F339C">
        <w:rPr>
          <w:rFonts w:asciiTheme="minorHAnsi" w:hAnsiTheme="minorHAnsi"/>
          <w:sz w:val="32"/>
          <w:szCs w:val="32"/>
        </w:rPr>
        <w:t>Recommended listing</w:t>
      </w:r>
    </w:p>
    <w:p w:rsidR="000509B0" w:rsidRPr="000509B0" w:rsidRDefault="00177488" w:rsidP="000509B0">
      <w:pPr>
        <w:widowControl w:val="0"/>
        <w:numPr>
          <w:ilvl w:val="1"/>
          <w:numId w:val="1"/>
        </w:numPr>
        <w:spacing w:after="240"/>
        <w:jc w:val="both"/>
        <w:rPr>
          <w:rFonts w:asciiTheme="minorHAnsi" w:hAnsiTheme="minorHAnsi" w:cs="Arial"/>
          <w:b/>
          <w:bCs/>
          <w:snapToGrid w:val="0"/>
        </w:rPr>
      </w:pPr>
      <w:r w:rsidRPr="008922C6">
        <w:rPr>
          <w:rFonts w:asciiTheme="minorHAnsi" w:hAnsiTheme="minorHAnsi" w:cs="Arial"/>
          <w:bCs/>
          <w:snapToGrid w:val="0"/>
        </w:rPr>
        <w:t>Add new item:</w:t>
      </w:r>
    </w:p>
    <w:tbl>
      <w:tblPr>
        <w:tblW w:w="9498" w:type="dxa"/>
        <w:tblBorders>
          <w:top w:val="single" w:sz="4" w:space="0" w:color="auto"/>
          <w:bottom w:val="single" w:sz="4" w:space="0" w:color="auto"/>
          <w:insideH w:val="single" w:sz="4" w:space="0" w:color="auto"/>
        </w:tblBorders>
        <w:tblLook w:val="04A0" w:firstRow="1" w:lastRow="0" w:firstColumn="1" w:lastColumn="0" w:noHBand="0" w:noVBand="1"/>
      </w:tblPr>
      <w:tblGrid>
        <w:gridCol w:w="3686"/>
        <w:gridCol w:w="992"/>
        <w:gridCol w:w="850"/>
        <w:gridCol w:w="817"/>
        <w:gridCol w:w="742"/>
        <w:gridCol w:w="2411"/>
      </w:tblGrid>
      <w:tr w:rsidR="00E51804" w:rsidTr="00E51804">
        <w:tc>
          <w:tcPr>
            <w:tcW w:w="3686" w:type="dxa"/>
            <w:tcBorders>
              <w:top w:val="nil"/>
              <w:left w:val="nil"/>
              <w:bottom w:val="single" w:sz="4" w:space="0" w:color="auto"/>
              <w:right w:val="nil"/>
            </w:tcBorders>
            <w:hideMark/>
          </w:tcPr>
          <w:p w:rsidR="00E51804" w:rsidRDefault="00E51804">
            <w:pPr>
              <w:pStyle w:val="Tabletext"/>
              <w:spacing w:after="0"/>
              <w:rPr>
                <w:rFonts w:ascii="Arial Narrow" w:hAnsi="Arial Narrow"/>
                <w:b/>
                <w:bCs/>
                <w:sz w:val="18"/>
                <w:szCs w:val="18"/>
              </w:rPr>
            </w:pPr>
            <w:r>
              <w:rPr>
                <w:rFonts w:ascii="Arial Narrow" w:hAnsi="Arial Narrow"/>
                <w:b/>
                <w:sz w:val="18"/>
                <w:szCs w:val="18"/>
              </w:rPr>
              <w:t>Name, Restriction,</w:t>
            </w:r>
            <w:r>
              <w:rPr>
                <w:rFonts w:ascii="Arial Narrow" w:hAnsi="Arial Narrow"/>
                <w:b/>
                <w:sz w:val="18"/>
                <w:szCs w:val="18"/>
              </w:rPr>
              <w:br/>
              <w:t>Manner of administration and form</w:t>
            </w:r>
          </w:p>
        </w:tc>
        <w:tc>
          <w:tcPr>
            <w:tcW w:w="992" w:type="dxa"/>
            <w:tcBorders>
              <w:top w:val="nil"/>
              <w:left w:val="nil"/>
              <w:bottom w:val="single" w:sz="4" w:space="0" w:color="auto"/>
              <w:right w:val="nil"/>
            </w:tcBorders>
            <w:hideMark/>
          </w:tcPr>
          <w:p w:rsidR="00E51804" w:rsidRDefault="00E51804">
            <w:pPr>
              <w:pStyle w:val="Tabletext"/>
              <w:spacing w:after="0"/>
              <w:jc w:val="center"/>
              <w:rPr>
                <w:rFonts w:ascii="Arial Narrow" w:hAnsi="Arial Narrow"/>
                <w:b/>
                <w:sz w:val="18"/>
                <w:szCs w:val="18"/>
              </w:rPr>
            </w:pPr>
            <w:r>
              <w:rPr>
                <w:rFonts w:ascii="Arial Narrow" w:hAnsi="Arial Narrow"/>
                <w:b/>
                <w:sz w:val="18"/>
                <w:szCs w:val="18"/>
              </w:rPr>
              <w:t>PBS item code</w:t>
            </w:r>
          </w:p>
        </w:tc>
        <w:tc>
          <w:tcPr>
            <w:tcW w:w="850" w:type="dxa"/>
            <w:tcBorders>
              <w:top w:val="nil"/>
              <w:left w:val="nil"/>
              <w:bottom w:val="single" w:sz="4" w:space="0" w:color="auto"/>
              <w:right w:val="nil"/>
            </w:tcBorders>
            <w:hideMark/>
          </w:tcPr>
          <w:p w:rsidR="00E51804" w:rsidRDefault="00E51804">
            <w:pPr>
              <w:pStyle w:val="Tabletext"/>
              <w:spacing w:after="0"/>
              <w:jc w:val="center"/>
              <w:rPr>
                <w:rFonts w:ascii="Arial Narrow" w:hAnsi="Arial Narrow"/>
                <w:b/>
                <w:bCs/>
                <w:sz w:val="18"/>
                <w:szCs w:val="18"/>
              </w:rPr>
            </w:pPr>
            <w:r>
              <w:rPr>
                <w:rFonts w:ascii="Arial Narrow" w:hAnsi="Arial Narrow"/>
                <w:b/>
                <w:sz w:val="18"/>
                <w:szCs w:val="18"/>
              </w:rPr>
              <w:t xml:space="preserve">Max. </w:t>
            </w:r>
            <w:proofErr w:type="spellStart"/>
            <w:r>
              <w:rPr>
                <w:rFonts w:ascii="Arial Narrow" w:hAnsi="Arial Narrow"/>
                <w:b/>
                <w:sz w:val="18"/>
                <w:szCs w:val="18"/>
              </w:rPr>
              <w:t>qty</w:t>
            </w:r>
            <w:proofErr w:type="spellEnd"/>
            <w:r>
              <w:rPr>
                <w:rFonts w:ascii="Arial Narrow" w:hAnsi="Arial Narrow"/>
                <w:b/>
                <w:sz w:val="18"/>
                <w:szCs w:val="18"/>
              </w:rPr>
              <w:t xml:space="preserve"> packs</w:t>
            </w:r>
          </w:p>
        </w:tc>
        <w:tc>
          <w:tcPr>
            <w:tcW w:w="817" w:type="dxa"/>
            <w:tcBorders>
              <w:top w:val="nil"/>
              <w:left w:val="nil"/>
              <w:bottom w:val="single" w:sz="4" w:space="0" w:color="auto"/>
              <w:right w:val="nil"/>
            </w:tcBorders>
            <w:hideMark/>
          </w:tcPr>
          <w:p w:rsidR="00E51804" w:rsidRDefault="00E51804">
            <w:pPr>
              <w:pStyle w:val="Tabletext"/>
              <w:spacing w:after="0"/>
              <w:rPr>
                <w:rFonts w:ascii="Arial Narrow" w:hAnsi="Arial Narrow"/>
                <w:b/>
                <w:sz w:val="18"/>
                <w:szCs w:val="18"/>
              </w:rPr>
            </w:pPr>
            <w:r>
              <w:rPr>
                <w:rFonts w:ascii="Arial Narrow" w:hAnsi="Arial Narrow"/>
                <w:b/>
                <w:sz w:val="18"/>
                <w:szCs w:val="18"/>
              </w:rPr>
              <w:t xml:space="preserve">Max. </w:t>
            </w:r>
            <w:proofErr w:type="spellStart"/>
            <w:r>
              <w:rPr>
                <w:rFonts w:ascii="Arial Narrow" w:hAnsi="Arial Narrow"/>
                <w:b/>
                <w:sz w:val="18"/>
                <w:szCs w:val="18"/>
              </w:rPr>
              <w:t>qty</w:t>
            </w:r>
            <w:proofErr w:type="spellEnd"/>
            <w:r>
              <w:rPr>
                <w:rFonts w:ascii="Arial Narrow" w:hAnsi="Arial Narrow"/>
                <w:b/>
                <w:sz w:val="18"/>
                <w:szCs w:val="18"/>
              </w:rPr>
              <w:t xml:space="preserve"> units</w:t>
            </w:r>
          </w:p>
        </w:tc>
        <w:tc>
          <w:tcPr>
            <w:tcW w:w="742" w:type="dxa"/>
            <w:tcBorders>
              <w:top w:val="nil"/>
              <w:left w:val="nil"/>
              <w:bottom w:val="single" w:sz="4" w:space="0" w:color="auto"/>
              <w:right w:val="nil"/>
            </w:tcBorders>
            <w:hideMark/>
          </w:tcPr>
          <w:p w:rsidR="00E51804" w:rsidRDefault="00E51804">
            <w:pPr>
              <w:pStyle w:val="Tabletext"/>
              <w:spacing w:after="0"/>
              <w:rPr>
                <w:rFonts w:ascii="Arial Narrow" w:hAnsi="Arial Narrow"/>
                <w:b/>
                <w:bCs/>
                <w:sz w:val="18"/>
                <w:szCs w:val="18"/>
              </w:rPr>
            </w:pPr>
            <w:r>
              <w:rPr>
                <w:rFonts w:ascii="Arial Narrow" w:hAnsi="Arial Narrow"/>
                <w:b/>
                <w:sz w:val="18"/>
                <w:szCs w:val="18"/>
              </w:rPr>
              <w:t>No. of repeats</w:t>
            </w:r>
          </w:p>
        </w:tc>
        <w:tc>
          <w:tcPr>
            <w:tcW w:w="2411" w:type="dxa"/>
            <w:tcBorders>
              <w:top w:val="nil"/>
              <w:left w:val="nil"/>
              <w:bottom w:val="single" w:sz="4" w:space="0" w:color="auto"/>
              <w:right w:val="nil"/>
            </w:tcBorders>
            <w:hideMark/>
          </w:tcPr>
          <w:p w:rsidR="00E51804" w:rsidRDefault="00E51804">
            <w:pPr>
              <w:pStyle w:val="Tabletext"/>
              <w:spacing w:after="0"/>
              <w:rPr>
                <w:rFonts w:ascii="Arial Narrow" w:hAnsi="Arial Narrow"/>
                <w:b/>
                <w:bCs/>
                <w:sz w:val="18"/>
                <w:szCs w:val="18"/>
              </w:rPr>
            </w:pPr>
            <w:r>
              <w:rPr>
                <w:rFonts w:ascii="Arial Narrow" w:hAnsi="Arial Narrow"/>
                <w:b/>
                <w:sz w:val="18"/>
                <w:szCs w:val="18"/>
              </w:rPr>
              <w:t>Proprietary Name and Manufacturer</w:t>
            </w:r>
          </w:p>
        </w:tc>
      </w:tr>
      <w:tr w:rsidR="00E51804" w:rsidTr="00E51804">
        <w:tc>
          <w:tcPr>
            <w:tcW w:w="3686" w:type="dxa"/>
            <w:tcBorders>
              <w:top w:val="single" w:sz="4" w:space="0" w:color="auto"/>
              <w:left w:val="nil"/>
              <w:bottom w:val="nil"/>
              <w:right w:val="nil"/>
            </w:tcBorders>
            <w:hideMark/>
          </w:tcPr>
          <w:p w:rsidR="00E51804" w:rsidRDefault="00E51804">
            <w:pPr>
              <w:pStyle w:val="Tabletext"/>
              <w:spacing w:after="0"/>
              <w:rPr>
                <w:rFonts w:ascii="Arial Narrow" w:hAnsi="Arial Narrow"/>
                <w:color w:val="000000"/>
                <w:sz w:val="18"/>
                <w:szCs w:val="18"/>
              </w:rPr>
            </w:pPr>
            <w:r>
              <w:rPr>
                <w:rFonts w:ascii="Arial Narrow" w:hAnsi="Arial Narrow"/>
                <w:color w:val="000000"/>
                <w:sz w:val="18"/>
                <w:szCs w:val="18"/>
              </w:rPr>
              <w:t>BUDESONIDE + FORMOTEROL (EFORMOTEROL)</w:t>
            </w:r>
          </w:p>
          <w:p w:rsidR="00E51804" w:rsidRDefault="00E51804">
            <w:pPr>
              <w:rPr>
                <w:rFonts w:ascii="Arial Narrow" w:hAnsi="Arial Narrow"/>
                <w:b/>
                <w:bCs/>
                <w:sz w:val="18"/>
                <w:szCs w:val="18"/>
              </w:rPr>
            </w:pPr>
            <w:r>
              <w:rPr>
                <w:rFonts w:ascii="Arial Narrow" w:hAnsi="Arial Narrow"/>
                <w:color w:val="000000"/>
                <w:sz w:val="18"/>
                <w:szCs w:val="18"/>
              </w:rPr>
              <w:br/>
            </w:r>
            <w:r>
              <w:rPr>
                <w:rStyle w:val="form-strength"/>
                <w:rFonts w:ascii="Arial Narrow" w:hAnsi="Arial Narrow"/>
                <w:color w:val="000000"/>
                <w:sz w:val="18"/>
                <w:szCs w:val="18"/>
              </w:rPr>
              <w:t xml:space="preserve">budesonide 100 microgram/actuation + </w:t>
            </w:r>
            <w:proofErr w:type="spellStart"/>
            <w:r>
              <w:rPr>
                <w:rStyle w:val="form-strength"/>
                <w:rFonts w:ascii="Arial Narrow" w:hAnsi="Arial Narrow"/>
                <w:color w:val="000000"/>
                <w:sz w:val="18"/>
                <w:szCs w:val="18"/>
              </w:rPr>
              <w:t>formoterol</w:t>
            </w:r>
            <w:proofErr w:type="spellEnd"/>
            <w:r>
              <w:rPr>
                <w:rStyle w:val="form-strength"/>
                <w:rFonts w:ascii="Arial Narrow" w:hAnsi="Arial Narrow"/>
                <w:color w:val="000000"/>
                <w:sz w:val="18"/>
                <w:szCs w:val="18"/>
              </w:rPr>
              <w:t xml:space="preserve"> (</w:t>
            </w:r>
            <w:proofErr w:type="spellStart"/>
            <w:r>
              <w:rPr>
                <w:rStyle w:val="form-strength"/>
                <w:rFonts w:ascii="Arial Narrow" w:hAnsi="Arial Narrow"/>
                <w:color w:val="000000"/>
                <w:sz w:val="18"/>
                <w:szCs w:val="18"/>
              </w:rPr>
              <w:t>eformoterol</w:t>
            </w:r>
            <w:proofErr w:type="spellEnd"/>
            <w:r>
              <w:rPr>
                <w:rStyle w:val="form-strength"/>
                <w:rFonts w:ascii="Arial Narrow" w:hAnsi="Arial Narrow"/>
                <w:color w:val="000000"/>
                <w:sz w:val="18"/>
                <w:szCs w:val="18"/>
              </w:rPr>
              <w:t xml:space="preserve">) fumarate </w:t>
            </w:r>
            <w:proofErr w:type="spellStart"/>
            <w:r>
              <w:rPr>
                <w:rStyle w:val="form-strength"/>
                <w:rFonts w:ascii="Arial Narrow" w:hAnsi="Arial Narrow"/>
                <w:color w:val="000000"/>
                <w:sz w:val="18"/>
                <w:szCs w:val="18"/>
              </w:rPr>
              <w:t>dihydrate</w:t>
            </w:r>
            <w:proofErr w:type="spellEnd"/>
            <w:r>
              <w:rPr>
                <w:rStyle w:val="form-strength"/>
                <w:rFonts w:ascii="Arial Narrow" w:hAnsi="Arial Narrow"/>
                <w:color w:val="000000"/>
                <w:sz w:val="18"/>
                <w:szCs w:val="18"/>
              </w:rPr>
              <w:t xml:space="preserve"> 3 microgram/actuation inhalation, 120 actuations</w:t>
            </w:r>
          </w:p>
        </w:tc>
        <w:tc>
          <w:tcPr>
            <w:tcW w:w="992" w:type="dxa"/>
            <w:tcBorders>
              <w:top w:val="single" w:sz="4" w:space="0" w:color="auto"/>
              <w:left w:val="nil"/>
              <w:bottom w:val="nil"/>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[new]</w:t>
            </w:r>
          </w:p>
        </w:tc>
        <w:tc>
          <w:tcPr>
            <w:tcW w:w="850" w:type="dxa"/>
            <w:tcBorders>
              <w:top w:val="single" w:sz="4" w:space="0" w:color="auto"/>
              <w:left w:val="nil"/>
              <w:bottom w:val="nil"/>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2</w:t>
            </w:r>
          </w:p>
        </w:tc>
        <w:tc>
          <w:tcPr>
            <w:tcW w:w="817" w:type="dxa"/>
            <w:tcBorders>
              <w:top w:val="single" w:sz="4" w:space="0" w:color="auto"/>
              <w:left w:val="nil"/>
              <w:bottom w:val="nil"/>
              <w:right w:val="nil"/>
            </w:tcBorders>
          </w:tcPr>
          <w:p w:rsidR="00E51804" w:rsidRDefault="00E51804">
            <w:pPr>
              <w:pStyle w:val="Tabletext"/>
              <w:spacing w:after="0"/>
              <w:jc w:val="center"/>
              <w:rPr>
                <w:rFonts w:ascii="Arial Narrow" w:hAnsi="Arial Narrow"/>
                <w:sz w:val="18"/>
                <w:szCs w:val="18"/>
              </w:rPr>
            </w:pPr>
          </w:p>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2</w:t>
            </w:r>
          </w:p>
        </w:tc>
        <w:tc>
          <w:tcPr>
            <w:tcW w:w="742" w:type="dxa"/>
            <w:tcBorders>
              <w:top w:val="single" w:sz="4" w:space="0" w:color="auto"/>
              <w:left w:val="nil"/>
              <w:bottom w:val="nil"/>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2</w:t>
            </w:r>
          </w:p>
        </w:tc>
        <w:tc>
          <w:tcPr>
            <w:tcW w:w="2411" w:type="dxa"/>
            <w:tcBorders>
              <w:top w:val="single" w:sz="4" w:space="0" w:color="auto"/>
              <w:left w:val="nil"/>
              <w:bottom w:val="nil"/>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rPr>
                <w:rFonts w:ascii="Arial Narrow" w:hAnsi="Arial Narrow"/>
                <w:i/>
                <w:sz w:val="18"/>
                <w:szCs w:val="18"/>
              </w:rPr>
            </w:pPr>
          </w:p>
          <w:p w:rsidR="00E51804" w:rsidRDefault="00E51804">
            <w:pPr>
              <w:pStyle w:val="Tabletext"/>
              <w:spacing w:after="0"/>
              <w:rPr>
                <w:rFonts w:ascii="Arial Narrow" w:hAnsi="Arial Narrow"/>
                <w:sz w:val="18"/>
                <w:szCs w:val="18"/>
              </w:rPr>
            </w:pPr>
            <w:proofErr w:type="spellStart"/>
            <w:r>
              <w:rPr>
                <w:rFonts w:ascii="Arial Narrow" w:hAnsi="Arial Narrow"/>
                <w:sz w:val="18"/>
                <w:szCs w:val="18"/>
              </w:rPr>
              <w:t>Symbicort</w:t>
            </w:r>
            <w:proofErr w:type="spellEnd"/>
            <w:r>
              <w:rPr>
                <w:rFonts w:ascii="Arial Narrow" w:hAnsi="Arial Narrow"/>
                <w:sz w:val="18"/>
                <w:szCs w:val="18"/>
              </w:rPr>
              <w:t xml:space="preserve"> </w:t>
            </w:r>
            <w:proofErr w:type="spellStart"/>
            <w:r>
              <w:rPr>
                <w:rFonts w:ascii="Arial Narrow" w:hAnsi="Arial Narrow"/>
                <w:sz w:val="18"/>
                <w:szCs w:val="18"/>
              </w:rPr>
              <w:t>Rapihaler</w:t>
            </w:r>
            <w:proofErr w:type="spellEnd"/>
            <w:r>
              <w:rPr>
                <w:rFonts w:ascii="Arial Narrow" w:hAnsi="Arial Narrow"/>
                <w:sz w:val="18"/>
                <w:szCs w:val="18"/>
              </w:rPr>
              <w:t xml:space="preserve"> 100/3</w:t>
            </w:r>
          </w:p>
          <w:p w:rsidR="00E51804" w:rsidRDefault="00E51804">
            <w:pPr>
              <w:pStyle w:val="Tabletext"/>
              <w:spacing w:after="0"/>
              <w:rPr>
                <w:rFonts w:ascii="Arial Narrow" w:hAnsi="Arial Narrow"/>
                <w:i/>
                <w:sz w:val="18"/>
                <w:szCs w:val="18"/>
              </w:rPr>
            </w:pPr>
            <w:r>
              <w:rPr>
                <w:rFonts w:ascii="Arial Narrow" w:hAnsi="Arial Narrow"/>
                <w:sz w:val="18"/>
                <w:szCs w:val="18"/>
              </w:rPr>
              <w:t>AstraZeneca Pty Ltd</w:t>
            </w:r>
          </w:p>
        </w:tc>
      </w:tr>
      <w:tr w:rsidR="00E51804" w:rsidTr="00E51804">
        <w:tc>
          <w:tcPr>
            <w:tcW w:w="3686" w:type="dxa"/>
            <w:tcBorders>
              <w:top w:val="single" w:sz="4" w:space="0" w:color="auto"/>
              <w:left w:val="nil"/>
              <w:bottom w:val="single" w:sz="4" w:space="0" w:color="auto"/>
              <w:right w:val="nil"/>
            </w:tcBorders>
            <w:hideMark/>
          </w:tcPr>
          <w:p w:rsidR="00E51804" w:rsidRDefault="00E51804">
            <w:pPr>
              <w:pStyle w:val="Tabletext"/>
              <w:spacing w:after="0"/>
              <w:rPr>
                <w:rFonts w:ascii="Arial Narrow" w:hAnsi="Arial Narrow"/>
                <w:color w:val="000000"/>
                <w:sz w:val="18"/>
                <w:szCs w:val="18"/>
              </w:rPr>
            </w:pPr>
            <w:r>
              <w:rPr>
                <w:rFonts w:ascii="Arial Narrow" w:hAnsi="Arial Narrow"/>
                <w:color w:val="000000"/>
                <w:sz w:val="18"/>
                <w:szCs w:val="18"/>
              </w:rPr>
              <w:br/>
            </w:r>
            <w:r>
              <w:rPr>
                <w:rStyle w:val="form-strength"/>
                <w:rFonts w:ascii="Arial Narrow" w:hAnsi="Arial Narrow"/>
                <w:color w:val="000000"/>
                <w:sz w:val="18"/>
                <w:szCs w:val="18"/>
              </w:rPr>
              <w:t xml:space="preserve">budesonide 200 microgram/actuation + </w:t>
            </w:r>
            <w:proofErr w:type="spellStart"/>
            <w:r>
              <w:rPr>
                <w:rStyle w:val="form-strength"/>
                <w:rFonts w:ascii="Arial Narrow" w:hAnsi="Arial Narrow"/>
                <w:color w:val="000000"/>
                <w:sz w:val="18"/>
                <w:szCs w:val="18"/>
              </w:rPr>
              <w:t>formoterol</w:t>
            </w:r>
            <w:proofErr w:type="spellEnd"/>
            <w:r>
              <w:rPr>
                <w:rStyle w:val="form-strength"/>
                <w:rFonts w:ascii="Arial Narrow" w:hAnsi="Arial Narrow"/>
                <w:color w:val="000000"/>
                <w:sz w:val="18"/>
                <w:szCs w:val="18"/>
              </w:rPr>
              <w:t xml:space="preserve"> (</w:t>
            </w:r>
            <w:proofErr w:type="spellStart"/>
            <w:r>
              <w:rPr>
                <w:rStyle w:val="form-strength"/>
                <w:rFonts w:ascii="Arial Narrow" w:hAnsi="Arial Narrow"/>
                <w:color w:val="000000"/>
                <w:sz w:val="18"/>
                <w:szCs w:val="18"/>
              </w:rPr>
              <w:t>eformoterol</w:t>
            </w:r>
            <w:proofErr w:type="spellEnd"/>
            <w:r>
              <w:rPr>
                <w:rStyle w:val="form-strength"/>
                <w:rFonts w:ascii="Arial Narrow" w:hAnsi="Arial Narrow"/>
                <w:color w:val="000000"/>
                <w:sz w:val="18"/>
                <w:szCs w:val="18"/>
              </w:rPr>
              <w:t xml:space="preserve">) fumarate </w:t>
            </w:r>
            <w:proofErr w:type="spellStart"/>
            <w:r>
              <w:rPr>
                <w:rStyle w:val="form-strength"/>
                <w:rFonts w:ascii="Arial Narrow" w:hAnsi="Arial Narrow"/>
                <w:color w:val="000000"/>
                <w:sz w:val="18"/>
                <w:szCs w:val="18"/>
              </w:rPr>
              <w:t>dihydrate</w:t>
            </w:r>
            <w:proofErr w:type="spellEnd"/>
            <w:r>
              <w:rPr>
                <w:rStyle w:val="form-strength"/>
                <w:rFonts w:ascii="Arial Narrow" w:hAnsi="Arial Narrow"/>
                <w:color w:val="000000"/>
                <w:sz w:val="18"/>
                <w:szCs w:val="18"/>
              </w:rPr>
              <w:t xml:space="preserve"> 6 microgram/actuation powder for inhalation, 120 actuations</w:t>
            </w:r>
          </w:p>
        </w:tc>
        <w:tc>
          <w:tcPr>
            <w:tcW w:w="992" w:type="dxa"/>
            <w:tcBorders>
              <w:top w:val="single" w:sz="4" w:space="0" w:color="auto"/>
              <w:left w:val="nil"/>
              <w:bottom w:val="single" w:sz="4" w:space="0" w:color="auto"/>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[new]</w:t>
            </w:r>
          </w:p>
        </w:tc>
        <w:tc>
          <w:tcPr>
            <w:tcW w:w="850" w:type="dxa"/>
            <w:tcBorders>
              <w:top w:val="single" w:sz="4" w:space="0" w:color="auto"/>
              <w:left w:val="nil"/>
              <w:bottom w:val="single" w:sz="4" w:space="0" w:color="auto"/>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1</w:t>
            </w:r>
          </w:p>
        </w:tc>
        <w:tc>
          <w:tcPr>
            <w:tcW w:w="817" w:type="dxa"/>
            <w:tcBorders>
              <w:top w:val="single" w:sz="4" w:space="0" w:color="auto"/>
              <w:left w:val="nil"/>
              <w:bottom w:val="single" w:sz="4" w:space="0" w:color="auto"/>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1</w:t>
            </w:r>
          </w:p>
        </w:tc>
        <w:tc>
          <w:tcPr>
            <w:tcW w:w="742" w:type="dxa"/>
            <w:tcBorders>
              <w:top w:val="single" w:sz="4" w:space="0" w:color="auto"/>
              <w:left w:val="nil"/>
              <w:bottom w:val="single" w:sz="4" w:space="0" w:color="auto"/>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jc w:val="center"/>
              <w:rPr>
                <w:rFonts w:ascii="Arial Narrow" w:hAnsi="Arial Narrow"/>
                <w:sz w:val="18"/>
                <w:szCs w:val="18"/>
              </w:rPr>
            </w:pPr>
            <w:r>
              <w:rPr>
                <w:rFonts w:ascii="Arial Narrow" w:hAnsi="Arial Narrow"/>
                <w:sz w:val="18"/>
                <w:szCs w:val="18"/>
              </w:rPr>
              <w:t>2</w:t>
            </w:r>
          </w:p>
        </w:tc>
        <w:tc>
          <w:tcPr>
            <w:tcW w:w="2411" w:type="dxa"/>
            <w:tcBorders>
              <w:top w:val="single" w:sz="4" w:space="0" w:color="auto"/>
              <w:left w:val="nil"/>
              <w:bottom w:val="single" w:sz="4" w:space="0" w:color="auto"/>
              <w:right w:val="nil"/>
            </w:tcBorders>
          </w:tcPr>
          <w:p w:rsidR="00E51804" w:rsidRDefault="00E51804">
            <w:pPr>
              <w:pStyle w:val="Tabletext"/>
              <w:spacing w:after="0"/>
              <w:rPr>
                <w:rFonts w:ascii="Arial Narrow" w:hAnsi="Arial Narrow"/>
                <w:sz w:val="18"/>
                <w:szCs w:val="18"/>
              </w:rPr>
            </w:pPr>
          </w:p>
          <w:p w:rsidR="00E51804" w:rsidRDefault="00E51804">
            <w:pPr>
              <w:pStyle w:val="Tabletext"/>
              <w:spacing w:after="0"/>
              <w:rPr>
                <w:rFonts w:ascii="Arial Narrow" w:hAnsi="Arial Narrow"/>
                <w:sz w:val="18"/>
                <w:szCs w:val="18"/>
              </w:rPr>
            </w:pPr>
            <w:proofErr w:type="spellStart"/>
            <w:r>
              <w:rPr>
                <w:rFonts w:ascii="Arial Narrow" w:hAnsi="Arial Narrow"/>
                <w:sz w:val="18"/>
                <w:szCs w:val="18"/>
              </w:rPr>
              <w:t>Symbicort</w:t>
            </w:r>
            <w:proofErr w:type="spellEnd"/>
            <w:r>
              <w:rPr>
                <w:rFonts w:ascii="Arial Narrow" w:hAnsi="Arial Narrow"/>
                <w:sz w:val="18"/>
                <w:szCs w:val="18"/>
              </w:rPr>
              <w:t xml:space="preserve"> </w:t>
            </w:r>
            <w:proofErr w:type="spellStart"/>
            <w:r>
              <w:rPr>
                <w:rFonts w:ascii="Arial Narrow" w:hAnsi="Arial Narrow"/>
                <w:sz w:val="18"/>
                <w:szCs w:val="18"/>
              </w:rPr>
              <w:t>Turbuhaler</w:t>
            </w:r>
            <w:proofErr w:type="spellEnd"/>
            <w:r>
              <w:rPr>
                <w:rFonts w:ascii="Arial Narrow" w:hAnsi="Arial Narrow"/>
                <w:sz w:val="18"/>
                <w:szCs w:val="18"/>
              </w:rPr>
              <w:t xml:space="preserve"> 200/6</w:t>
            </w:r>
          </w:p>
          <w:p w:rsidR="00E51804" w:rsidRDefault="00E51804">
            <w:pPr>
              <w:pStyle w:val="Tabletext"/>
              <w:spacing w:after="0"/>
              <w:rPr>
                <w:rFonts w:ascii="Arial Narrow" w:hAnsi="Arial Narrow"/>
                <w:sz w:val="18"/>
                <w:szCs w:val="18"/>
              </w:rPr>
            </w:pPr>
            <w:r>
              <w:rPr>
                <w:rFonts w:ascii="Arial Narrow" w:hAnsi="Arial Narrow"/>
                <w:sz w:val="18"/>
                <w:szCs w:val="18"/>
              </w:rPr>
              <w:t>AstraZeneca Pty Ltd</w:t>
            </w:r>
          </w:p>
        </w:tc>
      </w:tr>
    </w:tbl>
    <w:p w:rsidR="00E51804" w:rsidRDefault="00E51804" w:rsidP="00E51804"/>
    <w:p w:rsidR="00E51804" w:rsidRDefault="00E51804" w:rsidP="00E51804">
      <w:pPr>
        <w:rPr>
          <w:rFonts w:ascii="Arial Narrow" w:hAnsi="Arial Narrow"/>
          <w:b/>
          <w:sz w:val="18"/>
          <w:szCs w:val="18"/>
        </w:rPr>
      </w:pPr>
      <w:r>
        <w:rPr>
          <w:rFonts w:ascii="Arial Narrow" w:hAnsi="Arial Narrow"/>
          <w:b/>
          <w:sz w:val="18"/>
          <w:szCs w:val="18"/>
        </w:rPr>
        <w:t>Restriction Summary [new] / Treatment of Concept: [new]</w:t>
      </w:r>
    </w:p>
    <w:p w:rsidR="00E51804" w:rsidRDefault="00E51804" w:rsidP="00E51804"/>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507"/>
      </w:tblGrid>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51804" w:rsidRDefault="00E51804">
            <w:pPr>
              <w:jc w:val="center"/>
              <w:rPr>
                <w:rFonts w:ascii="Arial Narrow" w:hAnsi="Arial Narrow"/>
                <w:b/>
                <w:sz w:val="20"/>
                <w:szCs w:val="22"/>
              </w:rPr>
            </w:pPr>
            <w:r>
              <w:rPr>
                <w:rFonts w:ascii="Arial Narrow" w:hAnsi="Arial Narrow"/>
                <w:b/>
                <w:sz w:val="20"/>
                <w:szCs w:val="22"/>
              </w:rPr>
              <w:t>Concept ID</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51804" w:rsidRDefault="00E51804">
            <w:pPr>
              <w:rPr>
                <w:rFonts w:ascii="Arial Narrow" w:hAnsi="Arial Narrow"/>
                <w:sz w:val="20"/>
                <w:szCs w:val="22"/>
              </w:rPr>
            </w:pPr>
            <w:r>
              <w:rPr>
                <w:rFonts w:ascii="Arial Narrow" w:hAnsi="Arial Narrow"/>
                <w:b/>
                <w:sz w:val="20"/>
                <w:szCs w:val="22"/>
              </w:rPr>
              <w:t xml:space="preserve">Category / Program: </w:t>
            </w:r>
            <w:r>
              <w:rPr>
                <w:rFonts w:ascii="Arial Narrow" w:hAnsi="Arial Narrow"/>
                <w:sz w:val="20"/>
                <w:szCs w:val="20"/>
                <w:lang w:eastAsia="en-US"/>
              </w:rPr>
              <w:t>GENERAL – General Schedule (Code GE)</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51804" w:rsidRDefault="00E51804">
            <w:pPr>
              <w:jc w:val="center"/>
              <w:rPr>
                <w:rFonts w:ascii="Arial Narrow" w:hAnsi="Arial Narrow"/>
                <w:b/>
                <w:sz w:val="20"/>
                <w:szCs w:val="22"/>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51804" w:rsidRDefault="00E51804" w:rsidP="00DF79FB">
            <w:pPr>
              <w:rPr>
                <w:rFonts w:ascii="Arial Narrow" w:hAnsi="Arial Narrow"/>
                <w:sz w:val="20"/>
                <w:szCs w:val="22"/>
              </w:rPr>
            </w:pPr>
            <w:r>
              <w:rPr>
                <w:rFonts w:ascii="Arial Narrow" w:hAnsi="Arial Narrow"/>
                <w:b/>
                <w:sz w:val="20"/>
                <w:szCs w:val="20"/>
                <w:lang w:eastAsia="en-US"/>
              </w:rPr>
              <w:t>Prescriber type:</w:t>
            </w:r>
            <w:r>
              <w:rPr>
                <w:rFonts w:ascii="Arial Narrow" w:hAnsi="Arial Narrow"/>
                <w:sz w:val="20"/>
                <w:szCs w:val="20"/>
                <w:lang w:eastAsia="en-US"/>
              </w:rPr>
              <w:t xml:space="preserve"> </w:t>
            </w:r>
            <w:r>
              <w:rPr>
                <w:rFonts w:ascii="Arial Narrow" w:hAnsi="Arial Narrow"/>
                <w:sz w:val="20"/>
                <w:szCs w:val="20"/>
                <w:lang w:eastAsia="en-US"/>
              </w:rPr>
              <w:fldChar w:fldCharType="begin">
                <w:ffData>
                  <w:name w:val="Check1"/>
                  <w:enabled/>
                  <w:calcOnExit w:val="0"/>
                  <w:checkBox>
                    <w:sizeAuto/>
                    <w:default w:val="0"/>
                  </w:checkBox>
                </w:ffData>
              </w:fldChar>
            </w:r>
            <w:r>
              <w:rPr>
                <w:rFonts w:ascii="Arial Narrow" w:hAnsi="Arial Narrow"/>
                <w:sz w:val="20"/>
                <w:szCs w:val="20"/>
                <w:lang w:eastAsia="en-US"/>
              </w:rPr>
              <w:instrText xml:space="preserve"> FORMCHECKBOX </w:instrText>
            </w:r>
            <w:r w:rsidR="00DF79FB">
              <w:rPr>
                <w:rFonts w:ascii="Arial Narrow" w:hAnsi="Arial Narrow"/>
                <w:sz w:val="20"/>
                <w:szCs w:val="20"/>
                <w:lang w:eastAsia="en-US"/>
              </w:rPr>
            </w:r>
            <w:r w:rsidR="00DF79F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 xml:space="preserve">Dental </w:t>
            </w:r>
            <w:r>
              <w:rPr>
                <w:rFonts w:ascii="Arial Narrow" w:hAnsi="Arial Narrow"/>
                <w:sz w:val="20"/>
                <w:szCs w:val="20"/>
                <w:lang w:eastAsia="en-US"/>
              </w:rPr>
              <w:fldChar w:fldCharType="begin">
                <w:ffData>
                  <w:name w:val=""/>
                  <w:enabled/>
                  <w:calcOnExit w:val="0"/>
                  <w:checkBox>
                    <w:sizeAuto/>
                    <w:default w:val="1"/>
                  </w:checkBox>
                </w:ffData>
              </w:fldChar>
            </w:r>
            <w:r>
              <w:rPr>
                <w:rFonts w:ascii="Arial Narrow" w:hAnsi="Arial Narrow"/>
                <w:sz w:val="20"/>
                <w:szCs w:val="20"/>
                <w:lang w:eastAsia="en-US"/>
              </w:rPr>
              <w:instrText xml:space="preserve"> FORMCHECKBOX </w:instrText>
            </w:r>
            <w:r w:rsidR="00DF79FB">
              <w:rPr>
                <w:rFonts w:ascii="Arial Narrow" w:hAnsi="Arial Narrow"/>
                <w:sz w:val="20"/>
                <w:szCs w:val="20"/>
                <w:lang w:eastAsia="en-US"/>
              </w:rPr>
            </w:r>
            <w:r w:rsidR="00DF79F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 xml:space="preserve">Medical Practitioners </w:t>
            </w:r>
            <w:r>
              <w:rPr>
                <w:rFonts w:ascii="Arial Narrow" w:hAnsi="Arial Narrow"/>
                <w:sz w:val="20"/>
                <w:szCs w:val="20"/>
                <w:lang w:eastAsia="en-US"/>
              </w:rPr>
              <w:fldChar w:fldCharType="begin">
                <w:ffData>
                  <w:name w:val=""/>
                  <w:enabled/>
                  <w:calcOnExit w:val="0"/>
                  <w:checkBox>
                    <w:sizeAuto/>
                    <w:default w:val="1"/>
                  </w:checkBox>
                </w:ffData>
              </w:fldChar>
            </w:r>
            <w:r>
              <w:rPr>
                <w:rFonts w:ascii="Arial Narrow" w:hAnsi="Arial Narrow"/>
                <w:sz w:val="20"/>
                <w:szCs w:val="20"/>
                <w:lang w:eastAsia="en-US"/>
              </w:rPr>
              <w:instrText xml:space="preserve"> FORMCHECKBOX </w:instrText>
            </w:r>
            <w:r w:rsidR="00DF79FB">
              <w:rPr>
                <w:rFonts w:ascii="Arial Narrow" w:hAnsi="Arial Narrow"/>
                <w:sz w:val="20"/>
                <w:szCs w:val="20"/>
                <w:lang w:eastAsia="en-US"/>
              </w:rPr>
            </w:r>
            <w:r w:rsidR="00DF79F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 xml:space="preserve">Nurse practitioners  </w:t>
            </w:r>
            <w:r>
              <w:rPr>
                <w:rFonts w:ascii="Arial Narrow" w:hAnsi="Arial Narrow"/>
                <w:sz w:val="20"/>
                <w:szCs w:val="20"/>
                <w:lang w:eastAsia="en-US"/>
              </w:rPr>
              <w:fldChar w:fldCharType="begin">
                <w:ffData>
                  <w:name w:val=""/>
                  <w:enabled/>
                  <w:calcOnExit w:val="0"/>
                  <w:checkBox>
                    <w:sizeAuto/>
                    <w:default w:val="0"/>
                  </w:checkBox>
                </w:ffData>
              </w:fldChar>
            </w:r>
            <w:r>
              <w:rPr>
                <w:rFonts w:ascii="Arial Narrow" w:hAnsi="Arial Narrow"/>
                <w:sz w:val="20"/>
                <w:szCs w:val="20"/>
                <w:lang w:eastAsia="en-US"/>
              </w:rPr>
              <w:instrText xml:space="preserve"> FORMCHECKBOX </w:instrText>
            </w:r>
            <w:r w:rsidR="00DF79FB">
              <w:rPr>
                <w:rFonts w:ascii="Arial Narrow" w:hAnsi="Arial Narrow"/>
                <w:sz w:val="20"/>
                <w:szCs w:val="20"/>
                <w:lang w:eastAsia="en-US"/>
              </w:rPr>
            </w:r>
            <w:r w:rsidR="00DF79F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 xml:space="preserve">Optometrists  </w:t>
            </w:r>
            <w:r>
              <w:rPr>
                <w:rFonts w:ascii="Arial Narrow" w:hAnsi="Arial Narrow"/>
                <w:sz w:val="20"/>
                <w:szCs w:val="20"/>
                <w:lang w:eastAsia="en-US"/>
              </w:rPr>
              <w:fldChar w:fldCharType="begin">
                <w:ffData>
                  <w:name w:val="Check5"/>
                  <w:enabled/>
                  <w:calcOnExit w:val="0"/>
                  <w:checkBox>
                    <w:sizeAuto/>
                    <w:default w:val="0"/>
                  </w:checkBox>
                </w:ffData>
              </w:fldChar>
            </w:r>
            <w:r>
              <w:rPr>
                <w:rFonts w:ascii="Arial Narrow" w:hAnsi="Arial Narrow"/>
                <w:sz w:val="20"/>
                <w:szCs w:val="20"/>
                <w:lang w:eastAsia="en-US"/>
              </w:rPr>
              <w:instrText xml:space="preserve"> FORMCHECKBOX </w:instrText>
            </w:r>
            <w:r w:rsidR="00DF79FB">
              <w:rPr>
                <w:rFonts w:ascii="Arial Narrow" w:hAnsi="Arial Narrow"/>
                <w:sz w:val="20"/>
                <w:szCs w:val="20"/>
                <w:lang w:eastAsia="en-US"/>
              </w:rPr>
            </w:r>
            <w:r w:rsidR="00DF79F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Midwives</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51804" w:rsidRDefault="00E51804">
            <w:pPr>
              <w:jc w:val="center"/>
              <w:rPr>
                <w:rFonts w:ascii="Arial Narrow" w:hAnsi="Arial Narrow"/>
                <w:b/>
                <w:sz w:val="20"/>
                <w:szCs w:val="22"/>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51804" w:rsidRDefault="00E51804">
            <w:pPr>
              <w:rPr>
                <w:rFonts w:ascii="Arial Narrow" w:hAnsi="Arial Narrow"/>
                <w:sz w:val="20"/>
                <w:szCs w:val="20"/>
              </w:rPr>
            </w:pPr>
            <w:r>
              <w:rPr>
                <w:rFonts w:ascii="Arial Narrow" w:hAnsi="Arial Narrow"/>
                <w:b/>
                <w:sz w:val="20"/>
                <w:szCs w:val="20"/>
              </w:rPr>
              <w:t>Restriction Level / Method:</w:t>
            </w:r>
          </w:p>
          <w:p w:rsidR="00E51804" w:rsidRDefault="00E51804">
            <w:pPr>
              <w:rPr>
                <w:rFonts w:ascii="Arial Narrow" w:hAnsi="Arial Narrow"/>
                <w:sz w:val="20"/>
                <w:szCs w:val="20"/>
              </w:rPr>
            </w:pPr>
            <w:r>
              <w:rPr>
                <w:rFonts w:ascii="Arial Narrow" w:hAnsi="Arial Narrow"/>
                <w:sz w:val="20"/>
                <w:szCs w:val="20"/>
              </w:rPr>
              <w:lastRenderedPageBreak/>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DF79FB">
              <w:rPr>
                <w:rFonts w:ascii="Arial Narrow" w:hAnsi="Arial Narrow"/>
                <w:sz w:val="20"/>
                <w:szCs w:val="20"/>
              </w:rPr>
            </w:r>
            <w:r w:rsidR="00DF79FB">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E51804" w:rsidRDefault="00E51804">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DF79FB">
              <w:rPr>
                <w:rFonts w:ascii="Arial Narrow" w:hAnsi="Arial Narrow"/>
                <w:sz w:val="20"/>
                <w:szCs w:val="20"/>
              </w:rPr>
            </w:r>
            <w:r w:rsidR="00DF79FB">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E51804" w:rsidRDefault="00E51804">
            <w:pPr>
              <w:rPr>
                <w:rFonts w:ascii="Arial Narrow" w:hAnsi="Arial Narrow" w:cs="Arial"/>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DF79FB">
              <w:rPr>
                <w:rFonts w:ascii="Arial Narrow" w:hAnsi="Arial Narrow"/>
                <w:sz w:val="20"/>
                <w:szCs w:val="20"/>
              </w:rPr>
            </w:r>
            <w:r w:rsidR="00DF79FB">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cs="Arial"/>
                <w:sz w:val="20"/>
                <w:szCs w:val="20"/>
              </w:rPr>
              <w:t xml:space="preserve">Authority Required – Telephone/Electronic/Emergency </w:t>
            </w:r>
          </w:p>
          <w:p w:rsidR="00E51804" w:rsidRDefault="00E51804">
            <w:pPr>
              <w:rPr>
                <w:rFonts w:ascii="Arial Narrow" w:hAnsi="Arial Narrow"/>
                <w:sz w:val="20"/>
                <w:szCs w:val="22"/>
              </w:rPr>
            </w:pPr>
            <w:r>
              <w:rPr>
                <w:rFonts w:ascii="Arial Narrow" w:hAnsi="Arial Narrow"/>
                <w:sz w:val="20"/>
                <w:szCs w:val="20"/>
                <w:lang w:eastAsia="en-US"/>
              </w:rPr>
              <w:fldChar w:fldCharType="begin">
                <w:ffData>
                  <w:name w:val="Check5"/>
                  <w:enabled/>
                  <w:calcOnExit w:val="0"/>
                  <w:checkBox>
                    <w:sizeAuto/>
                    <w:default w:val="1"/>
                  </w:checkBox>
                </w:ffData>
              </w:fldChar>
            </w:r>
            <w:r>
              <w:rPr>
                <w:rFonts w:ascii="Arial Narrow" w:hAnsi="Arial Narrow"/>
                <w:sz w:val="20"/>
                <w:szCs w:val="20"/>
                <w:lang w:eastAsia="en-US"/>
              </w:rPr>
              <w:instrText xml:space="preserve"> FORMCHECKBOX </w:instrText>
            </w:r>
            <w:r w:rsidR="00DF79FB">
              <w:rPr>
                <w:rFonts w:ascii="Arial Narrow" w:hAnsi="Arial Narrow"/>
                <w:sz w:val="20"/>
                <w:szCs w:val="20"/>
                <w:lang w:eastAsia="en-US"/>
              </w:rPr>
            </w:r>
            <w:r w:rsidR="00DF79F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Streamlined</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1804" w:rsidRDefault="00E51804">
            <w:pPr>
              <w:jc w:val="cente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Cs/>
                <w:color w:val="333333"/>
                <w:sz w:val="18"/>
                <w:szCs w:val="18"/>
              </w:rPr>
            </w:pPr>
            <w:r>
              <w:rPr>
                <w:rFonts w:ascii="Arial Narrow" w:hAnsi="Arial Narrow"/>
                <w:b/>
                <w:bCs/>
                <w:color w:val="333333"/>
                <w:sz w:val="18"/>
                <w:szCs w:val="18"/>
              </w:rPr>
              <w:t xml:space="preserve">Episodicity: </w:t>
            </w:r>
            <w:r>
              <w:rPr>
                <w:rFonts w:ascii="Arial Narrow" w:hAnsi="Arial Narrow"/>
                <w:bCs/>
                <w:color w:val="333333"/>
                <w:sz w:val="18"/>
                <w:szCs w:val="18"/>
              </w:rPr>
              <w:t>nil</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1804" w:rsidRDefault="00E51804">
            <w:pPr>
              <w:jc w:val="cente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Cs/>
                <w:color w:val="333333"/>
                <w:sz w:val="18"/>
                <w:szCs w:val="18"/>
              </w:rPr>
            </w:pPr>
            <w:r>
              <w:rPr>
                <w:rFonts w:ascii="Arial Narrow" w:hAnsi="Arial Narrow"/>
                <w:b/>
                <w:bCs/>
                <w:color w:val="333333"/>
                <w:sz w:val="18"/>
                <w:szCs w:val="18"/>
              </w:rPr>
              <w:t xml:space="preserve">Severity: </w:t>
            </w:r>
            <w:r>
              <w:rPr>
                <w:rFonts w:ascii="Arial Narrow" w:hAnsi="Arial Narrow"/>
                <w:bCs/>
                <w:color w:val="333333"/>
                <w:sz w:val="18"/>
                <w:szCs w:val="18"/>
              </w:rPr>
              <w:t>Mild</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1804" w:rsidRDefault="00E51804">
            <w:pPr>
              <w:jc w:val="cente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Cs/>
                <w:color w:val="333333"/>
                <w:sz w:val="18"/>
                <w:szCs w:val="18"/>
              </w:rPr>
            </w:pPr>
            <w:r>
              <w:rPr>
                <w:rFonts w:ascii="Arial Narrow" w:hAnsi="Arial Narrow"/>
                <w:b/>
                <w:bCs/>
                <w:color w:val="333333"/>
                <w:sz w:val="18"/>
                <w:szCs w:val="18"/>
              </w:rPr>
              <w:t>Condition:</w:t>
            </w:r>
            <w:r>
              <w:rPr>
                <w:rFonts w:ascii="Arial Narrow" w:hAnsi="Arial Narrow"/>
                <w:bCs/>
                <w:color w:val="333333"/>
                <w:sz w:val="18"/>
                <w:szCs w:val="18"/>
              </w:rPr>
              <w:t xml:space="preserve"> asthma</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new</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b/>
                <w:bCs/>
                <w:color w:val="333333"/>
                <w:sz w:val="18"/>
                <w:szCs w:val="18"/>
              </w:rPr>
              <w:t>Indication:</w:t>
            </w:r>
            <w:r>
              <w:rPr>
                <w:rFonts w:ascii="Arial Narrow" w:hAnsi="Arial Narrow"/>
                <w:color w:val="333333"/>
                <w:sz w:val="18"/>
                <w:szCs w:val="18"/>
              </w:rPr>
              <w:t xml:space="preserve"> Mild asthma</w:t>
            </w:r>
          </w:p>
        </w:tc>
      </w:tr>
      <w:tr w:rsidR="00E51804" w:rsidTr="00E51804">
        <w:tc>
          <w:tcPr>
            <w:tcW w:w="52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new</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b/>
                <w:bCs/>
                <w:color w:val="333333"/>
                <w:sz w:val="18"/>
                <w:szCs w:val="18"/>
              </w:rPr>
              <w:t>Clinical criteria:</w:t>
            </w:r>
          </w:p>
        </w:tc>
      </w:tr>
      <w:tr w:rsidR="00E51804" w:rsidTr="00E51804">
        <w:tc>
          <w:tcPr>
            <w:tcW w:w="0" w:type="auto"/>
            <w:vMerge/>
            <w:tcBorders>
              <w:top w:val="single" w:sz="4" w:space="0" w:color="auto"/>
              <w:left w:val="single" w:sz="4" w:space="0" w:color="auto"/>
              <w:bottom w:val="single" w:sz="4" w:space="0" w:color="auto"/>
              <w:right w:val="single" w:sz="4" w:space="0" w:color="auto"/>
            </w:tcBorders>
            <w:vAlign w:val="center"/>
            <w:hideMark/>
          </w:tcPr>
          <w:p w:rsidR="00E51804" w:rsidRDefault="00E51804">
            <w:pP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color w:val="333333"/>
                <w:sz w:val="18"/>
                <w:szCs w:val="18"/>
              </w:rPr>
              <w:t>Patient must have asthma and require an anti-inflammatory reliever therapy</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1804" w:rsidRDefault="00E51804">
            <w:pPr>
              <w:jc w:val="cente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
                <w:color w:val="333333"/>
                <w:sz w:val="18"/>
                <w:szCs w:val="18"/>
              </w:rPr>
            </w:pPr>
            <w:r>
              <w:rPr>
                <w:rFonts w:ascii="Arial Narrow" w:hAnsi="Arial Narrow"/>
                <w:b/>
                <w:color w:val="333333"/>
                <w:sz w:val="18"/>
                <w:szCs w:val="18"/>
              </w:rPr>
              <w:t>AND</w:t>
            </w:r>
          </w:p>
        </w:tc>
      </w:tr>
      <w:tr w:rsidR="00E51804" w:rsidTr="00E51804">
        <w:tc>
          <w:tcPr>
            <w:tcW w:w="52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 xml:space="preserve">New </w:t>
            </w:r>
          </w:p>
          <w:p w:rsidR="00E51804" w:rsidRDefault="00E51804">
            <w:pPr>
              <w:jc w:val="center"/>
              <w:rPr>
                <w:rFonts w:ascii="Arial Narrow" w:hAnsi="Arial Narrow"/>
                <w:color w:val="333333"/>
                <w:sz w:val="18"/>
                <w:szCs w:val="18"/>
              </w:rPr>
            </w:pPr>
            <w:r>
              <w:rPr>
                <w:rFonts w:ascii="Arial Narrow" w:hAnsi="Arial Narrow"/>
                <w:color w:val="333333"/>
                <w:sz w:val="18"/>
                <w:szCs w:val="18"/>
              </w:rPr>
              <w:t>[22302 admin advice]</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
                <w:color w:val="333333"/>
                <w:sz w:val="18"/>
                <w:szCs w:val="18"/>
              </w:rPr>
            </w:pPr>
            <w:r>
              <w:rPr>
                <w:rFonts w:ascii="Arial Narrow" w:hAnsi="Arial Narrow"/>
                <w:b/>
                <w:color w:val="333333"/>
                <w:sz w:val="18"/>
                <w:szCs w:val="18"/>
              </w:rPr>
              <w:t>Clinical criteria:</w:t>
            </w:r>
          </w:p>
        </w:tc>
      </w:tr>
      <w:tr w:rsidR="00E51804" w:rsidTr="00E51804">
        <w:tc>
          <w:tcPr>
            <w:tcW w:w="0" w:type="auto"/>
            <w:vMerge/>
            <w:tcBorders>
              <w:top w:val="single" w:sz="4" w:space="0" w:color="auto"/>
              <w:left w:val="single" w:sz="4" w:space="0" w:color="auto"/>
              <w:bottom w:val="single" w:sz="4" w:space="0" w:color="auto"/>
              <w:right w:val="single" w:sz="4" w:space="0" w:color="auto"/>
            </w:tcBorders>
            <w:vAlign w:val="center"/>
            <w:hideMark/>
          </w:tcPr>
          <w:p w:rsidR="00E51804" w:rsidRDefault="00E51804">
            <w:pP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color w:val="333333"/>
                <w:sz w:val="18"/>
                <w:szCs w:val="18"/>
              </w:rPr>
              <w:t>Patient must not be on a concomitant single agent long-acting-beta-2-agonist (LABA)</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1804" w:rsidRDefault="00E51804">
            <w:pPr>
              <w:jc w:val="center"/>
              <w:rPr>
                <w:rFonts w:ascii="Arial Narrow" w:hAnsi="Arial Narrow"/>
                <w:color w:val="333333"/>
                <w:sz w:val="18"/>
                <w:szCs w:val="18"/>
              </w:rPr>
            </w:pP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
                <w:color w:val="333333"/>
                <w:sz w:val="18"/>
                <w:szCs w:val="18"/>
              </w:rPr>
            </w:pPr>
            <w:r>
              <w:rPr>
                <w:rFonts w:ascii="Arial Narrow" w:hAnsi="Arial Narrow"/>
                <w:b/>
                <w:color w:val="333333"/>
                <w:sz w:val="18"/>
                <w:szCs w:val="18"/>
              </w:rPr>
              <w:t>AND</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9911</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b/>
                <w:color w:val="333333"/>
                <w:sz w:val="18"/>
                <w:szCs w:val="18"/>
              </w:rPr>
            </w:pPr>
            <w:r>
              <w:rPr>
                <w:rFonts w:ascii="Arial Narrow" w:hAnsi="Arial Narrow"/>
                <w:b/>
                <w:color w:val="333333"/>
                <w:sz w:val="18"/>
                <w:szCs w:val="18"/>
              </w:rPr>
              <w:t>Population criteria:</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9910</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color w:val="333333"/>
                <w:sz w:val="18"/>
                <w:szCs w:val="18"/>
              </w:rPr>
              <w:t>Patient must be aged 12 years or over</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new</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b/>
                <w:bCs/>
                <w:color w:val="333333"/>
                <w:sz w:val="18"/>
                <w:szCs w:val="18"/>
              </w:rPr>
              <w:t>Administrative Advice:</w:t>
            </w:r>
          </w:p>
          <w:p w:rsidR="00E51804" w:rsidRDefault="00E51804">
            <w:pPr>
              <w:rPr>
                <w:rFonts w:ascii="Arial Narrow" w:hAnsi="Arial Narrow"/>
                <w:color w:val="333333"/>
                <w:sz w:val="18"/>
                <w:szCs w:val="18"/>
              </w:rPr>
            </w:pPr>
            <w:r>
              <w:rPr>
                <w:rFonts w:ascii="Arial Narrow" w:hAnsi="Arial Narrow"/>
                <w:color w:val="333333"/>
                <w:sz w:val="18"/>
                <w:szCs w:val="18"/>
              </w:rPr>
              <w:t>This drug is not PBS-subsidised for the treatment of chronic obstructive pulmonary disease (COPD) or for the treatment of allergen- or exercise-induced bronchoconstriction</w:t>
            </w:r>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21822</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b/>
                <w:bCs/>
                <w:color w:val="333333"/>
                <w:sz w:val="18"/>
                <w:szCs w:val="18"/>
              </w:rPr>
              <w:t>Administrative Advice:</w:t>
            </w:r>
          </w:p>
          <w:p w:rsidR="00E51804" w:rsidRDefault="00E51804">
            <w:pPr>
              <w:rPr>
                <w:rFonts w:ascii="Arial Narrow" w:hAnsi="Arial Narrow"/>
                <w:color w:val="333333"/>
                <w:sz w:val="18"/>
                <w:szCs w:val="18"/>
              </w:rPr>
            </w:pPr>
            <w:r>
              <w:rPr>
                <w:rFonts w:ascii="Arial Narrow" w:hAnsi="Arial Narrow"/>
                <w:color w:val="333333"/>
                <w:sz w:val="18"/>
                <w:szCs w:val="18"/>
              </w:rPr>
              <w:t xml:space="preserve">A LABA includes </w:t>
            </w:r>
            <w:proofErr w:type="spellStart"/>
            <w:r>
              <w:rPr>
                <w:rFonts w:ascii="Arial Narrow" w:hAnsi="Arial Narrow"/>
                <w:color w:val="333333"/>
                <w:sz w:val="18"/>
                <w:szCs w:val="18"/>
              </w:rPr>
              <w:t>olodaterol</w:t>
            </w:r>
            <w:proofErr w:type="spellEnd"/>
            <w:r>
              <w:rPr>
                <w:rFonts w:ascii="Arial Narrow" w:hAnsi="Arial Narrow"/>
                <w:color w:val="333333"/>
                <w:sz w:val="18"/>
                <w:szCs w:val="18"/>
              </w:rPr>
              <w:t xml:space="preserve">, </w:t>
            </w:r>
            <w:proofErr w:type="spellStart"/>
            <w:r>
              <w:rPr>
                <w:rFonts w:ascii="Arial Narrow" w:hAnsi="Arial Narrow"/>
                <w:color w:val="333333"/>
                <w:sz w:val="18"/>
                <w:szCs w:val="18"/>
              </w:rPr>
              <w:t>indacaterol</w:t>
            </w:r>
            <w:proofErr w:type="spellEnd"/>
            <w:r>
              <w:rPr>
                <w:rFonts w:ascii="Arial Narrow" w:hAnsi="Arial Narrow"/>
                <w:color w:val="333333"/>
                <w:sz w:val="18"/>
                <w:szCs w:val="18"/>
              </w:rPr>
              <w:t xml:space="preserve">, </w:t>
            </w:r>
            <w:proofErr w:type="spellStart"/>
            <w:r>
              <w:rPr>
                <w:rFonts w:ascii="Arial Narrow" w:hAnsi="Arial Narrow"/>
                <w:color w:val="333333"/>
                <w:sz w:val="18"/>
                <w:szCs w:val="18"/>
              </w:rPr>
              <w:t>salmeterol</w:t>
            </w:r>
            <w:proofErr w:type="spellEnd"/>
            <w:r>
              <w:rPr>
                <w:rFonts w:ascii="Arial Narrow" w:hAnsi="Arial Narrow"/>
                <w:color w:val="333333"/>
                <w:sz w:val="18"/>
                <w:szCs w:val="18"/>
              </w:rPr>
              <w:t xml:space="preserve">, </w:t>
            </w:r>
            <w:proofErr w:type="spellStart"/>
            <w:r>
              <w:rPr>
                <w:rFonts w:ascii="Arial Narrow" w:hAnsi="Arial Narrow"/>
                <w:color w:val="333333"/>
                <w:sz w:val="18"/>
                <w:szCs w:val="18"/>
              </w:rPr>
              <w:t>formoterol</w:t>
            </w:r>
            <w:proofErr w:type="spellEnd"/>
            <w:r>
              <w:rPr>
                <w:rFonts w:ascii="Arial Narrow" w:hAnsi="Arial Narrow"/>
                <w:color w:val="333333"/>
                <w:sz w:val="18"/>
                <w:szCs w:val="18"/>
              </w:rPr>
              <w:t xml:space="preserve"> or </w:t>
            </w:r>
            <w:proofErr w:type="spellStart"/>
            <w:r>
              <w:rPr>
                <w:rFonts w:ascii="Arial Narrow" w:hAnsi="Arial Narrow"/>
                <w:color w:val="333333"/>
                <w:sz w:val="18"/>
                <w:szCs w:val="18"/>
              </w:rPr>
              <w:t>vilanterol</w:t>
            </w:r>
            <w:proofErr w:type="spellEnd"/>
          </w:p>
        </w:tc>
      </w:tr>
      <w:tr w:rsidR="00E51804" w:rsidTr="00E51804">
        <w:tc>
          <w:tcPr>
            <w:tcW w:w="5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jc w:val="center"/>
              <w:rPr>
                <w:rFonts w:ascii="Arial Narrow" w:hAnsi="Arial Narrow"/>
                <w:color w:val="333333"/>
                <w:sz w:val="18"/>
                <w:szCs w:val="18"/>
              </w:rPr>
            </w:pPr>
            <w:r>
              <w:rPr>
                <w:rFonts w:ascii="Arial Narrow" w:hAnsi="Arial Narrow"/>
                <w:color w:val="333333"/>
                <w:sz w:val="18"/>
                <w:szCs w:val="18"/>
              </w:rPr>
              <w:t>new</w:t>
            </w:r>
          </w:p>
          <w:p w:rsidR="00E51804" w:rsidRDefault="001A557D">
            <w:pPr>
              <w:jc w:val="center"/>
              <w:rPr>
                <w:rFonts w:ascii="Arial Narrow" w:hAnsi="Arial Narrow"/>
                <w:color w:val="333333"/>
                <w:sz w:val="18"/>
                <w:szCs w:val="18"/>
              </w:rPr>
            </w:pPr>
            <w:r>
              <w:rPr>
                <w:rFonts w:ascii="Arial Narrow" w:hAnsi="Arial Narrow"/>
                <w:color w:val="333333"/>
                <w:sz w:val="18"/>
                <w:szCs w:val="18"/>
              </w:rPr>
              <w:t>[24542</w:t>
            </w:r>
            <w:r w:rsidR="00E51804">
              <w:rPr>
                <w:rFonts w:ascii="Arial Narrow" w:hAnsi="Arial Narrow"/>
                <w:color w:val="333333"/>
                <w:sz w:val="18"/>
                <w:szCs w:val="18"/>
              </w:rPr>
              <w:t xml:space="preserve"> </w:t>
            </w:r>
          </w:p>
          <w:p w:rsidR="00E51804" w:rsidRDefault="00E51804">
            <w:pPr>
              <w:jc w:val="center"/>
              <w:rPr>
                <w:rFonts w:ascii="Arial Narrow" w:hAnsi="Arial Narrow"/>
                <w:color w:val="333333"/>
                <w:sz w:val="18"/>
                <w:szCs w:val="18"/>
              </w:rPr>
            </w:pPr>
            <w:r>
              <w:rPr>
                <w:rFonts w:ascii="Arial Narrow" w:hAnsi="Arial Narrow"/>
                <w:color w:val="333333"/>
                <w:sz w:val="18"/>
                <w:szCs w:val="18"/>
              </w:rPr>
              <w:t>admin advice]</w:t>
            </w:r>
          </w:p>
        </w:tc>
        <w:tc>
          <w:tcPr>
            <w:tcW w:w="44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1804" w:rsidRDefault="00E51804">
            <w:pPr>
              <w:rPr>
                <w:rFonts w:ascii="Arial Narrow" w:hAnsi="Arial Narrow"/>
                <w:color w:val="333333"/>
                <w:sz w:val="18"/>
                <w:szCs w:val="18"/>
              </w:rPr>
            </w:pPr>
            <w:r>
              <w:rPr>
                <w:rFonts w:ascii="Arial Narrow" w:hAnsi="Arial Narrow"/>
                <w:b/>
                <w:bCs/>
                <w:color w:val="333333"/>
                <w:sz w:val="18"/>
                <w:szCs w:val="18"/>
              </w:rPr>
              <w:t>Caution:</w:t>
            </w:r>
          </w:p>
          <w:p w:rsidR="001A557D" w:rsidRPr="001A557D" w:rsidRDefault="001A557D" w:rsidP="001A557D">
            <w:pPr>
              <w:rPr>
                <w:rFonts w:ascii="Arial Narrow" w:hAnsi="Arial Narrow"/>
                <w:color w:val="333333"/>
                <w:sz w:val="18"/>
                <w:szCs w:val="18"/>
              </w:rPr>
            </w:pPr>
            <w:r w:rsidRPr="001A557D">
              <w:rPr>
                <w:rFonts w:ascii="Arial Narrow" w:hAnsi="Arial Narrow"/>
                <w:color w:val="333333"/>
                <w:sz w:val="18"/>
                <w:szCs w:val="18"/>
              </w:rPr>
              <w:t>Device (inhaler) technique should be reviewed at each clinical visit and before initiating treatment with this medicine.</w:t>
            </w:r>
          </w:p>
          <w:p w:rsidR="00E51804" w:rsidRDefault="00E51804">
            <w:pPr>
              <w:rPr>
                <w:rFonts w:ascii="Arial Narrow" w:hAnsi="Arial Narrow"/>
                <w:color w:val="333333"/>
                <w:sz w:val="18"/>
                <w:szCs w:val="18"/>
              </w:rPr>
            </w:pPr>
          </w:p>
        </w:tc>
      </w:tr>
    </w:tbl>
    <w:p w:rsidR="00E51804" w:rsidRDefault="00E51804" w:rsidP="007F4C03">
      <w:pPr>
        <w:rPr>
          <w:rFonts w:asciiTheme="minorHAnsi" w:hAnsiTheme="minorHAnsi" w:cs="Arial"/>
          <w:b/>
          <w:bCs/>
          <w:i/>
          <w:snapToGrid w:val="0"/>
        </w:rPr>
      </w:pPr>
    </w:p>
    <w:p w:rsidR="00666C06" w:rsidRPr="009F08BF" w:rsidRDefault="007F4C03" w:rsidP="00666C06">
      <w:pPr>
        <w:rPr>
          <w:rFonts w:asciiTheme="minorHAnsi" w:hAnsiTheme="minorHAnsi" w:cs="Arial"/>
          <w:bCs/>
          <w:i/>
          <w:snapToGrid w:val="0"/>
        </w:rPr>
      </w:pPr>
      <w:r w:rsidRPr="00036617">
        <w:rPr>
          <w:rFonts w:asciiTheme="minorHAnsi" w:hAnsiTheme="minorHAnsi" w:cs="Arial"/>
          <w:bCs/>
          <w:i/>
          <w:snapToGrid w:val="0"/>
        </w:rPr>
        <w:t>This restriction may be subject to further review. Should there be any changes made to the restriction the Sponsor will be informed.</w:t>
      </w:r>
    </w:p>
    <w:p w:rsidR="00666C06" w:rsidRPr="00666C06" w:rsidRDefault="00666C06" w:rsidP="00666C06">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666C06">
        <w:rPr>
          <w:rFonts w:asciiTheme="minorHAnsi" w:hAnsiTheme="minorHAnsi"/>
          <w:sz w:val="32"/>
          <w:szCs w:val="32"/>
        </w:rPr>
        <w:t>Context for Decision</w:t>
      </w:r>
    </w:p>
    <w:p w:rsidR="00C07066" w:rsidRPr="009F08BF" w:rsidRDefault="000C5FD3" w:rsidP="009F08BF">
      <w:pPr>
        <w:spacing w:line="276" w:lineRule="auto"/>
        <w:jc w:val="both"/>
        <w:rPr>
          <w:rFonts w:asciiTheme="minorHAnsi" w:eastAsiaTheme="minorHAnsi" w:hAnsiTheme="minorHAnsi" w:cs="Arial"/>
          <w:szCs w:val="22"/>
          <w:lang w:eastAsia="en-US"/>
        </w:rPr>
      </w:pPr>
      <w:r w:rsidRPr="000C5FD3">
        <w:rPr>
          <w:rFonts w:asciiTheme="minorHAnsi" w:eastAsiaTheme="minorHAnsi" w:hAnsiTheme="minorHAnsi" w:cs="Arial"/>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66C06" w:rsidRPr="00666C06" w:rsidRDefault="00666C06" w:rsidP="00666C06">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666C06">
        <w:rPr>
          <w:rFonts w:asciiTheme="minorHAnsi" w:hAnsiTheme="minorHAnsi"/>
          <w:sz w:val="32"/>
          <w:szCs w:val="32"/>
        </w:rPr>
        <w:t>Sponsor’s Comment</w:t>
      </w:r>
    </w:p>
    <w:p w:rsidR="00666C06" w:rsidRPr="00666C06" w:rsidRDefault="00666C06" w:rsidP="00666C06">
      <w:pPr>
        <w:rPr>
          <w:rFonts w:asciiTheme="minorHAnsi" w:hAnsiTheme="minorHAnsi" w:cs="Arial"/>
        </w:rPr>
      </w:pPr>
      <w:r w:rsidRPr="00666C06">
        <w:rPr>
          <w:rFonts w:asciiTheme="minorHAnsi" w:eastAsiaTheme="minorHAnsi" w:hAnsiTheme="minorHAnsi" w:cs="Arial"/>
          <w:bCs/>
          <w:szCs w:val="22"/>
          <w:lang w:eastAsia="en-US"/>
        </w:rPr>
        <w:t>The sponsor had no comment.</w:t>
      </w:r>
    </w:p>
    <w:sectPr w:rsidR="00666C06" w:rsidRPr="00666C06"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902C17" w16cid:durableId="218774BE"/>
  <w16cid:commentId w16cid:paraId="4F51E1CA" w16cid:durableId="218779B4"/>
  <w16cid:commentId w16cid:paraId="77190EB6" w16cid:durableId="218774BF"/>
  <w16cid:commentId w16cid:paraId="3F2656DD" w16cid:durableId="21877A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0D0" w:rsidRDefault="003210D0">
      <w:r>
        <w:separator/>
      </w:r>
    </w:p>
    <w:p w:rsidR="003210D0" w:rsidRDefault="003210D0"/>
  </w:endnote>
  <w:endnote w:type="continuationSeparator" w:id="0">
    <w:p w:rsidR="003210D0" w:rsidRDefault="003210D0">
      <w:r>
        <w:continuationSeparator/>
      </w:r>
    </w:p>
    <w:p w:rsidR="003210D0" w:rsidRDefault="00321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ACFFCFA" w:usb2="00000016" w:usb3="00000000" w:csb0="00100001" w:csb1="00000000"/>
  </w:font>
  <w:font w:name="Arial Bold">
    <w:panose1 w:val="020B0704020202020204"/>
    <w:charset w:val="00"/>
    <w:family w:val="swiss"/>
    <w:notTrueType/>
    <w:pitch w:val="default"/>
    <w:sig w:usb0="00000003" w:usb1="00000000" w:usb2="00000000" w:usb3="00000000" w:csb0="00000001" w:csb1="00000000"/>
  </w:font>
  <w:font w:name="OTNEJMQuadraat">
    <w:altName w:val="MS Gothic"/>
    <w:panose1 w:val="00000000000000000000"/>
    <w:charset w:val="80"/>
    <w:family w:val="roman"/>
    <w:notTrueType/>
    <w:pitch w:val="default"/>
    <w:sig w:usb0="00000001" w:usb1="080F0000" w:usb2="00000010" w:usb3="00000000" w:csb0="0006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F08BF" w:rsidTr="005A3173">
      <w:trPr>
        <w:trHeight w:val="151"/>
      </w:trPr>
      <w:tc>
        <w:tcPr>
          <w:tcW w:w="2250" w:type="pct"/>
          <w:tcBorders>
            <w:top w:val="nil"/>
            <w:left w:val="nil"/>
            <w:bottom w:val="single" w:sz="4" w:space="0" w:color="4F81BD"/>
            <w:right w:val="nil"/>
          </w:tcBorders>
        </w:tcPr>
        <w:p w:rsidR="009F08BF" w:rsidRPr="005A3173" w:rsidRDefault="009F08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08BF" w:rsidRPr="005A3173" w:rsidRDefault="009F08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08BF" w:rsidRPr="005A3173" w:rsidRDefault="009F08BF" w:rsidP="005A3173">
          <w:pPr>
            <w:pStyle w:val="Header"/>
            <w:spacing w:line="276" w:lineRule="auto"/>
            <w:rPr>
              <w:rFonts w:ascii="Calibri" w:eastAsia="MS Gothic" w:hAnsi="Calibri"/>
              <w:b/>
              <w:bCs/>
              <w:color w:val="4F81BD"/>
            </w:rPr>
          </w:pPr>
        </w:p>
      </w:tc>
    </w:tr>
    <w:tr w:rsidR="009F08BF" w:rsidTr="005A3173">
      <w:trPr>
        <w:trHeight w:val="150"/>
      </w:trPr>
      <w:tc>
        <w:tcPr>
          <w:tcW w:w="2250" w:type="pct"/>
          <w:tcBorders>
            <w:top w:val="single" w:sz="4" w:space="0" w:color="4F81BD"/>
            <w:left w:val="nil"/>
            <w:bottom w:val="nil"/>
            <w:right w:val="nil"/>
          </w:tcBorders>
        </w:tcPr>
        <w:p w:rsidR="009F08BF" w:rsidRPr="005A3173" w:rsidRDefault="009F08BF" w:rsidP="005A3173">
          <w:pPr>
            <w:pStyle w:val="Header"/>
            <w:spacing w:line="276" w:lineRule="auto"/>
            <w:rPr>
              <w:rFonts w:ascii="Calibri" w:eastAsia="MS Gothic" w:hAnsi="Calibri"/>
              <w:b/>
              <w:bCs/>
              <w:color w:val="4F81BD"/>
            </w:rPr>
          </w:pPr>
        </w:p>
      </w:tc>
      <w:tc>
        <w:tcPr>
          <w:tcW w:w="0" w:type="auto"/>
          <w:vMerge/>
          <w:vAlign w:val="center"/>
          <w:hideMark/>
        </w:tcPr>
        <w:p w:rsidR="009F08BF" w:rsidRPr="005A3173" w:rsidRDefault="009F08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08BF" w:rsidRPr="005A3173" w:rsidRDefault="009F08BF" w:rsidP="005A3173">
          <w:pPr>
            <w:pStyle w:val="Header"/>
            <w:spacing w:line="276" w:lineRule="auto"/>
            <w:rPr>
              <w:rFonts w:ascii="Calibri" w:eastAsia="MS Gothic" w:hAnsi="Calibri"/>
              <w:b/>
              <w:bCs/>
              <w:color w:val="4F81BD"/>
            </w:rPr>
          </w:pPr>
        </w:p>
      </w:tc>
    </w:tr>
  </w:tbl>
  <w:p w:rsidR="009F08BF" w:rsidRDefault="009F08B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08BF" w:rsidRDefault="009F08BF">
    <w:pPr>
      <w:pStyle w:val="Footer"/>
    </w:pPr>
  </w:p>
  <w:p w:rsidR="009F08BF" w:rsidRDefault="009F08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04518"/>
      <w:docPartObj>
        <w:docPartGallery w:val="Page Numbers (Bottom of Page)"/>
        <w:docPartUnique/>
      </w:docPartObj>
    </w:sdtPr>
    <w:sdtEndPr>
      <w:rPr>
        <w:rFonts w:ascii="Calibri" w:hAnsi="Calibri" w:cs="Calibri"/>
        <w:b/>
        <w:noProof/>
      </w:rPr>
    </w:sdtEndPr>
    <w:sdtContent>
      <w:p w:rsidR="009F08BF" w:rsidRDefault="009F08BF">
        <w:pPr>
          <w:pStyle w:val="Footer"/>
          <w:jc w:val="center"/>
        </w:pPr>
      </w:p>
      <w:p w:rsidR="009F08BF" w:rsidRPr="002104AB" w:rsidRDefault="009F08BF">
        <w:pPr>
          <w:pStyle w:val="Footer"/>
          <w:jc w:val="center"/>
          <w:rPr>
            <w:rFonts w:ascii="Calibri" w:hAnsi="Calibri" w:cs="Calibri"/>
            <w:b/>
          </w:rPr>
        </w:pPr>
        <w:r w:rsidRPr="002104AB">
          <w:rPr>
            <w:rFonts w:ascii="Calibri" w:hAnsi="Calibri" w:cs="Calibri"/>
            <w:b/>
          </w:rPr>
          <w:fldChar w:fldCharType="begin"/>
        </w:r>
        <w:r w:rsidRPr="002104AB">
          <w:rPr>
            <w:rFonts w:ascii="Calibri" w:hAnsi="Calibri" w:cs="Calibri"/>
            <w:b/>
          </w:rPr>
          <w:instrText xml:space="preserve"> PAGE   \* MERGEFORMAT </w:instrText>
        </w:r>
        <w:r w:rsidRPr="002104AB">
          <w:rPr>
            <w:rFonts w:ascii="Calibri" w:hAnsi="Calibri" w:cs="Calibri"/>
            <w:b/>
          </w:rPr>
          <w:fldChar w:fldCharType="separate"/>
        </w:r>
        <w:r w:rsidR="00DF79FB">
          <w:rPr>
            <w:rFonts w:ascii="Calibri" w:hAnsi="Calibri" w:cs="Calibri"/>
            <w:b/>
            <w:noProof/>
          </w:rPr>
          <w:t>9</w:t>
        </w:r>
        <w:r w:rsidRPr="002104AB">
          <w:rPr>
            <w:rFonts w:ascii="Calibri" w:hAnsi="Calibri" w:cs="Calibri"/>
            <w:b/>
            <w:noProof/>
          </w:rPr>
          <w:fldChar w:fldCharType="end"/>
        </w:r>
      </w:p>
    </w:sdtContent>
  </w:sdt>
  <w:p w:rsidR="009F08BF" w:rsidRPr="000F3384" w:rsidRDefault="009F08BF"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9F08BF" w:rsidTr="005A3173">
      <w:trPr>
        <w:trHeight w:val="151"/>
      </w:trPr>
      <w:tc>
        <w:tcPr>
          <w:tcW w:w="2250" w:type="pct"/>
          <w:tcBorders>
            <w:top w:val="nil"/>
            <w:left w:val="nil"/>
            <w:bottom w:val="single" w:sz="4" w:space="0" w:color="4F81BD"/>
            <w:right w:val="nil"/>
          </w:tcBorders>
        </w:tcPr>
        <w:p w:rsidR="009F08BF" w:rsidRPr="005A3173" w:rsidRDefault="009F08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08BF" w:rsidRPr="005A3173" w:rsidRDefault="009F08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08BF" w:rsidRPr="005A3173" w:rsidRDefault="009F08BF" w:rsidP="005A3173">
          <w:pPr>
            <w:pStyle w:val="Header"/>
            <w:spacing w:line="276" w:lineRule="auto"/>
            <w:rPr>
              <w:rFonts w:ascii="Calibri" w:eastAsia="MS Gothic" w:hAnsi="Calibri"/>
              <w:b/>
              <w:bCs/>
              <w:color w:val="4F81BD"/>
            </w:rPr>
          </w:pPr>
        </w:p>
      </w:tc>
    </w:tr>
    <w:tr w:rsidR="009F08BF" w:rsidTr="005A3173">
      <w:trPr>
        <w:trHeight w:val="150"/>
      </w:trPr>
      <w:tc>
        <w:tcPr>
          <w:tcW w:w="2250" w:type="pct"/>
          <w:tcBorders>
            <w:top w:val="single" w:sz="4" w:space="0" w:color="4F81BD"/>
            <w:left w:val="nil"/>
            <w:bottom w:val="nil"/>
            <w:right w:val="nil"/>
          </w:tcBorders>
        </w:tcPr>
        <w:p w:rsidR="009F08BF" w:rsidRPr="005A3173" w:rsidRDefault="009F08BF" w:rsidP="005A3173">
          <w:pPr>
            <w:pStyle w:val="Header"/>
            <w:spacing w:line="276" w:lineRule="auto"/>
            <w:rPr>
              <w:rFonts w:ascii="Calibri" w:eastAsia="MS Gothic" w:hAnsi="Calibri"/>
              <w:b/>
              <w:bCs/>
              <w:color w:val="4F81BD"/>
            </w:rPr>
          </w:pPr>
        </w:p>
      </w:tc>
      <w:tc>
        <w:tcPr>
          <w:tcW w:w="0" w:type="auto"/>
          <w:vMerge/>
          <w:vAlign w:val="center"/>
          <w:hideMark/>
        </w:tcPr>
        <w:p w:rsidR="009F08BF" w:rsidRPr="005A3173" w:rsidRDefault="009F08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08BF" w:rsidRPr="005A3173" w:rsidRDefault="009F08B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08BF" w:rsidTr="005A3173">
      <w:trPr>
        <w:trHeight w:val="151"/>
      </w:trPr>
      <w:tc>
        <w:tcPr>
          <w:tcW w:w="2250" w:type="pct"/>
          <w:tcBorders>
            <w:top w:val="nil"/>
            <w:left w:val="nil"/>
            <w:bottom w:val="single" w:sz="4" w:space="0" w:color="4F81BD"/>
            <w:right w:val="nil"/>
          </w:tcBorders>
        </w:tcPr>
        <w:p w:rsidR="009F08BF" w:rsidRPr="005A3173" w:rsidRDefault="009F08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08BF" w:rsidRPr="005A3173" w:rsidRDefault="009F08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08BF" w:rsidRPr="005A3173" w:rsidRDefault="009F08BF" w:rsidP="005A3173">
          <w:pPr>
            <w:pStyle w:val="Header"/>
            <w:spacing w:line="276" w:lineRule="auto"/>
            <w:rPr>
              <w:rFonts w:ascii="Calibri" w:eastAsia="MS Gothic" w:hAnsi="Calibri"/>
              <w:b/>
              <w:bCs/>
              <w:color w:val="4F81BD"/>
            </w:rPr>
          </w:pPr>
        </w:p>
      </w:tc>
    </w:tr>
    <w:tr w:rsidR="009F08BF" w:rsidTr="005A3173">
      <w:trPr>
        <w:trHeight w:val="150"/>
      </w:trPr>
      <w:tc>
        <w:tcPr>
          <w:tcW w:w="2250" w:type="pct"/>
          <w:tcBorders>
            <w:top w:val="single" w:sz="4" w:space="0" w:color="4F81BD"/>
            <w:left w:val="nil"/>
            <w:bottom w:val="nil"/>
            <w:right w:val="nil"/>
          </w:tcBorders>
        </w:tcPr>
        <w:p w:rsidR="009F08BF" w:rsidRPr="005A3173" w:rsidRDefault="009F08BF" w:rsidP="005A3173">
          <w:pPr>
            <w:pStyle w:val="Header"/>
            <w:spacing w:line="276" w:lineRule="auto"/>
            <w:rPr>
              <w:rFonts w:ascii="Calibri" w:eastAsia="MS Gothic" w:hAnsi="Calibri"/>
              <w:b/>
              <w:bCs/>
              <w:color w:val="4F81BD"/>
            </w:rPr>
          </w:pPr>
        </w:p>
      </w:tc>
      <w:tc>
        <w:tcPr>
          <w:tcW w:w="0" w:type="auto"/>
          <w:vMerge/>
          <w:vAlign w:val="center"/>
          <w:hideMark/>
        </w:tcPr>
        <w:p w:rsidR="009F08BF" w:rsidRPr="005A3173" w:rsidRDefault="009F08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08BF" w:rsidRPr="005A3173" w:rsidRDefault="009F08BF" w:rsidP="005A3173">
          <w:pPr>
            <w:pStyle w:val="Header"/>
            <w:spacing w:line="276" w:lineRule="auto"/>
            <w:rPr>
              <w:rFonts w:ascii="Calibri" w:eastAsia="MS Gothic" w:hAnsi="Calibri"/>
              <w:b/>
              <w:bCs/>
              <w:color w:val="4F81BD"/>
            </w:rPr>
          </w:pPr>
        </w:p>
      </w:tc>
    </w:tr>
  </w:tbl>
  <w:p w:rsidR="009F08BF" w:rsidRPr="007C0F57" w:rsidRDefault="009F08B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F08BF" w:rsidRPr="007C0F57" w:rsidRDefault="009F08BF" w:rsidP="007C0F57">
    <w:pPr>
      <w:pStyle w:val="Footer"/>
      <w:jc w:val="center"/>
      <w:rPr>
        <w:b/>
        <w:i/>
        <w:sz w:val="20"/>
        <w:szCs w:val="20"/>
      </w:rPr>
    </w:pPr>
    <w:r w:rsidRPr="007C0F57">
      <w:rPr>
        <w:b/>
        <w:i/>
        <w:sz w:val="20"/>
        <w:szCs w:val="20"/>
      </w:rPr>
      <w:t>Commercial-in-Confidence</w:t>
    </w:r>
  </w:p>
  <w:p w:rsidR="009F08BF" w:rsidRDefault="009F08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0D0" w:rsidRDefault="003210D0">
      <w:r>
        <w:separator/>
      </w:r>
    </w:p>
    <w:p w:rsidR="003210D0" w:rsidRDefault="003210D0"/>
  </w:footnote>
  <w:footnote w:type="continuationSeparator" w:id="0">
    <w:p w:rsidR="003210D0" w:rsidRDefault="003210D0">
      <w:r>
        <w:continuationSeparator/>
      </w:r>
    </w:p>
    <w:p w:rsidR="003210D0" w:rsidRDefault="003210D0"/>
  </w:footnote>
  <w:footnote w:id="1">
    <w:p w:rsidR="009F08BF" w:rsidRPr="00680FDE" w:rsidRDefault="009F08BF" w:rsidP="00680FDE">
      <w:pPr>
        <w:autoSpaceDE w:val="0"/>
        <w:autoSpaceDN w:val="0"/>
        <w:adjustRightInd w:val="0"/>
        <w:jc w:val="both"/>
        <w:rPr>
          <w:rFonts w:ascii="Calibri" w:eastAsia="OTNEJMQuadraat" w:hAnsi="Calibri" w:cs="Calibri"/>
        </w:rPr>
      </w:pPr>
      <w:r w:rsidRPr="00680FDE">
        <w:rPr>
          <w:rStyle w:val="FootnoteReference"/>
          <w:rFonts w:ascii="Calibri" w:hAnsi="Calibri" w:cs="Calibri"/>
          <w:sz w:val="20"/>
          <w:szCs w:val="20"/>
        </w:rPr>
        <w:footnoteRef/>
      </w:r>
      <w:r w:rsidRPr="00680FDE">
        <w:rPr>
          <w:rFonts w:ascii="Calibri" w:hAnsi="Calibri" w:cs="Calibri"/>
          <w:sz w:val="20"/>
          <w:szCs w:val="20"/>
        </w:rPr>
        <w:t xml:space="preserve"> Beasley R, et al. </w:t>
      </w:r>
      <w:r w:rsidRPr="00680FDE">
        <w:rPr>
          <w:rFonts w:ascii="Calibri" w:eastAsia="OTNEJMQuadraat" w:hAnsi="Calibri" w:cs="Calibri"/>
          <w:sz w:val="20"/>
          <w:szCs w:val="20"/>
        </w:rPr>
        <w:t>Controlled Trial of Budesonide</w:t>
      </w:r>
      <w:r w:rsidRPr="00680FDE">
        <w:rPr>
          <w:rFonts w:ascii="Calibri" w:eastAsia="OTNEJMQuadraat" w:hAnsi="Calibri" w:cs="Calibri" w:hint="eastAsia"/>
          <w:sz w:val="20"/>
          <w:szCs w:val="20"/>
        </w:rPr>
        <w:t>–</w:t>
      </w:r>
      <w:proofErr w:type="spellStart"/>
      <w:r w:rsidRPr="00680FDE">
        <w:rPr>
          <w:rFonts w:ascii="Calibri" w:eastAsia="OTNEJMQuadraat" w:hAnsi="Calibri" w:cs="Calibri"/>
          <w:sz w:val="20"/>
          <w:szCs w:val="20"/>
        </w:rPr>
        <w:t>Formoterol</w:t>
      </w:r>
      <w:proofErr w:type="spellEnd"/>
      <w:r w:rsidRPr="00680FDE">
        <w:rPr>
          <w:rFonts w:ascii="Calibri" w:eastAsia="OTNEJMQuadraat" w:hAnsi="Calibri" w:cs="Calibri"/>
          <w:sz w:val="20"/>
          <w:szCs w:val="20"/>
        </w:rPr>
        <w:t xml:space="preserve"> as Needed for Mild Asthma. N </w:t>
      </w:r>
      <w:proofErr w:type="spellStart"/>
      <w:r w:rsidRPr="00680FDE">
        <w:rPr>
          <w:rFonts w:ascii="Calibri" w:eastAsia="OTNEJMQuadraat" w:hAnsi="Calibri" w:cs="Calibri"/>
          <w:sz w:val="20"/>
          <w:szCs w:val="20"/>
        </w:rPr>
        <w:t>Engl</w:t>
      </w:r>
      <w:proofErr w:type="spellEnd"/>
      <w:r w:rsidRPr="00680FDE">
        <w:rPr>
          <w:rFonts w:ascii="Calibri" w:eastAsia="OTNEJMQuadraat" w:hAnsi="Calibri" w:cs="Calibri"/>
          <w:sz w:val="20"/>
          <w:szCs w:val="20"/>
        </w:rPr>
        <w:t xml:space="preserve"> J Med 2019;380:2020-30</w:t>
      </w:r>
    </w:p>
  </w:footnote>
  <w:footnote w:id="2">
    <w:p w:rsidR="009F08BF" w:rsidRPr="00680FDE" w:rsidRDefault="009F08BF" w:rsidP="00680FDE">
      <w:pPr>
        <w:autoSpaceDE w:val="0"/>
        <w:autoSpaceDN w:val="0"/>
        <w:adjustRightInd w:val="0"/>
        <w:jc w:val="both"/>
        <w:rPr>
          <w:rFonts w:ascii="Calibri" w:hAnsi="Calibri" w:cs="Calibri"/>
        </w:rPr>
      </w:pPr>
      <w:r w:rsidRPr="00680FDE">
        <w:rPr>
          <w:rStyle w:val="FootnoteReference"/>
          <w:rFonts w:ascii="Calibri" w:hAnsi="Calibri" w:cs="Calibri"/>
          <w:sz w:val="20"/>
          <w:szCs w:val="20"/>
        </w:rPr>
        <w:footnoteRef/>
      </w:r>
      <w:r w:rsidRPr="00680FDE">
        <w:rPr>
          <w:rStyle w:val="FootnoteReference"/>
          <w:rFonts w:ascii="Calibri" w:hAnsi="Calibri" w:cs="Calibri"/>
        </w:rPr>
        <w:t xml:space="preserve"> </w:t>
      </w:r>
      <w:r w:rsidRPr="00680FDE">
        <w:rPr>
          <w:rFonts w:ascii="Calibri" w:hAnsi="Calibri" w:cs="Calibri"/>
          <w:sz w:val="20"/>
          <w:szCs w:val="20"/>
        </w:rPr>
        <w:t>Hardy J, et al. Budesonide-</w:t>
      </w:r>
      <w:proofErr w:type="spellStart"/>
      <w:r w:rsidRPr="00680FDE">
        <w:rPr>
          <w:rFonts w:ascii="Calibri" w:hAnsi="Calibri" w:cs="Calibri"/>
          <w:sz w:val="20"/>
          <w:szCs w:val="20"/>
        </w:rPr>
        <w:t>formoterol</w:t>
      </w:r>
      <w:proofErr w:type="spellEnd"/>
      <w:r w:rsidRPr="00680FDE">
        <w:rPr>
          <w:rFonts w:ascii="Calibri" w:hAnsi="Calibri" w:cs="Calibri"/>
          <w:sz w:val="20"/>
          <w:szCs w:val="20"/>
        </w:rPr>
        <w:t xml:space="preserve"> reliever therapy versus maintenance budesonide plus terbutaline reliever therapy in adults with mild to moderate asthma (PRACTICAL): a 52-week, open-label, multicentre, superiority, randomised controlled trial. Lancet 2019; 394: 919–28</w:t>
      </w:r>
    </w:p>
  </w:footnote>
  <w:footnote w:id="3">
    <w:p w:rsidR="009F08BF" w:rsidRPr="007E5CD4" w:rsidRDefault="009F08BF" w:rsidP="007E5CD4">
      <w:pPr>
        <w:autoSpaceDE w:val="0"/>
        <w:autoSpaceDN w:val="0"/>
        <w:adjustRightInd w:val="0"/>
        <w:jc w:val="both"/>
        <w:rPr>
          <w:rFonts w:asciiTheme="minorHAnsi" w:eastAsiaTheme="minorHAnsi" w:hAnsiTheme="minorHAnsi" w:cstheme="minorHAnsi"/>
          <w:sz w:val="20"/>
          <w:szCs w:val="20"/>
          <w:lang w:eastAsia="en-US"/>
        </w:rPr>
      </w:pPr>
      <w:r>
        <w:rPr>
          <w:rStyle w:val="FootnoteReference"/>
        </w:rPr>
        <w:footnoteRef/>
      </w:r>
      <w:r>
        <w:t xml:space="preserve"> </w:t>
      </w:r>
      <w:r w:rsidRPr="007E5CD4">
        <w:rPr>
          <w:rFonts w:asciiTheme="minorHAnsi" w:eastAsiaTheme="minorHAnsi" w:hAnsiTheme="minorHAnsi" w:cstheme="minorHAnsi"/>
          <w:sz w:val="20"/>
          <w:szCs w:val="20"/>
          <w:lang w:eastAsia="en-US"/>
        </w:rPr>
        <w:t>Table 28, pg96, SYGMA 1 Clinical Study Report. A 52-week, double-blind, randomised, multi-centre, parallel-group,</w:t>
      </w:r>
      <w:r>
        <w:rPr>
          <w:rFonts w:asciiTheme="minorHAnsi" w:eastAsiaTheme="minorHAnsi" w:hAnsiTheme="minorHAnsi" w:cstheme="minorHAnsi"/>
          <w:sz w:val="20"/>
          <w:szCs w:val="20"/>
          <w:lang w:eastAsia="en-US"/>
        </w:rPr>
        <w:t xml:space="preserve"> </w:t>
      </w:r>
      <w:r w:rsidRPr="007E5CD4">
        <w:rPr>
          <w:rFonts w:asciiTheme="minorHAnsi" w:eastAsiaTheme="minorHAnsi" w:hAnsiTheme="minorHAnsi" w:cstheme="minorHAnsi"/>
          <w:sz w:val="20"/>
          <w:szCs w:val="20"/>
          <w:lang w:eastAsia="en-US"/>
        </w:rPr>
        <w:t>Phase III study in patients 12 years and older with asthma, evaluating the</w:t>
      </w:r>
      <w:r>
        <w:rPr>
          <w:rFonts w:asciiTheme="minorHAnsi" w:eastAsiaTheme="minorHAnsi" w:hAnsiTheme="minorHAnsi" w:cstheme="minorHAnsi"/>
          <w:sz w:val="20"/>
          <w:szCs w:val="20"/>
          <w:lang w:eastAsia="en-US"/>
        </w:rPr>
        <w:t xml:space="preserve"> </w:t>
      </w:r>
      <w:r w:rsidRPr="007E5CD4">
        <w:rPr>
          <w:rFonts w:asciiTheme="minorHAnsi" w:eastAsiaTheme="minorHAnsi" w:hAnsiTheme="minorHAnsi" w:cstheme="minorHAnsi"/>
          <w:sz w:val="20"/>
          <w:szCs w:val="20"/>
          <w:lang w:eastAsia="en-US"/>
        </w:rPr>
        <w:t xml:space="preserve">efficacy and safety of </w:t>
      </w:r>
      <w:proofErr w:type="spellStart"/>
      <w:r w:rsidRPr="007E5CD4">
        <w:rPr>
          <w:rFonts w:asciiTheme="minorHAnsi" w:eastAsiaTheme="minorHAnsi" w:hAnsiTheme="minorHAnsi" w:cstheme="minorHAnsi"/>
          <w:sz w:val="20"/>
          <w:szCs w:val="20"/>
          <w:lang w:eastAsia="en-US"/>
        </w:rPr>
        <w:t>Symbicort</w:t>
      </w:r>
      <w:proofErr w:type="spellEnd"/>
      <w:r w:rsidRPr="007E5CD4">
        <w:rPr>
          <w:rFonts w:asciiTheme="minorHAnsi" w:eastAsiaTheme="minorHAnsi" w:hAnsiTheme="minorHAnsi" w:cstheme="minorHAnsi"/>
          <w:sz w:val="20"/>
          <w:szCs w:val="20"/>
          <w:lang w:eastAsia="en-US"/>
        </w:rPr>
        <w:t xml:space="preserve"> (budesonide/</w:t>
      </w:r>
      <w:proofErr w:type="spellStart"/>
      <w:r w:rsidRPr="007E5CD4">
        <w:rPr>
          <w:rFonts w:asciiTheme="minorHAnsi" w:eastAsiaTheme="minorHAnsi" w:hAnsiTheme="minorHAnsi" w:cstheme="minorHAnsi"/>
          <w:sz w:val="20"/>
          <w:szCs w:val="20"/>
          <w:lang w:eastAsia="en-US"/>
        </w:rPr>
        <w:t>formoterol</w:t>
      </w:r>
      <w:proofErr w:type="spellEnd"/>
      <w:r w:rsidRPr="007E5CD4">
        <w:rPr>
          <w:rFonts w:asciiTheme="minorHAnsi" w:eastAsiaTheme="minorHAnsi" w:hAnsiTheme="minorHAnsi" w:cstheme="minorHAnsi"/>
          <w:sz w:val="20"/>
          <w:szCs w:val="20"/>
          <w:lang w:eastAsia="en-US"/>
        </w:rPr>
        <w:t xml:space="preserve">) </w:t>
      </w:r>
      <w:proofErr w:type="spellStart"/>
      <w:r w:rsidRPr="007E5CD4">
        <w:rPr>
          <w:rFonts w:asciiTheme="minorHAnsi" w:eastAsiaTheme="minorHAnsi" w:hAnsiTheme="minorHAnsi" w:cstheme="minorHAnsi"/>
          <w:sz w:val="20"/>
          <w:szCs w:val="20"/>
          <w:lang w:eastAsia="en-US"/>
        </w:rPr>
        <w:t>Turbuhaler</w:t>
      </w:r>
      <w:proofErr w:type="spellEnd"/>
      <w:r>
        <w:rPr>
          <w:rFonts w:asciiTheme="minorHAnsi" w:eastAsiaTheme="minorHAnsi" w:hAnsiTheme="minorHAnsi" w:cstheme="minorHAnsi"/>
          <w:sz w:val="20"/>
          <w:szCs w:val="20"/>
          <w:lang w:eastAsia="en-US"/>
        </w:rPr>
        <w:t xml:space="preserve"> </w:t>
      </w:r>
      <w:r w:rsidRPr="007E5CD4">
        <w:rPr>
          <w:rFonts w:asciiTheme="minorHAnsi" w:eastAsiaTheme="minorHAnsi" w:hAnsiTheme="minorHAnsi" w:cstheme="minorHAnsi"/>
          <w:sz w:val="20"/>
          <w:szCs w:val="20"/>
          <w:lang w:eastAsia="en-US"/>
        </w:rPr>
        <w:t>160/4.5</w:t>
      </w:r>
      <w:r>
        <w:rPr>
          <w:rFonts w:asciiTheme="minorHAnsi" w:eastAsiaTheme="minorHAnsi" w:hAnsiTheme="minorHAnsi" w:cstheme="minorHAnsi"/>
          <w:sz w:val="20"/>
          <w:szCs w:val="20"/>
          <w:lang w:eastAsia="en-US"/>
        </w:rPr>
        <w:t xml:space="preserve"> mg ‘as needed’ and with </w:t>
      </w:r>
      <w:proofErr w:type="spellStart"/>
      <w:r>
        <w:rPr>
          <w:rFonts w:asciiTheme="minorHAnsi" w:eastAsiaTheme="minorHAnsi" w:hAnsiTheme="minorHAnsi" w:cstheme="minorHAnsi"/>
          <w:sz w:val="20"/>
          <w:szCs w:val="20"/>
          <w:lang w:eastAsia="en-US"/>
        </w:rPr>
        <w:t>Pulmicort</w:t>
      </w:r>
      <w:proofErr w:type="spellEnd"/>
      <w:r>
        <w:rPr>
          <w:rFonts w:asciiTheme="minorHAnsi" w:eastAsiaTheme="minorHAnsi" w:hAnsiTheme="minorHAnsi" w:cstheme="minorHAnsi"/>
          <w:sz w:val="20"/>
          <w:szCs w:val="20"/>
          <w:lang w:eastAsia="en-US"/>
        </w:rPr>
        <w:t xml:space="preserve"> (budesonide) </w:t>
      </w:r>
      <w:proofErr w:type="spellStart"/>
      <w:r>
        <w:rPr>
          <w:rFonts w:asciiTheme="minorHAnsi" w:eastAsiaTheme="minorHAnsi" w:hAnsiTheme="minorHAnsi" w:cstheme="minorHAnsi"/>
          <w:sz w:val="20"/>
          <w:szCs w:val="20"/>
          <w:lang w:eastAsia="en-US"/>
        </w:rPr>
        <w:t>Turbuhaler</w:t>
      </w:r>
      <w:proofErr w:type="spellEnd"/>
      <w:r>
        <w:rPr>
          <w:rFonts w:asciiTheme="minorHAnsi" w:eastAsiaTheme="minorHAnsi" w:hAnsiTheme="minorHAnsi" w:cstheme="minorHAnsi"/>
          <w:sz w:val="20"/>
          <w:szCs w:val="20"/>
          <w:lang w:eastAsia="en-US"/>
        </w:rPr>
        <w:t xml:space="preserve"> 200 microgram twice daily plus SABA </w:t>
      </w:r>
      <w:proofErr w:type="spellStart"/>
      <w:r>
        <w:rPr>
          <w:rFonts w:asciiTheme="minorHAnsi" w:eastAsiaTheme="minorHAnsi" w:hAnsiTheme="minorHAnsi" w:cstheme="minorHAnsi"/>
          <w:sz w:val="20"/>
          <w:szCs w:val="20"/>
          <w:lang w:eastAsia="en-US"/>
        </w:rPr>
        <w:t>Turbuhaler</w:t>
      </w:r>
      <w:proofErr w:type="spellEnd"/>
      <w:r>
        <w:rPr>
          <w:rFonts w:asciiTheme="minorHAnsi" w:eastAsiaTheme="minorHAnsi" w:hAnsiTheme="minorHAnsi" w:cstheme="minorHAnsi"/>
          <w:sz w:val="20"/>
          <w:szCs w:val="20"/>
          <w:lang w:eastAsia="en-US"/>
        </w:rPr>
        <w:t xml:space="preserve"> 0.4 mg as needed. February 2018. </w:t>
      </w:r>
    </w:p>
  </w:footnote>
  <w:footnote w:id="4">
    <w:p w:rsidR="009F08BF" w:rsidRPr="00680FDE" w:rsidRDefault="009F08BF" w:rsidP="007E5CD4">
      <w:pPr>
        <w:pStyle w:val="FootnoteText"/>
        <w:jc w:val="both"/>
        <w:rPr>
          <w:rFonts w:asciiTheme="minorHAnsi" w:hAnsiTheme="minorHAnsi" w:cstheme="minorHAnsi"/>
        </w:rPr>
      </w:pPr>
      <w:r w:rsidRPr="00680FDE">
        <w:rPr>
          <w:rStyle w:val="FootnoteReference"/>
          <w:rFonts w:asciiTheme="minorHAnsi" w:hAnsiTheme="minorHAnsi" w:cstheme="minorHAnsi"/>
        </w:rPr>
        <w:footnoteRef/>
      </w:r>
      <w:r w:rsidRPr="00680FDE">
        <w:rPr>
          <w:rFonts w:asciiTheme="minorHAnsi" w:hAnsiTheme="minorHAnsi" w:cstheme="minorHAnsi"/>
        </w:rPr>
        <w:t xml:space="preserve"> EMA guidance, Points to consider on switching between superiority and non-inferiority, July 2000. Available at </w:t>
      </w:r>
      <w:hyperlink r:id="rId1" w:history="1">
        <w:r w:rsidRPr="00680FDE">
          <w:rPr>
            <w:rStyle w:val="Hyperlink"/>
            <w:rFonts w:asciiTheme="minorHAnsi" w:hAnsiTheme="minorHAnsi" w:cstheme="minorHAnsi"/>
          </w:rPr>
          <w:t>https://www.ema.europa.eu/en/documents/scientific-guideline/points-consider-switching-between-superiority-non-inferiority_en.pdf</w:t>
        </w:r>
      </w:hyperlink>
    </w:p>
  </w:footnote>
  <w:footnote w:id="5">
    <w:p w:rsidR="009F08BF" w:rsidRPr="008D50A0" w:rsidRDefault="009F08BF" w:rsidP="00F31E52">
      <w:pPr>
        <w:autoSpaceDE w:val="0"/>
        <w:autoSpaceDN w:val="0"/>
        <w:adjustRightInd w:val="0"/>
        <w:jc w:val="both"/>
        <w:rPr>
          <w:rFonts w:ascii="Calibri" w:eastAsia="OTNEJMQuadraat" w:hAnsi="Calibri" w:cs="Calibri"/>
          <w:sz w:val="20"/>
          <w:szCs w:val="20"/>
        </w:rPr>
      </w:pPr>
      <w:r w:rsidRPr="008D50A0">
        <w:rPr>
          <w:rStyle w:val="FootnoteReference"/>
          <w:rFonts w:ascii="Calibri" w:hAnsi="Calibri" w:cs="Calibri"/>
          <w:sz w:val="20"/>
          <w:szCs w:val="20"/>
        </w:rPr>
        <w:footnoteRef/>
      </w:r>
      <w:r w:rsidRPr="008D50A0">
        <w:rPr>
          <w:rFonts w:ascii="Calibri" w:hAnsi="Calibri" w:cs="Calibri"/>
          <w:sz w:val="20"/>
          <w:szCs w:val="20"/>
        </w:rPr>
        <w:t xml:space="preserve"> Beasley R, et al. </w:t>
      </w:r>
      <w:r w:rsidRPr="008D50A0">
        <w:rPr>
          <w:rFonts w:ascii="Calibri" w:eastAsia="OTNEJMQuadraat" w:hAnsi="Calibri" w:cs="Calibri"/>
          <w:sz w:val="20"/>
          <w:szCs w:val="20"/>
        </w:rPr>
        <w:t>Controlled Trial of Budesonide–</w:t>
      </w:r>
      <w:proofErr w:type="spellStart"/>
      <w:r w:rsidRPr="008D50A0">
        <w:rPr>
          <w:rFonts w:ascii="Calibri" w:eastAsia="OTNEJMQuadraat" w:hAnsi="Calibri" w:cs="Calibri"/>
          <w:sz w:val="20"/>
          <w:szCs w:val="20"/>
        </w:rPr>
        <w:t>Formoterol</w:t>
      </w:r>
      <w:proofErr w:type="spellEnd"/>
      <w:r w:rsidRPr="008D50A0">
        <w:rPr>
          <w:rFonts w:ascii="Calibri" w:eastAsia="OTNEJMQuadraat" w:hAnsi="Calibri" w:cs="Calibri"/>
          <w:sz w:val="20"/>
          <w:szCs w:val="20"/>
        </w:rPr>
        <w:t xml:space="preserve"> as Needed for Mild Asthma. N </w:t>
      </w:r>
      <w:proofErr w:type="spellStart"/>
      <w:r w:rsidRPr="008D50A0">
        <w:rPr>
          <w:rFonts w:ascii="Calibri" w:eastAsia="OTNEJMQuadraat" w:hAnsi="Calibri" w:cs="Calibri"/>
          <w:sz w:val="20"/>
          <w:szCs w:val="20"/>
        </w:rPr>
        <w:t>Engl</w:t>
      </w:r>
      <w:proofErr w:type="spellEnd"/>
      <w:r w:rsidRPr="008D50A0">
        <w:rPr>
          <w:rFonts w:ascii="Calibri" w:eastAsia="OTNEJMQuadraat" w:hAnsi="Calibri" w:cs="Calibri"/>
          <w:sz w:val="20"/>
          <w:szCs w:val="20"/>
        </w:rPr>
        <w:t xml:space="preserve"> J Med 2019;380:2020-30</w:t>
      </w:r>
    </w:p>
  </w:footnote>
  <w:footnote w:id="6">
    <w:p w:rsidR="009F08BF" w:rsidRPr="008D50A0" w:rsidRDefault="009F08BF" w:rsidP="00F31E52">
      <w:pPr>
        <w:autoSpaceDE w:val="0"/>
        <w:autoSpaceDN w:val="0"/>
        <w:adjustRightInd w:val="0"/>
        <w:jc w:val="both"/>
        <w:rPr>
          <w:rFonts w:ascii="Calibri" w:hAnsi="Calibri" w:cs="Calibri"/>
          <w:sz w:val="20"/>
          <w:szCs w:val="20"/>
        </w:rPr>
      </w:pPr>
      <w:r w:rsidRPr="008D50A0">
        <w:rPr>
          <w:rStyle w:val="FootnoteReference"/>
          <w:rFonts w:ascii="Calibri" w:hAnsi="Calibri" w:cs="Calibri"/>
          <w:sz w:val="20"/>
          <w:szCs w:val="20"/>
        </w:rPr>
        <w:footnoteRef/>
      </w:r>
      <w:r w:rsidRPr="008D50A0">
        <w:rPr>
          <w:rStyle w:val="FootnoteReference"/>
          <w:rFonts w:ascii="Calibri" w:hAnsi="Calibri" w:cs="Calibri"/>
          <w:sz w:val="20"/>
          <w:szCs w:val="20"/>
        </w:rPr>
        <w:t xml:space="preserve"> </w:t>
      </w:r>
      <w:r w:rsidRPr="008D50A0">
        <w:rPr>
          <w:rFonts w:ascii="Calibri" w:hAnsi="Calibri" w:cs="Calibri"/>
          <w:sz w:val="20"/>
          <w:szCs w:val="20"/>
        </w:rPr>
        <w:t>Hardy J, et al. Budesonide-</w:t>
      </w:r>
      <w:proofErr w:type="spellStart"/>
      <w:r w:rsidRPr="008D50A0">
        <w:rPr>
          <w:rFonts w:ascii="Calibri" w:hAnsi="Calibri" w:cs="Calibri"/>
          <w:sz w:val="20"/>
          <w:szCs w:val="20"/>
        </w:rPr>
        <w:t>formoterol</w:t>
      </w:r>
      <w:proofErr w:type="spellEnd"/>
      <w:r w:rsidRPr="008D50A0">
        <w:rPr>
          <w:rFonts w:ascii="Calibri" w:hAnsi="Calibri" w:cs="Calibri"/>
          <w:sz w:val="20"/>
          <w:szCs w:val="20"/>
        </w:rPr>
        <w:t xml:space="preserve"> reliever therapy versus maintenance budesonide plus terbutaline reliever therapy in adults with mild to moderate asthma (PRACTICAL): a 52-week, open-label, multicentre, superiority, randomised controlled trial. Lancet 2019; 394: 919–28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F08BF" w:rsidRPr="008E0D90" w:rsidTr="00A06225">
      <w:trPr>
        <w:trHeight w:val="151"/>
      </w:trPr>
      <w:tc>
        <w:tcPr>
          <w:tcW w:w="2389" w:type="pct"/>
          <w:tcBorders>
            <w:top w:val="nil"/>
            <w:left w:val="nil"/>
            <w:bottom w:val="single" w:sz="4" w:space="0" w:color="4F81BD"/>
            <w:right w:val="nil"/>
          </w:tcBorders>
        </w:tcPr>
        <w:p w:rsidR="009F08BF" w:rsidRPr="00A06225" w:rsidRDefault="009F08BF">
          <w:pPr>
            <w:pStyle w:val="Header"/>
            <w:spacing w:line="276" w:lineRule="auto"/>
            <w:rPr>
              <w:rFonts w:ascii="Cambria" w:eastAsia="MS Gothic" w:hAnsi="Cambria"/>
              <w:b/>
              <w:bCs/>
              <w:color w:val="4F81BD"/>
            </w:rPr>
          </w:pPr>
          <w:bookmarkStart w:id="0" w:name="_GoBack" w:colFirst="0" w:colLast="3"/>
        </w:p>
      </w:tc>
      <w:tc>
        <w:tcPr>
          <w:tcW w:w="333" w:type="pct"/>
          <w:vMerge w:val="restart"/>
          <w:noWrap/>
          <w:vAlign w:val="center"/>
          <w:hideMark/>
        </w:tcPr>
        <w:p w:rsidR="009F08BF" w:rsidRPr="00A06225" w:rsidRDefault="009F08B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F08BF" w:rsidRPr="00A06225" w:rsidRDefault="009F08BF">
          <w:pPr>
            <w:pStyle w:val="Header"/>
            <w:spacing w:line="276" w:lineRule="auto"/>
            <w:rPr>
              <w:rFonts w:ascii="Cambria" w:eastAsia="MS Gothic" w:hAnsi="Cambria"/>
              <w:b/>
              <w:bCs/>
              <w:color w:val="4F81BD"/>
            </w:rPr>
          </w:pPr>
        </w:p>
      </w:tc>
    </w:tr>
    <w:tr w:rsidR="009F08BF" w:rsidRPr="008E0D90" w:rsidTr="00A06225">
      <w:trPr>
        <w:trHeight w:val="150"/>
      </w:trPr>
      <w:tc>
        <w:tcPr>
          <w:tcW w:w="2389" w:type="pct"/>
          <w:tcBorders>
            <w:top w:val="single" w:sz="4" w:space="0" w:color="4F81BD"/>
            <w:left w:val="nil"/>
            <w:bottom w:val="nil"/>
            <w:right w:val="nil"/>
          </w:tcBorders>
        </w:tcPr>
        <w:p w:rsidR="009F08BF" w:rsidRPr="00A06225" w:rsidRDefault="009F08BF">
          <w:pPr>
            <w:pStyle w:val="Header"/>
            <w:spacing w:line="276" w:lineRule="auto"/>
            <w:rPr>
              <w:rFonts w:ascii="Cambria" w:eastAsia="MS Gothic" w:hAnsi="Cambria"/>
              <w:b/>
              <w:bCs/>
              <w:color w:val="4F81BD"/>
            </w:rPr>
          </w:pPr>
        </w:p>
      </w:tc>
      <w:tc>
        <w:tcPr>
          <w:tcW w:w="0" w:type="auto"/>
          <w:vMerge/>
          <w:vAlign w:val="center"/>
          <w:hideMark/>
        </w:tcPr>
        <w:p w:rsidR="009F08BF" w:rsidRPr="00A06225" w:rsidRDefault="009F08BF">
          <w:pPr>
            <w:rPr>
              <w:rFonts w:ascii="Cambria" w:hAnsi="Cambria"/>
              <w:color w:val="4F81BD"/>
              <w:sz w:val="22"/>
              <w:szCs w:val="22"/>
            </w:rPr>
          </w:pPr>
        </w:p>
      </w:tc>
      <w:tc>
        <w:tcPr>
          <w:tcW w:w="2278" w:type="pct"/>
          <w:tcBorders>
            <w:top w:val="single" w:sz="4" w:space="0" w:color="4F81BD"/>
            <w:left w:val="nil"/>
            <w:bottom w:val="nil"/>
            <w:right w:val="nil"/>
          </w:tcBorders>
        </w:tcPr>
        <w:p w:rsidR="009F08BF" w:rsidRPr="00A06225" w:rsidRDefault="009F08BF">
          <w:pPr>
            <w:pStyle w:val="Header"/>
            <w:spacing w:line="276" w:lineRule="auto"/>
            <w:rPr>
              <w:rFonts w:ascii="Cambria" w:eastAsia="MS Gothic" w:hAnsi="Cambria"/>
              <w:b/>
              <w:bCs/>
              <w:color w:val="4F81BD"/>
            </w:rPr>
          </w:pPr>
        </w:p>
      </w:tc>
    </w:tr>
    <w:bookmarkEnd w:id="0"/>
  </w:tbl>
  <w:p w:rsidR="009F08BF" w:rsidRDefault="009F08BF">
    <w:pPr>
      <w:pStyle w:val="Header"/>
    </w:pPr>
  </w:p>
  <w:p w:rsidR="009F08BF" w:rsidRDefault="009F08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BF" w:rsidRPr="002104AB" w:rsidRDefault="009F08BF" w:rsidP="002104AB">
    <w:pPr>
      <w:pStyle w:val="Header"/>
      <w:keepNext/>
      <w:ind w:left="360"/>
      <w:jc w:val="center"/>
      <w:rPr>
        <w:rFonts w:asciiTheme="minorHAnsi" w:hAnsiTheme="minorHAnsi" w:cs="Arial"/>
        <w:i/>
      </w:rPr>
    </w:pPr>
    <w:r>
      <w:rPr>
        <w:rFonts w:asciiTheme="minorHAnsi" w:hAnsiTheme="minorHAnsi" w:cs="Arial"/>
        <w:i/>
      </w:rPr>
      <w:t>Public Summary Document</w:t>
    </w:r>
    <w:r w:rsidRPr="002104AB">
      <w:rPr>
        <w:rFonts w:asciiTheme="minorHAnsi" w:hAnsiTheme="minorHAnsi" w:cs="Arial"/>
        <w:i/>
      </w:rPr>
      <w:t xml:space="preserve"> – </w:t>
    </w:r>
    <w:r>
      <w:rPr>
        <w:rFonts w:asciiTheme="minorHAnsi" w:hAnsiTheme="minorHAnsi" w:cs="Arial"/>
        <w:i/>
      </w:rPr>
      <w:t>November</w:t>
    </w:r>
    <w:r w:rsidRPr="002104AB">
      <w:rPr>
        <w:rFonts w:asciiTheme="minorHAnsi" w:hAnsiTheme="minorHAnsi" w:cs="Arial"/>
        <w:i/>
      </w:rPr>
      <w:t xml:space="preserve"> 2019 PBAC Meeting</w:t>
    </w:r>
  </w:p>
  <w:p w:rsidR="009F08BF" w:rsidRDefault="009F08BF" w:rsidP="002104AB">
    <w:pPr>
      <w:pStyle w:val="Header"/>
      <w:keepNext/>
      <w:ind w:left="360"/>
      <w:jc w:val="center"/>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1620C"/>
    <w:multiLevelType w:val="hybridMultilevel"/>
    <w:tmpl w:val="E5D81478"/>
    <w:lvl w:ilvl="0" w:tplc="4D1480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53E4A"/>
    <w:multiLevelType w:val="hybridMultilevel"/>
    <w:tmpl w:val="CDC2FF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6741046"/>
    <w:multiLevelType w:val="hybridMultilevel"/>
    <w:tmpl w:val="267CD2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915FED"/>
    <w:multiLevelType w:val="hybridMultilevel"/>
    <w:tmpl w:val="B78020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99173C"/>
    <w:multiLevelType w:val="hybridMultilevel"/>
    <w:tmpl w:val="484E34CA"/>
    <w:lvl w:ilvl="0" w:tplc="98A47306">
      <w:numFmt w:val="bullet"/>
      <w:lvlText w:val="–"/>
      <w:lvlJc w:val="left"/>
      <w:pPr>
        <w:ind w:left="464" w:hanging="360"/>
      </w:pPr>
      <w:rPr>
        <w:rFonts w:ascii="Calibri" w:eastAsiaTheme="minorHAnsi"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5F191E"/>
    <w:multiLevelType w:val="hybridMultilevel"/>
    <w:tmpl w:val="6E1CB2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496ECE"/>
    <w:multiLevelType w:val="hybridMultilevel"/>
    <w:tmpl w:val="5AEC7EF8"/>
    <w:lvl w:ilvl="0" w:tplc="98A47306">
      <w:numFmt w:val="bullet"/>
      <w:lvlText w:val="–"/>
      <w:lvlJc w:val="left"/>
      <w:pPr>
        <w:ind w:left="464" w:hanging="360"/>
      </w:pPr>
      <w:rPr>
        <w:rFonts w:ascii="Calibri" w:eastAsiaTheme="minorHAnsi"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953570F"/>
    <w:multiLevelType w:val="hybridMultilevel"/>
    <w:tmpl w:val="40601D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6" w15:restartNumberingAfterBreak="0">
    <w:nsid w:val="3EE8155C"/>
    <w:multiLevelType w:val="hybridMultilevel"/>
    <w:tmpl w:val="3576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F00689"/>
    <w:multiLevelType w:val="hybridMultilevel"/>
    <w:tmpl w:val="E5FECC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E7749"/>
    <w:multiLevelType w:val="multilevel"/>
    <w:tmpl w:val="0F5229A4"/>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6AB7FAE"/>
    <w:multiLevelType w:val="hybridMultilevel"/>
    <w:tmpl w:val="F7529D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273BB6"/>
    <w:multiLevelType w:val="hybridMultilevel"/>
    <w:tmpl w:val="F8883F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84D033C"/>
    <w:multiLevelType w:val="multilevel"/>
    <w:tmpl w:val="2C0AE638"/>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0"/>
  </w:num>
  <w:num w:numId="3">
    <w:abstractNumId w:val="25"/>
  </w:num>
  <w:num w:numId="4">
    <w:abstractNumId w:val="22"/>
  </w:num>
  <w:num w:numId="5">
    <w:abstractNumId w:val="18"/>
  </w:num>
  <w:num w:numId="6">
    <w:abstractNumId w:val="15"/>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4"/>
  </w:num>
  <w:num w:numId="10">
    <w:abstractNumId w:val="6"/>
  </w:num>
  <w:num w:numId="11">
    <w:abstractNumId w:val="7"/>
  </w:num>
  <w:num w:numId="12">
    <w:abstractNumId w:val="11"/>
  </w:num>
  <w:num w:numId="13">
    <w:abstractNumId w:val="23"/>
  </w:num>
  <w:num w:numId="14">
    <w:abstractNumId w:val="14"/>
  </w:num>
  <w:num w:numId="15">
    <w:abstractNumId w:val="17"/>
  </w:num>
  <w:num w:numId="16">
    <w:abstractNumId w:val="5"/>
  </w:num>
  <w:num w:numId="17">
    <w:abstractNumId w:val="19"/>
  </w:num>
  <w:num w:numId="18">
    <w:abstractNumId w:val="21"/>
  </w:num>
  <w:num w:numId="19">
    <w:abstractNumId w:val="3"/>
  </w:num>
  <w:num w:numId="20">
    <w:abstractNumId w:val="1"/>
  </w:num>
  <w:num w:numId="21">
    <w:abstractNumId w:val="10"/>
  </w:num>
  <w:num w:numId="22">
    <w:abstractNumId w:val="12"/>
  </w:num>
  <w:num w:numId="23">
    <w:abstractNumId w:val="9"/>
  </w:num>
  <w:num w:numId="24">
    <w:abstractNumId w:val="20"/>
  </w:num>
  <w:num w:numId="25">
    <w:abstractNumId w:val="25"/>
  </w:num>
  <w:num w:numId="26">
    <w:abstractNumId w:val="25"/>
  </w:num>
  <w:num w:numId="27">
    <w:abstractNumId w:val="25"/>
  </w:num>
  <w:num w:numId="28">
    <w:abstractNumId w:val="25"/>
  </w:num>
  <w:num w:numId="29">
    <w:abstractNumId w:val="16"/>
  </w:num>
  <w:num w:numId="30">
    <w:abstractNumId w:val="2"/>
  </w:num>
  <w:num w:numId="31">
    <w:abstractNumId w:val="8"/>
  </w:num>
  <w:num w:numId="32">
    <w:abstractNumId w:val="25"/>
  </w:num>
  <w:num w:numId="33">
    <w:abstractNumId w:val="25"/>
  </w:num>
  <w:num w:numId="34">
    <w:abstractNumId w:val="25"/>
  </w:num>
  <w:num w:numId="35">
    <w:abstractNumId w:val="13"/>
  </w:num>
  <w:num w:numId="36">
    <w:abstractNumId w:val="25"/>
  </w:num>
  <w:num w:numId="37">
    <w:abstractNumId w:val="25"/>
  </w:num>
  <w:num w:numId="3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7AC"/>
    <w:rsid w:val="00011A59"/>
    <w:rsid w:val="00016A41"/>
    <w:rsid w:val="00017FB2"/>
    <w:rsid w:val="000202D4"/>
    <w:rsid w:val="000204FF"/>
    <w:rsid w:val="000214D1"/>
    <w:rsid w:val="0002464A"/>
    <w:rsid w:val="0003106B"/>
    <w:rsid w:val="00034905"/>
    <w:rsid w:val="00036617"/>
    <w:rsid w:val="000421A1"/>
    <w:rsid w:val="0004240E"/>
    <w:rsid w:val="00045B18"/>
    <w:rsid w:val="00045E26"/>
    <w:rsid w:val="000509B0"/>
    <w:rsid w:val="000514B5"/>
    <w:rsid w:val="00060E64"/>
    <w:rsid w:val="00066755"/>
    <w:rsid w:val="00071780"/>
    <w:rsid w:val="00074B2E"/>
    <w:rsid w:val="000763D5"/>
    <w:rsid w:val="00077143"/>
    <w:rsid w:val="00082169"/>
    <w:rsid w:val="0008265B"/>
    <w:rsid w:val="000918CB"/>
    <w:rsid w:val="00091B06"/>
    <w:rsid w:val="0009336A"/>
    <w:rsid w:val="000951C4"/>
    <w:rsid w:val="00095ADA"/>
    <w:rsid w:val="000969AD"/>
    <w:rsid w:val="00096D9E"/>
    <w:rsid w:val="000A3AA2"/>
    <w:rsid w:val="000A3C1F"/>
    <w:rsid w:val="000A44B2"/>
    <w:rsid w:val="000B2216"/>
    <w:rsid w:val="000B44C3"/>
    <w:rsid w:val="000B558D"/>
    <w:rsid w:val="000B7B09"/>
    <w:rsid w:val="000C08F4"/>
    <w:rsid w:val="000C5F95"/>
    <w:rsid w:val="000C5FD3"/>
    <w:rsid w:val="000C6996"/>
    <w:rsid w:val="000D09E9"/>
    <w:rsid w:val="000D2148"/>
    <w:rsid w:val="000D23BA"/>
    <w:rsid w:val="000E6506"/>
    <w:rsid w:val="000E681E"/>
    <w:rsid w:val="000F0003"/>
    <w:rsid w:val="000F3384"/>
    <w:rsid w:val="000F4E6A"/>
    <w:rsid w:val="000F56FB"/>
    <w:rsid w:val="000F7354"/>
    <w:rsid w:val="00100DB7"/>
    <w:rsid w:val="00102202"/>
    <w:rsid w:val="00104227"/>
    <w:rsid w:val="001107BF"/>
    <w:rsid w:val="00113649"/>
    <w:rsid w:val="00116E0C"/>
    <w:rsid w:val="0012417C"/>
    <w:rsid w:val="0012749D"/>
    <w:rsid w:val="001354F9"/>
    <w:rsid w:val="001378BE"/>
    <w:rsid w:val="00142395"/>
    <w:rsid w:val="00142714"/>
    <w:rsid w:val="00144227"/>
    <w:rsid w:val="00144F8C"/>
    <w:rsid w:val="001452ED"/>
    <w:rsid w:val="00147D84"/>
    <w:rsid w:val="001549C1"/>
    <w:rsid w:val="00162D4E"/>
    <w:rsid w:val="00163329"/>
    <w:rsid w:val="00164623"/>
    <w:rsid w:val="001652DE"/>
    <w:rsid w:val="00165B64"/>
    <w:rsid w:val="0017673F"/>
    <w:rsid w:val="00177488"/>
    <w:rsid w:val="00180713"/>
    <w:rsid w:val="001812EB"/>
    <w:rsid w:val="001830CE"/>
    <w:rsid w:val="00184D32"/>
    <w:rsid w:val="001862AA"/>
    <w:rsid w:val="0018643B"/>
    <w:rsid w:val="00187660"/>
    <w:rsid w:val="00192846"/>
    <w:rsid w:val="00194346"/>
    <w:rsid w:val="001952D2"/>
    <w:rsid w:val="00195A5C"/>
    <w:rsid w:val="00196307"/>
    <w:rsid w:val="001A33EA"/>
    <w:rsid w:val="001A4C4F"/>
    <w:rsid w:val="001A557D"/>
    <w:rsid w:val="001A76FB"/>
    <w:rsid w:val="001A7E7A"/>
    <w:rsid w:val="001B017F"/>
    <w:rsid w:val="001B2BBC"/>
    <w:rsid w:val="001B3FFE"/>
    <w:rsid w:val="001B5129"/>
    <w:rsid w:val="001B6861"/>
    <w:rsid w:val="001C0B4C"/>
    <w:rsid w:val="001C1195"/>
    <w:rsid w:val="001C13E4"/>
    <w:rsid w:val="001C63BA"/>
    <w:rsid w:val="001D1F5F"/>
    <w:rsid w:val="001E06D2"/>
    <w:rsid w:val="001F1850"/>
    <w:rsid w:val="001F3189"/>
    <w:rsid w:val="001F339C"/>
    <w:rsid w:val="001F3A0A"/>
    <w:rsid w:val="00203FAC"/>
    <w:rsid w:val="002104AB"/>
    <w:rsid w:val="00212C47"/>
    <w:rsid w:val="00213CFB"/>
    <w:rsid w:val="0021553C"/>
    <w:rsid w:val="0021557B"/>
    <w:rsid w:val="002174FD"/>
    <w:rsid w:val="00217BE1"/>
    <w:rsid w:val="00222707"/>
    <w:rsid w:val="0022479E"/>
    <w:rsid w:val="00234252"/>
    <w:rsid w:val="00237AC6"/>
    <w:rsid w:val="0024285A"/>
    <w:rsid w:val="00244490"/>
    <w:rsid w:val="00253499"/>
    <w:rsid w:val="00255000"/>
    <w:rsid w:val="002551A4"/>
    <w:rsid w:val="00257664"/>
    <w:rsid w:val="00264ED3"/>
    <w:rsid w:val="00265151"/>
    <w:rsid w:val="00266509"/>
    <w:rsid w:val="00271BA1"/>
    <w:rsid w:val="002762FA"/>
    <w:rsid w:val="002770F6"/>
    <w:rsid w:val="00277505"/>
    <w:rsid w:val="002776A1"/>
    <w:rsid w:val="002823B6"/>
    <w:rsid w:val="00284BB4"/>
    <w:rsid w:val="002939E7"/>
    <w:rsid w:val="00294274"/>
    <w:rsid w:val="0029458F"/>
    <w:rsid w:val="002A0E04"/>
    <w:rsid w:val="002A104C"/>
    <w:rsid w:val="002A494D"/>
    <w:rsid w:val="002A4960"/>
    <w:rsid w:val="002B0AE0"/>
    <w:rsid w:val="002B1AE6"/>
    <w:rsid w:val="002B1B2C"/>
    <w:rsid w:val="002B1D51"/>
    <w:rsid w:val="002B2DE8"/>
    <w:rsid w:val="002B30F8"/>
    <w:rsid w:val="002B388A"/>
    <w:rsid w:val="002B3F4C"/>
    <w:rsid w:val="002B518B"/>
    <w:rsid w:val="002B5596"/>
    <w:rsid w:val="002C212F"/>
    <w:rsid w:val="002C301B"/>
    <w:rsid w:val="002C301F"/>
    <w:rsid w:val="002C7485"/>
    <w:rsid w:val="002D283A"/>
    <w:rsid w:val="002D2EAF"/>
    <w:rsid w:val="002D4543"/>
    <w:rsid w:val="002E22B7"/>
    <w:rsid w:val="002E3153"/>
    <w:rsid w:val="002E5292"/>
    <w:rsid w:val="002E72CA"/>
    <w:rsid w:val="002F600D"/>
    <w:rsid w:val="00300AD6"/>
    <w:rsid w:val="00300B1B"/>
    <w:rsid w:val="003018DF"/>
    <w:rsid w:val="003019D0"/>
    <w:rsid w:val="0030410B"/>
    <w:rsid w:val="003064AF"/>
    <w:rsid w:val="00312D26"/>
    <w:rsid w:val="00317C6C"/>
    <w:rsid w:val="00320CD3"/>
    <w:rsid w:val="00320E90"/>
    <w:rsid w:val="003210D0"/>
    <w:rsid w:val="0032446D"/>
    <w:rsid w:val="00326E79"/>
    <w:rsid w:val="003301B1"/>
    <w:rsid w:val="00331189"/>
    <w:rsid w:val="0033263D"/>
    <w:rsid w:val="00333D3B"/>
    <w:rsid w:val="0033518A"/>
    <w:rsid w:val="003367EF"/>
    <w:rsid w:val="00341AE4"/>
    <w:rsid w:val="00342F41"/>
    <w:rsid w:val="003476EE"/>
    <w:rsid w:val="00350E65"/>
    <w:rsid w:val="003603DD"/>
    <w:rsid w:val="003677F4"/>
    <w:rsid w:val="003736C9"/>
    <w:rsid w:val="00381E74"/>
    <w:rsid w:val="00384594"/>
    <w:rsid w:val="00384988"/>
    <w:rsid w:val="003872CF"/>
    <w:rsid w:val="0039782C"/>
    <w:rsid w:val="003A2DA5"/>
    <w:rsid w:val="003A5B4A"/>
    <w:rsid w:val="003B23C5"/>
    <w:rsid w:val="003B2A75"/>
    <w:rsid w:val="003B6124"/>
    <w:rsid w:val="003B730A"/>
    <w:rsid w:val="003C093A"/>
    <w:rsid w:val="003C1ECF"/>
    <w:rsid w:val="003C2FB5"/>
    <w:rsid w:val="003C3962"/>
    <w:rsid w:val="003D098E"/>
    <w:rsid w:val="003D24C5"/>
    <w:rsid w:val="003D4AC4"/>
    <w:rsid w:val="003D63B7"/>
    <w:rsid w:val="003E0EFC"/>
    <w:rsid w:val="003E268C"/>
    <w:rsid w:val="003E468B"/>
    <w:rsid w:val="003E5067"/>
    <w:rsid w:val="003E62BD"/>
    <w:rsid w:val="003F0C3A"/>
    <w:rsid w:val="003F3228"/>
    <w:rsid w:val="003F5C8C"/>
    <w:rsid w:val="003F775A"/>
    <w:rsid w:val="00400448"/>
    <w:rsid w:val="00400E55"/>
    <w:rsid w:val="0040128E"/>
    <w:rsid w:val="0040216B"/>
    <w:rsid w:val="004074D9"/>
    <w:rsid w:val="00412869"/>
    <w:rsid w:val="00413101"/>
    <w:rsid w:val="00413C76"/>
    <w:rsid w:val="00414B1D"/>
    <w:rsid w:val="0042222B"/>
    <w:rsid w:val="004252EC"/>
    <w:rsid w:val="004263EF"/>
    <w:rsid w:val="00430AC7"/>
    <w:rsid w:val="00430D39"/>
    <w:rsid w:val="00437F2E"/>
    <w:rsid w:val="004416A6"/>
    <w:rsid w:val="00443813"/>
    <w:rsid w:val="004465BD"/>
    <w:rsid w:val="00461A44"/>
    <w:rsid w:val="00466ADA"/>
    <w:rsid w:val="004702BB"/>
    <w:rsid w:val="0047494B"/>
    <w:rsid w:val="00476245"/>
    <w:rsid w:val="00477A9B"/>
    <w:rsid w:val="00483035"/>
    <w:rsid w:val="004839B7"/>
    <w:rsid w:val="0048436F"/>
    <w:rsid w:val="00485940"/>
    <w:rsid w:val="004904B9"/>
    <w:rsid w:val="0049250D"/>
    <w:rsid w:val="0049616F"/>
    <w:rsid w:val="004A2484"/>
    <w:rsid w:val="004A29BC"/>
    <w:rsid w:val="004A3A1D"/>
    <w:rsid w:val="004A5A85"/>
    <w:rsid w:val="004A6B37"/>
    <w:rsid w:val="004A71D1"/>
    <w:rsid w:val="004A7472"/>
    <w:rsid w:val="004A7C5B"/>
    <w:rsid w:val="004B2E98"/>
    <w:rsid w:val="004B5304"/>
    <w:rsid w:val="004B5640"/>
    <w:rsid w:val="004C1BD7"/>
    <w:rsid w:val="004C31FE"/>
    <w:rsid w:val="004C44F6"/>
    <w:rsid w:val="004C524C"/>
    <w:rsid w:val="004C691D"/>
    <w:rsid w:val="004C6C07"/>
    <w:rsid w:val="004D07CF"/>
    <w:rsid w:val="004D4FCD"/>
    <w:rsid w:val="004D4FF6"/>
    <w:rsid w:val="004E575D"/>
    <w:rsid w:val="004E692D"/>
    <w:rsid w:val="004E7D87"/>
    <w:rsid w:val="004F2553"/>
    <w:rsid w:val="00501554"/>
    <w:rsid w:val="00501995"/>
    <w:rsid w:val="005020AC"/>
    <w:rsid w:val="00502AFE"/>
    <w:rsid w:val="00503AD7"/>
    <w:rsid w:val="00504E0C"/>
    <w:rsid w:val="005102D6"/>
    <w:rsid w:val="005109D4"/>
    <w:rsid w:val="005110D0"/>
    <w:rsid w:val="0051122A"/>
    <w:rsid w:val="00512659"/>
    <w:rsid w:val="00514CD7"/>
    <w:rsid w:val="00520D6A"/>
    <w:rsid w:val="00522DB6"/>
    <w:rsid w:val="0052322E"/>
    <w:rsid w:val="0052792D"/>
    <w:rsid w:val="00530F0E"/>
    <w:rsid w:val="005319B2"/>
    <w:rsid w:val="00532402"/>
    <w:rsid w:val="00532C74"/>
    <w:rsid w:val="00534E2E"/>
    <w:rsid w:val="00536973"/>
    <w:rsid w:val="00544552"/>
    <w:rsid w:val="0055286A"/>
    <w:rsid w:val="00555745"/>
    <w:rsid w:val="00557D4F"/>
    <w:rsid w:val="0056484E"/>
    <w:rsid w:val="00566297"/>
    <w:rsid w:val="00574BEF"/>
    <w:rsid w:val="005764CD"/>
    <w:rsid w:val="00577C4D"/>
    <w:rsid w:val="00580532"/>
    <w:rsid w:val="00581932"/>
    <w:rsid w:val="005827CD"/>
    <w:rsid w:val="005835E8"/>
    <w:rsid w:val="00585EB1"/>
    <w:rsid w:val="005963BB"/>
    <w:rsid w:val="005A0551"/>
    <w:rsid w:val="005A07CB"/>
    <w:rsid w:val="005A3173"/>
    <w:rsid w:val="005A3223"/>
    <w:rsid w:val="005A3DA3"/>
    <w:rsid w:val="005A52C4"/>
    <w:rsid w:val="005C1DF5"/>
    <w:rsid w:val="005D03AB"/>
    <w:rsid w:val="005D5017"/>
    <w:rsid w:val="005D59AA"/>
    <w:rsid w:val="005D63FA"/>
    <w:rsid w:val="005E0BE3"/>
    <w:rsid w:val="005E1333"/>
    <w:rsid w:val="005E165F"/>
    <w:rsid w:val="005E3136"/>
    <w:rsid w:val="005E507D"/>
    <w:rsid w:val="005F29F1"/>
    <w:rsid w:val="005F55DF"/>
    <w:rsid w:val="006003A2"/>
    <w:rsid w:val="00601A91"/>
    <w:rsid w:val="00602BA3"/>
    <w:rsid w:val="00605B63"/>
    <w:rsid w:val="00606EED"/>
    <w:rsid w:val="00612E34"/>
    <w:rsid w:val="00614159"/>
    <w:rsid w:val="006159DD"/>
    <w:rsid w:val="00616C5F"/>
    <w:rsid w:val="00616DAC"/>
    <w:rsid w:val="00616FE6"/>
    <w:rsid w:val="00617C00"/>
    <w:rsid w:val="00622D1E"/>
    <w:rsid w:val="006263BF"/>
    <w:rsid w:val="0062748A"/>
    <w:rsid w:val="00630A2C"/>
    <w:rsid w:val="006332BE"/>
    <w:rsid w:val="0063682E"/>
    <w:rsid w:val="00642DA8"/>
    <w:rsid w:val="006436CD"/>
    <w:rsid w:val="00651169"/>
    <w:rsid w:val="00653D69"/>
    <w:rsid w:val="00654201"/>
    <w:rsid w:val="00655021"/>
    <w:rsid w:val="006552E6"/>
    <w:rsid w:val="00657C63"/>
    <w:rsid w:val="0066161B"/>
    <w:rsid w:val="00663171"/>
    <w:rsid w:val="00666C06"/>
    <w:rsid w:val="006670BE"/>
    <w:rsid w:val="00670A76"/>
    <w:rsid w:val="006711AA"/>
    <w:rsid w:val="00672B57"/>
    <w:rsid w:val="00675622"/>
    <w:rsid w:val="0067747D"/>
    <w:rsid w:val="00680FDE"/>
    <w:rsid w:val="00681CA4"/>
    <w:rsid w:val="0069039D"/>
    <w:rsid w:val="006906DB"/>
    <w:rsid w:val="00691E6C"/>
    <w:rsid w:val="00693DFB"/>
    <w:rsid w:val="0069501D"/>
    <w:rsid w:val="00696129"/>
    <w:rsid w:val="00696B78"/>
    <w:rsid w:val="00697CF2"/>
    <w:rsid w:val="006A12A5"/>
    <w:rsid w:val="006A1CDF"/>
    <w:rsid w:val="006A3440"/>
    <w:rsid w:val="006A5E20"/>
    <w:rsid w:val="006B0D94"/>
    <w:rsid w:val="006B485D"/>
    <w:rsid w:val="006C17F7"/>
    <w:rsid w:val="006C334C"/>
    <w:rsid w:val="006C708E"/>
    <w:rsid w:val="006D03EE"/>
    <w:rsid w:val="006D14E7"/>
    <w:rsid w:val="006D1885"/>
    <w:rsid w:val="006D4444"/>
    <w:rsid w:val="006D6493"/>
    <w:rsid w:val="006D6EC7"/>
    <w:rsid w:val="006D705A"/>
    <w:rsid w:val="006E0190"/>
    <w:rsid w:val="006E04F3"/>
    <w:rsid w:val="006E1BCD"/>
    <w:rsid w:val="006E4CA0"/>
    <w:rsid w:val="006E51BA"/>
    <w:rsid w:val="006F5125"/>
    <w:rsid w:val="006F733D"/>
    <w:rsid w:val="00702B6F"/>
    <w:rsid w:val="00706A2F"/>
    <w:rsid w:val="0070718E"/>
    <w:rsid w:val="007105F3"/>
    <w:rsid w:val="0071340B"/>
    <w:rsid w:val="007174BB"/>
    <w:rsid w:val="00717C6C"/>
    <w:rsid w:val="0072025D"/>
    <w:rsid w:val="00724E9F"/>
    <w:rsid w:val="0073137C"/>
    <w:rsid w:val="007353D3"/>
    <w:rsid w:val="0074156B"/>
    <w:rsid w:val="00742B28"/>
    <w:rsid w:val="007506A2"/>
    <w:rsid w:val="00750D58"/>
    <w:rsid w:val="007537E3"/>
    <w:rsid w:val="007555E8"/>
    <w:rsid w:val="00761B6D"/>
    <w:rsid w:val="0076348C"/>
    <w:rsid w:val="0076420C"/>
    <w:rsid w:val="00771D07"/>
    <w:rsid w:val="00772038"/>
    <w:rsid w:val="00774E2C"/>
    <w:rsid w:val="007753C2"/>
    <w:rsid w:val="007815AA"/>
    <w:rsid w:val="007838B8"/>
    <w:rsid w:val="00791145"/>
    <w:rsid w:val="007915BA"/>
    <w:rsid w:val="007A3AB3"/>
    <w:rsid w:val="007A6774"/>
    <w:rsid w:val="007A7B83"/>
    <w:rsid w:val="007B01C2"/>
    <w:rsid w:val="007B09BF"/>
    <w:rsid w:val="007B3DDC"/>
    <w:rsid w:val="007B3E0B"/>
    <w:rsid w:val="007B4E4A"/>
    <w:rsid w:val="007B651D"/>
    <w:rsid w:val="007B6841"/>
    <w:rsid w:val="007B72A6"/>
    <w:rsid w:val="007C05D6"/>
    <w:rsid w:val="007C0F57"/>
    <w:rsid w:val="007C1482"/>
    <w:rsid w:val="007C40B6"/>
    <w:rsid w:val="007C729F"/>
    <w:rsid w:val="007D0E6E"/>
    <w:rsid w:val="007D377C"/>
    <w:rsid w:val="007E1D28"/>
    <w:rsid w:val="007E5CD4"/>
    <w:rsid w:val="007E7C7C"/>
    <w:rsid w:val="007F0021"/>
    <w:rsid w:val="007F2641"/>
    <w:rsid w:val="007F4C03"/>
    <w:rsid w:val="007F7C36"/>
    <w:rsid w:val="008004D5"/>
    <w:rsid w:val="00806796"/>
    <w:rsid w:val="00810B15"/>
    <w:rsid w:val="00811CC0"/>
    <w:rsid w:val="008151D6"/>
    <w:rsid w:val="00821527"/>
    <w:rsid w:val="0082223B"/>
    <w:rsid w:val="00822592"/>
    <w:rsid w:val="00826553"/>
    <w:rsid w:val="008268BB"/>
    <w:rsid w:val="00826F6D"/>
    <w:rsid w:val="008306F3"/>
    <w:rsid w:val="00830E40"/>
    <w:rsid w:val="008360B2"/>
    <w:rsid w:val="00847F0A"/>
    <w:rsid w:val="00855FD6"/>
    <w:rsid w:val="00856DDD"/>
    <w:rsid w:val="00857D0E"/>
    <w:rsid w:val="008615AD"/>
    <w:rsid w:val="00863E68"/>
    <w:rsid w:val="008647B5"/>
    <w:rsid w:val="00864976"/>
    <w:rsid w:val="00875DCB"/>
    <w:rsid w:val="00882085"/>
    <w:rsid w:val="00883188"/>
    <w:rsid w:val="00883BD1"/>
    <w:rsid w:val="008922C6"/>
    <w:rsid w:val="00897D58"/>
    <w:rsid w:val="00897F22"/>
    <w:rsid w:val="008A0B39"/>
    <w:rsid w:val="008A1956"/>
    <w:rsid w:val="008A421F"/>
    <w:rsid w:val="008A4937"/>
    <w:rsid w:val="008A50F1"/>
    <w:rsid w:val="008A59D9"/>
    <w:rsid w:val="008A6819"/>
    <w:rsid w:val="008B2EC0"/>
    <w:rsid w:val="008B5BAF"/>
    <w:rsid w:val="008C51E1"/>
    <w:rsid w:val="008D1B5C"/>
    <w:rsid w:val="008D3C82"/>
    <w:rsid w:val="008D447E"/>
    <w:rsid w:val="008D5073"/>
    <w:rsid w:val="008D7A41"/>
    <w:rsid w:val="008E1AF2"/>
    <w:rsid w:val="008E2C72"/>
    <w:rsid w:val="008E3680"/>
    <w:rsid w:val="008E5870"/>
    <w:rsid w:val="008E7AAE"/>
    <w:rsid w:val="008F1196"/>
    <w:rsid w:val="008F1434"/>
    <w:rsid w:val="008F1A90"/>
    <w:rsid w:val="008F2EB7"/>
    <w:rsid w:val="008F54C3"/>
    <w:rsid w:val="008F7355"/>
    <w:rsid w:val="009023DC"/>
    <w:rsid w:val="00902D4E"/>
    <w:rsid w:val="00903FA9"/>
    <w:rsid w:val="009067B7"/>
    <w:rsid w:val="00911A0B"/>
    <w:rsid w:val="00926560"/>
    <w:rsid w:val="009265E1"/>
    <w:rsid w:val="00927DF4"/>
    <w:rsid w:val="00930937"/>
    <w:rsid w:val="00931D62"/>
    <w:rsid w:val="009324A6"/>
    <w:rsid w:val="00933E6C"/>
    <w:rsid w:val="0093427D"/>
    <w:rsid w:val="00935085"/>
    <w:rsid w:val="0093636F"/>
    <w:rsid w:val="00937958"/>
    <w:rsid w:val="00941218"/>
    <w:rsid w:val="00941602"/>
    <w:rsid w:val="00942160"/>
    <w:rsid w:val="0095146F"/>
    <w:rsid w:val="00951898"/>
    <w:rsid w:val="00957944"/>
    <w:rsid w:val="009602C5"/>
    <w:rsid w:val="00962223"/>
    <w:rsid w:val="0096273B"/>
    <w:rsid w:val="00962E82"/>
    <w:rsid w:val="00966D0D"/>
    <w:rsid w:val="0096783C"/>
    <w:rsid w:val="009722B3"/>
    <w:rsid w:val="00973650"/>
    <w:rsid w:val="00974C21"/>
    <w:rsid w:val="00974F4D"/>
    <w:rsid w:val="00977090"/>
    <w:rsid w:val="00977BF3"/>
    <w:rsid w:val="009803E4"/>
    <w:rsid w:val="00980B0E"/>
    <w:rsid w:val="009836A3"/>
    <w:rsid w:val="00984961"/>
    <w:rsid w:val="009855A8"/>
    <w:rsid w:val="009913F4"/>
    <w:rsid w:val="0099465B"/>
    <w:rsid w:val="009969FA"/>
    <w:rsid w:val="009A0CDD"/>
    <w:rsid w:val="009A3168"/>
    <w:rsid w:val="009A61CA"/>
    <w:rsid w:val="009B0C64"/>
    <w:rsid w:val="009B0F67"/>
    <w:rsid w:val="009C1B0D"/>
    <w:rsid w:val="009C703C"/>
    <w:rsid w:val="009D14DE"/>
    <w:rsid w:val="009D206E"/>
    <w:rsid w:val="009D3CAA"/>
    <w:rsid w:val="009D4EE6"/>
    <w:rsid w:val="009D516A"/>
    <w:rsid w:val="009D6532"/>
    <w:rsid w:val="009E40E1"/>
    <w:rsid w:val="009F08BF"/>
    <w:rsid w:val="009F0EFA"/>
    <w:rsid w:val="009F4E46"/>
    <w:rsid w:val="009F5B65"/>
    <w:rsid w:val="009F5F2E"/>
    <w:rsid w:val="00A023FC"/>
    <w:rsid w:val="00A06225"/>
    <w:rsid w:val="00A07DCA"/>
    <w:rsid w:val="00A128E6"/>
    <w:rsid w:val="00A144D3"/>
    <w:rsid w:val="00A16ECC"/>
    <w:rsid w:val="00A22AC3"/>
    <w:rsid w:val="00A2744D"/>
    <w:rsid w:val="00A32A49"/>
    <w:rsid w:val="00A34E6C"/>
    <w:rsid w:val="00A36398"/>
    <w:rsid w:val="00A37216"/>
    <w:rsid w:val="00A37C8D"/>
    <w:rsid w:val="00A37FDC"/>
    <w:rsid w:val="00A4020E"/>
    <w:rsid w:val="00A40FB5"/>
    <w:rsid w:val="00A42826"/>
    <w:rsid w:val="00A46037"/>
    <w:rsid w:val="00A5273B"/>
    <w:rsid w:val="00A53A9D"/>
    <w:rsid w:val="00A55FEE"/>
    <w:rsid w:val="00A62C1A"/>
    <w:rsid w:val="00A6426D"/>
    <w:rsid w:val="00A647AC"/>
    <w:rsid w:val="00A665C1"/>
    <w:rsid w:val="00A70622"/>
    <w:rsid w:val="00A70977"/>
    <w:rsid w:val="00A70D58"/>
    <w:rsid w:val="00A744F9"/>
    <w:rsid w:val="00A7506D"/>
    <w:rsid w:val="00A76EAC"/>
    <w:rsid w:val="00A77613"/>
    <w:rsid w:val="00A8390C"/>
    <w:rsid w:val="00A928BD"/>
    <w:rsid w:val="00A97DE9"/>
    <w:rsid w:val="00AA12CD"/>
    <w:rsid w:val="00AA2BE8"/>
    <w:rsid w:val="00AA47CC"/>
    <w:rsid w:val="00AA4D1C"/>
    <w:rsid w:val="00AA4D70"/>
    <w:rsid w:val="00AB3885"/>
    <w:rsid w:val="00AB5856"/>
    <w:rsid w:val="00AC193C"/>
    <w:rsid w:val="00AC4DE5"/>
    <w:rsid w:val="00AC5206"/>
    <w:rsid w:val="00AC7F78"/>
    <w:rsid w:val="00AD0179"/>
    <w:rsid w:val="00AD2A6C"/>
    <w:rsid w:val="00AD4322"/>
    <w:rsid w:val="00AE0A94"/>
    <w:rsid w:val="00AE11A5"/>
    <w:rsid w:val="00AE13E2"/>
    <w:rsid w:val="00AE22D3"/>
    <w:rsid w:val="00AE2B80"/>
    <w:rsid w:val="00AE5A49"/>
    <w:rsid w:val="00AE680D"/>
    <w:rsid w:val="00AE7AB2"/>
    <w:rsid w:val="00AF0A76"/>
    <w:rsid w:val="00AF0DD8"/>
    <w:rsid w:val="00AF2EC3"/>
    <w:rsid w:val="00AF4339"/>
    <w:rsid w:val="00AF62DF"/>
    <w:rsid w:val="00AF68CC"/>
    <w:rsid w:val="00AF70D7"/>
    <w:rsid w:val="00B03139"/>
    <w:rsid w:val="00B04074"/>
    <w:rsid w:val="00B07CFB"/>
    <w:rsid w:val="00B1059E"/>
    <w:rsid w:val="00B170A5"/>
    <w:rsid w:val="00B176C8"/>
    <w:rsid w:val="00B20516"/>
    <w:rsid w:val="00B205AA"/>
    <w:rsid w:val="00B22E84"/>
    <w:rsid w:val="00B233AD"/>
    <w:rsid w:val="00B23E25"/>
    <w:rsid w:val="00B25F75"/>
    <w:rsid w:val="00B2617E"/>
    <w:rsid w:val="00B26B3F"/>
    <w:rsid w:val="00B2778F"/>
    <w:rsid w:val="00B31F91"/>
    <w:rsid w:val="00B33635"/>
    <w:rsid w:val="00B43E90"/>
    <w:rsid w:val="00B467DC"/>
    <w:rsid w:val="00B56118"/>
    <w:rsid w:val="00B62828"/>
    <w:rsid w:val="00B6773F"/>
    <w:rsid w:val="00B760FB"/>
    <w:rsid w:val="00B767AB"/>
    <w:rsid w:val="00B801BA"/>
    <w:rsid w:val="00B83106"/>
    <w:rsid w:val="00B839ED"/>
    <w:rsid w:val="00B84D5C"/>
    <w:rsid w:val="00B906C7"/>
    <w:rsid w:val="00B9143E"/>
    <w:rsid w:val="00B91B26"/>
    <w:rsid w:val="00B97B8D"/>
    <w:rsid w:val="00BA1F34"/>
    <w:rsid w:val="00BA2DA8"/>
    <w:rsid w:val="00BA347C"/>
    <w:rsid w:val="00BB1883"/>
    <w:rsid w:val="00BB2CDD"/>
    <w:rsid w:val="00BB3E31"/>
    <w:rsid w:val="00BB69F5"/>
    <w:rsid w:val="00BB7EC3"/>
    <w:rsid w:val="00BC1383"/>
    <w:rsid w:val="00BC3A49"/>
    <w:rsid w:val="00BC4B9A"/>
    <w:rsid w:val="00BD02C3"/>
    <w:rsid w:val="00BD784C"/>
    <w:rsid w:val="00BE020A"/>
    <w:rsid w:val="00BE1568"/>
    <w:rsid w:val="00BE5F21"/>
    <w:rsid w:val="00BF092C"/>
    <w:rsid w:val="00BF27A0"/>
    <w:rsid w:val="00BF36F6"/>
    <w:rsid w:val="00BF4CB6"/>
    <w:rsid w:val="00BF6117"/>
    <w:rsid w:val="00C00DA7"/>
    <w:rsid w:val="00C07066"/>
    <w:rsid w:val="00C10164"/>
    <w:rsid w:val="00C10275"/>
    <w:rsid w:val="00C10CD7"/>
    <w:rsid w:val="00C126E7"/>
    <w:rsid w:val="00C12768"/>
    <w:rsid w:val="00C12D70"/>
    <w:rsid w:val="00C20D5C"/>
    <w:rsid w:val="00C21B09"/>
    <w:rsid w:val="00C2673A"/>
    <w:rsid w:val="00C27B58"/>
    <w:rsid w:val="00C35996"/>
    <w:rsid w:val="00C44718"/>
    <w:rsid w:val="00C4747E"/>
    <w:rsid w:val="00C47911"/>
    <w:rsid w:val="00C50199"/>
    <w:rsid w:val="00C5084E"/>
    <w:rsid w:val="00C51120"/>
    <w:rsid w:val="00C5342C"/>
    <w:rsid w:val="00C53B2B"/>
    <w:rsid w:val="00C57244"/>
    <w:rsid w:val="00C60272"/>
    <w:rsid w:val="00C603D4"/>
    <w:rsid w:val="00C612B9"/>
    <w:rsid w:val="00C6256A"/>
    <w:rsid w:val="00C710E2"/>
    <w:rsid w:val="00C7188E"/>
    <w:rsid w:val="00C71C3F"/>
    <w:rsid w:val="00C7409E"/>
    <w:rsid w:val="00C76E76"/>
    <w:rsid w:val="00C77891"/>
    <w:rsid w:val="00C84EE0"/>
    <w:rsid w:val="00C8713B"/>
    <w:rsid w:val="00C91449"/>
    <w:rsid w:val="00C92D10"/>
    <w:rsid w:val="00C93311"/>
    <w:rsid w:val="00CA2207"/>
    <w:rsid w:val="00CA307B"/>
    <w:rsid w:val="00CA4184"/>
    <w:rsid w:val="00CA48D9"/>
    <w:rsid w:val="00CB1193"/>
    <w:rsid w:val="00CB1F3A"/>
    <w:rsid w:val="00CB4767"/>
    <w:rsid w:val="00CB493D"/>
    <w:rsid w:val="00CC3B97"/>
    <w:rsid w:val="00CC7C4E"/>
    <w:rsid w:val="00CD1960"/>
    <w:rsid w:val="00CD7869"/>
    <w:rsid w:val="00CE10C4"/>
    <w:rsid w:val="00CE27B5"/>
    <w:rsid w:val="00CE6DAF"/>
    <w:rsid w:val="00CF2E8C"/>
    <w:rsid w:val="00CF410A"/>
    <w:rsid w:val="00CF73B7"/>
    <w:rsid w:val="00D00AF8"/>
    <w:rsid w:val="00D0321E"/>
    <w:rsid w:val="00D07A8A"/>
    <w:rsid w:val="00D1455A"/>
    <w:rsid w:val="00D14AEA"/>
    <w:rsid w:val="00D22093"/>
    <w:rsid w:val="00D26297"/>
    <w:rsid w:val="00D26D37"/>
    <w:rsid w:val="00D31150"/>
    <w:rsid w:val="00D3138B"/>
    <w:rsid w:val="00D3280C"/>
    <w:rsid w:val="00D33004"/>
    <w:rsid w:val="00D33371"/>
    <w:rsid w:val="00D3406A"/>
    <w:rsid w:val="00D429A7"/>
    <w:rsid w:val="00D439F1"/>
    <w:rsid w:val="00D441F1"/>
    <w:rsid w:val="00D4572C"/>
    <w:rsid w:val="00D469B2"/>
    <w:rsid w:val="00D47F7F"/>
    <w:rsid w:val="00D65658"/>
    <w:rsid w:val="00D72B6F"/>
    <w:rsid w:val="00D741EB"/>
    <w:rsid w:val="00D7679C"/>
    <w:rsid w:val="00D820F3"/>
    <w:rsid w:val="00D83605"/>
    <w:rsid w:val="00D843C5"/>
    <w:rsid w:val="00D84934"/>
    <w:rsid w:val="00D91271"/>
    <w:rsid w:val="00D919F5"/>
    <w:rsid w:val="00D94F03"/>
    <w:rsid w:val="00DA0D14"/>
    <w:rsid w:val="00DA1FC9"/>
    <w:rsid w:val="00DA2CB5"/>
    <w:rsid w:val="00DA4BAC"/>
    <w:rsid w:val="00DA6776"/>
    <w:rsid w:val="00DB0151"/>
    <w:rsid w:val="00DB5CD4"/>
    <w:rsid w:val="00DB66E7"/>
    <w:rsid w:val="00DB6B43"/>
    <w:rsid w:val="00DC2C3E"/>
    <w:rsid w:val="00DC2E4D"/>
    <w:rsid w:val="00DC4880"/>
    <w:rsid w:val="00DE3BEB"/>
    <w:rsid w:val="00DE670E"/>
    <w:rsid w:val="00DE6D27"/>
    <w:rsid w:val="00DF217D"/>
    <w:rsid w:val="00DF26A7"/>
    <w:rsid w:val="00DF3277"/>
    <w:rsid w:val="00DF52B2"/>
    <w:rsid w:val="00DF6B44"/>
    <w:rsid w:val="00DF7919"/>
    <w:rsid w:val="00DF79FB"/>
    <w:rsid w:val="00E0207E"/>
    <w:rsid w:val="00E03912"/>
    <w:rsid w:val="00E06EA6"/>
    <w:rsid w:val="00E1115C"/>
    <w:rsid w:val="00E15627"/>
    <w:rsid w:val="00E164B3"/>
    <w:rsid w:val="00E16910"/>
    <w:rsid w:val="00E24E09"/>
    <w:rsid w:val="00E24EB9"/>
    <w:rsid w:val="00E27234"/>
    <w:rsid w:val="00E32C77"/>
    <w:rsid w:val="00E35C09"/>
    <w:rsid w:val="00E40E33"/>
    <w:rsid w:val="00E42BDB"/>
    <w:rsid w:val="00E43ED8"/>
    <w:rsid w:val="00E51804"/>
    <w:rsid w:val="00E57EEB"/>
    <w:rsid w:val="00E62D94"/>
    <w:rsid w:val="00E64423"/>
    <w:rsid w:val="00E64F37"/>
    <w:rsid w:val="00E65E54"/>
    <w:rsid w:val="00E661C7"/>
    <w:rsid w:val="00E716B4"/>
    <w:rsid w:val="00E80155"/>
    <w:rsid w:val="00E81E0D"/>
    <w:rsid w:val="00E81F28"/>
    <w:rsid w:val="00E848C0"/>
    <w:rsid w:val="00E8494A"/>
    <w:rsid w:val="00E91B96"/>
    <w:rsid w:val="00E93D1E"/>
    <w:rsid w:val="00E941A1"/>
    <w:rsid w:val="00E95CE3"/>
    <w:rsid w:val="00E9735D"/>
    <w:rsid w:val="00EA252F"/>
    <w:rsid w:val="00EA2825"/>
    <w:rsid w:val="00EA3EE6"/>
    <w:rsid w:val="00EA412C"/>
    <w:rsid w:val="00EA7EDE"/>
    <w:rsid w:val="00EB0B63"/>
    <w:rsid w:val="00EB1936"/>
    <w:rsid w:val="00EB37BE"/>
    <w:rsid w:val="00EB5088"/>
    <w:rsid w:val="00EC7A54"/>
    <w:rsid w:val="00ED1644"/>
    <w:rsid w:val="00ED1ACA"/>
    <w:rsid w:val="00ED2593"/>
    <w:rsid w:val="00ED398F"/>
    <w:rsid w:val="00ED3E85"/>
    <w:rsid w:val="00ED7D9C"/>
    <w:rsid w:val="00EE39FD"/>
    <w:rsid w:val="00EE6396"/>
    <w:rsid w:val="00EF0069"/>
    <w:rsid w:val="00EF1839"/>
    <w:rsid w:val="00EF44A0"/>
    <w:rsid w:val="00EF4FED"/>
    <w:rsid w:val="00F007C6"/>
    <w:rsid w:val="00F0172E"/>
    <w:rsid w:val="00F050BD"/>
    <w:rsid w:val="00F05657"/>
    <w:rsid w:val="00F12701"/>
    <w:rsid w:val="00F141BB"/>
    <w:rsid w:val="00F14E6C"/>
    <w:rsid w:val="00F162E3"/>
    <w:rsid w:val="00F209E2"/>
    <w:rsid w:val="00F2199C"/>
    <w:rsid w:val="00F25578"/>
    <w:rsid w:val="00F258E5"/>
    <w:rsid w:val="00F25B9C"/>
    <w:rsid w:val="00F26CC6"/>
    <w:rsid w:val="00F3005F"/>
    <w:rsid w:val="00F300BC"/>
    <w:rsid w:val="00F3080B"/>
    <w:rsid w:val="00F31E52"/>
    <w:rsid w:val="00F3263C"/>
    <w:rsid w:val="00F3334E"/>
    <w:rsid w:val="00F36CCB"/>
    <w:rsid w:val="00F374E5"/>
    <w:rsid w:val="00F37B93"/>
    <w:rsid w:val="00F41AA0"/>
    <w:rsid w:val="00F43AF2"/>
    <w:rsid w:val="00F5007E"/>
    <w:rsid w:val="00F502DC"/>
    <w:rsid w:val="00F50EC4"/>
    <w:rsid w:val="00F52232"/>
    <w:rsid w:val="00F550CF"/>
    <w:rsid w:val="00F57A6D"/>
    <w:rsid w:val="00F638CC"/>
    <w:rsid w:val="00F64C9E"/>
    <w:rsid w:val="00F64CC1"/>
    <w:rsid w:val="00F66893"/>
    <w:rsid w:val="00F710F5"/>
    <w:rsid w:val="00F72317"/>
    <w:rsid w:val="00F744DA"/>
    <w:rsid w:val="00F80475"/>
    <w:rsid w:val="00F8247A"/>
    <w:rsid w:val="00F91988"/>
    <w:rsid w:val="00F9629A"/>
    <w:rsid w:val="00F97EFC"/>
    <w:rsid w:val="00FA1BDD"/>
    <w:rsid w:val="00FA25C0"/>
    <w:rsid w:val="00FA4DD5"/>
    <w:rsid w:val="00FA5883"/>
    <w:rsid w:val="00FA6055"/>
    <w:rsid w:val="00FA6753"/>
    <w:rsid w:val="00FA7137"/>
    <w:rsid w:val="00FB322F"/>
    <w:rsid w:val="00FB442F"/>
    <w:rsid w:val="00FC1929"/>
    <w:rsid w:val="00FC5B46"/>
    <w:rsid w:val="00FD26F6"/>
    <w:rsid w:val="00FD4A36"/>
    <w:rsid w:val="00FD6D8E"/>
    <w:rsid w:val="00FE0E94"/>
    <w:rsid w:val="00FE3CD9"/>
    <w:rsid w:val="00FE401A"/>
    <w:rsid w:val="00FF00BD"/>
    <w:rsid w:val="00FF19B0"/>
    <w:rsid w:val="00FF1ED4"/>
    <w:rsid w:val="00FF2801"/>
    <w:rsid w:val="00FF3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6FBA1A6-2F82-4BE0-9103-B10B7CD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1 Bulleted List,Summary Bullets,Footer Setting,Bullet List,FooterText,List Paragraph1,numbered,Paragraphe de liste1,Bulletr List Paragraph,列出段落,列出段落1,List Paragraph2,List Paragraph21,Párrafo de lista1,L"/>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1 Bulleted List Char,Summary Bullets Char,Footer Setting Char,Bullet List Char,FooterText Char,List Paragraph1 Char,numbered Char,Paragraphe de liste1 Char,Bulletr List Paragraph Char,列出段落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styleId="NormalWeb">
    <w:name w:val="Normal (Web)"/>
    <w:basedOn w:val="Normal"/>
    <w:uiPriority w:val="99"/>
    <w:rsid w:val="0030410B"/>
    <w:pPr>
      <w:spacing w:before="100" w:after="100"/>
    </w:pPr>
    <w:rPr>
      <w:szCs w:val="22"/>
      <w:lang w:val="en-GB" w:eastAsia="en-US"/>
    </w:rPr>
  </w:style>
  <w:style w:type="character" w:customStyle="1" w:styleId="form-strength">
    <w:name w:val="form-strength"/>
    <w:basedOn w:val="DefaultParagraphFont"/>
    <w:rsid w:val="00FF19B0"/>
  </w:style>
  <w:style w:type="paragraph" w:customStyle="1" w:styleId="TableNotes0">
    <w:name w:val="TableNotes+0"/>
    <w:basedOn w:val="Normal"/>
    <w:rsid w:val="00C51120"/>
    <w:pPr>
      <w:keepNext/>
      <w:keepLines/>
      <w:ind w:left="720"/>
    </w:pPr>
    <w:rPr>
      <w:rFonts w:ascii="Arial Narrow" w:hAnsi="Arial Narrow" w:cs="Arial Narrow"/>
      <w:sz w:val="18"/>
      <w:szCs w:val="18"/>
      <w:lang w:eastAsia="en-US"/>
    </w:rPr>
  </w:style>
  <w:style w:type="paragraph" w:customStyle="1" w:styleId="Commentitalics">
    <w:name w:val="Comment (italics)"/>
    <w:basedOn w:val="Normal"/>
    <w:next w:val="Normal"/>
    <w:qFormat/>
    <w:rsid w:val="004A3A1D"/>
    <w:pPr>
      <w:widowControl w:val="0"/>
      <w:jc w:val="both"/>
    </w:pPr>
    <w:rPr>
      <w:rFonts w:ascii="Calibri" w:hAnsi="Calibri" w:cs="Arial"/>
      <w:i/>
      <w:snapToGrid w:val="0"/>
      <w:lang w:eastAsia="en-US"/>
    </w:rPr>
  </w:style>
  <w:style w:type="paragraph" w:customStyle="1" w:styleId="Default">
    <w:name w:val="Default"/>
    <w:rsid w:val="004A3A1D"/>
    <w:pPr>
      <w:autoSpaceDE w:val="0"/>
      <w:autoSpaceDN w:val="0"/>
      <w:adjustRightInd w:val="0"/>
    </w:pPr>
    <w:rPr>
      <w:color w:val="000000"/>
      <w:sz w:val="24"/>
      <w:szCs w:val="24"/>
    </w:rPr>
  </w:style>
  <w:style w:type="numbering" w:customStyle="1" w:styleId="HeadingListStyle">
    <w:name w:val="Heading List Style"/>
    <w:uiPriority w:val="99"/>
    <w:rsid w:val="00F744DA"/>
    <w:pPr>
      <w:numPr>
        <w:numId w:val="16"/>
      </w:numPr>
    </w:pPr>
  </w:style>
  <w:style w:type="paragraph" w:customStyle="1" w:styleId="Heading1Alt">
    <w:name w:val="Heading 1 Alt"/>
    <w:basedOn w:val="Heading1"/>
    <w:qFormat/>
    <w:rsid w:val="00F744DA"/>
    <w:pPr>
      <w:keepNext/>
      <w:keepLines/>
      <w:widowControl/>
      <w:tabs>
        <w:tab w:val="left" w:pos="1134"/>
      </w:tabs>
      <w:spacing w:before="240" w:after="240" w:line="360" w:lineRule="auto"/>
      <w:ind w:left="2268" w:hanging="2268"/>
      <w:contextualSpacing w:val="0"/>
      <w:jc w:val="left"/>
    </w:pPr>
    <w:rPr>
      <w:rFonts w:eastAsiaTheme="majorEastAsia" w:cstheme="majorBidi"/>
      <w:smallCaps/>
      <w:snapToGrid/>
      <w:color w:val="000000" w:themeColor="text1"/>
      <w:sz w:val="36"/>
      <w:szCs w:val="32"/>
    </w:rPr>
  </w:style>
  <w:style w:type="paragraph" w:customStyle="1" w:styleId="Heading2Alt">
    <w:name w:val="Heading 2 Alt"/>
    <w:basedOn w:val="Heading2"/>
    <w:qFormat/>
    <w:rsid w:val="00F744DA"/>
    <w:pPr>
      <w:keepLines/>
      <w:spacing w:line="360" w:lineRule="auto"/>
      <w:ind w:left="1134" w:hanging="1134"/>
    </w:pPr>
    <w:rPr>
      <w:rFonts w:eastAsiaTheme="majorEastAsia" w:cstheme="majorBidi"/>
      <w:i w:val="0"/>
      <w:color w:val="000000" w:themeColor="text1"/>
      <w:sz w:val="32"/>
      <w:szCs w:val="26"/>
      <w:lang w:eastAsia="en-US"/>
    </w:rPr>
  </w:style>
  <w:style w:type="paragraph" w:customStyle="1" w:styleId="Heading3Alt">
    <w:name w:val="Heading 3 Alt"/>
    <w:basedOn w:val="Heading3"/>
    <w:qFormat/>
    <w:rsid w:val="00F744DA"/>
    <w:pPr>
      <w:spacing w:before="40" w:line="360" w:lineRule="auto"/>
      <w:ind w:left="1134" w:hanging="1134"/>
    </w:pPr>
    <w:rPr>
      <w:rFonts w:ascii="Arial" w:hAnsi="Arial"/>
      <w:bCs w:val="0"/>
      <w:color w:val="000000" w:themeColor="text1"/>
      <w:sz w:val="28"/>
      <w:lang w:eastAsia="en-US"/>
    </w:rPr>
  </w:style>
  <w:style w:type="paragraph" w:styleId="FootnoteText">
    <w:name w:val="footnote text"/>
    <w:basedOn w:val="Normal"/>
    <w:link w:val="FootnoteTextChar"/>
    <w:unhideWhenUsed/>
    <w:rsid w:val="00F744DA"/>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rsid w:val="00F744DA"/>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F744DA"/>
    <w:rPr>
      <w:vertAlign w:val="superscript"/>
    </w:rPr>
  </w:style>
  <w:style w:type="paragraph" w:styleId="Revision">
    <w:name w:val="Revision"/>
    <w:hidden/>
    <w:uiPriority w:val="71"/>
    <w:semiHidden/>
    <w:rsid w:val="00680F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47231317">
      <w:bodyDiv w:val="1"/>
      <w:marLeft w:val="0"/>
      <w:marRight w:val="0"/>
      <w:marTop w:val="0"/>
      <w:marBottom w:val="0"/>
      <w:divBdr>
        <w:top w:val="none" w:sz="0" w:space="0" w:color="auto"/>
        <w:left w:val="none" w:sz="0" w:space="0" w:color="auto"/>
        <w:bottom w:val="none" w:sz="0" w:space="0" w:color="auto"/>
        <w:right w:val="none" w:sz="0" w:space="0" w:color="auto"/>
      </w:divBdr>
    </w:div>
    <w:div w:id="564877744">
      <w:bodyDiv w:val="1"/>
      <w:marLeft w:val="0"/>
      <w:marRight w:val="0"/>
      <w:marTop w:val="0"/>
      <w:marBottom w:val="0"/>
      <w:divBdr>
        <w:top w:val="none" w:sz="0" w:space="0" w:color="auto"/>
        <w:left w:val="none" w:sz="0" w:space="0" w:color="auto"/>
        <w:bottom w:val="none" w:sz="0" w:space="0" w:color="auto"/>
        <w:right w:val="none" w:sz="0" w:space="0" w:color="auto"/>
      </w:divBdr>
    </w:div>
    <w:div w:id="72399007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91159603">
      <w:bodyDiv w:val="1"/>
      <w:marLeft w:val="0"/>
      <w:marRight w:val="0"/>
      <w:marTop w:val="0"/>
      <w:marBottom w:val="0"/>
      <w:divBdr>
        <w:top w:val="none" w:sz="0" w:space="0" w:color="auto"/>
        <w:left w:val="none" w:sz="0" w:space="0" w:color="auto"/>
        <w:bottom w:val="none" w:sz="0" w:space="0" w:color="auto"/>
        <w:right w:val="none" w:sz="0" w:space="0" w:color="auto"/>
      </w:divBdr>
    </w:div>
    <w:div w:id="159567303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3934202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1201426">
      <w:bodyDiv w:val="1"/>
      <w:marLeft w:val="0"/>
      <w:marRight w:val="0"/>
      <w:marTop w:val="0"/>
      <w:marBottom w:val="0"/>
      <w:divBdr>
        <w:top w:val="none" w:sz="0" w:space="0" w:color="auto"/>
        <w:left w:val="none" w:sz="0" w:space="0" w:color="auto"/>
        <w:bottom w:val="none" w:sz="0" w:space="0" w:color="auto"/>
        <w:right w:val="none" w:sz="0" w:space="0" w:color="auto"/>
      </w:divBdr>
    </w:div>
    <w:div w:id="206321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documents/scientific-guideline/points-consider-switching-between-superiority-non-inferiorit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B98E-795E-4A10-B762-53DAD2D2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6906</Words>
  <Characters>40185</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Christine</dc:creator>
  <cp:lastModifiedBy>Wang, Christine</cp:lastModifiedBy>
  <cp:revision>3</cp:revision>
  <cp:lastPrinted>2019-11-17T22:32:00Z</cp:lastPrinted>
  <dcterms:created xsi:type="dcterms:W3CDTF">2020-02-18T23:51:00Z</dcterms:created>
  <dcterms:modified xsi:type="dcterms:W3CDTF">2020-02-26T02:26:00Z</dcterms:modified>
</cp:coreProperties>
</file>