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05" w:rsidRPr="00E04805" w:rsidRDefault="00E04805" w:rsidP="00E04805">
      <w:pPr>
        <w:autoSpaceDE w:val="0"/>
        <w:autoSpaceDN w:val="0"/>
        <w:adjustRightInd w:val="0"/>
        <w:jc w:val="both"/>
        <w:rPr>
          <w:rFonts w:ascii="Calibri" w:hAnsi="Calibri" w:cs="Calibri"/>
        </w:rPr>
      </w:pPr>
    </w:p>
    <w:p w:rsidR="00FC3647" w:rsidRPr="00484231" w:rsidRDefault="00D26906" w:rsidP="00484231">
      <w:pPr>
        <w:pStyle w:val="1MainTitle"/>
      </w:pPr>
      <w:r>
        <w:t>6.09</w:t>
      </w:r>
      <w:r w:rsidR="00FC3647" w:rsidRPr="002B5596">
        <w:tab/>
      </w:r>
      <w:r w:rsidR="00484231" w:rsidRPr="00557A8F">
        <w:t>BOTULINUM TOXIN T</w:t>
      </w:r>
      <w:bookmarkStart w:id="0" w:name="_GoBack"/>
      <w:bookmarkEnd w:id="0"/>
      <w:r w:rsidR="00484231" w:rsidRPr="00557A8F">
        <w:t xml:space="preserve">YPE A PURIFIED NEUROTOXIN COMPLEX, </w:t>
      </w:r>
      <w:r w:rsidR="00484231">
        <w:br/>
      </w:r>
      <w:r w:rsidR="00484231" w:rsidRPr="00557A8F">
        <w:t xml:space="preserve">Lyophilised powder for injection, 100 units, </w:t>
      </w:r>
      <w:r w:rsidR="00484231">
        <w:br/>
      </w:r>
      <w:r w:rsidR="00FF76EF">
        <w:t>BOTOX®</w:t>
      </w:r>
      <w:r w:rsidR="00484231" w:rsidRPr="00557A8F">
        <w:t>, Allergan Australia</w:t>
      </w:r>
      <w:r w:rsidR="00484231">
        <w:t xml:space="preserve"> Pty Limited</w:t>
      </w:r>
    </w:p>
    <w:p w:rsidR="00FC3647" w:rsidRPr="00D4572C" w:rsidRDefault="00FC3647" w:rsidP="00FC3647">
      <w:pPr>
        <w:pStyle w:val="2Sections"/>
        <w:numPr>
          <w:ilvl w:val="0"/>
          <w:numId w:val="5"/>
        </w:numPr>
      </w:pPr>
      <w:r w:rsidRPr="0033263D">
        <w:t>Purpose of Application</w:t>
      </w:r>
      <w:r>
        <w:t xml:space="preserve"> </w:t>
      </w:r>
    </w:p>
    <w:p w:rsidR="00043C9B" w:rsidRDefault="003A2164" w:rsidP="00484231">
      <w:pPr>
        <w:pStyle w:val="3Bodytext"/>
      </w:pPr>
      <w:r>
        <w:t xml:space="preserve">The minor submission requested </w:t>
      </w:r>
      <w:r w:rsidR="00B738B6">
        <w:t>an expansion of the current Section 100 Authority Required (STREAMLINED) listing for botulinum toxin type A</w:t>
      </w:r>
      <w:r w:rsidR="00A946BE">
        <w:t xml:space="preserve"> </w:t>
      </w:r>
      <w:r w:rsidR="00A946BE" w:rsidRPr="00867AC2">
        <w:t>(herein known as</w:t>
      </w:r>
      <w:r w:rsidR="00484231">
        <w:t xml:space="preserve"> </w:t>
      </w:r>
      <w:r w:rsidR="00A946BE">
        <w:t xml:space="preserve">BOTOX®) </w:t>
      </w:r>
      <w:r w:rsidR="00B738B6">
        <w:t xml:space="preserve">for the treatment of </w:t>
      </w:r>
      <w:r w:rsidR="00516238">
        <w:t xml:space="preserve">moderate to severe focal spasticity of the upper limb following a stroke to also include spasticity following acute events other than </w:t>
      </w:r>
      <w:r w:rsidR="0099206F">
        <w:t>stroke.</w:t>
      </w:r>
      <w:r w:rsidR="00516238">
        <w:t xml:space="preserve"> </w:t>
      </w:r>
    </w:p>
    <w:p w:rsidR="00FC3647" w:rsidRPr="001B2BBC" w:rsidRDefault="006031E4" w:rsidP="00484231">
      <w:pPr>
        <w:pStyle w:val="3Bodytext"/>
      </w:pPr>
      <w:r>
        <w:t>An</w:t>
      </w:r>
      <w:r w:rsidR="0099206F">
        <w:t xml:space="preserve"> expansion of </w:t>
      </w:r>
      <w:r>
        <w:t xml:space="preserve">the same </w:t>
      </w:r>
      <w:r w:rsidR="0099206F">
        <w:t>listing</w:t>
      </w:r>
      <w:r w:rsidR="00484231" w:rsidRPr="00484231">
        <w:t xml:space="preserve"> was recommended for </w:t>
      </w:r>
      <w:r w:rsidR="0099206F">
        <w:t>clostridium botulinum type A toxin-haemagglutinin complex (</w:t>
      </w:r>
      <w:r w:rsidR="00A946BE">
        <w:t xml:space="preserve">herein known as </w:t>
      </w:r>
      <w:r w:rsidR="0099206F">
        <w:t>Dysport®)</w:t>
      </w:r>
      <w:r w:rsidR="00484231" w:rsidRPr="00484231">
        <w:t xml:space="preserve"> at the March 2019 </w:t>
      </w:r>
      <w:r w:rsidR="00516238">
        <w:t xml:space="preserve">PBAC </w:t>
      </w:r>
      <w:r w:rsidR="00043C9B">
        <w:t>meeting</w:t>
      </w:r>
      <w:r w:rsidR="00ED53D5">
        <w:t xml:space="preserve"> and the change </w:t>
      </w:r>
      <w:r w:rsidR="00043C9B">
        <w:t xml:space="preserve">was </w:t>
      </w:r>
      <w:r w:rsidR="00ED53D5">
        <w:t xml:space="preserve">made to the </w:t>
      </w:r>
      <w:r w:rsidR="00043C9B">
        <w:t xml:space="preserve">PBS </w:t>
      </w:r>
      <w:r w:rsidR="00ED53D5">
        <w:t xml:space="preserve">on </w:t>
      </w:r>
      <w:r w:rsidR="00043C9B">
        <w:t>1 October 2019.</w:t>
      </w:r>
    </w:p>
    <w:p w:rsidR="00FA352D" w:rsidRDefault="00FA352D" w:rsidP="00FA352D">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145877">
        <w:rPr>
          <w:rFonts w:asciiTheme="minorHAnsi" w:hAnsiTheme="minorHAnsi"/>
          <w:sz w:val="32"/>
          <w:szCs w:val="32"/>
        </w:rPr>
        <w:t>Background</w:t>
      </w:r>
    </w:p>
    <w:p w:rsidR="00FA352D" w:rsidRPr="00C7585B" w:rsidRDefault="00FA352D" w:rsidP="00C7585B">
      <w:pPr>
        <w:pStyle w:val="Heading2"/>
        <w:spacing w:after="120"/>
        <w:rPr>
          <w:rFonts w:asciiTheme="minorHAnsi" w:hAnsiTheme="minorHAnsi" w:cstheme="minorHAnsi"/>
          <w:sz w:val="28"/>
          <w:szCs w:val="28"/>
        </w:rPr>
      </w:pPr>
      <w:r w:rsidRPr="00C7585B">
        <w:rPr>
          <w:rFonts w:asciiTheme="minorHAnsi" w:hAnsiTheme="minorHAnsi" w:cstheme="minorHAnsi"/>
          <w:sz w:val="28"/>
          <w:szCs w:val="28"/>
        </w:rPr>
        <w:t>Registration status</w:t>
      </w:r>
    </w:p>
    <w:p w:rsidR="00FA352D" w:rsidRDefault="00FA352D" w:rsidP="00FA352D">
      <w:pPr>
        <w:pStyle w:val="3Bodytext"/>
      </w:pPr>
      <w:r>
        <w:t>BOTOX®</w:t>
      </w:r>
      <w:r w:rsidRPr="006A342B">
        <w:t xml:space="preserve"> was TGA registered in August 2003 for the treatment of focal spasticity in adults. Other approved indications include overactive bladder, urinary incontinence, prophylaxis of migraines, strabismus, focal spasticity of the lower limbs in children, focal spasticity of the upper limbs, spasmodic torticollis, blepharospasm, hemifacial spasm and glabellar lines</w:t>
      </w:r>
      <w:r>
        <w:t>.</w:t>
      </w:r>
    </w:p>
    <w:p w:rsidR="00FA352D" w:rsidRPr="006A342B" w:rsidRDefault="00FA352D" w:rsidP="00FA352D">
      <w:pPr>
        <w:pStyle w:val="3Bodytext"/>
      </w:pPr>
      <w:r>
        <w:t xml:space="preserve">The requested </w:t>
      </w:r>
      <w:r w:rsidR="00791A5F">
        <w:t xml:space="preserve">expansion of the </w:t>
      </w:r>
      <w:r>
        <w:t>PBS listing to include treatment of moderate to severe focal spasticity of the upper limb following any acute event is within the TGA approved indication for focal spasticity in adults.</w:t>
      </w:r>
    </w:p>
    <w:p w:rsidR="00FA352D" w:rsidRPr="00FA352D" w:rsidRDefault="00FA352D" w:rsidP="00FA352D">
      <w:pPr>
        <w:pStyle w:val="3Bodytext"/>
      </w:pPr>
      <w:r>
        <w:t>BOTOX® is currently listed on the PBS as a</w:t>
      </w:r>
      <w:r w:rsidRPr="000F248C">
        <w:t xml:space="preserve"> </w:t>
      </w:r>
      <w:r w:rsidRPr="001636A5">
        <w:t>Sectio</w:t>
      </w:r>
      <w:r>
        <w:t>n 100 - Botulinum Toxin Program,</w:t>
      </w:r>
      <w:r w:rsidRPr="001636A5">
        <w:t xml:space="preserve"> Authority Required (S</w:t>
      </w:r>
      <w:r>
        <w:t>TREAMLINED</w:t>
      </w:r>
      <w:r w:rsidRPr="001636A5">
        <w:t>)</w:t>
      </w:r>
      <w:r>
        <w:t xml:space="preserve"> listing for moderate to severe focal spasticity of the upper limb following a stroke. </w:t>
      </w:r>
    </w:p>
    <w:p w:rsidR="00FA352D" w:rsidRPr="00C7585B" w:rsidRDefault="00FA352D" w:rsidP="00C7585B">
      <w:pPr>
        <w:keepNext/>
        <w:spacing w:after="120"/>
        <w:outlineLvl w:val="1"/>
        <w:rPr>
          <w:rFonts w:asciiTheme="minorHAnsi" w:hAnsiTheme="minorHAnsi" w:cstheme="minorHAnsi"/>
          <w:b/>
          <w:i/>
          <w:sz w:val="28"/>
          <w:szCs w:val="28"/>
        </w:rPr>
      </w:pPr>
      <w:r w:rsidRPr="00C7585B">
        <w:rPr>
          <w:rFonts w:asciiTheme="minorHAnsi" w:hAnsiTheme="minorHAnsi" w:cstheme="minorHAnsi"/>
          <w:b/>
          <w:i/>
          <w:sz w:val="28"/>
          <w:szCs w:val="28"/>
        </w:rPr>
        <w:t>Previous PBAC considerations</w:t>
      </w:r>
    </w:p>
    <w:p w:rsidR="00FA352D" w:rsidRPr="006439FD" w:rsidRDefault="00FA352D" w:rsidP="00FA352D">
      <w:pPr>
        <w:pStyle w:val="3Bodytext"/>
      </w:pPr>
      <w:r>
        <w:t>The PBAC recommended BOTOX®</w:t>
      </w:r>
      <w:r>
        <w:rPr>
          <w:rFonts w:cstheme="minorHAnsi"/>
          <w:bCs/>
          <w:lang w:val="en-GB"/>
        </w:rPr>
        <w:t xml:space="preserve"> for the treatment of upper limb spasticity following a stroke in July 2008 on a cost-minimisation basis compared with </w:t>
      </w:r>
      <w:r>
        <w:t>Dysport®</w:t>
      </w:r>
      <w:r>
        <w:rPr>
          <w:rFonts w:cstheme="minorHAnsi"/>
          <w:bCs/>
          <w:lang w:val="en-GB"/>
        </w:rPr>
        <w:t>.</w:t>
      </w:r>
    </w:p>
    <w:p w:rsidR="00FA352D" w:rsidRDefault="00FA352D" w:rsidP="00FA352D">
      <w:pPr>
        <w:pStyle w:val="3Bodytext"/>
      </w:pPr>
      <w:r>
        <w:t>The PBAC recommended an extension of the PBS listing of Dysport</w:t>
      </w:r>
      <w:r>
        <w:rPr>
          <w:rFonts w:cstheme="minorHAnsi"/>
        </w:rPr>
        <w:t>®</w:t>
      </w:r>
      <w:r>
        <w:t xml:space="preserve"> from upper limb spasticity following a stroke to upper limb spasticity following an acute event in March 2019.</w:t>
      </w:r>
    </w:p>
    <w:p w:rsidR="00FA352D" w:rsidRPr="006818B1" w:rsidRDefault="00FA352D" w:rsidP="00FA352D">
      <w:pPr>
        <w:pStyle w:val="3Bodytext"/>
      </w:pPr>
      <w:r w:rsidRPr="006818B1">
        <w:t xml:space="preserve">The PBAC </w:t>
      </w:r>
      <w:r w:rsidR="0051540A">
        <w:t xml:space="preserve">also considered </w:t>
      </w:r>
      <w:r w:rsidRPr="006818B1">
        <w:t>a minor submission to extend the listing of Xeomin</w:t>
      </w:r>
      <w:r w:rsidRPr="006818B1">
        <w:rPr>
          <w:rFonts w:cstheme="minorHAnsi"/>
        </w:rPr>
        <w:t>®</w:t>
      </w:r>
      <w:r w:rsidRPr="006818B1">
        <w:t xml:space="preserve"> for the treatment of upper limb spasticity at</w:t>
      </w:r>
      <w:r w:rsidR="0051540A">
        <w:t xml:space="preserve"> its</w:t>
      </w:r>
      <w:r w:rsidRPr="006818B1">
        <w:t xml:space="preserve"> November 2019 meeting</w:t>
      </w:r>
      <w:r w:rsidR="00C83CE3" w:rsidRPr="006818B1">
        <w:t xml:space="preserve"> (refer to item 6.12)</w:t>
      </w:r>
      <w:r w:rsidRPr="006818B1">
        <w:t>.</w:t>
      </w:r>
    </w:p>
    <w:p w:rsidR="00DF2235" w:rsidRPr="00DF2235" w:rsidRDefault="00FA352D" w:rsidP="00DF2235">
      <w:pPr>
        <w:pStyle w:val="3Bodytext"/>
      </w:pPr>
      <w:r w:rsidRPr="00906E6D">
        <w:lastRenderedPageBreak/>
        <w:t xml:space="preserve">The PBAC recommended BOTOX® for the treatment of moderate to severe spasticity of the lower limb following an acute event in March 2019 </w:t>
      </w:r>
      <w:r w:rsidRPr="00906E6D">
        <w:rPr>
          <w:rFonts w:cs="Arial"/>
          <w:bCs/>
          <w:snapToGrid w:val="0"/>
          <w:lang w:val="en-GB"/>
        </w:rPr>
        <w:t>(</w:t>
      </w:r>
      <w:r w:rsidRPr="00906E6D">
        <w:t xml:space="preserve">paragraph 5.2, BOTOX® </w:t>
      </w:r>
      <w:r w:rsidR="004D4729">
        <w:t>Public Summary Document (</w:t>
      </w:r>
      <w:r w:rsidRPr="00906E6D">
        <w:t>PSD</w:t>
      </w:r>
      <w:r w:rsidR="004D4729">
        <w:t>)</w:t>
      </w:r>
      <w:r w:rsidRPr="00906E6D">
        <w:t>, March 2019)</w:t>
      </w:r>
      <w:r>
        <w:t>.</w:t>
      </w:r>
      <w:r w:rsidR="00DF2235" w:rsidRPr="00DF2235">
        <w:rPr>
          <w:i/>
        </w:rPr>
        <w:t xml:space="preserve"> </w:t>
      </w:r>
    </w:p>
    <w:p w:rsidR="00FA352D" w:rsidRPr="00906E6D" w:rsidRDefault="00DF2235" w:rsidP="00DF2235">
      <w:pPr>
        <w:pStyle w:val="3Bodytext"/>
        <w:numPr>
          <w:ilvl w:val="0"/>
          <w:numId w:val="0"/>
        </w:numPr>
        <w:ind w:firstLine="720"/>
      </w:pPr>
      <w:r w:rsidRPr="00525B39">
        <w:rPr>
          <w:i/>
        </w:rPr>
        <w:t xml:space="preserve">For more detail on PBAC’s view, see section </w:t>
      </w:r>
      <w:r w:rsidR="003E46A2">
        <w:rPr>
          <w:i/>
        </w:rPr>
        <w:t>6</w:t>
      </w:r>
      <w:r w:rsidRPr="00525B39">
        <w:rPr>
          <w:i/>
        </w:rPr>
        <w:t xml:space="preserve"> PBAC outcome.</w:t>
      </w:r>
    </w:p>
    <w:p w:rsidR="00FC3647" w:rsidRPr="00577C4D" w:rsidRDefault="00FC3647" w:rsidP="00FC3647">
      <w:pPr>
        <w:pStyle w:val="2Sections"/>
        <w:numPr>
          <w:ilvl w:val="0"/>
          <w:numId w:val="5"/>
        </w:numPr>
      </w:pPr>
      <w:r w:rsidRPr="002B5596">
        <w:t>Requested listing</w:t>
      </w:r>
    </w:p>
    <w:p w:rsidR="00115941" w:rsidRDefault="00FC3647" w:rsidP="00D3080C">
      <w:pPr>
        <w:pStyle w:val="3Bodytext"/>
        <w:numPr>
          <w:ilvl w:val="0"/>
          <w:numId w:val="0"/>
        </w:numPr>
        <w:ind w:left="720"/>
      </w:pPr>
      <w:r w:rsidRPr="001B2BBC">
        <w:t>The sub</w:t>
      </w:r>
      <w:r w:rsidR="003A2164">
        <w:t xml:space="preserve">mission requested </w:t>
      </w:r>
      <w:r w:rsidR="00383577">
        <w:t xml:space="preserve">three amendments to the PBS criteria of the existing PBS listing for </w:t>
      </w:r>
      <w:r w:rsidR="00FF76EF">
        <w:t>BOTOX®</w:t>
      </w:r>
      <w:r w:rsidR="00ED53D5">
        <w:t>:</w:t>
      </w:r>
    </w:p>
    <w:p w:rsidR="00115941" w:rsidRDefault="00115941" w:rsidP="00115941">
      <w:pPr>
        <w:pStyle w:val="3Bodytext"/>
        <w:numPr>
          <w:ilvl w:val="0"/>
          <w:numId w:val="19"/>
        </w:numPr>
      </w:pPr>
      <w:r>
        <w:t>Removal of the time limitation for first injection of post-stroke upper limb spasticity</w:t>
      </w:r>
      <w:r w:rsidR="00406320">
        <w:t xml:space="preserve">. </w:t>
      </w:r>
      <w:r w:rsidR="00791A5F">
        <w:rPr>
          <w:szCs w:val="24"/>
        </w:rPr>
        <w:t>T</w:t>
      </w:r>
      <w:r w:rsidR="00406320">
        <w:rPr>
          <w:szCs w:val="24"/>
        </w:rPr>
        <w:t xml:space="preserve">he sponsor noted that </w:t>
      </w:r>
      <w:r w:rsidR="00791A5F">
        <w:rPr>
          <w:szCs w:val="24"/>
        </w:rPr>
        <w:t xml:space="preserve">the </w:t>
      </w:r>
      <w:r w:rsidR="00406320">
        <w:rPr>
          <w:szCs w:val="24"/>
        </w:rPr>
        <w:t>PBAC had previously determined that the timing of the onset of treatment should be at the discretion of the physician, that this was supported by the Rehabilitation Medicine Society of Australia and New Zealand (paragraph 2.4, Dysport</w:t>
      </w:r>
      <w:r w:rsidR="00406320">
        <w:rPr>
          <w:rFonts w:cstheme="minorHAnsi"/>
          <w:szCs w:val="24"/>
        </w:rPr>
        <w:t>®</w:t>
      </w:r>
      <w:r w:rsidR="00406320">
        <w:rPr>
          <w:szCs w:val="24"/>
        </w:rPr>
        <w:t xml:space="preserve"> PSD, November 2018) and </w:t>
      </w:r>
      <w:r w:rsidR="00791A5F">
        <w:rPr>
          <w:szCs w:val="24"/>
        </w:rPr>
        <w:t xml:space="preserve">that this </w:t>
      </w:r>
      <w:r w:rsidR="00C917B9">
        <w:rPr>
          <w:szCs w:val="24"/>
        </w:rPr>
        <w:t>was consistent with the</w:t>
      </w:r>
      <w:r w:rsidR="00791A5F">
        <w:rPr>
          <w:szCs w:val="24"/>
        </w:rPr>
        <w:t xml:space="preserve"> </w:t>
      </w:r>
      <w:r w:rsidR="00406320">
        <w:rPr>
          <w:szCs w:val="24"/>
        </w:rPr>
        <w:t xml:space="preserve">recommendation </w:t>
      </w:r>
      <w:r w:rsidR="00C917B9">
        <w:rPr>
          <w:szCs w:val="24"/>
        </w:rPr>
        <w:t xml:space="preserve">made by the PBAC in March 2019 </w:t>
      </w:r>
      <w:r w:rsidR="00406320">
        <w:rPr>
          <w:szCs w:val="24"/>
        </w:rPr>
        <w:t>for BOTOX</w:t>
      </w:r>
      <w:r w:rsidR="00406320">
        <w:rPr>
          <w:rFonts w:cstheme="minorHAnsi"/>
          <w:szCs w:val="24"/>
        </w:rPr>
        <w:t>®</w:t>
      </w:r>
      <w:r w:rsidR="00406320">
        <w:rPr>
          <w:szCs w:val="24"/>
        </w:rPr>
        <w:t xml:space="preserve"> in lower limb spasticity</w:t>
      </w:r>
      <w:r w:rsidR="00437932">
        <w:t>;</w:t>
      </w:r>
      <w:r>
        <w:t xml:space="preserve"> </w:t>
      </w:r>
    </w:p>
    <w:p w:rsidR="00115941" w:rsidRDefault="00115941" w:rsidP="00115941">
      <w:pPr>
        <w:pStyle w:val="3Bodytext"/>
        <w:numPr>
          <w:ilvl w:val="0"/>
          <w:numId w:val="19"/>
        </w:numPr>
      </w:pPr>
      <w:r>
        <w:t xml:space="preserve">Removal of </w:t>
      </w:r>
      <w:r w:rsidR="00C917B9">
        <w:t>the lifetime treatment limit of four</w:t>
      </w:r>
      <w:r>
        <w:t xml:space="preserve"> treatment periods and replace</w:t>
      </w:r>
      <w:r w:rsidR="00C917B9">
        <w:t>ment</w:t>
      </w:r>
      <w:r>
        <w:t xml:space="preserve"> with annual limits as suggested by the PBAC</w:t>
      </w:r>
      <w:r w:rsidR="00406320">
        <w:t xml:space="preserve"> in previous considerations of botulinum toxin in upper and lower limb focal spasticity</w:t>
      </w:r>
      <w:r w:rsidR="00437932">
        <w:t>; and</w:t>
      </w:r>
    </w:p>
    <w:p w:rsidR="00115941" w:rsidRDefault="00115941" w:rsidP="00115941">
      <w:pPr>
        <w:pStyle w:val="3Bodytext"/>
        <w:numPr>
          <w:ilvl w:val="0"/>
          <w:numId w:val="19"/>
        </w:numPr>
      </w:pPr>
      <w:r>
        <w:t>To include</w:t>
      </w:r>
      <w:r w:rsidR="00F86853">
        <w:t xml:space="preserve"> treatment of spasticity due to a range of</w:t>
      </w:r>
      <w:r>
        <w:t xml:space="preserve"> acute aetiologies</w:t>
      </w:r>
      <w:r w:rsidR="00437932">
        <w:t>.</w:t>
      </w:r>
    </w:p>
    <w:p w:rsidR="00E20C81" w:rsidRDefault="00E20C81" w:rsidP="00043C9B">
      <w:pPr>
        <w:pStyle w:val="3Bodytext"/>
      </w:pPr>
      <w:r>
        <w:t>The PBAC noted that the amendments requested are relevant to Authority code 5220, which falls under PBS item 10999X.</w:t>
      </w:r>
    </w:p>
    <w:p w:rsidR="00485A41" w:rsidRDefault="00043C9B" w:rsidP="00043C9B">
      <w:pPr>
        <w:pStyle w:val="3Bodytext"/>
      </w:pPr>
      <w:r>
        <w:t xml:space="preserve">The minor submission requested a special pricing arrangement (SPA) to achieve parity </w:t>
      </w:r>
      <w:r w:rsidR="00437932">
        <w:t xml:space="preserve">with </w:t>
      </w:r>
      <w:r w:rsidR="00F058B5">
        <w:t xml:space="preserve">the </w:t>
      </w:r>
      <w:r w:rsidR="00437932">
        <w:t xml:space="preserve">approved ex-manufacturer </w:t>
      </w:r>
      <w:r w:rsidR="00F058B5">
        <w:t>effective prices</w:t>
      </w:r>
      <w:r w:rsidR="00437932">
        <w:t xml:space="preserve"> (AEMP)</w:t>
      </w:r>
      <w:r w:rsidR="00F058B5">
        <w:t xml:space="preserve"> </w:t>
      </w:r>
      <w:r w:rsidR="00437932">
        <w:t>of</w:t>
      </w:r>
      <w:r w:rsidR="00ED53D5">
        <w:t xml:space="preserve"> </w:t>
      </w:r>
      <w:r w:rsidR="00F058B5">
        <w:t>Dys</w:t>
      </w:r>
      <w:r>
        <w:t>po</w:t>
      </w:r>
      <w:r w:rsidR="00F058B5">
        <w:t>r</w:t>
      </w:r>
      <w:r>
        <w:t>t®</w:t>
      </w:r>
      <w:r w:rsidR="00B6526D">
        <w:t>.</w:t>
      </w:r>
    </w:p>
    <w:p w:rsidR="00043C9B" w:rsidRDefault="00F058B5" w:rsidP="00043C9B">
      <w:pPr>
        <w:pStyle w:val="3Bodytext"/>
      </w:pPr>
      <w:r>
        <w:t xml:space="preserve"> </w:t>
      </w:r>
      <w:r w:rsidR="00485A41">
        <w:t>Changes to the current restriction proposed by the sponsor are in bold.</w:t>
      </w:r>
    </w:p>
    <w:p w:rsidR="00823D4B" w:rsidRDefault="00823D4B" w:rsidP="00823D4B">
      <w:pPr>
        <w:pStyle w:val="TableFooter"/>
      </w:pPr>
    </w:p>
    <w:tbl>
      <w:tblPr>
        <w:tblW w:w="9322" w:type="dxa"/>
        <w:tblLayout w:type="fixed"/>
        <w:tblLook w:val="0000" w:firstRow="0" w:lastRow="0" w:firstColumn="0" w:lastColumn="0" w:noHBand="0" w:noVBand="0"/>
      </w:tblPr>
      <w:tblGrid>
        <w:gridCol w:w="1701"/>
        <w:gridCol w:w="1134"/>
        <w:gridCol w:w="851"/>
        <w:gridCol w:w="1100"/>
        <w:gridCol w:w="1701"/>
        <w:gridCol w:w="1168"/>
        <w:gridCol w:w="1667"/>
      </w:tblGrid>
      <w:tr w:rsidR="00FC3647" w:rsidRPr="00ED53D5" w:rsidTr="00B440C7">
        <w:trPr>
          <w:cantSplit/>
          <w:trHeight w:val="471"/>
        </w:trPr>
        <w:tc>
          <w:tcPr>
            <w:tcW w:w="2835" w:type="dxa"/>
            <w:gridSpan w:val="2"/>
            <w:tcBorders>
              <w:bottom w:val="single" w:sz="4" w:space="0" w:color="auto"/>
            </w:tcBorders>
          </w:tcPr>
          <w:p w:rsidR="00FC3647" w:rsidRPr="00ED53D5" w:rsidRDefault="00FC3647" w:rsidP="00ED53D5">
            <w:pPr>
              <w:keepNext/>
              <w:ind w:left="-108"/>
              <w:rPr>
                <w:rFonts w:ascii="Arial Narrow" w:hAnsi="Arial Narrow" w:cs="Arial"/>
                <w:b/>
                <w:sz w:val="20"/>
                <w:szCs w:val="20"/>
              </w:rPr>
            </w:pPr>
            <w:r w:rsidRPr="00ED53D5">
              <w:rPr>
                <w:rFonts w:ascii="Arial Narrow" w:hAnsi="Arial Narrow" w:cs="Arial"/>
                <w:b/>
                <w:sz w:val="20"/>
                <w:szCs w:val="20"/>
              </w:rPr>
              <w:t>Name, Restriction,</w:t>
            </w:r>
            <w:r w:rsidR="00ED53D5">
              <w:rPr>
                <w:rFonts w:ascii="Arial Narrow" w:hAnsi="Arial Narrow" w:cs="Arial"/>
                <w:b/>
                <w:sz w:val="20"/>
                <w:szCs w:val="20"/>
              </w:rPr>
              <w:t xml:space="preserve"> </w:t>
            </w:r>
            <w:r w:rsidRPr="00ED53D5">
              <w:rPr>
                <w:rFonts w:ascii="Arial Narrow" w:hAnsi="Arial Narrow" w:cs="Arial"/>
                <w:b/>
                <w:sz w:val="20"/>
                <w:szCs w:val="20"/>
              </w:rPr>
              <w:t>Manner of administration and form</w:t>
            </w:r>
          </w:p>
        </w:tc>
        <w:tc>
          <w:tcPr>
            <w:tcW w:w="851" w:type="dxa"/>
            <w:tcBorders>
              <w:bottom w:val="single" w:sz="4" w:space="0" w:color="auto"/>
            </w:tcBorders>
          </w:tcPr>
          <w:p w:rsidR="00FC3647" w:rsidRPr="00ED53D5" w:rsidRDefault="00FC3647" w:rsidP="00B440C7">
            <w:pPr>
              <w:keepNext/>
              <w:ind w:left="-108"/>
              <w:jc w:val="center"/>
              <w:rPr>
                <w:rFonts w:ascii="Arial Narrow" w:hAnsi="Arial Narrow" w:cs="Arial"/>
                <w:b/>
                <w:sz w:val="20"/>
                <w:szCs w:val="20"/>
              </w:rPr>
            </w:pPr>
            <w:r w:rsidRPr="00ED53D5">
              <w:rPr>
                <w:rFonts w:ascii="Arial Narrow" w:hAnsi="Arial Narrow" w:cs="Arial"/>
                <w:b/>
                <w:sz w:val="20"/>
                <w:szCs w:val="20"/>
              </w:rPr>
              <w:t>Max.</w:t>
            </w:r>
          </w:p>
          <w:p w:rsidR="00FC3647" w:rsidRPr="00ED53D5" w:rsidRDefault="00FC3647" w:rsidP="00B440C7">
            <w:pPr>
              <w:keepNext/>
              <w:ind w:left="-108"/>
              <w:jc w:val="center"/>
              <w:rPr>
                <w:rFonts w:ascii="Arial Narrow" w:hAnsi="Arial Narrow" w:cs="Arial"/>
                <w:b/>
                <w:sz w:val="20"/>
                <w:szCs w:val="20"/>
              </w:rPr>
            </w:pPr>
            <w:r w:rsidRPr="00ED53D5">
              <w:rPr>
                <w:rFonts w:ascii="Arial Narrow" w:hAnsi="Arial Narrow" w:cs="Arial"/>
                <w:b/>
                <w:sz w:val="20"/>
                <w:szCs w:val="20"/>
              </w:rPr>
              <w:t>Qty</w:t>
            </w:r>
          </w:p>
        </w:tc>
        <w:tc>
          <w:tcPr>
            <w:tcW w:w="1100" w:type="dxa"/>
            <w:tcBorders>
              <w:bottom w:val="single" w:sz="4" w:space="0" w:color="auto"/>
            </w:tcBorders>
          </w:tcPr>
          <w:p w:rsidR="00FC3647" w:rsidRPr="00ED53D5" w:rsidRDefault="00FC3647" w:rsidP="00B440C7">
            <w:pPr>
              <w:keepNext/>
              <w:ind w:left="-108"/>
              <w:jc w:val="center"/>
              <w:rPr>
                <w:rFonts w:ascii="Arial Narrow" w:hAnsi="Arial Narrow" w:cs="Arial"/>
                <w:b/>
                <w:sz w:val="20"/>
                <w:szCs w:val="20"/>
              </w:rPr>
            </w:pPr>
            <w:r w:rsidRPr="00ED53D5">
              <w:rPr>
                <w:rFonts w:ascii="Arial Narrow" w:hAnsi="Arial Narrow" w:cs="Arial"/>
                <w:b/>
                <w:sz w:val="20"/>
                <w:szCs w:val="20"/>
              </w:rPr>
              <w:t>№.of</w:t>
            </w:r>
          </w:p>
          <w:p w:rsidR="00FC3647" w:rsidRPr="00ED53D5" w:rsidRDefault="00FC3647" w:rsidP="00B440C7">
            <w:pPr>
              <w:keepNext/>
              <w:ind w:left="-108"/>
              <w:jc w:val="center"/>
              <w:rPr>
                <w:rFonts w:ascii="Arial Narrow" w:hAnsi="Arial Narrow" w:cs="Arial"/>
                <w:b/>
                <w:sz w:val="20"/>
                <w:szCs w:val="20"/>
              </w:rPr>
            </w:pPr>
            <w:r w:rsidRPr="00ED53D5">
              <w:rPr>
                <w:rFonts w:ascii="Arial Narrow" w:hAnsi="Arial Narrow" w:cs="Arial"/>
                <w:b/>
                <w:sz w:val="20"/>
                <w:szCs w:val="20"/>
              </w:rPr>
              <w:t>Rpts</w:t>
            </w:r>
          </w:p>
        </w:tc>
        <w:tc>
          <w:tcPr>
            <w:tcW w:w="1701" w:type="dxa"/>
            <w:tcBorders>
              <w:bottom w:val="single" w:sz="4" w:space="0" w:color="auto"/>
            </w:tcBorders>
          </w:tcPr>
          <w:p w:rsidR="00FC3647" w:rsidRPr="00ED53D5" w:rsidRDefault="00FC3647" w:rsidP="00ED53D5">
            <w:pPr>
              <w:keepNext/>
              <w:ind w:left="-108"/>
              <w:rPr>
                <w:rFonts w:ascii="Arial Narrow" w:hAnsi="Arial Narrow" w:cs="Arial"/>
                <w:b/>
                <w:sz w:val="20"/>
                <w:szCs w:val="20"/>
              </w:rPr>
            </w:pPr>
            <w:r w:rsidRPr="00ED53D5">
              <w:rPr>
                <w:rFonts w:ascii="Arial Narrow" w:hAnsi="Arial Narrow" w:cs="Arial"/>
                <w:b/>
                <w:sz w:val="20"/>
                <w:szCs w:val="20"/>
              </w:rPr>
              <w:t>Dispensed Price for Max. Qty</w:t>
            </w:r>
          </w:p>
        </w:tc>
        <w:tc>
          <w:tcPr>
            <w:tcW w:w="2835" w:type="dxa"/>
            <w:gridSpan w:val="2"/>
            <w:tcBorders>
              <w:bottom w:val="single" w:sz="4" w:space="0" w:color="auto"/>
            </w:tcBorders>
          </w:tcPr>
          <w:p w:rsidR="00FC3647" w:rsidRPr="00ED53D5" w:rsidRDefault="00FC3647" w:rsidP="00ED53D5">
            <w:pPr>
              <w:keepNext/>
              <w:rPr>
                <w:rFonts w:ascii="Arial Narrow" w:hAnsi="Arial Narrow" w:cs="Arial"/>
                <w:b/>
                <w:sz w:val="20"/>
                <w:szCs w:val="20"/>
                <w:lang w:val="fr-FR"/>
              </w:rPr>
            </w:pPr>
            <w:r w:rsidRPr="00ED53D5">
              <w:rPr>
                <w:rFonts w:ascii="Arial Narrow" w:hAnsi="Arial Narrow" w:cs="Arial"/>
                <w:b/>
                <w:sz w:val="20"/>
                <w:szCs w:val="20"/>
              </w:rPr>
              <w:t>Proprietary Name and Manufacturer</w:t>
            </w:r>
          </w:p>
        </w:tc>
      </w:tr>
      <w:tr w:rsidR="00FC3647" w:rsidRPr="00C254D9" w:rsidTr="00B440C7">
        <w:trPr>
          <w:cantSplit/>
          <w:trHeight w:val="577"/>
        </w:trPr>
        <w:tc>
          <w:tcPr>
            <w:tcW w:w="2835" w:type="dxa"/>
            <w:gridSpan w:val="2"/>
          </w:tcPr>
          <w:p w:rsidR="00BE0C95" w:rsidRPr="00BE0C95" w:rsidRDefault="00BE0C95" w:rsidP="00BE0C95">
            <w:pPr>
              <w:keepNext/>
              <w:ind w:left="-108"/>
              <w:jc w:val="both"/>
              <w:rPr>
                <w:rFonts w:ascii="Arial Narrow" w:hAnsi="Arial Narrow" w:cs="Arial"/>
                <w:smallCaps/>
                <w:sz w:val="20"/>
                <w:szCs w:val="20"/>
              </w:rPr>
            </w:pPr>
            <w:r w:rsidRPr="00BE0C95">
              <w:rPr>
                <w:rFonts w:ascii="Arial Narrow" w:hAnsi="Arial Narrow" w:cs="Arial"/>
                <w:smallCaps/>
                <w:sz w:val="20"/>
                <w:szCs w:val="20"/>
              </w:rPr>
              <w:t xml:space="preserve">BOTULINUM TOXIN TYPE A </w:t>
            </w:r>
          </w:p>
          <w:p w:rsidR="00FC3647" w:rsidRPr="008B3257" w:rsidRDefault="00BE0C95" w:rsidP="00BE0C95">
            <w:pPr>
              <w:keepNext/>
              <w:ind w:left="-108"/>
              <w:jc w:val="both"/>
              <w:rPr>
                <w:rFonts w:ascii="Arial Narrow" w:hAnsi="Arial Narrow" w:cs="Arial"/>
                <w:color w:val="FF0000"/>
                <w:sz w:val="20"/>
                <w:szCs w:val="20"/>
              </w:rPr>
            </w:pPr>
            <w:r w:rsidRPr="00BE0C95">
              <w:rPr>
                <w:rFonts w:ascii="Arial Narrow" w:hAnsi="Arial Narrow" w:cs="Arial"/>
                <w:smallCaps/>
                <w:sz w:val="20"/>
                <w:szCs w:val="20"/>
              </w:rPr>
              <w:t xml:space="preserve">100 </w:t>
            </w:r>
            <w:r w:rsidRPr="00ED53D5">
              <w:rPr>
                <w:rFonts w:ascii="Arial Narrow" w:hAnsi="Arial Narrow" w:cs="Arial"/>
                <w:sz w:val="20"/>
                <w:szCs w:val="20"/>
              </w:rPr>
              <w:t>units injection, 1 vial</w:t>
            </w:r>
          </w:p>
        </w:tc>
        <w:tc>
          <w:tcPr>
            <w:tcW w:w="851" w:type="dxa"/>
          </w:tcPr>
          <w:p w:rsidR="00FC3647" w:rsidRPr="00C254D9" w:rsidRDefault="00B7622C" w:rsidP="00B440C7">
            <w:pPr>
              <w:keepNext/>
              <w:ind w:left="-108"/>
              <w:jc w:val="center"/>
              <w:rPr>
                <w:rFonts w:ascii="Arial Narrow" w:hAnsi="Arial Narrow" w:cs="Arial"/>
                <w:sz w:val="20"/>
                <w:szCs w:val="20"/>
              </w:rPr>
            </w:pPr>
            <w:r>
              <w:rPr>
                <w:rFonts w:ascii="Arial Narrow" w:hAnsi="Arial Narrow" w:cs="Arial"/>
                <w:sz w:val="20"/>
                <w:szCs w:val="20"/>
              </w:rPr>
              <w:t>4</w:t>
            </w:r>
          </w:p>
          <w:p w:rsidR="00FC3647" w:rsidRPr="00C254D9" w:rsidRDefault="00FC3647" w:rsidP="00B440C7">
            <w:pPr>
              <w:keepNext/>
              <w:ind w:left="-108"/>
              <w:jc w:val="center"/>
              <w:rPr>
                <w:rFonts w:ascii="Arial Narrow" w:hAnsi="Arial Narrow" w:cs="Arial"/>
                <w:sz w:val="20"/>
                <w:szCs w:val="20"/>
              </w:rPr>
            </w:pPr>
          </w:p>
        </w:tc>
        <w:tc>
          <w:tcPr>
            <w:tcW w:w="1100" w:type="dxa"/>
          </w:tcPr>
          <w:p w:rsidR="00FC3647" w:rsidRPr="00C254D9" w:rsidRDefault="00B7622C" w:rsidP="00B440C7">
            <w:pPr>
              <w:keepNext/>
              <w:ind w:left="-108"/>
              <w:jc w:val="center"/>
              <w:rPr>
                <w:rFonts w:ascii="Arial Narrow" w:hAnsi="Arial Narrow" w:cs="Arial"/>
                <w:sz w:val="20"/>
                <w:szCs w:val="20"/>
              </w:rPr>
            </w:pPr>
            <w:r>
              <w:rPr>
                <w:rFonts w:ascii="Arial Narrow" w:hAnsi="Arial Narrow" w:cs="Arial"/>
                <w:sz w:val="20"/>
                <w:szCs w:val="20"/>
              </w:rPr>
              <w:t>0</w:t>
            </w:r>
          </w:p>
          <w:p w:rsidR="00FC3647" w:rsidRPr="00C254D9" w:rsidRDefault="00FC3647" w:rsidP="00B440C7">
            <w:pPr>
              <w:keepNext/>
              <w:ind w:left="-108"/>
              <w:jc w:val="center"/>
              <w:rPr>
                <w:rFonts w:ascii="Arial Narrow" w:hAnsi="Arial Narrow" w:cs="Arial"/>
                <w:sz w:val="20"/>
                <w:szCs w:val="20"/>
              </w:rPr>
            </w:pPr>
          </w:p>
        </w:tc>
        <w:tc>
          <w:tcPr>
            <w:tcW w:w="1701" w:type="dxa"/>
          </w:tcPr>
          <w:p w:rsidR="009719D3" w:rsidRPr="00FA352D" w:rsidRDefault="009719D3" w:rsidP="00B7622C">
            <w:pPr>
              <w:keepNext/>
              <w:ind w:left="-108"/>
              <w:jc w:val="both"/>
              <w:rPr>
                <w:rFonts w:ascii="Arial Narrow" w:hAnsi="Arial Narrow" w:cs="Arial"/>
                <w:sz w:val="20"/>
                <w:szCs w:val="20"/>
                <w:u w:val="single"/>
              </w:rPr>
            </w:pPr>
            <w:r w:rsidRPr="00FA352D">
              <w:rPr>
                <w:rFonts w:ascii="Arial Narrow" w:hAnsi="Arial Narrow" w:cs="Arial"/>
                <w:sz w:val="20"/>
                <w:szCs w:val="20"/>
                <w:u w:val="single"/>
              </w:rPr>
              <w:t>Published:</w:t>
            </w:r>
          </w:p>
          <w:p w:rsidR="00B7622C" w:rsidRDefault="00B7622C" w:rsidP="00B7622C">
            <w:pPr>
              <w:keepNext/>
              <w:ind w:left="-108"/>
              <w:jc w:val="both"/>
              <w:rPr>
                <w:rFonts w:ascii="Arial Narrow" w:hAnsi="Arial Narrow" w:cs="Arial"/>
                <w:sz w:val="20"/>
                <w:szCs w:val="20"/>
              </w:rPr>
            </w:pPr>
            <w:r>
              <w:rPr>
                <w:rFonts w:ascii="Arial Narrow" w:hAnsi="Arial Narrow" w:cs="Arial"/>
                <w:sz w:val="20"/>
                <w:szCs w:val="20"/>
              </w:rPr>
              <w:t>Public:  $1</w:t>
            </w:r>
            <w:r w:rsidR="009719D3">
              <w:rPr>
                <w:rFonts w:ascii="Arial Narrow" w:hAnsi="Arial Narrow" w:cs="Arial"/>
                <w:sz w:val="20"/>
                <w:szCs w:val="20"/>
              </w:rPr>
              <w:t>,</w:t>
            </w:r>
            <w:r>
              <w:rPr>
                <w:rFonts w:ascii="Arial Narrow" w:hAnsi="Arial Narrow" w:cs="Arial"/>
                <w:sz w:val="20"/>
                <w:szCs w:val="20"/>
              </w:rPr>
              <w:t>349.96</w:t>
            </w:r>
          </w:p>
          <w:p w:rsidR="00FC3647" w:rsidRDefault="00B7622C" w:rsidP="00B7622C">
            <w:pPr>
              <w:keepNext/>
              <w:ind w:left="-108"/>
              <w:jc w:val="both"/>
              <w:rPr>
                <w:rFonts w:ascii="Arial Narrow" w:hAnsi="Arial Narrow" w:cs="Arial"/>
                <w:sz w:val="20"/>
                <w:szCs w:val="20"/>
              </w:rPr>
            </w:pPr>
            <w:r>
              <w:rPr>
                <w:rFonts w:ascii="Arial Narrow" w:hAnsi="Arial Narrow" w:cs="Arial"/>
                <w:sz w:val="20"/>
                <w:szCs w:val="20"/>
              </w:rPr>
              <w:t>Private: $1</w:t>
            </w:r>
            <w:r w:rsidR="009719D3">
              <w:rPr>
                <w:rFonts w:ascii="Arial Narrow" w:hAnsi="Arial Narrow" w:cs="Arial"/>
                <w:sz w:val="20"/>
                <w:szCs w:val="20"/>
              </w:rPr>
              <w:t>,</w:t>
            </w:r>
            <w:r>
              <w:rPr>
                <w:rFonts w:ascii="Arial Narrow" w:hAnsi="Arial Narrow" w:cs="Arial"/>
                <w:sz w:val="20"/>
                <w:szCs w:val="20"/>
              </w:rPr>
              <w:t>397.35</w:t>
            </w:r>
          </w:p>
          <w:p w:rsidR="009719D3" w:rsidRPr="00FA352D" w:rsidRDefault="009719D3" w:rsidP="00B7622C">
            <w:pPr>
              <w:keepNext/>
              <w:ind w:left="-108"/>
              <w:jc w:val="both"/>
              <w:rPr>
                <w:rFonts w:ascii="Arial Narrow" w:hAnsi="Arial Narrow" w:cs="Arial"/>
                <w:sz w:val="20"/>
                <w:szCs w:val="20"/>
                <w:u w:val="single"/>
              </w:rPr>
            </w:pPr>
            <w:r w:rsidRPr="00FA352D">
              <w:rPr>
                <w:rFonts w:ascii="Arial Narrow" w:hAnsi="Arial Narrow" w:cs="Arial"/>
                <w:sz w:val="20"/>
                <w:szCs w:val="20"/>
                <w:u w:val="single"/>
              </w:rPr>
              <w:t>Effective:</w:t>
            </w:r>
          </w:p>
          <w:p w:rsidR="00BE0C95" w:rsidRDefault="009719D3" w:rsidP="00C32AEF">
            <w:pPr>
              <w:keepNext/>
              <w:ind w:left="-108"/>
              <w:jc w:val="both"/>
              <w:rPr>
                <w:rFonts w:ascii="Arial Narrow" w:hAnsi="Arial Narrow" w:cs="Arial"/>
                <w:sz w:val="20"/>
                <w:szCs w:val="20"/>
              </w:rPr>
            </w:pPr>
            <w:r>
              <w:rPr>
                <w:rFonts w:ascii="Arial Narrow" w:hAnsi="Arial Narrow" w:cs="Arial"/>
                <w:sz w:val="20"/>
                <w:szCs w:val="20"/>
              </w:rPr>
              <w:t>To be determined</w:t>
            </w:r>
          </w:p>
          <w:p w:rsidR="00FA352D" w:rsidRPr="00C254D9" w:rsidRDefault="00FA352D" w:rsidP="00C32AEF">
            <w:pPr>
              <w:keepNext/>
              <w:ind w:left="-108"/>
              <w:jc w:val="both"/>
              <w:rPr>
                <w:rFonts w:ascii="Arial Narrow" w:hAnsi="Arial Narrow" w:cs="Arial"/>
                <w:sz w:val="20"/>
                <w:szCs w:val="20"/>
              </w:rPr>
            </w:pPr>
          </w:p>
        </w:tc>
        <w:tc>
          <w:tcPr>
            <w:tcW w:w="1168" w:type="dxa"/>
          </w:tcPr>
          <w:p w:rsidR="00FC3647" w:rsidRPr="00C254D9" w:rsidRDefault="00FF76EF" w:rsidP="00BE0C95">
            <w:pPr>
              <w:keepNext/>
              <w:jc w:val="both"/>
              <w:rPr>
                <w:rFonts w:ascii="Arial Narrow" w:hAnsi="Arial Narrow" w:cs="Arial"/>
                <w:sz w:val="20"/>
                <w:szCs w:val="20"/>
              </w:rPr>
            </w:pPr>
            <w:r>
              <w:rPr>
                <w:rFonts w:ascii="Arial Narrow" w:hAnsi="Arial Narrow" w:cs="Arial"/>
                <w:sz w:val="20"/>
                <w:szCs w:val="20"/>
              </w:rPr>
              <w:t>BOTOX</w:t>
            </w:r>
            <w:r w:rsidRPr="00ED53D5">
              <w:rPr>
                <w:rFonts w:ascii="Arial Narrow" w:hAnsi="Arial Narrow" w:cs="Arial"/>
                <w:sz w:val="20"/>
                <w:szCs w:val="20"/>
                <w:vertAlign w:val="superscript"/>
              </w:rPr>
              <w:t>®</w:t>
            </w:r>
          </w:p>
        </w:tc>
        <w:tc>
          <w:tcPr>
            <w:tcW w:w="1667" w:type="dxa"/>
          </w:tcPr>
          <w:p w:rsidR="00FC3647" w:rsidRPr="00C254D9" w:rsidRDefault="00BE0C95" w:rsidP="00C32AEF">
            <w:pPr>
              <w:keepNext/>
              <w:jc w:val="both"/>
              <w:rPr>
                <w:rFonts w:ascii="Arial Narrow" w:hAnsi="Arial Narrow" w:cs="Arial"/>
                <w:sz w:val="20"/>
                <w:szCs w:val="20"/>
              </w:rPr>
            </w:pPr>
            <w:r>
              <w:rPr>
                <w:rFonts w:ascii="Arial Narrow" w:hAnsi="Arial Narrow" w:cs="Arial"/>
                <w:sz w:val="20"/>
                <w:szCs w:val="20"/>
              </w:rPr>
              <w:t>Allergan</w:t>
            </w:r>
          </w:p>
        </w:tc>
      </w:tr>
      <w:tr w:rsidR="00FC3647" w:rsidRPr="00C254D9" w:rsidTr="00823D4B">
        <w:trPr>
          <w:trHeight w:val="17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FC3647" w:rsidP="003803B2">
            <w:pPr>
              <w:jc w:val="both"/>
              <w:rPr>
                <w:rFonts w:ascii="Arial Narrow" w:hAnsi="Arial Narrow" w:cs="Arial"/>
                <w:b/>
                <w:sz w:val="20"/>
                <w:szCs w:val="20"/>
              </w:rPr>
            </w:pPr>
            <w:r w:rsidRPr="00C254D9">
              <w:rPr>
                <w:rFonts w:ascii="Arial Narrow" w:hAnsi="Arial Narrow" w:cs="Arial"/>
                <w:b/>
                <w:sz w:val="20"/>
                <w:szCs w:val="20"/>
              </w:rPr>
              <w:t>Category/Program</w:t>
            </w:r>
            <w:r>
              <w:rPr>
                <w:rFonts w:ascii="Arial Narrow" w:hAnsi="Arial Narrow" w:cs="Arial"/>
                <w:b/>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FC3647" w:rsidP="00FA352D">
            <w:pPr>
              <w:rPr>
                <w:rFonts w:ascii="Arial Narrow" w:hAnsi="Arial Narrow" w:cs="Arial"/>
                <w:sz w:val="20"/>
                <w:szCs w:val="20"/>
              </w:rPr>
            </w:pPr>
            <w:r>
              <w:rPr>
                <w:rFonts w:ascii="Arial Narrow" w:hAnsi="Arial Narrow" w:cs="Arial"/>
                <w:sz w:val="20"/>
                <w:szCs w:val="20"/>
              </w:rPr>
              <w:t>Section 100 – Botulinum T</w:t>
            </w:r>
            <w:r w:rsidRPr="00C254D9">
              <w:rPr>
                <w:rFonts w:ascii="Arial Narrow" w:hAnsi="Arial Narrow" w:cs="Arial"/>
                <w:sz w:val="20"/>
                <w:szCs w:val="20"/>
              </w:rPr>
              <w:t xml:space="preserve">oxin </w:t>
            </w:r>
            <w:r>
              <w:rPr>
                <w:rFonts w:ascii="Arial Narrow" w:hAnsi="Arial Narrow" w:cs="Arial"/>
                <w:sz w:val="20"/>
                <w:szCs w:val="20"/>
              </w:rPr>
              <w:t>P</w:t>
            </w:r>
            <w:r w:rsidRPr="00C254D9">
              <w:rPr>
                <w:rFonts w:ascii="Arial Narrow" w:hAnsi="Arial Narrow" w:cs="Arial"/>
                <w:sz w:val="20"/>
                <w:szCs w:val="20"/>
              </w:rPr>
              <w:t>rogram</w:t>
            </w:r>
          </w:p>
        </w:tc>
      </w:tr>
      <w:tr w:rsidR="00FC3647" w:rsidRPr="00C254D9" w:rsidTr="00823D4B">
        <w:trPr>
          <w:trHeight w:val="221"/>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FC3647" w:rsidP="00FA352D">
            <w:pPr>
              <w:jc w:val="both"/>
              <w:rPr>
                <w:rFonts w:ascii="Arial Narrow" w:hAnsi="Arial Narrow" w:cs="Arial"/>
                <w:b/>
                <w:sz w:val="20"/>
                <w:szCs w:val="20"/>
              </w:rPr>
            </w:pPr>
            <w:r w:rsidRPr="00C254D9">
              <w:rPr>
                <w:rFonts w:ascii="Arial Narrow" w:hAnsi="Arial Narrow" w:cs="Arial"/>
                <w:b/>
                <w:sz w:val="20"/>
                <w:szCs w:val="20"/>
              </w:rPr>
              <w:t>Prescriber type:</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FC3647" w:rsidP="00FA352D">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sidR="00BE0C95">
              <w:rPr>
                <w:rFonts w:ascii="Arial Narrow" w:hAnsi="Arial Narrow" w:cs="Arial"/>
                <w:sz w:val="20"/>
                <w:szCs w:val="20"/>
              </w:rPr>
              <w:fldChar w:fldCharType="begin">
                <w:ffData>
                  <w:name w:val=""/>
                  <w:enabled/>
                  <w:calcOnExit w:val="0"/>
                  <w:checkBox>
                    <w:sizeAuto/>
                    <w:default w:val="1"/>
                  </w:checkBox>
                </w:ffData>
              </w:fldChar>
            </w:r>
            <w:r w:rsidR="00BE0C95">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00BE0C95">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r w:rsidR="00FA352D">
              <w:rPr>
                <w:rFonts w:ascii="Arial Narrow" w:hAnsi="Arial Narrow" w:cs="Arial"/>
                <w:sz w:val="20"/>
                <w:szCs w:val="20"/>
              </w:rPr>
              <w:t xml:space="preserve"> </w:t>
            </w: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FC3647" w:rsidRPr="00C254D9" w:rsidTr="00823D4B">
        <w:trPr>
          <w:trHeight w:val="56"/>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FC3647" w:rsidP="00FA352D">
            <w:pPr>
              <w:jc w:val="both"/>
              <w:rPr>
                <w:rFonts w:ascii="Arial Narrow" w:hAnsi="Arial Narrow" w:cs="Arial"/>
                <w:b/>
                <w:sz w:val="20"/>
                <w:szCs w:val="20"/>
              </w:rPr>
            </w:pPr>
            <w:r w:rsidRPr="00C254D9">
              <w:rPr>
                <w:rFonts w:ascii="Arial Narrow" w:hAnsi="Arial Narrow" w:cs="Arial"/>
                <w:b/>
                <w:sz w:val="20"/>
                <w:szCs w:val="20"/>
              </w:rPr>
              <w:t>Severity:</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FC3647" w:rsidRPr="00C254D9" w:rsidRDefault="00BE0C95" w:rsidP="00FA352D">
            <w:pPr>
              <w:rPr>
                <w:rFonts w:ascii="Arial Narrow" w:hAnsi="Arial Narrow" w:cs="Arial"/>
                <w:sz w:val="20"/>
                <w:szCs w:val="20"/>
              </w:rPr>
            </w:pPr>
            <w:r w:rsidRPr="00BE0C95">
              <w:rPr>
                <w:rFonts w:ascii="Arial Narrow" w:hAnsi="Arial Narrow" w:cs="Arial"/>
                <w:sz w:val="20"/>
                <w:szCs w:val="20"/>
              </w:rPr>
              <w:t>Moderate to severe</w:t>
            </w:r>
          </w:p>
        </w:tc>
      </w:tr>
      <w:tr w:rsidR="00BE0C95" w:rsidRPr="00C254D9" w:rsidTr="00823D4B">
        <w:trPr>
          <w:trHeight w:val="171"/>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FA352D">
            <w:pPr>
              <w:jc w:val="both"/>
              <w:rPr>
                <w:rFonts w:ascii="Arial Narrow" w:hAnsi="Arial Narrow" w:cs="Arial"/>
                <w:b/>
                <w:sz w:val="20"/>
                <w:szCs w:val="20"/>
              </w:rPr>
            </w:pPr>
            <w:r w:rsidRPr="00C254D9">
              <w:rPr>
                <w:rFonts w:ascii="Arial Narrow" w:hAnsi="Arial Narrow" w:cs="Arial"/>
                <w:b/>
                <w:sz w:val="20"/>
                <w:szCs w:val="20"/>
              </w:rPr>
              <w:t>Condition:</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BE0C95" w:rsidRDefault="00BE0C95" w:rsidP="003803B2">
            <w:pPr>
              <w:rPr>
                <w:rFonts w:ascii="Arial Narrow" w:hAnsi="Arial Narrow" w:cs="Arial"/>
                <w:sz w:val="20"/>
                <w:szCs w:val="20"/>
              </w:rPr>
            </w:pPr>
            <w:r w:rsidRPr="00BE0C95">
              <w:rPr>
                <w:rFonts w:ascii="Arial Narrow" w:hAnsi="Arial Narrow" w:cs="Calibri"/>
                <w:sz w:val="20"/>
                <w:szCs w:val="20"/>
              </w:rPr>
              <w:t xml:space="preserve">Spasticity of the </w:t>
            </w:r>
            <w:r w:rsidRPr="00FA352D">
              <w:rPr>
                <w:rFonts w:ascii="Arial Narrow" w:hAnsi="Arial Narrow" w:cs="Calibri"/>
                <w:sz w:val="20"/>
                <w:szCs w:val="20"/>
              </w:rPr>
              <w:t xml:space="preserve">upper </w:t>
            </w:r>
            <w:r w:rsidRPr="00BE0C95">
              <w:rPr>
                <w:rFonts w:ascii="Arial Narrow" w:hAnsi="Arial Narrow" w:cs="Calibri"/>
                <w:sz w:val="20"/>
                <w:szCs w:val="20"/>
              </w:rPr>
              <w:t xml:space="preserve">limb following </w:t>
            </w:r>
            <w:r w:rsidRPr="004B4430">
              <w:rPr>
                <w:rFonts w:ascii="Arial Narrow" w:hAnsi="Arial Narrow" w:cs="Calibri"/>
                <w:b/>
                <w:strike/>
                <w:sz w:val="20"/>
                <w:szCs w:val="20"/>
              </w:rPr>
              <w:t>a stroke</w:t>
            </w:r>
            <w:r w:rsidR="003803B2">
              <w:rPr>
                <w:rFonts w:ascii="Arial Narrow" w:hAnsi="Arial Narrow" w:cs="Calibri"/>
                <w:b/>
                <w:strike/>
                <w:sz w:val="20"/>
                <w:szCs w:val="20"/>
              </w:rPr>
              <w:t xml:space="preserve"> </w:t>
            </w:r>
            <w:r w:rsidR="003803B2" w:rsidRPr="004B4430">
              <w:rPr>
                <w:rFonts w:ascii="Arial Narrow" w:hAnsi="Arial Narrow" w:cs="Calibri"/>
                <w:b/>
                <w:sz w:val="20"/>
                <w:szCs w:val="20"/>
              </w:rPr>
              <w:t>an acute event</w:t>
            </w:r>
          </w:p>
        </w:tc>
      </w:tr>
      <w:tr w:rsidR="00BE0C95" w:rsidRPr="00C254D9" w:rsidTr="00823D4B">
        <w:trPr>
          <w:trHeight w:val="61"/>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9719D3" w:rsidRDefault="00BE0C95" w:rsidP="00FA352D">
            <w:pPr>
              <w:jc w:val="both"/>
              <w:rPr>
                <w:rFonts w:ascii="Arial Narrow" w:hAnsi="Arial Narrow" w:cs="Arial"/>
                <w:b/>
                <w:sz w:val="20"/>
                <w:szCs w:val="20"/>
              </w:rPr>
            </w:pPr>
            <w:r w:rsidRPr="00C254D9">
              <w:rPr>
                <w:rFonts w:ascii="Arial Narrow" w:hAnsi="Arial Narrow" w:cs="Arial"/>
                <w:b/>
                <w:sz w:val="20"/>
                <w:szCs w:val="20"/>
              </w:rPr>
              <w:t>PBS Indication:</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3803B2">
            <w:pPr>
              <w:rPr>
                <w:rFonts w:ascii="Arial Narrow" w:hAnsi="Arial Narrow" w:cs="Arial"/>
                <w:sz w:val="20"/>
                <w:szCs w:val="20"/>
              </w:rPr>
            </w:pPr>
            <w:r w:rsidRPr="00BE0C95">
              <w:rPr>
                <w:rFonts w:ascii="Arial Narrow" w:hAnsi="Arial Narrow" w:cs="Arial"/>
                <w:sz w:val="20"/>
                <w:szCs w:val="20"/>
              </w:rPr>
              <w:t>Moderate to severe</w:t>
            </w:r>
            <w:r w:rsidRPr="00BE0C95">
              <w:rPr>
                <w:rFonts w:ascii="Arial Narrow" w:hAnsi="Arial Narrow" w:cs="Calibri"/>
                <w:sz w:val="20"/>
                <w:szCs w:val="20"/>
              </w:rPr>
              <w:t xml:space="preserve"> </w:t>
            </w:r>
            <w:r>
              <w:rPr>
                <w:rFonts w:ascii="Arial Narrow" w:hAnsi="Arial Narrow" w:cs="Calibri"/>
                <w:sz w:val="20"/>
                <w:szCs w:val="20"/>
              </w:rPr>
              <w:t>s</w:t>
            </w:r>
            <w:r w:rsidRPr="00BE0C95">
              <w:rPr>
                <w:rFonts w:ascii="Arial Narrow" w:hAnsi="Arial Narrow" w:cs="Calibri"/>
                <w:sz w:val="20"/>
                <w:szCs w:val="20"/>
              </w:rPr>
              <w:t xml:space="preserve">pasticity of the </w:t>
            </w:r>
            <w:r w:rsidRPr="00FA352D">
              <w:rPr>
                <w:rFonts w:ascii="Arial Narrow" w:hAnsi="Arial Narrow" w:cs="Calibri"/>
                <w:sz w:val="20"/>
                <w:szCs w:val="20"/>
              </w:rPr>
              <w:t>upper</w:t>
            </w:r>
            <w:r w:rsidRPr="00BE0C95">
              <w:rPr>
                <w:rFonts w:ascii="Arial Narrow" w:hAnsi="Arial Narrow" w:cs="Calibri"/>
                <w:sz w:val="20"/>
                <w:szCs w:val="20"/>
              </w:rPr>
              <w:t xml:space="preserve"> limb following </w:t>
            </w:r>
            <w:r w:rsidRPr="004B4430">
              <w:rPr>
                <w:rFonts w:ascii="Arial Narrow" w:hAnsi="Arial Narrow" w:cs="Calibri"/>
                <w:b/>
                <w:strike/>
                <w:sz w:val="20"/>
                <w:szCs w:val="20"/>
              </w:rPr>
              <w:t>a stroke</w:t>
            </w:r>
            <w:r w:rsidR="003803B2">
              <w:rPr>
                <w:rFonts w:ascii="Arial Narrow" w:hAnsi="Arial Narrow" w:cs="Calibri"/>
                <w:b/>
                <w:strike/>
                <w:sz w:val="20"/>
                <w:szCs w:val="20"/>
              </w:rPr>
              <w:t xml:space="preserve"> </w:t>
            </w:r>
            <w:r w:rsidR="003803B2" w:rsidRPr="004B4430">
              <w:rPr>
                <w:rFonts w:ascii="Arial Narrow" w:hAnsi="Arial Narrow" w:cs="Calibri"/>
                <w:b/>
                <w:sz w:val="20"/>
                <w:szCs w:val="20"/>
              </w:rPr>
              <w:t>an acute event</w:t>
            </w:r>
          </w:p>
        </w:tc>
      </w:tr>
      <w:tr w:rsidR="00BE0C95" w:rsidRPr="00C254D9" w:rsidTr="00823D4B">
        <w:trPr>
          <w:trHeight w:val="8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FA352D">
            <w:pPr>
              <w:rPr>
                <w:rFonts w:ascii="Arial Narrow" w:hAnsi="Arial Narrow" w:cs="Arial"/>
                <w:i/>
                <w:sz w:val="20"/>
                <w:szCs w:val="20"/>
              </w:rPr>
            </w:pPr>
            <w:r w:rsidRPr="00C254D9">
              <w:rPr>
                <w:rFonts w:ascii="Arial Narrow" w:hAnsi="Arial Narrow" w:cs="Arial"/>
                <w:b/>
                <w:sz w:val="20"/>
                <w:szCs w:val="20"/>
              </w:rPr>
              <w:t>Restriction Level</w:t>
            </w:r>
            <w:r w:rsidR="00B440C7">
              <w:rPr>
                <w:rFonts w:ascii="Arial Narrow" w:hAnsi="Arial Narrow" w:cs="Arial"/>
                <w:b/>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FA352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Pr>
                <w:rFonts w:ascii="Arial Narrow" w:hAnsi="Arial Narrow" w:cs="Arial"/>
                <w:sz w:val="20"/>
                <w:szCs w:val="20"/>
              </w:rPr>
              <w:fldChar w:fldCharType="end"/>
            </w:r>
            <w:bookmarkEnd w:id="1"/>
            <w:r w:rsidRPr="00C254D9">
              <w:rPr>
                <w:rFonts w:ascii="Arial Narrow" w:hAnsi="Arial Narrow" w:cs="Arial"/>
                <w:sz w:val="20"/>
                <w:szCs w:val="20"/>
              </w:rPr>
              <w:t>Streamlined</w:t>
            </w:r>
          </w:p>
        </w:tc>
      </w:tr>
      <w:tr w:rsidR="00BE0C95" w:rsidRPr="00C254D9" w:rsidTr="00823D4B">
        <w:trPr>
          <w:trHeight w:val="4407"/>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Default="00BE0C95" w:rsidP="00FA352D">
            <w:pPr>
              <w:jc w:val="both"/>
              <w:rPr>
                <w:rFonts w:ascii="Arial Narrow" w:hAnsi="Arial Narrow" w:cs="Arial"/>
                <w:b/>
                <w:sz w:val="20"/>
                <w:szCs w:val="20"/>
              </w:rPr>
            </w:pPr>
            <w:r w:rsidRPr="00C254D9">
              <w:rPr>
                <w:rFonts w:ascii="Arial Narrow" w:hAnsi="Arial Narrow" w:cs="Arial"/>
                <w:b/>
                <w:sz w:val="20"/>
                <w:szCs w:val="20"/>
              </w:rPr>
              <w:lastRenderedPageBreak/>
              <w:t>Clinical criteria:</w:t>
            </w:r>
          </w:p>
          <w:p w:rsidR="00BE0C95" w:rsidRPr="00F70F81" w:rsidRDefault="00BE0C95" w:rsidP="00FA352D">
            <w:pPr>
              <w:jc w:val="both"/>
              <w:rPr>
                <w:rFonts w:ascii="Arial Narrow" w:hAnsi="Arial Narrow" w:cs="Arial"/>
                <w:b/>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 xml:space="preserve">The condition must be moderate to severe spasticity of the upper limb/s following </w:t>
            </w:r>
            <w:r w:rsidR="003803B2" w:rsidRPr="003803B2">
              <w:rPr>
                <w:rFonts w:ascii="Arial Narrow" w:hAnsi="Arial Narrow" w:cs="Arial"/>
                <w:b/>
                <w:sz w:val="20"/>
                <w:szCs w:val="20"/>
              </w:rPr>
              <w:t xml:space="preserve">an acute event </w:t>
            </w:r>
            <w:r w:rsidRPr="003803B2">
              <w:rPr>
                <w:rFonts w:ascii="Arial Narrow" w:hAnsi="Arial Narrow" w:cs="Arial"/>
                <w:b/>
                <w:strike/>
                <w:sz w:val="20"/>
                <w:szCs w:val="20"/>
              </w:rPr>
              <w:t>stroke</w:t>
            </w:r>
            <w:r w:rsidRPr="004B4430">
              <w:rPr>
                <w:rFonts w:ascii="Arial Narrow" w:hAnsi="Arial Narrow" w:cs="Arial"/>
                <w:sz w:val="20"/>
                <w:szCs w:val="20"/>
              </w:rPr>
              <w:t>, defined as a Modified Ashworth Scale rating of 3 or more,</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AND</w:t>
            </w:r>
          </w:p>
          <w:p w:rsidR="00BE0C95" w:rsidRPr="003803B2" w:rsidRDefault="00BE0C95" w:rsidP="00FA352D">
            <w:pPr>
              <w:rPr>
                <w:rFonts w:ascii="Arial Narrow" w:hAnsi="Arial Narrow" w:cs="Arial"/>
                <w:b/>
                <w:strike/>
                <w:sz w:val="20"/>
                <w:szCs w:val="20"/>
              </w:rPr>
            </w:pPr>
            <w:r w:rsidRPr="003803B2">
              <w:rPr>
                <w:rFonts w:ascii="Arial Narrow" w:hAnsi="Arial Narrow" w:cs="Arial"/>
                <w:b/>
                <w:strike/>
                <w:sz w:val="20"/>
                <w:szCs w:val="20"/>
              </w:rPr>
              <w:t xml:space="preserve">The treatment must not be initiated until three months post-stroke, </w:t>
            </w:r>
          </w:p>
          <w:p w:rsidR="00BE0C95" w:rsidRPr="004C40BE" w:rsidRDefault="00BE0C95" w:rsidP="00FA352D">
            <w:pPr>
              <w:rPr>
                <w:rFonts w:ascii="Arial Narrow" w:hAnsi="Arial Narrow" w:cs="Arial"/>
                <w:strike/>
                <w:sz w:val="20"/>
                <w:szCs w:val="20"/>
              </w:rPr>
            </w:pPr>
            <w:r w:rsidRPr="003803B2">
              <w:rPr>
                <w:rFonts w:ascii="Arial Narrow" w:hAnsi="Arial Narrow" w:cs="Arial"/>
                <w:b/>
                <w:strike/>
                <w:sz w:val="20"/>
                <w:szCs w:val="20"/>
              </w:rPr>
              <w:t>AND</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The treatment must only be used as second line therapy when standard management has failed; OR</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The treatment must only be used as an adjunct to physical therapy,</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AND</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 xml:space="preserve">The treatment must not continue if the patient does not respond (defined as not having had a decrease in spasticity rating greater than 1, using the Modified Ashworth Scale, in at least one joint) after two treatment periods </w:t>
            </w:r>
            <w:r w:rsidRPr="003803B2">
              <w:rPr>
                <w:rFonts w:ascii="Arial Narrow" w:hAnsi="Arial Narrow" w:cs="Arial"/>
                <w:b/>
                <w:sz w:val="20"/>
                <w:szCs w:val="20"/>
              </w:rPr>
              <w:t xml:space="preserve">(with any botulinum toxin type A </w:t>
            </w:r>
            <w:r w:rsidRPr="003803B2">
              <w:rPr>
                <w:rFonts w:ascii="Arial Narrow" w:hAnsi="Arial Narrow" w:cs="Arial"/>
                <w:b/>
                <w:strike/>
                <w:sz w:val="20"/>
                <w:szCs w:val="20"/>
              </w:rPr>
              <w:t xml:space="preserve">total </w:t>
            </w:r>
            <w:r w:rsidR="00FF76EF" w:rsidRPr="003803B2">
              <w:rPr>
                <w:rFonts w:ascii="Arial Narrow" w:hAnsi="Arial Narrow" w:cs="Arial"/>
                <w:b/>
                <w:strike/>
                <w:sz w:val="20"/>
                <w:szCs w:val="20"/>
              </w:rPr>
              <w:t>BOTOX</w:t>
            </w:r>
            <w:r w:rsidRPr="003803B2">
              <w:rPr>
                <w:rFonts w:ascii="Arial Narrow" w:hAnsi="Arial Narrow" w:cs="Arial"/>
                <w:b/>
                <w:strike/>
                <w:sz w:val="20"/>
                <w:szCs w:val="20"/>
              </w:rPr>
              <w:t>, Dysport, and Xeomin</w:t>
            </w:r>
            <w:r w:rsidR="002E5A7E" w:rsidRPr="003803B2">
              <w:rPr>
                <w:rFonts w:ascii="Arial Narrow" w:hAnsi="Arial Narrow" w:cs="Arial"/>
                <w:b/>
                <w:strike/>
                <w:sz w:val="20"/>
                <w:szCs w:val="20"/>
              </w:rPr>
              <w:t>)</w:t>
            </w:r>
            <w:r w:rsidR="003803B2">
              <w:rPr>
                <w:rFonts w:ascii="Arial Narrow" w:hAnsi="Arial Narrow" w:cs="Arial"/>
                <w:b/>
                <w:strike/>
                <w:sz w:val="20"/>
                <w:szCs w:val="20"/>
              </w:rPr>
              <w:t>,</w:t>
            </w:r>
          </w:p>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AND</w:t>
            </w:r>
          </w:p>
          <w:p w:rsidR="003803B2" w:rsidRPr="003803B2" w:rsidRDefault="003803B2" w:rsidP="003803B2">
            <w:pPr>
              <w:rPr>
                <w:rFonts w:ascii="Arial Narrow" w:hAnsi="Arial Narrow" w:cs="Arial"/>
                <w:b/>
                <w:sz w:val="20"/>
                <w:szCs w:val="20"/>
              </w:rPr>
            </w:pPr>
            <w:r w:rsidRPr="003803B2">
              <w:rPr>
                <w:rFonts w:ascii="Arial Narrow" w:hAnsi="Arial Narrow" w:cs="Arial"/>
                <w:b/>
                <w:sz w:val="20"/>
                <w:szCs w:val="20"/>
              </w:rPr>
              <w:t>The treatment must not exceed a maximum of 4 treatment periods (with any botulinum toxin type A) per upper limb in the first year of treatment, and 2 treatment periods (with any botulinum toxin type A) per upper limb each year thereafter.</w:t>
            </w:r>
          </w:p>
          <w:p w:rsidR="00BE0C95" w:rsidRPr="003803B2" w:rsidRDefault="00BE0C95" w:rsidP="00FA352D">
            <w:pPr>
              <w:rPr>
                <w:rFonts w:ascii="Arial Narrow" w:hAnsi="Arial Narrow" w:cs="Arial"/>
                <w:b/>
                <w:strike/>
                <w:sz w:val="20"/>
                <w:szCs w:val="20"/>
              </w:rPr>
            </w:pPr>
            <w:r w:rsidRPr="003803B2">
              <w:rPr>
                <w:rFonts w:ascii="Arial Narrow" w:hAnsi="Arial Narrow" w:cs="Arial"/>
                <w:b/>
                <w:strike/>
                <w:sz w:val="20"/>
                <w:szCs w:val="20"/>
              </w:rPr>
              <w:t xml:space="preserve">The treatment must not exceed 4 treatment periods (total </w:t>
            </w:r>
            <w:r w:rsidR="00FF76EF" w:rsidRPr="003803B2">
              <w:rPr>
                <w:rFonts w:ascii="Arial Narrow" w:hAnsi="Arial Narrow" w:cs="Arial"/>
                <w:b/>
                <w:strike/>
                <w:sz w:val="20"/>
                <w:szCs w:val="20"/>
              </w:rPr>
              <w:t>BOTOX</w:t>
            </w:r>
            <w:r w:rsidRPr="003803B2">
              <w:rPr>
                <w:rFonts w:ascii="Arial Narrow" w:hAnsi="Arial Narrow" w:cs="Arial"/>
                <w:b/>
                <w:strike/>
                <w:sz w:val="20"/>
                <w:szCs w:val="20"/>
              </w:rPr>
              <w:t>, Dysport, and Xeomin) per upper limb per lifetime</w:t>
            </w:r>
          </w:p>
          <w:p w:rsidR="002E5A7E" w:rsidRPr="003803B2" w:rsidRDefault="002E5A7E" w:rsidP="00FA352D">
            <w:pPr>
              <w:rPr>
                <w:rFonts w:ascii="Arial Narrow" w:hAnsi="Arial Narrow" w:cs="Arial"/>
                <w:sz w:val="20"/>
                <w:szCs w:val="20"/>
              </w:rPr>
            </w:pPr>
            <w:r w:rsidRPr="003803B2">
              <w:rPr>
                <w:rFonts w:ascii="Arial Narrow" w:hAnsi="Arial Narrow" w:cs="Arial"/>
                <w:sz w:val="20"/>
                <w:szCs w:val="20"/>
              </w:rPr>
              <w:t>AND</w:t>
            </w:r>
          </w:p>
          <w:p w:rsidR="00BE0C95" w:rsidRPr="004B4430" w:rsidRDefault="002E5A7E" w:rsidP="00FA352D">
            <w:pPr>
              <w:rPr>
                <w:rFonts w:ascii="Arial Narrow" w:hAnsi="Arial Narrow" w:cs="Arial"/>
                <w:sz w:val="20"/>
                <w:szCs w:val="20"/>
              </w:rPr>
            </w:pPr>
            <w:r w:rsidRPr="009719D3">
              <w:rPr>
                <w:rFonts w:ascii="Arial Narrow" w:hAnsi="Arial Narrow" w:cs="Arial"/>
                <w:sz w:val="20"/>
                <w:szCs w:val="20"/>
              </w:rPr>
              <w:t>Patient must not have established severe contracture in the limb to be treated</w:t>
            </w:r>
            <w:r w:rsidR="009719D3">
              <w:rPr>
                <w:rFonts w:ascii="Arial Narrow" w:hAnsi="Arial Narrow" w:cs="Arial"/>
                <w:sz w:val="20"/>
                <w:szCs w:val="20"/>
              </w:rPr>
              <w:t>.</w:t>
            </w:r>
          </w:p>
        </w:tc>
      </w:tr>
      <w:tr w:rsidR="00BE0C95" w:rsidRPr="00C254D9" w:rsidTr="00823D4B">
        <w:trPr>
          <w:trHeight w:val="27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BE0C95" w:rsidRDefault="009719D3" w:rsidP="00FA352D">
            <w:pPr>
              <w:jc w:val="both"/>
              <w:rPr>
                <w:rFonts w:ascii="Arial Narrow" w:hAnsi="Arial Narrow" w:cs="Arial"/>
                <w:b/>
                <w:sz w:val="20"/>
                <w:szCs w:val="20"/>
              </w:rPr>
            </w:pPr>
            <w:r>
              <w:rPr>
                <w:rFonts w:ascii="Arial Narrow" w:hAnsi="Arial Narrow" w:cs="Arial"/>
                <w:b/>
                <w:sz w:val="20"/>
                <w:szCs w:val="20"/>
              </w:rPr>
              <w:t>Population criteria</w:t>
            </w:r>
            <w:r w:rsidR="00BE0C95" w:rsidRPr="00C254D9">
              <w:rPr>
                <w:rFonts w:ascii="Arial Narrow" w:hAnsi="Arial Narrow" w:cs="Arial"/>
                <w:b/>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Patient must be aged 18 years or older.</w:t>
            </w:r>
          </w:p>
        </w:tc>
      </w:tr>
      <w:tr w:rsidR="009719D3" w:rsidRPr="00C254D9" w:rsidTr="00823D4B">
        <w:trPr>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9719D3" w:rsidRDefault="009719D3" w:rsidP="00FA352D">
            <w:pPr>
              <w:rPr>
                <w:rFonts w:ascii="Arial Narrow" w:hAnsi="Arial Narrow" w:cs="Arial"/>
                <w:b/>
                <w:sz w:val="20"/>
                <w:szCs w:val="20"/>
              </w:rPr>
            </w:pPr>
            <w:r>
              <w:rPr>
                <w:rFonts w:ascii="Arial Narrow" w:hAnsi="Arial Narrow" w:cs="Arial"/>
                <w:b/>
                <w:sz w:val="20"/>
                <w:szCs w:val="20"/>
              </w:rPr>
              <w:t>Treatment criteria:</w:t>
            </w:r>
          </w:p>
          <w:p w:rsidR="009719D3" w:rsidRPr="00F70F81" w:rsidRDefault="009719D3" w:rsidP="00FA352D">
            <w:pPr>
              <w:jc w:val="both"/>
              <w:rPr>
                <w:rFonts w:ascii="Arial Narrow" w:hAnsi="Arial Narrow" w:cs="Arial"/>
                <w:b/>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9719D3" w:rsidRPr="00BE0C95" w:rsidRDefault="009719D3" w:rsidP="00FA352D">
            <w:pPr>
              <w:rPr>
                <w:rFonts w:ascii="Arial Narrow" w:hAnsi="Arial Narrow" w:cs="Arial"/>
                <w:sz w:val="20"/>
                <w:szCs w:val="20"/>
              </w:rPr>
            </w:pPr>
            <w:r w:rsidRPr="00BE0C95">
              <w:rPr>
                <w:rFonts w:ascii="Arial Narrow" w:hAnsi="Arial Narrow" w:cs="Arial"/>
                <w:sz w:val="20"/>
                <w:szCs w:val="20"/>
              </w:rPr>
              <w:t>Must be treated by a neurologist; OR</w:t>
            </w:r>
          </w:p>
          <w:p w:rsidR="009719D3" w:rsidRPr="00BE0C95" w:rsidRDefault="009719D3" w:rsidP="00FA352D">
            <w:pPr>
              <w:rPr>
                <w:rFonts w:ascii="Arial Narrow" w:hAnsi="Arial Narrow" w:cs="Arial"/>
                <w:sz w:val="20"/>
                <w:szCs w:val="20"/>
              </w:rPr>
            </w:pPr>
            <w:r w:rsidRPr="00BE0C95">
              <w:rPr>
                <w:rFonts w:ascii="Arial Narrow" w:hAnsi="Arial Narrow" w:cs="Arial"/>
                <w:sz w:val="20"/>
                <w:szCs w:val="20"/>
              </w:rPr>
              <w:t>Must be treated by an orthopaedic surgeon; OR</w:t>
            </w:r>
          </w:p>
          <w:p w:rsidR="009719D3" w:rsidRPr="00BE0C95" w:rsidRDefault="009719D3" w:rsidP="00FA352D">
            <w:pPr>
              <w:rPr>
                <w:rFonts w:ascii="Arial Narrow" w:hAnsi="Arial Narrow" w:cs="Arial"/>
                <w:sz w:val="20"/>
                <w:szCs w:val="20"/>
              </w:rPr>
            </w:pPr>
            <w:r w:rsidRPr="00BE0C95">
              <w:rPr>
                <w:rFonts w:ascii="Arial Narrow" w:hAnsi="Arial Narrow" w:cs="Arial"/>
                <w:sz w:val="20"/>
                <w:szCs w:val="20"/>
              </w:rPr>
              <w:t>Must be treated by a rehabilitation specialist; OR</w:t>
            </w:r>
          </w:p>
          <w:p w:rsidR="009719D3" w:rsidRPr="00BE0C95" w:rsidRDefault="009719D3" w:rsidP="00FA352D">
            <w:pPr>
              <w:rPr>
                <w:rFonts w:ascii="Arial Narrow" w:hAnsi="Arial Narrow" w:cs="Arial"/>
                <w:sz w:val="20"/>
                <w:szCs w:val="20"/>
              </w:rPr>
            </w:pPr>
            <w:r w:rsidRPr="00BE0C95">
              <w:rPr>
                <w:rFonts w:ascii="Arial Narrow" w:hAnsi="Arial Narrow" w:cs="Arial"/>
                <w:sz w:val="20"/>
                <w:szCs w:val="20"/>
              </w:rPr>
              <w:t>Must be treated by a plastic surgeon; OR</w:t>
            </w:r>
          </w:p>
          <w:p w:rsidR="009719D3" w:rsidRPr="00C254D9" w:rsidRDefault="009719D3" w:rsidP="00FA352D">
            <w:pPr>
              <w:rPr>
                <w:rFonts w:ascii="Arial Narrow" w:hAnsi="Arial Narrow" w:cs="Arial"/>
                <w:sz w:val="20"/>
                <w:szCs w:val="20"/>
              </w:rPr>
            </w:pPr>
            <w:r w:rsidRPr="00BE0C95">
              <w:rPr>
                <w:rFonts w:ascii="Arial Narrow" w:hAnsi="Arial Narrow" w:cs="Arial"/>
                <w:sz w:val="20"/>
                <w:szCs w:val="20"/>
              </w:rPr>
              <w:t>Must be treated by a geriatrician</w:t>
            </w:r>
            <w:r>
              <w:rPr>
                <w:rFonts w:ascii="Arial Narrow" w:hAnsi="Arial Narrow" w:cs="Arial"/>
                <w:sz w:val="20"/>
                <w:szCs w:val="20"/>
              </w:rPr>
              <w:t>.</w:t>
            </w:r>
          </w:p>
        </w:tc>
      </w:tr>
      <w:tr w:rsidR="00BE0C95" w:rsidRPr="00C254D9" w:rsidTr="00823D4B">
        <w:trPr>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FA352D">
            <w:pPr>
              <w:jc w:val="both"/>
              <w:rPr>
                <w:rFonts w:ascii="Arial Narrow" w:hAnsi="Arial Narrow" w:cs="Arial"/>
                <w:b/>
                <w:sz w:val="20"/>
                <w:szCs w:val="20"/>
              </w:rPr>
            </w:pPr>
            <w:r w:rsidRPr="00C254D9">
              <w:rPr>
                <w:rFonts w:ascii="Arial Narrow" w:hAnsi="Arial Narrow" w:cs="Arial"/>
                <w:b/>
                <w:sz w:val="20"/>
                <w:szCs w:val="20"/>
              </w:rPr>
              <w:t>Prescriber Instructions</w:t>
            </w:r>
            <w:r>
              <w:rPr>
                <w:rFonts w:ascii="Arial Narrow" w:hAnsi="Arial Narrow" w:cs="Arial"/>
                <w:b/>
                <w:sz w:val="20"/>
                <w:szCs w:val="20"/>
              </w:rPr>
              <w:t>:</w:t>
            </w:r>
          </w:p>
          <w:p w:rsidR="00BE0C95" w:rsidRPr="00C254D9" w:rsidRDefault="00BE0C95" w:rsidP="00FA352D">
            <w:pPr>
              <w:jc w:val="both"/>
              <w:rPr>
                <w:rFonts w:ascii="Arial Narrow" w:hAnsi="Arial Narrow" w:cs="Arial"/>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4B4430" w:rsidRDefault="00BE0C95" w:rsidP="00FA352D">
            <w:pPr>
              <w:autoSpaceDE w:val="0"/>
              <w:autoSpaceDN w:val="0"/>
              <w:adjustRightInd w:val="0"/>
              <w:rPr>
                <w:rFonts w:ascii="Arial Narrow" w:hAnsi="Arial Narrow"/>
                <w:b/>
                <w:strike/>
                <w:sz w:val="20"/>
                <w:szCs w:val="20"/>
              </w:rPr>
            </w:pPr>
            <w:r w:rsidRPr="004B4430">
              <w:rPr>
                <w:rFonts w:ascii="Arial Narrow" w:hAnsi="Arial Narrow"/>
                <w:b/>
                <w:strike/>
                <w:sz w:val="20"/>
                <w:szCs w:val="20"/>
              </w:rPr>
              <w:t>The date of the stroke must be documented in the patient's medical records when treatment is initiated.</w:t>
            </w:r>
          </w:p>
          <w:p w:rsidR="00BE0C95" w:rsidRPr="004B4430" w:rsidRDefault="00BE0C95" w:rsidP="00FA352D">
            <w:pPr>
              <w:autoSpaceDE w:val="0"/>
              <w:autoSpaceDN w:val="0"/>
              <w:adjustRightInd w:val="0"/>
              <w:rPr>
                <w:rFonts w:ascii="Arial Narrow" w:hAnsi="Arial Narrow"/>
                <w:sz w:val="20"/>
                <w:szCs w:val="20"/>
              </w:rPr>
            </w:pPr>
            <w:r w:rsidRPr="004B4430">
              <w:rPr>
                <w:rFonts w:ascii="Arial Narrow" w:hAnsi="Arial Narrow"/>
                <w:sz w:val="20"/>
                <w:szCs w:val="20"/>
              </w:rPr>
              <w:t xml:space="preserve">Standard management includes physiotherapy and/or oral </w:t>
            </w:r>
            <w:r w:rsidRPr="009719D3">
              <w:rPr>
                <w:rFonts w:ascii="Arial Narrow" w:hAnsi="Arial Narrow"/>
                <w:b/>
                <w:strike/>
                <w:sz w:val="20"/>
                <w:szCs w:val="20"/>
              </w:rPr>
              <w:t>anti-</w:t>
            </w:r>
            <w:r w:rsidRPr="004B4430">
              <w:rPr>
                <w:rFonts w:ascii="Arial Narrow" w:hAnsi="Arial Narrow"/>
                <w:sz w:val="20"/>
                <w:szCs w:val="20"/>
              </w:rPr>
              <w:t>spasticity agents.</w:t>
            </w:r>
          </w:p>
          <w:p w:rsidR="00BE0C95" w:rsidRPr="00084EAE" w:rsidRDefault="00BE0C95" w:rsidP="00FA352D">
            <w:pPr>
              <w:rPr>
                <w:rFonts w:ascii="Arial Narrow" w:hAnsi="Arial Narrow" w:cs="Arial"/>
                <w:b/>
                <w:strike/>
                <w:sz w:val="20"/>
                <w:szCs w:val="20"/>
              </w:rPr>
            </w:pPr>
            <w:r w:rsidRPr="00084EAE">
              <w:rPr>
                <w:rFonts w:ascii="Arial Narrow" w:hAnsi="Arial Narrow"/>
                <w:b/>
                <w:strike/>
                <w:sz w:val="20"/>
                <w:szCs w:val="20"/>
              </w:rPr>
              <w:t xml:space="preserve">The first year of treatment is defined as the year commencing on </w:t>
            </w:r>
            <w:r w:rsidRPr="00084EAE">
              <w:rPr>
                <w:rFonts w:ascii="Arial Narrow" w:hAnsi="Arial Narrow"/>
                <w:b/>
                <w:bCs/>
                <w:strike/>
                <w:sz w:val="20"/>
                <w:szCs w:val="20"/>
              </w:rPr>
              <w:t xml:space="preserve">date of the first treatment on or after </w:t>
            </w:r>
            <w:r w:rsidRPr="00084EAE">
              <w:rPr>
                <w:rFonts w:ascii="Arial Narrow" w:hAnsi="Arial Narrow"/>
                <w:b/>
                <w:strike/>
                <w:sz w:val="20"/>
                <w:szCs w:val="20"/>
              </w:rPr>
              <w:t>&lt;DATE&gt;.</w:t>
            </w:r>
          </w:p>
        </w:tc>
      </w:tr>
      <w:tr w:rsidR="00BE0C95" w:rsidRPr="00C254D9" w:rsidTr="00823D4B">
        <w:trPr>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C254D9" w:rsidRDefault="00BE0C95" w:rsidP="00FA352D">
            <w:pPr>
              <w:jc w:val="both"/>
              <w:rPr>
                <w:rFonts w:ascii="Arial Narrow" w:hAnsi="Arial Narrow" w:cs="Arial"/>
                <w:b/>
                <w:sz w:val="20"/>
                <w:szCs w:val="20"/>
              </w:rPr>
            </w:pPr>
            <w:r w:rsidRPr="00C254D9">
              <w:rPr>
                <w:rFonts w:ascii="Arial Narrow" w:hAnsi="Arial Narrow" w:cs="Arial"/>
                <w:b/>
                <w:sz w:val="20"/>
                <w:szCs w:val="20"/>
              </w:rPr>
              <w:t>Administrative Advice</w:t>
            </w:r>
            <w:r>
              <w:rPr>
                <w:rFonts w:ascii="Arial Narrow" w:hAnsi="Arial Narrow" w:cs="Arial"/>
                <w:b/>
                <w:sz w:val="20"/>
                <w:szCs w:val="20"/>
              </w:rPr>
              <w:t>:</w:t>
            </w:r>
          </w:p>
          <w:p w:rsidR="00BE0C95" w:rsidRPr="00C254D9" w:rsidRDefault="00BE0C95" w:rsidP="00FA352D">
            <w:pPr>
              <w:jc w:val="both"/>
              <w:rPr>
                <w:rFonts w:ascii="Arial Narrow" w:hAnsi="Arial Narrow" w:cs="Arial"/>
                <w:i/>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The units used to express the potency of botulinum toxin preparations currently available for PBS subsidy are not equivalent.</w:t>
            </w:r>
          </w:p>
          <w:p w:rsidR="000267DB" w:rsidRDefault="000267DB" w:rsidP="00FA352D">
            <w:pPr>
              <w:rPr>
                <w:rFonts w:ascii="Arial Narrow" w:hAnsi="Arial Narrow" w:cs="Arial"/>
                <w:sz w:val="20"/>
                <w:szCs w:val="20"/>
              </w:rPr>
            </w:pPr>
          </w:p>
          <w:p w:rsidR="00BE0C95" w:rsidRDefault="00BE0C95" w:rsidP="00FA352D">
            <w:pPr>
              <w:rPr>
                <w:rFonts w:ascii="Arial Narrow" w:hAnsi="Arial Narrow" w:cs="Arial"/>
                <w:sz w:val="20"/>
                <w:szCs w:val="20"/>
              </w:rPr>
            </w:pPr>
            <w:r w:rsidRPr="004B4430">
              <w:rPr>
                <w:rFonts w:ascii="Arial Narrow" w:hAnsi="Arial Narrow" w:cs="Arial"/>
                <w:sz w:val="20"/>
                <w:szCs w:val="20"/>
              </w:rPr>
              <w:t>An acute event may be a clinical or external event that leads to upper motor neuron lesions resulting in spasticity for example, these may be stroke, traumatic brain injury, spinal cord injury, infection or hypoxia.</w:t>
            </w:r>
          </w:p>
          <w:p w:rsidR="009719D3" w:rsidRDefault="009719D3" w:rsidP="00FA352D">
            <w:pPr>
              <w:rPr>
                <w:rFonts w:ascii="Arial Narrow" w:hAnsi="Arial Narrow" w:cs="Arial"/>
                <w:sz w:val="20"/>
                <w:szCs w:val="20"/>
              </w:rPr>
            </w:pPr>
          </w:p>
          <w:p w:rsidR="009719D3" w:rsidRPr="004B4430" w:rsidRDefault="009719D3" w:rsidP="00FA352D">
            <w:pPr>
              <w:rPr>
                <w:rFonts w:ascii="Arial Narrow" w:hAnsi="Arial Narrow" w:cs="Arial"/>
                <w:sz w:val="20"/>
                <w:szCs w:val="20"/>
              </w:rPr>
            </w:pPr>
            <w:r w:rsidRPr="004B4430">
              <w:rPr>
                <w:rFonts w:ascii="Arial Narrow" w:hAnsi="Arial Narrow" w:cs="Arial"/>
                <w:sz w:val="20"/>
                <w:szCs w:val="20"/>
              </w:rPr>
              <w:t>Special Pricing Arrangements apply.</w:t>
            </w:r>
          </w:p>
        </w:tc>
      </w:tr>
      <w:tr w:rsidR="00BE0C95" w:rsidRPr="0037521E" w:rsidTr="00823D4B">
        <w:trPr>
          <w:trHeight w:val="243"/>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E0C95" w:rsidRPr="009719D3" w:rsidRDefault="00BE0C95" w:rsidP="00FA352D">
            <w:pPr>
              <w:jc w:val="both"/>
              <w:rPr>
                <w:rFonts w:ascii="Arial Narrow" w:hAnsi="Arial Narrow" w:cs="Arial"/>
                <w:b/>
                <w:sz w:val="20"/>
                <w:szCs w:val="20"/>
              </w:rPr>
            </w:pPr>
            <w:r w:rsidRPr="00C254D9">
              <w:rPr>
                <w:rFonts w:ascii="Arial Narrow" w:hAnsi="Arial Narrow" w:cs="Arial"/>
                <w:b/>
                <w:sz w:val="20"/>
                <w:szCs w:val="20"/>
              </w:rPr>
              <w:t>Cautions</w:t>
            </w:r>
            <w:r>
              <w:rPr>
                <w:rFonts w:ascii="Arial Narrow" w:hAnsi="Arial Narrow" w:cs="Arial"/>
                <w:b/>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BE0C95" w:rsidRPr="004B4430" w:rsidRDefault="00BE0C95" w:rsidP="00FA352D">
            <w:pPr>
              <w:rPr>
                <w:rFonts w:ascii="Arial Narrow" w:hAnsi="Arial Narrow" w:cs="Arial"/>
                <w:sz w:val="20"/>
                <w:szCs w:val="20"/>
              </w:rPr>
            </w:pPr>
            <w:r w:rsidRPr="004B4430">
              <w:rPr>
                <w:rFonts w:ascii="Arial Narrow" w:hAnsi="Arial Narrow" w:cs="Arial"/>
                <w:sz w:val="20"/>
                <w:szCs w:val="20"/>
              </w:rPr>
              <w:t>Contraindications to treatment include known sensitivity to botulinum toxin.</w:t>
            </w:r>
          </w:p>
        </w:tc>
      </w:tr>
      <w:tr w:rsidR="003803B2" w:rsidRPr="003803B2" w:rsidTr="00B440C7">
        <w:trPr>
          <w:cantSplit/>
          <w:trHeight w:val="471"/>
        </w:trPr>
        <w:tc>
          <w:tcPr>
            <w:tcW w:w="2835" w:type="dxa"/>
            <w:gridSpan w:val="2"/>
            <w:tcBorders>
              <w:bottom w:val="single" w:sz="4" w:space="0" w:color="auto"/>
            </w:tcBorders>
          </w:tcPr>
          <w:p w:rsidR="003803B2" w:rsidRPr="003803B2" w:rsidRDefault="003803B2" w:rsidP="00D3080C">
            <w:pPr>
              <w:keepNext/>
              <w:ind w:left="-108"/>
              <w:jc w:val="both"/>
              <w:rPr>
                <w:rFonts w:ascii="Arial Narrow" w:hAnsi="Arial Narrow" w:cs="Arial"/>
                <w:b/>
                <w:i/>
                <w:sz w:val="20"/>
                <w:szCs w:val="20"/>
              </w:rPr>
            </w:pPr>
          </w:p>
        </w:tc>
        <w:tc>
          <w:tcPr>
            <w:tcW w:w="851" w:type="dxa"/>
            <w:tcBorders>
              <w:bottom w:val="single" w:sz="4" w:space="0" w:color="auto"/>
            </w:tcBorders>
          </w:tcPr>
          <w:p w:rsidR="003803B2" w:rsidRPr="003803B2" w:rsidRDefault="003803B2" w:rsidP="00D3080C">
            <w:pPr>
              <w:keepNext/>
              <w:ind w:left="-108"/>
              <w:jc w:val="both"/>
              <w:rPr>
                <w:rFonts w:ascii="Arial Narrow" w:hAnsi="Arial Narrow" w:cs="Arial"/>
                <w:b/>
                <w:i/>
                <w:sz w:val="20"/>
                <w:szCs w:val="20"/>
              </w:rPr>
            </w:pPr>
          </w:p>
        </w:tc>
        <w:tc>
          <w:tcPr>
            <w:tcW w:w="1100" w:type="dxa"/>
            <w:tcBorders>
              <w:bottom w:val="single" w:sz="4" w:space="0" w:color="auto"/>
            </w:tcBorders>
          </w:tcPr>
          <w:p w:rsidR="003803B2" w:rsidRPr="003803B2" w:rsidRDefault="003803B2" w:rsidP="00D3080C">
            <w:pPr>
              <w:keepNext/>
              <w:ind w:left="-108"/>
              <w:jc w:val="both"/>
              <w:rPr>
                <w:rFonts w:ascii="Arial Narrow" w:hAnsi="Arial Narrow" w:cs="Arial"/>
                <w:b/>
                <w:i/>
                <w:sz w:val="20"/>
                <w:szCs w:val="20"/>
              </w:rPr>
            </w:pPr>
          </w:p>
        </w:tc>
        <w:tc>
          <w:tcPr>
            <w:tcW w:w="1701" w:type="dxa"/>
            <w:tcBorders>
              <w:bottom w:val="single" w:sz="4" w:space="0" w:color="auto"/>
            </w:tcBorders>
          </w:tcPr>
          <w:p w:rsidR="003803B2" w:rsidRPr="003803B2" w:rsidRDefault="003803B2" w:rsidP="00D3080C">
            <w:pPr>
              <w:keepNext/>
              <w:ind w:left="-108"/>
              <w:jc w:val="both"/>
              <w:rPr>
                <w:rFonts w:ascii="Arial Narrow" w:hAnsi="Arial Narrow" w:cs="Arial"/>
                <w:b/>
                <w:i/>
                <w:sz w:val="20"/>
                <w:szCs w:val="20"/>
              </w:rPr>
            </w:pPr>
          </w:p>
        </w:tc>
        <w:tc>
          <w:tcPr>
            <w:tcW w:w="2835" w:type="dxa"/>
            <w:gridSpan w:val="2"/>
            <w:tcBorders>
              <w:bottom w:val="single" w:sz="4" w:space="0" w:color="auto"/>
            </w:tcBorders>
          </w:tcPr>
          <w:p w:rsidR="003803B2" w:rsidRPr="003803B2" w:rsidRDefault="003803B2" w:rsidP="00D3080C">
            <w:pPr>
              <w:keepNext/>
              <w:jc w:val="both"/>
              <w:rPr>
                <w:rFonts w:ascii="Arial Narrow" w:hAnsi="Arial Narrow" w:cs="Arial"/>
                <w:b/>
                <w:i/>
                <w:sz w:val="20"/>
                <w:szCs w:val="20"/>
              </w:rPr>
            </w:pPr>
          </w:p>
        </w:tc>
      </w:tr>
      <w:tr w:rsidR="00084EAE" w:rsidRPr="00C254D9" w:rsidTr="00823D4B">
        <w:trPr>
          <w:cantSplit/>
          <w:trHeight w:val="227"/>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3803B2">
            <w:pPr>
              <w:jc w:val="both"/>
              <w:rPr>
                <w:rFonts w:ascii="Arial Narrow" w:hAnsi="Arial Narrow" w:cs="Arial"/>
                <w:b/>
                <w:i/>
                <w:sz w:val="20"/>
                <w:szCs w:val="20"/>
              </w:rPr>
            </w:pPr>
            <w:r w:rsidRPr="007E2D3C">
              <w:rPr>
                <w:rFonts w:ascii="Arial Narrow" w:hAnsi="Arial Narrow" w:cs="Arial"/>
                <w:b/>
                <w:i/>
                <w:sz w:val="20"/>
                <w:szCs w:val="20"/>
              </w:rPr>
              <w:t>Category</w:t>
            </w:r>
            <w:r w:rsidR="003803B2">
              <w:rPr>
                <w:rFonts w:ascii="Arial Narrow" w:hAnsi="Arial Narrow" w:cs="Arial"/>
                <w:b/>
                <w:i/>
                <w:sz w:val="20"/>
                <w:szCs w:val="20"/>
              </w:rPr>
              <w:t>/P</w:t>
            </w:r>
            <w:r w:rsidRPr="007E2D3C">
              <w:rPr>
                <w:rFonts w:ascii="Arial Narrow" w:hAnsi="Arial Narrow" w:cs="Arial"/>
                <w:b/>
                <w:i/>
                <w:sz w:val="20"/>
                <w:szCs w:val="20"/>
              </w:rPr>
              <w:t>rogram:</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Section 100 – Botulinum Toxin Program</w:t>
            </w:r>
          </w:p>
        </w:tc>
      </w:tr>
      <w:tr w:rsidR="00084EAE" w:rsidRPr="00C254D9" w:rsidTr="00823D4B">
        <w:trPr>
          <w:cantSplit/>
          <w:trHeight w:val="154"/>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Prescriber type:</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3803B2">
            <w:pPr>
              <w:rPr>
                <w:rFonts w:ascii="Arial Narrow" w:hAnsi="Arial Narrow" w:cs="Arial"/>
                <w:i/>
                <w:sz w:val="20"/>
                <w:szCs w:val="20"/>
              </w:rPr>
            </w:pPr>
            <w:r w:rsidRPr="007E2D3C">
              <w:rPr>
                <w:rFonts w:ascii="Arial Narrow" w:hAnsi="Arial Narrow" w:cs="Arial"/>
                <w:i/>
                <w:sz w:val="20"/>
                <w:szCs w:val="20"/>
              </w:rPr>
              <w:fldChar w:fldCharType="begin">
                <w:ffData>
                  <w:name w:val="Check1"/>
                  <w:enabled/>
                  <w:calcOnExit w:val="0"/>
                  <w:checkBox>
                    <w:sizeAuto/>
                    <w:default w:val="0"/>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Dental  </w:t>
            </w:r>
            <w:r w:rsidRPr="007E2D3C">
              <w:rPr>
                <w:rFonts w:ascii="Arial Narrow" w:hAnsi="Arial Narrow" w:cs="Arial"/>
                <w:i/>
                <w:sz w:val="20"/>
                <w:szCs w:val="20"/>
              </w:rPr>
              <w:fldChar w:fldCharType="begin">
                <w:ffData>
                  <w:name w:val=""/>
                  <w:enabled/>
                  <w:calcOnExit w:val="0"/>
                  <w:checkBox>
                    <w:sizeAuto/>
                    <w:default w:val="1"/>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Medical Practitioners  </w:t>
            </w:r>
            <w:r w:rsidRPr="007E2D3C">
              <w:rPr>
                <w:rFonts w:ascii="Arial Narrow" w:hAnsi="Arial Narrow" w:cs="Arial"/>
                <w:i/>
                <w:sz w:val="20"/>
                <w:szCs w:val="20"/>
              </w:rPr>
              <w:fldChar w:fldCharType="begin">
                <w:ffData>
                  <w:name w:val="Check3"/>
                  <w:enabled/>
                  <w:calcOnExit w:val="0"/>
                  <w:checkBox>
                    <w:sizeAuto/>
                    <w:default w:val="0"/>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Nurse practitioners  </w:t>
            </w:r>
            <w:r w:rsidRPr="007E2D3C">
              <w:rPr>
                <w:rFonts w:ascii="Arial Narrow" w:hAnsi="Arial Narrow" w:cs="Arial"/>
                <w:i/>
                <w:sz w:val="20"/>
                <w:szCs w:val="20"/>
              </w:rPr>
              <w:fldChar w:fldCharType="begin">
                <w:ffData>
                  <w:name w:val=""/>
                  <w:enabled/>
                  <w:calcOnExit w:val="0"/>
                  <w:checkBox>
                    <w:sizeAuto/>
                    <w:default w:val="0"/>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Optometrists</w:t>
            </w:r>
            <w:r w:rsidR="003803B2">
              <w:rPr>
                <w:rFonts w:ascii="Arial Narrow" w:hAnsi="Arial Narrow" w:cs="Arial"/>
                <w:i/>
                <w:sz w:val="20"/>
                <w:szCs w:val="20"/>
              </w:rPr>
              <w:t xml:space="preserve"> </w:t>
            </w:r>
            <w:r w:rsidRPr="007E2D3C">
              <w:rPr>
                <w:rFonts w:ascii="Arial Narrow" w:hAnsi="Arial Narrow" w:cs="Arial"/>
                <w:i/>
                <w:sz w:val="20"/>
                <w:szCs w:val="20"/>
              </w:rPr>
              <w:fldChar w:fldCharType="begin">
                <w:ffData>
                  <w:name w:val="Check5"/>
                  <w:enabled/>
                  <w:calcOnExit w:val="0"/>
                  <w:checkBox>
                    <w:sizeAuto/>
                    <w:default w:val="0"/>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Midwives</w:t>
            </w:r>
          </w:p>
        </w:tc>
      </w:tr>
      <w:tr w:rsidR="00084EAE" w:rsidRPr="00C254D9" w:rsidTr="00823D4B">
        <w:trPr>
          <w:cantSplit/>
          <w:trHeight w:val="56"/>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Severity:</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Moderate to severe</w:t>
            </w:r>
          </w:p>
        </w:tc>
      </w:tr>
      <w:tr w:rsidR="00084EAE" w:rsidRPr="00C254D9" w:rsidTr="00823D4B">
        <w:trPr>
          <w:cantSplit/>
          <w:trHeight w:val="20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Condition:</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06376F" w:rsidRDefault="00084EAE" w:rsidP="0006376F">
            <w:pPr>
              <w:rPr>
                <w:rFonts w:ascii="Arial Narrow" w:hAnsi="Arial Narrow" w:cs="Arial"/>
                <w:i/>
                <w:sz w:val="20"/>
                <w:szCs w:val="20"/>
              </w:rPr>
            </w:pPr>
            <w:r w:rsidRPr="0006376F">
              <w:rPr>
                <w:rFonts w:ascii="Arial Narrow" w:hAnsi="Arial Narrow" w:cs="Calibri"/>
                <w:i/>
                <w:sz w:val="20"/>
                <w:szCs w:val="20"/>
              </w:rPr>
              <w:t xml:space="preserve">Spasticity of the upper limb following an acute event </w:t>
            </w:r>
          </w:p>
        </w:tc>
      </w:tr>
      <w:tr w:rsidR="00084EAE" w:rsidRPr="00C254D9" w:rsidTr="00823D4B">
        <w:trPr>
          <w:cantSplit/>
          <w:trHeight w:val="10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PBS Indication:</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06376F" w:rsidRDefault="00084EAE" w:rsidP="00D3080C">
            <w:pPr>
              <w:rPr>
                <w:rFonts w:ascii="Arial Narrow" w:hAnsi="Arial Narrow" w:cs="Arial"/>
                <w:i/>
                <w:sz w:val="20"/>
                <w:szCs w:val="20"/>
              </w:rPr>
            </w:pPr>
            <w:r w:rsidRPr="0006376F">
              <w:rPr>
                <w:rFonts w:ascii="Arial Narrow" w:hAnsi="Arial Narrow" w:cs="Arial"/>
                <w:i/>
                <w:sz w:val="20"/>
                <w:szCs w:val="20"/>
              </w:rPr>
              <w:t>Moderate to severe</w:t>
            </w:r>
            <w:r w:rsidRPr="0006376F">
              <w:rPr>
                <w:rFonts w:ascii="Arial Narrow" w:hAnsi="Arial Narrow" w:cs="Calibri"/>
                <w:i/>
                <w:sz w:val="20"/>
                <w:szCs w:val="20"/>
              </w:rPr>
              <w:t xml:space="preserve"> spasticity of the upper limb following an acute event </w:t>
            </w:r>
          </w:p>
        </w:tc>
      </w:tr>
      <w:tr w:rsidR="007E2D3C" w:rsidRPr="00C254D9" w:rsidTr="00823D4B">
        <w:trPr>
          <w:cantSplit/>
          <w:trHeight w:val="15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7E2D3C" w:rsidRPr="007E2D3C" w:rsidRDefault="007E2D3C" w:rsidP="00D3080C">
            <w:pPr>
              <w:jc w:val="both"/>
              <w:rPr>
                <w:rFonts w:ascii="Arial Narrow" w:hAnsi="Arial Narrow" w:cs="Arial"/>
                <w:b/>
                <w:i/>
                <w:sz w:val="20"/>
                <w:szCs w:val="20"/>
              </w:rPr>
            </w:pPr>
            <w:r w:rsidRPr="007E2D3C">
              <w:rPr>
                <w:rFonts w:ascii="Arial Narrow" w:hAnsi="Arial Narrow" w:cs="Arial"/>
                <w:b/>
                <w:i/>
                <w:sz w:val="20"/>
                <w:szCs w:val="20"/>
              </w:rPr>
              <w:t>Treatment phase</w:t>
            </w:r>
            <w:r w:rsidR="00823D4B">
              <w:rPr>
                <w:rFonts w:ascii="Arial Narrow" w:hAnsi="Arial Narrow" w:cs="Arial"/>
                <w:b/>
                <w:i/>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E2D3C" w:rsidRPr="007E2D3C" w:rsidRDefault="007E2D3C" w:rsidP="00D3080C">
            <w:pPr>
              <w:rPr>
                <w:rFonts w:ascii="Arial Narrow" w:hAnsi="Arial Narrow" w:cs="Arial"/>
                <w:i/>
                <w:sz w:val="20"/>
                <w:szCs w:val="20"/>
              </w:rPr>
            </w:pPr>
            <w:r w:rsidRPr="007E2D3C">
              <w:rPr>
                <w:rFonts w:ascii="Arial Narrow" w:hAnsi="Arial Narrow" w:cs="Arial"/>
                <w:i/>
                <w:sz w:val="20"/>
                <w:szCs w:val="20"/>
              </w:rPr>
              <w:t>Grandfathered treatment</w:t>
            </w:r>
          </w:p>
        </w:tc>
      </w:tr>
      <w:tr w:rsidR="00084EAE" w:rsidRPr="00C254D9" w:rsidTr="00823D4B">
        <w:trPr>
          <w:cantSplit/>
          <w:trHeight w:val="196"/>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3803B2" w:rsidP="00D3080C">
            <w:pPr>
              <w:rPr>
                <w:rFonts w:ascii="Arial Narrow" w:hAnsi="Arial Narrow" w:cs="Arial"/>
                <w:i/>
                <w:sz w:val="20"/>
                <w:szCs w:val="20"/>
              </w:rPr>
            </w:pPr>
            <w:r>
              <w:rPr>
                <w:rFonts w:ascii="Arial Narrow" w:hAnsi="Arial Narrow" w:cs="Arial"/>
                <w:b/>
                <w:i/>
                <w:sz w:val="20"/>
                <w:szCs w:val="20"/>
              </w:rPr>
              <w:t>Restriction Level</w:t>
            </w:r>
            <w:r w:rsidR="00823D4B">
              <w:rPr>
                <w:rFonts w:ascii="Arial Narrow" w:hAnsi="Arial Narrow" w:cs="Arial"/>
                <w:b/>
                <w:i/>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fldChar w:fldCharType="begin">
                <w:ffData>
                  <w:name w:val="Check5"/>
                  <w:enabled/>
                  <w:calcOnExit w:val="0"/>
                  <w:checkBox>
                    <w:sizeAuto/>
                    <w:default w:val="1"/>
                  </w:checkBox>
                </w:ffData>
              </w:fldChar>
            </w:r>
            <w:r w:rsidRPr="007E2D3C">
              <w:rPr>
                <w:rFonts w:ascii="Arial Narrow" w:hAnsi="Arial Narrow" w:cs="Arial"/>
                <w:i/>
                <w:sz w:val="20"/>
                <w:szCs w:val="20"/>
              </w:rPr>
              <w:instrText xml:space="preserve"> FORMCHECKBOX </w:instrText>
            </w:r>
            <w:r w:rsidR="0027673B">
              <w:rPr>
                <w:rFonts w:ascii="Arial Narrow" w:hAnsi="Arial Narrow" w:cs="Arial"/>
                <w:i/>
                <w:sz w:val="20"/>
                <w:szCs w:val="20"/>
              </w:rPr>
            </w:r>
            <w:r w:rsidR="0027673B">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Streamlined</w:t>
            </w:r>
          </w:p>
        </w:tc>
      </w:tr>
      <w:tr w:rsidR="00084EAE" w:rsidRPr="00C254D9" w:rsidTr="00823D4B">
        <w:trPr>
          <w:cantSplit/>
          <w:trHeight w:val="4352"/>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lastRenderedPageBreak/>
              <w:t>Clinical criteria:</w:t>
            </w:r>
          </w:p>
          <w:p w:rsidR="00084EAE" w:rsidRPr="007E2D3C" w:rsidRDefault="00084EAE" w:rsidP="00D3080C">
            <w:pPr>
              <w:jc w:val="both"/>
              <w:rPr>
                <w:rFonts w:ascii="Arial Narrow" w:hAnsi="Arial Narrow" w:cs="Arial"/>
                <w:b/>
                <w:i/>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7E2D3C" w:rsidRPr="007E2D3C" w:rsidRDefault="007E2D3C" w:rsidP="00D3080C">
            <w:pPr>
              <w:rPr>
                <w:rFonts w:ascii="Arial Narrow" w:hAnsi="Arial Narrow" w:cs="Arial"/>
                <w:i/>
                <w:sz w:val="20"/>
                <w:szCs w:val="20"/>
              </w:rPr>
            </w:pPr>
            <w:r w:rsidRPr="007E2D3C">
              <w:rPr>
                <w:rFonts w:ascii="Arial Narrow" w:hAnsi="Arial Narrow" w:cs="Arial"/>
                <w:i/>
                <w:sz w:val="20"/>
                <w:szCs w:val="20"/>
              </w:rPr>
              <w:t>Patient must have previously received non-PBS subsidised treatment with this drug for this condition prior to [PBS listing date]</w:t>
            </w:r>
            <w:r w:rsidR="00B440C7">
              <w:rPr>
                <w:rFonts w:ascii="Arial Narrow" w:hAnsi="Arial Narrow" w:cs="Arial"/>
                <w:i/>
                <w:sz w:val="20"/>
                <w:szCs w:val="20"/>
              </w:rPr>
              <w:t>,</w:t>
            </w:r>
          </w:p>
          <w:p w:rsidR="007E2D3C" w:rsidRPr="007E2D3C" w:rsidRDefault="007E2D3C" w:rsidP="00D3080C">
            <w:pPr>
              <w:rPr>
                <w:rFonts w:ascii="Arial Narrow" w:hAnsi="Arial Narrow" w:cs="Arial"/>
                <w:i/>
                <w:sz w:val="20"/>
                <w:szCs w:val="20"/>
              </w:rPr>
            </w:pPr>
            <w:r w:rsidRPr="007E2D3C">
              <w:rPr>
                <w:rFonts w:ascii="Arial Narrow" w:hAnsi="Arial Narrow" w:cs="Arial"/>
                <w:i/>
                <w:sz w:val="20"/>
                <w:szCs w:val="20"/>
              </w:rPr>
              <w:t>AND</w:t>
            </w:r>
          </w:p>
          <w:p w:rsidR="00084EAE" w:rsidRPr="007E2D3C" w:rsidRDefault="00A12ADD" w:rsidP="00D3080C">
            <w:pPr>
              <w:rPr>
                <w:rFonts w:ascii="Arial Narrow" w:hAnsi="Arial Narrow" w:cs="Arial"/>
                <w:i/>
                <w:sz w:val="20"/>
                <w:szCs w:val="20"/>
              </w:rPr>
            </w:pPr>
            <w:r w:rsidRPr="00A12ADD">
              <w:rPr>
                <w:rFonts w:ascii="Arial Narrow" w:hAnsi="Arial Narrow" w:cs="Arial"/>
                <w:i/>
                <w:sz w:val="20"/>
                <w:szCs w:val="20"/>
              </w:rPr>
              <w:t>The condition must have been moderate to severe spasticity of the upper limb/s following an acute event, defined as a Modified Ashworth Scale rating of 3 or more prior to commenci</w:t>
            </w:r>
            <w:r w:rsidR="00B440C7">
              <w:rPr>
                <w:rFonts w:ascii="Arial Narrow" w:hAnsi="Arial Narrow" w:cs="Arial"/>
                <w:i/>
                <w:sz w:val="20"/>
                <w:szCs w:val="20"/>
              </w:rPr>
              <w:t>ng non-PBS subsidised treatment,</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AND</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The treatment must only be used as second line therapy when standard management has failed; OR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The treatment must only be used as an adjunct to physical therapy,</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AND</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 xml:space="preserve">The treatment must not continue if the patient </w:t>
            </w:r>
            <w:r w:rsidR="00E0100C">
              <w:rPr>
                <w:rFonts w:ascii="Arial Narrow" w:hAnsi="Arial Narrow" w:cs="Arial"/>
                <w:i/>
                <w:sz w:val="20"/>
                <w:szCs w:val="20"/>
              </w:rPr>
              <w:t>did</w:t>
            </w:r>
            <w:r w:rsidRPr="007E2D3C">
              <w:rPr>
                <w:rFonts w:ascii="Arial Narrow" w:hAnsi="Arial Narrow" w:cs="Arial"/>
                <w:i/>
                <w:sz w:val="20"/>
                <w:szCs w:val="20"/>
              </w:rPr>
              <w:t xml:space="preserve"> not respond (defined as not having had a decrease in spasticity rating greater than 1, using the Modified Ashworth Scale, in at least one joint) after two treatment periods (w</w:t>
            </w:r>
            <w:r w:rsidR="007E2D3C" w:rsidRPr="007E2D3C">
              <w:rPr>
                <w:rFonts w:ascii="Arial Narrow" w:hAnsi="Arial Narrow" w:cs="Arial"/>
                <w:i/>
                <w:sz w:val="20"/>
                <w:szCs w:val="20"/>
              </w:rPr>
              <w:t>ith any botulinum toxin type A)</w:t>
            </w:r>
            <w:r w:rsidR="00B440C7">
              <w:rPr>
                <w:rFonts w:ascii="Arial Narrow" w:hAnsi="Arial Narrow" w:cs="Arial"/>
                <w:i/>
                <w:sz w:val="20"/>
                <w:szCs w:val="20"/>
              </w:rPr>
              <w:t>,</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AND</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 xml:space="preserve">The treatment must not exceed a maximum of 4 treatment periods (with any botulinum toxin type A) per upper limb in the first year of treatment, and 2 treatment periods (with any botulinum toxin type A) per </w:t>
            </w:r>
            <w:r w:rsidR="00B440C7">
              <w:rPr>
                <w:rFonts w:ascii="Arial Narrow" w:hAnsi="Arial Narrow" w:cs="Arial"/>
                <w:i/>
                <w:sz w:val="20"/>
                <w:szCs w:val="20"/>
              </w:rPr>
              <w:t>upper limb each year thereafter,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AND</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Patient must not have established severe contracture in the limb to be treated.</w:t>
            </w:r>
          </w:p>
        </w:tc>
      </w:tr>
      <w:tr w:rsidR="00084EAE" w:rsidRPr="00C254D9" w:rsidTr="00823D4B">
        <w:trPr>
          <w:cantSplit/>
          <w:trHeight w:val="27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Population criteria:</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Patient must be aged 18 years or older.</w:t>
            </w:r>
          </w:p>
        </w:tc>
      </w:tr>
      <w:tr w:rsidR="00084EAE" w:rsidRPr="00C254D9" w:rsidTr="00823D4B">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b/>
                <w:i/>
                <w:sz w:val="20"/>
                <w:szCs w:val="20"/>
              </w:rPr>
            </w:pPr>
            <w:r w:rsidRPr="007E2D3C">
              <w:rPr>
                <w:rFonts w:ascii="Arial Narrow" w:hAnsi="Arial Narrow" w:cs="Arial"/>
                <w:b/>
                <w:i/>
                <w:sz w:val="20"/>
                <w:szCs w:val="20"/>
              </w:rPr>
              <w:t>Treatment criteria:</w:t>
            </w:r>
          </w:p>
          <w:p w:rsidR="00084EAE" w:rsidRPr="007E2D3C" w:rsidRDefault="00084EAE" w:rsidP="00D3080C">
            <w:pPr>
              <w:jc w:val="both"/>
              <w:rPr>
                <w:rFonts w:ascii="Arial Narrow" w:hAnsi="Arial Narrow" w:cs="Arial"/>
                <w:b/>
                <w:i/>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Must be treated by a neurologist; OR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Must be treated by an orthopaedic surgeon; OR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Must be treated by a rehabilitation specialist; OR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Must be treated by a plastic surgeon; OR</w:t>
            </w: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Must be treated by a geriatrician.</w:t>
            </w:r>
          </w:p>
        </w:tc>
      </w:tr>
      <w:tr w:rsidR="00084EAE" w:rsidRPr="00C254D9" w:rsidTr="00823D4B">
        <w:trPr>
          <w:cantSplit/>
          <w:trHeight w:val="38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3803B2" w:rsidRDefault="00084EAE" w:rsidP="00D3080C">
            <w:pPr>
              <w:jc w:val="both"/>
              <w:rPr>
                <w:rFonts w:ascii="Arial Narrow" w:hAnsi="Arial Narrow" w:cs="Arial"/>
                <w:b/>
                <w:i/>
                <w:sz w:val="20"/>
                <w:szCs w:val="20"/>
              </w:rPr>
            </w:pPr>
            <w:r w:rsidRPr="007E2D3C">
              <w:rPr>
                <w:rFonts w:ascii="Arial Narrow" w:hAnsi="Arial Narrow" w:cs="Arial"/>
                <w:b/>
                <w:i/>
                <w:sz w:val="20"/>
                <w:szCs w:val="20"/>
              </w:rPr>
              <w:t>Prescriber Instructions</w:t>
            </w:r>
            <w:r w:rsidR="00823D4B">
              <w:rPr>
                <w:rFonts w:ascii="Arial Narrow" w:hAnsi="Arial Narrow" w:cs="Arial"/>
                <w:b/>
                <w:i/>
                <w:sz w:val="20"/>
                <w:szCs w:val="20"/>
              </w:rPr>
              <w:t>:</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7E2D3C">
            <w:pPr>
              <w:autoSpaceDE w:val="0"/>
              <w:autoSpaceDN w:val="0"/>
              <w:adjustRightInd w:val="0"/>
              <w:rPr>
                <w:rFonts w:ascii="Arial Narrow" w:hAnsi="Arial Narrow"/>
                <w:i/>
                <w:sz w:val="20"/>
                <w:szCs w:val="20"/>
              </w:rPr>
            </w:pPr>
            <w:r w:rsidRPr="007E2D3C">
              <w:rPr>
                <w:rFonts w:ascii="Arial Narrow" w:hAnsi="Arial Narrow"/>
                <w:i/>
                <w:sz w:val="20"/>
                <w:szCs w:val="20"/>
              </w:rPr>
              <w:t>Standard management includes physiotherapy and/or oral spasticity agents.</w:t>
            </w:r>
          </w:p>
        </w:tc>
      </w:tr>
      <w:tr w:rsidR="00084EAE" w:rsidRPr="00C254D9" w:rsidTr="00823D4B">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Administrative Advice:</w:t>
            </w:r>
          </w:p>
          <w:p w:rsidR="00084EAE" w:rsidRPr="007E2D3C" w:rsidRDefault="00084EAE" w:rsidP="00D3080C">
            <w:pPr>
              <w:jc w:val="both"/>
              <w:rPr>
                <w:rFonts w:ascii="Arial Narrow" w:hAnsi="Arial Narrow" w:cs="Arial"/>
                <w:i/>
                <w:sz w:val="20"/>
                <w:szCs w:val="20"/>
              </w:rPr>
            </w:pP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The units used to express the potency of botulinum toxin preparations currently available for PBS subsidy are not equivalent.</w:t>
            </w:r>
          </w:p>
          <w:p w:rsidR="00084EAE" w:rsidRPr="007E2D3C" w:rsidRDefault="00084EAE" w:rsidP="00D3080C">
            <w:pPr>
              <w:rPr>
                <w:rFonts w:ascii="Arial Narrow" w:hAnsi="Arial Narrow" w:cs="Arial"/>
                <w:i/>
                <w:sz w:val="20"/>
                <w:szCs w:val="20"/>
              </w:rPr>
            </w:pP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An acute event may be a clinical or external event that leads to upper motor neuron lesions resulting in spasticity for example, these may be stroke, traumatic brain injury, spinal cord injury, infection or hypoxia.</w:t>
            </w:r>
          </w:p>
          <w:p w:rsidR="00084EAE" w:rsidRPr="007E2D3C" w:rsidRDefault="00084EAE" w:rsidP="00D3080C">
            <w:pPr>
              <w:rPr>
                <w:rFonts w:ascii="Arial Narrow" w:hAnsi="Arial Narrow" w:cs="Arial"/>
                <w:i/>
                <w:sz w:val="20"/>
                <w:szCs w:val="20"/>
              </w:rPr>
            </w:pPr>
          </w:p>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Special Pricing Arrangements apply.</w:t>
            </w:r>
          </w:p>
        </w:tc>
      </w:tr>
      <w:tr w:rsidR="00084EAE" w:rsidRPr="0037521E" w:rsidTr="00823D4B">
        <w:trPr>
          <w:cantSplit/>
          <w:trHeight w:val="56"/>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jc w:val="both"/>
              <w:rPr>
                <w:rFonts w:ascii="Arial Narrow" w:hAnsi="Arial Narrow" w:cs="Arial"/>
                <w:b/>
                <w:i/>
                <w:sz w:val="20"/>
                <w:szCs w:val="20"/>
              </w:rPr>
            </w:pPr>
            <w:r w:rsidRPr="007E2D3C">
              <w:rPr>
                <w:rFonts w:ascii="Arial Narrow" w:hAnsi="Arial Narrow" w:cs="Arial"/>
                <w:b/>
                <w:i/>
                <w:sz w:val="20"/>
                <w:szCs w:val="20"/>
              </w:rPr>
              <w:t>Cautions:</w:t>
            </w:r>
          </w:p>
        </w:tc>
        <w:tc>
          <w:tcPr>
            <w:tcW w:w="762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084EAE" w:rsidRPr="007E2D3C" w:rsidRDefault="00084EAE" w:rsidP="00D3080C">
            <w:pPr>
              <w:rPr>
                <w:rFonts w:ascii="Arial Narrow" w:hAnsi="Arial Narrow" w:cs="Arial"/>
                <w:i/>
                <w:sz w:val="20"/>
                <w:szCs w:val="20"/>
              </w:rPr>
            </w:pPr>
            <w:r w:rsidRPr="007E2D3C">
              <w:rPr>
                <w:rFonts w:ascii="Arial Narrow" w:hAnsi="Arial Narrow" w:cs="Arial"/>
                <w:i/>
                <w:sz w:val="20"/>
                <w:szCs w:val="20"/>
              </w:rPr>
              <w:t>Contraindications to treatment include known sensitivity to botulinum toxin.</w:t>
            </w:r>
          </w:p>
        </w:tc>
      </w:tr>
    </w:tbl>
    <w:p w:rsidR="0044734E" w:rsidRDefault="0044734E" w:rsidP="00DF2235">
      <w:pPr>
        <w:pStyle w:val="3Bodytext"/>
        <w:numPr>
          <w:ilvl w:val="0"/>
          <w:numId w:val="0"/>
        </w:numPr>
        <w:ind w:left="720"/>
        <w:rPr>
          <w:i/>
        </w:rPr>
      </w:pPr>
    </w:p>
    <w:p w:rsidR="00DF2235" w:rsidRPr="006818B1" w:rsidRDefault="00DF2235" w:rsidP="00DF2235">
      <w:pPr>
        <w:pStyle w:val="3Bodytext"/>
        <w:numPr>
          <w:ilvl w:val="0"/>
          <w:numId w:val="0"/>
        </w:numPr>
        <w:ind w:left="720"/>
        <w:rPr>
          <w:i/>
          <w:highlight w:val="yellow"/>
        </w:rPr>
      </w:pPr>
      <w:r w:rsidRPr="00DF2235">
        <w:rPr>
          <w:i/>
        </w:rPr>
        <w:t>For more deta</w:t>
      </w:r>
      <w:r w:rsidR="006C64F7">
        <w:rPr>
          <w:i/>
        </w:rPr>
        <w:t>il on PBAC’s view, see section 6</w:t>
      </w:r>
      <w:r w:rsidRPr="00DF2235">
        <w:rPr>
          <w:i/>
        </w:rPr>
        <w:t xml:space="preserve"> PBAC outcome.</w:t>
      </w:r>
    </w:p>
    <w:p w:rsidR="00E663E9" w:rsidRPr="003C2FB5" w:rsidRDefault="00E663E9" w:rsidP="00E663E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Pr>
          <w:rFonts w:asciiTheme="minorHAnsi" w:hAnsiTheme="minorHAnsi"/>
          <w:sz w:val="32"/>
          <w:szCs w:val="32"/>
        </w:rPr>
        <w:t>omparator</w:t>
      </w:r>
    </w:p>
    <w:p w:rsidR="00DF2235" w:rsidRPr="007C375D" w:rsidRDefault="00CF06AA" w:rsidP="007C375D">
      <w:pPr>
        <w:pStyle w:val="3Bodytext"/>
      </w:pPr>
      <w:r w:rsidRPr="006818B1">
        <w:t xml:space="preserve">The </w:t>
      </w:r>
      <w:r w:rsidR="00A277BF" w:rsidRPr="006818B1">
        <w:t xml:space="preserve">minor submission nominated Dysport® </w:t>
      </w:r>
      <w:r w:rsidR="00FF3C94" w:rsidRPr="006818B1">
        <w:t>as the main comparator</w:t>
      </w:r>
      <w:r w:rsidRPr="006818B1">
        <w:t xml:space="preserve">. </w:t>
      </w:r>
      <w:r w:rsidR="00687DA8" w:rsidRPr="006818B1">
        <w:t xml:space="preserve">This </w:t>
      </w:r>
      <w:r w:rsidR="00823D4B">
        <w:t>wa</w:t>
      </w:r>
      <w:r w:rsidR="00490CE0" w:rsidRPr="006818B1">
        <w:t>s</w:t>
      </w:r>
      <w:r w:rsidR="00687DA8" w:rsidRPr="006818B1">
        <w:t xml:space="preserve"> appropriate as</w:t>
      </w:r>
      <w:r w:rsidRPr="006818B1">
        <w:t xml:space="preserve"> </w:t>
      </w:r>
      <w:r w:rsidR="00FF76EF" w:rsidRPr="006818B1">
        <w:t>BOTOX</w:t>
      </w:r>
      <w:r w:rsidR="00361B9B" w:rsidRPr="006818B1">
        <w:t>®</w:t>
      </w:r>
      <w:r w:rsidRPr="006818B1">
        <w:t xml:space="preserve"> and </w:t>
      </w:r>
      <w:r w:rsidR="00E45296" w:rsidRPr="006818B1">
        <w:t>Dysport®</w:t>
      </w:r>
      <w:r w:rsidRPr="006818B1">
        <w:t xml:space="preserve"> are used in the same place in th</w:t>
      </w:r>
      <w:r w:rsidR="00E3763C" w:rsidRPr="006818B1">
        <w:t>e clinical management algorithm.</w:t>
      </w:r>
    </w:p>
    <w:p w:rsidR="00DF2235" w:rsidRPr="00DF2235" w:rsidRDefault="00DF2235" w:rsidP="00DF2235">
      <w:pPr>
        <w:pStyle w:val="3Bodytext"/>
        <w:numPr>
          <w:ilvl w:val="0"/>
          <w:numId w:val="0"/>
        </w:numPr>
        <w:ind w:left="720"/>
        <w:rPr>
          <w:i/>
        </w:rPr>
      </w:pPr>
      <w:r w:rsidRPr="00DF2235">
        <w:rPr>
          <w:i/>
        </w:rPr>
        <w:t xml:space="preserve">For more detail on PBAC’s view, see section </w:t>
      </w:r>
      <w:r w:rsidR="006C64F7">
        <w:rPr>
          <w:i/>
        </w:rPr>
        <w:t>6</w:t>
      </w:r>
      <w:r w:rsidRPr="00DF2235">
        <w:rPr>
          <w:i/>
        </w:rPr>
        <w:t xml:space="preserve"> PBAC outcome.</w:t>
      </w:r>
    </w:p>
    <w:p w:rsidR="00FC3647" w:rsidRPr="003C2FB5"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Consideration of the evidence</w:t>
      </w:r>
    </w:p>
    <w:p w:rsidR="00DF2235" w:rsidRPr="00836F75" w:rsidRDefault="00DF2235" w:rsidP="00DF2235">
      <w:pPr>
        <w:pStyle w:val="Heading2"/>
        <w:keepLines/>
        <w:spacing w:before="240" w:after="120"/>
        <w:rPr>
          <w:rFonts w:asciiTheme="minorHAnsi" w:hAnsiTheme="minorHAnsi" w:cs="Arial"/>
          <w:b w:val="0"/>
          <w:bCs/>
          <w:i w:val="0"/>
          <w:snapToGrid w:val="0"/>
          <w:sz w:val="28"/>
          <w:szCs w:val="28"/>
        </w:rPr>
      </w:pPr>
      <w:r w:rsidRPr="00DF2235">
        <w:rPr>
          <w:rFonts w:asciiTheme="minorHAnsi" w:eastAsiaTheme="majorEastAsia" w:hAnsiTheme="minorHAnsi" w:cstheme="majorBidi"/>
          <w:sz w:val="28"/>
          <w:szCs w:val="28"/>
          <w:lang w:eastAsia="en-US"/>
        </w:rPr>
        <w:t>Sponsor</w:t>
      </w:r>
      <w:r w:rsidRPr="00836F75">
        <w:rPr>
          <w:rFonts w:asciiTheme="minorHAnsi" w:hAnsiTheme="minorHAnsi" w:cs="Arial"/>
          <w:bCs/>
          <w:snapToGrid w:val="0"/>
          <w:sz w:val="28"/>
          <w:szCs w:val="28"/>
        </w:rPr>
        <w:t xml:space="preserve"> hearing</w:t>
      </w:r>
    </w:p>
    <w:p w:rsidR="00DF2235" w:rsidRPr="00D07D92" w:rsidRDefault="00D07D92" w:rsidP="00D07D92">
      <w:pPr>
        <w:widowControl w:val="0"/>
        <w:numPr>
          <w:ilvl w:val="1"/>
          <w:numId w:val="5"/>
        </w:numPr>
        <w:spacing w:after="120"/>
        <w:jc w:val="both"/>
        <w:rPr>
          <w:rFonts w:asciiTheme="minorHAnsi" w:hAnsiTheme="minorHAnsi" w:cs="Arial"/>
          <w:bCs/>
          <w:snapToGrid w:val="0"/>
        </w:rPr>
      </w:pPr>
      <w:r w:rsidRPr="00E20C81">
        <w:rPr>
          <w:rFonts w:asciiTheme="minorHAnsi" w:hAnsiTheme="minorHAnsi" w:cs="Arial"/>
          <w:bCs/>
          <w:snapToGrid w:val="0"/>
        </w:rPr>
        <w:t>There was no hearing for this ite</w:t>
      </w:r>
      <w:r>
        <w:rPr>
          <w:rFonts w:asciiTheme="minorHAnsi" w:hAnsiTheme="minorHAnsi" w:cs="Arial"/>
          <w:bCs/>
          <w:snapToGrid w:val="0"/>
        </w:rPr>
        <w:t>m as it was a minor submission.</w:t>
      </w:r>
    </w:p>
    <w:p w:rsidR="00DF2235" w:rsidRPr="00836F75" w:rsidRDefault="00DF2235" w:rsidP="00DF2235">
      <w:pPr>
        <w:pStyle w:val="Heading2"/>
        <w:keepLines/>
        <w:spacing w:before="240" w:after="120"/>
        <w:rPr>
          <w:rFonts w:asciiTheme="minorHAnsi" w:hAnsiTheme="minorHAnsi" w:cs="Arial"/>
          <w:b w:val="0"/>
          <w:bCs/>
          <w:i w:val="0"/>
          <w:snapToGrid w:val="0"/>
          <w:sz w:val="28"/>
          <w:szCs w:val="28"/>
        </w:rPr>
      </w:pPr>
      <w:r w:rsidRPr="00DF2235">
        <w:rPr>
          <w:rFonts w:asciiTheme="minorHAnsi" w:eastAsiaTheme="majorEastAsia" w:hAnsiTheme="minorHAnsi" w:cstheme="majorBidi"/>
          <w:sz w:val="28"/>
          <w:szCs w:val="28"/>
          <w:lang w:eastAsia="en-US"/>
        </w:rPr>
        <w:lastRenderedPageBreak/>
        <w:t>Consumer</w:t>
      </w:r>
      <w:r w:rsidRPr="00836F75">
        <w:rPr>
          <w:rFonts w:asciiTheme="minorHAnsi" w:hAnsiTheme="minorHAnsi" w:cs="Arial"/>
          <w:bCs/>
          <w:snapToGrid w:val="0"/>
          <w:sz w:val="28"/>
          <w:szCs w:val="28"/>
        </w:rPr>
        <w:t xml:space="preserve"> comments</w:t>
      </w:r>
    </w:p>
    <w:p w:rsidR="00DF2235" w:rsidRPr="00D07D92" w:rsidRDefault="00D07D92" w:rsidP="00D07D92">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noted and welcomed the input from one individual for this item. The comment </w:t>
      </w:r>
      <w:r w:rsidR="0051540A">
        <w:rPr>
          <w:rFonts w:asciiTheme="minorHAnsi" w:hAnsiTheme="minorHAnsi" w:cs="Arial"/>
          <w:bCs/>
          <w:snapToGrid w:val="0"/>
        </w:rPr>
        <w:t xml:space="preserve">briefly </w:t>
      </w:r>
      <w:r>
        <w:rPr>
          <w:rFonts w:asciiTheme="minorHAnsi" w:hAnsiTheme="minorHAnsi" w:cs="Arial"/>
          <w:bCs/>
          <w:snapToGrid w:val="0"/>
        </w:rPr>
        <w:t xml:space="preserve">described the difficulty </w:t>
      </w:r>
      <w:r w:rsidR="00634FFC">
        <w:rPr>
          <w:rFonts w:asciiTheme="minorHAnsi" w:hAnsiTheme="minorHAnsi" w:cs="Arial"/>
          <w:bCs/>
          <w:snapToGrid w:val="0"/>
        </w:rPr>
        <w:t>of</w:t>
      </w:r>
      <w:r>
        <w:rPr>
          <w:rFonts w:asciiTheme="minorHAnsi" w:hAnsiTheme="minorHAnsi" w:cs="Arial"/>
          <w:bCs/>
          <w:snapToGrid w:val="0"/>
        </w:rPr>
        <w:t xml:space="preserve"> living with spasticity. </w:t>
      </w:r>
    </w:p>
    <w:p w:rsidR="0079690A" w:rsidRPr="00C7128F" w:rsidRDefault="00FC3647" w:rsidP="00C7128F">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6C662D" w:rsidRPr="006C662D" w:rsidRDefault="006C662D" w:rsidP="00B368B3">
      <w:pPr>
        <w:pStyle w:val="3Bodytext"/>
      </w:pPr>
      <w:r w:rsidRPr="006C662D">
        <w:t>In July 2008 the PBAC recommended BOTOX® for the treatment of upper limb spasticity following a stroke based on an indirect meta-analyses of five randomised trials of BOTOX® and six trials of Dysport® in the upper limb. Placebo was the common comparator. The meta-analyses were based on mean change in Ashworth Scale (AS) score in the wrist, elbow and finger flexor muscles in the BOTOX® trials and the mean change in Modified Ashworth Scale (MAS) scores in the Dysport® trials.</w:t>
      </w:r>
    </w:p>
    <w:p w:rsidR="009E50D9" w:rsidRPr="00EC2DF9" w:rsidRDefault="003E46A2" w:rsidP="00FE7411">
      <w:pPr>
        <w:pStyle w:val="Bodytextitalics"/>
        <w:numPr>
          <w:ilvl w:val="1"/>
          <w:numId w:val="5"/>
        </w:numPr>
        <w:jc w:val="both"/>
        <w:rPr>
          <w:i w:val="0"/>
        </w:rPr>
      </w:pPr>
      <w:r>
        <w:rPr>
          <w:i w:val="0"/>
        </w:rPr>
        <w:t>T</w:t>
      </w:r>
      <w:r w:rsidR="00406320" w:rsidRPr="00FE7411">
        <w:rPr>
          <w:i w:val="0"/>
        </w:rPr>
        <w:t>h</w:t>
      </w:r>
      <w:r w:rsidR="00C917B9" w:rsidRPr="00FE7411">
        <w:rPr>
          <w:i w:val="0"/>
        </w:rPr>
        <w:t>is</w:t>
      </w:r>
      <w:r w:rsidR="00406320" w:rsidRPr="00FE7411">
        <w:rPr>
          <w:i w:val="0"/>
        </w:rPr>
        <w:t xml:space="preserve"> minor submission </w:t>
      </w:r>
      <w:r w:rsidR="009E50D9" w:rsidRPr="00FE7411">
        <w:rPr>
          <w:i w:val="0"/>
        </w:rPr>
        <w:t xml:space="preserve">was based on the evidence of six small, randomised trials which were considered by the PBAC </w:t>
      </w:r>
      <w:r w:rsidR="00E0232F" w:rsidRPr="00E420B9">
        <w:rPr>
          <w:i w:val="0"/>
        </w:rPr>
        <w:t>as part of the sponsor’s response to t</w:t>
      </w:r>
      <w:r w:rsidR="009E50D9" w:rsidRPr="00E420B9">
        <w:rPr>
          <w:i w:val="0"/>
        </w:rPr>
        <w:t>he July 2018 proposal from the RMSANZ</w:t>
      </w:r>
      <w:r w:rsidR="00E0232F" w:rsidRPr="00E420B9">
        <w:rPr>
          <w:i w:val="0"/>
        </w:rPr>
        <w:t xml:space="preserve"> (Item 12.03)</w:t>
      </w:r>
      <w:r w:rsidR="009E50D9" w:rsidRPr="00E420B9">
        <w:rPr>
          <w:i w:val="0"/>
        </w:rPr>
        <w:t>. The six trials</w:t>
      </w:r>
      <w:r w:rsidR="00C917B9" w:rsidRPr="00EC2DF9">
        <w:rPr>
          <w:i w:val="0"/>
        </w:rPr>
        <w:t xml:space="preserve">, which </w:t>
      </w:r>
      <w:r w:rsidR="009E50D9" w:rsidRPr="00EC2DF9">
        <w:rPr>
          <w:i w:val="0"/>
        </w:rPr>
        <w:t>included patients with spasticity due to a broad range of aetiologies</w:t>
      </w:r>
      <w:r w:rsidR="00C917B9" w:rsidRPr="00EC2DF9">
        <w:rPr>
          <w:i w:val="0"/>
        </w:rPr>
        <w:t>, were</w:t>
      </w:r>
      <w:r w:rsidR="009E50D9" w:rsidRPr="00EC2DF9">
        <w:rPr>
          <w:i w:val="0"/>
        </w:rPr>
        <w:t>:</w:t>
      </w:r>
    </w:p>
    <w:p w:rsidR="009E50D9" w:rsidRDefault="009E50D9" w:rsidP="009E50D9">
      <w:pPr>
        <w:pStyle w:val="Bodytextitalics"/>
        <w:numPr>
          <w:ilvl w:val="0"/>
          <w:numId w:val="23"/>
        </w:numPr>
        <w:jc w:val="both"/>
        <w:rPr>
          <w:i w:val="0"/>
        </w:rPr>
      </w:pPr>
      <w:r>
        <w:rPr>
          <w:i w:val="0"/>
        </w:rPr>
        <w:t>Fietzek 2014 (N = 52): cerebrally lesioned by stroke, hypoxic encephalopathy or traumatic brain injury;</w:t>
      </w:r>
    </w:p>
    <w:p w:rsidR="009E50D9" w:rsidRDefault="009E50D9" w:rsidP="009E50D9">
      <w:pPr>
        <w:pStyle w:val="Bodytextitalics"/>
        <w:numPr>
          <w:ilvl w:val="0"/>
          <w:numId w:val="23"/>
        </w:numPr>
        <w:jc w:val="both"/>
        <w:rPr>
          <w:i w:val="0"/>
        </w:rPr>
      </w:pPr>
      <w:r>
        <w:rPr>
          <w:i w:val="0"/>
        </w:rPr>
        <w:t>Grazko 1995 (N = 12): a range of diagnoses;</w:t>
      </w:r>
    </w:p>
    <w:p w:rsidR="009E50D9" w:rsidRDefault="009E50D9" w:rsidP="009E50D9">
      <w:pPr>
        <w:pStyle w:val="Bodytextitalics"/>
        <w:numPr>
          <w:ilvl w:val="0"/>
          <w:numId w:val="23"/>
        </w:numPr>
        <w:jc w:val="both"/>
        <w:rPr>
          <w:i w:val="0"/>
        </w:rPr>
      </w:pPr>
      <w:r>
        <w:rPr>
          <w:i w:val="0"/>
        </w:rPr>
        <w:t xml:space="preserve">Richardson 2000 (N = 52): cerebrovascular accidents, head injury, incomplete spinal cord injury, tumour, cerebral palsy </w:t>
      </w:r>
      <w:r w:rsidR="00C917B9">
        <w:rPr>
          <w:i w:val="0"/>
        </w:rPr>
        <w:t>or</w:t>
      </w:r>
      <w:r>
        <w:rPr>
          <w:i w:val="0"/>
        </w:rPr>
        <w:t xml:space="preserve"> anoxic episodes;</w:t>
      </w:r>
    </w:p>
    <w:p w:rsidR="009E50D9" w:rsidRDefault="009E50D9" w:rsidP="009E50D9">
      <w:pPr>
        <w:pStyle w:val="Bodytextitalics"/>
        <w:numPr>
          <w:ilvl w:val="0"/>
          <w:numId w:val="23"/>
        </w:numPr>
        <w:jc w:val="both"/>
        <w:rPr>
          <w:i w:val="0"/>
        </w:rPr>
      </w:pPr>
      <w:r>
        <w:rPr>
          <w:i w:val="0"/>
        </w:rPr>
        <w:t>Simpson 2009 ( N = 60): post stroke or traumatic brain injury;</w:t>
      </w:r>
    </w:p>
    <w:p w:rsidR="009E50D9" w:rsidRDefault="009E50D9" w:rsidP="009E50D9">
      <w:pPr>
        <w:pStyle w:val="Bodytextitalics"/>
        <w:numPr>
          <w:ilvl w:val="0"/>
          <w:numId w:val="23"/>
        </w:numPr>
        <w:jc w:val="both"/>
        <w:rPr>
          <w:i w:val="0"/>
        </w:rPr>
      </w:pPr>
      <w:r>
        <w:rPr>
          <w:i w:val="0"/>
        </w:rPr>
        <w:t>Snow 1990 (N = 9): multiple sclerosis; and</w:t>
      </w:r>
    </w:p>
    <w:p w:rsidR="009E50D9" w:rsidRDefault="009E50D9" w:rsidP="009E50D9">
      <w:pPr>
        <w:pStyle w:val="Bodytextitalics"/>
        <w:numPr>
          <w:ilvl w:val="0"/>
          <w:numId w:val="23"/>
        </w:numPr>
        <w:jc w:val="both"/>
        <w:rPr>
          <w:i w:val="0"/>
        </w:rPr>
      </w:pPr>
      <w:r>
        <w:rPr>
          <w:i w:val="0"/>
        </w:rPr>
        <w:t>Verplancke 2005 (N = 35): severe brain injury.</w:t>
      </w:r>
    </w:p>
    <w:p w:rsidR="00D3080C" w:rsidRDefault="00D3080C" w:rsidP="009E50D9">
      <w:pPr>
        <w:pStyle w:val="Bodytextitalics"/>
        <w:numPr>
          <w:ilvl w:val="1"/>
          <w:numId w:val="5"/>
        </w:numPr>
        <w:jc w:val="both"/>
        <w:rPr>
          <w:i w:val="0"/>
        </w:rPr>
      </w:pPr>
      <w:r>
        <w:rPr>
          <w:i w:val="0"/>
        </w:rPr>
        <w:t>A summary of the trial characteristics and results is provided below.</w:t>
      </w:r>
    </w:p>
    <w:p w:rsidR="00D3080C" w:rsidRDefault="00D3080C" w:rsidP="00D3080C">
      <w:pPr>
        <w:pStyle w:val="TableHeading0"/>
        <w:spacing w:after="0"/>
      </w:pPr>
      <w:r>
        <w:t xml:space="preserve">Table </w:t>
      </w:r>
      <w:r w:rsidR="002B6168">
        <w:t>1</w:t>
      </w:r>
      <w:r>
        <w:t>: Summary of the BOTOX clinical trial characteristics and results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018"/>
        <w:gridCol w:w="1276"/>
        <w:gridCol w:w="1984"/>
        <w:gridCol w:w="3573"/>
      </w:tblGrid>
      <w:tr w:rsidR="00D3080C" w:rsidRPr="00143DA4" w:rsidTr="00E750D4">
        <w:trPr>
          <w:cantSplit/>
          <w:trHeight w:val="288"/>
          <w:tblHeader/>
        </w:trPr>
        <w:tc>
          <w:tcPr>
            <w:tcW w:w="616" w:type="pct"/>
            <w:shd w:val="clear" w:color="auto" w:fill="auto"/>
            <w:tcMar>
              <w:left w:w="28" w:type="dxa"/>
              <w:right w:w="28" w:type="dxa"/>
            </w:tcMar>
            <w:hideMark/>
          </w:tcPr>
          <w:p w:rsidR="00D3080C" w:rsidRPr="00D3080C" w:rsidRDefault="00D3080C" w:rsidP="00D3080C">
            <w:pPr>
              <w:keepNext/>
              <w:spacing w:before="20" w:after="20"/>
              <w:rPr>
                <w:rFonts w:ascii="Arial Narrow" w:eastAsia="Calibri" w:hAnsi="Arial Narrow"/>
                <w:b/>
                <w:sz w:val="20"/>
                <w:szCs w:val="20"/>
              </w:rPr>
            </w:pPr>
            <w:r w:rsidRPr="00D3080C">
              <w:rPr>
                <w:rFonts w:ascii="Arial Narrow" w:eastAsia="Calibri" w:hAnsi="Arial Narrow"/>
                <w:b/>
                <w:sz w:val="20"/>
                <w:szCs w:val="20"/>
              </w:rPr>
              <w:t>Trial ID</w:t>
            </w:r>
          </w:p>
        </w:tc>
        <w:tc>
          <w:tcPr>
            <w:tcW w:w="568" w:type="pct"/>
            <w:shd w:val="clear" w:color="auto" w:fill="auto"/>
            <w:tcMar>
              <w:left w:w="28" w:type="dxa"/>
              <w:right w:w="28" w:type="dxa"/>
            </w:tcMar>
            <w:hideMark/>
          </w:tcPr>
          <w:p w:rsidR="00D3080C" w:rsidRPr="00D3080C" w:rsidRDefault="00D3080C" w:rsidP="00D3080C">
            <w:pPr>
              <w:keepNext/>
              <w:spacing w:before="20" w:after="20"/>
              <w:rPr>
                <w:rFonts w:ascii="Arial Narrow" w:eastAsia="Calibri" w:hAnsi="Arial Narrow"/>
                <w:b/>
                <w:sz w:val="20"/>
                <w:szCs w:val="20"/>
              </w:rPr>
            </w:pPr>
            <w:r w:rsidRPr="00D3080C">
              <w:rPr>
                <w:rFonts w:ascii="Arial Narrow" w:eastAsia="Calibri" w:hAnsi="Arial Narrow"/>
                <w:b/>
                <w:sz w:val="20"/>
                <w:szCs w:val="20"/>
              </w:rPr>
              <w:t>Design</w:t>
            </w:r>
          </w:p>
        </w:tc>
        <w:tc>
          <w:tcPr>
            <w:tcW w:w="712" w:type="pct"/>
            <w:shd w:val="clear" w:color="auto" w:fill="auto"/>
            <w:tcMar>
              <w:left w:w="28" w:type="dxa"/>
              <w:right w:w="28" w:type="dxa"/>
            </w:tcMar>
            <w:hideMark/>
          </w:tcPr>
          <w:p w:rsidR="00D3080C" w:rsidRPr="00D3080C" w:rsidRDefault="00D3080C" w:rsidP="00D3080C">
            <w:pPr>
              <w:keepNext/>
              <w:spacing w:before="20" w:after="20"/>
              <w:rPr>
                <w:rFonts w:ascii="Arial Narrow" w:eastAsia="Calibri" w:hAnsi="Arial Narrow"/>
                <w:b/>
                <w:sz w:val="20"/>
                <w:szCs w:val="20"/>
              </w:rPr>
            </w:pPr>
            <w:r w:rsidRPr="00D3080C">
              <w:rPr>
                <w:rFonts w:ascii="Arial Narrow" w:eastAsia="Calibri" w:hAnsi="Arial Narrow"/>
                <w:b/>
                <w:sz w:val="20"/>
                <w:szCs w:val="20"/>
              </w:rPr>
              <w:t>Interventions</w:t>
            </w:r>
          </w:p>
        </w:tc>
        <w:tc>
          <w:tcPr>
            <w:tcW w:w="1108" w:type="pct"/>
            <w:shd w:val="clear" w:color="auto" w:fill="auto"/>
            <w:tcMar>
              <w:left w:w="28" w:type="dxa"/>
              <w:right w:w="28" w:type="dxa"/>
            </w:tcMar>
            <w:hideMark/>
          </w:tcPr>
          <w:p w:rsidR="00D3080C" w:rsidRPr="00D3080C" w:rsidRDefault="00D3080C" w:rsidP="00D3080C">
            <w:pPr>
              <w:keepNext/>
              <w:spacing w:before="20" w:after="20"/>
              <w:rPr>
                <w:rFonts w:ascii="Arial Narrow" w:eastAsia="Calibri" w:hAnsi="Arial Narrow"/>
                <w:b/>
                <w:sz w:val="20"/>
                <w:szCs w:val="20"/>
              </w:rPr>
            </w:pPr>
            <w:r w:rsidRPr="00D3080C">
              <w:rPr>
                <w:rFonts w:ascii="Arial Narrow" w:eastAsia="Calibri" w:hAnsi="Arial Narrow"/>
                <w:b/>
                <w:sz w:val="20"/>
                <w:szCs w:val="20"/>
              </w:rPr>
              <w:t>Population</w:t>
            </w:r>
          </w:p>
        </w:tc>
        <w:tc>
          <w:tcPr>
            <w:tcW w:w="1995" w:type="pct"/>
            <w:shd w:val="clear" w:color="auto" w:fill="auto"/>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b/>
                <w:sz w:val="20"/>
                <w:szCs w:val="20"/>
              </w:rPr>
              <w:t>Main outcomes/Results</w:t>
            </w:r>
          </w:p>
        </w:tc>
      </w:tr>
      <w:tr w:rsidR="00D3080C" w:rsidRPr="00937A6B" w:rsidTr="00E750D4">
        <w:trPr>
          <w:cantSplit/>
        </w:trPr>
        <w:tc>
          <w:tcPr>
            <w:tcW w:w="616" w:type="pct"/>
            <w:tcMar>
              <w:left w:w="28" w:type="dxa"/>
              <w:right w:w="28" w:type="dxa"/>
            </w:tcMar>
            <w:hideMark/>
          </w:tcPr>
          <w:p w:rsidR="00D3080C" w:rsidRPr="00D3080C" w:rsidRDefault="00D3080C" w:rsidP="00D3080C">
            <w:pPr>
              <w:spacing w:before="20" w:after="20"/>
              <w:rPr>
                <w:rFonts w:ascii="Arial Narrow" w:eastAsia="Calibri" w:hAnsi="Arial Narrow"/>
                <w:sz w:val="20"/>
                <w:szCs w:val="20"/>
                <w:highlight w:val="yellow"/>
              </w:rPr>
            </w:pPr>
            <w:r w:rsidRPr="00D3080C">
              <w:rPr>
                <w:rFonts w:ascii="Arial Narrow" w:eastAsia="Calibri" w:hAnsi="Arial Narrow"/>
                <w:sz w:val="20"/>
                <w:szCs w:val="20"/>
              </w:rPr>
              <w:t>Fietzek 2014</w:t>
            </w:r>
          </w:p>
        </w:tc>
        <w:tc>
          <w:tcPr>
            <w:tcW w:w="56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S</w:t>
            </w:r>
            <w:r>
              <w:rPr>
                <w:rFonts w:ascii="Arial Narrow" w:eastAsia="Calibri" w:hAnsi="Arial Narrow"/>
                <w:sz w:val="20"/>
                <w:szCs w:val="20"/>
              </w:rPr>
              <w:t>C, R, DB,</w:t>
            </w:r>
            <w:r w:rsidRPr="00D3080C">
              <w:rPr>
                <w:rFonts w:ascii="Arial Narrow" w:eastAsia="Calibri" w:hAnsi="Arial Narrow"/>
                <w:sz w:val="20"/>
                <w:szCs w:val="20"/>
              </w:rPr>
              <w:t xml:space="preserve"> placebo-controlled trial with </w:t>
            </w:r>
            <w:r>
              <w:rPr>
                <w:rFonts w:ascii="Arial Narrow" w:eastAsia="Calibri" w:hAnsi="Arial Narrow"/>
                <w:sz w:val="20"/>
                <w:szCs w:val="20"/>
              </w:rPr>
              <w:t>OL</w:t>
            </w:r>
            <w:r w:rsidRPr="00D3080C">
              <w:rPr>
                <w:rFonts w:ascii="Arial Narrow" w:eastAsia="Calibri" w:hAnsi="Arial Narrow"/>
                <w:sz w:val="20"/>
                <w:szCs w:val="20"/>
              </w:rPr>
              <w:t xml:space="preserve"> extension</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(N = 52)</w:t>
            </w:r>
          </w:p>
        </w:tc>
        <w:tc>
          <w:tcPr>
            <w:tcW w:w="712"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highlight w:val="yellow"/>
              </w:rPr>
            </w:pPr>
            <w:r w:rsidRPr="00D3080C">
              <w:rPr>
                <w:rFonts w:ascii="Arial Narrow" w:eastAsia="Calibri" w:hAnsi="Arial Narrow"/>
                <w:sz w:val="20"/>
                <w:szCs w:val="20"/>
              </w:rPr>
              <w:t>BOTOX or placebo</w:t>
            </w:r>
            <w:r>
              <w:rPr>
                <w:rFonts w:ascii="Arial Narrow" w:eastAsia="Calibri" w:hAnsi="Arial Narrow"/>
                <w:sz w:val="20"/>
                <w:szCs w:val="20"/>
              </w:rPr>
              <w:t>;</w:t>
            </w:r>
            <w:r w:rsidRPr="00D3080C">
              <w:rPr>
                <w:rFonts w:ascii="Arial Narrow" w:eastAsia="Calibri" w:hAnsi="Arial Narrow"/>
                <w:sz w:val="20"/>
                <w:szCs w:val="20"/>
              </w:rPr>
              <w:t xml:space="preserve"> total dose of 230U</w:t>
            </w:r>
          </w:p>
        </w:tc>
        <w:tc>
          <w:tcPr>
            <w:tcW w:w="110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u w:val="single"/>
              </w:rPr>
            </w:pPr>
            <w:r w:rsidRPr="00D3080C">
              <w:rPr>
                <w:rFonts w:ascii="Arial Narrow" w:eastAsia="Calibri" w:hAnsi="Arial Narrow"/>
                <w:sz w:val="20"/>
                <w:szCs w:val="20"/>
              </w:rPr>
              <w:t xml:space="preserve">Mostly severely disabled patients with unilateral or bilateral pes equinovarus (MAS </w:t>
            </w:r>
            <w:r w:rsidRPr="00D3080C">
              <w:rPr>
                <w:rFonts w:ascii="Arial Narrow" w:eastAsia="Calibri" w:hAnsi="Arial Narrow" w:cs="Calibri"/>
                <w:sz w:val="20"/>
                <w:szCs w:val="20"/>
              </w:rPr>
              <w:t>≥</w:t>
            </w:r>
            <w:r w:rsidRPr="00D3080C">
              <w:rPr>
                <w:rFonts w:ascii="Arial Narrow" w:eastAsia="Calibri" w:hAnsi="Arial Narrow"/>
                <w:sz w:val="20"/>
                <w:szCs w:val="20"/>
              </w:rPr>
              <w:t xml:space="preserve"> +1) who were cerebrally lesioned by stroke, hypoxic encephalopathy or </w:t>
            </w:r>
            <w:r>
              <w:rPr>
                <w:rFonts w:ascii="Arial Narrow" w:eastAsia="Calibri" w:hAnsi="Arial Narrow"/>
                <w:sz w:val="20"/>
                <w:szCs w:val="20"/>
              </w:rPr>
              <w:t>TBI</w:t>
            </w:r>
            <w:r w:rsidRPr="00D3080C">
              <w:rPr>
                <w:rFonts w:ascii="Arial Narrow" w:eastAsia="Calibri" w:hAnsi="Arial Narrow"/>
                <w:sz w:val="20"/>
                <w:szCs w:val="20"/>
              </w:rPr>
              <w:t xml:space="preserve"> within 12 weeks prior</w:t>
            </w:r>
          </w:p>
          <w:p w:rsidR="00D3080C" w:rsidRPr="00D3080C" w:rsidRDefault="00D3080C" w:rsidP="00D3080C">
            <w:pPr>
              <w:keepNext/>
              <w:spacing w:before="20" w:after="20"/>
              <w:rPr>
                <w:rFonts w:ascii="Arial Narrow" w:eastAsia="Calibri" w:hAnsi="Arial Narrow"/>
                <w:sz w:val="20"/>
                <w:szCs w:val="20"/>
              </w:rPr>
            </w:pPr>
          </w:p>
          <w:p w:rsidR="00D3080C" w:rsidRPr="00D3080C" w:rsidRDefault="00D3080C" w:rsidP="00D3080C">
            <w:pPr>
              <w:keepNext/>
              <w:spacing w:before="20" w:after="20"/>
              <w:rPr>
                <w:rFonts w:ascii="Arial Narrow" w:eastAsia="Calibri" w:hAnsi="Arial Narrow"/>
                <w:sz w:val="20"/>
                <w:szCs w:val="20"/>
              </w:rPr>
            </w:pPr>
          </w:p>
        </w:tc>
        <w:tc>
          <w:tcPr>
            <w:tcW w:w="1995"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MAS</w:t>
            </w:r>
            <w:r>
              <w:rPr>
                <w:rFonts w:ascii="Arial Narrow" w:eastAsia="Calibri" w:hAnsi="Arial Narrow"/>
                <w:sz w:val="20"/>
                <w:szCs w:val="20"/>
              </w:rPr>
              <w:t xml:space="preserve"> score</w:t>
            </w:r>
          </w:p>
          <w:p w:rsidR="00D3080C" w:rsidRPr="00D3080C" w:rsidRDefault="00D3080C" w:rsidP="00D3080C">
            <w:pPr>
              <w:keepNext/>
              <w:spacing w:before="20" w:after="20"/>
              <w:rPr>
                <w:rFonts w:ascii="Arial Narrow" w:eastAsia="Calibri" w:hAnsi="Arial Narrow"/>
                <w:sz w:val="20"/>
                <w:szCs w:val="20"/>
                <w:u w:val="single"/>
              </w:rPr>
            </w:pPr>
            <w:r w:rsidRPr="00D3080C">
              <w:rPr>
                <w:rFonts w:ascii="Arial Narrow" w:eastAsia="Calibri" w:hAnsi="Arial Narrow"/>
                <w:sz w:val="20"/>
                <w:szCs w:val="20"/>
                <w:u w:val="single"/>
              </w:rPr>
              <w:t>Results:</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 xml:space="preserve">Patients who received BOTOX treatment significantly improved during the course of the first 12 weeks; </w:t>
            </w:r>
            <w:r>
              <w:rPr>
                <w:rFonts w:ascii="Arial Narrow" w:eastAsia="Calibri" w:hAnsi="Arial Narrow"/>
                <w:sz w:val="20"/>
                <w:szCs w:val="20"/>
              </w:rPr>
              <w:t>MAS was reduced by 0.6 points (p</w:t>
            </w:r>
            <w:r w:rsidRPr="00D3080C">
              <w:rPr>
                <w:rFonts w:ascii="Arial Narrow" w:eastAsia="Calibri" w:hAnsi="Arial Narrow"/>
                <w:sz w:val="20"/>
                <w:szCs w:val="20"/>
              </w:rPr>
              <w:t xml:space="preserve"> &lt; 0.01). The placebo-treated group did not show any significant change during the same period. At week 12 there was a significant difference of spastic muscle ton</w:t>
            </w:r>
            <w:r>
              <w:rPr>
                <w:rFonts w:ascii="Arial Narrow" w:eastAsia="Calibri" w:hAnsi="Arial Narrow"/>
                <w:sz w:val="20"/>
                <w:szCs w:val="20"/>
              </w:rPr>
              <w:t>e in the two treatment groups (p</w:t>
            </w:r>
            <w:r w:rsidRPr="00D3080C">
              <w:rPr>
                <w:rFonts w:ascii="Arial Narrow" w:eastAsia="Calibri" w:hAnsi="Arial Narrow"/>
                <w:sz w:val="20"/>
                <w:szCs w:val="20"/>
              </w:rPr>
              <w:t xml:space="preserve"> &lt; 0.01).</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*TBI patients were not analysed separately.</w:t>
            </w:r>
          </w:p>
        </w:tc>
      </w:tr>
      <w:tr w:rsidR="00D3080C" w:rsidRPr="00143DA4" w:rsidTr="00E750D4">
        <w:trPr>
          <w:cantSplit/>
        </w:trPr>
        <w:tc>
          <w:tcPr>
            <w:tcW w:w="616" w:type="pct"/>
            <w:tcMar>
              <w:left w:w="28" w:type="dxa"/>
              <w:right w:w="28" w:type="dxa"/>
            </w:tcMar>
            <w:hideMark/>
          </w:tcPr>
          <w:p w:rsidR="00D3080C" w:rsidRPr="00D3080C" w:rsidRDefault="00D3080C" w:rsidP="00D3080C">
            <w:pPr>
              <w:spacing w:before="20" w:after="20"/>
              <w:rPr>
                <w:rFonts w:ascii="Arial Narrow" w:eastAsia="Calibri" w:hAnsi="Arial Narrow"/>
                <w:sz w:val="20"/>
                <w:szCs w:val="20"/>
              </w:rPr>
            </w:pPr>
            <w:r w:rsidRPr="00D3080C">
              <w:rPr>
                <w:rFonts w:ascii="Arial Narrow" w:eastAsia="Calibri" w:hAnsi="Arial Narrow"/>
                <w:sz w:val="20"/>
                <w:szCs w:val="20"/>
              </w:rPr>
              <w:lastRenderedPageBreak/>
              <w:t>Grazko 1995</w:t>
            </w:r>
          </w:p>
          <w:p w:rsidR="00D3080C" w:rsidRPr="00D3080C" w:rsidRDefault="00D3080C" w:rsidP="00D3080C">
            <w:pPr>
              <w:spacing w:before="20" w:after="20"/>
              <w:rPr>
                <w:rFonts w:ascii="Arial Narrow" w:eastAsia="Calibri" w:hAnsi="Arial Narrow"/>
                <w:sz w:val="20"/>
                <w:szCs w:val="20"/>
              </w:rPr>
            </w:pPr>
          </w:p>
        </w:tc>
        <w:tc>
          <w:tcPr>
            <w:tcW w:w="56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 xml:space="preserve">R, </w:t>
            </w:r>
            <w:r>
              <w:rPr>
                <w:rFonts w:ascii="Arial Narrow" w:eastAsia="Calibri" w:hAnsi="Arial Narrow"/>
                <w:sz w:val="20"/>
                <w:szCs w:val="20"/>
              </w:rPr>
              <w:t>DB</w:t>
            </w:r>
            <w:r w:rsidRPr="00D3080C">
              <w:rPr>
                <w:rFonts w:ascii="Arial Narrow" w:eastAsia="Calibri" w:hAnsi="Arial Narrow"/>
                <w:sz w:val="20"/>
                <w:szCs w:val="20"/>
              </w:rPr>
              <w:t>, placebo-controlled crossover trial</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(N = 12)</w:t>
            </w:r>
          </w:p>
        </w:tc>
        <w:tc>
          <w:tcPr>
            <w:tcW w:w="712" w:type="pct"/>
            <w:tcMar>
              <w:left w:w="28" w:type="dxa"/>
              <w:right w:w="28" w:type="dxa"/>
            </w:tcMar>
            <w:hideMark/>
          </w:tcPr>
          <w:p w:rsidR="00D3080C" w:rsidRPr="00D3080C" w:rsidRDefault="00D3080C" w:rsidP="00E750D4">
            <w:pPr>
              <w:keepNext/>
              <w:spacing w:before="20" w:after="20"/>
              <w:rPr>
                <w:rFonts w:ascii="Arial Narrow" w:eastAsia="Calibri" w:hAnsi="Arial Narrow"/>
                <w:sz w:val="20"/>
                <w:szCs w:val="20"/>
              </w:rPr>
            </w:pPr>
            <w:r>
              <w:rPr>
                <w:rFonts w:ascii="Arial Narrow" w:eastAsia="Calibri" w:hAnsi="Arial Narrow"/>
                <w:sz w:val="20"/>
                <w:szCs w:val="20"/>
              </w:rPr>
              <w:t>BOTOX</w:t>
            </w:r>
            <w:r w:rsidRPr="00D3080C">
              <w:rPr>
                <w:rFonts w:ascii="Arial Narrow" w:eastAsia="Calibri" w:hAnsi="Arial Narrow"/>
                <w:sz w:val="20"/>
                <w:szCs w:val="20"/>
              </w:rPr>
              <w:t xml:space="preserve"> or placebo</w:t>
            </w:r>
            <w:r>
              <w:rPr>
                <w:rFonts w:ascii="Arial Narrow" w:eastAsia="Calibri" w:hAnsi="Arial Narrow"/>
                <w:sz w:val="20"/>
                <w:szCs w:val="20"/>
              </w:rPr>
              <w:t>;</w:t>
            </w:r>
            <w:r w:rsidRPr="00D3080C">
              <w:rPr>
                <w:rFonts w:ascii="Arial Narrow" w:eastAsia="Calibri" w:hAnsi="Arial Narrow"/>
                <w:sz w:val="20"/>
                <w:szCs w:val="20"/>
              </w:rPr>
              <w:t xml:space="preserve"> </w:t>
            </w:r>
            <w:r w:rsidRPr="00D3080C">
              <w:rPr>
                <w:rFonts w:ascii="Arial Narrow" w:eastAsia="Calibri" w:hAnsi="Arial Narrow" w:cs="Calibri"/>
                <w:sz w:val="20"/>
                <w:szCs w:val="20"/>
              </w:rPr>
              <w:t>dose range was 25</w:t>
            </w:r>
            <w:r w:rsidR="00E750D4">
              <w:rPr>
                <w:rFonts w:ascii="Arial Narrow" w:eastAsia="Calibri" w:hAnsi="Arial Narrow" w:cs="Calibri"/>
                <w:sz w:val="20"/>
                <w:szCs w:val="20"/>
              </w:rPr>
              <w:t>-</w:t>
            </w:r>
            <w:r w:rsidRPr="00D3080C">
              <w:rPr>
                <w:rFonts w:ascii="Arial Narrow" w:eastAsia="Calibri" w:hAnsi="Arial Narrow" w:cs="Calibri"/>
                <w:sz w:val="20"/>
                <w:szCs w:val="20"/>
              </w:rPr>
              <w:t xml:space="preserve"> 250U</w:t>
            </w:r>
          </w:p>
        </w:tc>
        <w:tc>
          <w:tcPr>
            <w:tcW w:w="110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Patients with spasticity aged 12-81 years (N=12, n=8 with lower limb spasticity) due to range of diagnoses or rigidity (N=8)</w:t>
            </w:r>
          </w:p>
        </w:tc>
        <w:tc>
          <w:tcPr>
            <w:tcW w:w="1995"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Pr>
                <w:rFonts w:ascii="Arial Narrow" w:eastAsia="Calibri" w:hAnsi="Arial Narrow"/>
                <w:sz w:val="20"/>
                <w:szCs w:val="20"/>
              </w:rPr>
              <w:t>AS score</w:t>
            </w:r>
            <w:r w:rsidRPr="00D3080C">
              <w:rPr>
                <w:rFonts w:ascii="Arial Narrow" w:eastAsia="Calibri" w:hAnsi="Arial Narrow"/>
                <w:sz w:val="20"/>
                <w:szCs w:val="20"/>
              </w:rPr>
              <w:t>; Spasm frequency scale; Assessment of rigidity.</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u w:val="single"/>
              </w:rPr>
              <w:t>Results:</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For 7 patients, the mean A</w:t>
            </w:r>
            <w:r>
              <w:rPr>
                <w:rFonts w:ascii="Arial Narrow" w:eastAsia="Calibri" w:hAnsi="Arial Narrow"/>
                <w:sz w:val="20"/>
                <w:szCs w:val="20"/>
              </w:rPr>
              <w:t>S</w:t>
            </w:r>
            <w:r w:rsidRPr="00D3080C">
              <w:rPr>
                <w:rFonts w:ascii="Arial Narrow" w:eastAsia="Calibri" w:hAnsi="Arial Narrow"/>
                <w:sz w:val="20"/>
                <w:szCs w:val="20"/>
              </w:rPr>
              <w:t xml:space="preserve"> score at baseline was 3.6 (SD</w:t>
            </w:r>
            <w:r>
              <w:rPr>
                <w:rFonts w:ascii="Arial Narrow" w:eastAsia="Calibri" w:hAnsi="Arial Narrow"/>
                <w:sz w:val="20"/>
                <w:szCs w:val="20"/>
              </w:rPr>
              <w:t xml:space="preserve"> =</w:t>
            </w:r>
            <w:r w:rsidRPr="00D3080C">
              <w:rPr>
                <w:rFonts w:ascii="Arial Narrow" w:eastAsia="Calibri" w:hAnsi="Arial Narrow"/>
                <w:sz w:val="20"/>
                <w:szCs w:val="20"/>
              </w:rPr>
              <w:t xml:space="preserve"> 0.5; range 3-4) and this was reduced to 1.4 (SD </w:t>
            </w:r>
            <w:r>
              <w:rPr>
                <w:rFonts w:ascii="Arial Narrow" w:eastAsia="Calibri" w:hAnsi="Arial Narrow"/>
                <w:sz w:val="20"/>
                <w:szCs w:val="20"/>
              </w:rPr>
              <w:t xml:space="preserve">= </w:t>
            </w:r>
            <w:r w:rsidRPr="00D3080C">
              <w:rPr>
                <w:rFonts w:ascii="Arial Narrow" w:eastAsia="Calibri" w:hAnsi="Arial Narrow"/>
                <w:sz w:val="20"/>
                <w:szCs w:val="20"/>
              </w:rPr>
              <w:t xml:space="preserve">0.5; range 1-2) at follow-up, a mean change of 2.1 (SD </w:t>
            </w:r>
            <w:r>
              <w:rPr>
                <w:rFonts w:ascii="Arial Narrow" w:eastAsia="Calibri" w:hAnsi="Arial Narrow"/>
                <w:sz w:val="20"/>
                <w:szCs w:val="20"/>
              </w:rPr>
              <w:t xml:space="preserve">= </w:t>
            </w:r>
            <w:r w:rsidRPr="00D3080C">
              <w:rPr>
                <w:rFonts w:ascii="Arial Narrow" w:eastAsia="Calibri" w:hAnsi="Arial Narrow"/>
                <w:sz w:val="20"/>
                <w:szCs w:val="20"/>
              </w:rPr>
              <w:t xml:space="preserve">0.4; range 2-3). </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*TBI patients not assessed separately</w:t>
            </w:r>
          </w:p>
        </w:tc>
      </w:tr>
      <w:tr w:rsidR="00D3080C" w:rsidRPr="00143DA4" w:rsidTr="00E750D4">
        <w:trPr>
          <w:cantSplit/>
        </w:trPr>
        <w:tc>
          <w:tcPr>
            <w:tcW w:w="616" w:type="pct"/>
            <w:tcMar>
              <w:left w:w="28" w:type="dxa"/>
              <w:right w:w="28" w:type="dxa"/>
            </w:tcMar>
          </w:tcPr>
          <w:p w:rsidR="00D3080C" w:rsidRPr="00D3080C" w:rsidRDefault="00D3080C" w:rsidP="00D3080C">
            <w:pPr>
              <w:spacing w:before="20" w:after="20"/>
              <w:rPr>
                <w:rFonts w:ascii="Arial Narrow" w:eastAsia="Calibri" w:hAnsi="Arial Narrow"/>
                <w:sz w:val="20"/>
                <w:szCs w:val="20"/>
              </w:rPr>
            </w:pPr>
            <w:r w:rsidRPr="00D3080C">
              <w:rPr>
                <w:rFonts w:ascii="Arial Narrow" w:eastAsia="Calibri" w:hAnsi="Arial Narrow"/>
                <w:sz w:val="20"/>
                <w:szCs w:val="20"/>
              </w:rPr>
              <w:t>Richardson 2000</w:t>
            </w:r>
            <w:r w:rsidR="008D011C">
              <w:rPr>
                <w:rFonts w:ascii="Arial Narrow" w:eastAsia="Calibri" w:hAnsi="Arial Narrow"/>
                <w:sz w:val="20"/>
                <w:szCs w:val="20"/>
              </w:rPr>
              <w:t xml:space="preserve"> </w:t>
            </w:r>
          </w:p>
          <w:p w:rsidR="00D3080C" w:rsidRPr="00D3080C" w:rsidRDefault="00D3080C" w:rsidP="00D3080C">
            <w:pPr>
              <w:spacing w:before="20" w:after="20"/>
              <w:rPr>
                <w:rFonts w:ascii="Arial Narrow" w:eastAsia="Calibri" w:hAnsi="Arial Narrow"/>
                <w:sz w:val="20"/>
                <w:szCs w:val="20"/>
              </w:rPr>
            </w:pPr>
          </w:p>
          <w:p w:rsidR="00D3080C" w:rsidRPr="00D3080C" w:rsidRDefault="00D3080C" w:rsidP="00D3080C">
            <w:pPr>
              <w:spacing w:before="20" w:after="20"/>
              <w:rPr>
                <w:rFonts w:ascii="Arial Narrow" w:eastAsia="Calibri" w:hAnsi="Arial Narrow"/>
                <w:sz w:val="20"/>
                <w:szCs w:val="20"/>
              </w:rPr>
            </w:pPr>
          </w:p>
        </w:tc>
        <w:tc>
          <w:tcPr>
            <w:tcW w:w="56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 xml:space="preserve">R, </w:t>
            </w:r>
            <w:r>
              <w:rPr>
                <w:rFonts w:ascii="Arial Narrow" w:eastAsia="Calibri" w:hAnsi="Arial Narrow"/>
                <w:sz w:val="20"/>
                <w:szCs w:val="20"/>
              </w:rPr>
              <w:t>DB</w:t>
            </w:r>
            <w:r w:rsidRPr="00D3080C">
              <w:rPr>
                <w:rFonts w:ascii="Arial Narrow" w:eastAsia="Calibri" w:hAnsi="Arial Narrow"/>
                <w:sz w:val="20"/>
                <w:szCs w:val="20"/>
              </w:rPr>
              <w:t xml:space="preserve">, placebo controlled, </w:t>
            </w:r>
            <w:r w:rsidR="00E750D4">
              <w:rPr>
                <w:rFonts w:ascii="Arial Narrow" w:eastAsia="Calibri" w:hAnsi="Arial Narrow"/>
                <w:sz w:val="20"/>
                <w:szCs w:val="20"/>
              </w:rPr>
              <w:t>PG</w:t>
            </w:r>
            <w:r w:rsidRPr="00D3080C">
              <w:rPr>
                <w:rFonts w:ascii="Arial Narrow" w:eastAsia="Calibri" w:hAnsi="Arial Narrow"/>
                <w:sz w:val="20"/>
                <w:szCs w:val="20"/>
              </w:rPr>
              <w:t xml:space="preserve"> trial</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(N = 52)</w:t>
            </w:r>
          </w:p>
        </w:tc>
        <w:tc>
          <w:tcPr>
            <w:tcW w:w="712"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Pr>
                <w:rFonts w:ascii="Arial Narrow" w:eastAsia="Calibri" w:hAnsi="Arial Narrow"/>
                <w:sz w:val="20"/>
                <w:szCs w:val="20"/>
              </w:rPr>
              <w:t>BOTOX</w:t>
            </w:r>
            <w:r w:rsidRPr="00D3080C">
              <w:rPr>
                <w:rFonts w:ascii="Arial Narrow" w:eastAsia="Calibri" w:hAnsi="Arial Narrow"/>
                <w:sz w:val="20"/>
                <w:szCs w:val="20"/>
              </w:rPr>
              <w:t xml:space="preserve"> or placebo was injected with EMG guidance. Doses were guided by clinical experience.</w:t>
            </w:r>
          </w:p>
        </w:tc>
        <w:tc>
          <w:tcPr>
            <w:tcW w:w="1108"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Patients with moderate to severe spasticity in focal muscle groups (upper or lower limbs) with a poor response to conventional physical and medical treatment</w:t>
            </w:r>
          </w:p>
          <w:p w:rsidR="00D3080C" w:rsidRPr="00D3080C" w:rsidRDefault="00D3080C" w:rsidP="00E750D4">
            <w:pPr>
              <w:keepNext/>
              <w:spacing w:before="20" w:after="20"/>
              <w:rPr>
                <w:rFonts w:ascii="Arial Narrow" w:eastAsia="Calibri" w:hAnsi="Arial Narrow"/>
                <w:sz w:val="20"/>
                <w:szCs w:val="20"/>
              </w:rPr>
            </w:pPr>
            <w:r w:rsidRPr="00D3080C">
              <w:rPr>
                <w:rFonts w:ascii="Arial Narrow" w:eastAsia="Calibri" w:hAnsi="Arial Narrow"/>
                <w:bCs/>
                <w:sz w:val="20"/>
                <w:szCs w:val="20"/>
              </w:rPr>
              <w:t xml:space="preserve">Diagnoses included cerebrovascular accidents (23), head injury (12), incomplete </w:t>
            </w:r>
            <w:r w:rsidR="00E750D4">
              <w:rPr>
                <w:rFonts w:ascii="Arial Narrow" w:eastAsia="Calibri" w:hAnsi="Arial Narrow"/>
                <w:bCs/>
                <w:sz w:val="20"/>
                <w:szCs w:val="20"/>
              </w:rPr>
              <w:t>SCI</w:t>
            </w:r>
            <w:r w:rsidRPr="00D3080C">
              <w:rPr>
                <w:rFonts w:ascii="Arial Narrow" w:eastAsia="Calibri" w:hAnsi="Arial Narrow"/>
                <w:bCs/>
                <w:sz w:val="20"/>
                <w:szCs w:val="20"/>
              </w:rPr>
              <w:t xml:space="preserve"> (6) tumour (5), cerebral palsy (3), and anoxic episodes (3).</w:t>
            </w:r>
          </w:p>
        </w:tc>
        <w:tc>
          <w:tcPr>
            <w:tcW w:w="1995" w:type="pct"/>
            <w:tcMar>
              <w:left w:w="28" w:type="dxa"/>
              <w:right w:w="28" w:type="dxa"/>
            </w:tcMar>
            <w:hideMark/>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A</w:t>
            </w:r>
            <w:r w:rsidR="00E750D4">
              <w:rPr>
                <w:rFonts w:ascii="Arial Narrow" w:eastAsia="Calibri" w:hAnsi="Arial Narrow"/>
                <w:sz w:val="20"/>
                <w:szCs w:val="20"/>
              </w:rPr>
              <w:t>S</w:t>
            </w:r>
            <w:r w:rsidRPr="00D3080C">
              <w:rPr>
                <w:rFonts w:ascii="Arial Narrow" w:eastAsia="Calibri" w:hAnsi="Arial Narrow"/>
                <w:sz w:val="20"/>
                <w:szCs w:val="20"/>
              </w:rPr>
              <w:t xml:space="preserve"> score; Range of movement; Timed 10 metre walk; The Rivermead motor assessment.</w:t>
            </w:r>
          </w:p>
          <w:p w:rsidR="00D3080C" w:rsidRPr="00D3080C" w:rsidRDefault="00D3080C" w:rsidP="00D3080C">
            <w:pPr>
              <w:keepNext/>
              <w:spacing w:before="20" w:after="20"/>
              <w:rPr>
                <w:rFonts w:ascii="Arial Narrow" w:eastAsia="Calibri" w:hAnsi="Arial Narrow"/>
                <w:sz w:val="20"/>
                <w:szCs w:val="20"/>
                <w:u w:val="single"/>
              </w:rPr>
            </w:pPr>
            <w:r w:rsidRPr="00D3080C">
              <w:rPr>
                <w:rFonts w:ascii="Arial Narrow" w:eastAsia="Calibri" w:hAnsi="Arial Narrow"/>
                <w:sz w:val="20"/>
                <w:szCs w:val="20"/>
                <w:u w:val="single"/>
              </w:rPr>
              <w:t>Results:</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A</w:t>
            </w:r>
            <w:r w:rsidR="00E750D4">
              <w:rPr>
                <w:rFonts w:ascii="Arial Narrow" w:eastAsia="Calibri" w:hAnsi="Arial Narrow"/>
                <w:sz w:val="20"/>
                <w:szCs w:val="20"/>
              </w:rPr>
              <w:t>S</w:t>
            </w:r>
            <w:r w:rsidRPr="00D3080C">
              <w:rPr>
                <w:rFonts w:ascii="Arial Narrow" w:eastAsia="Calibri" w:hAnsi="Arial Narrow"/>
                <w:sz w:val="20"/>
                <w:szCs w:val="20"/>
              </w:rPr>
              <w:t>: The aggregate outcome score (total of weeks 3, 6, 9 and 12) showed that the active treatment group had significantly better scores than the placebo group (p</w:t>
            </w:r>
            <w:r w:rsidR="00E750D4">
              <w:rPr>
                <w:rFonts w:ascii="Arial Narrow" w:eastAsia="Calibri" w:hAnsi="Arial Narrow"/>
                <w:sz w:val="20"/>
                <w:szCs w:val="20"/>
              </w:rPr>
              <w:t xml:space="preserve"> </w:t>
            </w:r>
            <w:r w:rsidRPr="00D3080C">
              <w:rPr>
                <w:rFonts w:ascii="Arial Narrow" w:eastAsia="Calibri" w:hAnsi="Arial Narrow"/>
                <w:sz w:val="20"/>
                <w:szCs w:val="20"/>
              </w:rPr>
              <w:t>&lt;</w:t>
            </w:r>
            <w:r w:rsidR="00E750D4">
              <w:rPr>
                <w:rFonts w:ascii="Arial Narrow" w:eastAsia="Calibri" w:hAnsi="Arial Narrow"/>
                <w:sz w:val="20"/>
                <w:szCs w:val="20"/>
              </w:rPr>
              <w:t xml:space="preserve"> </w:t>
            </w:r>
            <w:r w:rsidRPr="00D3080C">
              <w:rPr>
                <w:rFonts w:ascii="Arial Narrow" w:eastAsia="Calibri" w:hAnsi="Arial Narrow"/>
                <w:sz w:val="20"/>
                <w:szCs w:val="20"/>
              </w:rPr>
              <w:t xml:space="preserve">0.02). </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The range of movement improvement was significantly better for the BOTOX than for the placebo group (p</w:t>
            </w:r>
            <w:r w:rsidR="00E750D4">
              <w:rPr>
                <w:rFonts w:ascii="Arial Narrow" w:eastAsia="Calibri" w:hAnsi="Arial Narrow"/>
                <w:sz w:val="20"/>
                <w:szCs w:val="20"/>
              </w:rPr>
              <w:t xml:space="preserve"> </w:t>
            </w:r>
            <w:r w:rsidRPr="00D3080C">
              <w:rPr>
                <w:rFonts w:ascii="Arial Narrow" w:eastAsia="Calibri" w:hAnsi="Arial Narrow"/>
                <w:sz w:val="20"/>
                <w:szCs w:val="20"/>
              </w:rPr>
              <w:t>&lt;</w:t>
            </w:r>
            <w:r w:rsidR="00E750D4">
              <w:rPr>
                <w:rFonts w:ascii="Arial Narrow" w:eastAsia="Calibri" w:hAnsi="Arial Narrow"/>
                <w:sz w:val="20"/>
                <w:szCs w:val="20"/>
              </w:rPr>
              <w:t xml:space="preserve"> </w:t>
            </w:r>
            <w:r w:rsidRPr="00D3080C">
              <w:rPr>
                <w:rFonts w:ascii="Arial Narrow" w:eastAsia="Calibri" w:hAnsi="Arial Narrow"/>
                <w:sz w:val="20"/>
                <w:szCs w:val="20"/>
              </w:rPr>
              <w:t>0.03). For both groups there was a significant improvement in scores across time that occurred between baseline and 3 weeks.</w:t>
            </w:r>
          </w:p>
        </w:tc>
      </w:tr>
      <w:tr w:rsidR="00D3080C" w:rsidTr="00E750D4">
        <w:trPr>
          <w:cantSplit/>
        </w:trPr>
        <w:tc>
          <w:tcPr>
            <w:tcW w:w="616" w:type="pct"/>
            <w:tcMar>
              <w:left w:w="28" w:type="dxa"/>
              <w:right w:w="28" w:type="dxa"/>
            </w:tcMar>
          </w:tcPr>
          <w:p w:rsidR="00D3080C" w:rsidRPr="00D3080C" w:rsidRDefault="00D3080C" w:rsidP="00D3080C">
            <w:pPr>
              <w:rPr>
                <w:rFonts w:ascii="Arial Narrow" w:hAnsi="Arial Narrow" w:cstheme="minorHAnsi"/>
                <w:sz w:val="20"/>
                <w:szCs w:val="20"/>
              </w:rPr>
            </w:pPr>
            <w:r w:rsidRPr="00D3080C">
              <w:rPr>
                <w:rFonts w:ascii="Arial Narrow" w:hAnsi="Arial Narrow" w:cstheme="minorHAnsi"/>
                <w:sz w:val="20"/>
                <w:szCs w:val="20"/>
              </w:rPr>
              <w:t>Simpson 2009</w:t>
            </w:r>
          </w:p>
          <w:p w:rsidR="00D3080C" w:rsidRPr="00D3080C" w:rsidRDefault="00D3080C" w:rsidP="00D3080C">
            <w:pPr>
              <w:rPr>
                <w:rFonts w:ascii="Arial Narrow" w:hAnsi="Arial Narrow" w:cstheme="minorHAnsi"/>
                <w:sz w:val="20"/>
                <w:szCs w:val="20"/>
              </w:rPr>
            </w:pPr>
          </w:p>
          <w:p w:rsidR="00D3080C" w:rsidRPr="00D3080C" w:rsidRDefault="00D3080C" w:rsidP="00D3080C">
            <w:pPr>
              <w:rPr>
                <w:rFonts w:ascii="Arial Narrow" w:hAnsi="Arial Narrow" w:cstheme="minorHAnsi"/>
                <w:sz w:val="20"/>
                <w:szCs w:val="20"/>
              </w:rPr>
            </w:pPr>
          </w:p>
          <w:p w:rsidR="00D3080C" w:rsidRPr="00D3080C" w:rsidRDefault="00D3080C" w:rsidP="00D3080C">
            <w:pPr>
              <w:rPr>
                <w:rFonts w:ascii="Arial Narrow" w:hAnsi="Arial Narrow" w:cstheme="minorHAnsi"/>
                <w:sz w:val="20"/>
                <w:szCs w:val="20"/>
              </w:rPr>
            </w:pPr>
          </w:p>
        </w:tc>
        <w:tc>
          <w:tcPr>
            <w:tcW w:w="568" w:type="pct"/>
            <w:tcMar>
              <w:left w:w="28" w:type="dxa"/>
              <w:right w:w="28" w:type="dxa"/>
            </w:tcMar>
          </w:tcPr>
          <w:p w:rsidR="00D3080C" w:rsidRPr="00D3080C" w:rsidRDefault="00E750D4" w:rsidP="00D3080C">
            <w:pPr>
              <w:rPr>
                <w:rFonts w:ascii="Arial Narrow" w:hAnsi="Arial Narrow" w:cstheme="minorHAnsi"/>
                <w:sz w:val="20"/>
                <w:szCs w:val="20"/>
              </w:rPr>
            </w:pPr>
            <w:r>
              <w:rPr>
                <w:rFonts w:ascii="Arial Narrow" w:hAnsi="Arial Narrow" w:cstheme="minorHAnsi"/>
                <w:sz w:val="20"/>
                <w:szCs w:val="20"/>
              </w:rPr>
              <w:t xml:space="preserve">MC, </w:t>
            </w:r>
            <w:r w:rsidR="00D3080C" w:rsidRPr="00D3080C">
              <w:rPr>
                <w:rFonts w:ascii="Arial Narrow" w:hAnsi="Arial Narrow" w:cstheme="minorHAnsi"/>
                <w:sz w:val="20"/>
                <w:szCs w:val="20"/>
              </w:rPr>
              <w:t>R</w:t>
            </w:r>
            <w:r>
              <w:rPr>
                <w:rFonts w:ascii="Arial Narrow" w:hAnsi="Arial Narrow" w:cstheme="minorHAnsi"/>
                <w:sz w:val="20"/>
                <w:szCs w:val="20"/>
              </w:rPr>
              <w:t>, PG, DB</w:t>
            </w:r>
          </w:p>
          <w:p w:rsidR="00D3080C" w:rsidRPr="00D3080C" w:rsidRDefault="00D3080C" w:rsidP="00D3080C">
            <w:pPr>
              <w:rPr>
                <w:rFonts w:ascii="Arial Narrow" w:hAnsi="Arial Narrow" w:cstheme="minorHAnsi"/>
                <w:sz w:val="20"/>
                <w:szCs w:val="20"/>
              </w:rPr>
            </w:pPr>
            <w:r w:rsidRPr="00D3080C">
              <w:rPr>
                <w:rFonts w:ascii="Arial Narrow" w:hAnsi="Arial Narrow" w:cstheme="minorHAnsi"/>
                <w:sz w:val="20"/>
                <w:szCs w:val="20"/>
              </w:rPr>
              <w:t>(N = 60)</w:t>
            </w:r>
          </w:p>
        </w:tc>
        <w:tc>
          <w:tcPr>
            <w:tcW w:w="712" w:type="pct"/>
            <w:tcMar>
              <w:left w:w="28" w:type="dxa"/>
              <w:right w:w="28" w:type="dxa"/>
            </w:tcMar>
          </w:tcPr>
          <w:p w:rsidR="00D3080C" w:rsidRPr="00D3080C" w:rsidRDefault="00D3080C" w:rsidP="00E750D4">
            <w:pPr>
              <w:rPr>
                <w:rFonts w:ascii="Arial Narrow" w:hAnsi="Arial Narrow" w:cstheme="minorHAnsi"/>
                <w:sz w:val="20"/>
                <w:szCs w:val="20"/>
              </w:rPr>
            </w:pPr>
            <w:r w:rsidRPr="00D3080C">
              <w:rPr>
                <w:rFonts w:ascii="Arial Narrow" w:hAnsi="Arial Narrow" w:cstheme="minorHAnsi"/>
                <w:sz w:val="20"/>
                <w:szCs w:val="20"/>
              </w:rPr>
              <w:t>BOTOX (100</w:t>
            </w:r>
            <w:r w:rsidR="00E750D4">
              <w:rPr>
                <w:rFonts w:ascii="Arial Narrow" w:hAnsi="Arial Narrow" w:cstheme="minorHAnsi"/>
                <w:sz w:val="20"/>
                <w:szCs w:val="20"/>
              </w:rPr>
              <w:t>-</w:t>
            </w:r>
            <w:r w:rsidRPr="00D3080C">
              <w:rPr>
                <w:rFonts w:ascii="Arial Narrow" w:hAnsi="Arial Narrow" w:cstheme="minorHAnsi"/>
                <w:sz w:val="20"/>
                <w:szCs w:val="20"/>
              </w:rPr>
              <w:t xml:space="preserve">500U) + oral </w:t>
            </w:r>
            <w:r w:rsidR="00E750D4">
              <w:rPr>
                <w:rFonts w:ascii="Arial Narrow" w:hAnsi="Arial Narrow" w:cstheme="minorHAnsi"/>
                <w:sz w:val="20"/>
                <w:szCs w:val="20"/>
              </w:rPr>
              <w:t>PBO vs IM PBO + tizanidine</w:t>
            </w:r>
            <w:r w:rsidRPr="00D3080C">
              <w:rPr>
                <w:rFonts w:ascii="Arial Narrow" w:hAnsi="Arial Narrow" w:cstheme="minorHAnsi"/>
                <w:sz w:val="20"/>
                <w:szCs w:val="20"/>
              </w:rPr>
              <w:br/>
              <w:t>(2</w:t>
            </w:r>
            <w:r w:rsidR="00E750D4">
              <w:rPr>
                <w:rFonts w:ascii="Arial Narrow" w:hAnsi="Arial Narrow" w:cstheme="minorHAnsi"/>
                <w:sz w:val="20"/>
                <w:szCs w:val="20"/>
              </w:rPr>
              <w:t>-</w:t>
            </w:r>
            <w:r w:rsidRPr="00D3080C">
              <w:rPr>
                <w:rFonts w:ascii="Arial Narrow" w:hAnsi="Arial Narrow" w:cstheme="minorHAnsi"/>
                <w:sz w:val="20"/>
                <w:szCs w:val="20"/>
              </w:rPr>
              <w:t>36 mg/day) vs. IM PBO + oral PBO</w:t>
            </w:r>
          </w:p>
        </w:tc>
        <w:tc>
          <w:tcPr>
            <w:tcW w:w="1108" w:type="pct"/>
            <w:tcMar>
              <w:left w:w="28" w:type="dxa"/>
              <w:right w:w="28" w:type="dxa"/>
            </w:tcMar>
          </w:tcPr>
          <w:p w:rsidR="00D3080C" w:rsidRPr="00D3080C" w:rsidRDefault="00D3080C" w:rsidP="00E750D4">
            <w:pPr>
              <w:autoSpaceDE w:val="0"/>
              <w:autoSpaceDN w:val="0"/>
              <w:adjustRightInd w:val="0"/>
              <w:rPr>
                <w:rFonts w:ascii="Arial Narrow" w:hAnsi="Arial Narrow"/>
                <w:sz w:val="20"/>
                <w:szCs w:val="20"/>
              </w:rPr>
            </w:pPr>
            <w:r w:rsidRPr="00D3080C">
              <w:rPr>
                <w:rFonts w:ascii="Arial Narrow" w:hAnsi="Arial Narrow" w:cstheme="minorHAnsi"/>
                <w:sz w:val="20"/>
                <w:szCs w:val="20"/>
              </w:rPr>
              <w:t xml:space="preserve">Patients with upper limb focal spasticity </w:t>
            </w:r>
            <w:r w:rsidR="00E750D4">
              <w:rPr>
                <w:rFonts w:ascii="Arial Narrow" w:hAnsi="Arial Narrow" w:cstheme="minorHAnsi"/>
                <w:sz w:val="20"/>
                <w:szCs w:val="20"/>
              </w:rPr>
              <w:t xml:space="preserve">≥ </w:t>
            </w:r>
            <w:r w:rsidRPr="00D3080C">
              <w:rPr>
                <w:rFonts w:ascii="Arial Narrow" w:hAnsi="Arial Narrow" w:cstheme="minorHAnsi"/>
                <w:sz w:val="20"/>
                <w:szCs w:val="20"/>
              </w:rPr>
              <w:t>3 months post s</w:t>
            </w:r>
            <w:r w:rsidR="00E750D4">
              <w:rPr>
                <w:rFonts w:ascii="Arial Narrow" w:hAnsi="Arial Narrow" w:cstheme="minorHAnsi"/>
                <w:sz w:val="20"/>
                <w:szCs w:val="20"/>
              </w:rPr>
              <w:t>troke (82%) or TBI (n=11) (18%)</w:t>
            </w:r>
            <w:r w:rsidRPr="00D3080C">
              <w:rPr>
                <w:rFonts w:ascii="Arial Narrow" w:hAnsi="Arial Narrow" w:cstheme="minorHAnsi"/>
                <w:sz w:val="20"/>
                <w:szCs w:val="20"/>
              </w:rPr>
              <w:t xml:space="preserve"> </w:t>
            </w:r>
          </w:p>
        </w:tc>
        <w:tc>
          <w:tcPr>
            <w:tcW w:w="1995" w:type="pct"/>
            <w:tcMar>
              <w:left w:w="28" w:type="dxa"/>
              <w:right w:w="28" w:type="dxa"/>
            </w:tcMar>
          </w:tcPr>
          <w:p w:rsidR="00D3080C" w:rsidRPr="00D3080C" w:rsidRDefault="00D3080C" w:rsidP="00D3080C">
            <w:pPr>
              <w:rPr>
                <w:rFonts w:ascii="Arial Narrow" w:hAnsi="Arial Narrow" w:cstheme="minorHAnsi"/>
                <w:sz w:val="20"/>
                <w:szCs w:val="20"/>
                <w:u w:val="single"/>
              </w:rPr>
            </w:pPr>
            <w:r w:rsidRPr="00D3080C">
              <w:rPr>
                <w:rFonts w:ascii="Arial Narrow" w:hAnsi="Arial Narrow" w:cstheme="minorHAnsi"/>
                <w:sz w:val="20"/>
                <w:szCs w:val="20"/>
                <w:u w:val="single"/>
              </w:rPr>
              <w:t>Primary</w:t>
            </w:r>
          </w:p>
          <w:p w:rsidR="00E750D4" w:rsidRDefault="00E750D4" w:rsidP="00D3080C">
            <w:pPr>
              <w:autoSpaceDE w:val="0"/>
              <w:autoSpaceDN w:val="0"/>
              <w:adjustRightInd w:val="0"/>
              <w:rPr>
                <w:rFonts w:ascii="Arial Narrow" w:hAnsi="Arial Narrow" w:cstheme="minorHAnsi"/>
                <w:sz w:val="20"/>
                <w:szCs w:val="20"/>
              </w:rPr>
            </w:pPr>
            <w:r>
              <w:rPr>
                <w:rFonts w:ascii="Arial Narrow" w:hAnsi="Arial Narrow" w:cstheme="minorHAnsi"/>
                <w:sz w:val="20"/>
                <w:szCs w:val="20"/>
              </w:rPr>
              <w:t>C</w:t>
            </w:r>
            <w:r w:rsidR="00D3080C" w:rsidRPr="00D3080C">
              <w:rPr>
                <w:rFonts w:ascii="Arial Narrow" w:hAnsi="Arial Narrow" w:cstheme="minorHAnsi"/>
                <w:sz w:val="20"/>
                <w:szCs w:val="20"/>
              </w:rPr>
              <w:t>hange from baseline in wrist MAS</w:t>
            </w:r>
            <w:r>
              <w:rPr>
                <w:rFonts w:ascii="Arial Narrow" w:hAnsi="Arial Narrow" w:cstheme="minorHAnsi"/>
                <w:sz w:val="20"/>
                <w:szCs w:val="20"/>
              </w:rPr>
              <w:t xml:space="preserve"> score</w:t>
            </w:r>
            <w:r w:rsidR="00D3080C" w:rsidRPr="00D3080C">
              <w:rPr>
                <w:rFonts w:ascii="Arial Narrow" w:hAnsi="Arial Narrow" w:cstheme="minorHAnsi"/>
                <w:sz w:val="20"/>
                <w:szCs w:val="20"/>
              </w:rPr>
              <w:t xml:space="preserve"> at 6 weeks. </w:t>
            </w:r>
          </w:p>
          <w:p w:rsidR="00D3080C" w:rsidRPr="00D3080C" w:rsidRDefault="00D3080C" w:rsidP="00D3080C">
            <w:pPr>
              <w:autoSpaceDE w:val="0"/>
              <w:autoSpaceDN w:val="0"/>
              <w:adjustRightInd w:val="0"/>
              <w:rPr>
                <w:rFonts w:ascii="Arial Narrow" w:hAnsi="Arial Narrow" w:cstheme="minorHAnsi"/>
                <w:sz w:val="20"/>
                <w:szCs w:val="20"/>
                <w:u w:val="single"/>
              </w:rPr>
            </w:pPr>
            <w:r w:rsidRPr="00D3080C">
              <w:rPr>
                <w:rFonts w:ascii="Arial Narrow" w:hAnsi="Arial Narrow" w:cstheme="minorHAnsi"/>
                <w:sz w:val="20"/>
                <w:szCs w:val="20"/>
                <w:u w:val="single"/>
              </w:rPr>
              <w:t>Results:</w:t>
            </w:r>
          </w:p>
          <w:p w:rsidR="00D3080C" w:rsidRPr="00D3080C" w:rsidRDefault="00E750D4" w:rsidP="00D3080C">
            <w:pPr>
              <w:autoSpaceDE w:val="0"/>
              <w:autoSpaceDN w:val="0"/>
              <w:adjustRightInd w:val="0"/>
              <w:rPr>
                <w:rFonts w:ascii="Arial Narrow" w:hAnsi="Arial Narrow" w:cstheme="minorHAnsi"/>
                <w:sz w:val="20"/>
                <w:szCs w:val="20"/>
              </w:rPr>
            </w:pPr>
            <w:r>
              <w:rPr>
                <w:rFonts w:ascii="Arial Narrow" w:hAnsi="Arial Narrow" w:cstheme="minorHAnsi"/>
                <w:sz w:val="20"/>
                <w:szCs w:val="20"/>
              </w:rPr>
              <w:t>BOTOX</w:t>
            </w:r>
            <w:r w:rsidR="00D3080C" w:rsidRPr="00D3080C">
              <w:rPr>
                <w:rFonts w:ascii="Arial Narrow" w:hAnsi="Arial Narrow" w:cstheme="minorHAnsi"/>
                <w:sz w:val="20"/>
                <w:szCs w:val="20"/>
              </w:rPr>
              <w:t xml:space="preserve"> produced a greater reduction in wrist flexor tone than </w:t>
            </w:r>
            <w:r>
              <w:rPr>
                <w:rFonts w:ascii="Arial Narrow" w:hAnsi="Arial Narrow" w:cstheme="minorHAnsi"/>
                <w:sz w:val="20"/>
                <w:szCs w:val="20"/>
              </w:rPr>
              <w:t>tizanidine</w:t>
            </w:r>
            <w:r w:rsidR="00D3080C" w:rsidRPr="00D3080C">
              <w:rPr>
                <w:rFonts w:ascii="Arial Narrow" w:hAnsi="Arial Narrow" w:cstheme="minorHAnsi"/>
                <w:sz w:val="20"/>
                <w:szCs w:val="20"/>
              </w:rPr>
              <w:t xml:space="preserve"> or placebo at </w:t>
            </w:r>
            <w:r>
              <w:rPr>
                <w:rFonts w:ascii="Arial Narrow" w:hAnsi="Arial Narrow" w:cstheme="minorHAnsi"/>
                <w:sz w:val="20"/>
                <w:szCs w:val="20"/>
              </w:rPr>
              <w:t>W</w:t>
            </w:r>
            <w:r w:rsidR="00D3080C" w:rsidRPr="00D3080C">
              <w:rPr>
                <w:rFonts w:ascii="Arial Narrow" w:hAnsi="Arial Narrow" w:cstheme="minorHAnsi"/>
                <w:sz w:val="20"/>
                <w:szCs w:val="20"/>
              </w:rPr>
              <w:t xml:space="preserve">eek 3 and </w:t>
            </w:r>
            <w:r>
              <w:rPr>
                <w:rFonts w:ascii="Arial Narrow" w:hAnsi="Arial Narrow" w:cstheme="minorHAnsi"/>
                <w:sz w:val="20"/>
                <w:szCs w:val="20"/>
              </w:rPr>
              <w:t>W</w:t>
            </w:r>
            <w:r w:rsidR="00D3080C" w:rsidRPr="00D3080C">
              <w:rPr>
                <w:rFonts w:ascii="Arial Narrow" w:hAnsi="Arial Narrow" w:cstheme="minorHAnsi"/>
                <w:sz w:val="20"/>
                <w:szCs w:val="20"/>
              </w:rPr>
              <w:t xml:space="preserve">eek 6. </w:t>
            </w:r>
          </w:p>
          <w:p w:rsidR="00D3080C" w:rsidRPr="00D3080C" w:rsidRDefault="00D3080C" w:rsidP="00D3080C">
            <w:pPr>
              <w:autoSpaceDE w:val="0"/>
              <w:autoSpaceDN w:val="0"/>
              <w:adjustRightInd w:val="0"/>
              <w:rPr>
                <w:rFonts w:ascii="Arial Narrow" w:hAnsi="Arial Narrow"/>
                <w:sz w:val="20"/>
                <w:szCs w:val="20"/>
              </w:rPr>
            </w:pPr>
            <w:r w:rsidRPr="00D3080C">
              <w:rPr>
                <w:rFonts w:ascii="Arial Narrow" w:eastAsia="Calibri" w:hAnsi="Arial Narrow"/>
                <w:sz w:val="20"/>
                <w:szCs w:val="20"/>
              </w:rPr>
              <w:t>*TBI patients not assessed separately</w:t>
            </w:r>
          </w:p>
        </w:tc>
      </w:tr>
      <w:tr w:rsidR="00D3080C" w:rsidRPr="00FD4B35" w:rsidTr="00E750D4">
        <w:trPr>
          <w:cantSplit/>
        </w:trPr>
        <w:tc>
          <w:tcPr>
            <w:tcW w:w="616" w:type="pct"/>
            <w:shd w:val="clear" w:color="auto" w:fill="auto"/>
            <w:tcMar>
              <w:left w:w="28" w:type="dxa"/>
              <w:right w:w="28" w:type="dxa"/>
            </w:tcMar>
          </w:tcPr>
          <w:p w:rsidR="00D3080C" w:rsidRPr="00D3080C" w:rsidRDefault="00D3080C" w:rsidP="00D3080C">
            <w:pPr>
              <w:rPr>
                <w:rFonts w:ascii="Arial Narrow" w:hAnsi="Arial Narrow" w:cstheme="minorHAnsi"/>
                <w:sz w:val="20"/>
                <w:szCs w:val="20"/>
                <w:highlight w:val="yellow"/>
              </w:rPr>
            </w:pPr>
            <w:r w:rsidRPr="00D3080C">
              <w:rPr>
                <w:rFonts w:ascii="Arial Narrow" w:eastAsia="Calibri" w:hAnsi="Arial Narrow"/>
                <w:sz w:val="20"/>
                <w:szCs w:val="20"/>
              </w:rPr>
              <w:t>Snow 1990</w:t>
            </w:r>
          </w:p>
        </w:tc>
        <w:tc>
          <w:tcPr>
            <w:tcW w:w="568" w:type="pct"/>
            <w:tcMar>
              <w:left w:w="28" w:type="dxa"/>
              <w:right w:w="28" w:type="dxa"/>
            </w:tcMar>
          </w:tcPr>
          <w:p w:rsidR="00D3080C" w:rsidRPr="00D3080C" w:rsidRDefault="00D3080C" w:rsidP="00E750D4">
            <w:pPr>
              <w:rPr>
                <w:rFonts w:ascii="Arial Narrow" w:hAnsi="Arial Narrow" w:cstheme="minorHAnsi"/>
                <w:sz w:val="20"/>
                <w:szCs w:val="20"/>
              </w:rPr>
            </w:pPr>
            <w:bookmarkStart w:id="2" w:name="_Hlk17374606"/>
            <w:r w:rsidRPr="00D3080C">
              <w:rPr>
                <w:rFonts w:ascii="Arial Narrow" w:eastAsia="Calibri" w:hAnsi="Arial Narrow"/>
                <w:sz w:val="20"/>
                <w:szCs w:val="20"/>
              </w:rPr>
              <w:t>R</w:t>
            </w:r>
            <w:r w:rsidR="00E750D4">
              <w:rPr>
                <w:rFonts w:ascii="Arial Narrow" w:eastAsia="Calibri" w:hAnsi="Arial Narrow"/>
                <w:sz w:val="20"/>
                <w:szCs w:val="20"/>
              </w:rPr>
              <w:t>, DB</w:t>
            </w:r>
            <w:r w:rsidRPr="00D3080C">
              <w:rPr>
                <w:rFonts w:ascii="Arial Narrow" w:eastAsia="Calibri" w:hAnsi="Arial Narrow"/>
                <w:sz w:val="20"/>
                <w:szCs w:val="20"/>
              </w:rPr>
              <w:t>, placebo control</w:t>
            </w:r>
            <w:r w:rsidR="00E750D4">
              <w:rPr>
                <w:rFonts w:ascii="Arial Narrow" w:eastAsia="Calibri" w:hAnsi="Arial Narrow"/>
                <w:sz w:val="20"/>
                <w:szCs w:val="20"/>
              </w:rPr>
              <w:t>led</w:t>
            </w:r>
            <w:r w:rsidRPr="00D3080C">
              <w:rPr>
                <w:rFonts w:ascii="Arial Narrow" w:eastAsia="Calibri" w:hAnsi="Arial Narrow"/>
                <w:sz w:val="20"/>
                <w:szCs w:val="20"/>
              </w:rPr>
              <w:t>, cross-over study</w:t>
            </w:r>
            <w:bookmarkEnd w:id="2"/>
            <w:r w:rsidRPr="00D3080C">
              <w:rPr>
                <w:rFonts w:ascii="Arial Narrow" w:eastAsia="Calibri" w:hAnsi="Arial Narrow"/>
                <w:sz w:val="20"/>
                <w:szCs w:val="20"/>
              </w:rPr>
              <w:t xml:space="preserve"> </w:t>
            </w:r>
            <w:r w:rsidR="00E750D4">
              <w:rPr>
                <w:rFonts w:ascii="Arial Narrow" w:eastAsia="Calibri" w:hAnsi="Arial Narrow"/>
                <w:sz w:val="20"/>
                <w:szCs w:val="20"/>
              </w:rPr>
              <w:br/>
            </w:r>
            <w:r w:rsidRPr="00D3080C">
              <w:rPr>
                <w:rFonts w:ascii="Arial Narrow" w:eastAsia="Calibri" w:hAnsi="Arial Narrow"/>
                <w:sz w:val="20"/>
                <w:szCs w:val="20"/>
              </w:rPr>
              <w:t>(N=10)</w:t>
            </w:r>
          </w:p>
        </w:tc>
        <w:tc>
          <w:tcPr>
            <w:tcW w:w="712" w:type="pct"/>
            <w:tcMar>
              <w:left w:w="28" w:type="dxa"/>
              <w:right w:w="28" w:type="dxa"/>
            </w:tcMar>
          </w:tcPr>
          <w:p w:rsidR="00D3080C" w:rsidRPr="00D3080C" w:rsidRDefault="00D3080C" w:rsidP="00E750D4">
            <w:pPr>
              <w:rPr>
                <w:rFonts w:ascii="Arial Narrow" w:hAnsi="Arial Narrow" w:cstheme="minorHAnsi"/>
                <w:sz w:val="20"/>
                <w:szCs w:val="20"/>
              </w:rPr>
            </w:pPr>
            <w:r w:rsidRPr="00D3080C">
              <w:rPr>
                <w:rFonts w:ascii="Arial Narrow" w:eastAsia="Calibri" w:hAnsi="Arial Narrow"/>
                <w:sz w:val="20"/>
                <w:szCs w:val="20"/>
              </w:rPr>
              <w:t xml:space="preserve">BOTOX 400U or placebo, </w:t>
            </w:r>
            <w:r w:rsidR="00E750D4">
              <w:rPr>
                <w:rFonts w:ascii="Arial Narrow" w:eastAsia="Calibri" w:hAnsi="Arial Narrow"/>
                <w:sz w:val="20"/>
                <w:szCs w:val="20"/>
              </w:rPr>
              <w:t xml:space="preserve">in </w:t>
            </w:r>
            <w:r w:rsidRPr="00D3080C">
              <w:rPr>
                <w:rFonts w:ascii="Arial Narrow" w:eastAsia="Calibri" w:hAnsi="Arial Narrow"/>
                <w:sz w:val="20"/>
                <w:szCs w:val="20"/>
              </w:rPr>
              <w:t>adductor muscles</w:t>
            </w:r>
          </w:p>
        </w:tc>
        <w:tc>
          <w:tcPr>
            <w:tcW w:w="1108" w:type="pct"/>
            <w:tcMar>
              <w:left w:w="28" w:type="dxa"/>
              <w:right w:w="28" w:type="dxa"/>
            </w:tcMar>
          </w:tcPr>
          <w:p w:rsidR="00D3080C" w:rsidRPr="00D3080C" w:rsidRDefault="00D3080C" w:rsidP="00D3080C">
            <w:pPr>
              <w:autoSpaceDE w:val="0"/>
              <w:autoSpaceDN w:val="0"/>
              <w:adjustRightInd w:val="0"/>
              <w:rPr>
                <w:rFonts w:ascii="Arial Narrow" w:hAnsi="Arial Narrow" w:cstheme="minorHAnsi"/>
                <w:sz w:val="20"/>
                <w:szCs w:val="20"/>
              </w:rPr>
            </w:pPr>
            <w:r w:rsidRPr="00D3080C">
              <w:rPr>
                <w:rFonts w:ascii="Arial Narrow" w:eastAsia="Calibri" w:hAnsi="Arial Narrow"/>
                <w:sz w:val="20"/>
                <w:szCs w:val="20"/>
              </w:rPr>
              <w:t>Chair or bed-bound patients with chronic stable multiple sclerosis and adductor spasticity</w:t>
            </w:r>
          </w:p>
        </w:tc>
        <w:tc>
          <w:tcPr>
            <w:tcW w:w="1995" w:type="pct"/>
            <w:tcMar>
              <w:left w:w="28" w:type="dxa"/>
              <w:right w:w="28" w:type="dxa"/>
            </w:tcMar>
          </w:tcPr>
          <w:p w:rsidR="00D3080C" w:rsidRPr="00D3080C" w:rsidRDefault="00E750D4" w:rsidP="00D3080C">
            <w:pPr>
              <w:rPr>
                <w:rFonts w:ascii="Arial Narrow" w:eastAsia="Calibri" w:hAnsi="Arial Narrow"/>
                <w:sz w:val="20"/>
                <w:szCs w:val="20"/>
              </w:rPr>
            </w:pPr>
            <w:r>
              <w:rPr>
                <w:rFonts w:ascii="Arial Narrow" w:eastAsia="Calibri" w:hAnsi="Arial Narrow"/>
                <w:sz w:val="20"/>
                <w:szCs w:val="20"/>
              </w:rPr>
              <w:t>Spasticity score</w:t>
            </w:r>
          </w:p>
          <w:p w:rsidR="00D3080C" w:rsidRPr="00D3080C" w:rsidRDefault="00D3080C" w:rsidP="00D3080C">
            <w:pPr>
              <w:rPr>
                <w:rFonts w:ascii="Arial Narrow" w:eastAsia="Calibri" w:hAnsi="Arial Narrow"/>
                <w:sz w:val="20"/>
                <w:szCs w:val="20"/>
                <w:u w:val="single"/>
              </w:rPr>
            </w:pPr>
            <w:r w:rsidRPr="00D3080C">
              <w:rPr>
                <w:rFonts w:ascii="Arial Narrow" w:eastAsia="Calibri" w:hAnsi="Arial Narrow"/>
                <w:sz w:val="20"/>
                <w:szCs w:val="20"/>
                <w:u w:val="single"/>
              </w:rPr>
              <w:t>Results:</w:t>
            </w:r>
          </w:p>
          <w:p w:rsidR="00D3080C" w:rsidRPr="00D3080C" w:rsidRDefault="00D3080C" w:rsidP="00D3080C">
            <w:pPr>
              <w:rPr>
                <w:rFonts w:ascii="Arial Narrow" w:hAnsi="Arial Narrow" w:cstheme="minorHAnsi"/>
                <w:sz w:val="20"/>
                <w:szCs w:val="20"/>
              </w:rPr>
            </w:pPr>
            <w:r w:rsidRPr="00D3080C">
              <w:rPr>
                <w:rFonts w:ascii="Arial Narrow" w:hAnsi="Arial Narrow" w:cstheme="minorHAnsi"/>
                <w:sz w:val="20"/>
                <w:szCs w:val="20"/>
              </w:rPr>
              <w:t xml:space="preserve">At 6 weeks following treatment there was a significant reduction in the spasticity score (7.9±4.87 to 4.7±4.31, p=0.009) and this was significantly better than the change following placebo treatment (6.8±5.26 to 7.1±4.77, p=0.009 for botulinum toxin vs. placebo. </w:t>
            </w:r>
          </w:p>
        </w:tc>
      </w:tr>
      <w:tr w:rsidR="00D3080C" w:rsidTr="00E750D4">
        <w:trPr>
          <w:cantSplit/>
        </w:trPr>
        <w:tc>
          <w:tcPr>
            <w:tcW w:w="616" w:type="pct"/>
            <w:tcMar>
              <w:left w:w="28" w:type="dxa"/>
              <w:right w:w="28" w:type="dxa"/>
            </w:tcMar>
          </w:tcPr>
          <w:p w:rsidR="00D3080C" w:rsidRPr="00D3080C" w:rsidRDefault="00D3080C" w:rsidP="00D3080C">
            <w:pPr>
              <w:rPr>
                <w:rFonts w:ascii="Arial Narrow" w:eastAsia="Calibri" w:hAnsi="Arial Narrow"/>
                <w:sz w:val="20"/>
                <w:szCs w:val="20"/>
              </w:rPr>
            </w:pPr>
            <w:r w:rsidRPr="00D3080C">
              <w:rPr>
                <w:rFonts w:ascii="Arial Narrow" w:eastAsia="Calibri" w:hAnsi="Arial Narrow"/>
                <w:sz w:val="20"/>
                <w:szCs w:val="20"/>
              </w:rPr>
              <w:t>Verplancke 2005</w:t>
            </w:r>
          </w:p>
          <w:p w:rsidR="00D3080C" w:rsidRPr="00D3080C" w:rsidRDefault="00D3080C" w:rsidP="00D3080C">
            <w:pPr>
              <w:keepNext/>
              <w:spacing w:before="20" w:after="20"/>
              <w:rPr>
                <w:rFonts w:ascii="Arial Narrow" w:eastAsia="Calibri" w:hAnsi="Arial Narrow"/>
                <w:sz w:val="20"/>
                <w:szCs w:val="20"/>
              </w:rPr>
            </w:pPr>
          </w:p>
        </w:tc>
        <w:tc>
          <w:tcPr>
            <w:tcW w:w="568" w:type="pct"/>
            <w:tcMar>
              <w:left w:w="28" w:type="dxa"/>
              <w:right w:w="28" w:type="dxa"/>
            </w:tcMar>
          </w:tcPr>
          <w:p w:rsidR="00D3080C" w:rsidRPr="00D3080C" w:rsidRDefault="00E750D4" w:rsidP="00D3080C">
            <w:pPr>
              <w:keepNext/>
              <w:spacing w:before="20" w:after="20"/>
              <w:rPr>
                <w:rFonts w:ascii="Arial Narrow" w:eastAsia="Calibri" w:hAnsi="Arial Narrow"/>
                <w:sz w:val="20"/>
                <w:szCs w:val="20"/>
              </w:rPr>
            </w:pPr>
            <w:r>
              <w:rPr>
                <w:rFonts w:ascii="Arial Narrow" w:eastAsia="Calibri" w:hAnsi="Arial Narrow"/>
                <w:sz w:val="20"/>
                <w:szCs w:val="20"/>
              </w:rPr>
              <w:t>R, DB placebo</w:t>
            </w:r>
            <w:r w:rsidR="00D3080C" w:rsidRPr="00D3080C">
              <w:rPr>
                <w:rFonts w:ascii="Arial Narrow" w:eastAsia="Calibri" w:hAnsi="Arial Narrow"/>
                <w:sz w:val="20"/>
                <w:szCs w:val="20"/>
              </w:rPr>
              <w:t xml:space="preserve"> controlled trial</w:t>
            </w:r>
          </w:p>
          <w:p w:rsidR="00D3080C" w:rsidRPr="00D3080C" w:rsidRDefault="00D3080C" w:rsidP="00D3080C">
            <w:pPr>
              <w:keepNext/>
              <w:spacing w:before="20" w:after="20"/>
              <w:rPr>
                <w:rFonts w:ascii="Arial Narrow" w:eastAsia="Calibri" w:hAnsi="Arial Narrow"/>
                <w:sz w:val="20"/>
                <w:szCs w:val="20"/>
                <w:highlight w:val="yellow"/>
              </w:rPr>
            </w:pPr>
            <w:r w:rsidRPr="00D3080C">
              <w:rPr>
                <w:rFonts w:ascii="Arial Narrow" w:eastAsia="Calibri" w:hAnsi="Arial Narrow"/>
                <w:sz w:val="20"/>
                <w:szCs w:val="20"/>
              </w:rPr>
              <w:t>(N = 35)</w:t>
            </w:r>
          </w:p>
        </w:tc>
        <w:tc>
          <w:tcPr>
            <w:tcW w:w="712" w:type="pct"/>
            <w:tcMar>
              <w:left w:w="28" w:type="dxa"/>
              <w:right w:w="28" w:type="dxa"/>
            </w:tcMar>
          </w:tcPr>
          <w:p w:rsidR="00D3080C" w:rsidRPr="00D3080C" w:rsidRDefault="00D3080C" w:rsidP="00E750D4">
            <w:pPr>
              <w:keepNext/>
              <w:spacing w:before="20" w:after="20"/>
              <w:rPr>
                <w:rFonts w:ascii="Arial Narrow" w:eastAsia="Calibri" w:hAnsi="Arial Narrow"/>
                <w:sz w:val="20"/>
                <w:szCs w:val="20"/>
              </w:rPr>
            </w:pPr>
            <w:r w:rsidRPr="00D3080C">
              <w:rPr>
                <w:rFonts w:ascii="Arial Narrow" w:eastAsia="Calibri" w:hAnsi="Arial Narrow"/>
                <w:sz w:val="20"/>
                <w:szCs w:val="20"/>
              </w:rPr>
              <w:t xml:space="preserve">Current physical treatment, casting plus placebo injections, or casting plus with </w:t>
            </w:r>
            <w:r w:rsidR="00E750D4">
              <w:rPr>
                <w:rFonts w:ascii="Arial Narrow" w:eastAsia="Calibri" w:hAnsi="Arial Narrow"/>
                <w:sz w:val="20"/>
                <w:szCs w:val="20"/>
              </w:rPr>
              <w:t>BOTOX</w:t>
            </w:r>
            <w:r w:rsidRPr="00D3080C">
              <w:rPr>
                <w:rFonts w:ascii="Arial Narrow" w:eastAsia="Calibri" w:hAnsi="Arial Narrow"/>
                <w:sz w:val="20"/>
                <w:szCs w:val="20"/>
              </w:rPr>
              <w:t xml:space="preserve"> injections</w:t>
            </w:r>
          </w:p>
        </w:tc>
        <w:tc>
          <w:tcPr>
            <w:tcW w:w="1108" w:type="pct"/>
            <w:tcMar>
              <w:left w:w="28" w:type="dxa"/>
              <w:right w:w="28" w:type="dxa"/>
            </w:tcMar>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Patients with severe brain injury, screened within 4 days of hospital admission, unable to achieve 3° of passive ankle dorsiflexion</w:t>
            </w:r>
          </w:p>
        </w:tc>
        <w:tc>
          <w:tcPr>
            <w:tcW w:w="1995" w:type="pct"/>
            <w:tcMar>
              <w:left w:w="28" w:type="dxa"/>
              <w:right w:w="28" w:type="dxa"/>
            </w:tcMar>
          </w:tcPr>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MAS</w:t>
            </w:r>
          </w:p>
          <w:p w:rsidR="00D3080C" w:rsidRPr="00D3080C" w:rsidRDefault="00D3080C" w:rsidP="00D3080C">
            <w:pPr>
              <w:keepNext/>
              <w:spacing w:before="20" w:after="20"/>
              <w:rPr>
                <w:rFonts w:ascii="Arial Narrow" w:eastAsia="Calibri" w:hAnsi="Arial Narrow"/>
                <w:sz w:val="20"/>
                <w:szCs w:val="20"/>
                <w:u w:val="single"/>
              </w:rPr>
            </w:pPr>
            <w:r w:rsidRPr="00D3080C">
              <w:rPr>
                <w:rFonts w:ascii="Arial Narrow" w:eastAsia="Calibri" w:hAnsi="Arial Narrow"/>
                <w:sz w:val="20"/>
                <w:szCs w:val="20"/>
                <w:u w:val="single"/>
              </w:rPr>
              <w:t>Results:</w:t>
            </w:r>
          </w:p>
          <w:p w:rsidR="00D3080C" w:rsidRPr="00D3080C" w:rsidRDefault="00D3080C" w:rsidP="00D3080C">
            <w:pPr>
              <w:keepNext/>
              <w:spacing w:before="20" w:after="20"/>
              <w:rPr>
                <w:rFonts w:ascii="Arial Narrow" w:eastAsia="Calibri" w:hAnsi="Arial Narrow"/>
                <w:sz w:val="20"/>
                <w:szCs w:val="20"/>
              </w:rPr>
            </w:pPr>
            <w:r w:rsidRPr="00D3080C">
              <w:rPr>
                <w:rFonts w:ascii="Arial Narrow" w:eastAsia="Calibri" w:hAnsi="Arial Narrow"/>
                <w:sz w:val="20"/>
                <w:szCs w:val="20"/>
              </w:rPr>
              <w:t>The MAS scores were analysed as paired comparisons of MAS at entry and exit from the study. In the actively treated group (casting with BOTOX or saline injections), there was a statistically significant decrease of &gt;1</w:t>
            </w:r>
            <w:r w:rsidR="00E750D4">
              <w:rPr>
                <w:rFonts w:ascii="Arial Narrow" w:eastAsia="Calibri" w:hAnsi="Arial Narrow"/>
                <w:sz w:val="20"/>
                <w:szCs w:val="20"/>
              </w:rPr>
              <w:t xml:space="preserve"> </w:t>
            </w:r>
            <w:r w:rsidRPr="00D3080C">
              <w:rPr>
                <w:rFonts w:ascii="Arial Narrow" w:eastAsia="Calibri" w:hAnsi="Arial Narrow"/>
                <w:sz w:val="20"/>
                <w:szCs w:val="20"/>
              </w:rPr>
              <w:t>point but by only 0.3 in controls, which was not significant.</w:t>
            </w:r>
          </w:p>
        </w:tc>
      </w:tr>
    </w:tbl>
    <w:p w:rsidR="00D3080C" w:rsidRDefault="00D3080C" w:rsidP="00E750D4">
      <w:pPr>
        <w:pStyle w:val="TableFooter"/>
      </w:pPr>
      <w:r>
        <w:t xml:space="preserve">AS = Ashworth Scale; DB = double-blind; EMG = electromyography; </w:t>
      </w:r>
      <w:r w:rsidR="00E750D4">
        <w:t xml:space="preserve">IM = intramuscular; </w:t>
      </w:r>
      <w:r>
        <w:t xml:space="preserve">MAS = Modified Ashworth Scale; </w:t>
      </w:r>
      <w:r w:rsidR="00E750D4">
        <w:t xml:space="preserve">MC = multi-centre; </w:t>
      </w:r>
      <w:r>
        <w:t xml:space="preserve">OL = open label; </w:t>
      </w:r>
      <w:r w:rsidR="00E750D4">
        <w:t xml:space="preserve">PBO = placebo; PG = parallel group; </w:t>
      </w:r>
      <w:r>
        <w:t xml:space="preserve">R = randomised; SC = single-centre; </w:t>
      </w:r>
      <w:r w:rsidR="00E750D4">
        <w:t xml:space="preserve">SCI = spinal cord injury; </w:t>
      </w:r>
      <w:r>
        <w:t>SD = standard deviation; TBI = traumatic brain injury</w:t>
      </w:r>
    </w:p>
    <w:p w:rsidR="00E750D4" w:rsidRDefault="00E750D4" w:rsidP="00E750D4">
      <w:pPr>
        <w:pStyle w:val="TableFooter"/>
      </w:pPr>
      <w:r>
        <w:t>Source: Table 2.5-1, p40 of the minor submission</w:t>
      </w:r>
    </w:p>
    <w:p w:rsidR="00E750D4" w:rsidRDefault="00E750D4" w:rsidP="00E750D4"/>
    <w:p w:rsidR="0025398C" w:rsidRPr="00786367" w:rsidRDefault="00C917B9" w:rsidP="00654C17">
      <w:pPr>
        <w:pStyle w:val="3Bodytext"/>
        <w:numPr>
          <w:ilvl w:val="1"/>
          <w:numId w:val="5"/>
        </w:numPr>
        <w:rPr>
          <w:color w:val="BB15BB"/>
          <w:szCs w:val="24"/>
        </w:rPr>
      </w:pPr>
      <w:r>
        <w:rPr>
          <w:szCs w:val="24"/>
        </w:rPr>
        <w:lastRenderedPageBreak/>
        <w:t>For the use of Dysport</w:t>
      </w:r>
      <w:r>
        <w:rPr>
          <w:rFonts w:cstheme="minorHAnsi"/>
          <w:szCs w:val="24"/>
        </w:rPr>
        <w:t>®</w:t>
      </w:r>
      <w:r>
        <w:rPr>
          <w:szCs w:val="24"/>
        </w:rPr>
        <w:t xml:space="preserve"> in the treatment of upper limb focal spasticity following any acute event, t</w:t>
      </w:r>
      <w:r w:rsidR="00786367">
        <w:rPr>
          <w:szCs w:val="24"/>
        </w:rPr>
        <w:t xml:space="preserve">he minor submission </w:t>
      </w:r>
      <w:r>
        <w:rPr>
          <w:szCs w:val="24"/>
        </w:rPr>
        <w:t xml:space="preserve">considered </w:t>
      </w:r>
      <w:r w:rsidR="00786367">
        <w:rPr>
          <w:szCs w:val="24"/>
        </w:rPr>
        <w:t>Study 145</w:t>
      </w:r>
      <w:r>
        <w:rPr>
          <w:szCs w:val="24"/>
        </w:rPr>
        <w:t xml:space="preserve"> </w:t>
      </w:r>
      <w:r w:rsidRPr="000E1C9C">
        <w:rPr>
          <w:szCs w:val="24"/>
        </w:rPr>
        <w:t>(p</w:t>
      </w:r>
      <w:r w:rsidR="00786367" w:rsidRPr="000E1C9C">
        <w:rPr>
          <w:szCs w:val="24"/>
        </w:rPr>
        <w:t>reviously considered by the PBAC in November 2018)</w:t>
      </w:r>
      <w:r w:rsidRPr="000E1C9C">
        <w:rPr>
          <w:szCs w:val="24"/>
        </w:rPr>
        <w:t xml:space="preserve">. In Study 145 </w:t>
      </w:r>
      <w:r w:rsidR="00786367" w:rsidRPr="000E1C9C">
        <w:rPr>
          <w:szCs w:val="24"/>
        </w:rPr>
        <w:t>90% of patients</w:t>
      </w:r>
      <w:r w:rsidR="00786367">
        <w:rPr>
          <w:szCs w:val="24"/>
        </w:rPr>
        <w:t xml:space="preserve"> </w:t>
      </w:r>
      <w:r w:rsidR="00823D4B">
        <w:rPr>
          <w:szCs w:val="24"/>
        </w:rPr>
        <w:t>had spasticity</w:t>
      </w:r>
      <w:r w:rsidR="00786367">
        <w:rPr>
          <w:szCs w:val="24"/>
        </w:rPr>
        <w:t xml:space="preserve"> post-stroke, with approximately 10% suffering from spasticity due to a traumatic brain injury.</w:t>
      </w:r>
    </w:p>
    <w:p w:rsidR="00FE7411" w:rsidRPr="00891BD0" w:rsidRDefault="00FE7411" w:rsidP="00B368B3">
      <w:pPr>
        <w:pStyle w:val="3Bodytext"/>
        <w:numPr>
          <w:ilvl w:val="1"/>
          <w:numId w:val="5"/>
        </w:numPr>
        <w:rPr>
          <w:color w:val="FF0000"/>
          <w:szCs w:val="24"/>
        </w:rPr>
      </w:pPr>
      <w:r>
        <w:t xml:space="preserve">The PBAC considered the studies </w:t>
      </w:r>
      <w:r w:rsidR="00634FFC">
        <w:t>demonstrated</w:t>
      </w:r>
      <w:r>
        <w:t xml:space="preserve"> varying levels of improvement v</w:t>
      </w:r>
      <w:r w:rsidR="00634FFC">
        <w:t>ersu</w:t>
      </w:r>
      <w:r>
        <w:t xml:space="preserve">s placebo. The PBAC </w:t>
      </w:r>
      <w:r w:rsidR="0051540A">
        <w:t>noted</w:t>
      </w:r>
      <w:r>
        <w:t xml:space="preserve"> </w:t>
      </w:r>
      <w:r w:rsidR="0051540A">
        <w:t xml:space="preserve">that it </w:t>
      </w:r>
      <w:r w:rsidR="00634FFC">
        <w:t>was</w:t>
      </w:r>
      <w:r w:rsidR="0051540A">
        <w:t xml:space="preserve"> not feasible</w:t>
      </w:r>
      <w:r>
        <w:t xml:space="preserve"> to conduct </w:t>
      </w:r>
      <w:r w:rsidR="00634FFC">
        <w:t xml:space="preserve">an </w:t>
      </w:r>
      <w:r>
        <w:t xml:space="preserve">indirect comparison </w:t>
      </w:r>
      <w:r w:rsidR="00634FFC">
        <w:t xml:space="preserve">between </w:t>
      </w:r>
      <w:r>
        <w:t>BOTOX</w:t>
      </w:r>
      <w:r w:rsidR="00634FFC">
        <w:rPr>
          <w:rFonts w:cstheme="minorHAnsi"/>
        </w:rPr>
        <w:t>®</w:t>
      </w:r>
      <w:r>
        <w:t xml:space="preserve"> and Dysport</w:t>
      </w:r>
      <w:r w:rsidR="00634FFC">
        <w:rPr>
          <w:rFonts w:cstheme="minorHAnsi"/>
        </w:rPr>
        <w:t>®</w:t>
      </w:r>
      <w:r>
        <w:t xml:space="preserve"> due to small patient numbers</w:t>
      </w:r>
      <w:r w:rsidR="00634FFC">
        <w:t xml:space="preserve"> and </w:t>
      </w:r>
      <w:r>
        <w:t xml:space="preserve">varying patient </w:t>
      </w:r>
      <w:r w:rsidR="00634FFC">
        <w:t xml:space="preserve">and trial </w:t>
      </w:r>
      <w:r>
        <w:t>characteristics.</w:t>
      </w:r>
    </w:p>
    <w:p w:rsidR="00786367" w:rsidRPr="00FE7411" w:rsidRDefault="00786367" w:rsidP="00B368B3">
      <w:pPr>
        <w:pStyle w:val="3Bodytext"/>
        <w:numPr>
          <w:ilvl w:val="1"/>
          <w:numId w:val="5"/>
        </w:numPr>
        <w:rPr>
          <w:color w:val="BB15BB"/>
          <w:szCs w:val="24"/>
        </w:rPr>
      </w:pPr>
      <w:r w:rsidRPr="00FE7411">
        <w:t>The PBAC has previously considered that despite the lack of clinical trials in aetiologies other than stroke, the request to extend the listing of botulinum toxins to include acute events was reasonable and biologically plausible (paragraph 5.2, Botox</w:t>
      </w:r>
      <w:r w:rsidRPr="00FE7411">
        <w:rPr>
          <w:rFonts w:cstheme="minorHAnsi"/>
        </w:rPr>
        <w:t>®</w:t>
      </w:r>
      <w:r w:rsidRPr="00FE7411">
        <w:t xml:space="preserve"> PSD, March 2019; paragraph 7.2, Dysport</w:t>
      </w:r>
      <w:r w:rsidRPr="00FE7411">
        <w:rPr>
          <w:rFonts w:cstheme="minorHAnsi"/>
        </w:rPr>
        <w:t>®</w:t>
      </w:r>
      <w:r w:rsidRPr="00FE7411">
        <w:t xml:space="preserve"> PSD, July 2019). </w:t>
      </w:r>
    </w:p>
    <w:p w:rsidR="0079690A" w:rsidRPr="00151458" w:rsidRDefault="0079690A" w:rsidP="0015145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Claim</w:t>
      </w:r>
    </w:p>
    <w:p w:rsidR="00BD4D42" w:rsidRPr="00786367" w:rsidRDefault="00F86853" w:rsidP="00C7585B">
      <w:pPr>
        <w:pStyle w:val="3Bodytext"/>
        <w:numPr>
          <w:ilvl w:val="1"/>
          <w:numId w:val="5"/>
        </w:numPr>
        <w:rPr>
          <w:color w:val="FF0000"/>
          <w:szCs w:val="24"/>
        </w:rPr>
      </w:pPr>
      <w:r w:rsidRPr="00F86853">
        <w:t xml:space="preserve">The </w:t>
      </w:r>
      <w:r w:rsidR="00430FF4">
        <w:t xml:space="preserve">clinical claim was that </w:t>
      </w:r>
      <w:r w:rsidR="00634FFC">
        <w:t>for</w:t>
      </w:r>
      <w:r w:rsidR="00430FF4">
        <w:t xml:space="preserve"> patients with moderate to severe focal spasticity </w:t>
      </w:r>
      <w:r w:rsidR="0025398C">
        <w:t xml:space="preserve">of the upper limb following an acute event, </w:t>
      </w:r>
      <w:r w:rsidR="00FF76EF">
        <w:t>BOTOX®</w:t>
      </w:r>
      <w:r w:rsidRPr="00F86853">
        <w:t xml:space="preserve"> is non-inferior to </w:t>
      </w:r>
      <w:r w:rsidR="00E45296">
        <w:t xml:space="preserve">Dysport® </w:t>
      </w:r>
      <w:r w:rsidRPr="00F86853">
        <w:t xml:space="preserve">in </w:t>
      </w:r>
      <w:r w:rsidR="0025398C">
        <w:t xml:space="preserve">terms of </w:t>
      </w:r>
      <w:r w:rsidRPr="00F86853">
        <w:t>efficacy and safety</w:t>
      </w:r>
      <w:r w:rsidR="00E54ECC">
        <w:t>.</w:t>
      </w:r>
      <w:r w:rsidRPr="00F86853">
        <w:t xml:space="preserve"> </w:t>
      </w:r>
    </w:p>
    <w:p w:rsidR="00786367" w:rsidRPr="00DF2235" w:rsidRDefault="00786367" w:rsidP="00A40F14">
      <w:pPr>
        <w:pStyle w:val="3Bodytext"/>
        <w:numPr>
          <w:ilvl w:val="1"/>
          <w:numId w:val="5"/>
        </w:numPr>
        <w:rPr>
          <w:color w:val="FF0000"/>
          <w:szCs w:val="24"/>
        </w:rPr>
      </w:pPr>
      <w:r>
        <w:t xml:space="preserve">The minor submission noted that the PBAC has previously considered that BOTOX was </w:t>
      </w:r>
      <w:r w:rsidR="00714D5A">
        <w:t>no worse in terms of effectiveness and had similar toxicity</w:t>
      </w:r>
      <w:r>
        <w:t xml:space="preserve"> to Dysport in post-stroke upper limb spasticity (Section 9, BOTOX</w:t>
      </w:r>
      <w:r w:rsidR="00823D4B">
        <w:rPr>
          <w:rFonts w:cstheme="minorHAnsi"/>
          <w:szCs w:val="24"/>
        </w:rPr>
        <w:t>®</w:t>
      </w:r>
      <w:r>
        <w:t xml:space="preserve"> PSD, July 2008).</w:t>
      </w:r>
    </w:p>
    <w:p w:rsidR="00DF2235" w:rsidRPr="00DF2235" w:rsidRDefault="00DF2235" w:rsidP="00B27B95">
      <w:pPr>
        <w:pStyle w:val="3Bodytext"/>
        <w:numPr>
          <w:ilvl w:val="1"/>
          <w:numId w:val="5"/>
        </w:numPr>
        <w:rPr>
          <w:szCs w:val="24"/>
        </w:rPr>
      </w:pPr>
      <w:r w:rsidRPr="00DF2235">
        <w:rPr>
          <w:szCs w:val="24"/>
        </w:rPr>
        <w:t xml:space="preserve">The PBAC considered that the claim </w:t>
      </w:r>
      <w:r w:rsidR="00634FFC">
        <w:rPr>
          <w:szCs w:val="24"/>
        </w:rPr>
        <w:t>that BOTOX</w:t>
      </w:r>
      <w:r w:rsidR="00634FFC">
        <w:rPr>
          <w:rFonts w:cstheme="minorHAnsi"/>
          <w:szCs w:val="24"/>
        </w:rPr>
        <w:t>®</w:t>
      </w:r>
      <w:r w:rsidR="00634FFC">
        <w:rPr>
          <w:szCs w:val="24"/>
        </w:rPr>
        <w:t xml:space="preserve"> was </w:t>
      </w:r>
      <w:r w:rsidRPr="00DF2235">
        <w:rPr>
          <w:szCs w:val="24"/>
        </w:rPr>
        <w:t xml:space="preserve">non-inferior </w:t>
      </w:r>
      <w:r w:rsidR="00634FFC">
        <w:rPr>
          <w:szCs w:val="24"/>
        </w:rPr>
        <w:t>to Dysport</w:t>
      </w:r>
      <w:r w:rsidR="00B36D2A">
        <w:rPr>
          <w:rFonts w:cstheme="minorHAnsi"/>
          <w:szCs w:val="24"/>
        </w:rPr>
        <w:t>®</w:t>
      </w:r>
      <w:r w:rsidR="00634FFC">
        <w:rPr>
          <w:szCs w:val="24"/>
        </w:rPr>
        <w:t xml:space="preserve"> in terms of </w:t>
      </w:r>
      <w:r w:rsidRPr="00DF2235">
        <w:rPr>
          <w:szCs w:val="24"/>
        </w:rPr>
        <w:t xml:space="preserve">comparative </w:t>
      </w:r>
      <w:r w:rsidR="00B36D2A">
        <w:rPr>
          <w:szCs w:val="24"/>
        </w:rPr>
        <w:t xml:space="preserve">efficacy and </w:t>
      </w:r>
      <w:r w:rsidRPr="00DF2235">
        <w:rPr>
          <w:szCs w:val="24"/>
        </w:rPr>
        <w:t xml:space="preserve">safety </w:t>
      </w:r>
      <w:r w:rsidR="00B36D2A">
        <w:rPr>
          <w:szCs w:val="24"/>
        </w:rPr>
        <w:t xml:space="preserve">following an acute event </w:t>
      </w:r>
      <w:r w:rsidRPr="00DF2235">
        <w:rPr>
          <w:szCs w:val="24"/>
        </w:rPr>
        <w:t xml:space="preserve">was </w:t>
      </w:r>
      <w:r w:rsidR="00F43C09">
        <w:rPr>
          <w:szCs w:val="24"/>
        </w:rPr>
        <w:t xml:space="preserve">likely to be </w:t>
      </w:r>
      <w:r w:rsidRPr="00DF2235">
        <w:rPr>
          <w:szCs w:val="24"/>
        </w:rPr>
        <w:t>reasonable</w:t>
      </w:r>
      <w:r w:rsidR="00B36D2A">
        <w:rPr>
          <w:szCs w:val="24"/>
        </w:rPr>
        <w:t xml:space="preserve"> given the established interchangeability in post-stroke upper limb </w:t>
      </w:r>
      <w:r w:rsidR="00E33BD6">
        <w:rPr>
          <w:szCs w:val="24"/>
        </w:rPr>
        <w:t xml:space="preserve">focal </w:t>
      </w:r>
      <w:r w:rsidR="00B36D2A">
        <w:rPr>
          <w:szCs w:val="24"/>
        </w:rPr>
        <w:t>spasticity</w:t>
      </w:r>
      <w:r w:rsidR="00516D7E">
        <w:rPr>
          <w:szCs w:val="24"/>
        </w:rPr>
        <w:t>.</w:t>
      </w:r>
    </w:p>
    <w:p w:rsidR="0018446E" w:rsidRPr="0018446E" w:rsidRDefault="0079690A" w:rsidP="0018446E">
      <w:pPr>
        <w:pStyle w:val="Heading2"/>
        <w:keepLines/>
        <w:spacing w:before="240" w:after="120"/>
        <w:rPr>
          <w:rFonts w:asciiTheme="minorHAnsi" w:eastAsiaTheme="majorEastAsia" w:hAnsiTheme="minorHAnsi" w:cstheme="majorBidi"/>
          <w:sz w:val="28"/>
          <w:szCs w:val="28"/>
          <w:lang w:eastAsia="en-US"/>
        </w:rPr>
      </w:pPr>
      <w:r w:rsidRPr="0079690A">
        <w:rPr>
          <w:rFonts w:asciiTheme="minorHAnsi" w:eastAsiaTheme="majorEastAsia" w:hAnsiTheme="minorHAnsi" w:cstheme="majorBidi"/>
          <w:sz w:val="28"/>
          <w:szCs w:val="28"/>
          <w:lang w:eastAsia="en-US"/>
        </w:rPr>
        <w:t>Economic analysis</w:t>
      </w:r>
    </w:p>
    <w:p w:rsidR="00714D5A" w:rsidRPr="00714D5A" w:rsidRDefault="00714D5A" w:rsidP="00714D5A">
      <w:pPr>
        <w:pStyle w:val="Bodytextitalics"/>
        <w:numPr>
          <w:ilvl w:val="1"/>
          <w:numId w:val="5"/>
        </w:numPr>
        <w:jc w:val="both"/>
        <w:rPr>
          <w:rFonts w:cstheme="minorHAnsi"/>
          <w:i w:val="0"/>
          <w:szCs w:val="24"/>
        </w:rPr>
      </w:pPr>
      <w:r>
        <w:rPr>
          <w:rFonts w:cstheme="minorHAnsi"/>
          <w:i w:val="0"/>
          <w:szCs w:val="24"/>
        </w:rPr>
        <w:t>The minor submission presented a cost-minimisation analysis of BOTOX® compared with Dysport®.</w:t>
      </w:r>
      <w:r w:rsidR="00BA3B10">
        <w:rPr>
          <w:rFonts w:cstheme="minorHAnsi"/>
          <w:i w:val="0"/>
          <w:szCs w:val="24"/>
        </w:rPr>
        <w:t xml:space="preserve"> </w:t>
      </w:r>
    </w:p>
    <w:p w:rsidR="00714D5A" w:rsidRPr="00714D5A" w:rsidRDefault="0018446E" w:rsidP="00714D5A">
      <w:pPr>
        <w:pStyle w:val="Bodytextitalics"/>
        <w:numPr>
          <w:ilvl w:val="1"/>
          <w:numId w:val="5"/>
        </w:numPr>
        <w:jc w:val="both"/>
        <w:rPr>
          <w:rFonts w:cstheme="minorHAnsi"/>
          <w:i w:val="0"/>
          <w:szCs w:val="24"/>
        </w:rPr>
      </w:pPr>
      <w:r w:rsidRPr="00B1527B">
        <w:rPr>
          <w:rFonts w:eastAsia="Times New Roman" w:cstheme="minorHAnsi"/>
          <w:i w:val="0"/>
          <w:snapToGrid w:val="0"/>
          <w:szCs w:val="24"/>
          <w:lang w:eastAsia="en-US"/>
        </w:rPr>
        <w:t xml:space="preserve">The </w:t>
      </w:r>
      <w:r w:rsidR="00714D5A">
        <w:rPr>
          <w:rFonts w:eastAsia="Times New Roman" w:cstheme="minorHAnsi"/>
          <w:i w:val="0"/>
          <w:snapToGrid w:val="0"/>
          <w:szCs w:val="24"/>
          <w:lang w:eastAsia="en-US"/>
        </w:rPr>
        <w:t xml:space="preserve">equi-effective doses were estimated </w:t>
      </w:r>
      <w:r w:rsidR="00823D4B">
        <w:rPr>
          <w:rFonts w:eastAsia="Times New Roman" w:cstheme="minorHAnsi"/>
          <w:i w:val="0"/>
          <w:snapToGrid w:val="0"/>
          <w:szCs w:val="24"/>
          <w:lang w:eastAsia="en-US"/>
        </w:rPr>
        <w:t xml:space="preserve">in the minor submission </w:t>
      </w:r>
      <w:r w:rsidR="00714D5A">
        <w:rPr>
          <w:rFonts w:eastAsia="Times New Roman" w:cstheme="minorHAnsi"/>
          <w:i w:val="0"/>
          <w:snapToGrid w:val="0"/>
          <w:szCs w:val="24"/>
          <w:lang w:eastAsia="en-US"/>
        </w:rPr>
        <w:t>as:</w:t>
      </w:r>
    </w:p>
    <w:p w:rsidR="00714D5A" w:rsidRDefault="00714D5A" w:rsidP="00714D5A">
      <w:pPr>
        <w:pStyle w:val="Bodytextitalics"/>
        <w:ind w:left="1440" w:firstLine="0"/>
        <w:jc w:val="both"/>
        <w:rPr>
          <w:rFonts w:cstheme="minorHAnsi"/>
          <w:i w:val="0"/>
          <w:szCs w:val="24"/>
        </w:rPr>
      </w:pPr>
      <w:r>
        <w:rPr>
          <w:rFonts w:cstheme="minorHAnsi"/>
          <w:i w:val="0"/>
          <w:szCs w:val="24"/>
        </w:rPr>
        <w:t>BOTOX® 229U = Dysport® 989U; or</w:t>
      </w:r>
    </w:p>
    <w:p w:rsidR="00714D5A" w:rsidRPr="00714D5A" w:rsidRDefault="00714D5A" w:rsidP="00714D5A">
      <w:pPr>
        <w:pStyle w:val="Bodytextitalics"/>
        <w:ind w:left="1440" w:firstLine="0"/>
        <w:jc w:val="both"/>
        <w:rPr>
          <w:rFonts w:cstheme="minorHAnsi"/>
          <w:i w:val="0"/>
          <w:szCs w:val="24"/>
        </w:rPr>
      </w:pPr>
      <w:r>
        <w:rPr>
          <w:rFonts w:cstheme="minorHAnsi"/>
          <w:i w:val="0"/>
          <w:szCs w:val="24"/>
        </w:rPr>
        <w:t>BOTOX® 1U = Dysport® 4.3U</w:t>
      </w:r>
    </w:p>
    <w:p w:rsidR="00714D5A" w:rsidRPr="00714D5A" w:rsidRDefault="00714D5A" w:rsidP="00714D5A">
      <w:pPr>
        <w:pStyle w:val="Bodytextitalics"/>
        <w:numPr>
          <w:ilvl w:val="1"/>
          <w:numId w:val="5"/>
        </w:numPr>
        <w:jc w:val="both"/>
        <w:rPr>
          <w:rFonts w:cstheme="minorHAnsi"/>
          <w:i w:val="0"/>
          <w:szCs w:val="24"/>
        </w:rPr>
      </w:pPr>
      <w:r>
        <w:rPr>
          <w:rFonts w:eastAsia="Times New Roman" w:cstheme="minorHAnsi"/>
          <w:i w:val="0"/>
          <w:snapToGrid w:val="0"/>
          <w:szCs w:val="24"/>
          <w:lang w:eastAsia="en-US"/>
        </w:rPr>
        <w:t xml:space="preserve">This relativity was based on the previous PBAC recommendation in July 2008. </w:t>
      </w:r>
    </w:p>
    <w:p w:rsidR="00714D5A" w:rsidRPr="00714D5A" w:rsidRDefault="002B6168" w:rsidP="00714D5A">
      <w:pPr>
        <w:rPr>
          <w:rFonts w:ascii="Arial Narrow" w:hAnsi="Arial Narrow"/>
          <w:b/>
          <w:sz w:val="20"/>
          <w:szCs w:val="20"/>
        </w:rPr>
      </w:pPr>
      <w:r>
        <w:rPr>
          <w:rFonts w:ascii="Arial Narrow" w:hAnsi="Arial Narrow"/>
          <w:b/>
          <w:snapToGrid w:val="0"/>
          <w:sz w:val="20"/>
          <w:szCs w:val="20"/>
        </w:rPr>
        <w:t>Table 2</w:t>
      </w:r>
      <w:r w:rsidR="00714D5A" w:rsidRPr="00714D5A">
        <w:rPr>
          <w:rFonts w:ascii="Arial Narrow" w:hAnsi="Arial Narrow"/>
          <w:b/>
          <w:snapToGrid w:val="0"/>
          <w:sz w:val="20"/>
          <w:szCs w:val="20"/>
        </w:rPr>
        <w:t xml:space="preserve">: Equi-effective doses and dose relativities of </w:t>
      </w:r>
      <w:r w:rsidR="00714D5A">
        <w:rPr>
          <w:rFonts w:ascii="Arial Narrow" w:hAnsi="Arial Narrow"/>
          <w:b/>
          <w:snapToGrid w:val="0"/>
          <w:sz w:val="20"/>
          <w:szCs w:val="20"/>
        </w:rPr>
        <w:t>BOTOX</w:t>
      </w:r>
      <w:r w:rsidR="00714D5A" w:rsidRPr="00714D5A">
        <w:rPr>
          <w:rFonts w:ascii="Arial Narrow" w:hAnsi="Arial Narrow"/>
          <w:b/>
          <w:snapToGrid w:val="0"/>
          <w:sz w:val="20"/>
          <w:szCs w:val="20"/>
          <w:vertAlign w:val="superscript"/>
        </w:rPr>
        <w:t xml:space="preserve">® </w:t>
      </w:r>
      <w:r w:rsidR="00714D5A">
        <w:rPr>
          <w:rFonts w:ascii="Arial Narrow" w:hAnsi="Arial Narrow"/>
          <w:b/>
          <w:snapToGrid w:val="0"/>
          <w:sz w:val="20"/>
          <w:szCs w:val="20"/>
        </w:rPr>
        <w:t>and Dysport</w:t>
      </w:r>
      <w:r w:rsidR="00714D5A" w:rsidRPr="00714D5A">
        <w:rPr>
          <w:rFonts w:ascii="Arial Narrow" w:hAnsi="Arial Narrow"/>
          <w:b/>
          <w:snapToGrid w:val="0"/>
          <w:sz w:val="20"/>
          <w:szCs w:val="20"/>
          <w:vertAlign w:val="superscript"/>
        </w:rPr>
        <w:t>®</w:t>
      </w:r>
      <w:r w:rsidR="00714D5A">
        <w:rPr>
          <w:rFonts w:ascii="Arial Narrow" w:hAnsi="Arial Narrow"/>
          <w:b/>
          <w:snapToGrid w:val="0"/>
          <w:sz w:val="20"/>
          <w:szCs w:val="20"/>
        </w:rPr>
        <w:t xml:space="preserve"> </w:t>
      </w:r>
      <w:r w:rsidR="00B440C7">
        <w:rPr>
          <w:rFonts w:ascii="Arial Narrow" w:hAnsi="Arial Narrow"/>
          <w:b/>
          <w:snapToGrid w:val="0"/>
          <w:sz w:val="20"/>
          <w:szCs w:val="20"/>
        </w:rPr>
        <w:t xml:space="preserve">previously accepted by the PBAC </w:t>
      </w:r>
      <w:r w:rsidR="00714D5A" w:rsidRPr="00714D5A">
        <w:rPr>
          <w:rFonts w:ascii="Arial Narrow" w:hAnsi="Arial Narrow"/>
          <w:b/>
          <w:snapToGrid w:val="0"/>
          <w:sz w:val="20"/>
          <w:szCs w:val="20"/>
        </w:rPr>
        <w:t>for the upper limb spasticity indication</w:t>
      </w:r>
    </w:p>
    <w:tbl>
      <w:tblPr>
        <w:tblStyle w:val="TableGrid"/>
        <w:tblW w:w="5000" w:type="pct"/>
        <w:tblLayout w:type="fixed"/>
        <w:tblLook w:val="04A0" w:firstRow="1" w:lastRow="0" w:firstColumn="1" w:lastColumn="0" w:noHBand="0" w:noVBand="1"/>
        <w:tblCaption w:val="Table 2: Equi-effective doses and dose relativities of BOTOX® and Dysport® previously accepted by the PBAC for the upper limb spasticity indication"/>
      </w:tblPr>
      <w:tblGrid>
        <w:gridCol w:w="1697"/>
        <w:gridCol w:w="1277"/>
        <w:gridCol w:w="3258"/>
        <w:gridCol w:w="992"/>
        <w:gridCol w:w="1792"/>
      </w:tblGrid>
      <w:tr w:rsidR="00714D5A" w:rsidRPr="00B06942" w:rsidTr="0098482B">
        <w:trPr>
          <w:tblHeader/>
        </w:trPr>
        <w:tc>
          <w:tcPr>
            <w:tcW w:w="941" w:type="pct"/>
            <w:tcMar>
              <w:left w:w="28" w:type="dxa"/>
              <w:right w:w="28" w:type="dxa"/>
            </w:tcMar>
          </w:tcPr>
          <w:p w:rsidR="00714D5A" w:rsidRPr="00B06942" w:rsidRDefault="00714D5A" w:rsidP="009B2167">
            <w:pPr>
              <w:pStyle w:val="TableText0"/>
              <w:keepNext/>
              <w:rPr>
                <w:b/>
                <w:bCs/>
              </w:rPr>
            </w:pPr>
          </w:p>
        </w:tc>
        <w:tc>
          <w:tcPr>
            <w:tcW w:w="708" w:type="pct"/>
            <w:tcMar>
              <w:left w:w="28" w:type="dxa"/>
              <w:right w:w="28" w:type="dxa"/>
            </w:tcMar>
          </w:tcPr>
          <w:p w:rsidR="00714D5A" w:rsidRDefault="00714D5A" w:rsidP="009B2167">
            <w:pPr>
              <w:pStyle w:val="TableText0"/>
              <w:keepNext/>
              <w:jc w:val="center"/>
              <w:rPr>
                <w:b/>
                <w:bCs/>
              </w:rPr>
            </w:pPr>
            <w:r>
              <w:rPr>
                <w:b/>
                <w:bCs/>
              </w:rPr>
              <w:t>PBAC meeting</w:t>
            </w:r>
          </w:p>
        </w:tc>
        <w:tc>
          <w:tcPr>
            <w:tcW w:w="1807" w:type="pct"/>
            <w:tcMar>
              <w:left w:w="28" w:type="dxa"/>
              <w:right w:w="28" w:type="dxa"/>
            </w:tcMar>
          </w:tcPr>
          <w:p w:rsidR="00714D5A" w:rsidRPr="00B06942" w:rsidRDefault="00714D5A" w:rsidP="009B2167">
            <w:pPr>
              <w:pStyle w:val="TableText0"/>
              <w:keepNext/>
              <w:jc w:val="center"/>
              <w:rPr>
                <w:b/>
                <w:bCs/>
              </w:rPr>
            </w:pPr>
            <w:r>
              <w:rPr>
                <w:b/>
                <w:bCs/>
              </w:rPr>
              <w:t>Equi-</w:t>
            </w:r>
            <w:r w:rsidRPr="00B06942">
              <w:rPr>
                <w:b/>
                <w:bCs/>
              </w:rPr>
              <w:t>effe</w:t>
            </w:r>
            <w:r>
              <w:rPr>
                <w:b/>
                <w:bCs/>
              </w:rPr>
              <w:t>c</w:t>
            </w:r>
            <w:r w:rsidRPr="00B06942">
              <w:rPr>
                <w:b/>
                <w:bCs/>
              </w:rPr>
              <w:t>tive dose</w:t>
            </w:r>
            <w:r>
              <w:rPr>
                <w:b/>
                <w:bCs/>
              </w:rPr>
              <w:t>s</w:t>
            </w:r>
          </w:p>
        </w:tc>
        <w:tc>
          <w:tcPr>
            <w:tcW w:w="550" w:type="pct"/>
            <w:tcMar>
              <w:left w:w="28" w:type="dxa"/>
              <w:right w:w="28" w:type="dxa"/>
            </w:tcMar>
          </w:tcPr>
          <w:p w:rsidR="00714D5A" w:rsidRPr="00B06942" w:rsidRDefault="00714D5A" w:rsidP="009B2167">
            <w:pPr>
              <w:pStyle w:val="TableText0"/>
              <w:keepNext/>
              <w:jc w:val="center"/>
              <w:rPr>
                <w:b/>
                <w:bCs/>
              </w:rPr>
            </w:pPr>
            <w:r w:rsidRPr="00B06942">
              <w:rPr>
                <w:b/>
                <w:bCs/>
              </w:rPr>
              <w:t>Dose relativities</w:t>
            </w:r>
          </w:p>
        </w:tc>
        <w:tc>
          <w:tcPr>
            <w:tcW w:w="994" w:type="pct"/>
            <w:tcMar>
              <w:left w:w="28" w:type="dxa"/>
              <w:right w:w="28" w:type="dxa"/>
            </w:tcMar>
          </w:tcPr>
          <w:p w:rsidR="00714D5A" w:rsidRPr="00B06942" w:rsidRDefault="00714D5A" w:rsidP="009B2167">
            <w:pPr>
              <w:pStyle w:val="TableText0"/>
              <w:keepNext/>
              <w:rPr>
                <w:b/>
                <w:bCs/>
              </w:rPr>
            </w:pPr>
            <w:r w:rsidRPr="00B06942">
              <w:rPr>
                <w:b/>
                <w:bCs/>
              </w:rPr>
              <w:t>Source</w:t>
            </w:r>
          </w:p>
        </w:tc>
      </w:tr>
      <w:tr w:rsidR="00714D5A" w:rsidTr="009B2167">
        <w:tc>
          <w:tcPr>
            <w:tcW w:w="941" w:type="pct"/>
            <w:tcMar>
              <w:left w:w="28" w:type="dxa"/>
              <w:right w:w="28" w:type="dxa"/>
            </w:tcMar>
          </w:tcPr>
          <w:p w:rsidR="00714D5A" w:rsidRDefault="00714D5A" w:rsidP="009B2167">
            <w:pPr>
              <w:pStyle w:val="TableText0"/>
              <w:keepNext/>
            </w:pPr>
            <w:r>
              <w:t>Botox</w:t>
            </w:r>
            <w:r w:rsidRPr="00994844">
              <w:rPr>
                <w:vertAlign w:val="superscript"/>
              </w:rPr>
              <w:t>®</w:t>
            </w:r>
            <w:r>
              <w:t xml:space="preserve"> vs. Dysport</w:t>
            </w:r>
            <w:r w:rsidRPr="002B7C2E">
              <w:rPr>
                <w:vertAlign w:val="superscript"/>
              </w:rPr>
              <w:t>®</w:t>
            </w:r>
          </w:p>
        </w:tc>
        <w:tc>
          <w:tcPr>
            <w:tcW w:w="708" w:type="pct"/>
            <w:tcMar>
              <w:left w:w="28" w:type="dxa"/>
              <w:right w:w="28" w:type="dxa"/>
            </w:tcMar>
          </w:tcPr>
          <w:p w:rsidR="00714D5A" w:rsidDel="00A843AD" w:rsidRDefault="00714D5A" w:rsidP="009B2167">
            <w:pPr>
              <w:pStyle w:val="TableText0"/>
              <w:keepNext/>
              <w:jc w:val="center"/>
            </w:pPr>
            <w:r>
              <w:t>July 2008</w:t>
            </w:r>
          </w:p>
        </w:tc>
        <w:tc>
          <w:tcPr>
            <w:tcW w:w="1807" w:type="pct"/>
            <w:tcMar>
              <w:left w:w="28" w:type="dxa"/>
              <w:right w:w="28" w:type="dxa"/>
            </w:tcMar>
          </w:tcPr>
          <w:p w:rsidR="00714D5A" w:rsidRDefault="00714D5A" w:rsidP="009B2167">
            <w:pPr>
              <w:pStyle w:val="TableText0"/>
              <w:keepNext/>
              <w:jc w:val="center"/>
            </w:pPr>
            <w:r>
              <w:t>Botox</w:t>
            </w:r>
            <w:r w:rsidRPr="002B7C2E">
              <w:rPr>
                <w:vertAlign w:val="superscript"/>
              </w:rPr>
              <w:t>®</w:t>
            </w:r>
            <w:r>
              <w:t xml:space="preserve"> </w:t>
            </w:r>
            <w:r w:rsidRPr="00D90647">
              <w:t xml:space="preserve">229U per treatment course </w:t>
            </w:r>
            <w:r>
              <w:t>=</w:t>
            </w:r>
            <w:r w:rsidRPr="00D90647">
              <w:t xml:space="preserve"> </w:t>
            </w:r>
            <w:r>
              <w:br/>
            </w:r>
            <w:r w:rsidRPr="00D90647">
              <w:t>Dysport</w:t>
            </w:r>
            <w:r w:rsidRPr="002B7C2E">
              <w:rPr>
                <w:vertAlign w:val="superscript"/>
              </w:rPr>
              <w:t>®</w:t>
            </w:r>
            <w:r w:rsidRPr="00D90647">
              <w:t xml:space="preserve"> 989U per treatment course</w:t>
            </w:r>
          </w:p>
        </w:tc>
        <w:tc>
          <w:tcPr>
            <w:tcW w:w="550" w:type="pct"/>
            <w:tcMar>
              <w:left w:w="28" w:type="dxa"/>
              <w:right w:w="28" w:type="dxa"/>
            </w:tcMar>
          </w:tcPr>
          <w:p w:rsidR="00714D5A" w:rsidRDefault="00714D5A" w:rsidP="009B2167">
            <w:pPr>
              <w:pStyle w:val="TableText0"/>
              <w:keepNext/>
              <w:jc w:val="center"/>
            </w:pPr>
            <w:r>
              <w:t>1:4.3</w:t>
            </w:r>
          </w:p>
        </w:tc>
        <w:tc>
          <w:tcPr>
            <w:tcW w:w="994" w:type="pct"/>
            <w:tcMar>
              <w:left w:w="28" w:type="dxa"/>
              <w:right w:w="28" w:type="dxa"/>
            </w:tcMar>
          </w:tcPr>
          <w:p w:rsidR="00714D5A" w:rsidRDefault="00714D5A" w:rsidP="009B2167">
            <w:pPr>
              <w:pStyle w:val="TableText0"/>
              <w:keepNext/>
            </w:pPr>
            <w:r>
              <w:t>Botox</w:t>
            </w:r>
            <w:r w:rsidRPr="002B7C2E">
              <w:rPr>
                <w:vertAlign w:val="superscript"/>
              </w:rPr>
              <w:t>®</w:t>
            </w:r>
            <w:r>
              <w:t xml:space="preserve"> PSD</w:t>
            </w:r>
            <w:r w:rsidR="00823D4B">
              <w:t>,</w:t>
            </w:r>
            <w:r>
              <w:t xml:space="preserve"> July 2008</w:t>
            </w:r>
          </w:p>
        </w:tc>
      </w:tr>
    </w:tbl>
    <w:p w:rsidR="00714D5A" w:rsidRDefault="00714D5A" w:rsidP="00714D5A">
      <w:pPr>
        <w:pStyle w:val="TableFooter"/>
      </w:pPr>
      <w:r>
        <w:t xml:space="preserve">PBAC = Pharmaceutical Benefits Committee; </w:t>
      </w:r>
      <w:r w:rsidR="00B440C7">
        <w:t xml:space="preserve">PSD = </w:t>
      </w:r>
      <w:r>
        <w:t>Public Summary Document</w:t>
      </w:r>
    </w:p>
    <w:p w:rsidR="00714D5A" w:rsidRPr="00714D5A" w:rsidRDefault="00714D5A" w:rsidP="00CD2A7A">
      <w:pPr>
        <w:rPr>
          <w:rFonts w:eastAsiaTheme="minorHAnsi"/>
        </w:rPr>
      </w:pPr>
    </w:p>
    <w:p w:rsidR="00C917B9" w:rsidRPr="000E1C9C" w:rsidRDefault="00C917B9" w:rsidP="00C917B9">
      <w:pPr>
        <w:pStyle w:val="Bodytextitalics"/>
        <w:numPr>
          <w:ilvl w:val="1"/>
          <w:numId w:val="5"/>
        </w:numPr>
        <w:jc w:val="both"/>
        <w:rPr>
          <w:i w:val="0"/>
        </w:rPr>
      </w:pPr>
      <w:r w:rsidRPr="000E1C9C">
        <w:rPr>
          <w:i w:val="0"/>
        </w:rPr>
        <w:lastRenderedPageBreak/>
        <w:t>However in July 2019, Dysport</w:t>
      </w:r>
      <w:r w:rsidRPr="000E1C9C">
        <w:rPr>
          <w:rFonts w:cstheme="minorHAnsi"/>
          <w:i w:val="0"/>
        </w:rPr>
        <w:t>®</w:t>
      </w:r>
      <w:r w:rsidRPr="000E1C9C">
        <w:rPr>
          <w:i w:val="0"/>
        </w:rPr>
        <w:t xml:space="preserve"> for the treatment of lower limb spasticity following an acute event was recommended based on a cost minimisation analysis with Botox</w:t>
      </w:r>
      <w:r w:rsidRPr="000E1C9C">
        <w:rPr>
          <w:rFonts w:cstheme="minorHAnsi"/>
          <w:i w:val="0"/>
        </w:rPr>
        <w:t>®</w:t>
      </w:r>
      <w:r w:rsidRPr="000E1C9C">
        <w:rPr>
          <w:i w:val="0"/>
        </w:rPr>
        <w:t>, in which the PBAC considered that the equi-effective doses of Dysport</w:t>
      </w:r>
      <w:r w:rsidRPr="000E1C9C">
        <w:rPr>
          <w:rFonts w:cstheme="minorHAnsi"/>
          <w:i w:val="0"/>
        </w:rPr>
        <w:t>®</w:t>
      </w:r>
      <w:r w:rsidRPr="000E1C9C">
        <w:rPr>
          <w:i w:val="0"/>
        </w:rPr>
        <w:t xml:space="preserve"> and Botox</w:t>
      </w:r>
      <w:r w:rsidRPr="000E1C9C">
        <w:rPr>
          <w:rFonts w:cstheme="minorHAnsi"/>
          <w:i w:val="0"/>
        </w:rPr>
        <w:t>®</w:t>
      </w:r>
      <w:r w:rsidRPr="000E1C9C">
        <w:rPr>
          <w:i w:val="0"/>
        </w:rPr>
        <w:t xml:space="preserve"> should be based on the maximum dispensed quantities which would result in equivalent treatment costs per cycle, that is:</w:t>
      </w:r>
    </w:p>
    <w:p w:rsidR="00C917B9" w:rsidRPr="000E1C9C" w:rsidRDefault="00C917B9" w:rsidP="00C917B9">
      <w:pPr>
        <w:pStyle w:val="Bodytextitalics"/>
        <w:ind w:left="1440" w:firstLine="0"/>
        <w:jc w:val="both"/>
        <w:rPr>
          <w:i w:val="0"/>
        </w:rPr>
      </w:pPr>
      <w:r w:rsidRPr="000E1C9C">
        <w:rPr>
          <w:i w:val="0"/>
        </w:rPr>
        <w:t>Dysport</w:t>
      </w:r>
      <w:r w:rsidRPr="000E1C9C">
        <w:rPr>
          <w:rFonts w:cstheme="minorHAnsi"/>
          <w:i w:val="0"/>
        </w:rPr>
        <w:t>®</w:t>
      </w:r>
      <w:r w:rsidRPr="000E1C9C">
        <w:rPr>
          <w:i w:val="0"/>
        </w:rPr>
        <w:t xml:space="preserve"> 3.75U = Botox</w:t>
      </w:r>
      <w:r w:rsidRPr="000E1C9C">
        <w:rPr>
          <w:rFonts w:cstheme="minorHAnsi"/>
          <w:i w:val="0"/>
        </w:rPr>
        <w:t>®</w:t>
      </w:r>
      <w:r w:rsidRPr="000E1C9C">
        <w:rPr>
          <w:i w:val="0"/>
        </w:rPr>
        <w:t xml:space="preserve"> 1U (i.e. Dysport</w:t>
      </w:r>
      <w:r w:rsidRPr="000E1C9C">
        <w:rPr>
          <w:rFonts w:cstheme="minorHAnsi"/>
          <w:i w:val="0"/>
        </w:rPr>
        <w:t>®</w:t>
      </w:r>
      <w:r w:rsidRPr="000E1C9C">
        <w:rPr>
          <w:i w:val="0"/>
        </w:rPr>
        <w:t xml:space="preserve"> 1,500U = Botox</w:t>
      </w:r>
      <w:r w:rsidRPr="000E1C9C">
        <w:rPr>
          <w:rFonts w:cstheme="minorHAnsi"/>
          <w:i w:val="0"/>
        </w:rPr>
        <w:t>®</w:t>
      </w:r>
      <w:r w:rsidRPr="000E1C9C">
        <w:rPr>
          <w:i w:val="0"/>
        </w:rPr>
        <w:t xml:space="preserve"> 400U)</w:t>
      </w:r>
    </w:p>
    <w:p w:rsidR="00C917B9" w:rsidRPr="000E1C9C" w:rsidRDefault="00C917B9" w:rsidP="00C917B9">
      <w:pPr>
        <w:pStyle w:val="Bodytextitalics"/>
        <w:numPr>
          <w:ilvl w:val="1"/>
          <w:numId w:val="5"/>
        </w:numPr>
        <w:jc w:val="both"/>
        <w:rPr>
          <w:i w:val="0"/>
        </w:rPr>
      </w:pPr>
      <w:r w:rsidRPr="000E1C9C">
        <w:rPr>
          <w:i w:val="0"/>
        </w:rPr>
        <w:t xml:space="preserve">In addition, the PBAC has previously considered that the extent to which the potential use of </w:t>
      </w:r>
      <w:r w:rsidR="00823D4B">
        <w:rPr>
          <w:i w:val="0"/>
        </w:rPr>
        <w:t>botulinum toxin</w:t>
      </w:r>
      <w:r w:rsidRPr="000E1C9C">
        <w:rPr>
          <w:i w:val="0"/>
        </w:rPr>
        <w:t xml:space="preserve"> in both the upper and lower limbs in the same patient would affect utilisation, cost effectiveness and the financial implications remained uncertain. The PBAC was therefore of the view that any pricing arrangement for these indications should take these uncertainties into account by implementing a single price across these conditions (paragraphs 5.9 and 5.10, Botox</w:t>
      </w:r>
      <w:r w:rsidRPr="000E1C9C">
        <w:rPr>
          <w:rFonts w:cstheme="minorHAnsi"/>
          <w:i w:val="0"/>
        </w:rPr>
        <w:t>®</w:t>
      </w:r>
      <w:r w:rsidRPr="000E1C9C">
        <w:rPr>
          <w:i w:val="0"/>
        </w:rPr>
        <w:t xml:space="preserve"> PSD, March 2019; paragraph 7.17, Dysport</w:t>
      </w:r>
      <w:r w:rsidRPr="000E1C9C">
        <w:rPr>
          <w:rFonts w:cstheme="minorHAnsi"/>
          <w:i w:val="0"/>
        </w:rPr>
        <w:t>®</w:t>
      </w:r>
      <w:r w:rsidRPr="000E1C9C">
        <w:rPr>
          <w:i w:val="0"/>
        </w:rPr>
        <w:t xml:space="preserve"> PSD, July 2019).</w:t>
      </w:r>
    </w:p>
    <w:p w:rsidR="00C917B9" w:rsidRPr="000E1C9C" w:rsidRDefault="00C917B9" w:rsidP="00C917B9">
      <w:pPr>
        <w:pStyle w:val="Bodytextitalics"/>
        <w:numPr>
          <w:ilvl w:val="1"/>
          <w:numId w:val="5"/>
        </w:numPr>
        <w:jc w:val="both"/>
        <w:rPr>
          <w:i w:val="0"/>
        </w:rPr>
      </w:pPr>
      <w:r w:rsidRPr="000E1C9C">
        <w:rPr>
          <w:i w:val="0"/>
        </w:rPr>
        <w:t>The maximum doses recommended in the approved Product Information leaflets and the maximum quantities approved on the PBS for upper and lower limb spasticity are outlined below.</w:t>
      </w:r>
    </w:p>
    <w:p w:rsidR="00C917B9" w:rsidRPr="000E1C9C" w:rsidRDefault="002B6168" w:rsidP="00C917B9">
      <w:pPr>
        <w:pStyle w:val="Bodytextitalics"/>
        <w:spacing w:after="0"/>
        <w:ind w:left="0" w:firstLine="0"/>
        <w:jc w:val="both"/>
        <w:rPr>
          <w:rFonts w:ascii="Arial Narrow" w:hAnsi="Arial Narrow"/>
          <w:b/>
          <w:i w:val="0"/>
          <w:sz w:val="20"/>
          <w:szCs w:val="20"/>
        </w:rPr>
      </w:pPr>
      <w:r w:rsidRPr="000E1C9C">
        <w:rPr>
          <w:rFonts w:ascii="Arial Narrow" w:hAnsi="Arial Narrow"/>
          <w:b/>
          <w:i w:val="0"/>
          <w:sz w:val="20"/>
          <w:szCs w:val="20"/>
        </w:rPr>
        <w:t>Table 3</w:t>
      </w:r>
      <w:r w:rsidR="00C917B9" w:rsidRPr="000E1C9C">
        <w:rPr>
          <w:rFonts w:ascii="Arial Narrow" w:hAnsi="Arial Narrow"/>
          <w:b/>
          <w:i w:val="0"/>
          <w:sz w:val="20"/>
          <w:szCs w:val="20"/>
        </w:rPr>
        <w:t>: Maximum doses and PBS quantities of botulinum toxin in ULFS and LLFS</w:t>
      </w:r>
    </w:p>
    <w:tbl>
      <w:tblPr>
        <w:tblStyle w:val="TableGrid"/>
        <w:tblW w:w="0" w:type="auto"/>
        <w:tblLook w:val="04A0" w:firstRow="1" w:lastRow="0" w:firstColumn="1" w:lastColumn="0" w:noHBand="0" w:noVBand="1"/>
        <w:tblCaption w:val="Table 3: Maximum doses and PBS quantities of botulinum toxin in ULFS and LLFS"/>
      </w:tblPr>
      <w:tblGrid>
        <w:gridCol w:w="988"/>
        <w:gridCol w:w="1275"/>
        <w:gridCol w:w="1418"/>
        <w:gridCol w:w="3554"/>
        <w:gridCol w:w="1781"/>
      </w:tblGrid>
      <w:tr w:rsidR="00C917B9" w:rsidRPr="000E1C9C" w:rsidTr="0098482B">
        <w:trPr>
          <w:tblHeader/>
        </w:trPr>
        <w:tc>
          <w:tcPr>
            <w:tcW w:w="988" w:type="dxa"/>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b/>
                <w:i w:val="0"/>
                <w:sz w:val="20"/>
                <w:szCs w:val="20"/>
              </w:rPr>
            </w:pPr>
            <w:r w:rsidRPr="000E1C9C">
              <w:rPr>
                <w:rFonts w:ascii="Arial Narrow" w:hAnsi="Arial Narrow"/>
                <w:b/>
                <w:i w:val="0"/>
                <w:sz w:val="20"/>
                <w:szCs w:val="20"/>
              </w:rPr>
              <w:t>Maximum PI dose</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b/>
                <w:i w:val="0"/>
                <w:sz w:val="20"/>
                <w:szCs w:val="20"/>
              </w:rPr>
            </w:pPr>
            <w:r w:rsidRPr="000E1C9C">
              <w:rPr>
                <w:rFonts w:ascii="Arial Narrow" w:hAnsi="Arial Narrow"/>
                <w:b/>
                <w:i w:val="0"/>
                <w:sz w:val="20"/>
                <w:szCs w:val="20"/>
              </w:rPr>
              <w:t>Maximum PBS quantity</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b/>
                <w:i w:val="0"/>
                <w:sz w:val="20"/>
                <w:szCs w:val="20"/>
              </w:rPr>
            </w:pPr>
            <w:r w:rsidRPr="000E1C9C">
              <w:rPr>
                <w:rFonts w:ascii="Arial Narrow" w:hAnsi="Arial Narrow"/>
                <w:b/>
                <w:i w:val="0"/>
                <w:sz w:val="20"/>
                <w:szCs w:val="20"/>
              </w:rPr>
              <w:t>Current/recommended/requested PBS listing</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b/>
                <w:i w:val="0"/>
                <w:sz w:val="20"/>
                <w:szCs w:val="20"/>
              </w:rPr>
            </w:pPr>
            <w:r w:rsidRPr="000E1C9C">
              <w:rPr>
                <w:rFonts w:ascii="Arial Narrow" w:hAnsi="Arial Narrow"/>
                <w:b/>
                <w:i w:val="0"/>
                <w:sz w:val="20"/>
                <w:szCs w:val="20"/>
              </w:rPr>
              <w:t>PBAC consideration</w:t>
            </w:r>
          </w:p>
        </w:tc>
      </w:tr>
      <w:tr w:rsidR="00C917B9" w:rsidRPr="000E1C9C" w:rsidTr="00AD74BB">
        <w:tc>
          <w:tcPr>
            <w:tcW w:w="988" w:type="dxa"/>
            <w:vMerge w:val="restart"/>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r w:rsidRPr="000E1C9C">
              <w:rPr>
                <w:rFonts w:ascii="Arial Narrow" w:hAnsi="Arial Narrow"/>
                <w:i w:val="0"/>
                <w:sz w:val="20"/>
                <w:szCs w:val="20"/>
              </w:rPr>
              <w:t>Dysport</w:t>
            </w:r>
            <w:r w:rsidRPr="000E1C9C">
              <w:rPr>
                <w:rFonts w:ascii="Arial Narrow" w:hAnsi="Arial Narrow"/>
                <w:i w:val="0"/>
                <w:sz w:val="20"/>
                <w:szCs w:val="20"/>
                <w:vertAlign w:val="superscript"/>
              </w:rPr>
              <w:t>®</w:t>
            </w: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ULFS = 1,000U</w:t>
            </w:r>
          </w:p>
          <w:p w:rsidR="00C917B9" w:rsidRPr="000E1C9C" w:rsidRDefault="00C917B9" w:rsidP="00AD74BB">
            <w:pPr>
              <w:pStyle w:val="Bodytextitalics"/>
              <w:spacing w:after="0"/>
              <w:ind w:left="0" w:firstLine="0"/>
              <w:jc w:val="center"/>
              <w:rPr>
                <w:rFonts w:ascii="Arial Narrow" w:hAnsi="Arial Narrow"/>
                <w:i w:val="0"/>
                <w:sz w:val="20"/>
                <w:szCs w:val="20"/>
              </w:rPr>
            </w:pP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300U x 4, or</w:t>
            </w:r>
          </w:p>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500U x 2</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Current PBS listing for ULFS after an acute event</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Recommended March 2019</w:t>
            </w:r>
          </w:p>
        </w:tc>
      </w:tr>
      <w:tr w:rsidR="00C917B9" w:rsidRPr="000E1C9C" w:rsidTr="00AD74BB">
        <w:tc>
          <w:tcPr>
            <w:tcW w:w="988" w:type="dxa"/>
            <w:vMerge/>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LLFS = 1,500U</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300U x 5, or</w:t>
            </w:r>
          </w:p>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500U x 3</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Recommended PBS listing for LLFS after an acute event</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Recommended July 2019</w:t>
            </w:r>
          </w:p>
        </w:tc>
      </w:tr>
      <w:tr w:rsidR="00C917B9" w:rsidRPr="000E1C9C" w:rsidTr="00AD74BB">
        <w:tc>
          <w:tcPr>
            <w:tcW w:w="988" w:type="dxa"/>
            <w:vMerge w:val="restart"/>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r w:rsidRPr="000E1C9C">
              <w:rPr>
                <w:rFonts w:ascii="Arial Narrow" w:hAnsi="Arial Narrow"/>
                <w:i w:val="0"/>
                <w:sz w:val="20"/>
                <w:szCs w:val="20"/>
              </w:rPr>
              <w:t>Botox</w:t>
            </w:r>
            <w:r w:rsidRPr="000E1C9C">
              <w:rPr>
                <w:rFonts w:ascii="Arial Narrow" w:hAnsi="Arial Narrow"/>
                <w:i w:val="0"/>
                <w:sz w:val="20"/>
                <w:szCs w:val="20"/>
                <w:vertAlign w:val="superscript"/>
              </w:rPr>
              <w:t>®</w:t>
            </w: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ULFS = 360U</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100U x 4</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Current/requested PBS listing for ULFS after a stroke/an acute event</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Requested November 2019</w:t>
            </w:r>
          </w:p>
        </w:tc>
      </w:tr>
      <w:tr w:rsidR="00C917B9" w:rsidRPr="000E1C9C" w:rsidTr="00AD74BB">
        <w:tc>
          <w:tcPr>
            <w:tcW w:w="988" w:type="dxa"/>
            <w:vMerge/>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LLFS = 400U</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100U x 4</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Current PBS listing for LLFS after an acute event</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Recommended March 2019</w:t>
            </w:r>
          </w:p>
        </w:tc>
      </w:tr>
      <w:tr w:rsidR="00C917B9" w:rsidRPr="000E1C9C" w:rsidTr="00AD74BB">
        <w:tc>
          <w:tcPr>
            <w:tcW w:w="988" w:type="dxa"/>
            <w:vMerge w:val="restart"/>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r w:rsidRPr="000E1C9C">
              <w:rPr>
                <w:rFonts w:ascii="Arial Narrow" w:hAnsi="Arial Narrow"/>
                <w:i w:val="0"/>
                <w:sz w:val="20"/>
                <w:szCs w:val="20"/>
              </w:rPr>
              <w:t>Xeomin</w:t>
            </w:r>
            <w:r w:rsidRPr="000E1C9C">
              <w:rPr>
                <w:rFonts w:ascii="Arial Narrow" w:hAnsi="Arial Narrow"/>
                <w:i w:val="0"/>
                <w:sz w:val="20"/>
                <w:szCs w:val="20"/>
                <w:vertAlign w:val="superscript"/>
              </w:rPr>
              <w:t>®</w:t>
            </w: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ULFS = 500U</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100U x 4</w:t>
            </w:r>
          </w:p>
        </w:tc>
        <w:tc>
          <w:tcPr>
            <w:tcW w:w="3554"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Current/requested PBS listing for ULFS after a stroke/an acute event</w:t>
            </w:r>
          </w:p>
        </w:tc>
        <w:tc>
          <w:tcPr>
            <w:tcW w:w="1781" w:type="dxa"/>
            <w:tcMar>
              <w:left w:w="28" w:type="dxa"/>
              <w:right w:w="28" w:type="dxa"/>
            </w:tcMar>
          </w:tcPr>
          <w:p w:rsidR="00C917B9" w:rsidRPr="000E1C9C" w:rsidRDefault="00C917B9" w:rsidP="00AD74BB">
            <w:pPr>
              <w:pStyle w:val="Bodytextitalics"/>
              <w:spacing w:after="0"/>
              <w:ind w:left="0" w:firstLine="0"/>
              <w:rPr>
                <w:rFonts w:ascii="Arial Narrow" w:hAnsi="Arial Narrow"/>
                <w:i w:val="0"/>
                <w:sz w:val="20"/>
                <w:szCs w:val="20"/>
              </w:rPr>
            </w:pPr>
            <w:r w:rsidRPr="000E1C9C">
              <w:rPr>
                <w:rFonts w:ascii="Arial Narrow" w:hAnsi="Arial Narrow"/>
                <w:i w:val="0"/>
                <w:sz w:val="20"/>
                <w:szCs w:val="20"/>
              </w:rPr>
              <w:t>Requested November 2019</w:t>
            </w:r>
          </w:p>
        </w:tc>
      </w:tr>
      <w:tr w:rsidR="00C917B9" w:rsidRPr="000E1C9C" w:rsidTr="00AD74BB">
        <w:tc>
          <w:tcPr>
            <w:tcW w:w="988" w:type="dxa"/>
            <w:vMerge/>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p>
        </w:tc>
        <w:tc>
          <w:tcPr>
            <w:tcW w:w="1275"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LLFS = NR</w:t>
            </w:r>
          </w:p>
        </w:tc>
        <w:tc>
          <w:tcPr>
            <w:tcW w:w="1418" w:type="dxa"/>
            <w:tcMar>
              <w:left w:w="28" w:type="dxa"/>
              <w:right w:w="28" w:type="dxa"/>
            </w:tcMar>
          </w:tcPr>
          <w:p w:rsidR="00C917B9" w:rsidRPr="000E1C9C" w:rsidRDefault="00C917B9" w:rsidP="00AD74BB">
            <w:pPr>
              <w:pStyle w:val="Bodytextitalics"/>
              <w:spacing w:after="0"/>
              <w:ind w:left="0" w:firstLine="0"/>
              <w:jc w:val="center"/>
              <w:rPr>
                <w:rFonts w:ascii="Arial Narrow" w:hAnsi="Arial Narrow"/>
                <w:i w:val="0"/>
                <w:sz w:val="20"/>
                <w:szCs w:val="20"/>
              </w:rPr>
            </w:pPr>
            <w:r w:rsidRPr="000E1C9C">
              <w:rPr>
                <w:rFonts w:ascii="Arial Narrow" w:hAnsi="Arial Narrow"/>
                <w:i w:val="0"/>
                <w:sz w:val="20"/>
                <w:szCs w:val="20"/>
              </w:rPr>
              <w:t>-</w:t>
            </w:r>
          </w:p>
        </w:tc>
        <w:tc>
          <w:tcPr>
            <w:tcW w:w="3554" w:type="dxa"/>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r w:rsidRPr="000E1C9C">
              <w:rPr>
                <w:rFonts w:ascii="Arial Narrow" w:hAnsi="Arial Narrow"/>
                <w:i w:val="0"/>
                <w:sz w:val="20"/>
                <w:szCs w:val="20"/>
              </w:rPr>
              <w:t>-</w:t>
            </w:r>
          </w:p>
        </w:tc>
        <w:tc>
          <w:tcPr>
            <w:tcW w:w="1781" w:type="dxa"/>
            <w:tcMar>
              <w:left w:w="28" w:type="dxa"/>
              <w:right w:w="28" w:type="dxa"/>
            </w:tcMar>
          </w:tcPr>
          <w:p w:rsidR="00C917B9" w:rsidRPr="000E1C9C" w:rsidRDefault="00C917B9" w:rsidP="00AD74BB">
            <w:pPr>
              <w:pStyle w:val="Bodytextitalics"/>
              <w:spacing w:after="0"/>
              <w:ind w:left="0" w:firstLine="0"/>
              <w:jc w:val="both"/>
              <w:rPr>
                <w:rFonts w:ascii="Arial Narrow" w:hAnsi="Arial Narrow"/>
                <w:i w:val="0"/>
                <w:sz w:val="20"/>
                <w:szCs w:val="20"/>
              </w:rPr>
            </w:pPr>
            <w:r w:rsidRPr="000E1C9C">
              <w:rPr>
                <w:rFonts w:ascii="Arial Narrow" w:hAnsi="Arial Narrow"/>
                <w:i w:val="0"/>
                <w:sz w:val="20"/>
                <w:szCs w:val="20"/>
              </w:rPr>
              <w:t>-</w:t>
            </w:r>
          </w:p>
        </w:tc>
      </w:tr>
    </w:tbl>
    <w:p w:rsidR="00C917B9" w:rsidRDefault="00C917B9" w:rsidP="00C917B9">
      <w:pPr>
        <w:pStyle w:val="TableFooter"/>
      </w:pPr>
      <w:r>
        <w:t xml:space="preserve">LLFS = lower limb focal spasticity; </w:t>
      </w:r>
      <w:r w:rsidR="00B440C7">
        <w:t xml:space="preserve">NR = not reported; </w:t>
      </w:r>
      <w:r>
        <w:t xml:space="preserve">PBAC = Pharmaceutical Benefits Advisory Committee; PBS = Pharmaceutical Benefits Scheme; </w:t>
      </w:r>
      <w:r w:rsidR="00B440C7">
        <w:t xml:space="preserve">PI = Product Information; </w:t>
      </w:r>
      <w:r>
        <w:t>ULFS = upper limb focal spasticity</w:t>
      </w:r>
    </w:p>
    <w:p w:rsidR="00C917B9" w:rsidRDefault="00C917B9" w:rsidP="00C917B9">
      <w:pPr>
        <w:pStyle w:val="TableFooter"/>
      </w:pPr>
      <w:r>
        <w:t>Source: Compiled by the Secretariat</w:t>
      </w:r>
    </w:p>
    <w:p w:rsidR="00C917B9" w:rsidRDefault="00C917B9" w:rsidP="00C917B9"/>
    <w:p w:rsidR="007474C5" w:rsidRPr="000E1C9C" w:rsidRDefault="00C917B9" w:rsidP="007474C5">
      <w:pPr>
        <w:pStyle w:val="Bodytextitalics"/>
        <w:numPr>
          <w:ilvl w:val="1"/>
          <w:numId w:val="5"/>
        </w:numPr>
        <w:jc w:val="both"/>
        <w:rPr>
          <w:i w:val="0"/>
        </w:rPr>
      </w:pPr>
      <w:r w:rsidRPr="000E1C9C">
        <w:rPr>
          <w:i w:val="0"/>
        </w:rPr>
        <w:t>Therefore, based on the July 2019 PBAC recommendation that Dysport</w:t>
      </w:r>
      <w:r w:rsidRPr="000E1C9C">
        <w:rPr>
          <w:rFonts w:cstheme="minorHAnsi"/>
          <w:i w:val="0"/>
        </w:rPr>
        <w:t>®</w:t>
      </w:r>
      <w:r w:rsidRPr="000E1C9C">
        <w:rPr>
          <w:i w:val="0"/>
        </w:rPr>
        <w:t xml:space="preserve"> 1,500U = Botox</w:t>
      </w:r>
      <w:r w:rsidRPr="000E1C9C">
        <w:rPr>
          <w:rFonts w:cstheme="minorHAnsi"/>
          <w:i w:val="0"/>
        </w:rPr>
        <w:t>®</w:t>
      </w:r>
      <w:r w:rsidRPr="000E1C9C">
        <w:rPr>
          <w:i w:val="0"/>
        </w:rPr>
        <w:t xml:space="preserve"> 400U, and the fact that the maximum PBS quantity for Botox</w:t>
      </w:r>
      <w:r w:rsidRPr="000E1C9C">
        <w:rPr>
          <w:rFonts w:cstheme="minorHAnsi"/>
          <w:i w:val="0"/>
        </w:rPr>
        <w:t>®</w:t>
      </w:r>
      <w:r w:rsidRPr="000E1C9C">
        <w:rPr>
          <w:i w:val="0"/>
        </w:rPr>
        <w:t xml:space="preserve"> in both the upper and lower limb restrictions is 400U, the PBAC </w:t>
      </w:r>
      <w:r w:rsidR="00B36D2A">
        <w:rPr>
          <w:i w:val="0"/>
        </w:rPr>
        <w:t>wa</w:t>
      </w:r>
      <w:r w:rsidRPr="000E1C9C">
        <w:rPr>
          <w:i w:val="0"/>
        </w:rPr>
        <w:t xml:space="preserve">s asked to consider if the equi-effective doses should be </w:t>
      </w:r>
      <w:r w:rsidR="00CF4194" w:rsidRPr="000E1C9C">
        <w:rPr>
          <w:i w:val="0"/>
        </w:rPr>
        <w:t>BOTOX</w:t>
      </w:r>
      <w:r w:rsidRPr="000E1C9C">
        <w:rPr>
          <w:rFonts w:cstheme="minorHAnsi"/>
          <w:i w:val="0"/>
        </w:rPr>
        <w:t>®</w:t>
      </w:r>
      <w:r w:rsidRPr="000E1C9C">
        <w:rPr>
          <w:i w:val="0"/>
        </w:rPr>
        <w:t xml:space="preserve"> 400U = Dysport</w:t>
      </w:r>
      <w:r w:rsidRPr="000E1C9C">
        <w:rPr>
          <w:rFonts w:cstheme="minorHAnsi"/>
          <w:i w:val="0"/>
        </w:rPr>
        <w:t>®</w:t>
      </w:r>
      <w:r w:rsidRPr="000E1C9C">
        <w:rPr>
          <w:i w:val="0"/>
        </w:rPr>
        <w:t xml:space="preserve"> 1,500U (i.e. </w:t>
      </w:r>
      <w:r w:rsidR="00CF4194" w:rsidRPr="000E1C9C">
        <w:rPr>
          <w:i w:val="0"/>
        </w:rPr>
        <w:t>BOTOX</w:t>
      </w:r>
      <w:r w:rsidRPr="000E1C9C">
        <w:rPr>
          <w:i w:val="0"/>
        </w:rPr>
        <w:t>® 1U = Dysport® 3.75U).</w:t>
      </w:r>
      <w:r w:rsidR="00E420B9">
        <w:rPr>
          <w:i w:val="0"/>
        </w:rPr>
        <w:t xml:space="preserve"> </w:t>
      </w:r>
      <w:r w:rsidR="00B36D2A">
        <w:rPr>
          <w:i w:val="0"/>
        </w:rPr>
        <w:t>In t</w:t>
      </w:r>
      <w:r w:rsidR="00E420B9">
        <w:rPr>
          <w:i w:val="0"/>
        </w:rPr>
        <w:t xml:space="preserve">he </w:t>
      </w:r>
      <w:r w:rsidR="007474C5">
        <w:rPr>
          <w:i w:val="0"/>
        </w:rPr>
        <w:t>pre-PBAC response, the sponsor reiterated that the dose relativity</w:t>
      </w:r>
      <w:r w:rsidR="00D10CD2" w:rsidRPr="00D10CD2">
        <w:rPr>
          <w:i w:val="0"/>
        </w:rPr>
        <w:t xml:space="preserve"> </w:t>
      </w:r>
      <w:r w:rsidR="00B36D2A">
        <w:rPr>
          <w:i w:val="0"/>
        </w:rPr>
        <w:t xml:space="preserve">should be </w:t>
      </w:r>
      <w:r w:rsidR="00D10CD2">
        <w:rPr>
          <w:i w:val="0"/>
        </w:rPr>
        <w:t>BOTOX</w:t>
      </w:r>
      <w:r w:rsidR="00B36D2A">
        <w:rPr>
          <w:rFonts w:cstheme="minorHAnsi"/>
          <w:i w:val="0"/>
        </w:rPr>
        <w:t>®</w:t>
      </w:r>
      <w:r w:rsidR="00823D4B">
        <w:rPr>
          <w:i w:val="0"/>
        </w:rPr>
        <w:t xml:space="preserve"> </w:t>
      </w:r>
      <w:r w:rsidR="00B36D2A">
        <w:rPr>
          <w:i w:val="0"/>
        </w:rPr>
        <w:t xml:space="preserve">1U = </w:t>
      </w:r>
      <w:r w:rsidR="00D10CD2" w:rsidRPr="000E1C9C">
        <w:rPr>
          <w:i w:val="0"/>
        </w:rPr>
        <w:t>Dysport</w:t>
      </w:r>
      <w:r w:rsidR="00D10CD2" w:rsidRPr="000E1C9C">
        <w:rPr>
          <w:rFonts w:cstheme="minorHAnsi"/>
          <w:i w:val="0"/>
        </w:rPr>
        <w:t>®</w:t>
      </w:r>
      <w:r w:rsidR="00D10CD2" w:rsidRPr="000E1C9C">
        <w:rPr>
          <w:i w:val="0"/>
        </w:rPr>
        <w:t xml:space="preserve"> </w:t>
      </w:r>
      <w:r w:rsidR="007474C5">
        <w:rPr>
          <w:i w:val="0"/>
        </w:rPr>
        <w:t>4.32</w:t>
      </w:r>
      <w:r w:rsidR="00B36D2A">
        <w:rPr>
          <w:i w:val="0"/>
        </w:rPr>
        <w:t xml:space="preserve">U </w:t>
      </w:r>
      <w:r w:rsidR="007474C5">
        <w:rPr>
          <w:i w:val="0"/>
        </w:rPr>
        <w:t>based on the upper limb relativity determined in July 2008</w:t>
      </w:r>
      <w:r w:rsidR="00823D4B">
        <w:rPr>
          <w:i w:val="0"/>
        </w:rPr>
        <w:t>.</w:t>
      </w:r>
    </w:p>
    <w:p w:rsidR="00FC3647" w:rsidRPr="008306F3" w:rsidRDefault="00FC3647" w:rsidP="00FC3647">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B34C22" w:rsidRPr="00361B9B" w:rsidRDefault="00B34C22" w:rsidP="00FC3647">
      <w:pPr>
        <w:pStyle w:val="3Bodytext"/>
        <w:numPr>
          <w:ilvl w:val="1"/>
          <w:numId w:val="5"/>
        </w:numPr>
        <w:rPr>
          <w:szCs w:val="24"/>
        </w:rPr>
      </w:pPr>
      <w:r w:rsidRPr="00361B9B">
        <w:rPr>
          <w:szCs w:val="24"/>
        </w:rPr>
        <w:t xml:space="preserve">The minor submission used a </w:t>
      </w:r>
      <w:r w:rsidR="00A83EAE">
        <w:rPr>
          <w:szCs w:val="24"/>
        </w:rPr>
        <w:t>hybrid</w:t>
      </w:r>
      <w:r w:rsidRPr="00361B9B">
        <w:rPr>
          <w:szCs w:val="24"/>
        </w:rPr>
        <w:t xml:space="preserve"> approach t</w:t>
      </w:r>
      <w:r w:rsidR="00A83EAE">
        <w:rPr>
          <w:szCs w:val="24"/>
        </w:rPr>
        <w:t>o estimate the financial impact</w:t>
      </w:r>
      <w:r w:rsidRPr="00361B9B">
        <w:rPr>
          <w:szCs w:val="24"/>
        </w:rPr>
        <w:t xml:space="preserve"> listing </w:t>
      </w:r>
      <w:r w:rsidR="00FF76EF">
        <w:rPr>
          <w:szCs w:val="24"/>
        </w:rPr>
        <w:t>BOTOX®</w:t>
      </w:r>
      <w:r w:rsidRPr="00361B9B">
        <w:rPr>
          <w:szCs w:val="24"/>
        </w:rPr>
        <w:t xml:space="preserve"> on the PBS.</w:t>
      </w:r>
      <w:r w:rsidR="00A83EAE">
        <w:rPr>
          <w:szCs w:val="24"/>
        </w:rPr>
        <w:t xml:space="preserve"> The methodology incorporated a review of the existing PBS items </w:t>
      </w:r>
      <w:r w:rsidR="00A83EAE">
        <w:rPr>
          <w:szCs w:val="24"/>
        </w:rPr>
        <w:lastRenderedPageBreak/>
        <w:t xml:space="preserve">for </w:t>
      </w:r>
      <w:r w:rsidR="002207C2">
        <w:rPr>
          <w:szCs w:val="24"/>
        </w:rPr>
        <w:t>upper limb spasticity following a stroke</w:t>
      </w:r>
      <w:r w:rsidR="00A83EAE">
        <w:rPr>
          <w:szCs w:val="24"/>
        </w:rPr>
        <w:t xml:space="preserve"> and forecas</w:t>
      </w:r>
      <w:r w:rsidR="00063407">
        <w:rPr>
          <w:szCs w:val="24"/>
        </w:rPr>
        <w:t>t of market share for the next six</w:t>
      </w:r>
      <w:r w:rsidR="00A83EAE">
        <w:rPr>
          <w:szCs w:val="24"/>
        </w:rPr>
        <w:t xml:space="preserve"> years where a combination of epidemiological data and real-world data reflecting treated populations in Australia and overseas were used.</w:t>
      </w:r>
      <w:r w:rsidR="002207C2">
        <w:rPr>
          <w:szCs w:val="24"/>
        </w:rPr>
        <w:t xml:space="preserve"> It wa</w:t>
      </w:r>
      <w:r w:rsidR="00361B9B" w:rsidRPr="00361B9B">
        <w:rPr>
          <w:szCs w:val="24"/>
        </w:rPr>
        <w:t xml:space="preserve">s assumed that 100% of </w:t>
      </w:r>
      <w:r w:rsidR="002207C2">
        <w:rPr>
          <w:szCs w:val="24"/>
        </w:rPr>
        <w:t>BOTOX</w:t>
      </w:r>
      <w:r w:rsidR="002207C2">
        <w:rPr>
          <w:rFonts w:cstheme="minorHAnsi"/>
          <w:szCs w:val="24"/>
        </w:rPr>
        <w:t>®</w:t>
      </w:r>
      <w:r w:rsidR="002207C2">
        <w:rPr>
          <w:szCs w:val="24"/>
        </w:rPr>
        <w:t xml:space="preserve"> prescriptions we</w:t>
      </w:r>
      <w:r w:rsidR="00361B9B" w:rsidRPr="00361B9B">
        <w:rPr>
          <w:szCs w:val="24"/>
        </w:rPr>
        <w:t xml:space="preserve">re offset by reduced use of </w:t>
      </w:r>
      <w:r w:rsidR="009B2167">
        <w:rPr>
          <w:szCs w:val="24"/>
        </w:rPr>
        <w:t xml:space="preserve">other </w:t>
      </w:r>
      <w:r w:rsidR="002207C2">
        <w:rPr>
          <w:szCs w:val="24"/>
        </w:rPr>
        <w:t>forms of botulinum toxin</w:t>
      </w:r>
      <w:r w:rsidR="00361B9B" w:rsidRPr="00361B9B">
        <w:rPr>
          <w:szCs w:val="24"/>
        </w:rPr>
        <w:t>.</w:t>
      </w:r>
    </w:p>
    <w:p w:rsidR="007A23C7" w:rsidRPr="00B12168" w:rsidRDefault="009B2167" w:rsidP="00361B9B">
      <w:pPr>
        <w:pStyle w:val="3Bodytext"/>
        <w:numPr>
          <w:ilvl w:val="1"/>
          <w:numId w:val="5"/>
        </w:numPr>
        <w:rPr>
          <w:szCs w:val="24"/>
        </w:rPr>
      </w:pPr>
      <w:r w:rsidRPr="00B12168">
        <w:t>The minor submission estimated an increase in BOTOX</w:t>
      </w:r>
      <w:r w:rsidRPr="00B12168">
        <w:rPr>
          <w:rFonts w:cstheme="minorHAnsi"/>
        </w:rPr>
        <w:t>®</w:t>
      </w:r>
      <w:r w:rsidRPr="00B12168">
        <w:t xml:space="preserve"> utilisation due to treatment of patients with acute aetiologies, other than stroke, to be an additional </w:t>
      </w:r>
      <w:r w:rsidR="002723BA">
        <w:rPr>
          <w:noProof/>
          <w:color w:val="000000"/>
          <w:highlight w:val="black"/>
        </w:rPr>
        <w:t>''''''</w:t>
      </w:r>
      <w:r w:rsidRPr="00B12168">
        <w:t>%. This estimate was based on a small study conducted in movement disorder clinics in four states in Australia (N = 79) with upper limb spasticity regardless of disease or condition</w:t>
      </w:r>
      <w:r w:rsidRPr="00B12168">
        <w:rPr>
          <w:rStyle w:val="FootnoteReference"/>
        </w:rPr>
        <w:footnoteReference w:id="1"/>
      </w:r>
      <w:r w:rsidRPr="00B12168">
        <w:t>.</w:t>
      </w:r>
    </w:p>
    <w:p w:rsidR="007A23C7" w:rsidRPr="000E1C9C" w:rsidRDefault="007A23C7" w:rsidP="00D64220">
      <w:pPr>
        <w:pStyle w:val="3Bodytext"/>
        <w:numPr>
          <w:ilvl w:val="1"/>
          <w:numId w:val="5"/>
        </w:numPr>
      </w:pPr>
      <w:r w:rsidRPr="000E1C9C">
        <w:t xml:space="preserve">In the financial estimates, the </w:t>
      </w:r>
      <w:r w:rsidR="009B2167" w:rsidRPr="000E1C9C">
        <w:t xml:space="preserve">minor </w:t>
      </w:r>
      <w:r w:rsidRPr="000E1C9C">
        <w:t xml:space="preserve">submission assumed </w:t>
      </w:r>
      <w:r w:rsidR="009B2167" w:rsidRPr="000E1C9C">
        <w:t xml:space="preserve">that </w:t>
      </w:r>
      <w:r w:rsidRPr="000E1C9C">
        <w:t xml:space="preserve">all patients </w:t>
      </w:r>
      <w:r w:rsidR="009B2167" w:rsidRPr="000E1C9C">
        <w:t>who</w:t>
      </w:r>
      <w:r w:rsidRPr="000E1C9C">
        <w:t xml:space="preserve"> met the continuation criteria after </w:t>
      </w:r>
      <w:r w:rsidR="00067AC8" w:rsidRPr="000E1C9C">
        <w:t>four cycles received two</w:t>
      </w:r>
      <w:r w:rsidRPr="000E1C9C">
        <w:t xml:space="preserve"> treatment cycles per year indefinitely</w:t>
      </w:r>
      <w:r w:rsidR="009B2167" w:rsidRPr="000E1C9C">
        <w:t>. This w</w:t>
      </w:r>
      <w:r w:rsidRPr="000E1C9C">
        <w:t xml:space="preserve">as </w:t>
      </w:r>
      <w:r w:rsidR="009B2167" w:rsidRPr="000E1C9C">
        <w:t>lik</w:t>
      </w:r>
      <w:r w:rsidRPr="000E1C9C">
        <w:t xml:space="preserve">ely </w:t>
      </w:r>
      <w:r w:rsidR="009B2167" w:rsidRPr="000E1C9C">
        <w:t xml:space="preserve">an </w:t>
      </w:r>
      <w:r w:rsidRPr="000E1C9C">
        <w:t>overestimat</w:t>
      </w:r>
      <w:r w:rsidR="009B2167" w:rsidRPr="000E1C9C">
        <w:t>ion, as d</w:t>
      </w:r>
      <w:r w:rsidRPr="000E1C9C">
        <w:t>ata considered previous</w:t>
      </w:r>
      <w:r w:rsidR="009B2167" w:rsidRPr="000E1C9C">
        <w:t>ly</w:t>
      </w:r>
      <w:r w:rsidRPr="000E1C9C">
        <w:t xml:space="preserve"> by the PBAC indicated </w:t>
      </w:r>
      <w:r w:rsidR="009B2167" w:rsidRPr="000E1C9C">
        <w:t xml:space="preserve">that </w:t>
      </w:r>
      <w:r w:rsidRPr="000E1C9C">
        <w:t>re</w:t>
      </w:r>
      <w:r w:rsidR="009B2167" w:rsidRPr="000E1C9C">
        <w:t>-</w:t>
      </w:r>
      <w:r w:rsidRPr="000E1C9C">
        <w:t xml:space="preserve">injection intervals tended to increase over time. </w:t>
      </w:r>
    </w:p>
    <w:p w:rsidR="00EE7B74" w:rsidRPr="00606813" w:rsidRDefault="00606813" w:rsidP="00EE7B74">
      <w:pPr>
        <w:pStyle w:val="3Bodytext"/>
        <w:numPr>
          <w:ilvl w:val="1"/>
          <w:numId w:val="5"/>
        </w:numPr>
        <w:rPr>
          <w:szCs w:val="24"/>
        </w:rPr>
      </w:pPr>
      <w:r w:rsidRPr="00606813">
        <w:rPr>
          <w:szCs w:val="24"/>
        </w:rPr>
        <w:t xml:space="preserve">The table below summarises the estimated use and financial </w:t>
      </w:r>
      <w:r w:rsidR="00067AC8" w:rsidRPr="00606813">
        <w:rPr>
          <w:szCs w:val="24"/>
        </w:rPr>
        <w:t>implications</w:t>
      </w:r>
      <w:r w:rsidRPr="00606813">
        <w:rPr>
          <w:szCs w:val="24"/>
        </w:rPr>
        <w:t xml:space="preserve"> for the proposed BOTOX</w:t>
      </w:r>
      <w:r w:rsidRPr="00606813">
        <w:t xml:space="preserve">® PBS listing. </w:t>
      </w:r>
      <w:r w:rsidR="00F43C09">
        <w:t>The PBAC noted that the requested listing was cost-neutral to the PBS.</w:t>
      </w:r>
    </w:p>
    <w:p w:rsidR="00FC3647" w:rsidRPr="00EE7B74" w:rsidRDefault="002B6168" w:rsidP="00B440C7">
      <w:pPr>
        <w:pStyle w:val="3Bodytext"/>
        <w:keepNext/>
        <w:numPr>
          <w:ilvl w:val="0"/>
          <w:numId w:val="0"/>
        </w:numPr>
        <w:spacing w:after="0"/>
        <w:rPr>
          <w:color w:val="FF0000"/>
          <w:szCs w:val="24"/>
        </w:rPr>
      </w:pPr>
      <w:r>
        <w:rPr>
          <w:rStyle w:val="CommentReference"/>
          <w:rFonts w:ascii="Arial Narrow" w:hAnsi="Arial Narrow"/>
          <w:b/>
          <w:sz w:val="20"/>
          <w:szCs w:val="20"/>
        </w:rPr>
        <w:t>Table 4</w:t>
      </w:r>
      <w:r w:rsidR="00FC3647" w:rsidRPr="00EE7B74">
        <w:rPr>
          <w:rStyle w:val="CommentReference"/>
          <w:rFonts w:ascii="Arial Narrow" w:hAnsi="Arial Narrow"/>
          <w:b/>
          <w:sz w:val="20"/>
          <w:szCs w:val="20"/>
        </w:rPr>
        <w:t xml:space="preserve">: </w:t>
      </w:r>
      <w:r w:rsidR="009B2167">
        <w:rPr>
          <w:rStyle w:val="CommentReference"/>
          <w:rFonts w:ascii="Arial Narrow" w:hAnsi="Arial Narrow"/>
          <w:b/>
          <w:sz w:val="20"/>
          <w:szCs w:val="20"/>
        </w:rPr>
        <w:t>S</w:t>
      </w:r>
      <w:r w:rsidR="00E42BCF">
        <w:rPr>
          <w:rStyle w:val="CommentReference"/>
          <w:rFonts w:ascii="Arial Narrow" w:hAnsi="Arial Narrow"/>
          <w:b/>
          <w:sz w:val="20"/>
          <w:szCs w:val="20"/>
        </w:rPr>
        <w:t xml:space="preserve">ummary of </w:t>
      </w:r>
      <w:r w:rsidR="009B2167">
        <w:rPr>
          <w:rStyle w:val="CommentReference"/>
          <w:rFonts w:ascii="Arial Narrow" w:hAnsi="Arial Narrow"/>
          <w:b/>
          <w:sz w:val="20"/>
          <w:szCs w:val="20"/>
        </w:rPr>
        <w:t xml:space="preserve">estimated </w:t>
      </w:r>
      <w:r w:rsidR="00E42BCF">
        <w:rPr>
          <w:rStyle w:val="CommentReference"/>
          <w:rFonts w:ascii="Arial Narrow" w:hAnsi="Arial Narrow"/>
          <w:b/>
          <w:sz w:val="20"/>
          <w:szCs w:val="20"/>
        </w:rPr>
        <w:t>utilisation and</w:t>
      </w:r>
      <w:r w:rsidR="009B2167">
        <w:rPr>
          <w:rStyle w:val="CommentReference"/>
          <w:rFonts w:ascii="Arial Narrow" w:hAnsi="Arial Narrow"/>
          <w:b/>
          <w:sz w:val="20"/>
          <w:szCs w:val="20"/>
        </w:rPr>
        <w:t xml:space="preserve"> the</w:t>
      </w:r>
      <w:r w:rsidR="00E42BCF">
        <w:rPr>
          <w:rStyle w:val="CommentReference"/>
          <w:rFonts w:ascii="Arial Narrow" w:hAnsi="Arial Narrow"/>
          <w:b/>
          <w:sz w:val="20"/>
          <w:szCs w:val="20"/>
        </w:rPr>
        <w:t xml:space="preserve"> financial impact </w:t>
      </w:r>
      <w:r w:rsidR="009B2167">
        <w:rPr>
          <w:rStyle w:val="CommentReference"/>
          <w:rFonts w:ascii="Arial Narrow" w:hAnsi="Arial Narrow"/>
          <w:b/>
          <w:sz w:val="20"/>
          <w:szCs w:val="20"/>
        </w:rPr>
        <w:t xml:space="preserve">of extending the PBS restriction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62"/>
        <w:gridCol w:w="934"/>
        <w:gridCol w:w="902"/>
        <w:gridCol w:w="902"/>
        <w:gridCol w:w="902"/>
        <w:gridCol w:w="871"/>
        <w:gridCol w:w="965"/>
      </w:tblGrid>
      <w:tr w:rsidR="00FC3647" w:rsidRPr="001B3FFE" w:rsidTr="005A304E">
        <w:trPr>
          <w:tblHeader/>
        </w:trPr>
        <w:tc>
          <w:tcPr>
            <w:tcW w:w="2139" w:type="pct"/>
            <w:shd w:val="clear" w:color="auto" w:fill="auto"/>
            <w:vAlign w:val="center"/>
          </w:tcPr>
          <w:p w:rsidR="00FC3647" w:rsidRPr="00F25B9C" w:rsidRDefault="00FC3647" w:rsidP="00B440C7">
            <w:pPr>
              <w:pStyle w:val="Tabletext"/>
              <w:keepNext/>
              <w:spacing w:after="0"/>
              <w:rPr>
                <w:rFonts w:ascii="Arial Narrow" w:hAnsi="Arial Narrow"/>
              </w:rPr>
            </w:pPr>
          </w:p>
        </w:tc>
        <w:tc>
          <w:tcPr>
            <w:tcW w:w="408" w:type="pct"/>
            <w:shd w:val="clear" w:color="auto" w:fill="auto"/>
            <w:vAlign w:val="center"/>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1</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2019</w:t>
            </w:r>
          </w:p>
        </w:tc>
        <w:tc>
          <w:tcPr>
            <w:tcW w:w="491" w:type="pct"/>
            <w:shd w:val="clear" w:color="auto" w:fill="auto"/>
            <w:vAlign w:val="center"/>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2</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2020</w:t>
            </w:r>
          </w:p>
        </w:tc>
        <w:tc>
          <w:tcPr>
            <w:tcW w:w="491" w:type="pct"/>
            <w:shd w:val="clear" w:color="auto" w:fill="auto"/>
            <w:vAlign w:val="center"/>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3</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2021</w:t>
            </w:r>
          </w:p>
        </w:tc>
        <w:tc>
          <w:tcPr>
            <w:tcW w:w="491" w:type="pct"/>
            <w:shd w:val="clear" w:color="auto" w:fill="auto"/>
            <w:vAlign w:val="center"/>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4</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2022</w:t>
            </w:r>
          </w:p>
        </w:tc>
        <w:tc>
          <w:tcPr>
            <w:tcW w:w="491" w:type="pct"/>
            <w:shd w:val="clear" w:color="auto" w:fill="auto"/>
            <w:vAlign w:val="center"/>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5</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2023</w:t>
            </w:r>
          </w:p>
        </w:tc>
        <w:tc>
          <w:tcPr>
            <w:tcW w:w="491" w:type="pct"/>
          </w:tcPr>
          <w:p w:rsidR="00FC3647" w:rsidRDefault="00FC3647" w:rsidP="00B440C7">
            <w:pPr>
              <w:pStyle w:val="Tabletext"/>
              <w:keepNext/>
              <w:spacing w:after="0"/>
              <w:jc w:val="center"/>
              <w:rPr>
                <w:rFonts w:ascii="Arial Narrow" w:hAnsi="Arial Narrow"/>
                <w:b/>
              </w:rPr>
            </w:pPr>
            <w:r w:rsidRPr="00F25B9C">
              <w:rPr>
                <w:rFonts w:ascii="Arial Narrow" w:hAnsi="Arial Narrow"/>
                <w:b/>
              </w:rPr>
              <w:t>Year 6</w:t>
            </w:r>
          </w:p>
          <w:p w:rsidR="00857C75" w:rsidRPr="00F25B9C" w:rsidRDefault="00857C75" w:rsidP="00B440C7">
            <w:pPr>
              <w:pStyle w:val="Tabletext"/>
              <w:keepNext/>
              <w:spacing w:after="0"/>
              <w:jc w:val="center"/>
              <w:rPr>
                <w:rFonts w:ascii="Arial Narrow" w:hAnsi="Arial Narrow"/>
                <w:b/>
              </w:rPr>
            </w:pPr>
            <w:r>
              <w:rPr>
                <w:rFonts w:ascii="Arial Narrow" w:hAnsi="Arial Narrow"/>
                <w:b/>
              </w:rPr>
              <w:t>2024</w:t>
            </w:r>
          </w:p>
        </w:tc>
      </w:tr>
      <w:tr w:rsidR="00FC3647" w:rsidRPr="001B3FFE" w:rsidTr="00C32AEF">
        <w:tc>
          <w:tcPr>
            <w:tcW w:w="5000" w:type="pct"/>
            <w:gridSpan w:val="7"/>
            <w:shd w:val="clear" w:color="auto" w:fill="auto"/>
            <w:vAlign w:val="center"/>
          </w:tcPr>
          <w:p w:rsidR="00FC3647" w:rsidRPr="00F25B9C" w:rsidRDefault="00FC3647" w:rsidP="00B440C7">
            <w:pPr>
              <w:pStyle w:val="Tabletext"/>
              <w:keepNext/>
              <w:spacing w:after="0"/>
              <w:rPr>
                <w:rFonts w:ascii="Arial Narrow" w:hAnsi="Arial Narrow"/>
                <w:b/>
                <w:bCs/>
                <w:color w:val="000000"/>
              </w:rPr>
            </w:pPr>
            <w:r w:rsidRPr="00F25B9C">
              <w:rPr>
                <w:rFonts w:ascii="Arial Narrow" w:hAnsi="Arial Narrow"/>
                <w:b/>
                <w:bCs/>
                <w:color w:val="000000"/>
              </w:rPr>
              <w:t xml:space="preserve">Estimated extent of </w:t>
            </w:r>
            <w:r w:rsidR="00857C75">
              <w:rPr>
                <w:rFonts w:ascii="Arial Narrow" w:hAnsi="Arial Narrow"/>
                <w:b/>
                <w:bCs/>
                <w:color w:val="000000"/>
              </w:rPr>
              <w:t>BOTOX</w:t>
            </w:r>
            <w:r w:rsidR="00857C75" w:rsidRPr="00857C75">
              <w:rPr>
                <w:rFonts w:ascii="Arial Narrow" w:hAnsi="Arial Narrow"/>
                <w:b/>
                <w:bCs/>
                <w:color w:val="000000"/>
                <w:vertAlign w:val="superscript"/>
              </w:rPr>
              <w:t>®</w:t>
            </w:r>
            <w:r w:rsidR="00857C75">
              <w:rPr>
                <w:rFonts w:ascii="Arial Narrow" w:hAnsi="Arial Narrow"/>
                <w:b/>
                <w:bCs/>
                <w:color w:val="000000"/>
              </w:rPr>
              <w:t xml:space="preserve"> </w:t>
            </w:r>
            <w:r w:rsidRPr="00F25B9C">
              <w:rPr>
                <w:rFonts w:ascii="Arial Narrow" w:hAnsi="Arial Narrow"/>
                <w:b/>
                <w:bCs/>
                <w:color w:val="000000"/>
              </w:rPr>
              <w:t>use</w:t>
            </w:r>
            <w:r w:rsidR="002207C2">
              <w:rPr>
                <w:rFonts w:ascii="Arial Narrow" w:hAnsi="Arial Narrow"/>
                <w:b/>
                <w:bCs/>
                <w:color w:val="000000"/>
              </w:rPr>
              <w:t xml:space="preserve"> - prescriptions</w:t>
            </w:r>
          </w:p>
        </w:tc>
      </w:tr>
      <w:tr w:rsidR="00857C75" w:rsidRPr="001B3FFE" w:rsidTr="005A304E">
        <w:tc>
          <w:tcPr>
            <w:tcW w:w="2139" w:type="pct"/>
            <w:shd w:val="clear" w:color="auto" w:fill="auto"/>
            <w:vAlign w:val="center"/>
          </w:tcPr>
          <w:p w:rsidR="00857C75" w:rsidRPr="00F25B9C" w:rsidRDefault="00857C75" w:rsidP="00B440C7">
            <w:pPr>
              <w:pStyle w:val="Tabletext"/>
              <w:keepNext/>
              <w:spacing w:after="0"/>
              <w:rPr>
                <w:rFonts w:ascii="Arial Narrow" w:hAnsi="Arial Narrow"/>
              </w:rPr>
            </w:pPr>
            <w:r>
              <w:rPr>
                <w:rFonts w:ascii="Arial Narrow" w:hAnsi="Arial Narrow"/>
              </w:rPr>
              <w:t>Current post-stroke use</w:t>
            </w:r>
          </w:p>
        </w:tc>
        <w:tc>
          <w:tcPr>
            <w:tcW w:w="408"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highlight w:val="black"/>
              </w:rPr>
            </w:pPr>
            <w:r>
              <w:rPr>
                <w:rFonts w:ascii="Arial Narrow" w:hAnsi="Arial Narrow" w:cstheme="minorHAnsi"/>
                <w:noProof/>
                <w:color w:val="000000"/>
                <w:highlight w:val="black"/>
              </w:rPr>
              <w:t>'''''''''''''</w:t>
            </w:r>
          </w:p>
        </w:tc>
        <w:tc>
          <w:tcPr>
            <w:tcW w:w="491" w:type="pct"/>
          </w:tcPr>
          <w:p w:rsidR="00857C75" w:rsidRPr="002723BA" w:rsidRDefault="002723BA" w:rsidP="00B440C7">
            <w:pPr>
              <w:pStyle w:val="Tabletext"/>
              <w:keepNext/>
              <w:spacing w:after="0"/>
              <w:jc w:val="center"/>
              <w:rPr>
                <w:rFonts w:ascii="Arial Narrow" w:hAnsi="Arial Narrow"/>
                <w:highlight w:val="black"/>
              </w:rPr>
            </w:pPr>
            <w:r>
              <w:rPr>
                <w:rFonts w:ascii="Arial Narrow" w:hAnsi="Arial Narrow" w:cstheme="minorHAnsi"/>
                <w:noProof/>
                <w:color w:val="000000"/>
                <w:highlight w:val="black"/>
              </w:rPr>
              <w:t>'''''''''''''''</w:t>
            </w:r>
          </w:p>
        </w:tc>
      </w:tr>
      <w:tr w:rsidR="00857C75" w:rsidRPr="001B3FFE" w:rsidTr="005A304E">
        <w:tc>
          <w:tcPr>
            <w:tcW w:w="2139" w:type="pct"/>
            <w:shd w:val="clear" w:color="auto" w:fill="auto"/>
            <w:vAlign w:val="center"/>
          </w:tcPr>
          <w:p w:rsidR="00857C75" w:rsidRPr="00F25B9C" w:rsidRDefault="00857C75" w:rsidP="00B440C7">
            <w:pPr>
              <w:pStyle w:val="Tabletext"/>
              <w:keepNext/>
              <w:spacing w:after="0"/>
              <w:rPr>
                <w:rFonts w:ascii="Arial Narrow" w:hAnsi="Arial Narrow"/>
              </w:rPr>
            </w:pPr>
            <w:r>
              <w:rPr>
                <w:rFonts w:ascii="Arial Narrow" w:hAnsi="Arial Narrow"/>
              </w:rPr>
              <w:t>Estimated use, including other aetiologies</w:t>
            </w:r>
            <w:r w:rsidRPr="00857C75">
              <w:rPr>
                <w:rFonts w:ascii="Arial Narrow" w:hAnsi="Arial Narrow"/>
                <w:vertAlign w:val="superscript"/>
              </w:rPr>
              <w:t>a</w:t>
            </w:r>
          </w:p>
        </w:tc>
        <w:tc>
          <w:tcPr>
            <w:tcW w:w="408" w:type="pct"/>
            <w:shd w:val="clear" w:color="auto" w:fill="auto"/>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vAlign w:val="center"/>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r>
      <w:tr w:rsidR="00857C75" w:rsidRPr="001B3FFE" w:rsidTr="005A304E">
        <w:tc>
          <w:tcPr>
            <w:tcW w:w="2139" w:type="pct"/>
            <w:shd w:val="clear" w:color="auto" w:fill="auto"/>
            <w:vAlign w:val="center"/>
          </w:tcPr>
          <w:p w:rsidR="00857C75" w:rsidRPr="00F25B9C" w:rsidRDefault="00857C75" w:rsidP="00B440C7">
            <w:pPr>
              <w:pStyle w:val="Tabletext"/>
              <w:keepNext/>
              <w:spacing w:after="0"/>
              <w:rPr>
                <w:rFonts w:ascii="Arial Narrow" w:hAnsi="Arial Narrow"/>
              </w:rPr>
            </w:pPr>
            <w:r>
              <w:rPr>
                <w:rFonts w:ascii="Arial Narrow" w:hAnsi="Arial Narrow"/>
              </w:rPr>
              <w:t xml:space="preserve">Change </w:t>
            </w:r>
          </w:p>
        </w:tc>
        <w:tc>
          <w:tcPr>
            <w:tcW w:w="408"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shd w:val="clear" w:color="auto" w:fill="auto"/>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c>
          <w:tcPr>
            <w:tcW w:w="491" w:type="pct"/>
          </w:tcPr>
          <w:p w:rsidR="00857C75"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cstheme="minorHAnsi"/>
                <w:noProof/>
                <w:color w:val="000000"/>
                <w:highlight w:val="black"/>
              </w:rPr>
              <w:t>''''''''''''''</w:t>
            </w:r>
          </w:p>
        </w:tc>
      </w:tr>
      <w:tr w:rsidR="00857C75" w:rsidRPr="001B3FFE" w:rsidTr="005A304E">
        <w:tc>
          <w:tcPr>
            <w:tcW w:w="2139" w:type="pct"/>
            <w:shd w:val="clear" w:color="auto" w:fill="auto"/>
            <w:vAlign w:val="center"/>
          </w:tcPr>
          <w:p w:rsidR="00857C75" w:rsidRPr="00F25B9C" w:rsidRDefault="00857C75" w:rsidP="00B440C7">
            <w:pPr>
              <w:pStyle w:val="Tabletext"/>
              <w:keepNext/>
              <w:spacing w:after="0"/>
              <w:rPr>
                <w:rFonts w:ascii="Arial Narrow" w:hAnsi="Arial Narrow"/>
              </w:rPr>
            </w:pPr>
            <w:r w:rsidRPr="00F25B9C">
              <w:rPr>
                <w:rFonts w:ascii="Arial Narrow" w:hAnsi="Arial Narrow"/>
              </w:rPr>
              <w:t>Cost to PBS/RPBS</w:t>
            </w:r>
            <w:r>
              <w:rPr>
                <w:rFonts w:ascii="Arial Narrow" w:hAnsi="Arial Narrow"/>
              </w:rPr>
              <w:t>,</w:t>
            </w:r>
            <w:r w:rsidRPr="00F25B9C">
              <w:rPr>
                <w:rFonts w:ascii="Arial Narrow" w:hAnsi="Arial Narrow"/>
              </w:rPr>
              <w:t xml:space="preserve"> less copayments</w:t>
            </w:r>
          </w:p>
        </w:tc>
        <w:tc>
          <w:tcPr>
            <w:tcW w:w="408" w:type="pct"/>
            <w:shd w:val="clear" w:color="auto" w:fill="auto"/>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c>
          <w:tcPr>
            <w:tcW w:w="491" w:type="pct"/>
          </w:tcPr>
          <w:p w:rsidR="00857C75" w:rsidRPr="00857C75" w:rsidRDefault="00857C75" w:rsidP="00B440C7">
            <w:pPr>
              <w:pStyle w:val="Tabletext"/>
              <w:keepNext/>
              <w:spacing w:after="0"/>
              <w:jc w:val="center"/>
              <w:rPr>
                <w:rFonts w:ascii="Arial Narrow" w:hAnsi="Arial Narrow"/>
                <w:bCs/>
                <w:color w:val="000000"/>
              </w:rPr>
            </w:pPr>
            <w:r w:rsidRPr="00857C75">
              <w:rPr>
                <w:rFonts w:ascii="Arial Narrow" w:hAnsi="Arial Narrow" w:cstheme="minorHAnsi"/>
              </w:rPr>
              <w:t>$</w:t>
            </w:r>
            <w:r w:rsidR="002723BA">
              <w:rPr>
                <w:rFonts w:ascii="Arial Narrow" w:hAnsi="Arial Narrow" w:cstheme="minorHAnsi"/>
                <w:noProof/>
                <w:color w:val="000000"/>
                <w:highlight w:val="black"/>
              </w:rPr>
              <w:t>''''''''''''''''''''''''''</w:t>
            </w:r>
          </w:p>
        </w:tc>
      </w:tr>
      <w:tr w:rsidR="00FC3647" w:rsidRPr="001B3FFE" w:rsidTr="00C32AEF">
        <w:tc>
          <w:tcPr>
            <w:tcW w:w="5000" w:type="pct"/>
            <w:gridSpan w:val="7"/>
            <w:shd w:val="clear" w:color="auto" w:fill="auto"/>
            <w:vAlign w:val="center"/>
          </w:tcPr>
          <w:p w:rsidR="00FC3647" w:rsidRPr="00F25B9C" w:rsidRDefault="00E42BCF" w:rsidP="00B440C7">
            <w:pPr>
              <w:pStyle w:val="Tabletext"/>
              <w:keepNext/>
              <w:spacing w:after="0"/>
              <w:rPr>
                <w:rFonts w:ascii="Arial Narrow" w:hAnsi="Arial Narrow"/>
                <w:bCs/>
                <w:color w:val="000000"/>
              </w:rPr>
            </w:pPr>
            <w:r>
              <w:rPr>
                <w:rFonts w:ascii="Arial Narrow" w:hAnsi="Arial Narrow"/>
                <w:b/>
                <w:bCs/>
                <w:color w:val="000000"/>
              </w:rPr>
              <w:t>Offset</w:t>
            </w:r>
            <w:r w:rsidR="00857C75">
              <w:rPr>
                <w:rFonts w:ascii="Arial Narrow" w:hAnsi="Arial Narrow"/>
                <w:b/>
                <w:bCs/>
                <w:color w:val="000000"/>
              </w:rPr>
              <w:t xml:space="preserve">s due to </w:t>
            </w:r>
            <w:r>
              <w:rPr>
                <w:rFonts w:ascii="Arial Narrow" w:hAnsi="Arial Narrow"/>
                <w:b/>
                <w:bCs/>
                <w:color w:val="000000"/>
              </w:rPr>
              <w:t xml:space="preserve">reduced use of other </w:t>
            </w:r>
            <w:r w:rsidR="00857C75">
              <w:rPr>
                <w:rFonts w:ascii="Arial Narrow" w:hAnsi="Arial Narrow"/>
                <w:b/>
                <w:bCs/>
                <w:color w:val="000000"/>
              </w:rPr>
              <w:t>forms of botulinum toxin (Dysport</w:t>
            </w:r>
            <w:r w:rsidR="00857C75" w:rsidRPr="00857C75">
              <w:rPr>
                <w:rFonts w:ascii="Arial Narrow" w:hAnsi="Arial Narrow"/>
                <w:b/>
                <w:bCs/>
                <w:color w:val="000000"/>
                <w:vertAlign w:val="superscript"/>
              </w:rPr>
              <w:t>®</w:t>
            </w:r>
            <w:r w:rsidR="00857C75">
              <w:rPr>
                <w:rFonts w:ascii="Arial Narrow" w:hAnsi="Arial Narrow"/>
                <w:b/>
                <w:bCs/>
                <w:color w:val="000000"/>
              </w:rPr>
              <w:t>, Xeomin</w:t>
            </w:r>
            <w:r w:rsidR="00857C75" w:rsidRPr="00857C75">
              <w:rPr>
                <w:rFonts w:ascii="Arial Narrow" w:hAnsi="Arial Narrow"/>
                <w:b/>
                <w:bCs/>
                <w:color w:val="000000"/>
                <w:vertAlign w:val="superscript"/>
              </w:rPr>
              <w:t xml:space="preserve"> ®</w:t>
            </w:r>
            <w:r w:rsidR="00857C75">
              <w:rPr>
                <w:rFonts w:ascii="Arial Narrow" w:hAnsi="Arial Narrow"/>
                <w:b/>
                <w:bCs/>
                <w:color w:val="000000"/>
              </w:rPr>
              <w:t>)</w:t>
            </w:r>
          </w:p>
        </w:tc>
      </w:tr>
      <w:tr w:rsidR="00FC3647" w:rsidRPr="001B3FFE" w:rsidTr="005A304E">
        <w:tc>
          <w:tcPr>
            <w:tcW w:w="2139" w:type="pct"/>
            <w:shd w:val="clear" w:color="auto" w:fill="auto"/>
            <w:vAlign w:val="center"/>
          </w:tcPr>
          <w:p w:rsidR="00FC3647" w:rsidRPr="00F25B9C" w:rsidRDefault="00857C75" w:rsidP="00B440C7">
            <w:pPr>
              <w:pStyle w:val="Tabletext"/>
              <w:keepNext/>
              <w:spacing w:after="0"/>
              <w:rPr>
                <w:rFonts w:ascii="Arial Narrow" w:hAnsi="Arial Narrow"/>
              </w:rPr>
            </w:pPr>
            <w:r>
              <w:rPr>
                <w:rFonts w:ascii="Arial Narrow" w:hAnsi="Arial Narrow"/>
              </w:rPr>
              <w:t>Reduction in prescriptions</w:t>
            </w:r>
          </w:p>
        </w:tc>
        <w:tc>
          <w:tcPr>
            <w:tcW w:w="408" w:type="pct"/>
            <w:shd w:val="clear" w:color="auto" w:fill="auto"/>
            <w:vAlign w:val="center"/>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491" w:type="pct"/>
            <w:shd w:val="clear" w:color="auto" w:fill="auto"/>
            <w:vAlign w:val="center"/>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491" w:type="pct"/>
            <w:shd w:val="clear" w:color="auto" w:fill="auto"/>
            <w:vAlign w:val="center"/>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491" w:type="pct"/>
            <w:shd w:val="clear" w:color="auto" w:fill="auto"/>
            <w:vAlign w:val="center"/>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491" w:type="pct"/>
            <w:shd w:val="clear" w:color="auto" w:fill="auto"/>
            <w:vAlign w:val="center"/>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491" w:type="pct"/>
          </w:tcPr>
          <w:p w:rsidR="00FC3647" w:rsidRPr="002723BA" w:rsidRDefault="002723BA" w:rsidP="00B440C7">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857C75" w:rsidRPr="001B3FFE" w:rsidTr="005A304E">
        <w:tc>
          <w:tcPr>
            <w:tcW w:w="2139" w:type="pct"/>
            <w:shd w:val="clear" w:color="auto" w:fill="auto"/>
            <w:vAlign w:val="center"/>
          </w:tcPr>
          <w:p w:rsidR="00857C75" w:rsidRPr="00F25B9C" w:rsidRDefault="00857C75" w:rsidP="00B440C7">
            <w:pPr>
              <w:pStyle w:val="Tabletext"/>
              <w:keepNext/>
              <w:spacing w:after="0"/>
              <w:rPr>
                <w:rFonts w:ascii="Arial Narrow" w:hAnsi="Arial Narrow"/>
              </w:rPr>
            </w:pPr>
            <w:r>
              <w:rPr>
                <w:rFonts w:ascii="Arial Narrow" w:hAnsi="Arial Narrow"/>
              </w:rPr>
              <w:t>Cost offset to PBS/RPBS, less copayments</w:t>
            </w:r>
          </w:p>
        </w:tc>
        <w:tc>
          <w:tcPr>
            <w:tcW w:w="408" w:type="pct"/>
            <w:shd w:val="clear" w:color="auto" w:fill="auto"/>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c>
          <w:tcPr>
            <w:tcW w:w="491" w:type="pct"/>
            <w:shd w:val="clear" w:color="auto" w:fill="auto"/>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c>
          <w:tcPr>
            <w:tcW w:w="491" w:type="pct"/>
            <w:vAlign w:val="center"/>
          </w:tcPr>
          <w:p w:rsidR="00857C75" w:rsidRPr="00857C75" w:rsidRDefault="00857C75" w:rsidP="00B440C7">
            <w:pPr>
              <w:pStyle w:val="Tabletext"/>
              <w:keepNext/>
              <w:spacing w:after="0"/>
              <w:jc w:val="center"/>
              <w:rPr>
                <w:rFonts w:ascii="Arial Narrow" w:hAnsi="Arial Narrow"/>
                <w:bCs/>
                <w:color w:val="000000"/>
              </w:rPr>
            </w:pPr>
            <w:r>
              <w:rPr>
                <w:rFonts w:ascii="Arial Narrow" w:hAnsi="Arial Narrow" w:cstheme="minorHAnsi"/>
              </w:rPr>
              <w:t>$</w:t>
            </w:r>
            <w:r w:rsidR="002723BA">
              <w:rPr>
                <w:rFonts w:ascii="Arial Narrow" w:hAnsi="Arial Narrow" w:cstheme="minorHAnsi"/>
                <w:noProof/>
                <w:color w:val="000000"/>
                <w:highlight w:val="black"/>
              </w:rPr>
              <w:t>''''''''''''''''''''''</w:t>
            </w:r>
          </w:p>
        </w:tc>
      </w:tr>
      <w:tr w:rsidR="00FC3647" w:rsidRPr="001B3FFE" w:rsidTr="00C32AEF">
        <w:tc>
          <w:tcPr>
            <w:tcW w:w="5000" w:type="pct"/>
            <w:gridSpan w:val="7"/>
            <w:shd w:val="clear" w:color="auto" w:fill="auto"/>
            <w:vAlign w:val="center"/>
          </w:tcPr>
          <w:p w:rsidR="00FC3647" w:rsidRPr="00F25B9C" w:rsidRDefault="00FC3647" w:rsidP="00B440C7">
            <w:pPr>
              <w:pStyle w:val="Tabletext"/>
              <w:keepNext/>
              <w:spacing w:after="0"/>
              <w:rPr>
                <w:rFonts w:ascii="Arial Narrow" w:hAnsi="Arial Narrow"/>
                <w:b/>
                <w:bCs/>
                <w:color w:val="000000"/>
              </w:rPr>
            </w:pPr>
            <w:r w:rsidRPr="00F25B9C">
              <w:rPr>
                <w:rFonts w:ascii="Arial Narrow" w:hAnsi="Arial Narrow"/>
                <w:b/>
                <w:bCs/>
                <w:color w:val="000000"/>
              </w:rPr>
              <w:t>Net financial implications</w:t>
            </w:r>
          </w:p>
        </w:tc>
      </w:tr>
      <w:tr w:rsidR="00FC3647" w:rsidRPr="001B3FFE" w:rsidTr="005A304E">
        <w:tc>
          <w:tcPr>
            <w:tcW w:w="2139" w:type="pct"/>
            <w:shd w:val="clear" w:color="auto" w:fill="auto"/>
            <w:vAlign w:val="center"/>
          </w:tcPr>
          <w:p w:rsidR="00FC3647" w:rsidRPr="00F25B9C" w:rsidRDefault="00FC3647" w:rsidP="00B440C7">
            <w:pPr>
              <w:pStyle w:val="Tabletext"/>
              <w:keepNext/>
              <w:spacing w:after="0"/>
              <w:rPr>
                <w:rFonts w:ascii="Arial Narrow" w:hAnsi="Arial Narrow"/>
              </w:rPr>
            </w:pPr>
            <w:r w:rsidRPr="00F25B9C">
              <w:rPr>
                <w:rFonts w:ascii="Arial Narrow" w:hAnsi="Arial Narrow"/>
              </w:rPr>
              <w:t>Net cost to PBS/RPBS</w:t>
            </w:r>
          </w:p>
        </w:tc>
        <w:tc>
          <w:tcPr>
            <w:tcW w:w="408" w:type="pct"/>
            <w:shd w:val="clear" w:color="auto" w:fill="auto"/>
            <w:vAlign w:val="center"/>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$0</w:t>
            </w:r>
          </w:p>
        </w:tc>
        <w:tc>
          <w:tcPr>
            <w:tcW w:w="491" w:type="pct"/>
            <w:shd w:val="clear" w:color="auto" w:fill="auto"/>
            <w:vAlign w:val="center"/>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w:t>
            </w:r>
            <w:r w:rsidR="00E42BCF">
              <w:rPr>
                <w:rFonts w:ascii="Arial Narrow" w:hAnsi="Arial Narrow"/>
                <w:bCs/>
                <w:color w:val="000000"/>
              </w:rPr>
              <w:t>0</w:t>
            </w:r>
          </w:p>
        </w:tc>
        <w:tc>
          <w:tcPr>
            <w:tcW w:w="491" w:type="pct"/>
            <w:shd w:val="clear" w:color="auto" w:fill="auto"/>
            <w:vAlign w:val="center"/>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w:t>
            </w:r>
            <w:r w:rsidR="00E42BCF">
              <w:rPr>
                <w:rFonts w:ascii="Arial Narrow" w:hAnsi="Arial Narrow"/>
                <w:bCs/>
                <w:color w:val="000000"/>
              </w:rPr>
              <w:t>0</w:t>
            </w:r>
          </w:p>
        </w:tc>
        <w:tc>
          <w:tcPr>
            <w:tcW w:w="491" w:type="pct"/>
            <w:shd w:val="clear" w:color="auto" w:fill="auto"/>
            <w:vAlign w:val="center"/>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w:t>
            </w:r>
            <w:r w:rsidR="00E42BCF">
              <w:rPr>
                <w:rFonts w:ascii="Arial Narrow" w:hAnsi="Arial Narrow"/>
                <w:bCs/>
                <w:color w:val="000000"/>
              </w:rPr>
              <w:t>0</w:t>
            </w:r>
          </w:p>
        </w:tc>
        <w:tc>
          <w:tcPr>
            <w:tcW w:w="491" w:type="pct"/>
            <w:shd w:val="clear" w:color="auto" w:fill="auto"/>
            <w:vAlign w:val="center"/>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w:t>
            </w:r>
            <w:r w:rsidR="00E42BCF">
              <w:rPr>
                <w:rFonts w:ascii="Arial Narrow" w:hAnsi="Arial Narrow"/>
                <w:bCs/>
                <w:color w:val="000000"/>
              </w:rPr>
              <w:t>0</w:t>
            </w:r>
          </w:p>
        </w:tc>
        <w:tc>
          <w:tcPr>
            <w:tcW w:w="491" w:type="pct"/>
          </w:tcPr>
          <w:p w:rsidR="00FC3647" w:rsidRPr="00F25B9C" w:rsidRDefault="00857C75" w:rsidP="00B440C7">
            <w:pPr>
              <w:pStyle w:val="Tabletext"/>
              <w:keepNext/>
              <w:spacing w:after="0"/>
              <w:jc w:val="center"/>
              <w:rPr>
                <w:rFonts w:ascii="Arial Narrow" w:hAnsi="Arial Narrow"/>
                <w:bCs/>
                <w:color w:val="000000"/>
              </w:rPr>
            </w:pPr>
            <w:r>
              <w:rPr>
                <w:rFonts w:ascii="Arial Narrow" w:hAnsi="Arial Narrow"/>
                <w:bCs/>
                <w:color w:val="000000"/>
              </w:rPr>
              <w:t>$</w:t>
            </w:r>
            <w:r w:rsidR="00E42BCF">
              <w:rPr>
                <w:rFonts w:ascii="Arial Narrow" w:hAnsi="Arial Narrow"/>
                <w:bCs/>
                <w:color w:val="000000"/>
              </w:rPr>
              <w:t>0</w:t>
            </w:r>
          </w:p>
        </w:tc>
      </w:tr>
    </w:tbl>
    <w:p w:rsidR="009B2167" w:rsidRPr="002B6168" w:rsidRDefault="005A304E" w:rsidP="00FC3647">
      <w:pPr>
        <w:pStyle w:val="TableFooter"/>
        <w:tabs>
          <w:tab w:val="left" w:pos="142"/>
        </w:tabs>
        <w:rPr>
          <w:szCs w:val="18"/>
        </w:rPr>
      </w:pPr>
      <w:r w:rsidRPr="002B6168">
        <w:rPr>
          <w:szCs w:val="18"/>
        </w:rPr>
        <w:t xml:space="preserve">DPMQ = dispensed price for maximum quantity; </w:t>
      </w:r>
      <w:r w:rsidR="009B2167" w:rsidRPr="002B6168">
        <w:rPr>
          <w:szCs w:val="18"/>
        </w:rPr>
        <w:t>PBS = Pharmaceutical Benefits Scheme; RPBS = Repatriation Pharmaceutical Benefits Scheme</w:t>
      </w:r>
    </w:p>
    <w:p w:rsidR="00FC3647" w:rsidRPr="002B6168" w:rsidRDefault="00FC3647" w:rsidP="00FC3647">
      <w:pPr>
        <w:pStyle w:val="TableFooter"/>
        <w:tabs>
          <w:tab w:val="left" w:pos="142"/>
        </w:tabs>
        <w:rPr>
          <w:szCs w:val="18"/>
        </w:rPr>
      </w:pPr>
      <w:r w:rsidRPr="002B6168">
        <w:rPr>
          <w:szCs w:val="18"/>
          <w:vertAlign w:val="superscript"/>
        </w:rPr>
        <w:t>a</w:t>
      </w:r>
      <w:r w:rsidRPr="002B6168">
        <w:rPr>
          <w:szCs w:val="18"/>
        </w:rPr>
        <w:tab/>
        <w:t xml:space="preserve">Assuming </w:t>
      </w:r>
      <w:r w:rsidR="00857C75" w:rsidRPr="002B6168">
        <w:rPr>
          <w:szCs w:val="18"/>
        </w:rPr>
        <w:t>4 prescriptions in Year 1 and 2 prescriptions per year thereafter</w:t>
      </w:r>
      <w:r w:rsidR="005A304E" w:rsidRPr="002B6168">
        <w:rPr>
          <w:szCs w:val="18"/>
        </w:rPr>
        <w:t>, and a DPMQ of $</w:t>
      </w:r>
      <w:r w:rsidR="002723BA">
        <w:rPr>
          <w:noProof/>
          <w:color w:val="000000"/>
          <w:szCs w:val="18"/>
          <w:highlight w:val="black"/>
        </w:rPr>
        <w:t>'''''''''''''''''''''''</w:t>
      </w:r>
      <w:r w:rsidR="005A304E" w:rsidRPr="002B6168">
        <w:rPr>
          <w:szCs w:val="18"/>
        </w:rPr>
        <w:t xml:space="preserve"> (private) and $</w:t>
      </w:r>
      <w:r w:rsidR="002723BA">
        <w:rPr>
          <w:noProof/>
          <w:color w:val="000000"/>
          <w:szCs w:val="18"/>
          <w:highlight w:val="black"/>
        </w:rPr>
        <w:t>''''''''''''''''''''</w:t>
      </w:r>
      <w:r w:rsidR="005A304E" w:rsidRPr="002B6168">
        <w:rPr>
          <w:szCs w:val="18"/>
        </w:rPr>
        <w:t xml:space="preserve"> (public) for 300U Botox</w:t>
      </w:r>
      <w:r w:rsidR="005A304E" w:rsidRPr="002B6168">
        <w:rPr>
          <w:szCs w:val="18"/>
          <w:vertAlign w:val="superscript"/>
        </w:rPr>
        <w:t>®</w:t>
      </w:r>
      <w:r w:rsidRPr="002B6168">
        <w:rPr>
          <w:szCs w:val="18"/>
        </w:rPr>
        <w:t>.</w:t>
      </w:r>
    </w:p>
    <w:p w:rsidR="00FC3647" w:rsidRPr="002B6168" w:rsidRDefault="00D444CB" w:rsidP="00FC3647">
      <w:pPr>
        <w:jc w:val="both"/>
        <w:rPr>
          <w:rFonts w:ascii="Arial Narrow" w:hAnsi="Arial Narrow"/>
          <w:sz w:val="18"/>
          <w:szCs w:val="18"/>
        </w:rPr>
      </w:pPr>
      <w:r w:rsidRPr="002B6168">
        <w:rPr>
          <w:rFonts w:ascii="Arial Narrow" w:hAnsi="Arial Narrow"/>
          <w:sz w:val="18"/>
          <w:szCs w:val="18"/>
        </w:rPr>
        <w:t xml:space="preserve">Source: </w:t>
      </w:r>
      <w:r w:rsidR="00857C75" w:rsidRPr="002B6168">
        <w:rPr>
          <w:rFonts w:ascii="Arial Narrow" w:hAnsi="Arial Narrow"/>
          <w:sz w:val="18"/>
          <w:szCs w:val="18"/>
        </w:rPr>
        <w:t>Table 4.5-1, p52 of the submission</w:t>
      </w:r>
      <w:r w:rsidR="00FC3647" w:rsidRPr="002B6168">
        <w:rPr>
          <w:rFonts w:ascii="Arial Narrow" w:hAnsi="Arial Narrow"/>
          <w:sz w:val="18"/>
          <w:szCs w:val="18"/>
        </w:rPr>
        <w:t>.</w:t>
      </w:r>
    </w:p>
    <w:p w:rsidR="00C32AEF" w:rsidRDefault="00C32AEF" w:rsidP="00FC3647">
      <w:pPr>
        <w:jc w:val="both"/>
        <w:rPr>
          <w:rFonts w:ascii="Arial Narrow" w:hAnsi="Arial Narrow"/>
          <w:sz w:val="20"/>
          <w:szCs w:val="20"/>
        </w:rPr>
      </w:pPr>
    </w:p>
    <w:p w:rsidR="006C2A83" w:rsidRPr="006C2A83" w:rsidRDefault="006C2A83" w:rsidP="006C2A83">
      <w:pPr>
        <w:spacing w:after="120"/>
        <w:rPr>
          <w:rFonts w:asciiTheme="minorHAnsi" w:hAnsiTheme="minorHAnsi"/>
        </w:rPr>
      </w:pPr>
      <w:r>
        <w:rPr>
          <w:rFonts w:asciiTheme="minorHAnsi" w:hAnsiTheme="minorHAnsi"/>
        </w:rPr>
        <w:t xml:space="preserve">The redacted table shows that at Year 6, the estimated number of </w:t>
      </w:r>
      <w:r w:rsidR="00912845">
        <w:rPr>
          <w:rFonts w:asciiTheme="minorHAnsi" w:hAnsiTheme="minorHAnsi"/>
        </w:rPr>
        <w:t>prescriptions</w:t>
      </w:r>
      <w:r>
        <w:rPr>
          <w:rFonts w:asciiTheme="minorHAnsi" w:hAnsiTheme="minorHAnsi"/>
        </w:rPr>
        <w:t xml:space="preserve"> was</w:t>
      </w:r>
      <w:r w:rsidR="0032607F">
        <w:rPr>
          <w:rFonts w:asciiTheme="minorHAnsi" w:hAnsiTheme="minorHAnsi"/>
        </w:rPr>
        <w:t xml:space="preserve"> more </w:t>
      </w:r>
      <w:r>
        <w:rPr>
          <w:rFonts w:asciiTheme="minorHAnsi" w:hAnsiTheme="minorHAnsi"/>
        </w:rPr>
        <w:t xml:space="preserve">than 10,000. </w:t>
      </w:r>
    </w:p>
    <w:p w:rsidR="005A304E" w:rsidRPr="005A304E" w:rsidRDefault="005A304E" w:rsidP="00FC3647">
      <w:pPr>
        <w:pStyle w:val="ListParagraph"/>
        <w:widowControl/>
        <w:numPr>
          <w:ilvl w:val="1"/>
          <w:numId w:val="5"/>
        </w:numPr>
        <w:spacing w:after="120"/>
        <w:contextualSpacing w:val="0"/>
        <w:rPr>
          <w:rFonts w:asciiTheme="minorHAnsi" w:hAnsiTheme="minorHAnsi"/>
          <w:sz w:val="24"/>
          <w:szCs w:val="24"/>
        </w:rPr>
      </w:pPr>
      <w:r w:rsidRPr="005A304E">
        <w:rPr>
          <w:rFonts w:asciiTheme="minorHAnsi" w:hAnsiTheme="minorHAnsi"/>
          <w:sz w:val="24"/>
          <w:szCs w:val="24"/>
        </w:rPr>
        <w:t xml:space="preserve">The minor submission also estimated no net impact to the MBS. </w:t>
      </w:r>
    </w:p>
    <w:p w:rsidR="00FC3647" w:rsidRDefault="00FC3647" w:rsidP="00FC3647">
      <w:pPr>
        <w:pStyle w:val="ListParagraph"/>
        <w:widowControl/>
        <w:numPr>
          <w:ilvl w:val="1"/>
          <w:numId w:val="5"/>
        </w:numPr>
        <w:spacing w:after="120"/>
        <w:contextualSpacing w:val="0"/>
        <w:rPr>
          <w:rFonts w:asciiTheme="minorHAnsi" w:hAnsiTheme="minorHAnsi"/>
          <w:i/>
          <w:sz w:val="24"/>
          <w:szCs w:val="24"/>
        </w:rPr>
      </w:pPr>
      <w:r w:rsidRPr="000E1C9C">
        <w:rPr>
          <w:rFonts w:asciiTheme="minorHAnsi" w:hAnsiTheme="minorHAnsi"/>
          <w:sz w:val="24"/>
          <w:szCs w:val="24"/>
        </w:rPr>
        <w:t>As a minor submission, the financial estimates have not been independently evaluated</w:t>
      </w:r>
      <w:r w:rsidRPr="005A304E">
        <w:rPr>
          <w:rFonts w:asciiTheme="minorHAnsi" w:hAnsiTheme="minorHAnsi"/>
          <w:i/>
          <w:sz w:val="24"/>
          <w:szCs w:val="24"/>
        </w:rPr>
        <w:t>.</w:t>
      </w:r>
    </w:p>
    <w:p w:rsidR="00C7585B" w:rsidRPr="00C7585B" w:rsidRDefault="00C7585B" w:rsidP="00C7585B">
      <w:pPr>
        <w:pStyle w:val="Heading2"/>
        <w:spacing w:after="120"/>
        <w:rPr>
          <w:rFonts w:asciiTheme="minorHAnsi" w:hAnsiTheme="minorHAnsi" w:cstheme="minorHAnsi"/>
          <w:sz w:val="28"/>
          <w:szCs w:val="28"/>
        </w:rPr>
      </w:pPr>
      <w:r w:rsidRPr="00C7585B">
        <w:rPr>
          <w:rFonts w:asciiTheme="minorHAnsi" w:hAnsiTheme="minorHAnsi" w:cstheme="minorHAnsi"/>
          <w:sz w:val="28"/>
          <w:szCs w:val="28"/>
        </w:rPr>
        <w:lastRenderedPageBreak/>
        <w:t>Quality use of medicines</w:t>
      </w:r>
    </w:p>
    <w:p w:rsidR="005A304E" w:rsidRPr="00C7585B" w:rsidRDefault="00C7585B" w:rsidP="00FC3647">
      <w:pPr>
        <w:pStyle w:val="ListParagraph"/>
        <w:widowControl/>
        <w:numPr>
          <w:ilvl w:val="1"/>
          <w:numId w:val="5"/>
        </w:numPr>
        <w:spacing w:after="120"/>
        <w:contextualSpacing w:val="0"/>
        <w:rPr>
          <w:rFonts w:asciiTheme="minorHAnsi" w:hAnsiTheme="minorHAnsi"/>
          <w:sz w:val="24"/>
          <w:szCs w:val="24"/>
        </w:rPr>
      </w:pPr>
      <w:r w:rsidRPr="00C7585B">
        <w:rPr>
          <w:rFonts w:asciiTheme="minorHAnsi" w:hAnsiTheme="minorHAnsi"/>
          <w:sz w:val="24"/>
          <w:szCs w:val="24"/>
        </w:rPr>
        <w:t>The minor submission noted that the exact dose and number of injection sites should be tailored to the individual based on the size, number and location of muscles involved, the severity of the spasticity, presence of local muscle weakness, and the patient response to previous treatment.</w:t>
      </w:r>
    </w:p>
    <w:p w:rsidR="00C7585B" w:rsidRDefault="00C7585B" w:rsidP="00FC3647">
      <w:pPr>
        <w:pStyle w:val="ListParagraph"/>
        <w:widowControl/>
        <w:numPr>
          <w:ilvl w:val="1"/>
          <w:numId w:val="5"/>
        </w:numPr>
        <w:spacing w:after="120"/>
        <w:contextualSpacing w:val="0"/>
        <w:rPr>
          <w:rFonts w:asciiTheme="minorHAnsi" w:hAnsiTheme="minorHAnsi"/>
          <w:sz w:val="24"/>
          <w:szCs w:val="24"/>
        </w:rPr>
      </w:pPr>
      <w:r w:rsidRPr="00C7585B">
        <w:rPr>
          <w:rFonts w:asciiTheme="minorHAnsi" w:hAnsiTheme="minorHAnsi"/>
          <w:sz w:val="24"/>
          <w:szCs w:val="24"/>
        </w:rPr>
        <w:t>In addition, the units used to express the potency of BOTOX</w:t>
      </w:r>
      <w:r>
        <w:rPr>
          <w:rFonts w:asciiTheme="minorHAnsi" w:hAnsiTheme="minorHAnsi" w:cstheme="minorHAnsi"/>
          <w:sz w:val="24"/>
          <w:szCs w:val="24"/>
        </w:rPr>
        <w:t>®</w:t>
      </w:r>
      <w:r w:rsidRPr="00C7585B">
        <w:rPr>
          <w:rFonts w:asciiTheme="minorHAnsi" w:hAnsiTheme="minorHAnsi"/>
          <w:sz w:val="24"/>
          <w:szCs w:val="24"/>
        </w:rPr>
        <w:t xml:space="preserve"> and Dysport</w:t>
      </w:r>
      <w:r>
        <w:rPr>
          <w:rFonts w:asciiTheme="minorHAnsi" w:hAnsiTheme="minorHAnsi" w:cstheme="minorHAnsi"/>
          <w:sz w:val="24"/>
          <w:szCs w:val="24"/>
        </w:rPr>
        <w:t>®</w:t>
      </w:r>
      <w:r w:rsidRPr="00C7585B">
        <w:rPr>
          <w:rFonts w:asciiTheme="minorHAnsi" w:hAnsiTheme="minorHAnsi"/>
          <w:sz w:val="24"/>
          <w:szCs w:val="24"/>
        </w:rPr>
        <w:t xml:space="preserve"> are not equivalent and extreme caution is required if it is necessary to substitute one brand for another.</w:t>
      </w:r>
    </w:p>
    <w:p w:rsidR="00DF2235" w:rsidRDefault="00DF2235" w:rsidP="00DF2235">
      <w:pPr>
        <w:pStyle w:val="ListParagraph"/>
        <w:widowControl/>
        <w:spacing w:after="120"/>
        <w:contextualSpacing w:val="0"/>
        <w:rPr>
          <w:rFonts w:asciiTheme="minorHAnsi" w:hAnsiTheme="minorHAnsi"/>
          <w:i/>
          <w:sz w:val="24"/>
          <w:szCs w:val="24"/>
        </w:rPr>
      </w:pPr>
      <w:r w:rsidRPr="00DF2235">
        <w:rPr>
          <w:rFonts w:asciiTheme="minorHAnsi" w:hAnsiTheme="minorHAnsi"/>
          <w:i/>
          <w:sz w:val="24"/>
          <w:szCs w:val="24"/>
        </w:rPr>
        <w:t xml:space="preserve">For more detail on PBAC’s view, see section </w:t>
      </w:r>
      <w:r w:rsidR="006C64F7">
        <w:rPr>
          <w:rFonts w:asciiTheme="minorHAnsi" w:hAnsiTheme="minorHAnsi"/>
          <w:i/>
          <w:sz w:val="24"/>
          <w:szCs w:val="24"/>
        </w:rPr>
        <w:t>6</w:t>
      </w:r>
      <w:r w:rsidRPr="00DF2235">
        <w:rPr>
          <w:rFonts w:asciiTheme="minorHAnsi" w:hAnsiTheme="minorHAnsi"/>
          <w:i/>
          <w:sz w:val="24"/>
          <w:szCs w:val="24"/>
        </w:rPr>
        <w:t xml:space="preserve"> PBAC outcome.</w:t>
      </w:r>
    </w:p>
    <w:p w:rsidR="0051464A" w:rsidRPr="00D52702" w:rsidRDefault="0051464A" w:rsidP="0020570B">
      <w:pPr>
        <w:pStyle w:val="Heading1"/>
        <w:keepNext/>
        <w:keepLines/>
        <w:widowControl/>
        <w:numPr>
          <w:ilvl w:val="0"/>
          <w:numId w:val="5"/>
        </w:numPr>
        <w:spacing w:before="240" w:after="120"/>
        <w:ind w:left="709" w:hanging="709"/>
        <w:contextualSpacing w:val="0"/>
        <w:jc w:val="left"/>
        <w:rPr>
          <w:rFonts w:asciiTheme="minorHAnsi" w:hAnsiTheme="minorHAnsi"/>
          <w:b w:val="0"/>
          <w:bCs/>
          <w:sz w:val="32"/>
        </w:rPr>
      </w:pPr>
      <w:r w:rsidRPr="00E420B9">
        <w:rPr>
          <w:rFonts w:asciiTheme="minorHAnsi" w:hAnsiTheme="minorHAnsi"/>
          <w:sz w:val="32"/>
          <w:szCs w:val="32"/>
        </w:rPr>
        <w:t>PBAC</w:t>
      </w:r>
      <w:r w:rsidRPr="00D52702">
        <w:rPr>
          <w:rFonts w:asciiTheme="minorHAnsi" w:hAnsiTheme="minorHAnsi"/>
          <w:b w:val="0"/>
          <w:bCs/>
          <w:sz w:val="32"/>
        </w:rPr>
        <w:t xml:space="preserve"> </w:t>
      </w:r>
      <w:r w:rsidRPr="00E420B9">
        <w:rPr>
          <w:rFonts w:asciiTheme="minorHAnsi" w:hAnsiTheme="minorHAnsi"/>
          <w:sz w:val="32"/>
          <w:szCs w:val="32"/>
        </w:rPr>
        <w:t>Outcome</w:t>
      </w:r>
    </w:p>
    <w:p w:rsidR="00F04F4C" w:rsidRDefault="00F04F4C"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recommended an extension of the current Section 100 (Botulinum Toxin Program), Authority Required (STREAMLINED) listing for botulinum toxin (BOTOX</w:t>
      </w:r>
      <w:r w:rsidR="00B36D2A">
        <w:rPr>
          <w:rFonts w:asciiTheme="minorHAnsi" w:hAnsiTheme="minorHAnsi" w:cstheme="minorHAnsi"/>
          <w:bCs/>
          <w:snapToGrid w:val="0"/>
          <w:lang w:val="en-GB"/>
        </w:rPr>
        <w:t>®</w:t>
      </w:r>
      <w:r>
        <w:rPr>
          <w:rFonts w:asciiTheme="minorHAnsi" w:hAnsiTheme="minorHAnsi" w:cs="Arial"/>
          <w:bCs/>
          <w:snapToGrid w:val="0"/>
          <w:lang w:val="en-GB"/>
        </w:rPr>
        <w:t>) for treatment of moderate to severe focal spasticity of the upper limb following a stroke, to also include spasticity following acute events other than stroke. The PBAC</w:t>
      </w:r>
      <w:r w:rsidR="00CA05D3">
        <w:rPr>
          <w:rFonts w:asciiTheme="minorHAnsi" w:hAnsiTheme="minorHAnsi" w:cs="Arial"/>
          <w:bCs/>
          <w:snapToGrid w:val="0"/>
          <w:lang w:val="en-GB"/>
        </w:rPr>
        <w:t xml:space="preserve"> was satisfied that BOTOX</w:t>
      </w:r>
      <w:r w:rsidR="00CA05D3">
        <w:rPr>
          <w:rFonts w:asciiTheme="minorHAnsi" w:hAnsiTheme="minorHAnsi" w:cstheme="minorHAnsi"/>
          <w:bCs/>
          <w:snapToGrid w:val="0"/>
          <w:lang w:val="en-GB"/>
        </w:rPr>
        <w:t>®</w:t>
      </w:r>
      <w:r w:rsidR="00CA05D3">
        <w:rPr>
          <w:rFonts w:asciiTheme="minorHAnsi" w:hAnsiTheme="minorHAnsi" w:cs="Arial"/>
          <w:bCs/>
          <w:snapToGrid w:val="0"/>
          <w:lang w:val="en-GB"/>
        </w:rPr>
        <w:t xml:space="preserve"> was non inferior to Dysport</w:t>
      </w:r>
      <w:r w:rsidR="00CA05D3">
        <w:rPr>
          <w:rFonts w:asciiTheme="minorHAnsi" w:hAnsiTheme="minorHAnsi" w:cstheme="minorHAnsi"/>
          <w:bCs/>
          <w:snapToGrid w:val="0"/>
          <w:lang w:val="en-GB"/>
        </w:rPr>
        <w:t>®</w:t>
      </w:r>
      <w:r w:rsidR="00CA05D3">
        <w:rPr>
          <w:rFonts w:asciiTheme="minorHAnsi" w:hAnsiTheme="minorHAnsi" w:cs="Arial"/>
          <w:bCs/>
          <w:snapToGrid w:val="0"/>
          <w:lang w:val="en-GB"/>
        </w:rPr>
        <w:t xml:space="preserve"> in terms of comparative efficacy and safety</w:t>
      </w:r>
      <w:r>
        <w:rPr>
          <w:rFonts w:asciiTheme="minorHAnsi" w:hAnsiTheme="minorHAnsi" w:cs="Arial"/>
          <w:bCs/>
          <w:snapToGrid w:val="0"/>
          <w:lang w:val="en-GB"/>
        </w:rPr>
        <w:t>.</w:t>
      </w:r>
    </w:p>
    <w:p w:rsidR="00E11059" w:rsidRDefault="00E11059"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request to add additional acute aetiologies, including traumatic brain and spinal cord injuries, to </w:t>
      </w:r>
      <w:r w:rsidR="00FD152A">
        <w:rPr>
          <w:rFonts w:asciiTheme="minorHAnsi" w:hAnsiTheme="minorHAnsi" w:cs="Arial"/>
          <w:bCs/>
          <w:snapToGrid w:val="0"/>
          <w:lang w:val="en-GB"/>
        </w:rPr>
        <w:t xml:space="preserve">the </w:t>
      </w:r>
      <w:r w:rsidR="00F43C09">
        <w:rPr>
          <w:rFonts w:asciiTheme="minorHAnsi" w:hAnsiTheme="minorHAnsi" w:cs="Arial"/>
          <w:bCs/>
          <w:snapToGrid w:val="0"/>
          <w:lang w:val="en-GB"/>
        </w:rPr>
        <w:t xml:space="preserve">upper limb </w:t>
      </w:r>
      <w:r w:rsidR="00FD152A">
        <w:rPr>
          <w:rFonts w:asciiTheme="minorHAnsi" w:hAnsiTheme="minorHAnsi" w:cs="Arial"/>
          <w:bCs/>
          <w:snapToGrid w:val="0"/>
          <w:lang w:val="en-GB"/>
        </w:rPr>
        <w:t>focal spasticity restriction</w:t>
      </w:r>
      <w:r>
        <w:rPr>
          <w:rFonts w:asciiTheme="minorHAnsi" w:hAnsiTheme="minorHAnsi" w:cs="Arial"/>
          <w:bCs/>
          <w:snapToGrid w:val="0"/>
          <w:lang w:val="en-GB"/>
        </w:rPr>
        <w:t xml:space="preserve"> was supported by the Rehabilitation Medicine Society of Australia and New Zealand (RMSANZ). </w:t>
      </w:r>
    </w:p>
    <w:p w:rsidR="00F04F4C" w:rsidRDefault="0020570B"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7D3418">
        <w:rPr>
          <w:rFonts w:asciiTheme="minorHAnsi" w:hAnsiTheme="minorHAnsi" w:cs="Arial"/>
          <w:bCs/>
          <w:snapToGrid w:val="0"/>
          <w:lang w:val="en-GB"/>
        </w:rPr>
        <w:t xml:space="preserve">noted </w:t>
      </w:r>
      <w:r w:rsidR="00AA5DDC">
        <w:rPr>
          <w:rFonts w:asciiTheme="minorHAnsi" w:hAnsiTheme="minorHAnsi" w:cs="Arial"/>
          <w:bCs/>
          <w:snapToGrid w:val="0"/>
          <w:lang w:val="en-GB"/>
        </w:rPr>
        <w:t>th</w:t>
      </w:r>
      <w:r w:rsidR="00E11059">
        <w:rPr>
          <w:rFonts w:asciiTheme="minorHAnsi" w:hAnsiTheme="minorHAnsi" w:cs="Arial"/>
          <w:bCs/>
          <w:snapToGrid w:val="0"/>
          <w:lang w:val="en-GB"/>
        </w:rPr>
        <w:t xml:space="preserve">at the </w:t>
      </w:r>
      <w:r w:rsidR="007D3418">
        <w:rPr>
          <w:rFonts w:asciiTheme="minorHAnsi" w:hAnsiTheme="minorHAnsi" w:cs="Arial"/>
          <w:bCs/>
          <w:snapToGrid w:val="0"/>
          <w:lang w:val="en-GB"/>
        </w:rPr>
        <w:t xml:space="preserve">proposed </w:t>
      </w:r>
      <w:r w:rsidR="00E11059">
        <w:rPr>
          <w:rFonts w:asciiTheme="minorHAnsi" w:hAnsiTheme="minorHAnsi" w:cs="Arial"/>
          <w:bCs/>
          <w:snapToGrid w:val="0"/>
          <w:lang w:val="en-GB"/>
        </w:rPr>
        <w:t xml:space="preserve">restriction </w:t>
      </w:r>
      <w:r w:rsidR="007D3418">
        <w:rPr>
          <w:rFonts w:asciiTheme="minorHAnsi" w:hAnsiTheme="minorHAnsi" w:cs="Arial"/>
          <w:bCs/>
          <w:snapToGrid w:val="0"/>
          <w:lang w:val="en-GB"/>
        </w:rPr>
        <w:t>was identical to that recommended in March 2019 for Dysport</w:t>
      </w:r>
      <w:r w:rsidR="007D3418">
        <w:rPr>
          <w:rFonts w:asciiTheme="minorHAnsi" w:hAnsiTheme="minorHAnsi" w:cstheme="minorHAnsi"/>
          <w:bCs/>
          <w:snapToGrid w:val="0"/>
          <w:lang w:val="en-GB"/>
        </w:rPr>
        <w:t>®</w:t>
      </w:r>
      <w:r w:rsidR="00B6526D">
        <w:rPr>
          <w:rFonts w:asciiTheme="minorHAnsi" w:hAnsiTheme="minorHAnsi" w:cstheme="minorHAnsi"/>
          <w:bCs/>
          <w:snapToGrid w:val="0"/>
          <w:lang w:val="en-GB"/>
        </w:rPr>
        <w:t xml:space="preserve"> for the same indication. The PBAC recalled that it had previously considered that it would be reasonable for future botulinum toxin restrictions to be consistent in terms of initiation and continuation criteria and lifetime limits (paragraph 5.11, Dysport® PSD, March 2019)</w:t>
      </w:r>
      <w:r w:rsidR="007D3418">
        <w:rPr>
          <w:rFonts w:asciiTheme="minorHAnsi" w:hAnsiTheme="minorHAnsi" w:cs="Arial"/>
          <w:bCs/>
          <w:snapToGrid w:val="0"/>
          <w:lang w:val="en-GB"/>
        </w:rPr>
        <w:t xml:space="preserve">. </w:t>
      </w:r>
    </w:p>
    <w:p w:rsidR="0020570B" w:rsidRDefault="004B4DB2"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w:t>
      </w:r>
      <w:r w:rsidR="007D3418">
        <w:rPr>
          <w:rFonts w:asciiTheme="minorHAnsi" w:hAnsiTheme="minorHAnsi" w:cs="Arial"/>
          <w:bCs/>
          <w:snapToGrid w:val="0"/>
          <w:lang w:val="en-GB"/>
        </w:rPr>
        <w:t>a</w:t>
      </w:r>
      <w:r>
        <w:rPr>
          <w:rFonts w:asciiTheme="minorHAnsi" w:hAnsiTheme="minorHAnsi" w:cs="Arial"/>
          <w:bCs/>
          <w:snapToGrid w:val="0"/>
          <w:lang w:val="en-GB"/>
        </w:rPr>
        <w:t xml:space="preserve"> grandfather restriction</w:t>
      </w:r>
      <w:r w:rsidR="007D3418">
        <w:rPr>
          <w:rFonts w:asciiTheme="minorHAnsi" w:hAnsiTheme="minorHAnsi" w:cs="Arial"/>
          <w:bCs/>
          <w:snapToGrid w:val="0"/>
          <w:lang w:val="en-GB"/>
        </w:rPr>
        <w:t>, identical to the current grandfather restriction for Dysport</w:t>
      </w:r>
      <w:r w:rsidR="007D3418">
        <w:rPr>
          <w:rFonts w:asciiTheme="minorHAnsi" w:hAnsiTheme="minorHAnsi" w:cstheme="minorHAnsi"/>
          <w:bCs/>
          <w:snapToGrid w:val="0"/>
          <w:lang w:val="en-GB"/>
        </w:rPr>
        <w:t>®</w:t>
      </w:r>
      <w:r w:rsidR="007D3418">
        <w:rPr>
          <w:rFonts w:asciiTheme="minorHAnsi" w:hAnsiTheme="minorHAnsi" w:cs="Arial"/>
          <w:bCs/>
          <w:snapToGrid w:val="0"/>
          <w:lang w:val="en-GB"/>
        </w:rPr>
        <w:t>,</w:t>
      </w:r>
      <w:r>
        <w:rPr>
          <w:rFonts w:asciiTheme="minorHAnsi" w:hAnsiTheme="minorHAnsi" w:cs="Arial"/>
          <w:bCs/>
          <w:snapToGrid w:val="0"/>
          <w:lang w:val="en-GB"/>
        </w:rPr>
        <w:t xml:space="preserve"> </w:t>
      </w:r>
      <w:r w:rsidR="007D3418">
        <w:rPr>
          <w:rFonts w:asciiTheme="minorHAnsi" w:hAnsiTheme="minorHAnsi" w:cs="Arial"/>
          <w:bCs/>
          <w:snapToGrid w:val="0"/>
          <w:lang w:val="en-GB"/>
        </w:rPr>
        <w:t>would be appropriate for patients already</w:t>
      </w:r>
      <w:r>
        <w:rPr>
          <w:rFonts w:asciiTheme="minorHAnsi" w:hAnsiTheme="minorHAnsi" w:cs="Arial"/>
          <w:bCs/>
          <w:snapToGrid w:val="0"/>
          <w:lang w:val="en-GB"/>
        </w:rPr>
        <w:t xml:space="preserve"> treated with BOTOX</w:t>
      </w:r>
      <w:r w:rsidR="007D3418">
        <w:rPr>
          <w:rFonts w:asciiTheme="minorHAnsi" w:hAnsiTheme="minorHAnsi" w:cstheme="minorHAnsi"/>
          <w:bCs/>
          <w:snapToGrid w:val="0"/>
          <w:lang w:val="en-GB"/>
        </w:rPr>
        <w:t>® if requested by the sponsor</w:t>
      </w:r>
      <w:r w:rsidR="00063407">
        <w:rPr>
          <w:rFonts w:asciiTheme="minorHAnsi" w:hAnsiTheme="minorHAnsi" w:cstheme="minorHAnsi"/>
          <w:bCs/>
          <w:snapToGrid w:val="0"/>
          <w:lang w:val="en-GB"/>
        </w:rPr>
        <w:t>.</w:t>
      </w:r>
    </w:p>
    <w:p w:rsidR="00AD21EA" w:rsidRDefault="00D64220"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w:t>
      </w:r>
      <w:r w:rsidR="00AD21EA">
        <w:rPr>
          <w:rFonts w:asciiTheme="minorHAnsi" w:hAnsiTheme="minorHAnsi" w:cs="Arial"/>
          <w:bCs/>
          <w:snapToGrid w:val="0"/>
          <w:lang w:val="en-GB"/>
        </w:rPr>
        <w:t>Dysport</w:t>
      </w:r>
      <w:r w:rsidR="007D3418">
        <w:rPr>
          <w:rFonts w:asciiTheme="minorHAnsi" w:hAnsiTheme="minorHAnsi" w:cstheme="minorHAnsi"/>
          <w:bCs/>
          <w:snapToGrid w:val="0"/>
          <w:lang w:val="en-GB"/>
        </w:rPr>
        <w:t>®</w:t>
      </w:r>
      <w:r w:rsidR="00AD21EA">
        <w:rPr>
          <w:rFonts w:asciiTheme="minorHAnsi" w:hAnsiTheme="minorHAnsi" w:cs="Arial"/>
          <w:bCs/>
          <w:snapToGrid w:val="0"/>
          <w:lang w:val="en-GB"/>
        </w:rPr>
        <w:t xml:space="preserve"> was </w:t>
      </w:r>
      <w:r w:rsidR="007D3418">
        <w:rPr>
          <w:rFonts w:asciiTheme="minorHAnsi" w:hAnsiTheme="minorHAnsi" w:cs="Arial"/>
          <w:bCs/>
          <w:snapToGrid w:val="0"/>
          <w:lang w:val="en-GB"/>
        </w:rPr>
        <w:t xml:space="preserve">the </w:t>
      </w:r>
      <w:r w:rsidR="00AD21EA">
        <w:rPr>
          <w:rFonts w:asciiTheme="minorHAnsi" w:hAnsiTheme="minorHAnsi" w:cs="Arial"/>
          <w:bCs/>
          <w:snapToGrid w:val="0"/>
          <w:lang w:val="en-GB"/>
        </w:rPr>
        <w:t>appropriate</w:t>
      </w:r>
      <w:r w:rsidR="007D3418">
        <w:rPr>
          <w:rFonts w:asciiTheme="minorHAnsi" w:hAnsiTheme="minorHAnsi" w:cs="Arial"/>
          <w:bCs/>
          <w:snapToGrid w:val="0"/>
          <w:lang w:val="en-GB"/>
        </w:rPr>
        <w:t xml:space="preserve"> comparator</w:t>
      </w:r>
      <w:r w:rsidR="00063407">
        <w:rPr>
          <w:rFonts w:asciiTheme="minorHAnsi" w:hAnsiTheme="minorHAnsi" w:cs="Arial"/>
          <w:bCs/>
          <w:snapToGrid w:val="0"/>
          <w:lang w:val="en-GB"/>
        </w:rPr>
        <w:t>.</w:t>
      </w:r>
    </w:p>
    <w:p w:rsidR="003552B0" w:rsidRDefault="003552B0"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basis of the minor submission was evidence from six small, randomised trials which included patients with spasticity due to a broad range of aetiologies and </w:t>
      </w:r>
      <w:r w:rsidR="00063407">
        <w:rPr>
          <w:rFonts w:asciiTheme="minorHAnsi" w:hAnsiTheme="minorHAnsi" w:cs="Arial"/>
          <w:bCs/>
          <w:snapToGrid w:val="0"/>
          <w:lang w:val="en-GB"/>
        </w:rPr>
        <w:t xml:space="preserve">which </w:t>
      </w:r>
      <w:r>
        <w:rPr>
          <w:rFonts w:asciiTheme="minorHAnsi" w:hAnsiTheme="minorHAnsi" w:cs="Arial"/>
          <w:bCs/>
          <w:snapToGrid w:val="0"/>
          <w:lang w:val="en-GB"/>
        </w:rPr>
        <w:t>were previously considered by the PBAC as part of the sponsor’s response to the July 2018 proposal from the RMSANZ.  The PBAC considered that the evidence was of a low quality</w:t>
      </w:r>
      <w:r w:rsidR="00F43C09">
        <w:rPr>
          <w:rFonts w:asciiTheme="minorHAnsi" w:hAnsiTheme="minorHAnsi" w:cs="Arial"/>
          <w:bCs/>
          <w:snapToGrid w:val="0"/>
          <w:lang w:val="en-GB"/>
        </w:rPr>
        <w:t xml:space="preserve"> and that small patient numbers and varying patient and trial characteristics meant it was not feasible to conduct an indirect comparison between BOTOX</w:t>
      </w:r>
      <w:r w:rsidR="00F43C09">
        <w:rPr>
          <w:rFonts w:asciiTheme="minorHAnsi" w:hAnsiTheme="minorHAnsi" w:cstheme="minorHAnsi"/>
          <w:bCs/>
          <w:snapToGrid w:val="0"/>
          <w:lang w:val="en-GB"/>
        </w:rPr>
        <w:t>®</w:t>
      </w:r>
      <w:r w:rsidR="00F43C09">
        <w:rPr>
          <w:rFonts w:asciiTheme="minorHAnsi" w:hAnsiTheme="minorHAnsi" w:cs="Arial"/>
          <w:bCs/>
          <w:snapToGrid w:val="0"/>
          <w:lang w:val="en-GB"/>
        </w:rPr>
        <w:t xml:space="preserve"> and Dysport</w:t>
      </w:r>
      <w:r w:rsidR="00F43C09">
        <w:rPr>
          <w:rFonts w:asciiTheme="minorHAnsi" w:hAnsiTheme="minorHAnsi" w:cstheme="minorHAnsi"/>
          <w:bCs/>
          <w:snapToGrid w:val="0"/>
          <w:lang w:val="en-GB"/>
        </w:rPr>
        <w:t>®</w:t>
      </w:r>
      <w:r w:rsidR="00F43C09">
        <w:rPr>
          <w:rFonts w:asciiTheme="minorHAnsi" w:hAnsiTheme="minorHAnsi" w:cs="Arial"/>
          <w:bCs/>
          <w:snapToGrid w:val="0"/>
          <w:lang w:val="en-GB"/>
        </w:rPr>
        <w:t xml:space="preserve">. The PBAC </w:t>
      </w:r>
      <w:r>
        <w:rPr>
          <w:rFonts w:asciiTheme="minorHAnsi" w:hAnsiTheme="minorHAnsi" w:cs="Arial"/>
          <w:bCs/>
          <w:snapToGrid w:val="0"/>
          <w:lang w:val="en-GB"/>
        </w:rPr>
        <w:t>noted that it had previously considered that, despite the lack of clinical trials in these populations, the request was reasonable and biologically plausible</w:t>
      </w:r>
      <w:r w:rsidR="00FD152A">
        <w:rPr>
          <w:rFonts w:asciiTheme="minorHAnsi" w:hAnsiTheme="minorHAnsi" w:cs="Arial"/>
          <w:bCs/>
          <w:snapToGrid w:val="0"/>
          <w:lang w:val="en-GB"/>
        </w:rPr>
        <w:t xml:space="preserve"> </w:t>
      </w:r>
      <w:r w:rsidR="00FD152A" w:rsidRPr="00FD152A">
        <w:rPr>
          <w:rFonts w:asciiTheme="minorHAnsi" w:hAnsiTheme="minorHAnsi" w:cstheme="minorHAnsi"/>
        </w:rPr>
        <w:t xml:space="preserve">(paragraph 5.2, Botox® PSD, March 2019; paragraph 7.2, </w:t>
      </w:r>
      <w:r w:rsidR="00FD152A" w:rsidRPr="00FD152A">
        <w:rPr>
          <w:rFonts w:asciiTheme="minorHAnsi" w:hAnsiTheme="minorHAnsi" w:cstheme="minorHAnsi"/>
        </w:rPr>
        <w:lastRenderedPageBreak/>
        <w:t>Dysport® PSD, July 2019)</w:t>
      </w:r>
      <w:r w:rsidRPr="00FD152A">
        <w:rPr>
          <w:rFonts w:asciiTheme="minorHAnsi" w:hAnsiTheme="minorHAnsi" w:cstheme="minorHAnsi"/>
          <w:bCs/>
          <w:snapToGrid w:val="0"/>
          <w:lang w:val="en-GB"/>
        </w:rPr>
        <w:t>.</w:t>
      </w:r>
      <w:r w:rsidR="00B374F4">
        <w:rPr>
          <w:rFonts w:asciiTheme="minorHAnsi" w:hAnsiTheme="minorHAnsi" w:cs="Arial"/>
          <w:bCs/>
          <w:snapToGrid w:val="0"/>
          <w:lang w:val="en-GB"/>
        </w:rPr>
        <w:t xml:space="preserve"> Therefore</w:t>
      </w:r>
      <w:r w:rsidR="00063407">
        <w:rPr>
          <w:rFonts w:asciiTheme="minorHAnsi" w:hAnsiTheme="minorHAnsi" w:cs="Arial"/>
          <w:bCs/>
          <w:snapToGrid w:val="0"/>
          <w:lang w:val="en-GB"/>
        </w:rPr>
        <w:t>,</w:t>
      </w:r>
      <w:r w:rsidR="00B374F4">
        <w:rPr>
          <w:rFonts w:asciiTheme="minorHAnsi" w:hAnsiTheme="minorHAnsi" w:cs="Arial"/>
          <w:bCs/>
          <w:snapToGrid w:val="0"/>
          <w:lang w:val="en-GB"/>
        </w:rPr>
        <w:t xml:space="preserve"> the PBAC considered that BOTOX</w:t>
      </w:r>
      <w:r w:rsidR="00B374F4">
        <w:rPr>
          <w:rFonts w:asciiTheme="minorHAnsi" w:hAnsiTheme="minorHAnsi" w:cstheme="minorHAnsi"/>
          <w:bCs/>
          <w:snapToGrid w:val="0"/>
          <w:lang w:val="en-GB"/>
        </w:rPr>
        <w:t>®</w:t>
      </w:r>
      <w:r w:rsidR="00B374F4">
        <w:rPr>
          <w:rFonts w:asciiTheme="minorHAnsi" w:hAnsiTheme="minorHAnsi" w:cs="Arial"/>
          <w:bCs/>
          <w:snapToGrid w:val="0"/>
          <w:lang w:val="en-GB"/>
        </w:rPr>
        <w:t xml:space="preserve"> was likely to be non-inferior in terms of comparative efficacy and safety to Dysport</w:t>
      </w:r>
      <w:r w:rsidR="00B374F4">
        <w:rPr>
          <w:rFonts w:asciiTheme="minorHAnsi" w:hAnsiTheme="minorHAnsi" w:cstheme="minorHAnsi"/>
          <w:bCs/>
          <w:snapToGrid w:val="0"/>
          <w:lang w:val="en-GB"/>
        </w:rPr>
        <w:t>®</w:t>
      </w:r>
      <w:r w:rsidR="00B374F4">
        <w:rPr>
          <w:rFonts w:asciiTheme="minorHAnsi" w:hAnsiTheme="minorHAnsi" w:cs="Arial"/>
          <w:bCs/>
          <w:snapToGrid w:val="0"/>
          <w:lang w:val="en-GB"/>
        </w:rPr>
        <w:t xml:space="preserve"> in patients with focal upper limb spasticity due to an acute event.</w:t>
      </w:r>
    </w:p>
    <w:p w:rsidR="00B374F4" w:rsidRDefault="00B374F4"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minor submission presented a cost minimisation analysis </w:t>
      </w:r>
      <w:r w:rsidR="005201F8">
        <w:rPr>
          <w:rFonts w:asciiTheme="minorHAnsi" w:hAnsiTheme="minorHAnsi" w:cs="Arial"/>
          <w:bCs/>
          <w:snapToGrid w:val="0"/>
          <w:lang w:val="en-GB"/>
        </w:rPr>
        <w:t>between BOTOX</w:t>
      </w:r>
      <w:r w:rsidR="005201F8">
        <w:rPr>
          <w:rFonts w:asciiTheme="minorHAnsi" w:hAnsiTheme="minorHAnsi" w:cstheme="minorHAnsi"/>
          <w:bCs/>
          <w:snapToGrid w:val="0"/>
          <w:lang w:val="en-GB"/>
        </w:rPr>
        <w:t>®</w:t>
      </w:r>
      <w:r w:rsidR="005201F8">
        <w:rPr>
          <w:rFonts w:asciiTheme="minorHAnsi" w:hAnsiTheme="minorHAnsi" w:cs="Arial"/>
          <w:bCs/>
          <w:snapToGrid w:val="0"/>
          <w:lang w:val="en-GB"/>
        </w:rPr>
        <w:t xml:space="preserve"> and Dysport</w:t>
      </w:r>
      <w:r w:rsidR="005201F8">
        <w:rPr>
          <w:rFonts w:asciiTheme="minorHAnsi" w:hAnsiTheme="minorHAnsi" w:cstheme="minorHAnsi"/>
          <w:bCs/>
          <w:snapToGrid w:val="0"/>
          <w:lang w:val="en-GB"/>
        </w:rPr>
        <w:t>®</w:t>
      </w:r>
      <w:r w:rsidR="005201F8">
        <w:rPr>
          <w:rFonts w:asciiTheme="minorHAnsi" w:hAnsiTheme="minorHAnsi" w:cs="Arial"/>
          <w:bCs/>
          <w:snapToGrid w:val="0"/>
          <w:lang w:val="en-GB"/>
        </w:rPr>
        <w:t xml:space="preserve"> </w:t>
      </w:r>
      <w:r>
        <w:rPr>
          <w:rFonts w:asciiTheme="minorHAnsi" w:hAnsiTheme="minorHAnsi" w:cs="Arial"/>
          <w:bCs/>
          <w:snapToGrid w:val="0"/>
          <w:lang w:val="en-GB"/>
        </w:rPr>
        <w:t xml:space="preserve">based on the equi-effective doses and dose relativities previously accepted </w:t>
      </w:r>
      <w:r w:rsidR="005201F8">
        <w:rPr>
          <w:rFonts w:asciiTheme="minorHAnsi" w:hAnsiTheme="minorHAnsi" w:cs="Arial"/>
          <w:bCs/>
          <w:snapToGrid w:val="0"/>
          <w:lang w:val="en-GB"/>
        </w:rPr>
        <w:t xml:space="preserve">for upper limb spasticity following a stroke </w:t>
      </w:r>
      <w:r>
        <w:rPr>
          <w:rFonts w:asciiTheme="minorHAnsi" w:hAnsiTheme="minorHAnsi" w:cs="Arial"/>
          <w:bCs/>
          <w:snapToGrid w:val="0"/>
          <w:lang w:val="en-GB"/>
        </w:rPr>
        <w:t>in July 2008.</w:t>
      </w:r>
    </w:p>
    <w:p w:rsidR="005201F8" w:rsidRDefault="005201F8"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considered that the equi-effective doses nominated in the minor resubmission (BOTOX</w:t>
      </w:r>
      <w:r>
        <w:rPr>
          <w:rFonts w:asciiTheme="minorHAnsi" w:hAnsiTheme="minorHAnsi" w:cstheme="minorHAnsi"/>
          <w:bCs/>
          <w:snapToGrid w:val="0"/>
          <w:lang w:val="en-GB"/>
        </w:rPr>
        <w:t>®</w:t>
      </w:r>
      <w:r>
        <w:rPr>
          <w:rFonts w:asciiTheme="minorHAnsi" w:hAnsiTheme="minorHAnsi" w:cs="Arial"/>
          <w:bCs/>
          <w:snapToGrid w:val="0"/>
          <w:lang w:val="en-GB"/>
        </w:rPr>
        <w:t xml:space="preserve"> 1U = Dysport</w:t>
      </w:r>
      <w:r>
        <w:rPr>
          <w:rFonts w:asciiTheme="minorHAnsi" w:hAnsiTheme="minorHAnsi" w:cstheme="minorHAnsi"/>
          <w:bCs/>
          <w:snapToGrid w:val="0"/>
          <w:lang w:val="en-GB"/>
        </w:rPr>
        <w:t>®</w:t>
      </w:r>
      <w:r>
        <w:rPr>
          <w:rFonts w:asciiTheme="minorHAnsi" w:hAnsiTheme="minorHAnsi" w:cs="Arial"/>
          <w:bCs/>
          <w:snapToGrid w:val="0"/>
          <w:lang w:val="en-GB"/>
        </w:rPr>
        <w:t xml:space="preserve"> 4.3U) were not appropriate due to:</w:t>
      </w:r>
    </w:p>
    <w:p w:rsidR="005201F8" w:rsidRDefault="00B53767" w:rsidP="00431DFB">
      <w:pPr>
        <w:widowControl w:val="0"/>
        <w:numPr>
          <w:ilvl w:val="1"/>
          <w:numId w:val="31"/>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t</w:t>
      </w:r>
      <w:r w:rsidR="005201F8">
        <w:rPr>
          <w:rFonts w:asciiTheme="minorHAnsi" w:hAnsiTheme="minorHAnsi" w:cs="Arial"/>
          <w:bCs/>
          <w:snapToGrid w:val="0"/>
          <w:lang w:val="en-GB"/>
        </w:rPr>
        <w:t>he lack of comparative data in upper limb spasticity following an acute event other than stroke;</w:t>
      </w:r>
    </w:p>
    <w:p w:rsidR="005201F8" w:rsidRDefault="00B53767" w:rsidP="00431DFB">
      <w:pPr>
        <w:widowControl w:val="0"/>
        <w:numPr>
          <w:ilvl w:val="1"/>
          <w:numId w:val="31"/>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t</w:t>
      </w:r>
      <w:r w:rsidR="005201F8">
        <w:rPr>
          <w:rFonts w:asciiTheme="minorHAnsi" w:hAnsiTheme="minorHAnsi" w:cs="Arial"/>
          <w:bCs/>
          <w:snapToGrid w:val="0"/>
          <w:lang w:val="en-GB"/>
        </w:rPr>
        <w:t>he potential use of BOTOX</w:t>
      </w:r>
      <w:r w:rsidR="00666AB5">
        <w:rPr>
          <w:rFonts w:asciiTheme="minorHAnsi" w:hAnsiTheme="minorHAnsi" w:cstheme="minorHAnsi"/>
          <w:bCs/>
          <w:snapToGrid w:val="0"/>
          <w:lang w:val="en-GB"/>
        </w:rPr>
        <w:t>®</w:t>
      </w:r>
      <w:r w:rsidR="005201F8">
        <w:rPr>
          <w:rFonts w:asciiTheme="minorHAnsi" w:hAnsiTheme="minorHAnsi" w:cs="Arial"/>
          <w:bCs/>
          <w:snapToGrid w:val="0"/>
          <w:lang w:val="en-GB"/>
        </w:rPr>
        <w:t xml:space="preserve"> in both the upper and lower limbs of the same patient. The PBAC recalled that it had previously recommended a single price across these in</w:t>
      </w:r>
      <w:r w:rsidR="003B556D">
        <w:rPr>
          <w:rFonts w:asciiTheme="minorHAnsi" w:hAnsiTheme="minorHAnsi" w:cs="Arial"/>
          <w:bCs/>
          <w:snapToGrid w:val="0"/>
          <w:lang w:val="en-GB"/>
        </w:rPr>
        <w:t>d</w:t>
      </w:r>
      <w:r w:rsidR="005201F8">
        <w:rPr>
          <w:rFonts w:asciiTheme="minorHAnsi" w:hAnsiTheme="minorHAnsi" w:cs="Arial"/>
          <w:bCs/>
          <w:snapToGrid w:val="0"/>
          <w:lang w:val="en-GB"/>
        </w:rPr>
        <w:t xml:space="preserve">ications to account for </w:t>
      </w:r>
      <w:r w:rsidR="003B556D">
        <w:rPr>
          <w:rFonts w:asciiTheme="minorHAnsi" w:hAnsiTheme="minorHAnsi" w:cs="Arial"/>
          <w:bCs/>
          <w:snapToGrid w:val="0"/>
          <w:lang w:val="en-GB"/>
        </w:rPr>
        <w:t xml:space="preserve">the resulting </w:t>
      </w:r>
      <w:r w:rsidR="005201F8">
        <w:rPr>
          <w:rFonts w:asciiTheme="minorHAnsi" w:hAnsiTheme="minorHAnsi" w:cs="Arial"/>
          <w:bCs/>
          <w:snapToGrid w:val="0"/>
          <w:lang w:val="en-GB"/>
        </w:rPr>
        <w:t>uncertainties in terms of utilisation and cost effectiveness</w:t>
      </w:r>
      <w:r w:rsidR="003B556D">
        <w:rPr>
          <w:rFonts w:asciiTheme="minorHAnsi" w:hAnsiTheme="minorHAnsi" w:cs="Arial"/>
          <w:bCs/>
          <w:snapToGrid w:val="0"/>
          <w:lang w:val="en-GB"/>
        </w:rPr>
        <w:t xml:space="preserve"> </w:t>
      </w:r>
      <w:r w:rsidR="003B556D" w:rsidRPr="00F43C09">
        <w:rPr>
          <w:rFonts w:asciiTheme="minorHAnsi" w:hAnsiTheme="minorHAnsi" w:cstheme="minorHAnsi"/>
        </w:rPr>
        <w:t>(paragraphs 5.9 and 5.10, Botox® PSD, March 2019; paragraph 7.17, Dysport® PSD, July 2019)</w:t>
      </w:r>
      <w:r w:rsidR="005201F8" w:rsidRPr="003B556D">
        <w:rPr>
          <w:rFonts w:asciiTheme="minorHAnsi" w:hAnsiTheme="minorHAnsi" w:cstheme="minorHAnsi"/>
          <w:bCs/>
          <w:snapToGrid w:val="0"/>
          <w:lang w:val="en-GB"/>
        </w:rPr>
        <w:t>;</w:t>
      </w:r>
      <w:r w:rsidR="005201F8">
        <w:rPr>
          <w:rFonts w:asciiTheme="minorHAnsi" w:hAnsiTheme="minorHAnsi" w:cs="Arial"/>
          <w:bCs/>
          <w:snapToGrid w:val="0"/>
          <w:lang w:val="en-GB"/>
        </w:rPr>
        <w:t xml:space="preserve"> and</w:t>
      </w:r>
    </w:p>
    <w:p w:rsidR="00566556" w:rsidRPr="00566556" w:rsidRDefault="00B53767" w:rsidP="00F43C09">
      <w:pPr>
        <w:widowControl w:val="0"/>
        <w:numPr>
          <w:ilvl w:val="1"/>
          <w:numId w:val="31"/>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t</w:t>
      </w:r>
      <w:r w:rsidR="005201F8">
        <w:rPr>
          <w:rFonts w:asciiTheme="minorHAnsi" w:hAnsiTheme="minorHAnsi" w:cs="Arial"/>
          <w:bCs/>
          <w:snapToGrid w:val="0"/>
          <w:lang w:val="en-GB"/>
        </w:rPr>
        <w:t>he maximum dispensed quantity of BOTOX</w:t>
      </w:r>
      <w:r w:rsidR="00666AB5">
        <w:rPr>
          <w:rFonts w:asciiTheme="minorHAnsi" w:hAnsiTheme="minorHAnsi" w:cstheme="minorHAnsi"/>
          <w:bCs/>
          <w:snapToGrid w:val="0"/>
          <w:lang w:val="en-GB"/>
        </w:rPr>
        <w:t>®</w:t>
      </w:r>
      <w:r w:rsidR="005201F8">
        <w:rPr>
          <w:rFonts w:asciiTheme="minorHAnsi" w:hAnsiTheme="minorHAnsi" w:cs="Arial"/>
          <w:bCs/>
          <w:snapToGrid w:val="0"/>
          <w:lang w:val="en-GB"/>
        </w:rPr>
        <w:t xml:space="preserve"> for upper limb spasticity was 400U</w:t>
      </w:r>
      <w:r w:rsidR="003B556D">
        <w:rPr>
          <w:rFonts w:asciiTheme="minorHAnsi" w:hAnsiTheme="minorHAnsi" w:cs="Arial"/>
          <w:bCs/>
          <w:snapToGrid w:val="0"/>
          <w:lang w:val="en-GB"/>
        </w:rPr>
        <w:t>. In</w:t>
      </w:r>
      <w:r w:rsidR="005201F8">
        <w:rPr>
          <w:rFonts w:asciiTheme="minorHAnsi" w:hAnsiTheme="minorHAnsi" w:cs="Arial"/>
          <w:bCs/>
          <w:snapToGrid w:val="0"/>
          <w:lang w:val="en-GB"/>
        </w:rPr>
        <w:t xml:space="preserve"> July 2019</w:t>
      </w:r>
      <w:r w:rsidR="003B556D">
        <w:rPr>
          <w:rFonts w:asciiTheme="minorHAnsi" w:hAnsiTheme="minorHAnsi" w:cs="Arial"/>
          <w:bCs/>
          <w:snapToGrid w:val="0"/>
          <w:lang w:val="en-GB"/>
        </w:rPr>
        <w:t>, in consideration of lower limb spasticity,</w:t>
      </w:r>
      <w:r w:rsidR="005201F8">
        <w:rPr>
          <w:rFonts w:asciiTheme="minorHAnsi" w:hAnsiTheme="minorHAnsi" w:cs="Arial"/>
          <w:bCs/>
          <w:snapToGrid w:val="0"/>
          <w:lang w:val="en-GB"/>
        </w:rPr>
        <w:t xml:space="preserve"> the PBAC recommended that </w:t>
      </w:r>
      <w:r w:rsidR="003B556D">
        <w:rPr>
          <w:rFonts w:asciiTheme="minorHAnsi" w:hAnsiTheme="minorHAnsi" w:cs="Arial"/>
          <w:bCs/>
          <w:snapToGrid w:val="0"/>
          <w:lang w:val="en-GB"/>
        </w:rPr>
        <w:t>BOTOX</w:t>
      </w:r>
      <w:r w:rsidR="00666AB5">
        <w:rPr>
          <w:rFonts w:asciiTheme="minorHAnsi" w:hAnsiTheme="minorHAnsi" w:cstheme="minorHAnsi"/>
          <w:bCs/>
          <w:snapToGrid w:val="0"/>
          <w:lang w:val="en-GB"/>
        </w:rPr>
        <w:t>®</w:t>
      </w:r>
      <w:r w:rsidR="003B556D">
        <w:rPr>
          <w:rFonts w:asciiTheme="minorHAnsi" w:hAnsiTheme="minorHAnsi" w:cs="Arial"/>
          <w:bCs/>
          <w:snapToGrid w:val="0"/>
          <w:lang w:val="en-GB"/>
        </w:rPr>
        <w:t xml:space="preserve"> 400U was equivalent to Dysport</w:t>
      </w:r>
      <w:r w:rsidR="00666AB5">
        <w:rPr>
          <w:rFonts w:asciiTheme="minorHAnsi" w:hAnsiTheme="minorHAnsi" w:cstheme="minorHAnsi"/>
          <w:bCs/>
          <w:snapToGrid w:val="0"/>
          <w:lang w:val="en-GB"/>
        </w:rPr>
        <w:t>®</w:t>
      </w:r>
      <w:r w:rsidR="003B556D">
        <w:rPr>
          <w:rFonts w:asciiTheme="minorHAnsi" w:hAnsiTheme="minorHAnsi" w:cs="Arial"/>
          <w:bCs/>
          <w:snapToGrid w:val="0"/>
          <w:lang w:val="en-GB"/>
        </w:rPr>
        <w:t xml:space="preserve"> 1500U (i.e. BOTOX</w:t>
      </w:r>
      <w:r w:rsidR="00666AB5">
        <w:rPr>
          <w:rFonts w:asciiTheme="minorHAnsi" w:hAnsiTheme="minorHAnsi" w:cstheme="minorHAnsi"/>
          <w:bCs/>
          <w:snapToGrid w:val="0"/>
          <w:lang w:val="en-GB"/>
        </w:rPr>
        <w:t>®</w:t>
      </w:r>
      <w:r w:rsidR="003B556D">
        <w:rPr>
          <w:rFonts w:asciiTheme="minorHAnsi" w:hAnsiTheme="minorHAnsi" w:cs="Arial"/>
          <w:bCs/>
          <w:snapToGrid w:val="0"/>
          <w:lang w:val="en-GB"/>
        </w:rPr>
        <w:t xml:space="preserve"> 1U = Dysport</w:t>
      </w:r>
      <w:r w:rsidR="00666AB5">
        <w:rPr>
          <w:rFonts w:asciiTheme="minorHAnsi" w:hAnsiTheme="minorHAnsi" w:cstheme="minorHAnsi"/>
          <w:bCs/>
          <w:snapToGrid w:val="0"/>
          <w:lang w:val="en-GB"/>
        </w:rPr>
        <w:t>®</w:t>
      </w:r>
      <w:r w:rsidR="003B556D">
        <w:rPr>
          <w:rFonts w:asciiTheme="minorHAnsi" w:hAnsiTheme="minorHAnsi" w:cs="Arial"/>
          <w:bCs/>
          <w:snapToGrid w:val="0"/>
          <w:lang w:val="en-GB"/>
        </w:rPr>
        <w:t xml:space="preserve"> 3.75U)</w:t>
      </w:r>
      <w:r w:rsidR="005201F8">
        <w:rPr>
          <w:rFonts w:asciiTheme="minorHAnsi" w:hAnsiTheme="minorHAnsi" w:cs="Arial"/>
          <w:bCs/>
          <w:snapToGrid w:val="0"/>
          <w:lang w:val="en-GB"/>
        </w:rPr>
        <w:t>.</w:t>
      </w:r>
    </w:p>
    <w:p w:rsidR="005201F8" w:rsidRDefault="005201F8" w:rsidP="0051464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Therefore, the PBAC considered that the equi-effective doses </w:t>
      </w:r>
      <w:r w:rsidR="003B556D">
        <w:rPr>
          <w:rFonts w:asciiTheme="minorHAnsi" w:hAnsiTheme="minorHAnsi" w:cs="Arial"/>
          <w:bCs/>
          <w:snapToGrid w:val="0"/>
          <w:lang w:val="en-GB"/>
        </w:rPr>
        <w:t>were:</w:t>
      </w:r>
    </w:p>
    <w:p w:rsidR="003B556D" w:rsidRDefault="003B556D" w:rsidP="00F43C09">
      <w:pPr>
        <w:widowControl w:val="0"/>
        <w:spacing w:after="120"/>
        <w:ind w:left="1440"/>
        <w:jc w:val="both"/>
        <w:rPr>
          <w:rFonts w:asciiTheme="minorHAnsi" w:hAnsiTheme="minorHAnsi" w:cs="Arial"/>
          <w:bCs/>
          <w:snapToGrid w:val="0"/>
          <w:lang w:val="en-GB"/>
        </w:rPr>
      </w:pPr>
      <w:r>
        <w:rPr>
          <w:rFonts w:asciiTheme="minorHAnsi" w:hAnsiTheme="minorHAnsi" w:cs="Arial"/>
          <w:bCs/>
          <w:snapToGrid w:val="0"/>
          <w:lang w:val="en-GB"/>
        </w:rPr>
        <w:t>BOTOX</w:t>
      </w:r>
      <w:r w:rsidR="00666AB5">
        <w:rPr>
          <w:rFonts w:asciiTheme="minorHAnsi" w:hAnsiTheme="minorHAnsi" w:cstheme="minorHAnsi"/>
          <w:bCs/>
          <w:snapToGrid w:val="0"/>
          <w:lang w:val="en-GB"/>
        </w:rPr>
        <w:t>®</w:t>
      </w:r>
      <w:r>
        <w:rPr>
          <w:rFonts w:asciiTheme="minorHAnsi" w:hAnsiTheme="minorHAnsi" w:cs="Arial"/>
          <w:bCs/>
          <w:snapToGrid w:val="0"/>
          <w:lang w:val="en-GB"/>
        </w:rPr>
        <w:t xml:space="preserve"> 1U = Dysport</w:t>
      </w:r>
      <w:r w:rsidR="00666AB5">
        <w:rPr>
          <w:rFonts w:asciiTheme="minorHAnsi" w:hAnsiTheme="minorHAnsi" w:cstheme="minorHAnsi"/>
          <w:bCs/>
          <w:snapToGrid w:val="0"/>
          <w:lang w:val="en-GB"/>
        </w:rPr>
        <w:t>®</w:t>
      </w:r>
      <w:r>
        <w:rPr>
          <w:rFonts w:asciiTheme="minorHAnsi" w:hAnsiTheme="minorHAnsi" w:cs="Arial"/>
          <w:bCs/>
          <w:snapToGrid w:val="0"/>
          <w:lang w:val="en-GB"/>
        </w:rPr>
        <w:t xml:space="preserve"> 3.75U</w:t>
      </w:r>
    </w:p>
    <w:p w:rsidR="003B556D" w:rsidRPr="00654C17" w:rsidRDefault="003B556D" w:rsidP="00654C17">
      <w:pPr>
        <w:pStyle w:val="3Bodytext"/>
        <w:numPr>
          <w:ilvl w:val="1"/>
          <w:numId w:val="5"/>
        </w:numPr>
        <w:rPr>
          <w:rFonts w:eastAsia="Times New Roman" w:cs="Arial"/>
          <w:bCs/>
          <w:snapToGrid w:val="0"/>
          <w:szCs w:val="24"/>
          <w:lang w:val="en-GB" w:eastAsia="en-AU"/>
        </w:rPr>
      </w:pPr>
      <w:r>
        <w:rPr>
          <w:rFonts w:eastAsia="Times New Roman" w:cs="Arial"/>
          <w:bCs/>
          <w:snapToGrid w:val="0"/>
          <w:szCs w:val="24"/>
          <w:lang w:val="en-GB" w:eastAsia="en-AU"/>
        </w:rPr>
        <w:t xml:space="preserve">The PBAC, noting the </w:t>
      </w:r>
      <w:r w:rsidR="00666AB5">
        <w:rPr>
          <w:rFonts w:eastAsia="Times New Roman" w:cs="Arial"/>
          <w:bCs/>
          <w:snapToGrid w:val="0"/>
          <w:szCs w:val="24"/>
          <w:lang w:val="en-GB" w:eastAsia="en-AU"/>
        </w:rPr>
        <w:t>financial estimates,</w:t>
      </w:r>
      <w:r>
        <w:rPr>
          <w:rFonts w:eastAsia="Times New Roman" w:cs="Arial"/>
          <w:bCs/>
          <w:snapToGrid w:val="0"/>
          <w:szCs w:val="24"/>
          <w:lang w:val="en-GB" w:eastAsia="en-AU"/>
        </w:rPr>
        <w:t xml:space="preserve"> considered that the extension of the listing for BOTOX</w:t>
      </w:r>
      <w:r w:rsidR="00666AB5">
        <w:rPr>
          <w:rFonts w:eastAsia="Times New Roman" w:cstheme="minorHAnsi"/>
          <w:bCs/>
          <w:snapToGrid w:val="0"/>
          <w:szCs w:val="24"/>
          <w:lang w:val="en-GB" w:eastAsia="en-AU"/>
        </w:rPr>
        <w:t>®</w:t>
      </w:r>
      <w:r w:rsidR="00666AB5">
        <w:rPr>
          <w:rFonts w:eastAsia="Times New Roman" w:cs="Arial"/>
          <w:bCs/>
          <w:snapToGrid w:val="0"/>
          <w:szCs w:val="24"/>
          <w:lang w:val="en-GB" w:eastAsia="en-AU"/>
        </w:rPr>
        <w:t xml:space="preserve"> should be cost-neutral to the PBS. The PBAC noted the proposed Special Pricing Arrangement (SPA) and recommended that BOTOX</w:t>
      </w:r>
      <w:r w:rsidR="00666AB5">
        <w:rPr>
          <w:rFonts w:eastAsia="Times New Roman" w:cstheme="minorHAnsi"/>
          <w:bCs/>
          <w:snapToGrid w:val="0"/>
          <w:szCs w:val="24"/>
          <w:lang w:val="en-GB" w:eastAsia="en-AU"/>
        </w:rPr>
        <w:t>®</w:t>
      </w:r>
      <w:r w:rsidR="00666AB5">
        <w:rPr>
          <w:rFonts w:eastAsia="Times New Roman" w:cs="Arial"/>
          <w:bCs/>
          <w:snapToGrid w:val="0"/>
          <w:szCs w:val="24"/>
          <w:lang w:val="en-GB" w:eastAsia="en-AU"/>
        </w:rPr>
        <w:t xml:space="preserve"> join the existing Dysport</w:t>
      </w:r>
      <w:r w:rsidR="00666AB5">
        <w:rPr>
          <w:rFonts w:eastAsia="Times New Roman" w:cstheme="minorHAnsi"/>
          <w:bCs/>
          <w:snapToGrid w:val="0"/>
          <w:szCs w:val="24"/>
          <w:lang w:val="en-GB" w:eastAsia="en-AU"/>
        </w:rPr>
        <w:t>®</w:t>
      </w:r>
      <w:r w:rsidR="00666AB5">
        <w:rPr>
          <w:rFonts w:eastAsia="Times New Roman" w:cs="Arial"/>
          <w:bCs/>
          <w:snapToGrid w:val="0"/>
          <w:szCs w:val="24"/>
          <w:lang w:val="en-GB" w:eastAsia="en-AU"/>
        </w:rPr>
        <w:t xml:space="preserve"> Risk Sharing Arrangement (RSA)</w:t>
      </w:r>
      <w:r w:rsidR="0006425B">
        <w:rPr>
          <w:rFonts w:eastAsia="Times New Roman" w:cs="Arial"/>
          <w:bCs/>
          <w:snapToGrid w:val="0"/>
          <w:szCs w:val="24"/>
          <w:lang w:val="en-GB" w:eastAsia="en-AU"/>
        </w:rPr>
        <w:t xml:space="preserve"> </w:t>
      </w:r>
      <w:r w:rsidR="00666AB5" w:rsidRPr="00F43C09">
        <w:rPr>
          <w:snapToGrid w:val="0"/>
          <w:lang w:val="en-GB"/>
        </w:rPr>
        <w:t xml:space="preserve">which </w:t>
      </w:r>
      <w:r w:rsidR="00666AB5">
        <w:rPr>
          <w:snapToGrid w:val="0"/>
          <w:lang w:val="en-GB"/>
        </w:rPr>
        <w:t xml:space="preserve">consists of </w:t>
      </w:r>
      <w:r w:rsidR="00666AB5" w:rsidRPr="00F43C09">
        <w:rPr>
          <w:snapToGrid w:val="0"/>
          <w:lang w:val="en-GB"/>
        </w:rPr>
        <w:t>subsidisation cap</w:t>
      </w:r>
      <w:r w:rsidR="00666AB5">
        <w:rPr>
          <w:snapToGrid w:val="0"/>
          <w:lang w:val="en-GB"/>
        </w:rPr>
        <w:t xml:space="preserve">s beyond which </w:t>
      </w:r>
      <w:r w:rsidR="00666AB5" w:rsidRPr="00F43C09">
        <w:rPr>
          <w:snapToGrid w:val="0"/>
          <w:lang w:val="en-GB"/>
        </w:rPr>
        <w:t xml:space="preserve">100% </w:t>
      </w:r>
      <w:r w:rsidR="00666AB5" w:rsidRPr="00F43C09">
        <w:rPr>
          <w:rFonts w:eastAsia="Times New Roman" w:cs="Arial"/>
          <w:bCs/>
          <w:snapToGrid w:val="0"/>
          <w:szCs w:val="24"/>
          <w:lang w:val="en-GB"/>
        </w:rPr>
        <w:t>rebate</w:t>
      </w:r>
      <w:r w:rsidR="00666AB5">
        <w:rPr>
          <w:rFonts w:eastAsia="Times New Roman" w:cs="Arial"/>
          <w:bCs/>
          <w:snapToGrid w:val="0"/>
          <w:szCs w:val="24"/>
          <w:lang w:val="en-GB"/>
        </w:rPr>
        <w:t xml:space="preserve">s are applied. The PBAC considered that the RSA </w:t>
      </w:r>
      <w:r>
        <w:rPr>
          <w:rFonts w:eastAsia="Times New Roman" w:cs="Arial"/>
          <w:bCs/>
          <w:snapToGrid w:val="0"/>
          <w:szCs w:val="24"/>
          <w:lang w:val="en-GB" w:eastAsia="en-AU"/>
        </w:rPr>
        <w:t>helped to address the uncertain clinical benefit in patients with upper limb spasticity due to an acute event other than stroke and the lack of data pertaining to the requested changes to the restrictions (i.e. removal of the time limitation for the first injection, removal of the lifetime limit and changes to the maximum number of cycles in the first and subsequent years).</w:t>
      </w:r>
    </w:p>
    <w:p w:rsidR="00566556" w:rsidRPr="00654C17" w:rsidRDefault="00566556" w:rsidP="00654C17">
      <w:pPr>
        <w:pStyle w:val="Bodytextitalics"/>
        <w:numPr>
          <w:ilvl w:val="1"/>
          <w:numId w:val="5"/>
        </w:numPr>
        <w:jc w:val="both"/>
        <w:rPr>
          <w:i w:val="0"/>
          <w:snapToGrid w:val="0"/>
          <w:lang w:val="en-GB"/>
        </w:rPr>
      </w:pPr>
      <w:r w:rsidRPr="00654C17">
        <w:rPr>
          <w:bCs/>
          <w:i w:val="0"/>
          <w:lang w:val="en-GB"/>
        </w:rPr>
        <w:t xml:space="preserve">The PBAC noted that its recommendation was on a cost-minimisation basis and advised that because the BOTOX® formulation of </w:t>
      </w:r>
      <w:r w:rsidR="00F43C09" w:rsidRPr="00654C17">
        <w:rPr>
          <w:bCs/>
          <w:i w:val="0"/>
          <w:lang w:val="en-GB"/>
        </w:rPr>
        <w:t>botulinum toxin</w:t>
      </w:r>
      <w:r w:rsidRPr="00654C17">
        <w:rPr>
          <w:bCs/>
          <w:i w:val="0"/>
          <w:lang w:val="en-GB"/>
        </w:rPr>
        <w:t xml:space="preserve"> is not expected to provide a substantial and clinically relevant improvem</w:t>
      </w:r>
      <w:r w:rsidR="00063407">
        <w:rPr>
          <w:bCs/>
          <w:i w:val="0"/>
          <w:lang w:val="en-GB"/>
        </w:rPr>
        <w:t>ent in efficacy</w:t>
      </w:r>
      <w:r w:rsidRPr="00654C17">
        <w:rPr>
          <w:bCs/>
          <w:i w:val="0"/>
          <w:lang w:val="en-GB"/>
        </w:rPr>
        <w:t xml:space="preserve"> or reduction </w:t>
      </w:r>
      <w:r w:rsidR="00063407">
        <w:rPr>
          <w:bCs/>
          <w:i w:val="0"/>
          <w:lang w:val="en-GB"/>
        </w:rPr>
        <w:t>in toxicity</w:t>
      </w:r>
      <w:r w:rsidRPr="00654C17">
        <w:rPr>
          <w:bCs/>
          <w:i w:val="0"/>
          <w:lang w:val="en-GB"/>
        </w:rPr>
        <w:t xml:space="preserve"> over the Dysport® formulation and not expected to address a high and urgent unmet clinical need, the criteria prescribed by the National Health (Pharmaceuticals and Vaccines – Cost Recovery) Regulations 2009 for Pricing Pathway A were not met. </w:t>
      </w:r>
    </w:p>
    <w:p w:rsidR="00792CCD" w:rsidRPr="00792CCD" w:rsidRDefault="00792CCD" w:rsidP="0051464A">
      <w:pPr>
        <w:widowControl w:val="0"/>
        <w:numPr>
          <w:ilvl w:val="1"/>
          <w:numId w:val="5"/>
        </w:numPr>
        <w:spacing w:after="120"/>
        <w:jc w:val="both"/>
        <w:rPr>
          <w:rFonts w:asciiTheme="minorHAnsi" w:hAnsiTheme="minorHAnsi" w:cstheme="minorHAnsi"/>
          <w:snapToGrid w:val="0"/>
          <w:szCs w:val="22"/>
          <w:lang w:eastAsia="en-US"/>
        </w:rPr>
      </w:pPr>
      <w:r w:rsidRPr="00E40E8A">
        <w:rPr>
          <w:rFonts w:asciiTheme="minorHAnsi" w:hAnsiTheme="minorHAnsi" w:cstheme="minorHAnsi"/>
          <w:snapToGrid w:val="0"/>
          <w:szCs w:val="22"/>
          <w:lang w:eastAsia="en-US"/>
        </w:rPr>
        <w:t>The PBAC noted that the Early Supply Rule cannot curren</w:t>
      </w:r>
      <w:r w:rsidRPr="002711D1">
        <w:rPr>
          <w:rFonts w:asciiTheme="minorHAnsi" w:hAnsiTheme="minorHAnsi" w:cstheme="minorHAnsi"/>
          <w:snapToGrid w:val="0"/>
          <w:szCs w:val="22"/>
          <w:lang w:eastAsia="en-US"/>
        </w:rPr>
        <w:t>tly be applied</w:t>
      </w:r>
      <w:r w:rsidRPr="001B2269">
        <w:rPr>
          <w:rFonts w:asciiTheme="minorHAnsi" w:hAnsiTheme="minorHAnsi" w:cstheme="minorHAnsi"/>
          <w:snapToGrid w:val="0"/>
          <w:szCs w:val="22"/>
          <w:lang w:eastAsia="en-US"/>
        </w:rPr>
        <w:t xml:space="preserve"> to items in the Botulinum Toxin Program</w:t>
      </w:r>
    </w:p>
    <w:p w:rsidR="00792CCD" w:rsidRPr="00792CCD" w:rsidRDefault="00AC095C" w:rsidP="00654C17">
      <w:pPr>
        <w:pStyle w:val="3Bodytext"/>
        <w:numPr>
          <w:ilvl w:val="1"/>
          <w:numId w:val="5"/>
        </w:numPr>
        <w:rPr>
          <w:rFonts w:eastAsia="Times New Roman" w:cs="Arial"/>
          <w:bCs/>
          <w:snapToGrid w:val="0"/>
          <w:szCs w:val="24"/>
          <w:lang w:val="en-GB" w:eastAsia="en-AU"/>
        </w:rPr>
      </w:pPr>
      <w:r>
        <w:rPr>
          <w:rFonts w:eastAsia="Times New Roman" w:cs="Arial"/>
          <w:bCs/>
          <w:snapToGrid w:val="0"/>
          <w:szCs w:val="24"/>
          <w:lang w:val="en-GB" w:eastAsia="en-AU"/>
        </w:rPr>
        <w:lastRenderedPageBreak/>
        <w:t>The PBAC reaffirmed that BOTOX</w:t>
      </w:r>
      <w:r w:rsidR="00792CCD" w:rsidRPr="00792CCD">
        <w:rPr>
          <w:rFonts w:eastAsia="Times New Roman" w:cs="Arial"/>
          <w:bCs/>
          <w:snapToGrid w:val="0"/>
          <w:szCs w:val="24"/>
          <w:lang w:val="en-GB" w:eastAsia="en-AU"/>
        </w:rPr>
        <w:t>® remained unsuitable for prescribing by nurse practitioners.</w:t>
      </w:r>
    </w:p>
    <w:p w:rsidR="00792CCD" w:rsidRPr="00792CCD" w:rsidRDefault="00792CCD" w:rsidP="00654C17">
      <w:pPr>
        <w:pStyle w:val="3Bodytext"/>
        <w:numPr>
          <w:ilvl w:val="1"/>
          <w:numId w:val="5"/>
        </w:numPr>
        <w:rPr>
          <w:rFonts w:eastAsia="Times New Roman" w:cs="Arial"/>
          <w:bCs/>
          <w:snapToGrid w:val="0"/>
          <w:szCs w:val="24"/>
          <w:lang w:val="en-GB" w:eastAsia="en-AU"/>
        </w:rPr>
      </w:pPr>
      <w:r w:rsidRPr="00792CCD">
        <w:rPr>
          <w:rFonts w:eastAsia="Times New Roman" w:cs="Arial"/>
          <w:bCs/>
          <w:snapToGrid w:val="0"/>
          <w:szCs w:val="24"/>
          <w:lang w:val="en-GB" w:eastAsia="en-AU"/>
        </w:rPr>
        <w:t>The PBAC recalled that the different formulations of botulinum toxin are not currently considered equivalent for the purposes of substitution (i.e. ‘a’ flagged in the Schedule) under Section 101 (4AACD) of the National Health Act and considered this remained appropriate.</w:t>
      </w:r>
    </w:p>
    <w:p w:rsidR="00792CCD" w:rsidRPr="00792CCD" w:rsidRDefault="00792CCD" w:rsidP="00654C17">
      <w:pPr>
        <w:pStyle w:val="3Bodytext"/>
        <w:numPr>
          <w:ilvl w:val="1"/>
          <w:numId w:val="5"/>
        </w:numPr>
        <w:rPr>
          <w:rFonts w:eastAsia="Times New Roman" w:cs="Arial"/>
          <w:bCs/>
          <w:snapToGrid w:val="0"/>
          <w:szCs w:val="24"/>
          <w:lang w:val="en-GB" w:eastAsia="en-AU"/>
        </w:rPr>
      </w:pPr>
      <w:r w:rsidRPr="00792CCD">
        <w:rPr>
          <w:rFonts w:eastAsia="Times New Roman" w:cs="Arial"/>
          <w:bCs/>
          <w:snapToGrid w:val="0"/>
          <w:szCs w:val="24"/>
          <w:lang w:val="en-GB" w:eastAsia="en-AU"/>
        </w:rPr>
        <w:t xml:space="preserve">The PBAC has previously advised that </w:t>
      </w:r>
      <w:r w:rsidR="00566556" w:rsidRPr="00792CCD">
        <w:rPr>
          <w:rFonts w:eastAsia="Times New Roman" w:cs="Arial"/>
          <w:bCs/>
          <w:snapToGrid w:val="0"/>
          <w:szCs w:val="24"/>
          <w:lang w:val="en-GB" w:eastAsia="en-AU"/>
        </w:rPr>
        <w:t>B</w:t>
      </w:r>
      <w:r w:rsidR="00566556">
        <w:rPr>
          <w:rFonts w:eastAsia="Times New Roman" w:cs="Arial"/>
          <w:bCs/>
          <w:snapToGrid w:val="0"/>
          <w:szCs w:val="24"/>
          <w:lang w:val="en-GB" w:eastAsia="en-AU"/>
        </w:rPr>
        <w:t>OTOX</w:t>
      </w:r>
      <w:r w:rsidR="00566556" w:rsidRPr="00792CCD">
        <w:rPr>
          <w:rFonts w:eastAsia="Times New Roman" w:cs="Arial"/>
          <w:bCs/>
          <w:snapToGrid w:val="0"/>
          <w:szCs w:val="24"/>
          <w:lang w:val="en-GB" w:eastAsia="en-AU"/>
        </w:rPr>
        <w:t>®</w:t>
      </w:r>
      <w:r w:rsidR="00566556">
        <w:rPr>
          <w:rFonts w:eastAsia="Times New Roman" w:cs="Arial"/>
          <w:bCs/>
          <w:snapToGrid w:val="0"/>
          <w:szCs w:val="24"/>
          <w:lang w:val="en-GB" w:eastAsia="en-AU"/>
        </w:rPr>
        <w:t>,</w:t>
      </w:r>
      <w:r w:rsidR="00566556" w:rsidRPr="00792CCD">
        <w:rPr>
          <w:rFonts w:eastAsia="Times New Roman" w:cs="Arial"/>
          <w:bCs/>
          <w:snapToGrid w:val="0"/>
          <w:szCs w:val="24"/>
          <w:lang w:val="en-GB" w:eastAsia="en-AU"/>
        </w:rPr>
        <w:t xml:space="preserve"> Dysport® </w:t>
      </w:r>
      <w:r w:rsidR="00566556">
        <w:rPr>
          <w:rFonts w:eastAsia="Times New Roman" w:cs="Arial"/>
          <w:bCs/>
          <w:snapToGrid w:val="0"/>
          <w:szCs w:val="24"/>
          <w:lang w:val="en-GB" w:eastAsia="en-AU"/>
        </w:rPr>
        <w:t xml:space="preserve">and </w:t>
      </w:r>
      <w:r w:rsidRPr="00792CCD">
        <w:rPr>
          <w:rFonts w:eastAsia="Times New Roman" w:cs="Arial"/>
          <w:bCs/>
          <w:snapToGrid w:val="0"/>
          <w:szCs w:val="24"/>
          <w:lang w:val="en-GB" w:eastAsia="en-AU"/>
        </w:rPr>
        <w:t xml:space="preserve">Xeomin®, should be treated as interchangeable on an individual patient basis under Section 101(3BA) of the National Health Act 1953. </w:t>
      </w:r>
    </w:p>
    <w:p w:rsidR="00792CCD" w:rsidRPr="00792CCD" w:rsidRDefault="00792CCD" w:rsidP="00654C17">
      <w:pPr>
        <w:pStyle w:val="3Bodytext"/>
        <w:numPr>
          <w:ilvl w:val="1"/>
          <w:numId w:val="5"/>
        </w:numPr>
        <w:rPr>
          <w:rFonts w:eastAsia="Times New Roman" w:cs="Arial"/>
          <w:bCs/>
          <w:snapToGrid w:val="0"/>
          <w:szCs w:val="24"/>
          <w:lang w:val="en-GB" w:eastAsia="en-AU"/>
        </w:rPr>
      </w:pPr>
      <w:r w:rsidRPr="00792CCD">
        <w:rPr>
          <w:rFonts w:eastAsia="Times New Roman" w:cs="Arial"/>
          <w:bCs/>
          <w:snapToGrid w:val="0"/>
          <w:szCs w:val="24"/>
          <w:lang w:val="en-GB" w:eastAsia="en-AU"/>
        </w:rPr>
        <w:t>The PBAC noted that this submission is not eligible for an Independent Review as it received a positive recommendation.</w:t>
      </w:r>
    </w:p>
    <w:p w:rsidR="0051464A" w:rsidRPr="00525B39" w:rsidRDefault="0051464A" w:rsidP="0051464A">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51464A" w:rsidRPr="00525B39" w:rsidRDefault="004E1C26" w:rsidP="00650963">
      <w:pPr>
        <w:jc w:val="both"/>
        <w:rPr>
          <w:rFonts w:asciiTheme="minorHAnsi" w:hAnsiTheme="minorHAnsi" w:cs="Arial"/>
          <w:b/>
          <w:bCs/>
          <w:snapToGrid w:val="0"/>
        </w:rPr>
      </w:pPr>
      <w:r>
        <w:rPr>
          <w:rFonts w:asciiTheme="minorHAnsi" w:hAnsiTheme="minorHAnsi" w:cs="Arial"/>
          <w:bCs/>
          <w:snapToGrid w:val="0"/>
          <w:lang w:val="en-GB"/>
        </w:rPr>
        <w:t>Recommended</w:t>
      </w:r>
    </w:p>
    <w:p w:rsidR="0051464A" w:rsidRPr="00525B39" w:rsidRDefault="0051464A" w:rsidP="0044734E">
      <w:pPr>
        <w:pStyle w:val="2Sections"/>
        <w:rPr>
          <w:i/>
          <w:lang w:val="en-GB"/>
        </w:rPr>
      </w:pPr>
      <w:r w:rsidRPr="00525B39">
        <w:rPr>
          <w:lang w:val="en-GB"/>
        </w:rPr>
        <w:t>Recommended listing</w:t>
      </w:r>
    </w:p>
    <w:p w:rsidR="00441A11" w:rsidRPr="0044734E" w:rsidRDefault="0051464A" w:rsidP="00441A11">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Amend existing listing as follows:</w:t>
      </w:r>
    </w:p>
    <w:tbl>
      <w:tblPr>
        <w:tblW w:w="9322" w:type="dxa"/>
        <w:tblLayout w:type="fixed"/>
        <w:tblLook w:val="0000" w:firstRow="0" w:lastRow="0" w:firstColumn="0" w:lastColumn="0" w:noHBand="0" w:noVBand="0"/>
      </w:tblPr>
      <w:tblGrid>
        <w:gridCol w:w="1985"/>
        <w:gridCol w:w="1701"/>
        <w:gridCol w:w="992"/>
        <w:gridCol w:w="1559"/>
        <w:gridCol w:w="1418"/>
        <w:gridCol w:w="1667"/>
      </w:tblGrid>
      <w:tr w:rsidR="00441A11" w:rsidRPr="00441A11" w:rsidTr="00441A11">
        <w:trPr>
          <w:cantSplit/>
          <w:trHeight w:val="471"/>
        </w:trPr>
        <w:tc>
          <w:tcPr>
            <w:tcW w:w="3686" w:type="dxa"/>
            <w:gridSpan w:val="2"/>
            <w:tcBorders>
              <w:bottom w:val="single" w:sz="4" w:space="0" w:color="auto"/>
            </w:tcBorders>
          </w:tcPr>
          <w:p w:rsidR="00441A11" w:rsidRPr="00441A11" w:rsidRDefault="00441A11" w:rsidP="00441A11">
            <w:pPr>
              <w:keepNext/>
              <w:ind w:left="-108"/>
              <w:rPr>
                <w:rFonts w:ascii="Arial Narrow" w:hAnsi="Arial Narrow" w:cs="Arial"/>
                <w:b/>
                <w:sz w:val="20"/>
                <w:szCs w:val="20"/>
              </w:rPr>
            </w:pPr>
            <w:r>
              <w:rPr>
                <w:rFonts w:ascii="Arial Narrow" w:hAnsi="Arial Narrow" w:cs="Arial"/>
                <w:b/>
                <w:sz w:val="20"/>
                <w:szCs w:val="20"/>
              </w:rPr>
              <w:t>Name, Restriction, Manner of a</w:t>
            </w:r>
            <w:r w:rsidRPr="00441A11">
              <w:rPr>
                <w:rFonts w:ascii="Arial Narrow" w:hAnsi="Arial Narrow" w:cs="Arial"/>
                <w:b/>
                <w:sz w:val="20"/>
                <w:szCs w:val="20"/>
              </w:rPr>
              <w:t>dministration and form</w:t>
            </w:r>
          </w:p>
        </w:tc>
        <w:tc>
          <w:tcPr>
            <w:tcW w:w="992" w:type="dxa"/>
            <w:tcBorders>
              <w:bottom w:val="single" w:sz="4" w:space="0" w:color="auto"/>
            </w:tcBorders>
          </w:tcPr>
          <w:p w:rsidR="00441A11" w:rsidRPr="00441A11" w:rsidRDefault="00441A11" w:rsidP="00441A11">
            <w:pPr>
              <w:keepNext/>
              <w:ind w:left="-108"/>
              <w:jc w:val="center"/>
              <w:rPr>
                <w:rFonts w:ascii="Arial Narrow" w:hAnsi="Arial Narrow" w:cs="Arial"/>
                <w:b/>
                <w:sz w:val="20"/>
                <w:szCs w:val="20"/>
              </w:rPr>
            </w:pPr>
            <w:r w:rsidRPr="00441A11">
              <w:rPr>
                <w:rFonts w:ascii="Arial Narrow" w:hAnsi="Arial Narrow" w:cs="Arial"/>
                <w:b/>
                <w:sz w:val="20"/>
                <w:szCs w:val="20"/>
              </w:rPr>
              <w:t>Max.</w:t>
            </w:r>
            <w:r>
              <w:rPr>
                <w:rFonts w:ascii="Arial Narrow" w:hAnsi="Arial Narrow" w:cs="Arial"/>
                <w:b/>
                <w:sz w:val="20"/>
                <w:szCs w:val="20"/>
              </w:rPr>
              <w:t xml:space="preserve"> </w:t>
            </w:r>
            <w:r w:rsidRPr="00441A11">
              <w:rPr>
                <w:rFonts w:ascii="Arial Narrow" w:hAnsi="Arial Narrow" w:cs="Arial"/>
                <w:b/>
                <w:sz w:val="20"/>
                <w:szCs w:val="20"/>
              </w:rPr>
              <w:t>Qty</w:t>
            </w:r>
          </w:p>
        </w:tc>
        <w:tc>
          <w:tcPr>
            <w:tcW w:w="1559" w:type="dxa"/>
            <w:tcBorders>
              <w:bottom w:val="single" w:sz="4" w:space="0" w:color="auto"/>
            </w:tcBorders>
          </w:tcPr>
          <w:p w:rsidR="00441A11" w:rsidRPr="00441A11" w:rsidRDefault="00441A11" w:rsidP="00441A11">
            <w:pPr>
              <w:keepNext/>
              <w:ind w:left="-108"/>
              <w:jc w:val="center"/>
              <w:rPr>
                <w:rFonts w:ascii="Arial Narrow" w:hAnsi="Arial Narrow" w:cs="Arial"/>
                <w:b/>
                <w:sz w:val="20"/>
                <w:szCs w:val="20"/>
              </w:rPr>
            </w:pPr>
            <w:r w:rsidRPr="00441A11">
              <w:rPr>
                <w:rFonts w:ascii="Arial Narrow" w:hAnsi="Arial Narrow" w:cs="Arial"/>
                <w:b/>
                <w:sz w:val="20"/>
                <w:szCs w:val="20"/>
              </w:rPr>
              <w:t>№.of</w:t>
            </w:r>
            <w:r>
              <w:rPr>
                <w:rFonts w:ascii="Arial Narrow" w:hAnsi="Arial Narrow" w:cs="Arial"/>
                <w:b/>
                <w:sz w:val="20"/>
                <w:szCs w:val="20"/>
              </w:rPr>
              <w:t xml:space="preserve"> </w:t>
            </w:r>
            <w:r w:rsidRPr="00441A11">
              <w:rPr>
                <w:rFonts w:ascii="Arial Narrow" w:hAnsi="Arial Narrow" w:cs="Arial"/>
                <w:b/>
                <w:sz w:val="20"/>
                <w:szCs w:val="20"/>
              </w:rPr>
              <w:t>Rpts</w:t>
            </w:r>
          </w:p>
        </w:tc>
        <w:tc>
          <w:tcPr>
            <w:tcW w:w="3085" w:type="dxa"/>
            <w:gridSpan w:val="2"/>
            <w:tcBorders>
              <w:bottom w:val="single" w:sz="4" w:space="0" w:color="auto"/>
            </w:tcBorders>
          </w:tcPr>
          <w:p w:rsidR="00441A11" w:rsidRPr="00441A11" w:rsidRDefault="00441A11" w:rsidP="00B86804">
            <w:pPr>
              <w:keepNext/>
              <w:rPr>
                <w:rFonts w:ascii="Arial Narrow" w:hAnsi="Arial Narrow" w:cs="Arial"/>
                <w:b/>
                <w:sz w:val="20"/>
                <w:szCs w:val="20"/>
                <w:lang w:val="fr-FR"/>
              </w:rPr>
            </w:pPr>
            <w:r w:rsidRPr="00441A11">
              <w:rPr>
                <w:rFonts w:ascii="Arial Narrow" w:hAnsi="Arial Narrow" w:cs="Arial"/>
                <w:b/>
                <w:sz w:val="20"/>
                <w:szCs w:val="20"/>
              </w:rPr>
              <w:t>Proprietary Name and Manufacturer</w:t>
            </w:r>
          </w:p>
        </w:tc>
      </w:tr>
      <w:tr w:rsidR="00441A11" w:rsidRPr="00C254D9" w:rsidTr="00441A11">
        <w:trPr>
          <w:cantSplit/>
          <w:trHeight w:val="577"/>
        </w:trPr>
        <w:tc>
          <w:tcPr>
            <w:tcW w:w="3686" w:type="dxa"/>
            <w:gridSpan w:val="2"/>
            <w:tcBorders>
              <w:top w:val="single" w:sz="4" w:space="0" w:color="auto"/>
            </w:tcBorders>
          </w:tcPr>
          <w:p w:rsidR="00441A11" w:rsidRPr="007C375D" w:rsidRDefault="00441A11" w:rsidP="00B86804">
            <w:pPr>
              <w:keepNext/>
              <w:ind w:left="-108"/>
              <w:jc w:val="both"/>
              <w:rPr>
                <w:rFonts w:ascii="Arial Narrow" w:hAnsi="Arial Narrow" w:cs="Arial"/>
                <w:smallCaps/>
                <w:sz w:val="20"/>
                <w:szCs w:val="20"/>
              </w:rPr>
            </w:pPr>
            <w:r w:rsidRPr="007C375D">
              <w:rPr>
                <w:rFonts w:ascii="Arial Narrow" w:hAnsi="Arial Narrow" w:cs="Arial"/>
                <w:smallCaps/>
                <w:sz w:val="20"/>
                <w:szCs w:val="20"/>
              </w:rPr>
              <w:t xml:space="preserve">BOTULINUM TOXIN TYPE A </w:t>
            </w:r>
          </w:p>
          <w:p w:rsidR="00441A11" w:rsidRPr="007C375D" w:rsidRDefault="00441A11" w:rsidP="00B86804">
            <w:pPr>
              <w:keepNext/>
              <w:ind w:left="-108"/>
              <w:jc w:val="both"/>
              <w:rPr>
                <w:rFonts w:ascii="Arial Narrow" w:hAnsi="Arial Narrow" w:cs="Arial"/>
                <w:color w:val="FF0000"/>
                <w:sz w:val="20"/>
                <w:szCs w:val="20"/>
              </w:rPr>
            </w:pPr>
            <w:r w:rsidRPr="007C375D">
              <w:rPr>
                <w:rFonts w:ascii="Arial Narrow" w:hAnsi="Arial Narrow" w:cs="Arial"/>
                <w:smallCaps/>
                <w:sz w:val="20"/>
                <w:szCs w:val="20"/>
              </w:rPr>
              <w:t xml:space="preserve">100 </w:t>
            </w:r>
            <w:r w:rsidRPr="007C375D">
              <w:rPr>
                <w:rFonts w:ascii="Arial Narrow" w:hAnsi="Arial Narrow" w:cs="Arial"/>
                <w:sz w:val="20"/>
                <w:szCs w:val="20"/>
              </w:rPr>
              <w:t>units injection, 1 vial</w:t>
            </w:r>
          </w:p>
        </w:tc>
        <w:tc>
          <w:tcPr>
            <w:tcW w:w="992" w:type="dxa"/>
            <w:tcBorders>
              <w:top w:val="single" w:sz="4" w:space="0" w:color="auto"/>
            </w:tcBorders>
          </w:tcPr>
          <w:p w:rsidR="00441A11" w:rsidRPr="007C375D" w:rsidRDefault="00441A11" w:rsidP="00441A11">
            <w:pPr>
              <w:keepNext/>
              <w:ind w:left="-108"/>
              <w:jc w:val="center"/>
              <w:rPr>
                <w:rFonts w:ascii="Arial Narrow" w:hAnsi="Arial Narrow" w:cs="Arial"/>
                <w:sz w:val="20"/>
                <w:szCs w:val="20"/>
              </w:rPr>
            </w:pPr>
            <w:r w:rsidRPr="007C375D">
              <w:rPr>
                <w:rFonts w:ascii="Arial Narrow" w:hAnsi="Arial Narrow" w:cs="Arial"/>
                <w:sz w:val="20"/>
                <w:szCs w:val="20"/>
              </w:rPr>
              <w:t>4</w:t>
            </w:r>
          </w:p>
          <w:p w:rsidR="00441A11" w:rsidRPr="007C375D" w:rsidRDefault="00441A11" w:rsidP="00441A11">
            <w:pPr>
              <w:keepNext/>
              <w:ind w:left="-108"/>
              <w:jc w:val="center"/>
              <w:rPr>
                <w:rFonts w:ascii="Arial Narrow" w:hAnsi="Arial Narrow" w:cs="Arial"/>
                <w:sz w:val="20"/>
                <w:szCs w:val="20"/>
              </w:rPr>
            </w:pPr>
          </w:p>
        </w:tc>
        <w:tc>
          <w:tcPr>
            <w:tcW w:w="1559" w:type="dxa"/>
            <w:tcBorders>
              <w:top w:val="single" w:sz="4" w:space="0" w:color="auto"/>
            </w:tcBorders>
          </w:tcPr>
          <w:p w:rsidR="00441A11" w:rsidRPr="007C375D" w:rsidRDefault="00441A11" w:rsidP="00441A11">
            <w:pPr>
              <w:keepNext/>
              <w:ind w:left="-108"/>
              <w:jc w:val="center"/>
              <w:rPr>
                <w:rFonts w:ascii="Arial Narrow" w:hAnsi="Arial Narrow" w:cs="Arial"/>
                <w:sz w:val="20"/>
                <w:szCs w:val="20"/>
              </w:rPr>
            </w:pPr>
            <w:r w:rsidRPr="007C375D">
              <w:rPr>
                <w:rFonts w:ascii="Arial Narrow" w:hAnsi="Arial Narrow" w:cs="Arial"/>
                <w:sz w:val="20"/>
                <w:szCs w:val="20"/>
              </w:rPr>
              <w:t>0</w:t>
            </w:r>
          </w:p>
          <w:p w:rsidR="00441A11" w:rsidRPr="007C375D" w:rsidRDefault="00441A11" w:rsidP="00441A11">
            <w:pPr>
              <w:keepNext/>
              <w:ind w:left="-108"/>
              <w:jc w:val="center"/>
              <w:rPr>
                <w:rFonts w:ascii="Arial Narrow" w:hAnsi="Arial Narrow" w:cs="Arial"/>
                <w:sz w:val="20"/>
                <w:szCs w:val="20"/>
              </w:rPr>
            </w:pPr>
          </w:p>
        </w:tc>
        <w:tc>
          <w:tcPr>
            <w:tcW w:w="1418" w:type="dxa"/>
            <w:tcBorders>
              <w:top w:val="single" w:sz="4" w:space="0" w:color="auto"/>
            </w:tcBorders>
          </w:tcPr>
          <w:p w:rsidR="00441A11" w:rsidRPr="007C375D" w:rsidRDefault="00441A11" w:rsidP="00B86804">
            <w:pPr>
              <w:keepNext/>
              <w:jc w:val="both"/>
              <w:rPr>
                <w:rFonts w:ascii="Arial Narrow" w:hAnsi="Arial Narrow" w:cs="Arial"/>
                <w:sz w:val="20"/>
                <w:szCs w:val="20"/>
              </w:rPr>
            </w:pPr>
            <w:r w:rsidRPr="007C375D">
              <w:rPr>
                <w:rFonts w:ascii="Arial Narrow" w:hAnsi="Arial Narrow" w:cs="Arial"/>
                <w:sz w:val="20"/>
                <w:szCs w:val="20"/>
              </w:rPr>
              <w:t>BOTOX</w:t>
            </w:r>
            <w:r w:rsidRPr="007C375D">
              <w:rPr>
                <w:rFonts w:ascii="Arial Narrow" w:hAnsi="Arial Narrow" w:cs="Arial"/>
                <w:sz w:val="20"/>
                <w:szCs w:val="20"/>
                <w:vertAlign w:val="superscript"/>
              </w:rPr>
              <w:t>®</w:t>
            </w:r>
          </w:p>
        </w:tc>
        <w:tc>
          <w:tcPr>
            <w:tcW w:w="1667" w:type="dxa"/>
            <w:tcBorders>
              <w:top w:val="single" w:sz="4" w:space="0" w:color="auto"/>
            </w:tcBorders>
          </w:tcPr>
          <w:p w:rsidR="00441A11" w:rsidRPr="007C375D" w:rsidRDefault="00441A11" w:rsidP="00B86804">
            <w:pPr>
              <w:keepNext/>
              <w:jc w:val="both"/>
              <w:rPr>
                <w:rFonts w:ascii="Arial Narrow" w:hAnsi="Arial Narrow" w:cs="Arial"/>
                <w:sz w:val="20"/>
                <w:szCs w:val="20"/>
              </w:rPr>
            </w:pPr>
            <w:r w:rsidRPr="007C375D">
              <w:rPr>
                <w:rFonts w:ascii="Arial Narrow" w:hAnsi="Arial Narrow" w:cs="Arial"/>
                <w:sz w:val="20"/>
                <w:szCs w:val="20"/>
              </w:rPr>
              <w:t>Allergan</w:t>
            </w:r>
          </w:p>
        </w:tc>
      </w:tr>
      <w:tr w:rsidR="007C375D" w:rsidRPr="00C254D9" w:rsidTr="00441A11">
        <w:trPr>
          <w:trHeight w:val="175"/>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Category/Program:</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Section 100 – Botulinum Toxin Program</w:t>
            </w:r>
          </w:p>
        </w:tc>
      </w:tr>
      <w:tr w:rsidR="007C375D" w:rsidRPr="00C254D9" w:rsidTr="00441A11">
        <w:trPr>
          <w:trHeight w:val="221"/>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Prescriber type:</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fldChar w:fldCharType="begin">
                <w:ffData>
                  <w:name w:val="Check1"/>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Dental  </w:t>
            </w:r>
            <w:r w:rsidRPr="007C375D">
              <w:rPr>
                <w:rFonts w:ascii="Arial Narrow" w:hAnsi="Arial Narrow" w:cs="Arial"/>
                <w:sz w:val="20"/>
                <w:szCs w:val="20"/>
              </w:rPr>
              <w:fldChar w:fldCharType="begin">
                <w:ffData>
                  <w:name w:val=""/>
                  <w:enabled/>
                  <w:calcOnExit w:val="0"/>
                  <w:checkBox>
                    <w:sizeAuto/>
                    <w:default w:val="1"/>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Medical Practitioners  </w:t>
            </w:r>
            <w:r w:rsidRPr="007C375D">
              <w:rPr>
                <w:rFonts w:ascii="Arial Narrow" w:hAnsi="Arial Narrow" w:cs="Arial"/>
                <w:sz w:val="20"/>
                <w:szCs w:val="20"/>
              </w:rPr>
              <w:fldChar w:fldCharType="begin">
                <w:ffData>
                  <w:name w:val="Check3"/>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Nurse practitioners  </w:t>
            </w:r>
            <w:r w:rsidRPr="007C375D">
              <w:rPr>
                <w:rFonts w:ascii="Arial Narrow" w:hAnsi="Arial Narrow" w:cs="Arial"/>
                <w:sz w:val="20"/>
                <w:szCs w:val="20"/>
              </w:rPr>
              <w:fldChar w:fldCharType="begin">
                <w:ffData>
                  <w:name w:val=""/>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Optometrists </w:t>
            </w:r>
            <w:r w:rsidRPr="007C375D">
              <w:rPr>
                <w:rFonts w:ascii="Arial Narrow" w:hAnsi="Arial Narrow" w:cs="Arial"/>
                <w:sz w:val="20"/>
                <w:szCs w:val="20"/>
              </w:rPr>
              <w:fldChar w:fldCharType="begin">
                <w:ffData>
                  <w:name w:val="Check5"/>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Midwives</w:t>
            </w:r>
          </w:p>
        </w:tc>
      </w:tr>
      <w:tr w:rsidR="007C375D" w:rsidRPr="00C254D9" w:rsidTr="00441A11">
        <w:trPr>
          <w:trHeight w:val="56"/>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Severity:</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Moderate to severe</w:t>
            </w:r>
          </w:p>
        </w:tc>
      </w:tr>
      <w:tr w:rsidR="007C375D" w:rsidRPr="00C254D9" w:rsidTr="00441A11">
        <w:trPr>
          <w:trHeight w:val="171"/>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Condition:</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Calibri"/>
                <w:sz w:val="20"/>
                <w:szCs w:val="20"/>
              </w:rPr>
              <w:t>Spasticity of the upper limb following an acute event</w:t>
            </w:r>
          </w:p>
        </w:tc>
      </w:tr>
      <w:tr w:rsidR="007C375D" w:rsidRPr="00C254D9" w:rsidTr="00441A11">
        <w:trPr>
          <w:trHeight w:val="61"/>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PBS Indication:</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Moderate to severe</w:t>
            </w:r>
            <w:r w:rsidRPr="007C375D">
              <w:rPr>
                <w:rFonts w:ascii="Arial Narrow" w:hAnsi="Arial Narrow" w:cs="Calibri"/>
                <w:sz w:val="20"/>
                <w:szCs w:val="20"/>
              </w:rPr>
              <w:t xml:space="preserve"> spasticity of the upper limb following an acute event</w:t>
            </w:r>
          </w:p>
        </w:tc>
      </w:tr>
      <w:tr w:rsidR="007C375D" w:rsidRPr="00C254D9" w:rsidTr="00441A11">
        <w:trPr>
          <w:trHeight w:val="62"/>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441A11" w:rsidP="00441A11">
            <w:pPr>
              <w:rPr>
                <w:rFonts w:ascii="Arial Narrow" w:hAnsi="Arial Narrow" w:cs="Arial"/>
                <w:b/>
                <w:i/>
                <w:sz w:val="20"/>
                <w:szCs w:val="20"/>
              </w:rPr>
            </w:pPr>
            <w:r>
              <w:rPr>
                <w:rFonts w:ascii="Arial Narrow" w:hAnsi="Arial Narrow" w:cs="Arial"/>
                <w:b/>
                <w:sz w:val="20"/>
                <w:szCs w:val="20"/>
              </w:rPr>
              <w:t>Restriction l</w:t>
            </w:r>
            <w:r w:rsidR="007C375D" w:rsidRPr="00441A11">
              <w:rPr>
                <w:rFonts w:ascii="Arial Narrow" w:hAnsi="Arial Narrow" w:cs="Arial"/>
                <w:b/>
                <w:sz w:val="20"/>
                <w:szCs w:val="20"/>
              </w:rPr>
              <w:t>evel</w:t>
            </w:r>
            <w:r>
              <w:rPr>
                <w:rFonts w:ascii="Arial Narrow" w:hAnsi="Arial Narrow" w:cs="Arial"/>
                <w:b/>
                <w:sz w:val="20"/>
                <w:szCs w:val="20"/>
              </w:rPr>
              <w:t>:</w:t>
            </w:r>
            <w:r w:rsidR="007C375D" w:rsidRPr="00441A11">
              <w:rPr>
                <w:rFonts w:ascii="Arial Narrow" w:hAnsi="Arial Narrow" w:cs="Arial"/>
                <w:b/>
                <w:sz w:val="20"/>
                <w:szCs w:val="20"/>
              </w:rPr>
              <w:t xml:space="preserve"> </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fldChar w:fldCharType="begin">
                <w:ffData>
                  <w:name w:val="Check5"/>
                  <w:enabled/>
                  <w:calcOnExit w:val="0"/>
                  <w:checkBox>
                    <w:sizeAuto/>
                    <w:default w:val="1"/>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Streamlined</w:t>
            </w:r>
          </w:p>
        </w:tc>
      </w:tr>
      <w:tr w:rsidR="007C375D" w:rsidRPr="00C254D9" w:rsidTr="00441A11">
        <w:trPr>
          <w:trHeight w:val="3595"/>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Clinical criteria:</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condition must be moderate to severe spasticity of the upper limb/s following an acute event defined as a Modified Ashworth Scale rating of 3 or more,</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treatment must only be used as second line therapy when standard management has failed; OR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treatment must only be used as an adjunct to physical therapy,</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treatment must not continue if the patient does not respond (defined as not having had a decrease in spasticity rating greater than 1, using the Modified Ashworth Scale, in at least one joint) after two treatment periods (with any botulinum toxin type A</w:t>
            </w:r>
            <w:r>
              <w:rPr>
                <w:rFonts w:ascii="Arial Narrow" w:hAnsi="Arial Narrow" w:cs="Arial"/>
                <w:sz w:val="20"/>
                <w:szCs w:val="20"/>
              </w:rPr>
              <w:t>)</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treatment must not exceed a maximum of 4 treatment periods (with any botulinum toxin type A) per upper limb in the first year of treatment, and 2 treatment periods (with any botulinum toxin type A) per upper limb each year thereafter.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Patient must not have established severe contracture in the limb to be treated.</w:t>
            </w:r>
          </w:p>
        </w:tc>
      </w:tr>
      <w:tr w:rsidR="007C375D" w:rsidRPr="00C254D9" w:rsidTr="00441A11">
        <w:trPr>
          <w:trHeight w:val="27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Population criteria:</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Patient must be aged 18 years or older.</w:t>
            </w:r>
          </w:p>
        </w:tc>
      </w:tr>
      <w:tr w:rsidR="007C375D" w:rsidRPr="00C254D9" w:rsidTr="00441A11">
        <w:trPr>
          <w:trHeight w:val="36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rPr>
                <w:rFonts w:ascii="Arial Narrow" w:hAnsi="Arial Narrow" w:cs="Arial"/>
                <w:b/>
                <w:sz w:val="20"/>
                <w:szCs w:val="20"/>
              </w:rPr>
            </w:pPr>
            <w:r w:rsidRPr="00441A11">
              <w:rPr>
                <w:rFonts w:ascii="Arial Narrow" w:hAnsi="Arial Narrow" w:cs="Arial"/>
                <w:b/>
                <w:sz w:val="20"/>
                <w:szCs w:val="20"/>
              </w:rPr>
              <w:t>Treatment criteria:</w:t>
            </w:r>
          </w:p>
          <w:p w:rsidR="007C375D" w:rsidRPr="00441A11" w:rsidRDefault="007C375D" w:rsidP="00441A11">
            <w:pPr>
              <w:jc w:val="both"/>
              <w:rPr>
                <w:rFonts w:ascii="Arial Narrow" w:hAnsi="Arial Narrow" w:cs="Arial"/>
                <w:b/>
                <w:sz w:val="20"/>
                <w:szCs w:val="20"/>
              </w:rPr>
            </w:pP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Must be treated by a neurologist; OR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Must be treated by an orthopaedic surgeon; OR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Must be treated by a rehabilitation specialist; OR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lastRenderedPageBreak/>
              <w:t>Must be treated by a plastic surgeon; OR</w:t>
            </w: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Must be treated by a geriatrician.</w:t>
            </w:r>
          </w:p>
        </w:tc>
      </w:tr>
      <w:tr w:rsidR="007C375D" w:rsidRPr="00C254D9" w:rsidTr="00441A11">
        <w:trPr>
          <w:trHeight w:val="95"/>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lastRenderedPageBreak/>
              <w:t>Prescriber Instructions:</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autoSpaceDE w:val="0"/>
              <w:autoSpaceDN w:val="0"/>
              <w:adjustRightInd w:val="0"/>
              <w:rPr>
                <w:rFonts w:ascii="Arial Narrow" w:hAnsi="Arial Narrow"/>
                <w:sz w:val="20"/>
                <w:szCs w:val="20"/>
              </w:rPr>
            </w:pPr>
            <w:r w:rsidRPr="007C375D">
              <w:rPr>
                <w:rFonts w:ascii="Arial Narrow" w:hAnsi="Arial Narrow"/>
                <w:sz w:val="20"/>
                <w:szCs w:val="20"/>
              </w:rPr>
              <w:t>Standard management includes physiotherapy and/or oral</w:t>
            </w:r>
            <w:r>
              <w:rPr>
                <w:rFonts w:ascii="Arial Narrow" w:hAnsi="Arial Narrow"/>
                <w:sz w:val="20"/>
                <w:szCs w:val="20"/>
              </w:rPr>
              <w:t xml:space="preserve"> </w:t>
            </w:r>
            <w:r w:rsidRPr="007C375D">
              <w:rPr>
                <w:rFonts w:ascii="Arial Narrow" w:hAnsi="Arial Narrow"/>
                <w:sz w:val="20"/>
                <w:szCs w:val="20"/>
              </w:rPr>
              <w:t>spasticity agents.</w:t>
            </w:r>
          </w:p>
        </w:tc>
      </w:tr>
      <w:tr w:rsidR="007C375D" w:rsidRPr="00C254D9" w:rsidTr="00441A11">
        <w:trPr>
          <w:trHeight w:val="144"/>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jc w:val="both"/>
              <w:rPr>
                <w:rFonts w:ascii="Arial Narrow" w:hAnsi="Arial Narrow" w:cs="Arial"/>
                <w:b/>
                <w:sz w:val="20"/>
                <w:szCs w:val="20"/>
              </w:rPr>
            </w:pPr>
            <w:r w:rsidRPr="00441A11">
              <w:rPr>
                <w:rFonts w:ascii="Arial Narrow" w:hAnsi="Arial Narrow" w:cs="Arial"/>
                <w:b/>
                <w:sz w:val="20"/>
                <w:szCs w:val="20"/>
              </w:rPr>
              <w:t>Administrative Advice:</w:t>
            </w:r>
          </w:p>
          <w:p w:rsidR="007C375D" w:rsidRPr="00441A11" w:rsidRDefault="007C375D" w:rsidP="00441A11">
            <w:pPr>
              <w:jc w:val="both"/>
              <w:rPr>
                <w:rFonts w:ascii="Arial Narrow" w:hAnsi="Arial Narrow" w:cs="Arial"/>
                <w:b/>
                <w:i/>
                <w:sz w:val="20"/>
                <w:szCs w:val="20"/>
              </w:rPr>
            </w:pP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The units used to express the potency of botulinum toxin preparations currently available for PBS subsidy are not equivalent.</w:t>
            </w:r>
          </w:p>
          <w:p w:rsidR="007C375D" w:rsidRPr="007C375D" w:rsidRDefault="007C375D" w:rsidP="00441A11">
            <w:pPr>
              <w:rPr>
                <w:rFonts w:ascii="Arial Narrow" w:hAnsi="Arial Narrow" w:cs="Arial"/>
                <w:sz w:val="20"/>
                <w:szCs w:val="20"/>
              </w:rPr>
            </w:pP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An acute event may be a clinical or external event that leads to upper motor neuron lesions resulting in spasticity for example stroke, traumatic brain injury, spinal cord injury, infection or hypoxia.</w:t>
            </w:r>
          </w:p>
          <w:p w:rsidR="007C375D" w:rsidRPr="007C375D" w:rsidRDefault="007C375D" w:rsidP="00441A11">
            <w:pPr>
              <w:rPr>
                <w:rFonts w:ascii="Arial Narrow" w:hAnsi="Arial Narrow" w:cs="Arial"/>
                <w:sz w:val="20"/>
                <w:szCs w:val="20"/>
              </w:rPr>
            </w:pPr>
          </w:p>
          <w:p w:rsidR="007C375D" w:rsidRPr="007C375D" w:rsidRDefault="007C375D" w:rsidP="00441A11">
            <w:pPr>
              <w:rPr>
                <w:rFonts w:ascii="Arial Narrow" w:hAnsi="Arial Narrow" w:cs="Arial"/>
                <w:sz w:val="20"/>
                <w:szCs w:val="20"/>
              </w:rPr>
            </w:pPr>
            <w:r w:rsidRPr="007C375D">
              <w:rPr>
                <w:rFonts w:ascii="Arial Narrow" w:hAnsi="Arial Narrow" w:cs="Arial"/>
                <w:sz w:val="20"/>
                <w:szCs w:val="20"/>
              </w:rPr>
              <w:t>Special Pricing Arrangements apply.</w:t>
            </w:r>
          </w:p>
        </w:tc>
      </w:tr>
      <w:tr w:rsidR="007C375D" w:rsidRPr="0037521E" w:rsidTr="00441A11">
        <w:trPr>
          <w:trHeight w:val="243"/>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Cautions:</w:t>
            </w:r>
          </w:p>
        </w:tc>
        <w:tc>
          <w:tcPr>
            <w:tcW w:w="7337" w:type="dxa"/>
            <w:gridSpan w:val="5"/>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Contraindications to treatment include known sensitivity to botulinum toxin.</w:t>
            </w:r>
          </w:p>
        </w:tc>
      </w:tr>
    </w:tbl>
    <w:p w:rsidR="00441A11" w:rsidRDefault="00441A11"/>
    <w:tbl>
      <w:tblPr>
        <w:tblW w:w="9322" w:type="dxa"/>
        <w:tblInd w:w="-5" w:type="dxa"/>
        <w:tblLayout w:type="fixed"/>
        <w:tblLook w:val="0000" w:firstRow="0" w:lastRow="0" w:firstColumn="0" w:lastColumn="0" w:noHBand="0" w:noVBand="0"/>
      </w:tblPr>
      <w:tblGrid>
        <w:gridCol w:w="1985"/>
        <w:gridCol w:w="7337"/>
      </w:tblGrid>
      <w:tr w:rsidR="007C375D" w:rsidRPr="007C375D" w:rsidTr="00441A11">
        <w:trPr>
          <w:cantSplit/>
          <w:trHeight w:val="227"/>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Category/Program:</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Section 100 – Botulinum Toxin Program</w:t>
            </w:r>
          </w:p>
        </w:tc>
      </w:tr>
      <w:tr w:rsidR="007C375D" w:rsidRPr="007C375D" w:rsidTr="00441A11">
        <w:trPr>
          <w:cantSplit/>
          <w:trHeight w:val="154"/>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Prescriber type:</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fldChar w:fldCharType="begin">
                <w:ffData>
                  <w:name w:val="Check1"/>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Dental  </w:t>
            </w:r>
            <w:r w:rsidRPr="007C375D">
              <w:rPr>
                <w:rFonts w:ascii="Arial Narrow" w:hAnsi="Arial Narrow" w:cs="Arial"/>
                <w:sz w:val="20"/>
                <w:szCs w:val="20"/>
              </w:rPr>
              <w:fldChar w:fldCharType="begin">
                <w:ffData>
                  <w:name w:val=""/>
                  <w:enabled/>
                  <w:calcOnExit w:val="0"/>
                  <w:checkBox>
                    <w:sizeAuto/>
                    <w:default w:val="1"/>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Medical Practitioners  </w:t>
            </w:r>
            <w:r w:rsidRPr="007C375D">
              <w:rPr>
                <w:rFonts w:ascii="Arial Narrow" w:hAnsi="Arial Narrow" w:cs="Arial"/>
                <w:sz w:val="20"/>
                <w:szCs w:val="20"/>
              </w:rPr>
              <w:fldChar w:fldCharType="begin">
                <w:ffData>
                  <w:name w:val="Check3"/>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Nurse practitioners  </w:t>
            </w:r>
            <w:r w:rsidRPr="007C375D">
              <w:rPr>
                <w:rFonts w:ascii="Arial Narrow" w:hAnsi="Arial Narrow" w:cs="Arial"/>
                <w:sz w:val="20"/>
                <w:szCs w:val="20"/>
              </w:rPr>
              <w:fldChar w:fldCharType="begin">
                <w:ffData>
                  <w:name w:val=""/>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 xml:space="preserve">Optometrists </w:t>
            </w:r>
            <w:r w:rsidRPr="007C375D">
              <w:rPr>
                <w:rFonts w:ascii="Arial Narrow" w:hAnsi="Arial Narrow" w:cs="Arial"/>
                <w:sz w:val="20"/>
                <w:szCs w:val="20"/>
              </w:rPr>
              <w:fldChar w:fldCharType="begin">
                <w:ffData>
                  <w:name w:val="Check5"/>
                  <w:enabled/>
                  <w:calcOnExit w:val="0"/>
                  <w:checkBox>
                    <w:sizeAuto/>
                    <w:default w:val="0"/>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Midwives</w:t>
            </w:r>
          </w:p>
        </w:tc>
      </w:tr>
      <w:tr w:rsidR="007C375D" w:rsidRPr="007C375D" w:rsidTr="00441A11">
        <w:trPr>
          <w:cantSplit/>
          <w:trHeight w:val="56"/>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Severity:</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Moderate to severe</w:t>
            </w:r>
          </w:p>
        </w:tc>
      </w:tr>
      <w:tr w:rsidR="007C375D" w:rsidRPr="007C375D" w:rsidTr="00441A11">
        <w:trPr>
          <w:cantSplit/>
          <w:trHeight w:val="20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Condition:</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Calibri"/>
                <w:sz w:val="20"/>
                <w:szCs w:val="20"/>
              </w:rPr>
              <w:t xml:space="preserve">Spasticity of the upper limb following an acute event </w:t>
            </w:r>
          </w:p>
        </w:tc>
      </w:tr>
      <w:tr w:rsidR="007C375D" w:rsidRPr="007C375D" w:rsidTr="00441A11">
        <w:trPr>
          <w:cantSplit/>
          <w:trHeight w:val="105"/>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PBS Indication:</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Moderate to severe</w:t>
            </w:r>
            <w:r w:rsidRPr="007C375D">
              <w:rPr>
                <w:rFonts w:ascii="Arial Narrow" w:hAnsi="Arial Narrow" w:cs="Calibri"/>
                <w:sz w:val="20"/>
                <w:szCs w:val="20"/>
              </w:rPr>
              <w:t xml:space="preserve"> spasticity of the upper limb following an acute event </w:t>
            </w:r>
          </w:p>
        </w:tc>
      </w:tr>
      <w:tr w:rsidR="007C375D" w:rsidRPr="007C375D" w:rsidTr="00441A11">
        <w:trPr>
          <w:cantSplit/>
          <w:trHeight w:val="15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Treatment phase</w:t>
            </w:r>
            <w:r w:rsidR="00441A11">
              <w:rPr>
                <w:rFonts w:ascii="Arial Narrow" w:hAnsi="Arial Narrow" w:cs="Arial"/>
                <w:b/>
                <w:sz w:val="20"/>
                <w:szCs w:val="20"/>
              </w:rPr>
              <w:t>:</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Grandfathered treatment</w:t>
            </w:r>
          </w:p>
        </w:tc>
      </w:tr>
      <w:tr w:rsidR="007C375D" w:rsidRPr="007C375D" w:rsidTr="00441A11">
        <w:trPr>
          <w:cantSplit/>
          <w:trHeight w:val="196"/>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441A11">
            <w:pPr>
              <w:rPr>
                <w:rFonts w:ascii="Arial Narrow" w:hAnsi="Arial Narrow" w:cs="Arial"/>
                <w:b/>
                <w:sz w:val="20"/>
                <w:szCs w:val="20"/>
              </w:rPr>
            </w:pPr>
            <w:r w:rsidRPr="00441A11">
              <w:rPr>
                <w:rFonts w:ascii="Arial Narrow" w:hAnsi="Arial Narrow" w:cs="Arial"/>
                <w:b/>
                <w:sz w:val="20"/>
                <w:szCs w:val="20"/>
              </w:rPr>
              <w:t xml:space="preserve">Restriction </w:t>
            </w:r>
            <w:r w:rsidR="00441A11">
              <w:rPr>
                <w:rFonts w:ascii="Arial Narrow" w:hAnsi="Arial Narrow" w:cs="Arial"/>
                <w:b/>
                <w:sz w:val="20"/>
                <w:szCs w:val="20"/>
              </w:rPr>
              <w:t>l</w:t>
            </w:r>
            <w:r w:rsidRPr="00441A11">
              <w:rPr>
                <w:rFonts w:ascii="Arial Narrow" w:hAnsi="Arial Narrow" w:cs="Arial"/>
                <w:b/>
                <w:sz w:val="20"/>
                <w:szCs w:val="20"/>
              </w:rPr>
              <w:t>evel</w:t>
            </w:r>
            <w:r w:rsidR="00441A11">
              <w:rPr>
                <w:rFonts w:ascii="Arial Narrow" w:hAnsi="Arial Narrow" w:cs="Arial"/>
                <w:b/>
                <w:sz w:val="20"/>
                <w:szCs w:val="20"/>
              </w:rPr>
              <w:t>:</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fldChar w:fldCharType="begin">
                <w:ffData>
                  <w:name w:val="Check5"/>
                  <w:enabled/>
                  <w:calcOnExit w:val="0"/>
                  <w:checkBox>
                    <w:sizeAuto/>
                    <w:default w:val="1"/>
                  </w:checkBox>
                </w:ffData>
              </w:fldChar>
            </w:r>
            <w:r w:rsidRPr="007C375D">
              <w:rPr>
                <w:rFonts w:ascii="Arial Narrow" w:hAnsi="Arial Narrow" w:cs="Arial"/>
                <w:sz w:val="20"/>
                <w:szCs w:val="20"/>
              </w:rPr>
              <w:instrText xml:space="preserve"> FORMCHECKBOX </w:instrText>
            </w:r>
            <w:r w:rsidR="0027673B">
              <w:rPr>
                <w:rFonts w:ascii="Arial Narrow" w:hAnsi="Arial Narrow" w:cs="Arial"/>
                <w:sz w:val="20"/>
                <w:szCs w:val="20"/>
              </w:rPr>
            </w:r>
            <w:r w:rsidR="0027673B">
              <w:rPr>
                <w:rFonts w:ascii="Arial Narrow" w:hAnsi="Arial Narrow" w:cs="Arial"/>
                <w:sz w:val="20"/>
                <w:szCs w:val="20"/>
              </w:rPr>
              <w:fldChar w:fldCharType="separate"/>
            </w:r>
            <w:r w:rsidRPr="007C375D">
              <w:rPr>
                <w:rFonts w:ascii="Arial Narrow" w:hAnsi="Arial Narrow" w:cs="Arial"/>
                <w:sz w:val="20"/>
                <w:szCs w:val="20"/>
              </w:rPr>
              <w:fldChar w:fldCharType="end"/>
            </w:r>
            <w:r w:rsidRPr="007C375D">
              <w:rPr>
                <w:rFonts w:ascii="Arial Narrow" w:hAnsi="Arial Narrow" w:cs="Arial"/>
                <w:sz w:val="20"/>
                <w:szCs w:val="20"/>
              </w:rPr>
              <w:t>Streamlined</w:t>
            </w:r>
          </w:p>
        </w:tc>
      </w:tr>
      <w:tr w:rsidR="007C375D" w:rsidRPr="007C375D" w:rsidTr="00441A11">
        <w:trPr>
          <w:cantSplit/>
          <w:trHeight w:val="4352"/>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Clinical criteria:</w:t>
            </w:r>
          </w:p>
          <w:p w:rsidR="007C375D" w:rsidRPr="00441A11" w:rsidRDefault="007C375D" w:rsidP="00B86804">
            <w:pPr>
              <w:jc w:val="both"/>
              <w:rPr>
                <w:rFonts w:ascii="Arial Narrow" w:hAnsi="Arial Narrow" w:cs="Arial"/>
                <w:b/>
                <w:sz w:val="20"/>
                <w:szCs w:val="20"/>
              </w:rPr>
            </w:pP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Patient must have previously received non-PBS subsidised treatment with this drug for this condition prior to [PBS listing date]</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 xml:space="preserve">The condition must </w:t>
            </w:r>
            <w:r w:rsidR="00032FBA">
              <w:rPr>
                <w:rFonts w:ascii="Arial Narrow" w:hAnsi="Arial Narrow" w:cs="Arial"/>
                <w:sz w:val="20"/>
                <w:szCs w:val="20"/>
              </w:rPr>
              <w:t xml:space="preserve">have </w:t>
            </w:r>
            <w:r w:rsidR="00C03147">
              <w:rPr>
                <w:rFonts w:ascii="Arial Narrow" w:hAnsi="Arial Narrow" w:cs="Arial"/>
                <w:sz w:val="20"/>
                <w:szCs w:val="20"/>
              </w:rPr>
              <w:t xml:space="preserve">been </w:t>
            </w:r>
            <w:r w:rsidR="00C03147" w:rsidRPr="007C375D">
              <w:rPr>
                <w:rFonts w:ascii="Arial Narrow" w:hAnsi="Arial Narrow" w:cs="Arial"/>
                <w:sz w:val="20"/>
                <w:szCs w:val="20"/>
              </w:rPr>
              <w:t>moderate</w:t>
            </w:r>
            <w:r w:rsidRPr="007C375D">
              <w:rPr>
                <w:rFonts w:ascii="Arial Narrow" w:hAnsi="Arial Narrow" w:cs="Arial"/>
                <w:sz w:val="20"/>
                <w:szCs w:val="20"/>
              </w:rPr>
              <w:t xml:space="preserve"> to severe spasticity of the upper limb/s following an acute event, defined as a Modified Ash</w:t>
            </w:r>
            <w:r w:rsidR="00C03147">
              <w:rPr>
                <w:rFonts w:ascii="Arial Narrow" w:hAnsi="Arial Narrow" w:cs="Arial"/>
                <w:sz w:val="20"/>
                <w:szCs w:val="20"/>
              </w:rPr>
              <w:t>worth Scale rating of 3 or more prior to commencing non-PBS subsidised treatment.</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The treatment must only be used as second line therapy when standard management has failed; OR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The treatment must only be used as an adjunct to physical therapy,</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The treatment must not continue if the patient does not respond (defined as not having had a decrease in spasticity rating greater than 1, using the Modified Ashworth Scale, in at least one joint) after two treatment periods (with any botulinum toxin type A)</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The treatment must not exceed a maximum of 4 treatment periods (with any botulinum toxin type A) per upper limb in the first year of treatment, and 2 treatment periods (with any botulinum toxin type A) per upper limb each year thereafter.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AND</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Patient must not have established severe contracture in the limb to be treated.</w:t>
            </w:r>
          </w:p>
        </w:tc>
      </w:tr>
      <w:tr w:rsidR="007C375D" w:rsidRPr="007C375D" w:rsidTr="00441A11">
        <w:trPr>
          <w:cantSplit/>
          <w:trHeight w:val="91"/>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Population criteria:</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Patient must be aged 18 years or older.</w:t>
            </w:r>
          </w:p>
        </w:tc>
      </w:tr>
      <w:tr w:rsidR="007C375D" w:rsidRPr="007C375D" w:rsidTr="00441A11">
        <w:trPr>
          <w:cantSplit/>
          <w:trHeight w:val="36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rPr>
                <w:rFonts w:ascii="Arial Narrow" w:hAnsi="Arial Narrow" w:cs="Arial"/>
                <w:b/>
                <w:sz w:val="20"/>
                <w:szCs w:val="20"/>
              </w:rPr>
            </w:pPr>
            <w:r w:rsidRPr="00441A11">
              <w:rPr>
                <w:rFonts w:ascii="Arial Narrow" w:hAnsi="Arial Narrow" w:cs="Arial"/>
                <w:b/>
                <w:sz w:val="20"/>
                <w:szCs w:val="20"/>
              </w:rPr>
              <w:t>Treatment criteria:</w:t>
            </w:r>
          </w:p>
          <w:p w:rsidR="007C375D" w:rsidRPr="00441A11" w:rsidRDefault="007C375D" w:rsidP="00B86804">
            <w:pPr>
              <w:jc w:val="both"/>
              <w:rPr>
                <w:rFonts w:ascii="Arial Narrow" w:hAnsi="Arial Narrow" w:cs="Arial"/>
                <w:b/>
                <w:sz w:val="20"/>
                <w:szCs w:val="20"/>
              </w:rPr>
            </w:pP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Must be treated by a neurologist; OR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Must be treated by an orthopaedic surgeon; OR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Must be treated by a rehabilitation specialist; OR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Must be treated by a plastic surgeon; OR</w:t>
            </w: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Must be treated by a geriatrician.</w:t>
            </w:r>
          </w:p>
        </w:tc>
      </w:tr>
      <w:tr w:rsidR="007C375D" w:rsidRPr="007C375D" w:rsidTr="00441A11">
        <w:trPr>
          <w:cantSplit/>
          <w:trHeight w:val="211"/>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Prescriber Instructions</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autoSpaceDE w:val="0"/>
              <w:autoSpaceDN w:val="0"/>
              <w:adjustRightInd w:val="0"/>
              <w:rPr>
                <w:rFonts w:ascii="Arial Narrow" w:hAnsi="Arial Narrow"/>
                <w:sz w:val="20"/>
                <w:szCs w:val="20"/>
              </w:rPr>
            </w:pPr>
            <w:r w:rsidRPr="007C375D">
              <w:rPr>
                <w:rFonts w:ascii="Arial Narrow" w:hAnsi="Arial Narrow"/>
                <w:sz w:val="20"/>
                <w:szCs w:val="20"/>
              </w:rPr>
              <w:t>Standard management includes physiotherapy and/or oral spasticity agents.</w:t>
            </w:r>
          </w:p>
        </w:tc>
      </w:tr>
      <w:tr w:rsidR="007C375D" w:rsidRPr="007C375D" w:rsidTr="00441A11">
        <w:trPr>
          <w:cantSplit/>
          <w:trHeight w:val="360"/>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Administrative Advice:</w:t>
            </w:r>
          </w:p>
          <w:p w:rsidR="007C375D" w:rsidRPr="00441A11" w:rsidRDefault="007C375D" w:rsidP="00B86804">
            <w:pPr>
              <w:jc w:val="both"/>
              <w:rPr>
                <w:rFonts w:ascii="Arial Narrow" w:hAnsi="Arial Narrow" w:cs="Arial"/>
                <w:b/>
                <w:sz w:val="20"/>
                <w:szCs w:val="20"/>
              </w:rPr>
            </w:pP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The units used to express the potency of botulinum toxin preparations currently available for PBS subsidy are not equivalent.</w:t>
            </w:r>
          </w:p>
          <w:p w:rsidR="007C375D" w:rsidRPr="007C375D" w:rsidRDefault="007C375D" w:rsidP="00B86804">
            <w:pPr>
              <w:rPr>
                <w:rFonts w:ascii="Arial Narrow" w:hAnsi="Arial Narrow" w:cs="Arial"/>
                <w:sz w:val="20"/>
                <w:szCs w:val="20"/>
              </w:rPr>
            </w:pP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An acute event may be a clinical or external event that leads to upper motor neuron lesions resulting in spasticity for example stroke, traumatic brain injury, spinal cord injury, infection or hypoxia.</w:t>
            </w:r>
          </w:p>
          <w:p w:rsidR="007C375D" w:rsidRPr="007C375D" w:rsidRDefault="007C375D" w:rsidP="00B86804">
            <w:pPr>
              <w:rPr>
                <w:rFonts w:ascii="Arial Narrow" w:hAnsi="Arial Narrow" w:cs="Arial"/>
                <w:sz w:val="20"/>
                <w:szCs w:val="20"/>
              </w:rPr>
            </w:pPr>
          </w:p>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Special Pricing Arrangements apply.</w:t>
            </w:r>
          </w:p>
        </w:tc>
      </w:tr>
      <w:tr w:rsidR="007C375D" w:rsidRPr="007C375D" w:rsidTr="00441A11">
        <w:trPr>
          <w:cantSplit/>
          <w:trHeight w:val="56"/>
        </w:trPr>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441A11" w:rsidRDefault="007C375D" w:rsidP="00B86804">
            <w:pPr>
              <w:jc w:val="both"/>
              <w:rPr>
                <w:rFonts w:ascii="Arial Narrow" w:hAnsi="Arial Narrow" w:cs="Arial"/>
                <w:b/>
                <w:sz w:val="20"/>
                <w:szCs w:val="20"/>
              </w:rPr>
            </w:pPr>
            <w:r w:rsidRPr="00441A11">
              <w:rPr>
                <w:rFonts w:ascii="Arial Narrow" w:hAnsi="Arial Narrow" w:cs="Arial"/>
                <w:b/>
                <w:sz w:val="20"/>
                <w:szCs w:val="20"/>
              </w:rPr>
              <w:t>Cautions:</w:t>
            </w:r>
          </w:p>
        </w:tc>
        <w:tc>
          <w:tcPr>
            <w:tcW w:w="7337" w:type="dxa"/>
            <w:tcBorders>
              <w:top w:val="single" w:sz="4" w:space="0" w:color="auto"/>
              <w:left w:val="single" w:sz="4" w:space="0" w:color="auto"/>
              <w:bottom w:val="single" w:sz="4" w:space="0" w:color="auto"/>
              <w:right w:val="single" w:sz="4" w:space="0" w:color="auto"/>
            </w:tcBorders>
            <w:tcMar>
              <w:left w:w="28" w:type="dxa"/>
              <w:right w:w="28" w:type="dxa"/>
            </w:tcMar>
          </w:tcPr>
          <w:p w:rsidR="007C375D" w:rsidRPr="007C375D" w:rsidRDefault="007C375D" w:rsidP="00B86804">
            <w:pPr>
              <w:rPr>
                <w:rFonts w:ascii="Arial Narrow" w:hAnsi="Arial Narrow" w:cs="Arial"/>
                <w:sz w:val="20"/>
                <w:szCs w:val="20"/>
              </w:rPr>
            </w:pPr>
            <w:r w:rsidRPr="007C375D">
              <w:rPr>
                <w:rFonts w:ascii="Arial Narrow" w:hAnsi="Arial Narrow" w:cs="Arial"/>
                <w:sz w:val="20"/>
                <w:szCs w:val="20"/>
              </w:rPr>
              <w:t>Contraindications to treatment include known sensitivity to botulinum toxin.</w:t>
            </w:r>
          </w:p>
        </w:tc>
      </w:tr>
    </w:tbl>
    <w:p w:rsidR="0051464A" w:rsidRDefault="0051464A" w:rsidP="0051464A">
      <w:pPr>
        <w:pStyle w:val="NoSpacing"/>
        <w:rPr>
          <w:lang w:val="en-GB"/>
        </w:rPr>
      </w:pPr>
    </w:p>
    <w:p w:rsidR="009E1E28" w:rsidRPr="009E1E28" w:rsidRDefault="0051464A" w:rsidP="009E1E28">
      <w:pPr>
        <w:rPr>
          <w:rFonts w:asciiTheme="minorHAnsi" w:hAnsiTheme="minorHAnsi" w:cstheme="minorHAnsi"/>
          <w:color w:val="1F497D"/>
          <w:sz w:val="22"/>
        </w:rPr>
      </w:pPr>
      <w:r>
        <w:rPr>
          <w:lang w:val="en-GB"/>
        </w:rPr>
        <w:br w:type="column"/>
      </w:r>
      <w:r w:rsidR="0044734E" w:rsidRPr="009E1E28">
        <w:rPr>
          <w:rFonts w:asciiTheme="minorHAnsi" w:hAnsiTheme="minorHAnsi" w:cstheme="minorHAnsi"/>
          <w:bCs/>
          <w:i/>
          <w:iCs/>
        </w:rPr>
        <w:lastRenderedPageBreak/>
        <w:t>These restrictions may be subject to further review. Should there be any changes made to the restrictions the Sponsor will be informed.</w:t>
      </w:r>
    </w:p>
    <w:p w:rsidR="009E1E28" w:rsidRPr="009E1E28" w:rsidRDefault="009E1E28" w:rsidP="009E1E28">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9E1E28">
        <w:rPr>
          <w:rFonts w:asciiTheme="minorHAnsi" w:hAnsiTheme="minorHAnsi"/>
          <w:sz w:val="32"/>
          <w:szCs w:val="32"/>
        </w:rPr>
        <w:t>Context for Decision</w:t>
      </w:r>
    </w:p>
    <w:p w:rsidR="009E1E28" w:rsidRPr="009E1E28" w:rsidRDefault="00045F8F" w:rsidP="009E1E28">
      <w:pPr>
        <w:spacing w:line="276" w:lineRule="auto"/>
        <w:jc w:val="both"/>
        <w:rPr>
          <w:rFonts w:asciiTheme="minorHAnsi" w:eastAsiaTheme="minorHAnsi" w:hAnsiTheme="minorHAnsi" w:cs="Arial"/>
          <w:szCs w:val="22"/>
          <w:lang w:eastAsia="en-US"/>
        </w:rPr>
      </w:pPr>
      <w:r w:rsidRPr="00045F8F">
        <w:rPr>
          <w:rFonts w:asciiTheme="minorHAnsi" w:eastAsiaTheme="minorHAnsi" w:hAnsiTheme="minorHAnsi" w:cs="Arial"/>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E1E28" w:rsidRPr="009E1E28" w:rsidRDefault="009E1E28" w:rsidP="009E1E28">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9E1E28">
        <w:rPr>
          <w:rFonts w:asciiTheme="minorHAnsi" w:hAnsiTheme="minorHAnsi"/>
          <w:sz w:val="32"/>
          <w:szCs w:val="32"/>
        </w:rPr>
        <w:t>Sponsor’s Comment</w:t>
      </w:r>
    </w:p>
    <w:p w:rsidR="009E1E28" w:rsidRPr="009E1E28" w:rsidRDefault="009E1E28" w:rsidP="009E1E28">
      <w:pPr>
        <w:spacing w:after="120" w:line="276" w:lineRule="auto"/>
        <w:jc w:val="both"/>
        <w:rPr>
          <w:rFonts w:asciiTheme="minorHAnsi" w:eastAsiaTheme="minorHAnsi" w:hAnsiTheme="minorHAnsi" w:cs="Arial"/>
          <w:bCs/>
          <w:szCs w:val="22"/>
          <w:lang w:eastAsia="en-US"/>
        </w:rPr>
      </w:pPr>
      <w:r w:rsidRPr="009E1E28">
        <w:rPr>
          <w:rFonts w:asciiTheme="minorHAnsi" w:eastAsiaTheme="minorHAnsi" w:hAnsiTheme="minorHAnsi" w:cs="Arial"/>
          <w:bCs/>
          <w:szCs w:val="22"/>
          <w:lang w:eastAsia="en-US"/>
        </w:rPr>
        <w:t>The sponsor had no comment.</w:t>
      </w:r>
    </w:p>
    <w:p w:rsidR="0051464A" w:rsidRPr="009E1E28" w:rsidRDefault="0051464A" w:rsidP="009E1E28">
      <w:pPr>
        <w:rPr>
          <w:lang w:val="en-GB"/>
        </w:rPr>
      </w:pPr>
    </w:p>
    <w:sectPr w:rsidR="0051464A" w:rsidRPr="009E1E28"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DD0" w:rsidRDefault="00955DD0">
      <w:r>
        <w:separator/>
      </w:r>
    </w:p>
    <w:p w:rsidR="00955DD0" w:rsidRDefault="00955DD0"/>
  </w:endnote>
  <w:endnote w:type="continuationSeparator" w:id="0">
    <w:p w:rsidR="00955DD0" w:rsidRDefault="00955DD0">
      <w:r>
        <w:continuationSeparator/>
      </w:r>
    </w:p>
    <w:p w:rsidR="00955DD0" w:rsidRDefault="00955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55DD0" w:rsidTr="005A3173">
      <w:trPr>
        <w:trHeight w:val="151"/>
      </w:trPr>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55DD0" w:rsidRPr="005A3173" w:rsidRDefault="00955D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r>
    <w:tr w:rsidR="00955DD0" w:rsidTr="005A3173">
      <w:trPr>
        <w:trHeight w:val="150"/>
      </w:trPr>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0" w:type="auto"/>
          <w:vMerge/>
          <w:vAlign w:val="center"/>
          <w:hideMark/>
        </w:tcPr>
        <w:p w:rsidR="00955DD0" w:rsidRPr="005A3173" w:rsidRDefault="00955DD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r>
  </w:tbl>
  <w:p w:rsidR="00955DD0" w:rsidRDefault="00955DD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5DD0" w:rsidRDefault="00955DD0">
    <w:pPr>
      <w:pStyle w:val="Footer"/>
    </w:pPr>
  </w:p>
  <w:p w:rsidR="00955DD0" w:rsidRDefault="00955D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449370"/>
      <w:docPartObj>
        <w:docPartGallery w:val="Page Numbers (Bottom of Page)"/>
        <w:docPartUnique/>
      </w:docPartObj>
    </w:sdtPr>
    <w:sdtEndPr>
      <w:rPr>
        <w:rFonts w:asciiTheme="minorHAnsi" w:hAnsiTheme="minorHAnsi" w:cstheme="minorHAnsi"/>
        <w:b/>
        <w:noProof/>
      </w:rPr>
    </w:sdtEndPr>
    <w:sdtContent>
      <w:p w:rsidR="00955DD0" w:rsidRPr="00DF2235" w:rsidRDefault="00955DD0">
        <w:pPr>
          <w:pStyle w:val="Footer"/>
          <w:jc w:val="center"/>
          <w:rPr>
            <w:rFonts w:asciiTheme="minorHAnsi" w:hAnsiTheme="minorHAnsi" w:cstheme="minorHAnsi"/>
            <w:b/>
          </w:rPr>
        </w:pPr>
        <w:r w:rsidRPr="00DF2235">
          <w:rPr>
            <w:rFonts w:asciiTheme="minorHAnsi" w:hAnsiTheme="minorHAnsi" w:cstheme="minorHAnsi"/>
            <w:b/>
          </w:rPr>
          <w:fldChar w:fldCharType="begin"/>
        </w:r>
        <w:r w:rsidRPr="00DF2235">
          <w:rPr>
            <w:rFonts w:asciiTheme="minorHAnsi" w:hAnsiTheme="minorHAnsi" w:cstheme="minorHAnsi"/>
            <w:b/>
          </w:rPr>
          <w:instrText xml:space="preserve"> PAGE   \* MERGEFORMAT </w:instrText>
        </w:r>
        <w:r w:rsidRPr="00DF2235">
          <w:rPr>
            <w:rFonts w:asciiTheme="minorHAnsi" w:hAnsiTheme="minorHAnsi" w:cstheme="minorHAnsi"/>
            <w:b/>
          </w:rPr>
          <w:fldChar w:fldCharType="separate"/>
        </w:r>
        <w:r w:rsidR="0027673B">
          <w:rPr>
            <w:rFonts w:asciiTheme="minorHAnsi" w:hAnsiTheme="minorHAnsi" w:cstheme="minorHAnsi"/>
            <w:b/>
            <w:noProof/>
          </w:rPr>
          <w:t>15</w:t>
        </w:r>
        <w:r w:rsidRPr="00DF2235">
          <w:rPr>
            <w:rFonts w:asciiTheme="minorHAnsi" w:hAnsiTheme="minorHAnsi" w:cstheme="minorHAnsi"/>
            <w:b/>
            <w:noProof/>
          </w:rPr>
          <w:fldChar w:fldCharType="end"/>
        </w:r>
      </w:p>
    </w:sdtContent>
  </w:sdt>
  <w:p w:rsidR="00955DD0" w:rsidRPr="000F3384" w:rsidRDefault="00955DD0"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55DD0" w:rsidTr="005A3173">
      <w:trPr>
        <w:trHeight w:val="151"/>
      </w:trPr>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55DD0" w:rsidRPr="005A3173" w:rsidRDefault="00955D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r>
    <w:tr w:rsidR="00955DD0" w:rsidTr="005A3173">
      <w:trPr>
        <w:trHeight w:val="150"/>
      </w:trPr>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0" w:type="auto"/>
          <w:vMerge/>
          <w:vAlign w:val="center"/>
          <w:hideMark/>
        </w:tcPr>
        <w:p w:rsidR="00955DD0" w:rsidRPr="005A3173" w:rsidRDefault="00955DD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55DD0" w:rsidTr="005A3173">
      <w:trPr>
        <w:trHeight w:val="151"/>
      </w:trPr>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55DD0" w:rsidRPr="005A3173" w:rsidRDefault="00955DD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55DD0" w:rsidRPr="005A3173" w:rsidRDefault="00955DD0" w:rsidP="005A3173">
          <w:pPr>
            <w:pStyle w:val="Header"/>
            <w:spacing w:line="276" w:lineRule="auto"/>
            <w:rPr>
              <w:rFonts w:ascii="Calibri" w:eastAsia="MS Gothic" w:hAnsi="Calibri"/>
              <w:b/>
              <w:bCs/>
              <w:color w:val="4F81BD"/>
            </w:rPr>
          </w:pPr>
        </w:p>
      </w:tc>
    </w:tr>
    <w:tr w:rsidR="00955DD0" w:rsidTr="005A3173">
      <w:trPr>
        <w:trHeight w:val="150"/>
      </w:trPr>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c>
        <w:tcPr>
          <w:tcW w:w="0" w:type="auto"/>
          <w:vMerge/>
          <w:vAlign w:val="center"/>
          <w:hideMark/>
        </w:tcPr>
        <w:p w:rsidR="00955DD0" w:rsidRPr="005A3173" w:rsidRDefault="00955DD0" w:rsidP="005A3173">
          <w:pPr>
            <w:rPr>
              <w:rFonts w:ascii="Calibri" w:hAnsi="Calibri"/>
              <w:color w:val="365F91"/>
              <w:sz w:val="22"/>
              <w:szCs w:val="22"/>
            </w:rPr>
          </w:pPr>
        </w:p>
      </w:tc>
      <w:tc>
        <w:tcPr>
          <w:tcW w:w="2250" w:type="pct"/>
          <w:tcBorders>
            <w:top w:val="single" w:sz="4" w:space="0" w:color="4F81BD"/>
            <w:left w:val="nil"/>
            <w:bottom w:val="nil"/>
            <w:right w:val="nil"/>
          </w:tcBorders>
        </w:tcPr>
        <w:p w:rsidR="00955DD0" w:rsidRPr="005A3173" w:rsidRDefault="00955DD0" w:rsidP="005A3173">
          <w:pPr>
            <w:pStyle w:val="Header"/>
            <w:spacing w:line="276" w:lineRule="auto"/>
            <w:rPr>
              <w:rFonts w:ascii="Calibri" w:eastAsia="MS Gothic" w:hAnsi="Calibri"/>
              <w:b/>
              <w:bCs/>
              <w:color w:val="4F81BD"/>
            </w:rPr>
          </w:pPr>
        </w:p>
      </w:tc>
    </w:tr>
  </w:tbl>
  <w:p w:rsidR="00955DD0" w:rsidRPr="007C0F57" w:rsidRDefault="00955DD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55DD0" w:rsidRPr="007C0F57" w:rsidRDefault="00955DD0" w:rsidP="007C0F57">
    <w:pPr>
      <w:pStyle w:val="Footer"/>
      <w:jc w:val="center"/>
      <w:rPr>
        <w:b/>
        <w:i/>
        <w:sz w:val="20"/>
        <w:szCs w:val="20"/>
      </w:rPr>
    </w:pPr>
    <w:r w:rsidRPr="007C0F57">
      <w:rPr>
        <w:b/>
        <w:i/>
        <w:sz w:val="20"/>
        <w:szCs w:val="20"/>
      </w:rPr>
      <w:t>Commercial-in-Confidence</w:t>
    </w:r>
  </w:p>
  <w:p w:rsidR="00955DD0" w:rsidRDefault="00955D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DD0" w:rsidRDefault="00955DD0">
      <w:r>
        <w:separator/>
      </w:r>
    </w:p>
    <w:p w:rsidR="00955DD0" w:rsidRDefault="00955DD0"/>
  </w:footnote>
  <w:footnote w:type="continuationSeparator" w:id="0">
    <w:p w:rsidR="00955DD0" w:rsidRDefault="00955DD0">
      <w:r>
        <w:continuationSeparator/>
      </w:r>
    </w:p>
    <w:p w:rsidR="00955DD0" w:rsidRDefault="00955DD0"/>
  </w:footnote>
  <w:footnote w:id="1">
    <w:p w:rsidR="00955DD0" w:rsidRPr="005A304E" w:rsidRDefault="00955DD0">
      <w:pPr>
        <w:pStyle w:val="FootnoteText"/>
        <w:rPr>
          <w:rFonts w:asciiTheme="minorHAnsi" w:hAnsiTheme="minorHAnsi" w:cstheme="minorHAnsi"/>
        </w:rPr>
      </w:pPr>
      <w:r w:rsidRPr="005A304E">
        <w:rPr>
          <w:rStyle w:val="FootnoteReference"/>
          <w:rFonts w:asciiTheme="minorHAnsi" w:hAnsiTheme="minorHAnsi" w:cstheme="minorHAnsi"/>
        </w:rPr>
        <w:footnoteRef/>
      </w:r>
      <w:r w:rsidRPr="005A304E">
        <w:rPr>
          <w:rFonts w:asciiTheme="minorHAnsi" w:hAnsiTheme="minorHAnsi" w:cstheme="minorHAnsi"/>
        </w:rPr>
        <w:t xml:space="preserve"> </w:t>
      </w:r>
      <w:r>
        <w:rPr>
          <w:rFonts w:asciiTheme="minorHAnsi" w:hAnsiTheme="minorHAnsi" w:cstheme="minorHAnsi"/>
        </w:rPr>
        <w:t>Based on sponsor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55DD0" w:rsidRPr="008E0D90" w:rsidTr="00A06225">
      <w:trPr>
        <w:trHeight w:val="151"/>
      </w:trPr>
      <w:tc>
        <w:tcPr>
          <w:tcW w:w="2389" w:type="pct"/>
          <w:tcBorders>
            <w:top w:val="nil"/>
            <w:left w:val="nil"/>
            <w:bottom w:val="single" w:sz="4" w:space="0" w:color="4F81BD"/>
            <w:right w:val="nil"/>
          </w:tcBorders>
        </w:tcPr>
        <w:p w:rsidR="00955DD0" w:rsidRPr="00A06225" w:rsidRDefault="00955DD0">
          <w:pPr>
            <w:pStyle w:val="Header"/>
            <w:spacing w:line="276" w:lineRule="auto"/>
            <w:rPr>
              <w:rFonts w:ascii="Cambria" w:eastAsia="MS Gothic" w:hAnsi="Cambria"/>
              <w:b/>
              <w:bCs/>
              <w:color w:val="4F81BD"/>
            </w:rPr>
          </w:pPr>
        </w:p>
      </w:tc>
      <w:tc>
        <w:tcPr>
          <w:tcW w:w="333" w:type="pct"/>
          <w:vMerge w:val="restart"/>
          <w:noWrap/>
          <w:vAlign w:val="center"/>
          <w:hideMark/>
        </w:tcPr>
        <w:p w:rsidR="00955DD0" w:rsidRPr="00A06225" w:rsidRDefault="00955DD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55DD0" w:rsidRPr="00A06225" w:rsidRDefault="00955DD0">
          <w:pPr>
            <w:pStyle w:val="Header"/>
            <w:spacing w:line="276" w:lineRule="auto"/>
            <w:rPr>
              <w:rFonts w:ascii="Cambria" w:eastAsia="MS Gothic" w:hAnsi="Cambria"/>
              <w:b/>
              <w:bCs/>
              <w:color w:val="4F81BD"/>
            </w:rPr>
          </w:pPr>
        </w:p>
      </w:tc>
    </w:tr>
    <w:tr w:rsidR="00955DD0" w:rsidRPr="008E0D90" w:rsidTr="00A06225">
      <w:trPr>
        <w:trHeight w:val="150"/>
      </w:trPr>
      <w:tc>
        <w:tcPr>
          <w:tcW w:w="2389" w:type="pct"/>
          <w:tcBorders>
            <w:top w:val="single" w:sz="4" w:space="0" w:color="4F81BD"/>
            <w:left w:val="nil"/>
            <w:bottom w:val="nil"/>
            <w:right w:val="nil"/>
          </w:tcBorders>
        </w:tcPr>
        <w:p w:rsidR="00955DD0" w:rsidRPr="00A06225" w:rsidRDefault="00955DD0">
          <w:pPr>
            <w:pStyle w:val="Header"/>
            <w:spacing w:line="276" w:lineRule="auto"/>
            <w:rPr>
              <w:rFonts w:ascii="Cambria" w:eastAsia="MS Gothic" w:hAnsi="Cambria"/>
              <w:b/>
              <w:bCs/>
              <w:color w:val="4F81BD"/>
            </w:rPr>
          </w:pPr>
        </w:p>
      </w:tc>
      <w:tc>
        <w:tcPr>
          <w:tcW w:w="0" w:type="auto"/>
          <w:vMerge/>
          <w:vAlign w:val="center"/>
          <w:hideMark/>
        </w:tcPr>
        <w:p w:rsidR="00955DD0" w:rsidRPr="00A06225" w:rsidRDefault="00955DD0">
          <w:pPr>
            <w:rPr>
              <w:rFonts w:ascii="Cambria" w:hAnsi="Cambria"/>
              <w:color w:val="4F81BD"/>
              <w:sz w:val="22"/>
              <w:szCs w:val="22"/>
            </w:rPr>
          </w:pPr>
        </w:p>
      </w:tc>
      <w:tc>
        <w:tcPr>
          <w:tcW w:w="2278" w:type="pct"/>
          <w:tcBorders>
            <w:top w:val="single" w:sz="4" w:space="0" w:color="4F81BD"/>
            <w:left w:val="nil"/>
            <w:bottom w:val="nil"/>
            <w:right w:val="nil"/>
          </w:tcBorders>
        </w:tcPr>
        <w:p w:rsidR="00955DD0" w:rsidRPr="00A06225" w:rsidRDefault="00955DD0">
          <w:pPr>
            <w:pStyle w:val="Header"/>
            <w:spacing w:line="276" w:lineRule="auto"/>
            <w:rPr>
              <w:rFonts w:ascii="Cambria" w:eastAsia="MS Gothic" w:hAnsi="Cambria"/>
              <w:b/>
              <w:bCs/>
              <w:color w:val="4F81BD"/>
            </w:rPr>
          </w:pPr>
        </w:p>
      </w:tc>
    </w:tr>
  </w:tbl>
  <w:p w:rsidR="00955DD0" w:rsidRDefault="00955DD0">
    <w:pPr>
      <w:pStyle w:val="Header"/>
    </w:pPr>
  </w:p>
  <w:p w:rsidR="00955DD0" w:rsidRDefault="00955D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DD0" w:rsidRPr="00DF2235" w:rsidRDefault="00955DD0" w:rsidP="00DF2235">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DF2235">
      <w:rPr>
        <w:rFonts w:asciiTheme="minorHAnsi" w:hAnsiTheme="minorHAnsi" w:cstheme="minorHAnsi"/>
        <w:i/>
        <w:sz w:val="24"/>
        <w:szCs w:val="24"/>
      </w:rPr>
      <w:t xml:space="preserve"> – November 2019 PBAC Meeting</w:t>
    </w:r>
  </w:p>
  <w:p w:rsidR="00955DD0" w:rsidRPr="00DF2235" w:rsidRDefault="00955DD0" w:rsidP="00DF2235">
    <w:pPr>
      <w:pStyle w:val="NoSpacing"/>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8C1280"/>
    <w:multiLevelType w:val="hybridMultilevel"/>
    <w:tmpl w:val="BF10449E"/>
    <w:lvl w:ilvl="0" w:tplc="299E1CE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A5A73"/>
    <w:multiLevelType w:val="multilevel"/>
    <w:tmpl w:val="92509B62"/>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9" w15:restartNumberingAfterBreak="0">
    <w:nsid w:val="459A633A"/>
    <w:multiLevelType w:val="hybridMultilevel"/>
    <w:tmpl w:val="13C6D9B8"/>
    <w:lvl w:ilvl="0" w:tplc="44C213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0724181"/>
    <w:multiLevelType w:val="multilevel"/>
    <w:tmpl w:val="82EAE8F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4D033C"/>
    <w:multiLevelType w:val="multilevel"/>
    <w:tmpl w:val="3666480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20"/>
  </w:num>
  <w:num w:numId="5">
    <w:abstractNumId w:val="26"/>
  </w:num>
  <w:num w:numId="6">
    <w:abstractNumId w:val="7"/>
  </w:num>
  <w:num w:numId="7">
    <w:abstractNumId w:val="16"/>
  </w:num>
  <w:num w:numId="8">
    <w:abstractNumId w:val="4"/>
  </w:num>
  <w:num w:numId="9">
    <w:abstractNumId w:val="15"/>
  </w:num>
  <w:num w:numId="10">
    <w:abstractNumId w:val="14"/>
  </w:num>
  <w:num w:numId="11">
    <w:abstractNumId w:val="12"/>
  </w:num>
  <w:num w:numId="12">
    <w:abstractNumId w:val="1"/>
  </w:num>
  <w:num w:numId="13">
    <w:abstractNumId w:val="0"/>
  </w:num>
  <w:num w:numId="14">
    <w:abstractNumId w:val="26"/>
  </w:num>
  <w:num w:numId="15">
    <w:abstractNumId w:val="26"/>
  </w:num>
  <w:num w:numId="16">
    <w:abstractNumId w:val="26"/>
  </w:num>
  <w:num w:numId="17">
    <w:abstractNumId w:val="24"/>
  </w:num>
  <w:num w:numId="18">
    <w:abstractNumId w:val="21"/>
  </w:num>
  <w:num w:numId="19">
    <w:abstractNumId w:val="11"/>
  </w:num>
  <w:num w:numId="20">
    <w:abstractNumId w:val="18"/>
    <w:lvlOverride w:ilvl="0">
      <w:startOverride w:val="1"/>
    </w:lvlOverride>
  </w:num>
  <w:num w:numId="21">
    <w:abstractNumId w:val="18"/>
  </w:num>
  <w:num w:numId="22">
    <w:abstractNumId w:val="17"/>
  </w:num>
  <w:num w:numId="23">
    <w:abstractNumId w:val="19"/>
  </w:num>
  <w:num w:numId="24">
    <w:abstractNumId w:val="22"/>
  </w:num>
  <w:num w:numId="25">
    <w:abstractNumId w:val="23"/>
  </w:num>
  <w:num w:numId="26">
    <w:abstractNumId w:val="5"/>
  </w:num>
  <w:num w:numId="27">
    <w:abstractNumId w:val="2"/>
  </w:num>
  <w:num w:numId="28">
    <w:abstractNumId w:val="10"/>
  </w:num>
  <w:num w:numId="29">
    <w:abstractNumId w:val="13"/>
  </w:num>
  <w:num w:numId="30">
    <w:abstractNumId w:val="9"/>
  </w:num>
  <w:num w:numId="31">
    <w:abstractNumId w:val="25"/>
  </w:num>
  <w:num w:numId="32">
    <w:abstractNumId w:val="26"/>
  </w:num>
  <w:num w:numId="33">
    <w:abstractNumId w:val="26"/>
  </w:num>
  <w:num w:numId="34">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25C"/>
    <w:rsid w:val="0002464A"/>
    <w:rsid w:val="000267DB"/>
    <w:rsid w:val="0003106B"/>
    <w:rsid w:val="00032FBA"/>
    <w:rsid w:val="00034905"/>
    <w:rsid w:val="000421A1"/>
    <w:rsid w:val="0004240E"/>
    <w:rsid w:val="00043C9B"/>
    <w:rsid w:val="00045E26"/>
    <w:rsid w:val="00045F8F"/>
    <w:rsid w:val="000514B5"/>
    <w:rsid w:val="00060E64"/>
    <w:rsid w:val="0006147D"/>
    <w:rsid w:val="00063407"/>
    <w:rsid w:val="0006376F"/>
    <w:rsid w:val="0006425B"/>
    <w:rsid w:val="00066755"/>
    <w:rsid w:val="00067AC8"/>
    <w:rsid w:val="000763D5"/>
    <w:rsid w:val="00076ABC"/>
    <w:rsid w:val="00077143"/>
    <w:rsid w:val="00082169"/>
    <w:rsid w:val="00084EAE"/>
    <w:rsid w:val="000969AD"/>
    <w:rsid w:val="000A44B2"/>
    <w:rsid w:val="000B558D"/>
    <w:rsid w:val="000C2157"/>
    <w:rsid w:val="000C6996"/>
    <w:rsid w:val="000D23BA"/>
    <w:rsid w:val="000E1C9C"/>
    <w:rsid w:val="000E681E"/>
    <w:rsid w:val="000F0003"/>
    <w:rsid w:val="000F248C"/>
    <w:rsid w:val="000F3384"/>
    <w:rsid w:val="000F4E6A"/>
    <w:rsid w:val="000F7354"/>
    <w:rsid w:val="001008C2"/>
    <w:rsid w:val="00104227"/>
    <w:rsid w:val="001107BF"/>
    <w:rsid w:val="00115941"/>
    <w:rsid w:val="00120285"/>
    <w:rsid w:val="00123873"/>
    <w:rsid w:val="0012417C"/>
    <w:rsid w:val="00126DF0"/>
    <w:rsid w:val="00142213"/>
    <w:rsid w:val="00142395"/>
    <w:rsid w:val="00142714"/>
    <w:rsid w:val="001452ED"/>
    <w:rsid w:val="00145877"/>
    <w:rsid w:val="00151458"/>
    <w:rsid w:val="0015526A"/>
    <w:rsid w:val="00162D4E"/>
    <w:rsid w:val="00163329"/>
    <w:rsid w:val="00164623"/>
    <w:rsid w:val="00164CE3"/>
    <w:rsid w:val="00165B64"/>
    <w:rsid w:val="00174A74"/>
    <w:rsid w:val="00180713"/>
    <w:rsid w:val="001830CE"/>
    <w:rsid w:val="0018446E"/>
    <w:rsid w:val="0018643B"/>
    <w:rsid w:val="00196307"/>
    <w:rsid w:val="001A33EA"/>
    <w:rsid w:val="001A4FF4"/>
    <w:rsid w:val="001B017F"/>
    <w:rsid w:val="001B2BBC"/>
    <w:rsid w:val="001B5129"/>
    <w:rsid w:val="001C072C"/>
    <w:rsid w:val="001C0B4C"/>
    <w:rsid w:val="001C1195"/>
    <w:rsid w:val="001F1850"/>
    <w:rsid w:val="001F54E2"/>
    <w:rsid w:val="0020120D"/>
    <w:rsid w:val="00203FAC"/>
    <w:rsid w:val="0020570B"/>
    <w:rsid w:val="00213CFB"/>
    <w:rsid w:val="0021553C"/>
    <w:rsid w:val="0021557B"/>
    <w:rsid w:val="00217BE1"/>
    <w:rsid w:val="002207C2"/>
    <w:rsid w:val="00231BF7"/>
    <w:rsid w:val="00253499"/>
    <w:rsid w:val="0025398C"/>
    <w:rsid w:val="00262492"/>
    <w:rsid w:val="002711D1"/>
    <w:rsid w:val="00271BA1"/>
    <w:rsid w:val="002723BA"/>
    <w:rsid w:val="002762FA"/>
    <w:rsid w:val="0027673B"/>
    <w:rsid w:val="00277505"/>
    <w:rsid w:val="00277C30"/>
    <w:rsid w:val="0029458F"/>
    <w:rsid w:val="0029679D"/>
    <w:rsid w:val="002A104C"/>
    <w:rsid w:val="002A4960"/>
    <w:rsid w:val="002B1AE6"/>
    <w:rsid w:val="002B2749"/>
    <w:rsid w:val="002B2DE8"/>
    <w:rsid w:val="002B30F8"/>
    <w:rsid w:val="002B5596"/>
    <w:rsid w:val="002B6168"/>
    <w:rsid w:val="002C212F"/>
    <w:rsid w:val="002D3176"/>
    <w:rsid w:val="002D4543"/>
    <w:rsid w:val="002E3153"/>
    <w:rsid w:val="002E5A7E"/>
    <w:rsid w:val="002E5D59"/>
    <w:rsid w:val="002E72CA"/>
    <w:rsid w:val="002F600D"/>
    <w:rsid w:val="00300AD6"/>
    <w:rsid w:val="00305FD1"/>
    <w:rsid w:val="00317C6C"/>
    <w:rsid w:val="0032607F"/>
    <w:rsid w:val="00326E79"/>
    <w:rsid w:val="003301B1"/>
    <w:rsid w:val="003319C6"/>
    <w:rsid w:val="0033263D"/>
    <w:rsid w:val="0033518A"/>
    <w:rsid w:val="003367EF"/>
    <w:rsid w:val="00341AE4"/>
    <w:rsid w:val="00342F64"/>
    <w:rsid w:val="003552B0"/>
    <w:rsid w:val="00361B9B"/>
    <w:rsid w:val="003803B2"/>
    <w:rsid w:val="00383577"/>
    <w:rsid w:val="00384988"/>
    <w:rsid w:val="003854B2"/>
    <w:rsid w:val="00386920"/>
    <w:rsid w:val="003872CF"/>
    <w:rsid w:val="0039782C"/>
    <w:rsid w:val="003A2164"/>
    <w:rsid w:val="003A46F1"/>
    <w:rsid w:val="003A5B4A"/>
    <w:rsid w:val="003B23C5"/>
    <w:rsid w:val="003B2A75"/>
    <w:rsid w:val="003B556D"/>
    <w:rsid w:val="003B6124"/>
    <w:rsid w:val="003C1ECF"/>
    <w:rsid w:val="003C2FB5"/>
    <w:rsid w:val="003C341A"/>
    <w:rsid w:val="003D16B4"/>
    <w:rsid w:val="003D4AC4"/>
    <w:rsid w:val="003D63B7"/>
    <w:rsid w:val="003E468B"/>
    <w:rsid w:val="003E46A2"/>
    <w:rsid w:val="003F3228"/>
    <w:rsid w:val="003F5C8C"/>
    <w:rsid w:val="00400AEE"/>
    <w:rsid w:val="00406320"/>
    <w:rsid w:val="004252EC"/>
    <w:rsid w:val="00430D39"/>
    <w:rsid w:val="00430FF4"/>
    <w:rsid w:val="00431DFB"/>
    <w:rsid w:val="0043340E"/>
    <w:rsid w:val="004338D8"/>
    <w:rsid w:val="00437932"/>
    <w:rsid w:val="00441A11"/>
    <w:rsid w:val="004465BD"/>
    <w:rsid w:val="0044734E"/>
    <w:rsid w:val="00466ADA"/>
    <w:rsid w:val="0047494B"/>
    <w:rsid w:val="00476245"/>
    <w:rsid w:val="00482A82"/>
    <w:rsid w:val="00483035"/>
    <w:rsid w:val="00484231"/>
    <w:rsid w:val="00485940"/>
    <w:rsid w:val="00485A41"/>
    <w:rsid w:val="00490CE0"/>
    <w:rsid w:val="004A2484"/>
    <w:rsid w:val="004A5A85"/>
    <w:rsid w:val="004A71D1"/>
    <w:rsid w:val="004B4430"/>
    <w:rsid w:val="004B4DB2"/>
    <w:rsid w:val="004B5640"/>
    <w:rsid w:val="004B5957"/>
    <w:rsid w:val="004C1BD7"/>
    <w:rsid w:val="004C2F69"/>
    <w:rsid w:val="004C31FE"/>
    <w:rsid w:val="004C40BE"/>
    <w:rsid w:val="004C691D"/>
    <w:rsid w:val="004C6C07"/>
    <w:rsid w:val="004D4729"/>
    <w:rsid w:val="004D7B47"/>
    <w:rsid w:val="004E1C26"/>
    <w:rsid w:val="004E692D"/>
    <w:rsid w:val="004E77F3"/>
    <w:rsid w:val="004F65BD"/>
    <w:rsid w:val="00501554"/>
    <w:rsid w:val="00504E0C"/>
    <w:rsid w:val="0051464A"/>
    <w:rsid w:val="00514CD7"/>
    <w:rsid w:val="0051540A"/>
    <w:rsid w:val="00516238"/>
    <w:rsid w:val="00516D7E"/>
    <w:rsid w:val="005201F8"/>
    <w:rsid w:val="00522DB6"/>
    <w:rsid w:val="005230AE"/>
    <w:rsid w:val="005319B2"/>
    <w:rsid w:val="00532402"/>
    <w:rsid w:val="00532C74"/>
    <w:rsid w:val="00534E2E"/>
    <w:rsid w:val="00544552"/>
    <w:rsid w:val="0055759C"/>
    <w:rsid w:val="00566556"/>
    <w:rsid w:val="00577C4D"/>
    <w:rsid w:val="00581932"/>
    <w:rsid w:val="005963BB"/>
    <w:rsid w:val="005A2EE1"/>
    <w:rsid w:val="005A304E"/>
    <w:rsid w:val="005A3173"/>
    <w:rsid w:val="005A3223"/>
    <w:rsid w:val="005A3DA3"/>
    <w:rsid w:val="005A4AE9"/>
    <w:rsid w:val="005A52C4"/>
    <w:rsid w:val="005B6969"/>
    <w:rsid w:val="005D03AB"/>
    <w:rsid w:val="005D0803"/>
    <w:rsid w:val="005D2949"/>
    <w:rsid w:val="005D5017"/>
    <w:rsid w:val="005E0BD6"/>
    <w:rsid w:val="005E1333"/>
    <w:rsid w:val="00601A91"/>
    <w:rsid w:val="00602BA3"/>
    <w:rsid w:val="006031E4"/>
    <w:rsid w:val="0060556E"/>
    <w:rsid w:val="00605B63"/>
    <w:rsid w:val="00606813"/>
    <w:rsid w:val="00606EED"/>
    <w:rsid w:val="006109DB"/>
    <w:rsid w:val="00612E34"/>
    <w:rsid w:val="00614159"/>
    <w:rsid w:val="00617C00"/>
    <w:rsid w:val="006263BF"/>
    <w:rsid w:val="0062748A"/>
    <w:rsid w:val="00630A2C"/>
    <w:rsid w:val="00633122"/>
    <w:rsid w:val="00634FFC"/>
    <w:rsid w:val="0063682E"/>
    <w:rsid w:val="006422CF"/>
    <w:rsid w:val="006436CD"/>
    <w:rsid w:val="006439FD"/>
    <w:rsid w:val="00650963"/>
    <w:rsid w:val="00651169"/>
    <w:rsid w:val="00653D69"/>
    <w:rsid w:val="00654C17"/>
    <w:rsid w:val="006552E6"/>
    <w:rsid w:val="00663262"/>
    <w:rsid w:val="00666AB5"/>
    <w:rsid w:val="006670BE"/>
    <w:rsid w:val="00670A76"/>
    <w:rsid w:val="006711AA"/>
    <w:rsid w:val="00672B57"/>
    <w:rsid w:val="00675622"/>
    <w:rsid w:val="0067747D"/>
    <w:rsid w:val="006818B1"/>
    <w:rsid w:val="00684C8C"/>
    <w:rsid w:val="00687DA8"/>
    <w:rsid w:val="0069039D"/>
    <w:rsid w:val="006906DB"/>
    <w:rsid w:val="006914BA"/>
    <w:rsid w:val="00691E6C"/>
    <w:rsid w:val="0069501D"/>
    <w:rsid w:val="00696129"/>
    <w:rsid w:val="00697CF2"/>
    <w:rsid w:val="006A12A5"/>
    <w:rsid w:val="006A342B"/>
    <w:rsid w:val="006A3BEE"/>
    <w:rsid w:val="006B0D94"/>
    <w:rsid w:val="006B485D"/>
    <w:rsid w:val="006C0589"/>
    <w:rsid w:val="006C2A83"/>
    <w:rsid w:val="006C4686"/>
    <w:rsid w:val="006C64F7"/>
    <w:rsid w:val="006C662D"/>
    <w:rsid w:val="006C708E"/>
    <w:rsid w:val="006D14E7"/>
    <w:rsid w:val="006D6493"/>
    <w:rsid w:val="006D6EC7"/>
    <w:rsid w:val="006E1BCD"/>
    <w:rsid w:val="006F5125"/>
    <w:rsid w:val="00702B6F"/>
    <w:rsid w:val="00703AB2"/>
    <w:rsid w:val="00706A2F"/>
    <w:rsid w:val="0070718E"/>
    <w:rsid w:val="0071340B"/>
    <w:rsid w:val="00714D5A"/>
    <w:rsid w:val="00715734"/>
    <w:rsid w:val="007174BB"/>
    <w:rsid w:val="0072025D"/>
    <w:rsid w:val="00730FF9"/>
    <w:rsid w:val="00732EBB"/>
    <w:rsid w:val="007353D3"/>
    <w:rsid w:val="007474C5"/>
    <w:rsid w:val="00753F2A"/>
    <w:rsid w:val="0076420C"/>
    <w:rsid w:val="00774E2C"/>
    <w:rsid w:val="007753C2"/>
    <w:rsid w:val="007838B8"/>
    <w:rsid w:val="00786367"/>
    <w:rsid w:val="00791A5F"/>
    <w:rsid w:val="00792CCD"/>
    <w:rsid w:val="0079690A"/>
    <w:rsid w:val="007A1FAF"/>
    <w:rsid w:val="007A23C7"/>
    <w:rsid w:val="007A557C"/>
    <w:rsid w:val="007C0F57"/>
    <w:rsid w:val="007C375D"/>
    <w:rsid w:val="007C40B6"/>
    <w:rsid w:val="007C729F"/>
    <w:rsid w:val="007D000C"/>
    <w:rsid w:val="007D3418"/>
    <w:rsid w:val="007E1D28"/>
    <w:rsid w:val="007E2D3C"/>
    <w:rsid w:val="007F2641"/>
    <w:rsid w:val="007F7C36"/>
    <w:rsid w:val="00800419"/>
    <w:rsid w:val="0080195C"/>
    <w:rsid w:val="00806796"/>
    <w:rsid w:val="00812878"/>
    <w:rsid w:val="008151D6"/>
    <w:rsid w:val="00823D4B"/>
    <w:rsid w:val="008268BB"/>
    <w:rsid w:val="00826F6D"/>
    <w:rsid w:val="008306F3"/>
    <w:rsid w:val="00830E40"/>
    <w:rsid w:val="00834732"/>
    <w:rsid w:val="00856DDD"/>
    <w:rsid w:val="00857C75"/>
    <w:rsid w:val="00863E68"/>
    <w:rsid w:val="008705A2"/>
    <w:rsid w:val="00882085"/>
    <w:rsid w:val="00883188"/>
    <w:rsid w:val="00891BD0"/>
    <w:rsid w:val="00897D58"/>
    <w:rsid w:val="00897F22"/>
    <w:rsid w:val="008A1956"/>
    <w:rsid w:val="008A1F3D"/>
    <w:rsid w:val="008A4937"/>
    <w:rsid w:val="008A4E65"/>
    <w:rsid w:val="008A50F1"/>
    <w:rsid w:val="008C0723"/>
    <w:rsid w:val="008D011C"/>
    <w:rsid w:val="008D1B5C"/>
    <w:rsid w:val="008D3C82"/>
    <w:rsid w:val="008D4334"/>
    <w:rsid w:val="008D447E"/>
    <w:rsid w:val="008D7A41"/>
    <w:rsid w:val="008E2C72"/>
    <w:rsid w:val="008E3680"/>
    <w:rsid w:val="008E5870"/>
    <w:rsid w:val="008F1434"/>
    <w:rsid w:val="008F7355"/>
    <w:rsid w:val="00903E8A"/>
    <w:rsid w:val="009067B7"/>
    <w:rsid w:val="00906E6D"/>
    <w:rsid w:val="00912845"/>
    <w:rsid w:val="00930937"/>
    <w:rsid w:val="00932E86"/>
    <w:rsid w:val="00933E6C"/>
    <w:rsid w:val="00937958"/>
    <w:rsid w:val="00941602"/>
    <w:rsid w:val="00942160"/>
    <w:rsid w:val="0095146F"/>
    <w:rsid w:val="00952176"/>
    <w:rsid w:val="00955DD0"/>
    <w:rsid w:val="009602C5"/>
    <w:rsid w:val="00962223"/>
    <w:rsid w:val="00966D0D"/>
    <w:rsid w:val="009719D3"/>
    <w:rsid w:val="00974C21"/>
    <w:rsid w:val="0098482B"/>
    <w:rsid w:val="00985E51"/>
    <w:rsid w:val="00990848"/>
    <w:rsid w:val="00991ABB"/>
    <w:rsid w:val="0099206F"/>
    <w:rsid w:val="00992DFF"/>
    <w:rsid w:val="009A61CA"/>
    <w:rsid w:val="009B0F67"/>
    <w:rsid w:val="009B2167"/>
    <w:rsid w:val="009B6315"/>
    <w:rsid w:val="009C703C"/>
    <w:rsid w:val="009D1A5D"/>
    <w:rsid w:val="009D3CAA"/>
    <w:rsid w:val="009E1E28"/>
    <w:rsid w:val="009E29FC"/>
    <w:rsid w:val="009E40E1"/>
    <w:rsid w:val="009E50D9"/>
    <w:rsid w:val="009F0EFA"/>
    <w:rsid w:val="009F4E46"/>
    <w:rsid w:val="009F5B65"/>
    <w:rsid w:val="009F5F2E"/>
    <w:rsid w:val="009F79A4"/>
    <w:rsid w:val="00A06225"/>
    <w:rsid w:val="00A128E6"/>
    <w:rsid w:val="00A12ADD"/>
    <w:rsid w:val="00A2084E"/>
    <w:rsid w:val="00A22880"/>
    <w:rsid w:val="00A277BF"/>
    <w:rsid w:val="00A34E6C"/>
    <w:rsid w:val="00A37C8D"/>
    <w:rsid w:val="00A40F14"/>
    <w:rsid w:val="00A42DEF"/>
    <w:rsid w:val="00A5273B"/>
    <w:rsid w:val="00A53A9D"/>
    <w:rsid w:val="00A55FEE"/>
    <w:rsid w:val="00A62C1A"/>
    <w:rsid w:val="00A6426D"/>
    <w:rsid w:val="00A665C1"/>
    <w:rsid w:val="00A70622"/>
    <w:rsid w:val="00A70977"/>
    <w:rsid w:val="00A744F9"/>
    <w:rsid w:val="00A77613"/>
    <w:rsid w:val="00A8390C"/>
    <w:rsid w:val="00A83EAE"/>
    <w:rsid w:val="00A928BD"/>
    <w:rsid w:val="00A946BE"/>
    <w:rsid w:val="00A9562B"/>
    <w:rsid w:val="00AA12CD"/>
    <w:rsid w:val="00AA4D1C"/>
    <w:rsid w:val="00AA5DDC"/>
    <w:rsid w:val="00AB1B00"/>
    <w:rsid w:val="00AB6ABE"/>
    <w:rsid w:val="00AC095C"/>
    <w:rsid w:val="00AC193C"/>
    <w:rsid w:val="00AC5206"/>
    <w:rsid w:val="00AD21EA"/>
    <w:rsid w:val="00AD4322"/>
    <w:rsid w:val="00AD74BB"/>
    <w:rsid w:val="00AE11A5"/>
    <w:rsid w:val="00AE13E2"/>
    <w:rsid w:val="00AE22D3"/>
    <w:rsid w:val="00AF2BEB"/>
    <w:rsid w:val="00AF62DF"/>
    <w:rsid w:val="00AF68CC"/>
    <w:rsid w:val="00B1059E"/>
    <w:rsid w:val="00B12168"/>
    <w:rsid w:val="00B1527B"/>
    <w:rsid w:val="00B176C8"/>
    <w:rsid w:val="00B205AA"/>
    <w:rsid w:val="00B20815"/>
    <w:rsid w:val="00B22E84"/>
    <w:rsid w:val="00B233AD"/>
    <w:rsid w:val="00B25F75"/>
    <w:rsid w:val="00B26B3F"/>
    <w:rsid w:val="00B2778F"/>
    <w:rsid w:val="00B27B95"/>
    <w:rsid w:val="00B33635"/>
    <w:rsid w:val="00B34C22"/>
    <w:rsid w:val="00B368B3"/>
    <w:rsid w:val="00B36D2A"/>
    <w:rsid w:val="00B374F4"/>
    <w:rsid w:val="00B43E90"/>
    <w:rsid w:val="00B440C7"/>
    <w:rsid w:val="00B467DC"/>
    <w:rsid w:val="00B47840"/>
    <w:rsid w:val="00B5209B"/>
    <w:rsid w:val="00B53767"/>
    <w:rsid w:val="00B56118"/>
    <w:rsid w:val="00B6526D"/>
    <w:rsid w:val="00B6773F"/>
    <w:rsid w:val="00B738B6"/>
    <w:rsid w:val="00B7622C"/>
    <w:rsid w:val="00B801BA"/>
    <w:rsid w:val="00B84D5C"/>
    <w:rsid w:val="00B86804"/>
    <w:rsid w:val="00B92F3A"/>
    <w:rsid w:val="00BA3B10"/>
    <w:rsid w:val="00BB69F5"/>
    <w:rsid w:val="00BB7EC3"/>
    <w:rsid w:val="00BC4B9A"/>
    <w:rsid w:val="00BC60E1"/>
    <w:rsid w:val="00BD4D42"/>
    <w:rsid w:val="00BD784C"/>
    <w:rsid w:val="00BE0C95"/>
    <w:rsid w:val="00BE44FC"/>
    <w:rsid w:val="00BF4CB6"/>
    <w:rsid w:val="00BF6955"/>
    <w:rsid w:val="00C00DA7"/>
    <w:rsid w:val="00C03147"/>
    <w:rsid w:val="00C12768"/>
    <w:rsid w:val="00C27B58"/>
    <w:rsid w:val="00C32AEF"/>
    <w:rsid w:val="00C344D5"/>
    <w:rsid w:val="00C35996"/>
    <w:rsid w:val="00C472FB"/>
    <w:rsid w:val="00C4747E"/>
    <w:rsid w:val="00C5342C"/>
    <w:rsid w:val="00C56539"/>
    <w:rsid w:val="00C60272"/>
    <w:rsid w:val="00C603D4"/>
    <w:rsid w:val="00C6256A"/>
    <w:rsid w:val="00C64435"/>
    <w:rsid w:val="00C645F3"/>
    <w:rsid w:val="00C7128F"/>
    <w:rsid w:val="00C71C3F"/>
    <w:rsid w:val="00C7585B"/>
    <w:rsid w:val="00C77891"/>
    <w:rsid w:val="00C83CE3"/>
    <w:rsid w:val="00C91449"/>
    <w:rsid w:val="00C917B9"/>
    <w:rsid w:val="00C92110"/>
    <w:rsid w:val="00C92D10"/>
    <w:rsid w:val="00CA05D3"/>
    <w:rsid w:val="00CB1193"/>
    <w:rsid w:val="00CB39C9"/>
    <w:rsid w:val="00CD2A7A"/>
    <w:rsid w:val="00CE10C4"/>
    <w:rsid w:val="00CE27B5"/>
    <w:rsid w:val="00CE28DF"/>
    <w:rsid w:val="00CE3439"/>
    <w:rsid w:val="00CF06AA"/>
    <w:rsid w:val="00CF4194"/>
    <w:rsid w:val="00D0321E"/>
    <w:rsid w:val="00D07D92"/>
    <w:rsid w:val="00D10CD2"/>
    <w:rsid w:val="00D110B7"/>
    <w:rsid w:val="00D1455A"/>
    <w:rsid w:val="00D26906"/>
    <w:rsid w:val="00D3080C"/>
    <w:rsid w:val="00D31150"/>
    <w:rsid w:val="00D3138B"/>
    <w:rsid w:val="00D31426"/>
    <w:rsid w:val="00D3280C"/>
    <w:rsid w:val="00D3406A"/>
    <w:rsid w:val="00D444CB"/>
    <w:rsid w:val="00D4572C"/>
    <w:rsid w:val="00D469B2"/>
    <w:rsid w:val="00D6394E"/>
    <w:rsid w:val="00D64220"/>
    <w:rsid w:val="00D7057C"/>
    <w:rsid w:val="00D741EB"/>
    <w:rsid w:val="00D820F3"/>
    <w:rsid w:val="00D83605"/>
    <w:rsid w:val="00D84934"/>
    <w:rsid w:val="00D863A7"/>
    <w:rsid w:val="00D90ED9"/>
    <w:rsid w:val="00D91271"/>
    <w:rsid w:val="00D919F5"/>
    <w:rsid w:val="00D94F03"/>
    <w:rsid w:val="00DA2CB5"/>
    <w:rsid w:val="00DA4BAC"/>
    <w:rsid w:val="00DB0151"/>
    <w:rsid w:val="00DB55F8"/>
    <w:rsid w:val="00DC0180"/>
    <w:rsid w:val="00DC0194"/>
    <w:rsid w:val="00DC023C"/>
    <w:rsid w:val="00DE605C"/>
    <w:rsid w:val="00DE6D27"/>
    <w:rsid w:val="00DF217D"/>
    <w:rsid w:val="00DF2235"/>
    <w:rsid w:val="00DF26A7"/>
    <w:rsid w:val="00DF2D3E"/>
    <w:rsid w:val="00E0100C"/>
    <w:rsid w:val="00E0232F"/>
    <w:rsid w:val="00E04805"/>
    <w:rsid w:val="00E11059"/>
    <w:rsid w:val="00E15627"/>
    <w:rsid w:val="00E164B3"/>
    <w:rsid w:val="00E16910"/>
    <w:rsid w:val="00E1770B"/>
    <w:rsid w:val="00E20C81"/>
    <w:rsid w:val="00E27234"/>
    <w:rsid w:val="00E32BD0"/>
    <w:rsid w:val="00E33BD6"/>
    <w:rsid w:val="00E3763C"/>
    <w:rsid w:val="00E40E8A"/>
    <w:rsid w:val="00E420B9"/>
    <w:rsid w:val="00E42BCF"/>
    <w:rsid w:val="00E42BDB"/>
    <w:rsid w:val="00E45296"/>
    <w:rsid w:val="00E54ECC"/>
    <w:rsid w:val="00E552B5"/>
    <w:rsid w:val="00E57EEB"/>
    <w:rsid w:val="00E62D94"/>
    <w:rsid w:val="00E65E54"/>
    <w:rsid w:val="00E663E9"/>
    <w:rsid w:val="00E750D4"/>
    <w:rsid w:val="00E80155"/>
    <w:rsid w:val="00E81F28"/>
    <w:rsid w:val="00E848C0"/>
    <w:rsid w:val="00E91B96"/>
    <w:rsid w:val="00E941A1"/>
    <w:rsid w:val="00E95CE3"/>
    <w:rsid w:val="00EA2825"/>
    <w:rsid w:val="00EB0B63"/>
    <w:rsid w:val="00EB1936"/>
    <w:rsid w:val="00EB5088"/>
    <w:rsid w:val="00EC2DF9"/>
    <w:rsid w:val="00ED1644"/>
    <w:rsid w:val="00ED2593"/>
    <w:rsid w:val="00ED53D5"/>
    <w:rsid w:val="00ED7D9C"/>
    <w:rsid w:val="00EE0FD6"/>
    <w:rsid w:val="00EE4E43"/>
    <w:rsid w:val="00EE7B74"/>
    <w:rsid w:val="00EF0069"/>
    <w:rsid w:val="00EF44A0"/>
    <w:rsid w:val="00EF4FED"/>
    <w:rsid w:val="00EF79A1"/>
    <w:rsid w:val="00F0172E"/>
    <w:rsid w:val="00F04F4C"/>
    <w:rsid w:val="00F050BD"/>
    <w:rsid w:val="00F05657"/>
    <w:rsid w:val="00F058B5"/>
    <w:rsid w:val="00F078A9"/>
    <w:rsid w:val="00F13AA8"/>
    <w:rsid w:val="00F25578"/>
    <w:rsid w:val="00F258E5"/>
    <w:rsid w:val="00F300BC"/>
    <w:rsid w:val="00F3334E"/>
    <w:rsid w:val="00F36CCB"/>
    <w:rsid w:val="00F374E5"/>
    <w:rsid w:val="00F43AF2"/>
    <w:rsid w:val="00F43C09"/>
    <w:rsid w:val="00F5007E"/>
    <w:rsid w:val="00F50EC4"/>
    <w:rsid w:val="00F52232"/>
    <w:rsid w:val="00F54980"/>
    <w:rsid w:val="00F550CF"/>
    <w:rsid w:val="00F57A6D"/>
    <w:rsid w:val="00F638CC"/>
    <w:rsid w:val="00F64CC1"/>
    <w:rsid w:val="00F72317"/>
    <w:rsid w:val="00F80475"/>
    <w:rsid w:val="00F8247A"/>
    <w:rsid w:val="00F86853"/>
    <w:rsid w:val="00F9629A"/>
    <w:rsid w:val="00F9632D"/>
    <w:rsid w:val="00F97EFC"/>
    <w:rsid w:val="00FA00F0"/>
    <w:rsid w:val="00FA352D"/>
    <w:rsid w:val="00FA4B6E"/>
    <w:rsid w:val="00FA4DD5"/>
    <w:rsid w:val="00FA5883"/>
    <w:rsid w:val="00FA6055"/>
    <w:rsid w:val="00FB1415"/>
    <w:rsid w:val="00FB322F"/>
    <w:rsid w:val="00FB442F"/>
    <w:rsid w:val="00FC1929"/>
    <w:rsid w:val="00FC3647"/>
    <w:rsid w:val="00FC5B46"/>
    <w:rsid w:val="00FD152A"/>
    <w:rsid w:val="00FD6D8E"/>
    <w:rsid w:val="00FE0E94"/>
    <w:rsid w:val="00FE7411"/>
    <w:rsid w:val="00FF00BD"/>
    <w:rsid w:val="00FF1ED4"/>
    <w:rsid w:val="00FF2801"/>
    <w:rsid w:val="00FF3C94"/>
    <w:rsid w:val="00FF7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D2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492"/>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ASD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s Points,Styl moj,Akapit z listą1,Akapit z listą11,Table Legend,Footnote,Bullet point,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s Points Char,Styl moj Char,Akapit z listą1 Char,Akapit z listą11 Char,Table Legend Char,Footnote Char,Bullet point Char,List Paragraph11 Char,Recommendation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rsid w:val="00FC3647"/>
    <w:rPr>
      <w:rFonts w:ascii="Arial" w:hAnsi="Arial"/>
      <w:lang w:eastAsia="en-US"/>
    </w:rPr>
  </w:style>
  <w:style w:type="paragraph" w:customStyle="1" w:styleId="Bodytextitalics">
    <w:name w:val="Body text italics"/>
    <w:basedOn w:val="BodyText"/>
    <w:qFormat/>
    <w:rsid w:val="0079690A"/>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79690A"/>
    <w:pPr>
      <w:spacing w:after="120"/>
    </w:pPr>
  </w:style>
  <w:style w:type="character" w:customStyle="1" w:styleId="BodyTextChar">
    <w:name w:val="Body Text Char"/>
    <w:basedOn w:val="DefaultParagraphFont"/>
    <w:link w:val="BodyText"/>
    <w:semiHidden/>
    <w:rsid w:val="0079690A"/>
    <w:rPr>
      <w:sz w:val="24"/>
      <w:szCs w:val="24"/>
    </w:rPr>
  </w:style>
  <w:style w:type="paragraph" w:customStyle="1" w:styleId="ProcedureStep">
    <w:name w:val="ProcedureStep"/>
    <w:basedOn w:val="Normal"/>
    <w:rsid w:val="009E29FC"/>
    <w:pPr>
      <w:numPr>
        <w:numId w:val="20"/>
      </w:numPr>
      <w:spacing w:before="60" w:after="60" w:line="300" w:lineRule="atLeast"/>
      <w:ind w:right="567"/>
    </w:pPr>
    <w:rPr>
      <w:rFonts w:ascii="Tahoma" w:hAnsi="Tahoma"/>
      <w:sz w:val="22"/>
      <w:szCs w:val="20"/>
    </w:rPr>
  </w:style>
  <w:style w:type="paragraph" w:styleId="Revision">
    <w:name w:val="Revision"/>
    <w:hidden/>
    <w:uiPriority w:val="71"/>
    <w:semiHidden/>
    <w:rsid w:val="007E2D3C"/>
    <w:rPr>
      <w:sz w:val="24"/>
      <w:szCs w:val="24"/>
    </w:rPr>
  </w:style>
  <w:style w:type="paragraph" w:customStyle="1" w:styleId="TableHeading0">
    <w:name w:val="Table Heading"/>
    <w:basedOn w:val="Normal"/>
    <w:qFormat/>
    <w:rsid w:val="00406320"/>
    <w:pPr>
      <w:keepNext/>
      <w:spacing w:after="60"/>
    </w:pPr>
    <w:rPr>
      <w:rFonts w:ascii="Arial Narrow" w:eastAsiaTheme="minorHAnsi" w:hAnsi="Arial Narrow" w:cstheme="minorBidi"/>
      <w:b/>
      <w:sz w:val="20"/>
      <w:szCs w:val="22"/>
      <w:lang w:eastAsia="en-US"/>
    </w:rPr>
  </w:style>
  <w:style w:type="paragraph" w:styleId="FootnoteText">
    <w:name w:val="footnote text"/>
    <w:basedOn w:val="Normal"/>
    <w:link w:val="FootnoteTextChar"/>
    <w:semiHidden/>
    <w:unhideWhenUsed/>
    <w:rsid w:val="009B2167"/>
    <w:rPr>
      <w:sz w:val="20"/>
      <w:szCs w:val="20"/>
    </w:rPr>
  </w:style>
  <w:style w:type="character" w:customStyle="1" w:styleId="FootnoteTextChar">
    <w:name w:val="Footnote Text Char"/>
    <w:basedOn w:val="DefaultParagraphFont"/>
    <w:link w:val="FootnoteText"/>
    <w:semiHidden/>
    <w:rsid w:val="009B2167"/>
  </w:style>
  <w:style w:type="character" w:styleId="FootnoteReference">
    <w:name w:val="footnote reference"/>
    <w:basedOn w:val="DefaultParagraphFont"/>
    <w:semiHidden/>
    <w:unhideWhenUsed/>
    <w:rsid w:val="009B2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03237134">
      <w:bodyDiv w:val="1"/>
      <w:marLeft w:val="0"/>
      <w:marRight w:val="0"/>
      <w:marTop w:val="0"/>
      <w:marBottom w:val="0"/>
      <w:divBdr>
        <w:top w:val="none" w:sz="0" w:space="0" w:color="auto"/>
        <w:left w:val="none" w:sz="0" w:space="0" w:color="auto"/>
        <w:bottom w:val="none" w:sz="0" w:space="0" w:color="auto"/>
        <w:right w:val="none" w:sz="0" w:space="0" w:color="auto"/>
      </w:divBdr>
    </w:div>
    <w:div w:id="155589144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B65D-DAF2-419F-980C-125264E3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5453</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2020-02-19T23:28:00Z</dcterms:created>
  <dcterms:modified xsi:type="dcterms:W3CDTF">2020-02-28T06:59:00Z</dcterms:modified>
</cp:coreProperties>
</file>